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60BDF28" w14:textId="3B5D842A" w:rsidR="00367C29" w:rsidRDefault="00367C29" w:rsidP="00367C29">
      <w:r>
        <w:object w:dxaOrig="2146" w:dyaOrig="1561" w14:anchorId="17769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78912503" r:id="rId8"/>
        </w:object>
      </w:r>
    </w:p>
    <w:p w14:paraId="676EC787" w14:textId="77777777" w:rsidR="00367C29" w:rsidRDefault="00367C29" w:rsidP="00367C29"/>
    <w:p w14:paraId="4B53A22E" w14:textId="77777777" w:rsidR="00367C29" w:rsidRDefault="00367C29" w:rsidP="00367C29"/>
    <w:p w14:paraId="7B39A8EC" w14:textId="77777777" w:rsidR="00367C29" w:rsidRDefault="00367C29" w:rsidP="00367C29"/>
    <w:p w14:paraId="31F650FB" w14:textId="77777777" w:rsidR="00367C29" w:rsidRDefault="00367C29" w:rsidP="00367C29"/>
    <w:p w14:paraId="6E217FEB" w14:textId="77777777" w:rsidR="00367C29" w:rsidRDefault="00367C29" w:rsidP="00367C29"/>
    <w:p w14:paraId="4AE4F78C" w14:textId="77777777" w:rsidR="00367C29" w:rsidRDefault="00367C29" w:rsidP="00367C29"/>
    <w:p w14:paraId="588577C6" w14:textId="0D41FC50" w:rsidR="00134965" w:rsidRDefault="00367C29" w:rsidP="00134965">
      <w:pPr>
        <w:pStyle w:val="ShortT"/>
      </w:pPr>
      <w:r>
        <w:t>Treasury Laws Amendment (Tax Accountability and Fairness) Act 2024</w:t>
      </w:r>
    </w:p>
    <w:p w14:paraId="11149F4F" w14:textId="4EBD8ADF" w:rsidR="0048364F" w:rsidRPr="009E1DBA" w:rsidRDefault="0048364F" w:rsidP="0048364F"/>
    <w:p w14:paraId="2C5BA781" w14:textId="1112D7C7" w:rsidR="00134965" w:rsidRDefault="00134965" w:rsidP="00367C29">
      <w:pPr>
        <w:pStyle w:val="Actno"/>
        <w:spacing w:before="400"/>
      </w:pPr>
      <w:r>
        <w:t>No.</w:t>
      </w:r>
      <w:r w:rsidR="0039283E">
        <w:t xml:space="preserve"> 37</w:t>
      </w:r>
      <w:r>
        <w:t>, 2024</w:t>
      </w:r>
    </w:p>
    <w:p w14:paraId="5AFF29AA" w14:textId="5B000F66" w:rsidR="0048364F" w:rsidRPr="009E1DBA" w:rsidRDefault="0048364F" w:rsidP="0048364F"/>
    <w:p w14:paraId="03FE4497" w14:textId="77777777" w:rsidR="00134965" w:rsidRDefault="00134965" w:rsidP="00134965">
      <w:pPr>
        <w:rPr>
          <w:lang w:eastAsia="en-AU"/>
        </w:rPr>
      </w:pPr>
    </w:p>
    <w:p w14:paraId="16035478" w14:textId="265773B2" w:rsidR="0048364F" w:rsidRPr="009E1DBA" w:rsidRDefault="0048364F" w:rsidP="0048364F"/>
    <w:p w14:paraId="18CC3698" w14:textId="77777777" w:rsidR="0048364F" w:rsidRPr="009E1DBA" w:rsidRDefault="0048364F" w:rsidP="0048364F"/>
    <w:p w14:paraId="6D572521" w14:textId="77777777" w:rsidR="0048364F" w:rsidRPr="009E1DBA" w:rsidRDefault="0048364F" w:rsidP="0048364F"/>
    <w:p w14:paraId="3472B290" w14:textId="77777777" w:rsidR="00367C29" w:rsidRDefault="00367C29" w:rsidP="00367C29">
      <w:pPr>
        <w:pStyle w:val="LongT"/>
      </w:pPr>
      <w:r>
        <w:t>An Act to amend the law relating to taxation, and for related purposes</w:t>
      </w:r>
    </w:p>
    <w:p w14:paraId="64E9047B" w14:textId="77C0A479" w:rsidR="0048364F" w:rsidRPr="009E1DBA" w:rsidRDefault="0048364F" w:rsidP="0048364F">
      <w:pPr>
        <w:pStyle w:val="Header"/>
        <w:tabs>
          <w:tab w:val="clear" w:pos="4150"/>
          <w:tab w:val="clear" w:pos="8307"/>
        </w:tabs>
      </w:pPr>
      <w:r w:rsidRPr="009E1DBA">
        <w:rPr>
          <w:rStyle w:val="CharAmSchNo"/>
        </w:rPr>
        <w:t xml:space="preserve"> </w:t>
      </w:r>
      <w:r w:rsidRPr="009E1DBA">
        <w:rPr>
          <w:rStyle w:val="CharAmSchText"/>
        </w:rPr>
        <w:t xml:space="preserve"> </w:t>
      </w:r>
    </w:p>
    <w:p w14:paraId="5A5DC8BC" w14:textId="77777777" w:rsidR="0048364F" w:rsidRPr="009E1DBA" w:rsidRDefault="0048364F" w:rsidP="0048364F">
      <w:pPr>
        <w:pStyle w:val="Header"/>
        <w:tabs>
          <w:tab w:val="clear" w:pos="4150"/>
          <w:tab w:val="clear" w:pos="8307"/>
        </w:tabs>
      </w:pPr>
      <w:r w:rsidRPr="009E1DBA">
        <w:rPr>
          <w:rStyle w:val="CharAmPartNo"/>
        </w:rPr>
        <w:t xml:space="preserve"> </w:t>
      </w:r>
      <w:r w:rsidRPr="009E1DBA">
        <w:rPr>
          <w:rStyle w:val="CharAmPartText"/>
        </w:rPr>
        <w:t xml:space="preserve"> </w:t>
      </w:r>
    </w:p>
    <w:p w14:paraId="5AEABD45" w14:textId="77777777" w:rsidR="0048364F" w:rsidRPr="009E1DBA" w:rsidRDefault="0048364F" w:rsidP="0048364F">
      <w:pPr>
        <w:sectPr w:rsidR="0048364F" w:rsidRPr="009E1DBA" w:rsidSect="00367C29">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7A6BEC42" w14:textId="77777777" w:rsidR="0048364F" w:rsidRPr="009E1DBA" w:rsidRDefault="0048364F" w:rsidP="0048364F">
      <w:pPr>
        <w:outlineLvl w:val="0"/>
        <w:rPr>
          <w:sz w:val="36"/>
        </w:rPr>
      </w:pPr>
      <w:r w:rsidRPr="009E1DBA">
        <w:rPr>
          <w:sz w:val="36"/>
        </w:rPr>
        <w:lastRenderedPageBreak/>
        <w:t>Contents</w:t>
      </w:r>
    </w:p>
    <w:p w14:paraId="44A62EA0" w14:textId="4FC3AF1E" w:rsidR="004723D3" w:rsidRDefault="004723D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723D3">
        <w:rPr>
          <w:noProof/>
        </w:rPr>
        <w:tab/>
      </w:r>
      <w:r w:rsidRPr="004723D3">
        <w:rPr>
          <w:noProof/>
        </w:rPr>
        <w:fldChar w:fldCharType="begin"/>
      </w:r>
      <w:r w:rsidRPr="004723D3">
        <w:rPr>
          <w:noProof/>
        </w:rPr>
        <w:instrText xml:space="preserve"> PAGEREF _Toc168296808 \h </w:instrText>
      </w:r>
      <w:r w:rsidRPr="004723D3">
        <w:rPr>
          <w:noProof/>
        </w:rPr>
      </w:r>
      <w:r w:rsidRPr="004723D3">
        <w:rPr>
          <w:noProof/>
        </w:rPr>
        <w:fldChar w:fldCharType="separate"/>
      </w:r>
      <w:r w:rsidR="00E40A44">
        <w:rPr>
          <w:noProof/>
        </w:rPr>
        <w:t>1</w:t>
      </w:r>
      <w:r w:rsidRPr="004723D3">
        <w:rPr>
          <w:noProof/>
        </w:rPr>
        <w:fldChar w:fldCharType="end"/>
      </w:r>
    </w:p>
    <w:p w14:paraId="3657847F" w14:textId="2C550F3B" w:rsidR="004723D3" w:rsidRDefault="004723D3">
      <w:pPr>
        <w:pStyle w:val="TOC5"/>
        <w:rPr>
          <w:rFonts w:asciiTheme="minorHAnsi" w:eastAsiaTheme="minorEastAsia" w:hAnsiTheme="minorHAnsi" w:cstheme="minorBidi"/>
          <w:noProof/>
          <w:kern w:val="0"/>
          <w:sz w:val="22"/>
          <w:szCs w:val="22"/>
        </w:rPr>
      </w:pPr>
      <w:r>
        <w:rPr>
          <w:noProof/>
        </w:rPr>
        <w:t>2</w:t>
      </w:r>
      <w:r>
        <w:rPr>
          <w:noProof/>
        </w:rPr>
        <w:tab/>
        <w:t>Commencement</w:t>
      </w:r>
      <w:r w:rsidRPr="004723D3">
        <w:rPr>
          <w:noProof/>
        </w:rPr>
        <w:tab/>
      </w:r>
      <w:r w:rsidRPr="004723D3">
        <w:rPr>
          <w:noProof/>
        </w:rPr>
        <w:fldChar w:fldCharType="begin"/>
      </w:r>
      <w:r w:rsidRPr="004723D3">
        <w:rPr>
          <w:noProof/>
        </w:rPr>
        <w:instrText xml:space="preserve"> PAGEREF _Toc168296809 \h </w:instrText>
      </w:r>
      <w:r w:rsidRPr="004723D3">
        <w:rPr>
          <w:noProof/>
        </w:rPr>
      </w:r>
      <w:r w:rsidRPr="004723D3">
        <w:rPr>
          <w:noProof/>
        </w:rPr>
        <w:fldChar w:fldCharType="separate"/>
      </w:r>
      <w:r w:rsidR="00E40A44">
        <w:rPr>
          <w:noProof/>
        </w:rPr>
        <w:t>2</w:t>
      </w:r>
      <w:r w:rsidRPr="004723D3">
        <w:rPr>
          <w:noProof/>
        </w:rPr>
        <w:fldChar w:fldCharType="end"/>
      </w:r>
    </w:p>
    <w:p w14:paraId="5682C3D8" w14:textId="755CABA2" w:rsidR="004723D3" w:rsidRDefault="004723D3">
      <w:pPr>
        <w:pStyle w:val="TOC5"/>
        <w:rPr>
          <w:rFonts w:asciiTheme="minorHAnsi" w:eastAsiaTheme="minorEastAsia" w:hAnsiTheme="minorHAnsi" w:cstheme="minorBidi"/>
          <w:noProof/>
          <w:kern w:val="0"/>
          <w:sz w:val="22"/>
          <w:szCs w:val="22"/>
        </w:rPr>
      </w:pPr>
      <w:r>
        <w:rPr>
          <w:noProof/>
        </w:rPr>
        <w:t>3</w:t>
      </w:r>
      <w:r>
        <w:rPr>
          <w:noProof/>
        </w:rPr>
        <w:tab/>
        <w:t>Schedules</w:t>
      </w:r>
      <w:r w:rsidRPr="004723D3">
        <w:rPr>
          <w:noProof/>
        </w:rPr>
        <w:tab/>
      </w:r>
      <w:r w:rsidRPr="004723D3">
        <w:rPr>
          <w:noProof/>
        </w:rPr>
        <w:fldChar w:fldCharType="begin"/>
      </w:r>
      <w:r w:rsidRPr="004723D3">
        <w:rPr>
          <w:noProof/>
        </w:rPr>
        <w:instrText xml:space="preserve"> PAGEREF _Toc168296810 \h </w:instrText>
      </w:r>
      <w:r w:rsidRPr="004723D3">
        <w:rPr>
          <w:noProof/>
        </w:rPr>
      </w:r>
      <w:r w:rsidRPr="004723D3">
        <w:rPr>
          <w:noProof/>
        </w:rPr>
        <w:fldChar w:fldCharType="separate"/>
      </w:r>
      <w:r w:rsidR="00E40A44">
        <w:rPr>
          <w:noProof/>
        </w:rPr>
        <w:t>2</w:t>
      </w:r>
      <w:r w:rsidRPr="004723D3">
        <w:rPr>
          <w:noProof/>
        </w:rPr>
        <w:fldChar w:fldCharType="end"/>
      </w:r>
    </w:p>
    <w:p w14:paraId="71A008C9" w14:textId="2597F3A9" w:rsidR="004723D3" w:rsidRDefault="004723D3">
      <w:pPr>
        <w:pStyle w:val="TOC6"/>
        <w:rPr>
          <w:rFonts w:asciiTheme="minorHAnsi" w:eastAsiaTheme="minorEastAsia" w:hAnsiTheme="minorHAnsi" w:cstheme="minorBidi"/>
          <w:b w:val="0"/>
          <w:noProof/>
          <w:kern w:val="0"/>
          <w:sz w:val="22"/>
          <w:szCs w:val="22"/>
        </w:rPr>
      </w:pPr>
      <w:r>
        <w:rPr>
          <w:noProof/>
        </w:rPr>
        <w:t>Schedule 1</w:t>
      </w:r>
      <w:r w:rsidRPr="00940E99">
        <w:rPr>
          <w:rFonts w:cs="Arial"/>
          <w:noProof/>
        </w:rPr>
        <w:t>—</w:t>
      </w:r>
      <w:r>
        <w:rPr>
          <w:noProof/>
        </w:rPr>
        <w:t>PwC response—Promoter penalty law reform</w:t>
      </w:r>
      <w:r w:rsidRPr="004723D3">
        <w:rPr>
          <w:b w:val="0"/>
          <w:noProof/>
          <w:sz w:val="18"/>
        </w:rPr>
        <w:tab/>
      </w:r>
      <w:r w:rsidRPr="004723D3">
        <w:rPr>
          <w:b w:val="0"/>
          <w:noProof/>
          <w:sz w:val="18"/>
        </w:rPr>
        <w:fldChar w:fldCharType="begin"/>
      </w:r>
      <w:r w:rsidRPr="004723D3">
        <w:rPr>
          <w:b w:val="0"/>
          <w:noProof/>
          <w:sz w:val="18"/>
        </w:rPr>
        <w:instrText xml:space="preserve"> PAGEREF _Toc168296811 \h </w:instrText>
      </w:r>
      <w:r w:rsidRPr="004723D3">
        <w:rPr>
          <w:b w:val="0"/>
          <w:noProof/>
          <w:sz w:val="18"/>
        </w:rPr>
      </w:r>
      <w:r w:rsidRPr="004723D3">
        <w:rPr>
          <w:b w:val="0"/>
          <w:noProof/>
          <w:sz w:val="18"/>
        </w:rPr>
        <w:fldChar w:fldCharType="separate"/>
      </w:r>
      <w:r w:rsidR="00E40A44">
        <w:rPr>
          <w:b w:val="0"/>
          <w:noProof/>
          <w:sz w:val="18"/>
        </w:rPr>
        <w:t>3</w:t>
      </w:r>
      <w:r w:rsidRPr="004723D3">
        <w:rPr>
          <w:b w:val="0"/>
          <w:noProof/>
          <w:sz w:val="18"/>
        </w:rPr>
        <w:fldChar w:fldCharType="end"/>
      </w:r>
    </w:p>
    <w:p w14:paraId="237E06A0" w14:textId="219EFBBF" w:rsidR="004723D3" w:rsidRDefault="004723D3">
      <w:pPr>
        <w:pStyle w:val="TOC9"/>
        <w:rPr>
          <w:rFonts w:asciiTheme="minorHAnsi" w:eastAsiaTheme="minorEastAsia" w:hAnsiTheme="minorHAnsi" w:cstheme="minorBidi"/>
          <w:i w:val="0"/>
          <w:noProof/>
          <w:kern w:val="0"/>
          <w:sz w:val="22"/>
          <w:szCs w:val="22"/>
        </w:rPr>
      </w:pPr>
      <w:r>
        <w:rPr>
          <w:noProof/>
        </w:rPr>
        <w:t>Tax Agent Services Act 2009</w:t>
      </w:r>
      <w:r w:rsidRPr="004723D3">
        <w:rPr>
          <w:i w:val="0"/>
          <w:noProof/>
          <w:sz w:val="18"/>
        </w:rPr>
        <w:tab/>
      </w:r>
      <w:r w:rsidRPr="004723D3">
        <w:rPr>
          <w:i w:val="0"/>
          <w:noProof/>
          <w:sz w:val="18"/>
        </w:rPr>
        <w:fldChar w:fldCharType="begin"/>
      </w:r>
      <w:r w:rsidRPr="004723D3">
        <w:rPr>
          <w:i w:val="0"/>
          <w:noProof/>
          <w:sz w:val="18"/>
        </w:rPr>
        <w:instrText xml:space="preserve"> PAGEREF _Toc168296812 \h </w:instrText>
      </w:r>
      <w:r w:rsidRPr="004723D3">
        <w:rPr>
          <w:i w:val="0"/>
          <w:noProof/>
          <w:sz w:val="18"/>
        </w:rPr>
      </w:r>
      <w:r w:rsidRPr="004723D3">
        <w:rPr>
          <w:i w:val="0"/>
          <w:noProof/>
          <w:sz w:val="18"/>
        </w:rPr>
        <w:fldChar w:fldCharType="separate"/>
      </w:r>
      <w:r w:rsidR="00E40A44">
        <w:rPr>
          <w:i w:val="0"/>
          <w:noProof/>
          <w:sz w:val="18"/>
        </w:rPr>
        <w:t>3</w:t>
      </w:r>
      <w:r w:rsidRPr="004723D3">
        <w:rPr>
          <w:i w:val="0"/>
          <w:noProof/>
          <w:sz w:val="18"/>
        </w:rPr>
        <w:fldChar w:fldCharType="end"/>
      </w:r>
    </w:p>
    <w:p w14:paraId="34D0E87D" w14:textId="2A7553CC" w:rsidR="004723D3" w:rsidRDefault="004723D3">
      <w:pPr>
        <w:pStyle w:val="TOC9"/>
        <w:rPr>
          <w:rFonts w:asciiTheme="minorHAnsi" w:eastAsiaTheme="minorEastAsia" w:hAnsiTheme="minorHAnsi" w:cstheme="minorBidi"/>
          <w:i w:val="0"/>
          <w:noProof/>
          <w:kern w:val="0"/>
          <w:sz w:val="22"/>
          <w:szCs w:val="22"/>
        </w:rPr>
      </w:pPr>
      <w:r>
        <w:rPr>
          <w:noProof/>
        </w:rPr>
        <w:t>Taxation Administration Act 1953</w:t>
      </w:r>
      <w:r w:rsidRPr="004723D3">
        <w:rPr>
          <w:i w:val="0"/>
          <w:noProof/>
          <w:sz w:val="18"/>
        </w:rPr>
        <w:tab/>
      </w:r>
      <w:r w:rsidRPr="004723D3">
        <w:rPr>
          <w:i w:val="0"/>
          <w:noProof/>
          <w:sz w:val="18"/>
        </w:rPr>
        <w:fldChar w:fldCharType="begin"/>
      </w:r>
      <w:r w:rsidRPr="004723D3">
        <w:rPr>
          <w:i w:val="0"/>
          <w:noProof/>
          <w:sz w:val="18"/>
        </w:rPr>
        <w:instrText xml:space="preserve"> PAGEREF _Toc168296813 \h </w:instrText>
      </w:r>
      <w:r w:rsidRPr="004723D3">
        <w:rPr>
          <w:i w:val="0"/>
          <w:noProof/>
          <w:sz w:val="18"/>
        </w:rPr>
      </w:r>
      <w:r w:rsidRPr="004723D3">
        <w:rPr>
          <w:i w:val="0"/>
          <w:noProof/>
          <w:sz w:val="18"/>
        </w:rPr>
        <w:fldChar w:fldCharType="separate"/>
      </w:r>
      <w:r w:rsidR="00E40A44">
        <w:rPr>
          <w:i w:val="0"/>
          <w:noProof/>
          <w:sz w:val="18"/>
        </w:rPr>
        <w:t>4</w:t>
      </w:r>
      <w:r w:rsidRPr="004723D3">
        <w:rPr>
          <w:i w:val="0"/>
          <w:noProof/>
          <w:sz w:val="18"/>
        </w:rPr>
        <w:fldChar w:fldCharType="end"/>
      </w:r>
    </w:p>
    <w:p w14:paraId="7905B87B" w14:textId="4A69E68A" w:rsidR="004723D3" w:rsidRDefault="004723D3">
      <w:pPr>
        <w:pStyle w:val="TOC6"/>
        <w:rPr>
          <w:rFonts w:asciiTheme="minorHAnsi" w:eastAsiaTheme="minorEastAsia" w:hAnsiTheme="minorHAnsi" w:cstheme="minorBidi"/>
          <w:b w:val="0"/>
          <w:noProof/>
          <w:kern w:val="0"/>
          <w:sz w:val="22"/>
          <w:szCs w:val="22"/>
        </w:rPr>
      </w:pPr>
      <w:r>
        <w:rPr>
          <w:noProof/>
        </w:rPr>
        <w:t>Schedule 2—PwC response—Extending tax whistleblower protections</w:t>
      </w:r>
      <w:r w:rsidRPr="004723D3">
        <w:rPr>
          <w:b w:val="0"/>
          <w:noProof/>
          <w:sz w:val="18"/>
        </w:rPr>
        <w:tab/>
      </w:r>
      <w:r w:rsidRPr="004723D3">
        <w:rPr>
          <w:b w:val="0"/>
          <w:noProof/>
          <w:sz w:val="18"/>
        </w:rPr>
        <w:fldChar w:fldCharType="begin"/>
      </w:r>
      <w:r w:rsidRPr="004723D3">
        <w:rPr>
          <w:b w:val="0"/>
          <w:noProof/>
          <w:sz w:val="18"/>
        </w:rPr>
        <w:instrText xml:space="preserve"> PAGEREF _Toc168296816 \h </w:instrText>
      </w:r>
      <w:r w:rsidRPr="004723D3">
        <w:rPr>
          <w:b w:val="0"/>
          <w:noProof/>
          <w:sz w:val="18"/>
        </w:rPr>
      </w:r>
      <w:r w:rsidRPr="004723D3">
        <w:rPr>
          <w:b w:val="0"/>
          <w:noProof/>
          <w:sz w:val="18"/>
        </w:rPr>
        <w:fldChar w:fldCharType="separate"/>
      </w:r>
      <w:r w:rsidR="00E40A44">
        <w:rPr>
          <w:b w:val="0"/>
          <w:noProof/>
          <w:sz w:val="18"/>
        </w:rPr>
        <w:t>12</w:t>
      </w:r>
      <w:r w:rsidRPr="004723D3">
        <w:rPr>
          <w:b w:val="0"/>
          <w:noProof/>
          <w:sz w:val="18"/>
        </w:rPr>
        <w:fldChar w:fldCharType="end"/>
      </w:r>
    </w:p>
    <w:p w14:paraId="6B8340E4" w14:textId="26B9BEFE" w:rsidR="004723D3" w:rsidRDefault="004723D3">
      <w:pPr>
        <w:pStyle w:val="TOC9"/>
        <w:rPr>
          <w:rFonts w:asciiTheme="minorHAnsi" w:eastAsiaTheme="minorEastAsia" w:hAnsiTheme="minorHAnsi" w:cstheme="minorBidi"/>
          <w:i w:val="0"/>
          <w:noProof/>
          <w:kern w:val="0"/>
          <w:sz w:val="22"/>
          <w:szCs w:val="22"/>
        </w:rPr>
      </w:pPr>
      <w:r>
        <w:rPr>
          <w:noProof/>
        </w:rPr>
        <w:t>Taxation Administration Act 1953</w:t>
      </w:r>
      <w:r w:rsidRPr="004723D3">
        <w:rPr>
          <w:i w:val="0"/>
          <w:noProof/>
          <w:sz w:val="18"/>
        </w:rPr>
        <w:tab/>
      </w:r>
      <w:r w:rsidRPr="004723D3">
        <w:rPr>
          <w:i w:val="0"/>
          <w:noProof/>
          <w:sz w:val="18"/>
        </w:rPr>
        <w:fldChar w:fldCharType="begin"/>
      </w:r>
      <w:r w:rsidRPr="004723D3">
        <w:rPr>
          <w:i w:val="0"/>
          <w:noProof/>
          <w:sz w:val="18"/>
        </w:rPr>
        <w:instrText xml:space="preserve"> PAGEREF _Toc168296817 \h </w:instrText>
      </w:r>
      <w:r w:rsidRPr="004723D3">
        <w:rPr>
          <w:i w:val="0"/>
          <w:noProof/>
          <w:sz w:val="18"/>
        </w:rPr>
      </w:r>
      <w:r w:rsidRPr="004723D3">
        <w:rPr>
          <w:i w:val="0"/>
          <w:noProof/>
          <w:sz w:val="18"/>
        </w:rPr>
        <w:fldChar w:fldCharType="separate"/>
      </w:r>
      <w:r w:rsidR="00E40A44">
        <w:rPr>
          <w:i w:val="0"/>
          <w:noProof/>
          <w:sz w:val="18"/>
        </w:rPr>
        <w:t>12</w:t>
      </w:r>
      <w:r w:rsidRPr="004723D3">
        <w:rPr>
          <w:i w:val="0"/>
          <w:noProof/>
          <w:sz w:val="18"/>
        </w:rPr>
        <w:fldChar w:fldCharType="end"/>
      </w:r>
    </w:p>
    <w:p w14:paraId="76A82F92" w14:textId="53D337F3" w:rsidR="004723D3" w:rsidRDefault="004723D3">
      <w:pPr>
        <w:pStyle w:val="TOC6"/>
        <w:rPr>
          <w:rFonts w:asciiTheme="minorHAnsi" w:eastAsiaTheme="minorEastAsia" w:hAnsiTheme="minorHAnsi" w:cstheme="minorBidi"/>
          <w:b w:val="0"/>
          <w:noProof/>
          <w:kern w:val="0"/>
          <w:sz w:val="22"/>
          <w:szCs w:val="22"/>
        </w:rPr>
      </w:pPr>
      <w:r>
        <w:rPr>
          <w:noProof/>
        </w:rPr>
        <w:t>Schedule 3—PwC response—Tax Practitioners Board reform</w:t>
      </w:r>
      <w:r w:rsidRPr="004723D3">
        <w:rPr>
          <w:b w:val="0"/>
          <w:noProof/>
          <w:sz w:val="18"/>
        </w:rPr>
        <w:tab/>
      </w:r>
      <w:r w:rsidRPr="004723D3">
        <w:rPr>
          <w:b w:val="0"/>
          <w:noProof/>
          <w:sz w:val="18"/>
        </w:rPr>
        <w:fldChar w:fldCharType="begin"/>
      </w:r>
      <w:r w:rsidRPr="004723D3">
        <w:rPr>
          <w:b w:val="0"/>
          <w:noProof/>
          <w:sz w:val="18"/>
        </w:rPr>
        <w:instrText xml:space="preserve"> PAGEREF _Toc168296820 \h </w:instrText>
      </w:r>
      <w:r w:rsidRPr="004723D3">
        <w:rPr>
          <w:b w:val="0"/>
          <w:noProof/>
          <w:sz w:val="18"/>
        </w:rPr>
      </w:r>
      <w:r w:rsidRPr="004723D3">
        <w:rPr>
          <w:b w:val="0"/>
          <w:noProof/>
          <w:sz w:val="18"/>
        </w:rPr>
        <w:fldChar w:fldCharType="separate"/>
      </w:r>
      <w:r w:rsidR="00E40A44">
        <w:rPr>
          <w:b w:val="0"/>
          <w:noProof/>
          <w:sz w:val="18"/>
        </w:rPr>
        <w:t>16</w:t>
      </w:r>
      <w:r w:rsidRPr="004723D3">
        <w:rPr>
          <w:b w:val="0"/>
          <w:noProof/>
          <w:sz w:val="18"/>
        </w:rPr>
        <w:fldChar w:fldCharType="end"/>
      </w:r>
    </w:p>
    <w:p w14:paraId="2D35EF99" w14:textId="197F8588" w:rsidR="004723D3" w:rsidRDefault="004723D3">
      <w:pPr>
        <w:pStyle w:val="TOC7"/>
        <w:rPr>
          <w:rFonts w:asciiTheme="minorHAnsi" w:eastAsiaTheme="minorEastAsia" w:hAnsiTheme="minorHAnsi" w:cstheme="minorBidi"/>
          <w:noProof/>
          <w:kern w:val="0"/>
          <w:sz w:val="22"/>
          <w:szCs w:val="22"/>
        </w:rPr>
      </w:pPr>
      <w:r>
        <w:rPr>
          <w:noProof/>
        </w:rPr>
        <w:t>Part 1—Information on the register</w:t>
      </w:r>
      <w:r w:rsidRPr="004723D3">
        <w:rPr>
          <w:noProof/>
          <w:sz w:val="18"/>
        </w:rPr>
        <w:tab/>
      </w:r>
      <w:r w:rsidRPr="004723D3">
        <w:rPr>
          <w:noProof/>
          <w:sz w:val="18"/>
        </w:rPr>
        <w:fldChar w:fldCharType="begin"/>
      </w:r>
      <w:r w:rsidRPr="004723D3">
        <w:rPr>
          <w:noProof/>
          <w:sz w:val="18"/>
        </w:rPr>
        <w:instrText xml:space="preserve"> PAGEREF _Toc168296821 \h </w:instrText>
      </w:r>
      <w:r w:rsidRPr="004723D3">
        <w:rPr>
          <w:noProof/>
          <w:sz w:val="18"/>
        </w:rPr>
      </w:r>
      <w:r w:rsidRPr="004723D3">
        <w:rPr>
          <w:noProof/>
          <w:sz w:val="18"/>
        </w:rPr>
        <w:fldChar w:fldCharType="separate"/>
      </w:r>
      <w:r w:rsidR="00E40A44">
        <w:rPr>
          <w:noProof/>
          <w:sz w:val="18"/>
        </w:rPr>
        <w:t>16</w:t>
      </w:r>
      <w:r w:rsidRPr="004723D3">
        <w:rPr>
          <w:noProof/>
          <w:sz w:val="18"/>
        </w:rPr>
        <w:fldChar w:fldCharType="end"/>
      </w:r>
    </w:p>
    <w:p w14:paraId="0935884B" w14:textId="48C56F5F" w:rsidR="004723D3" w:rsidRDefault="004723D3">
      <w:pPr>
        <w:pStyle w:val="TOC9"/>
        <w:rPr>
          <w:rFonts w:asciiTheme="minorHAnsi" w:eastAsiaTheme="minorEastAsia" w:hAnsiTheme="minorHAnsi" w:cstheme="minorBidi"/>
          <w:i w:val="0"/>
          <w:noProof/>
          <w:kern w:val="0"/>
          <w:sz w:val="22"/>
          <w:szCs w:val="22"/>
        </w:rPr>
      </w:pPr>
      <w:r>
        <w:rPr>
          <w:noProof/>
        </w:rPr>
        <w:t>Tax Agent Services Act 2009</w:t>
      </w:r>
      <w:r w:rsidRPr="004723D3">
        <w:rPr>
          <w:i w:val="0"/>
          <w:noProof/>
          <w:sz w:val="18"/>
        </w:rPr>
        <w:tab/>
      </w:r>
      <w:r w:rsidRPr="004723D3">
        <w:rPr>
          <w:i w:val="0"/>
          <w:noProof/>
          <w:sz w:val="18"/>
        </w:rPr>
        <w:fldChar w:fldCharType="begin"/>
      </w:r>
      <w:r w:rsidRPr="004723D3">
        <w:rPr>
          <w:i w:val="0"/>
          <w:noProof/>
          <w:sz w:val="18"/>
        </w:rPr>
        <w:instrText xml:space="preserve"> PAGEREF _Toc168296822 \h </w:instrText>
      </w:r>
      <w:r w:rsidRPr="004723D3">
        <w:rPr>
          <w:i w:val="0"/>
          <w:noProof/>
          <w:sz w:val="18"/>
        </w:rPr>
      </w:r>
      <w:r w:rsidRPr="004723D3">
        <w:rPr>
          <w:i w:val="0"/>
          <w:noProof/>
          <w:sz w:val="18"/>
        </w:rPr>
        <w:fldChar w:fldCharType="separate"/>
      </w:r>
      <w:r w:rsidR="00E40A44">
        <w:rPr>
          <w:i w:val="0"/>
          <w:noProof/>
          <w:sz w:val="18"/>
        </w:rPr>
        <w:t>16</w:t>
      </w:r>
      <w:r w:rsidRPr="004723D3">
        <w:rPr>
          <w:i w:val="0"/>
          <w:noProof/>
          <w:sz w:val="18"/>
        </w:rPr>
        <w:fldChar w:fldCharType="end"/>
      </w:r>
    </w:p>
    <w:p w14:paraId="65BA5233" w14:textId="2FE77679" w:rsidR="004723D3" w:rsidRDefault="004723D3">
      <w:pPr>
        <w:pStyle w:val="TOC7"/>
        <w:rPr>
          <w:rFonts w:asciiTheme="minorHAnsi" w:eastAsiaTheme="minorEastAsia" w:hAnsiTheme="minorHAnsi" w:cstheme="minorBidi"/>
          <w:noProof/>
          <w:kern w:val="0"/>
          <w:sz w:val="22"/>
          <w:szCs w:val="22"/>
        </w:rPr>
      </w:pPr>
      <w:r>
        <w:rPr>
          <w:noProof/>
        </w:rPr>
        <w:t>Part 2—Investigations by the Board</w:t>
      </w:r>
      <w:r w:rsidRPr="004723D3">
        <w:rPr>
          <w:noProof/>
          <w:sz w:val="18"/>
        </w:rPr>
        <w:tab/>
      </w:r>
      <w:r w:rsidRPr="004723D3">
        <w:rPr>
          <w:noProof/>
          <w:sz w:val="18"/>
        </w:rPr>
        <w:fldChar w:fldCharType="begin"/>
      </w:r>
      <w:r w:rsidRPr="004723D3">
        <w:rPr>
          <w:noProof/>
          <w:sz w:val="18"/>
        </w:rPr>
        <w:instrText xml:space="preserve"> PAGEREF _Toc168296823 \h </w:instrText>
      </w:r>
      <w:r w:rsidRPr="004723D3">
        <w:rPr>
          <w:noProof/>
          <w:sz w:val="18"/>
        </w:rPr>
      </w:r>
      <w:r w:rsidRPr="004723D3">
        <w:rPr>
          <w:noProof/>
          <w:sz w:val="18"/>
        </w:rPr>
        <w:fldChar w:fldCharType="separate"/>
      </w:r>
      <w:r w:rsidR="00E40A44">
        <w:rPr>
          <w:noProof/>
          <w:sz w:val="18"/>
        </w:rPr>
        <w:t>18</w:t>
      </w:r>
      <w:r w:rsidRPr="004723D3">
        <w:rPr>
          <w:noProof/>
          <w:sz w:val="18"/>
        </w:rPr>
        <w:fldChar w:fldCharType="end"/>
      </w:r>
    </w:p>
    <w:p w14:paraId="37F06E22" w14:textId="150A157F" w:rsidR="004723D3" w:rsidRDefault="004723D3">
      <w:pPr>
        <w:pStyle w:val="TOC8"/>
        <w:rPr>
          <w:rFonts w:asciiTheme="minorHAnsi" w:eastAsiaTheme="minorEastAsia" w:hAnsiTheme="minorHAnsi" w:cstheme="minorBidi"/>
          <w:noProof/>
          <w:kern w:val="0"/>
          <w:sz w:val="22"/>
          <w:szCs w:val="22"/>
        </w:rPr>
      </w:pPr>
      <w:r>
        <w:rPr>
          <w:noProof/>
        </w:rPr>
        <w:t>Division 1—Period for making decisions</w:t>
      </w:r>
      <w:r w:rsidRPr="004723D3">
        <w:rPr>
          <w:noProof/>
          <w:sz w:val="18"/>
        </w:rPr>
        <w:tab/>
      </w:r>
      <w:r w:rsidRPr="004723D3">
        <w:rPr>
          <w:noProof/>
          <w:sz w:val="18"/>
        </w:rPr>
        <w:fldChar w:fldCharType="begin"/>
      </w:r>
      <w:r w:rsidRPr="004723D3">
        <w:rPr>
          <w:noProof/>
          <w:sz w:val="18"/>
        </w:rPr>
        <w:instrText xml:space="preserve"> PAGEREF _Toc168296824 \h </w:instrText>
      </w:r>
      <w:r w:rsidRPr="004723D3">
        <w:rPr>
          <w:noProof/>
          <w:sz w:val="18"/>
        </w:rPr>
      </w:r>
      <w:r w:rsidRPr="004723D3">
        <w:rPr>
          <w:noProof/>
          <w:sz w:val="18"/>
        </w:rPr>
        <w:fldChar w:fldCharType="separate"/>
      </w:r>
      <w:r w:rsidR="00E40A44">
        <w:rPr>
          <w:noProof/>
          <w:sz w:val="18"/>
        </w:rPr>
        <w:t>18</w:t>
      </w:r>
      <w:r w:rsidRPr="004723D3">
        <w:rPr>
          <w:noProof/>
          <w:sz w:val="18"/>
        </w:rPr>
        <w:fldChar w:fldCharType="end"/>
      </w:r>
    </w:p>
    <w:p w14:paraId="1DBDCEA4" w14:textId="4BE74F92" w:rsidR="004723D3" w:rsidRDefault="004723D3">
      <w:pPr>
        <w:pStyle w:val="TOC9"/>
        <w:rPr>
          <w:rFonts w:asciiTheme="minorHAnsi" w:eastAsiaTheme="minorEastAsia" w:hAnsiTheme="minorHAnsi" w:cstheme="minorBidi"/>
          <w:i w:val="0"/>
          <w:noProof/>
          <w:kern w:val="0"/>
          <w:sz w:val="22"/>
          <w:szCs w:val="22"/>
        </w:rPr>
      </w:pPr>
      <w:r>
        <w:rPr>
          <w:noProof/>
        </w:rPr>
        <w:t>Tax Agent Services Act 2009</w:t>
      </w:r>
      <w:r w:rsidRPr="004723D3">
        <w:rPr>
          <w:i w:val="0"/>
          <w:noProof/>
          <w:sz w:val="18"/>
        </w:rPr>
        <w:tab/>
      </w:r>
      <w:r w:rsidRPr="004723D3">
        <w:rPr>
          <w:i w:val="0"/>
          <w:noProof/>
          <w:sz w:val="18"/>
        </w:rPr>
        <w:fldChar w:fldCharType="begin"/>
      </w:r>
      <w:r w:rsidRPr="004723D3">
        <w:rPr>
          <w:i w:val="0"/>
          <w:noProof/>
          <w:sz w:val="18"/>
        </w:rPr>
        <w:instrText xml:space="preserve"> PAGEREF _Toc168296825 \h </w:instrText>
      </w:r>
      <w:r w:rsidRPr="004723D3">
        <w:rPr>
          <w:i w:val="0"/>
          <w:noProof/>
          <w:sz w:val="18"/>
        </w:rPr>
      </w:r>
      <w:r w:rsidRPr="004723D3">
        <w:rPr>
          <w:i w:val="0"/>
          <w:noProof/>
          <w:sz w:val="18"/>
        </w:rPr>
        <w:fldChar w:fldCharType="separate"/>
      </w:r>
      <w:r w:rsidR="00E40A44">
        <w:rPr>
          <w:i w:val="0"/>
          <w:noProof/>
          <w:sz w:val="18"/>
        </w:rPr>
        <w:t>18</w:t>
      </w:r>
      <w:r w:rsidRPr="004723D3">
        <w:rPr>
          <w:i w:val="0"/>
          <w:noProof/>
          <w:sz w:val="18"/>
        </w:rPr>
        <w:fldChar w:fldCharType="end"/>
      </w:r>
    </w:p>
    <w:p w14:paraId="15AD3D93" w14:textId="6D6961A2" w:rsidR="004723D3" w:rsidRDefault="004723D3">
      <w:pPr>
        <w:pStyle w:val="TOC8"/>
        <w:rPr>
          <w:rFonts w:asciiTheme="minorHAnsi" w:eastAsiaTheme="minorEastAsia" w:hAnsiTheme="minorHAnsi" w:cstheme="minorBidi"/>
          <w:noProof/>
          <w:kern w:val="0"/>
          <w:sz w:val="22"/>
          <w:szCs w:val="22"/>
        </w:rPr>
      </w:pPr>
      <w:r>
        <w:rPr>
          <w:noProof/>
        </w:rPr>
        <w:t>Division 2—Publishing results of investigations</w:t>
      </w:r>
      <w:r w:rsidRPr="004723D3">
        <w:rPr>
          <w:noProof/>
          <w:sz w:val="18"/>
        </w:rPr>
        <w:tab/>
      </w:r>
      <w:r w:rsidRPr="004723D3">
        <w:rPr>
          <w:noProof/>
          <w:sz w:val="18"/>
        </w:rPr>
        <w:fldChar w:fldCharType="begin"/>
      </w:r>
      <w:r w:rsidRPr="004723D3">
        <w:rPr>
          <w:noProof/>
          <w:sz w:val="18"/>
        </w:rPr>
        <w:instrText xml:space="preserve"> PAGEREF _Toc168296826 \h </w:instrText>
      </w:r>
      <w:r w:rsidRPr="004723D3">
        <w:rPr>
          <w:noProof/>
          <w:sz w:val="18"/>
        </w:rPr>
      </w:r>
      <w:r w:rsidRPr="004723D3">
        <w:rPr>
          <w:noProof/>
          <w:sz w:val="18"/>
        </w:rPr>
        <w:fldChar w:fldCharType="separate"/>
      </w:r>
      <w:r w:rsidR="00E40A44">
        <w:rPr>
          <w:noProof/>
          <w:sz w:val="18"/>
        </w:rPr>
        <w:t>19</w:t>
      </w:r>
      <w:r w:rsidRPr="004723D3">
        <w:rPr>
          <w:noProof/>
          <w:sz w:val="18"/>
        </w:rPr>
        <w:fldChar w:fldCharType="end"/>
      </w:r>
    </w:p>
    <w:p w14:paraId="321FFBA2" w14:textId="0FB80A4A" w:rsidR="004723D3" w:rsidRDefault="004723D3">
      <w:pPr>
        <w:pStyle w:val="TOC9"/>
        <w:rPr>
          <w:rFonts w:asciiTheme="minorHAnsi" w:eastAsiaTheme="minorEastAsia" w:hAnsiTheme="minorHAnsi" w:cstheme="minorBidi"/>
          <w:i w:val="0"/>
          <w:noProof/>
          <w:kern w:val="0"/>
          <w:sz w:val="22"/>
          <w:szCs w:val="22"/>
        </w:rPr>
      </w:pPr>
      <w:r>
        <w:rPr>
          <w:noProof/>
        </w:rPr>
        <w:t>Tax Agent Services Act 2009</w:t>
      </w:r>
      <w:r w:rsidRPr="004723D3">
        <w:rPr>
          <w:i w:val="0"/>
          <w:noProof/>
          <w:sz w:val="18"/>
        </w:rPr>
        <w:tab/>
      </w:r>
      <w:r w:rsidRPr="004723D3">
        <w:rPr>
          <w:i w:val="0"/>
          <w:noProof/>
          <w:sz w:val="18"/>
        </w:rPr>
        <w:fldChar w:fldCharType="begin"/>
      </w:r>
      <w:r w:rsidRPr="004723D3">
        <w:rPr>
          <w:i w:val="0"/>
          <w:noProof/>
          <w:sz w:val="18"/>
        </w:rPr>
        <w:instrText xml:space="preserve"> PAGEREF _Toc168296827 \h </w:instrText>
      </w:r>
      <w:r w:rsidRPr="004723D3">
        <w:rPr>
          <w:i w:val="0"/>
          <w:noProof/>
          <w:sz w:val="18"/>
        </w:rPr>
      </w:r>
      <w:r w:rsidRPr="004723D3">
        <w:rPr>
          <w:i w:val="0"/>
          <w:noProof/>
          <w:sz w:val="18"/>
        </w:rPr>
        <w:fldChar w:fldCharType="separate"/>
      </w:r>
      <w:r w:rsidR="00E40A44">
        <w:rPr>
          <w:i w:val="0"/>
          <w:noProof/>
          <w:sz w:val="18"/>
        </w:rPr>
        <w:t>19</w:t>
      </w:r>
      <w:r w:rsidRPr="004723D3">
        <w:rPr>
          <w:i w:val="0"/>
          <w:noProof/>
          <w:sz w:val="18"/>
        </w:rPr>
        <w:fldChar w:fldCharType="end"/>
      </w:r>
    </w:p>
    <w:p w14:paraId="1005376B" w14:textId="2923C582" w:rsidR="004723D3" w:rsidRDefault="004723D3">
      <w:pPr>
        <w:pStyle w:val="TOC7"/>
        <w:rPr>
          <w:rFonts w:asciiTheme="minorHAnsi" w:eastAsiaTheme="minorEastAsia" w:hAnsiTheme="minorHAnsi" w:cstheme="minorBidi"/>
          <w:noProof/>
          <w:kern w:val="0"/>
          <w:sz w:val="22"/>
          <w:szCs w:val="22"/>
        </w:rPr>
      </w:pPr>
      <w:r>
        <w:rPr>
          <w:noProof/>
        </w:rPr>
        <w:t>Part 3—Delegations by the Board</w:t>
      </w:r>
      <w:r w:rsidRPr="004723D3">
        <w:rPr>
          <w:noProof/>
          <w:sz w:val="18"/>
        </w:rPr>
        <w:tab/>
      </w:r>
      <w:r w:rsidRPr="004723D3">
        <w:rPr>
          <w:noProof/>
          <w:sz w:val="18"/>
        </w:rPr>
        <w:fldChar w:fldCharType="begin"/>
      </w:r>
      <w:r w:rsidRPr="004723D3">
        <w:rPr>
          <w:noProof/>
          <w:sz w:val="18"/>
        </w:rPr>
        <w:instrText xml:space="preserve"> PAGEREF _Toc168296828 \h </w:instrText>
      </w:r>
      <w:r w:rsidRPr="004723D3">
        <w:rPr>
          <w:noProof/>
          <w:sz w:val="18"/>
        </w:rPr>
      </w:r>
      <w:r w:rsidRPr="004723D3">
        <w:rPr>
          <w:noProof/>
          <w:sz w:val="18"/>
        </w:rPr>
        <w:fldChar w:fldCharType="separate"/>
      </w:r>
      <w:r w:rsidR="00E40A44">
        <w:rPr>
          <w:noProof/>
          <w:sz w:val="18"/>
        </w:rPr>
        <w:t>23</w:t>
      </w:r>
      <w:r w:rsidRPr="004723D3">
        <w:rPr>
          <w:noProof/>
          <w:sz w:val="18"/>
        </w:rPr>
        <w:fldChar w:fldCharType="end"/>
      </w:r>
    </w:p>
    <w:p w14:paraId="332BB4E0" w14:textId="6F60D4F8" w:rsidR="004723D3" w:rsidRDefault="004723D3">
      <w:pPr>
        <w:pStyle w:val="TOC9"/>
        <w:rPr>
          <w:rFonts w:asciiTheme="minorHAnsi" w:eastAsiaTheme="minorEastAsia" w:hAnsiTheme="minorHAnsi" w:cstheme="minorBidi"/>
          <w:i w:val="0"/>
          <w:noProof/>
          <w:kern w:val="0"/>
          <w:sz w:val="22"/>
          <w:szCs w:val="22"/>
        </w:rPr>
      </w:pPr>
      <w:r>
        <w:rPr>
          <w:noProof/>
        </w:rPr>
        <w:t>Tax Agent Services Act 2009</w:t>
      </w:r>
      <w:r w:rsidRPr="004723D3">
        <w:rPr>
          <w:i w:val="0"/>
          <w:noProof/>
          <w:sz w:val="18"/>
        </w:rPr>
        <w:tab/>
      </w:r>
      <w:r w:rsidRPr="004723D3">
        <w:rPr>
          <w:i w:val="0"/>
          <w:noProof/>
          <w:sz w:val="18"/>
        </w:rPr>
        <w:fldChar w:fldCharType="begin"/>
      </w:r>
      <w:r w:rsidRPr="004723D3">
        <w:rPr>
          <w:i w:val="0"/>
          <w:noProof/>
          <w:sz w:val="18"/>
        </w:rPr>
        <w:instrText xml:space="preserve"> PAGEREF _Toc168296829 \h </w:instrText>
      </w:r>
      <w:r w:rsidRPr="004723D3">
        <w:rPr>
          <w:i w:val="0"/>
          <w:noProof/>
          <w:sz w:val="18"/>
        </w:rPr>
      </w:r>
      <w:r w:rsidRPr="004723D3">
        <w:rPr>
          <w:i w:val="0"/>
          <w:noProof/>
          <w:sz w:val="18"/>
        </w:rPr>
        <w:fldChar w:fldCharType="separate"/>
      </w:r>
      <w:r w:rsidR="00E40A44">
        <w:rPr>
          <w:i w:val="0"/>
          <w:noProof/>
          <w:sz w:val="18"/>
        </w:rPr>
        <w:t>23</w:t>
      </w:r>
      <w:r w:rsidRPr="004723D3">
        <w:rPr>
          <w:i w:val="0"/>
          <w:noProof/>
          <w:sz w:val="18"/>
        </w:rPr>
        <w:fldChar w:fldCharType="end"/>
      </w:r>
    </w:p>
    <w:p w14:paraId="2EC6C746" w14:textId="0AF26188" w:rsidR="004723D3" w:rsidRDefault="004723D3">
      <w:pPr>
        <w:pStyle w:val="TOC6"/>
        <w:rPr>
          <w:rFonts w:asciiTheme="minorHAnsi" w:eastAsiaTheme="minorEastAsia" w:hAnsiTheme="minorHAnsi" w:cstheme="minorBidi"/>
          <w:b w:val="0"/>
          <w:noProof/>
          <w:kern w:val="0"/>
          <w:sz w:val="22"/>
          <w:szCs w:val="22"/>
        </w:rPr>
      </w:pPr>
      <w:r>
        <w:rPr>
          <w:noProof/>
        </w:rPr>
        <w:t>Schedule 4—PwC response—Information sharing</w:t>
      </w:r>
      <w:r w:rsidRPr="004723D3">
        <w:rPr>
          <w:b w:val="0"/>
          <w:noProof/>
          <w:sz w:val="18"/>
        </w:rPr>
        <w:tab/>
      </w:r>
      <w:r w:rsidRPr="004723D3">
        <w:rPr>
          <w:b w:val="0"/>
          <w:noProof/>
          <w:sz w:val="18"/>
        </w:rPr>
        <w:fldChar w:fldCharType="begin"/>
      </w:r>
      <w:r w:rsidRPr="004723D3">
        <w:rPr>
          <w:b w:val="0"/>
          <w:noProof/>
          <w:sz w:val="18"/>
        </w:rPr>
        <w:instrText xml:space="preserve"> PAGEREF _Toc168296830 \h </w:instrText>
      </w:r>
      <w:r w:rsidRPr="004723D3">
        <w:rPr>
          <w:b w:val="0"/>
          <w:noProof/>
          <w:sz w:val="18"/>
        </w:rPr>
      </w:r>
      <w:r w:rsidRPr="004723D3">
        <w:rPr>
          <w:b w:val="0"/>
          <w:noProof/>
          <w:sz w:val="18"/>
        </w:rPr>
        <w:fldChar w:fldCharType="separate"/>
      </w:r>
      <w:r w:rsidR="00E40A44">
        <w:rPr>
          <w:b w:val="0"/>
          <w:noProof/>
          <w:sz w:val="18"/>
        </w:rPr>
        <w:t>25</w:t>
      </w:r>
      <w:r w:rsidRPr="004723D3">
        <w:rPr>
          <w:b w:val="0"/>
          <w:noProof/>
          <w:sz w:val="18"/>
        </w:rPr>
        <w:fldChar w:fldCharType="end"/>
      </w:r>
    </w:p>
    <w:p w14:paraId="1AD7905D" w14:textId="48219C42" w:rsidR="004723D3" w:rsidRDefault="004723D3">
      <w:pPr>
        <w:pStyle w:val="TOC7"/>
        <w:rPr>
          <w:rFonts w:asciiTheme="minorHAnsi" w:eastAsiaTheme="minorEastAsia" w:hAnsiTheme="minorHAnsi" w:cstheme="minorBidi"/>
          <w:noProof/>
          <w:kern w:val="0"/>
          <w:sz w:val="22"/>
          <w:szCs w:val="22"/>
        </w:rPr>
      </w:pPr>
      <w:r>
        <w:rPr>
          <w:noProof/>
        </w:rPr>
        <w:t>Part 1—Amendments</w:t>
      </w:r>
      <w:r w:rsidRPr="004723D3">
        <w:rPr>
          <w:noProof/>
          <w:sz w:val="18"/>
        </w:rPr>
        <w:tab/>
      </w:r>
      <w:r w:rsidRPr="004723D3">
        <w:rPr>
          <w:noProof/>
          <w:sz w:val="18"/>
        </w:rPr>
        <w:fldChar w:fldCharType="begin"/>
      </w:r>
      <w:r w:rsidRPr="004723D3">
        <w:rPr>
          <w:noProof/>
          <w:sz w:val="18"/>
        </w:rPr>
        <w:instrText xml:space="preserve"> PAGEREF _Toc168296831 \h </w:instrText>
      </w:r>
      <w:r w:rsidRPr="004723D3">
        <w:rPr>
          <w:noProof/>
          <w:sz w:val="18"/>
        </w:rPr>
      </w:r>
      <w:r w:rsidRPr="004723D3">
        <w:rPr>
          <w:noProof/>
          <w:sz w:val="18"/>
        </w:rPr>
        <w:fldChar w:fldCharType="separate"/>
      </w:r>
      <w:r w:rsidR="00E40A44">
        <w:rPr>
          <w:noProof/>
          <w:sz w:val="18"/>
        </w:rPr>
        <w:t>25</w:t>
      </w:r>
      <w:r w:rsidRPr="004723D3">
        <w:rPr>
          <w:noProof/>
          <w:sz w:val="18"/>
        </w:rPr>
        <w:fldChar w:fldCharType="end"/>
      </w:r>
    </w:p>
    <w:p w14:paraId="5ACA01A5" w14:textId="2682A5D4" w:rsidR="004723D3" w:rsidRDefault="004723D3">
      <w:pPr>
        <w:pStyle w:val="TOC9"/>
        <w:rPr>
          <w:rFonts w:asciiTheme="minorHAnsi" w:eastAsiaTheme="minorEastAsia" w:hAnsiTheme="minorHAnsi" w:cstheme="minorBidi"/>
          <w:i w:val="0"/>
          <w:noProof/>
          <w:kern w:val="0"/>
          <w:sz w:val="22"/>
          <w:szCs w:val="22"/>
        </w:rPr>
      </w:pPr>
      <w:r>
        <w:rPr>
          <w:noProof/>
        </w:rPr>
        <w:t>Taxation Administration Act 1953</w:t>
      </w:r>
      <w:r w:rsidRPr="004723D3">
        <w:rPr>
          <w:i w:val="0"/>
          <w:noProof/>
          <w:sz w:val="18"/>
        </w:rPr>
        <w:tab/>
      </w:r>
      <w:r w:rsidRPr="004723D3">
        <w:rPr>
          <w:i w:val="0"/>
          <w:noProof/>
          <w:sz w:val="18"/>
        </w:rPr>
        <w:fldChar w:fldCharType="begin"/>
      </w:r>
      <w:r w:rsidRPr="004723D3">
        <w:rPr>
          <w:i w:val="0"/>
          <w:noProof/>
          <w:sz w:val="18"/>
        </w:rPr>
        <w:instrText xml:space="preserve"> PAGEREF _Toc168296832 \h </w:instrText>
      </w:r>
      <w:r w:rsidRPr="004723D3">
        <w:rPr>
          <w:i w:val="0"/>
          <w:noProof/>
          <w:sz w:val="18"/>
        </w:rPr>
      </w:r>
      <w:r w:rsidRPr="004723D3">
        <w:rPr>
          <w:i w:val="0"/>
          <w:noProof/>
          <w:sz w:val="18"/>
        </w:rPr>
        <w:fldChar w:fldCharType="separate"/>
      </w:r>
      <w:r w:rsidR="00E40A44">
        <w:rPr>
          <w:i w:val="0"/>
          <w:noProof/>
          <w:sz w:val="18"/>
        </w:rPr>
        <w:t>25</w:t>
      </w:r>
      <w:r w:rsidRPr="004723D3">
        <w:rPr>
          <w:i w:val="0"/>
          <w:noProof/>
          <w:sz w:val="18"/>
        </w:rPr>
        <w:fldChar w:fldCharType="end"/>
      </w:r>
    </w:p>
    <w:p w14:paraId="39C96E7D" w14:textId="6102C6DB" w:rsidR="004723D3" w:rsidRDefault="004723D3">
      <w:pPr>
        <w:pStyle w:val="TOC9"/>
        <w:rPr>
          <w:rFonts w:asciiTheme="minorHAnsi" w:eastAsiaTheme="minorEastAsia" w:hAnsiTheme="minorHAnsi" w:cstheme="minorBidi"/>
          <w:i w:val="0"/>
          <w:noProof/>
          <w:kern w:val="0"/>
          <w:sz w:val="22"/>
          <w:szCs w:val="22"/>
        </w:rPr>
      </w:pPr>
      <w:r>
        <w:rPr>
          <w:noProof/>
        </w:rPr>
        <w:t>Tax Agent Services Act 2009</w:t>
      </w:r>
      <w:r w:rsidRPr="004723D3">
        <w:rPr>
          <w:i w:val="0"/>
          <w:noProof/>
          <w:sz w:val="18"/>
        </w:rPr>
        <w:tab/>
      </w:r>
      <w:r w:rsidRPr="004723D3">
        <w:rPr>
          <w:i w:val="0"/>
          <w:noProof/>
          <w:sz w:val="18"/>
        </w:rPr>
        <w:fldChar w:fldCharType="begin"/>
      </w:r>
      <w:r w:rsidRPr="004723D3">
        <w:rPr>
          <w:i w:val="0"/>
          <w:noProof/>
          <w:sz w:val="18"/>
        </w:rPr>
        <w:instrText xml:space="preserve"> PAGEREF _Toc168296834 \h </w:instrText>
      </w:r>
      <w:r w:rsidRPr="004723D3">
        <w:rPr>
          <w:i w:val="0"/>
          <w:noProof/>
          <w:sz w:val="18"/>
        </w:rPr>
      </w:r>
      <w:r w:rsidRPr="004723D3">
        <w:rPr>
          <w:i w:val="0"/>
          <w:noProof/>
          <w:sz w:val="18"/>
        </w:rPr>
        <w:fldChar w:fldCharType="separate"/>
      </w:r>
      <w:r w:rsidR="00E40A44">
        <w:rPr>
          <w:i w:val="0"/>
          <w:noProof/>
          <w:sz w:val="18"/>
        </w:rPr>
        <w:t>28</w:t>
      </w:r>
      <w:r w:rsidRPr="004723D3">
        <w:rPr>
          <w:i w:val="0"/>
          <w:noProof/>
          <w:sz w:val="18"/>
        </w:rPr>
        <w:fldChar w:fldCharType="end"/>
      </w:r>
    </w:p>
    <w:p w14:paraId="7FA07AD6" w14:textId="35A41661" w:rsidR="004723D3" w:rsidRDefault="004723D3">
      <w:pPr>
        <w:pStyle w:val="TOC7"/>
        <w:rPr>
          <w:rFonts w:asciiTheme="minorHAnsi" w:eastAsiaTheme="minorEastAsia" w:hAnsiTheme="minorHAnsi" w:cstheme="minorBidi"/>
          <w:noProof/>
          <w:kern w:val="0"/>
          <w:sz w:val="22"/>
          <w:szCs w:val="22"/>
        </w:rPr>
      </w:pPr>
      <w:r>
        <w:rPr>
          <w:noProof/>
        </w:rPr>
        <w:t>Part 2—Application of amendments</w:t>
      </w:r>
      <w:r w:rsidRPr="004723D3">
        <w:rPr>
          <w:noProof/>
          <w:sz w:val="18"/>
        </w:rPr>
        <w:tab/>
      </w:r>
      <w:r w:rsidRPr="004723D3">
        <w:rPr>
          <w:noProof/>
          <w:sz w:val="18"/>
        </w:rPr>
        <w:fldChar w:fldCharType="begin"/>
      </w:r>
      <w:r w:rsidRPr="004723D3">
        <w:rPr>
          <w:noProof/>
          <w:sz w:val="18"/>
        </w:rPr>
        <w:instrText xml:space="preserve"> PAGEREF _Toc168296835 \h </w:instrText>
      </w:r>
      <w:r w:rsidRPr="004723D3">
        <w:rPr>
          <w:noProof/>
          <w:sz w:val="18"/>
        </w:rPr>
      </w:r>
      <w:r w:rsidRPr="004723D3">
        <w:rPr>
          <w:noProof/>
          <w:sz w:val="18"/>
        </w:rPr>
        <w:fldChar w:fldCharType="separate"/>
      </w:r>
      <w:r w:rsidR="00E40A44">
        <w:rPr>
          <w:noProof/>
          <w:sz w:val="18"/>
        </w:rPr>
        <w:t>31</w:t>
      </w:r>
      <w:r w:rsidRPr="004723D3">
        <w:rPr>
          <w:noProof/>
          <w:sz w:val="18"/>
        </w:rPr>
        <w:fldChar w:fldCharType="end"/>
      </w:r>
    </w:p>
    <w:p w14:paraId="4A95643E" w14:textId="30665256" w:rsidR="004723D3" w:rsidRDefault="004723D3">
      <w:pPr>
        <w:pStyle w:val="TOC6"/>
        <w:rPr>
          <w:rFonts w:asciiTheme="minorHAnsi" w:eastAsiaTheme="minorEastAsia" w:hAnsiTheme="minorHAnsi" w:cstheme="minorBidi"/>
          <w:b w:val="0"/>
          <w:noProof/>
          <w:kern w:val="0"/>
          <w:sz w:val="22"/>
          <w:szCs w:val="22"/>
        </w:rPr>
      </w:pPr>
      <w:r>
        <w:rPr>
          <w:noProof/>
        </w:rPr>
        <w:t>Schedule 5—Petroleum resource rent tax deductions cap</w:t>
      </w:r>
      <w:r w:rsidRPr="004723D3">
        <w:rPr>
          <w:b w:val="0"/>
          <w:noProof/>
          <w:sz w:val="18"/>
        </w:rPr>
        <w:tab/>
      </w:r>
      <w:r w:rsidRPr="004723D3">
        <w:rPr>
          <w:b w:val="0"/>
          <w:noProof/>
          <w:sz w:val="18"/>
        </w:rPr>
        <w:fldChar w:fldCharType="begin"/>
      </w:r>
      <w:r w:rsidRPr="004723D3">
        <w:rPr>
          <w:b w:val="0"/>
          <w:noProof/>
          <w:sz w:val="18"/>
        </w:rPr>
        <w:instrText xml:space="preserve"> PAGEREF _Toc168296836 \h </w:instrText>
      </w:r>
      <w:r w:rsidRPr="004723D3">
        <w:rPr>
          <w:b w:val="0"/>
          <w:noProof/>
          <w:sz w:val="18"/>
        </w:rPr>
      </w:r>
      <w:r w:rsidRPr="004723D3">
        <w:rPr>
          <w:b w:val="0"/>
          <w:noProof/>
          <w:sz w:val="18"/>
        </w:rPr>
        <w:fldChar w:fldCharType="separate"/>
      </w:r>
      <w:r w:rsidR="00E40A44">
        <w:rPr>
          <w:b w:val="0"/>
          <w:noProof/>
          <w:sz w:val="18"/>
        </w:rPr>
        <w:t>32</w:t>
      </w:r>
      <w:r w:rsidRPr="004723D3">
        <w:rPr>
          <w:b w:val="0"/>
          <w:noProof/>
          <w:sz w:val="18"/>
        </w:rPr>
        <w:fldChar w:fldCharType="end"/>
      </w:r>
    </w:p>
    <w:p w14:paraId="60338C24" w14:textId="7C471A18" w:rsidR="004723D3" w:rsidRDefault="004723D3">
      <w:pPr>
        <w:pStyle w:val="TOC9"/>
        <w:rPr>
          <w:rFonts w:asciiTheme="minorHAnsi" w:eastAsiaTheme="minorEastAsia" w:hAnsiTheme="minorHAnsi" w:cstheme="minorBidi"/>
          <w:i w:val="0"/>
          <w:noProof/>
          <w:kern w:val="0"/>
          <w:sz w:val="22"/>
          <w:szCs w:val="22"/>
        </w:rPr>
      </w:pPr>
      <w:r>
        <w:rPr>
          <w:noProof/>
        </w:rPr>
        <w:t>Petroleum Resource Rent Tax Assessment Act 1987</w:t>
      </w:r>
      <w:r w:rsidRPr="004723D3">
        <w:rPr>
          <w:i w:val="0"/>
          <w:noProof/>
          <w:sz w:val="18"/>
        </w:rPr>
        <w:tab/>
      </w:r>
      <w:r w:rsidRPr="004723D3">
        <w:rPr>
          <w:i w:val="0"/>
          <w:noProof/>
          <w:sz w:val="18"/>
        </w:rPr>
        <w:fldChar w:fldCharType="begin"/>
      </w:r>
      <w:r w:rsidRPr="004723D3">
        <w:rPr>
          <w:i w:val="0"/>
          <w:noProof/>
          <w:sz w:val="18"/>
        </w:rPr>
        <w:instrText xml:space="preserve"> PAGEREF _Toc168296837 \h </w:instrText>
      </w:r>
      <w:r w:rsidRPr="004723D3">
        <w:rPr>
          <w:i w:val="0"/>
          <w:noProof/>
          <w:sz w:val="18"/>
        </w:rPr>
      </w:r>
      <w:r w:rsidRPr="004723D3">
        <w:rPr>
          <w:i w:val="0"/>
          <w:noProof/>
          <w:sz w:val="18"/>
        </w:rPr>
        <w:fldChar w:fldCharType="separate"/>
      </w:r>
      <w:r w:rsidR="00E40A44">
        <w:rPr>
          <w:i w:val="0"/>
          <w:noProof/>
          <w:sz w:val="18"/>
        </w:rPr>
        <w:t>32</w:t>
      </w:r>
      <w:r w:rsidRPr="004723D3">
        <w:rPr>
          <w:i w:val="0"/>
          <w:noProof/>
          <w:sz w:val="18"/>
        </w:rPr>
        <w:fldChar w:fldCharType="end"/>
      </w:r>
    </w:p>
    <w:p w14:paraId="12229715" w14:textId="7260901A" w:rsidR="00060FF9" w:rsidRPr="009E1DBA" w:rsidRDefault="004723D3" w:rsidP="0048364F">
      <w:r>
        <w:fldChar w:fldCharType="end"/>
      </w:r>
    </w:p>
    <w:p w14:paraId="540AB3BB" w14:textId="77777777" w:rsidR="00FE7F93" w:rsidRPr="009E1DBA" w:rsidRDefault="00FE7F93" w:rsidP="0048364F">
      <w:pPr>
        <w:sectPr w:rsidR="00FE7F93" w:rsidRPr="009E1DBA" w:rsidSect="00367C29">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3CE6EFFA" w14:textId="77777777" w:rsidR="00367C29" w:rsidRDefault="00367C29">
      <w:r>
        <w:object w:dxaOrig="2146" w:dyaOrig="1561" w14:anchorId="105C3842">
          <v:shape id="_x0000_i1026" type="#_x0000_t75" alt="Commonwealth Coat of Arms of Australia" style="width:110.25pt;height:80.25pt" o:ole="" fillcolor="window">
            <v:imagedata r:id="rId7" o:title=""/>
          </v:shape>
          <o:OLEObject Type="Embed" ProgID="Word.Picture.8" ShapeID="_x0000_i1026" DrawAspect="Content" ObjectID="_1778912504" r:id="rId20"/>
        </w:object>
      </w:r>
    </w:p>
    <w:p w14:paraId="029125E9" w14:textId="77777777" w:rsidR="00367C29" w:rsidRDefault="00367C29"/>
    <w:p w14:paraId="15681831" w14:textId="77777777" w:rsidR="00367C29" w:rsidRDefault="00367C29" w:rsidP="0039283E">
      <w:pPr>
        <w:spacing w:line="240" w:lineRule="auto"/>
      </w:pPr>
    </w:p>
    <w:p w14:paraId="5574BA49" w14:textId="265888BD" w:rsidR="00367C29" w:rsidRDefault="00212D1A" w:rsidP="0039283E">
      <w:pPr>
        <w:pStyle w:val="ShortTP1"/>
      </w:pPr>
      <w:fldSimple w:instr=" STYLEREF ShortT ">
        <w:r w:rsidR="00E40A44">
          <w:rPr>
            <w:noProof/>
          </w:rPr>
          <w:t>Treasury Laws Amendment (Tax Accountability and Fairness) Act 2024</w:t>
        </w:r>
      </w:fldSimple>
    </w:p>
    <w:p w14:paraId="7A1B72FC" w14:textId="040C553F" w:rsidR="00367C29" w:rsidRDefault="00212D1A" w:rsidP="0039283E">
      <w:pPr>
        <w:pStyle w:val="ActNoP1"/>
      </w:pPr>
      <w:fldSimple w:instr=" STYLEREF Actno ">
        <w:r w:rsidR="00E40A44">
          <w:rPr>
            <w:noProof/>
          </w:rPr>
          <w:t>No. 37, 2024</w:t>
        </w:r>
      </w:fldSimple>
    </w:p>
    <w:p w14:paraId="0A17200A" w14:textId="77777777" w:rsidR="00367C29" w:rsidRPr="009A0728" w:rsidRDefault="00367C29" w:rsidP="0039283E">
      <w:pPr>
        <w:pBdr>
          <w:bottom w:val="single" w:sz="6" w:space="0" w:color="auto"/>
        </w:pBdr>
        <w:spacing w:before="400" w:line="240" w:lineRule="auto"/>
        <w:rPr>
          <w:rFonts w:eastAsia="Times New Roman"/>
          <w:b/>
          <w:sz w:val="28"/>
        </w:rPr>
      </w:pPr>
    </w:p>
    <w:p w14:paraId="3434E817" w14:textId="77777777" w:rsidR="00367C29" w:rsidRPr="009A0728" w:rsidRDefault="00367C29" w:rsidP="0039283E">
      <w:pPr>
        <w:spacing w:line="40" w:lineRule="exact"/>
        <w:rPr>
          <w:rFonts w:eastAsia="Calibri"/>
          <w:b/>
          <w:sz w:val="28"/>
        </w:rPr>
      </w:pPr>
    </w:p>
    <w:p w14:paraId="6CB886A1" w14:textId="77777777" w:rsidR="00367C29" w:rsidRPr="009A0728" w:rsidRDefault="00367C29" w:rsidP="0039283E">
      <w:pPr>
        <w:pBdr>
          <w:top w:val="single" w:sz="12" w:space="0" w:color="auto"/>
        </w:pBdr>
        <w:spacing w:line="240" w:lineRule="auto"/>
        <w:rPr>
          <w:rFonts w:eastAsia="Times New Roman"/>
          <w:b/>
          <w:sz w:val="28"/>
        </w:rPr>
      </w:pPr>
    </w:p>
    <w:p w14:paraId="556EF408" w14:textId="77777777" w:rsidR="00367C29" w:rsidRDefault="00367C29" w:rsidP="00367C29">
      <w:pPr>
        <w:pStyle w:val="Page1"/>
        <w:spacing w:before="400"/>
      </w:pPr>
      <w:r>
        <w:t>An Act to amend the law relating to taxation, and for related purposes</w:t>
      </w:r>
    </w:p>
    <w:p w14:paraId="3F166930" w14:textId="1AA618E3" w:rsidR="0039283E" w:rsidRDefault="0039283E" w:rsidP="0039283E">
      <w:pPr>
        <w:pStyle w:val="AssentDt"/>
        <w:spacing w:before="240"/>
        <w:rPr>
          <w:sz w:val="24"/>
        </w:rPr>
      </w:pPr>
      <w:r>
        <w:rPr>
          <w:sz w:val="24"/>
        </w:rPr>
        <w:t>[</w:t>
      </w:r>
      <w:r>
        <w:rPr>
          <w:i/>
          <w:sz w:val="24"/>
        </w:rPr>
        <w:t>Assented to 31 May 2024</w:t>
      </w:r>
      <w:r>
        <w:rPr>
          <w:sz w:val="24"/>
        </w:rPr>
        <w:t>]</w:t>
      </w:r>
    </w:p>
    <w:p w14:paraId="78F8D39E" w14:textId="2C89D753" w:rsidR="0048364F" w:rsidRPr="009E1DBA" w:rsidRDefault="0048364F" w:rsidP="00F10EAA">
      <w:pPr>
        <w:spacing w:before="240" w:line="240" w:lineRule="auto"/>
        <w:rPr>
          <w:sz w:val="32"/>
        </w:rPr>
      </w:pPr>
      <w:r w:rsidRPr="009E1DBA">
        <w:rPr>
          <w:sz w:val="32"/>
        </w:rPr>
        <w:t>The Parliament of Australia enacts:</w:t>
      </w:r>
    </w:p>
    <w:p w14:paraId="7CDB471C" w14:textId="77777777" w:rsidR="0048364F" w:rsidRPr="009E1DBA" w:rsidRDefault="0048364F" w:rsidP="00F10EAA">
      <w:pPr>
        <w:pStyle w:val="ActHead5"/>
      </w:pPr>
      <w:bookmarkStart w:id="1" w:name="_Toc168296808"/>
      <w:r w:rsidRPr="009E1DBA">
        <w:rPr>
          <w:rStyle w:val="CharSectno"/>
        </w:rPr>
        <w:t>1</w:t>
      </w:r>
      <w:r w:rsidRPr="009E1DBA">
        <w:t xml:space="preserve">  Short title</w:t>
      </w:r>
      <w:bookmarkEnd w:id="1"/>
    </w:p>
    <w:p w14:paraId="2A0DEE6C" w14:textId="77777777" w:rsidR="00134965" w:rsidRDefault="00134965" w:rsidP="00134965">
      <w:pPr>
        <w:pStyle w:val="subsection"/>
      </w:pPr>
      <w:r>
        <w:tab/>
      </w:r>
      <w:r>
        <w:tab/>
        <w:t xml:space="preserve">This Act is the </w:t>
      </w:r>
      <w:r w:rsidRPr="00134965">
        <w:rPr>
          <w:i/>
        </w:rPr>
        <w:t>Treasury Laws Amendment (Tax Accountability and Fairness) Act 2024</w:t>
      </w:r>
      <w:r>
        <w:t>.</w:t>
      </w:r>
    </w:p>
    <w:p w14:paraId="62E6176A" w14:textId="7460363E" w:rsidR="0048364F" w:rsidRPr="009E1DBA" w:rsidRDefault="0048364F" w:rsidP="00F10EAA">
      <w:pPr>
        <w:pStyle w:val="ActHead5"/>
      </w:pPr>
      <w:bookmarkStart w:id="2" w:name="_Toc168296809"/>
      <w:r w:rsidRPr="009E1DBA">
        <w:rPr>
          <w:rStyle w:val="CharSectno"/>
        </w:rPr>
        <w:lastRenderedPageBreak/>
        <w:t>2</w:t>
      </w:r>
      <w:r w:rsidRPr="009E1DBA">
        <w:t xml:space="preserve">  Commencement</w:t>
      </w:r>
      <w:bookmarkEnd w:id="2"/>
    </w:p>
    <w:p w14:paraId="301D17E0" w14:textId="77777777" w:rsidR="0048364F" w:rsidRPr="009E1DBA" w:rsidRDefault="0048364F" w:rsidP="00F10EAA">
      <w:pPr>
        <w:pStyle w:val="subsection"/>
      </w:pPr>
      <w:r w:rsidRPr="009E1DBA">
        <w:tab/>
        <w:t>(1)</w:t>
      </w:r>
      <w:r w:rsidRPr="009E1DBA">
        <w:tab/>
        <w:t>Each provision of this Act specified in column 1 of the table commences, or is taken to have commenced, in accordance with column 2 of the table. Any other statement in column 2 has effect according to its terms.</w:t>
      </w:r>
    </w:p>
    <w:p w14:paraId="6729B919" w14:textId="77777777" w:rsidR="0048364F" w:rsidRPr="009E1DBA" w:rsidRDefault="0048364F" w:rsidP="00F10EAA">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9E1DBA" w14:paraId="40DE6631" w14:textId="77777777" w:rsidTr="009F693A">
        <w:trPr>
          <w:tblHeader/>
        </w:trPr>
        <w:tc>
          <w:tcPr>
            <w:tcW w:w="7111" w:type="dxa"/>
            <w:gridSpan w:val="3"/>
            <w:tcBorders>
              <w:top w:val="single" w:sz="12" w:space="0" w:color="auto"/>
              <w:bottom w:val="single" w:sz="6" w:space="0" w:color="auto"/>
            </w:tcBorders>
            <w:shd w:val="clear" w:color="auto" w:fill="auto"/>
          </w:tcPr>
          <w:p w14:paraId="46AEF449" w14:textId="77777777" w:rsidR="0048364F" w:rsidRPr="009E1DBA" w:rsidRDefault="0048364F" w:rsidP="00F10EAA">
            <w:pPr>
              <w:pStyle w:val="TableHeading"/>
            </w:pPr>
            <w:r w:rsidRPr="009E1DBA">
              <w:t>Commencement information</w:t>
            </w:r>
          </w:p>
        </w:tc>
      </w:tr>
      <w:tr w:rsidR="0048364F" w:rsidRPr="009E1DBA" w14:paraId="5B57B896" w14:textId="77777777" w:rsidTr="009F693A">
        <w:trPr>
          <w:tblHeader/>
        </w:trPr>
        <w:tc>
          <w:tcPr>
            <w:tcW w:w="1701" w:type="dxa"/>
            <w:tcBorders>
              <w:top w:val="single" w:sz="6" w:space="0" w:color="auto"/>
              <w:bottom w:val="single" w:sz="6" w:space="0" w:color="auto"/>
            </w:tcBorders>
            <w:shd w:val="clear" w:color="auto" w:fill="auto"/>
          </w:tcPr>
          <w:p w14:paraId="2F033F31" w14:textId="77777777" w:rsidR="0048364F" w:rsidRPr="009E1DBA" w:rsidRDefault="0048364F" w:rsidP="00F10EAA">
            <w:pPr>
              <w:pStyle w:val="TableHeading"/>
            </w:pPr>
            <w:r w:rsidRPr="009E1DBA">
              <w:t>Column 1</w:t>
            </w:r>
          </w:p>
        </w:tc>
        <w:tc>
          <w:tcPr>
            <w:tcW w:w="3828" w:type="dxa"/>
            <w:tcBorders>
              <w:top w:val="single" w:sz="6" w:space="0" w:color="auto"/>
              <w:bottom w:val="single" w:sz="6" w:space="0" w:color="auto"/>
            </w:tcBorders>
            <w:shd w:val="clear" w:color="auto" w:fill="auto"/>
          </w:tcPr>
          <w:p w14:paraId="2A9C0907" w14:textId="77777777" w:rsidR="0048364F" w:rsidRPr="009E1DBA" w:rsidRDefault="0048364F" w:rsidP="00F10EAA">
            <w:pPr>
              <w:pStyle w:val="TableHeading"/>
            </w:pPr>
            <w:r w:rsidRPr="009E1DBA">
              <w:t>Column 2</w:t>
            </w:r>
          </w:p>
        </w:tc>
        <w:tc>
          <w:tcPr>
            <w:tcW w:w="1582" w:type="dxa"/>
            <w:tcBorders>
              <w:top w:val="single" w:sz="6" w:space="0" w:color="auto"/>
              <w:bottom w:val="single" w:sz="6" w:space="0" w:color="auto"/>
            </w:tcBorders>
            <w:shd w:val="clear" w:color="auto" w:fill="auto"/>
          </w:tcPr>
          <w:p w14:paraId="3F131D4C" w14:textId="77777777" w:rsidR="0048364F" w:rsidRPr="009E1DBA" w:rsidRDefault="0048364F" w:rsidP="00F10EAA">
            <w:pPr>
              <w:pStyle w:val="TableHeading"/>
            </w:pPr>
            <w:r w:rsidRPr="009E1DBA">
              <w:t>Column 3</w:t>
            </w:r>
          </w:p>
        </w:tc>
      </w:tr>
      <w:tr w:rsidR="0048364F" w:rsidRPr="009E1DBA" w14:paraId="0979F466" w14:textId="77777777" w:rsidTr="009F693A">
        <w:trPr>
          <w:tblHeader/>
        </w:trPr>
        <w:tc>
          <w:tcPr>
            <w:tcW w:w="1701" w:type="dxa"/>
            <w:tcBorders>
              <w:top w:val="single" w:sz="6" w:space="0" w:color="auto"/>
              <w:bottom w:val="single" w:sz="12" w:space="0" w:color="auto"/>
            </w:tcBorders>
            <w:shd w:val="clear" w:color="auto" w:fill="auto"/>
          </w:tcPr>
          <w:p w14:paraId="4F513360" w14:textId="77777777" w:rsidR="0048364F" w:rsidRPr="009E1DBA" w:rsidRDefault="0048364F" w:rsidP="00F10EAA">
            <w:pPr>
              <w:pStyle w:val="TableHeading"/>
            </w:pPr>
            <w:r w:rsidRPr="009E1DBA">
              <w:t>Provisions</w:t>
            </w:r>
          </w:p>
        </w:tc>
        <w:tc>
          <w:tcPr>
            <w:tcW w:w="3828" w:type="dxa"/>
            <w:tcBorders>
              <w:top w:val="single" w:sz="6" w:space="0" w:color="auto"/>
              <w:bottom w:val="single" w:sz="12" w:space="0" w:color="auto"/>
            </w:tcBorders>
            <w:shd w:val="clear" w:color="auto" w:fill="auto"/>
          </w:tcPr>
          <w:p w14:paraId="792CBE64" w14:textId="77777777" w:rsidR="0048364F" w:rsidRPr="009E1DBA" w:rsidRDefault="0048364F" w:rsidP="00F10EAA">
            <w:pPr>
              <w:pStyle w:val="TableHeading"/>
            </w:pPr>
            <w:r w:rsidRPr="009E1DBA">
              <w:t>Commencement</w:t>
            </w:r>
          </w:p>
        </w:tc>
        <w:tc>
          <w:tcPr>
            <w:tcW w:w="1582" w:type="dxa"/>
            <w:tcBorders>
              <w:top w:val="single" w:sz="6" w:space="0" w:color="auto"/>
              <w:bottom w:val="single" w:sz="12" w:space="0" w:color="auto"/>
            </w:tcBorders>
            <w:shd w:val="clear" w:color="auto" w:fill="auto"/>
          </w:tcPr>
          <w:p w14:paraId="4490FE56" w14:textId="77777777" w:rsidR="0048364F" w:rsidRPr="009E1DBA" w:rsidRDefault="0048364F" w:rsidP="00F10EAA">
            <w:pPr>
              <w:pStyle w:val="TableHeading"/>
            </w:pPr>
            <w:r w:rsidRPr="009E1DBA">
              <w:t>Date/Details</w:t>
            </w:r>
          </w:p>
        </w:tc>
      </w:tr>
      <w:tr w:rsidR="0048364F" w:rsidRPr="009E1DBA" w14:paraId="46296185" w14:textId="77777777" w:rsidTr="009F693A">
        <w:tc>
          <w:tcPr>
            <w:tcW w:w="1701" w:type="dxa"/>
            <w:tcBorders>
              <w:top w:val="single" w:sz="12" w:space="0" w:color="auto"/>
            </w:tcBorders>
            <w:shd w:val="clear" w:color="auto" w:fill="auto"/>
          </w:tcPr>
          <w:p w14:paraId="26A1A7A7" w14:textId="77777777" w:rsidR="0048364F" w:rsidRPr="009E1DBA" w:rsidRDefault="0048364F" w:rsidP="00F10EAA">
            <w:pPr>
              <w:pStyle w:val="Tabletext"/>
            </w:pPr>
            <w:r w:rsidRPr="009E1DBA">
              <w:t xml:space="preserve">1.  </w:t>
            </w:r>
            <w:r w:rsidR="00F569DA" w:rsidRPr="009E1DBA">
              <w:t>Sections 1</w:t>
            </w:r>
            <w:r w:rsidRPr="009E1DBA">
              <w:t xml:space="preserve"> to 3 and anything in this Act not elsewhere covered by this table</w:t>
            </w:r>
          </w:p>
        </w:tc>
        <w:tc>
          <w:tcPr>
            <w:tcW w:w="3828" w:type="dxa"/>
            <w:tcBorders>
              <w:top w:val="single" w:sz="12" w:space="0" w:color="auto"/>
            </w:tcBorders>
            <w:shd w:val="clear" w:color="auto" w:fill="auto"/>
          </w:tcPr>
          <w:p w14:paraId="22A966CB" w14:textId="77777777" w:rsidR="0048364F" w:rsidRPr="009E1DBA" w:rsidRDefault="0048364F" w:rsidP="00F10EAA">
            <w:pPr>
              <w:pStyle w:val="Tabletext"/>
            </w:pPr>
            <w:r w:rsidRPr="009E1DBA">
              <w:t>The day this Act receives the Royal Assent.</w:t>
            </w:r>
          </w:p>
        </w:tc>
        <w:tc>
          <w:tcPr>
            <w:tcW w:w="1582" w:type="dxa"/>
            <w:tcBorders>
              <w:top w:val="single" w:sz="12" w:space="0" w:color="auto"/>
            </w:tcBorders>
            <w:shd w:val="clear" w:color="auto" w:fill="auto"/>
          </w:tcPr>
          <w:p w14:paraId="57D94B44" w14:textId="1F446869" w:rsidR="0048364F" w:rsidRPr="009E1DBA" w:rsidRDefault="00631256" w:rsidP="00F10EAA">
            <w:pPr>
              <w:pStyle w:val="Tabletext"/>
            </w:pPr>
            <w:r>
              <w:t>31 May 2024</w:t>
            </w:r>
          </w:p>
        </w:tc>
      </w:tr>
      <w:tr w:rsidR="0048364F" w:rsidRPr="009E1DBA" w14:paraId="64C3583E" w14:textId="77777777" w:rsidTr="009F693A">
        <w:tc>
          <w:tcPr>
            <w:tcW w:w="1701" w:type="dxa"/>
            <w:shd w:val="clear" w:color="auto" w:fill="auto"/>
          </w:tcPr>
          <w:p w14:paraId="3C8F01C9" w14:textId="77777777" w:rsidR="0048364F" w:rsidRPr="009E1DBA" w:rsidRDefault="0048364F" w:rsidP="00F10EAA">
            <w:pPr>
              <w:pStyle w:val="Tabletext"/>
            </w:pPr>
            <w:r w:rsidRPr="009E1DBA">
              <w:t xml:space="preserve">2.  </w:t>
            </w:r>
            <w:r w:rsidR="00F569DA" w:rsidRPr="009E1DBA">
              <w:t>Schedule</w:t>
            </w:r>
            <w:r w:rsidR="00505B1F" w:rsidRPr="009E1DBA">
              <w:t>s</w:t>
            </w:r>
            <w:r w:rsidR="00F569DA" w:rsidRPr="009E1DBA">
              <w:t> 1</w:t>
            </w:r>
            <w:r w:rsidR="00505B1F" w:rsidRPr="009E1DBA">
              <w:t xml:space="preserve"> to</w:t>
            </w:r>
            <w:r w:rsidR="00D74A10" w:rsidRPr="009E1DBA">
              <w:t> </w:t>
            </w:r>
            <w:r w:rsidR="00505B1F" w:rsidRPr="009E1DBA">
              <w:t>3</w:t>
            </w:r>
          </w:p>
        </w:tc>
        <w:tc>
          <w:tcPr>
            <w:tcW w:w="3828" w:type="dxa"/>
            <w:shd w:val="clear" w:color="auto" w:fill="auto"/>
          </w:tcPr>
          <w:p w14:paraId="55444706" w14:textId="77777777" w:rsidR="00BD0B65" w:rsidRPr="009E1DBA" w:rsidRDefault="00BD0B65" w:rsidP="00F10EAA">
            <w:pPr>
              <w:pStyle w:val="Tabletext"/>
            </w:pPr>
            <w:r w:rsidRPr="009E1DBA">
              <w:t>The later of:</w:t>
            </w:r>
          </w:p>
          <w:p w14:paraId="37658433" w14:textId="77777777" w:rsidR="00BD0B65" w:rsidRPr="009E1DBA" w:rsidRDefault="00BD0B65" w:rsidP="00F10EAA">
            <w:pPr>
              <w:pStyle w:val="Tablea"/>
            </w:pPr>
            <w:r w:rsidRPr="009E1DBA">
              <w:t>(a)</w:t>
            </w:r>
            <w:r w:rsidR="001432F4" w:rsidRPr="009E1DBA">
              <w:t xml:space="preserve"> </w:t>
            </w:r>
            <w:r w:rsidRPr="009E1DBA">
              <w:t>1 July 2024; and</w:t>
            </w:r>
          </w:p>
          <w:p w14:paraId="4C8D7C42" w14:textId="77777777" w:rsidR="0048364F" w:rsidRPr="009E1DBA" w:rsidRDefault="00BD0B65" w:rsidP="00F10EAA">
            <w:pPr>
              <w:pStyle w:val="Tablea"/>
            </w:pPr>
            <w:r w:rsidRPr="009E1DBA">
              <w:t>(b)</w:t>
            </w:r>
            <w:r w:rsidR="001432F4" w:rsidRPr="009E1DBA">
              <w:t xml:space="preserve"> </w:t>
            </w:r>
            <w:r w:rsidRPr="009E1DBA">
              <w:t>the first 1 January, 1 April, 1 July or 1 October to occur after the day this Act receives the Royal Assent.</w:t>
            </w:r>
          </w:p>
        </w:tc>
        <w:tc>
          <w:tcPr>
            <w:tcW w:w="1582" w:type="dxa"/>
            <w:shd w:val="clear" w:color="auto" w:fill="auto"/>
          </w:tcPr>
          <w:p w14:paraId="6AE4C0BF" w14:textId="4DBDA7B7" w:rsidR="0048364F" w:rsidRPr="009E1DBA" w:rsidRDefault="00C86AE6" w:rsidP="00F10EAA">
            <w:pPr>
              <w:pStyle w:val="Tabletext"/>
            </w:pPr>
            <w:r>
              <w:t>1 July 2024</w:t>
            </w:r>
          </w:p>
        </w:tc>
      </w:tr>
      <w:tr w:rsidR="0048364F" w:rsidRPr="009E1DBA" w14:paraId="5F64F804" w14:textId="77777777" w:rsidTr="009F693A">
        <w:tc>
          <w:tcPr>
            <w:tcW w:w="1701" w:type="dxa"/>
            <w:tcBorders>
              <w:bottom w:val="single" w:sz="2" w:space="0" w:color="auto"/>
            </w:tcBorders>
            <w:shd w:val="clear" w:color="auto" w:fill="auto"/>
          </w:tcPr>
          <w:p w14:paraId="351D4247" w14:textId="77777777" w:rsidR="0048364F" w:rsidRPr="009E1DBA" w:rsidRDefault="009F693A" w:rsidP="00F10EAA">
            <w:pPr>
              <w:pStyle w:val="Tabletext"/>
            </w:pPr>
            <w:r w:rsidRPr="009E1DBA">
              <w:t>3</w:t>
            </w:r>
            <w:r w:rsidR="0048364F" w:rsidRPr="009E1DBA">
              <w:t xml:space="preserve">.  </w:t>
            </w:r>
            <w:r w:rsidR="00F569DA" w:rsidRPr="009E1DBA">
              <w:t>Schedule 4</w:t>
            </w:r>
          </w:p>
        </w:tc>
        <w:tc>
          <w:tcPr>
            <w:tcW w:w="3828" w:type="dxa"/>
            <w:tcBorders>
              <w:bottom w:val="single" w:sz="2" w:space="0" w:color="auto"/>
            </w:tcBorders>
            <w:shd w:val="clear" w:color="auto" w:fill="auto"/>
          </w:tcPr>
          <w:p w14:paraId="3E846C05" w14:textId="77777777" w:rsidR="0048364F" w:rsidRPr="009E1DBA" w:rsidRDefault="00F351C1" w:rsidP="00F10EAA">
            <w:pPr>
              <w:pStyle w:val="Tabletext"/>
            </w:pPr>
            <w:r w:rsidRPr="009E1DBA">
              <w:t>The day after this Act receives the Royal Assent.</w:t>
            </w:r>
          </w:p>
        </w:tc>
        <w:tc>
          <w:tcPr>
            <w:tcW w:w="1582" w:type="dxa"/>
            <w:tcBorders>
              <w:bottom w:val="single" w:sz="2" w:space="0" w:color="auto"/>
            </w:tcBorders>
            <w:shd w:val="clear" w:color="auto" w:fill="auto"/>
          </w:tcPr>
          <w:p w14:paraId="7930C791" w14:textId="2B165198" w:rsidR="0048364F" w:rsidRPr="009E1DBA" w:rsidRDefault="00C86AE6" w:rsidP="00F10EAA">
            <w:pPr>
              <w:pStyle w:val="Tabletext"/>
            </w:pPr>
            <w:r>
              <w:t>1 June 2024</w:t>
            </w:r>
          </w:p>
        </w:tc>
      </w:tr>
      <w:tr w:rsidR="0048364F" w:rsidRPr="009E1DBA" w14:paraId="28289F88" w14:textId="77777777" w:rsidTr="009F693A">
        <w:tc>
          <w:tcPr>
            <w:tcW w:w="1701" w:type="dxa"/>
            <w:tcBorders>
              <w:top w:val="single" w:sz="2" w:space="0" w:color="auto"/>
              <w:bottom w:val="single" w:sz="12" w:space="0" w:color="auto"/>
            </w:tcBorders>
            <w:shd w:val="clear" w:color="auto" w:fill="auto"/>
          </w:tcPr>
          <w:p w14:paraId="3F8B927C" w14:textId="77777777" w:rsidR="0048364F" w:rsidRPr="009E1DBA" w:rsidRDefault="009F693A" w:rsidP="00F10EAA">
            <w:pPr>
              <w:pStyle w:val="Tabletext"/>
            </w:pPr>
            <w:r w:rsidRPr="009E1DBA">
              <w:t>4</w:t>
            </w:r>
            <w:r w:rsidR="0048364F" w:rsidRPr="009E1DBA">
              <w:t xml:space="preserve">.  </w:t>
            </w:r>
            <w:r w:rsidR="00F569DA" w:rsidRPr="009E1DBA">
              <w:t>Schedule 5</w:t>
            </w:r>
          </w:p>
        </w:tc>
        <w:tc>
          <w:tcPr>
            <w:tcW w:w="3828" w:type="dxa"/>
            <w:tcBorders>
              <w:top w:val="single" w:sz="2" w:space="0" w:color="auto"/>
              <w:bottom w:val="single" w:sz="12" w:space="0" w:color="auto"/>
            </w:tcBorders>
            <w:shd w:val="clear" w:color="auto" w:fill="auto"/>
          </w:tcPr>
          <w:p w14:paraId="687F8180" w14:textId="77777777" w:rsidR="0048364F" w:rsidRPr="009E1DBA" w:rsidRDefault="00F351C1" w:rsidP="00F10EAA">
            <w:pPr>
              <w:pStyle w:val="Tabletext"/>
            </w:pPr>
            <w:r w:rsidRPr="009E1DBA">
              <w:rPr>
                <w:lang w:eastAsia="en-US"/>
              </w:rPr>
              <w:t>The first 1 January, 1 April, 1 July or 1 October to occur after the day this Act receives the Royal Assent.</w:t>
            </w:r>
          </w:p>
        </w:tc>
        <w:tc>
          <w:tcPr>
            <w:tcW w:w="1582" w:type="dxa"/>
            <w:tcBorders>
              <w:top w:val="single" w:sz="2" w:space="0" w:color="auto"/>
              <w:bottom w:val="single" w:sz="12" w:space="0" w:color="auto"/>
            </w:tcBorders>
            <w:shd w:val="clear" w:color="auto" w:fill="auto"/>
          </w:tcPr>
          <w:p w14:paraId="7E97FF43" w14:textId="12CEE162" w:rsidR="0048364F" w:rsidRPr="009E1DBA" w:rsidRDefault="00C86AE6" w:rsidP="00F10EAA">
            <w:pPr>
              <w:pStyle w:val="Tabletext"/>
            </w:pPr>
            <w:r>
              <w:t>1 July 2024</w:t>
            </w:r>
          </w:p>
        </w:tc>
      </w:tr>
    </w:tbl>
    <w:p w14:paraId="397CF75A" w14:textId="77777777" w:rsidR="0048364F" w:rsidRPr="009E1DBA" w:rsidRDefault="00201D27" w:rsidP="00F10EAA">
      <w:pPr>
        <w:pStyle w:val="notetext"/>
      </w:pPr>
      <w:r w:rsidRPr="009E1DBA">
        <w:t>Note:</w:t>
      </w:r>
      <w:r w:rsidRPr="009E1DBA">
        <w:tab/>
        <w:t>This table relates only to the provisions of this Act as originally enacted. It will not be amended to deal with any later amendments of this Act.</w:t>
      </w:r>
    </w:p>
    <w:p w14:paraId="0A2A1476" w14:textId="77777777" w:rsidR="0048364F" w:rsidRPr="009E1DBA" w:rsidRDefault="0048364F" w:rsidP="00F10EAA">
      <w:pPr>
        <w:pStyle w:val="subsection"/>
      </w:pPr>
      <w:r w:rsidRPr="009E1DBA">
        <w:tab/>
        <w:t>(2)</w:t>
      </w:r>
      <w:r w:rsidRPr="009E1DBA">
        <w:tab/>
      </w:r>
      <w:r w:rsidR="00201D27" w:rsidRPr="009E1DBA">
        <w:t xml:space="preserve">Any information in </w:t>
      </w:r>
      <w:r w:rsidR="00877D48" w:rsidRPr="009E1DBA">
        <w:t>c</w:t>
      </w:r>
      <w:r w:rsidR="00201D27" w:rsidRPr="009E1DBA">
        <w:t>olumn 3 of the table is not part of this Act. Information may be inserted in this column, or information in it may be edited, in any published version of this Act.</w:t>
      </w:r>
    </w:p>
    <w:p w14:paraId="0B5FA167" w14:textId="77777777" w:rsidR="0048364F" w:rsidRPr="009E1DBA" w:rsidRDefault="0048364F" w:rsidP="00F10EAA">
      <w:pPr>
        <w:pStyle w:val="ActHead5"/>
      </w:pPr>
      <w:bookmarkStart w:id="3" w:name="_Toc168296810"/>
      <w:r w:rsidRPr="009E1DBA">
        <w:rPr>
          <w:rStyle w:val="CharSectno"/>
        </w:rPr>
        <w:t>3</w:t>
      </w:r>
      <w:r w:rsidRPr="009E1DBA">
        <w:t xml:space="preserve">  Schedules</w:t>
      </w:r>
      <w:bookmarkEnd w:id="3"/>
    </w:p>
    <w:p w14:paraId="6EBF982C" w14:textId="77777777" w:rsidR="0048364F" w:rsidRPr="009E1DBA" w:rsidRDefault="0048364F" w:rsidP="00F10EAA">
      <w:pPr>
        <w:pStyle w:val="subsection"/>
      </w:pPr>
      <w:r w:rsidRPr="009E1DBA">
        <w:tab/>
      </w:r>
      <w:r w:rsidRPr="009E1DBA">
        <w:tab/>
      </w:r>
      <w:r w:rsidR="00202618" w:rsidRPr="009E1DBA">
        <w:t>Legislation that is specified in a Schedule to this Act is amended or repealed as set out in the applicable items in the Schedule concerned, and any other item in a Schedule to this Act has effect according to its terms.</w:t>
      </w:r>
    </w:p>
    <w:p w14:paraId="473DD32F" w14:textId="77777777" w:rsidR="00976EE3" w:rsidRPr="009E1DBA" w:rsidRDefault="00F569DA" w:rsidP="00F10EAA">
      <w:pPr>
        <w:pStyle w:val="ActHead6"/>
        <w:pageBreakBefore/>
      </w:pPr>
      <w:bookmarkStart w:id="4" w:name="_Toc168296811"/>
      <w:r w:rsidRPr="009E1DBA">
        <w:rPr>
          <w:rStyle w:val="CharAmSchNo"/>
        </w:rPr>
        <w:lastRenderedPageBreak/>
        <w:t>Schedule 1</w:t>
      </w:r>
      <w:r w:rsidR="00976EE3" w:rsidRPr="009E1DBA">
        <w:rPr>
          <w:rFonts w:cs="Arial"/>
        </w:rPr>
        <w:t>—</w:t>
      </w:r>
      <w:r w:rsidR="00E83839" w:rsidRPr="009E1DBA">
        <w:rPr>
          <w:rStyle w:val="CharAmSchText"/>
        </w:rPr>
        <w:t xml:space="preserve">PwC </w:t>
      </w:r>
      <w:r w:rsidR="00822C53" w:rsidRPr="009E1DBA">
        <w:rPr>
          <w:rStyle w:val="CharAmSchText"/>
        </w:rPr>
        <w:t>r</w:t>
      </w:r>
      <w:r w:rsidR="00E83839" w:rsidRPr="009E1DBA">
        <w:rPr>
          <w:rStyle w:val="CharAmSchText"/>
        </w:rPr>
        <w:t>esponse—</w:t>
      </w:r>
      <w:r w:rsidR="00976EE3" w:rsidRPr="009E1DBA">
        <w:rPr>
          <w:rStyle w:val="CharAmSchText"/>
        </w:rPr>
        <w:t>Promoter penalty law reform</w:t>
      </w:r>
      <w:bookmarkEnd w:id="4"/>
    </w:p>
    <w:p w14:paraId="29DB8E03" w14:textId="77777777" w:rsidR="00976EE3" w:rsidRPr="009E1DBA" w:rsidRDefault="00976EE3" w:rsidP="00F10EAA">
      <w:pPr>
        <w:pStyle w:val="Header"/>
      </w:pPr>
      <w:r w:rsidRPr="009E1DBA">
        <w:rPr>
          <w:rStyle w:val="CharAmPartNo"/>
        </w:rPr>
        <w:t xml:space="preserve"> </w:t>
      </w:r>
      <w:r w:rsidRPr="009E1DBA">
        <w:rPr>
          <w:rStyle w:val="CharAmPartText"/>
        </w:rPr>
        <w:t xml:space="preserve"> </w:t>
      </w:r>
    </w:p>
    <w:p w14:paraId="66E3DE0E" w14:textId="77777777" w:rsidR="00976EE3" w:rsidRPr="009E1DBA" w:rsidRDefault="00976EE3" w:rsidP="00F10EAA">
      <w:pPr>
        <w:pStyle w:val="ActHead9"/>
      </w:pPr>
      <w:bookmarkStart w:id="5" w:name="_Toc168296812"/>
      <w:r w:rsidRPr="009E1DBA">
        <w:t>Tax Agent Services Act 2009</w:t>
      </w:r>
      <w:bookmarkEnd w:id="5"/>
    </w:p>
    <w:p w14:paraId="4ECABE8A" w14:textId="77777777" w:rsidR="00976EE3" w:rsidRPr="009E1DBA" w:rsidRDefault="00976EE3" w:rsidP="00F10EAA">
      <w:pPr>
        <w:pStyle w:val="ItemHead"/>
      </w:pPr>
      <w:r w:rsidRPr="009E1DBA">
        <w:t xml:space="preserve">1  </w:t>
      </w:r>
      <w:r w:rsidR="00F569DA" w:rsidRPr="009E1DBA">
        <w:t>Section 2</w:t>
      </w:r>
      <w:r w:rsidRPr="009E1DBA">
        <w:t>0</w:t>
      </w:r>
      <w:r w:rsidR="009E1DBA">
        <w:noBreakHyphen/>
      </w:r>
      <w:r w:rsidRPr="009E1DBA">
        <w:t>45</w:t>
      </w:r>
    </w:p>
    <w:p w14:paraId="52FC8CD9" w14:textId="77777777" w:rsidR="00976EE3" w:rsidRPr="009E1DBA" w:rsidRDefault="00976EE3" w:rsidP="00F10EAA">
      <w:pPr>
        <w:pStyle w:val="Item"/>
      </w:pPr>
      <w:r w:rsidRPr="009E1DBA">
        <w:t>Before “The”, insert “(1)”.</w:t>
      </w:r>
    </w:p>
    <w:p w14:paraId="3DB43D12" w14:textId="77777777" w:rsidR="00976EE3" w:rsidRPr="009E1DBA" w:rsidRDefault="00976EE3" w:rsidP="00F10EAA">
      <w:pPr>
        <w:pStyle w:val="ItemHead"/>
      </w:pPr>
      <w:r w:rsidRPr="009E1DBA">
        <w:t>2  Paragraph 20</w:t>
      </w:r>
      <w:r w:rsidR="009E1DBA">
        <w:noBreakHyphen/>
      </w:r>
      <w:r w:rsidRPr="009E1DBA">
        <w:t>45(d)</w:t>
      </w:r>
    </w:p>
    <w:p w14:paraId="4697A605" w14:textId="77777777" w:rsidR="00976EE3" w:rsidRPr="009E1DBA" w:rsidRDefault="00976EE3" w:rsidP="00F10EAA">
      <w:pPr>
        <w:pStyle w:val="Item"/>
      </w:pPr>
      <w:r w:rsidRPr="009E1DBA">
        <w:t>Repeal the paragraph, substitute:</w:t>
      </w:r>
    </w:p>
    <w:p w14:paraId="42C8D66C" w14:textId="77777777" w:rsidR="00976EE3" w:rsidRPr="009E1DBA" w:rsidRDefault="00976EE3" w:rsidP="00F10EAA">
      <w:pPr>
        <w:pStyle w:val="paragraph"/>
      </w:pPr>
      <w:r w:rsidRPr="009E1DBA">
        <w:tab/>
        <w:t>(d)</w:t>
      </w:r>
      <w:r w:rsidRPr="009E1DBA">
        <w:tab/>
        <w:t xml:space="preserve">you are penalised for implementing a </w:t>
      </w:r>
      <w:r w:rsidR="00F10EAA" w:rsidRPr="009E1DBA">
        <w:rPr>
          <w:position w:val="6"/>
          <w:sz w:val="16"/>
        </w:rPr>
        <w:t>*</w:t>
      </w:r>
      <w:r w:rsidRPr="009E1DBA">
        <w:t xml:space="preserve">scheme that has been promoted on the basis of conformity with a </w:t>
      </w:r>
      <w:r w:rsidR="00F10EAA" w:rsidRPr="009E1DBA">
        <w:rPr>
          <w:position w:val="6"/>
          <w:sz w:val="16"/>
        </w:rPr>
        <w:t>*</w:t>
      </w:r>
      <w:r w:rsidRPr="009E1DBA">
        <w:t xml:space="preserve">public ruling, </w:t>
      </w:r>
      <w:r w:rsidR="00F10EAA" w:rsidRPr="009E1DBA">
        <w:rPr>
          <w:position w:val="6"/>
          <w:sz w:val="16"/>
        </w:rPr>
        <w:t>*</w:t>
      </w:r>
      <w:r w:rsidRPr="009E1DBA">
        <w:t xml:space="preserve">private ruling or </w:t>
      </w:r>
      <w:r w:rsidR="00F10EAA" w:rsidRPr="009E1DBA">
        <w:rPr>
          <w:position w:val="6"/>
          <w:sz w:val="16"/>
        </w:rPr>
        <w:t>*</w:t>
      </w:r>
      <w:r w:rsidRPr="009E1DBA">
        <w:t>oral ruling in a way that is materially different from that described in the ruling;</w:t>
      </w:r>
    </w:p>
    <w:p w14:paraId="2DD6C773" w14:textId="77777777" w:rsidR="00976EE3" w:rsidRPr="009E1DBA" w:rsidRDefault="00976EE3" w:rsidP="00F10EAA">
      <w:pPr>
        <w:pStyle w:val="ItemHead"/>
      </w:pPr>
      <w:r w:rsidRPr="009E1DBA">
        <w:t>3  After paragraph 20</w:t>
      </w:r>
      <w:r w:rsidR="009E1DBA">
        <w:noBreakHyphen/>
      </w:r>
      <w:r w:rsidRPr="009E1DBA">
        <w:t>45(d)</w:t>
      </w:r>
    </w:p>
    <w:p w14:paraId="23AE54EE" w14:textId="77777777" w:rsidR="00976EE3" w:rsidRPr="009E1DBA" w:rsidRDefault="00976EE3" w:rsidP="00F10EAA">
      <w:pPr>
        <w:pStyle w:val="Item"/>
      </w:pPr>
      <w:r w:rsidRPr="009E1DBA">
        <w:t>Insert:</w:t>
      </w:r>
    </w:p>
    <w:p w14:paraId="71FCF33E" w14:textId="77777777" w:rsidR="00976EE3" w:rsidRPr="009E1DBA" w:rsidRDefault="00976EE3" w:rsidP="00F10EAA">
      <w:pPr>
        <w:pStyle w:val="paragraph"/>
      </w:pPr>
      <w:r w:rsidRPr="009E1DBA">
        <w:tab/>
        <w:t>(da)</w:t>
      </w:r>
      <w:r w:rsidRPr="009E1DBA">
        <w:tab/>
        <w:t>you are penalised for promoting on the basis of conformity with a public ruling, private ruling or oral ruling a scheme that is materially different from that described in the ruling;</w:t>
      </w:r>
    </w:p>
    <w:p w14:paraId="100C87FD" w14:textId="77777777" w:rsidR="00976EE3" w:rsidRPr="009E1DBA" w:rsidRDefault="00976EE3" w:rsidP="00F10EAA">
      <w:pPr>
        <w:pStyle w:val="ItemHead"/>
      </w:pPr>
      <w:r w:rsidRPr="009E1DBA">
        <w:t xml:space="preserve">4  At the end of </w:t>
      </w:r>
      <w:r w:rsidR="00F569DA" w:rsidRPr="009E1DBA">
        <w:t>section 2</w:t>
      </w:r>
      <w:r w:rsidRPr="009E1DBA">
        <w:t>0</w:t>
      </w:r>
      <w:r w:rsidR="009E1DBA">
        <w:noBreakHyphen/>
      </w:r>
      <w:r w:rsidRPr="009E1DBA">
        <w:t>45</w:t>
      </w:r>
    </w:p>
    <w:p w14:paraId="4BC9AF21" w14:textId="77777777" w:rsidR="00976EE3" w:rsidRPr="009E1DBA" w:rsidRDefault="00976EE3" w:rsidP="00F10EAA">
      <w:pPr>
        <w:pStyle w:val="Item"/>
      </w:pPr>
      <w:r w:rsidRPr="009E1DBA">
        <w:t>Add:</w:t>
      </w:r>
    </w:p>
    <w:p w14:paraId="13506400" w14:textId="77777777" w:rsidR="00976EE3" w:rsidRPr="009E1DBA" w:rsidRDefault="00976EE3" w:rsidP="00F10EAA">
      <w:pPr>
        <w:pStyle w:val="subsection"/>
      </w:pPr>
      <w:r w:rsidRPr="009E1DBA">
        <w:tab/>
        <w:t>(2)</w:t>
      </w:r>
      <w:r w:rsidRPr="009E1DBA">
        <w:tab/>
        <w:t xml:space="preserve">An event described in </w:t>
      </w:r>
      <w:r w:rsidR="00F569DA" w:rsidRPr="009E1DBA">
        <w:t>paragraph (</w:t>
      </w:r>
      <w:r w:rsidRPr="009E1DBA">
        <w:t xml:space="preserve">1)(c), (d) or (da) does not affect your continued registration as a </w:t>
      </w:r>
      <w:r w:rsidR="00F10EAA" w:rsidRPr="009E1DBA">
        <w:rPr>
          <w:position w:val="6"/>
          <w:sz w:val="16"/>
        </w:rPr>
        <w:t>*</w:t>
      </w:r>
      <w:r w:rsidRPr="009E1DBA">
        <w:t>registered tax agent or BAS agent if:</w:t>
      </w:r>
    </w:p>
    <w:p w14:paraId="0E1913C4" w14:textId="77777777" w:rsidR="00976EE3" w:rsidRPr="009E1DBA" w:rsidRDefault="00976EE3" w:rsidP="00F10EAA">
      <w:pPr>
        <w:pStyle w:val="paragraph"/>
      </w:pPr>
      <w:r w:rsidRPr="009E1DBA">
        <w:tab/>
        <w:t>(a)</w:t>
      </w:r>
      <w:r w:rsidRPr="009E1DBA">
        <w:tab/>
        <w:t>you are a partner in a partnership; and</w:t>
      </w:r>
    </w:p>
    <w:p w14:paraId="73180FC8" w14:textId="77777777" w:rsidR="00976EE3" w:rsidRPr="009E1DBA" w:rsidRDefault="00976EE3" w:rsidP="00F10EAA">
      <w:pPr>
        <w:pStyle w:val="paragraph"/>
      </w:pPr>
      <w:r w:rsidRPr="009E1DBA">
        <w:tab/>
        <w:t>(b)</w:t>
      </w:r>
      <w:r w:rsidRPr="009E1DBA">
        <w:tab/>
        <w:t>you:</w:t>
      </w:r>
    </w:p>
    <w:p w14:paraId="7D2253BA" w14:textId="77777777" w:rsidR="00976EE3" w:rsidRPr="009E1DBA" w:rsidRDefault="00976EE3" w:rsidP="00F10EAA">
      <w:pPr>
        <w:pStyle w:val="paragraphsub"/>
      </w:pPr>
      <w:r w:rsidRPr="009E1DBA">
        <w:tab/>
        <w:t>(i)</w:t>
      </w:r>
      <w:r w:rsidRPr="009E1DBA">
        <w:tab/>
        <w:t>did not aid, abet, counsel or procure the relevant act or omission; and</w:t>
      </w:r>
    </w:p>
    <w:p w14:paraId="28F31250" w14:textId="77777777" w:rsidR="00976EE3" w:rsidRPr="009E1DBA" w:rsidRDefault="00976EE3" w:rsidP="00F10EAA">
      <w:pPr>
        <w:pStyle w:val="paragraphsub"/>
      </w:pPr>
      <w:r w:rsidRPr="009E1DBA">
        <w:tab/>
        <w:t>(ii)</w:t>
      </w:r>
      <w:r w:rsidRPr="009E1DBA">
        <w:tab/>
        <w:t>were not in any way knowingly concerned in, or party to, the relevant act or omission (whether directly or indirectly and whether by any act or omission of the partner).</w:t>
      </w:r>
    </w:p>
    <w:p w14:paraId="101257C3" w14:textId="77777777" w:rsidR="00976EE3" w:rsidRPr="009E1DBA" w:rsidRDefault="00976EE3" w:rsidP="00F10EAA">
      <w:pPr>
        <w:pStyle w:val="ActHead9"/>
      </w:pPr>
      <w:bookmarkStart w:id="6" w:name="_Toc168296813"/>
      <w:r w:rsidRPr="009E1DBA">
        <w:lastRenderedPageBreak/>
        <w:t>Taxation Administration Act 1953</w:t>
      </w:r>
      <w:bookmarkEnd w:id="6"/>
    </w:p>
    <w:p w14:paraId="2ABD9F5F" w14:textId="77777777" w:rsidR="00976EE3" w:rsidRPr="009E1DBA" w:rsidRDefault="00976EE3" w:rsidP="00F10EAA">
      <w:pPr>
        <w:pStyle w:val="ItemHead"/>
      </w:pPr>
      <w:r w:rsidRPr="009E1DBA">
        <w:t>5  After paragraph 290</w:t>
      </w:r>
      <w:r w:rsidR="009E1DBA">
        <w:noBreakHyphen/>
      </w:r>
      <w:r w:rsidRPr="009E1DBA">
        <w:t xml:space="preserve">5(a) in </w:t>
      </w:r>
      <w:r w:rsidR="00F569DA" w:rsidRPr="009E1DBA">
        <w:t>Schedule 1</w:t>
      </w:r>
    </w:p>
    <w:p w14:paraId="4797B695" w14:textId="77777777" w:rsidR="00976EE3" w:rsidRPr="009E1DBA" w:rsidRDefault="00976EE3" w:rsidP="00F10EAA">
      <w:pPr>
        <w:pStyle w:val="Item"/>
      </w:pPr>
      <w:r w:rsidRPr="009E1DBA">
        <w:t>Insert:</w:t>
      </w:r>
    </w:p>
    <w:p w14:paraId="22445F60" w14:textId="77777777" w:rsidR="00976EE3" w:rsidRPr="009E1DBA" w:rsidRDefault="00976EE3" w:rsidP="00F10EAA">
      <w:pPr>
        <w:pStyle w:val="paragraph"/>
      </w:pPr>
      <w:r w:rsidRPr="009E1DBA">
        <w:tab/>
        <w:t>(aa)</w:t>
      </w:r>
      <w:r w:rsidRPr="009E1DBA">
        <w:tab/>
        <w:t xml:space="preserve">to deter the promotion of schemes on the basis of conformity with a </w:t>
      </w:r>
      <w:r w:rsidR="00F10EAA" w:rsidRPr="009E1DBA">
        <w:rPr>
          <w:position w:val="6"/>
          <w:sz w:val="16"/>
        </w:rPr>
        <w:t>*</w:t>
      </w:r>
      <w:r w:rsidRPr="009E1DBA">
        <w:t xml:space="preserve">public ruling, </w:t>
      </w:r>
      <w:r w:rsidR="00F10EAA" w:rsidRPr="009E1DBA">
        <w:rPr>
          <w:position w:val="6"/>
          <w:sz w:val="16"/>
        </w:rPr>
        <w:t>*</w:t>
      </w:r>
      <w:r w:rsidRPr="009E1DBA">
        <w:t xml:space="preserve">private ruling or </w:t>
      </w:r>
      <w:r w:rsidR="00F10EAA" w:rsidRPr="009E1DBA">
        <w:rPr>
          <w:position w:val="6"/>
          <w:sz w:val="16"/>
        </w:rPr>
        <w:t>*</w:t>
      </w:r>
      <w:r w:rsidRPr="009E1DBA">
        <w:t>oral ruling if the scheme is materially different from that described in the ruling; and</w:t>
      </w:r>
    </w:p>
    <w:p w14:paraId="340BB945" w14:textId="77777777" w:rsidR="00976EE3" w:rsidRPr="009E1DBA" w:rsidRDefault="00976EE3" w:rsidP="00F10EAA">
      <w:pPr>
        <w:pStyle w:val="ItemHead"/>
      </w:pPr>
      <w:r w:rsidRPr="009E1DBA">
        <w:t>6  Paragraph 290</w:t>
      </w:r>
      <w:r w:rsidR="009E1DBA">
        <w:noBreakHyphen/>
      </w:r>
      <w:r w:rsidRPr="009E1DBA">
        <w:t xml:space="preserve">5(b) in </w:t>
      </w:r>
      <w:r w:rsidR="00F569DA" w:rsidRPr="009E1DBA">
        <w:t>Schedule 1</w:t>
      </w:r>
    </w:p>
    <w:p w14:paraId="40CF6C46" w14:textId="77777777" w:rsidR="00976EE3" w:rsidRPr="009E1DBA" w:rsidRDefault="00976EE3" w:rsidP="00F10EAA">
      <w:pPr>
        <w:pStyle w:val="Item"/>
      </w:pPr>
      <w:r w:rsidRPr="009E1DBA">
        <w:t>Omit “</w:t>
      </w:r>
      <w:r w:rsidR="00F10EAA" w:rsidRPr="009E1DBA">
        <w:rPr>
          <w:position w:val="6"/>
          <w:sz w:val="16"/>
        </w:rPr>
        <w:t>*</w:t>
      </w:r>
      <w:r w:rsidRPr="009E1DBA">
        <w:t>product ruling”, substitute “public ruling, private ruling or oral ruling”.</w:t>
      </w:r>
    </w:p>
    <w:p w14:paraId="70799BF5" w14:textId="77777777" w:rsidR="00976EE3" w:rsidRPr="009E1DBA" w:rsidRDefault="00976EE3" w:rsidP="00F10EAA">
      <w:pPr>
        <w:pStyle w:val="ItemHead"/>
      </w:pPr>
      <w:r w:rsidRPr="009E1DBA">
        <w:t>7  Paragraph 290</w:t>
      </w:r>
      <w:r w:rsidR="009E1DBA">
        <w:noBreakHyphen/>
      </w:r>
      <w:r w:rsidRPr="009E1DBA">
        <w:t xml:space="preserve">5(b) in </w:t>
      </w:r>
      <w:r w:rsidR="00F569DA" w:rsidRPr="009E1DBA">
        <w:t>Schedule 1</w:t>
      </w:r>
    </w:p>
    <w:p w14:paraId="046100BE" w14:textId="77777777" w:rsidR="00976EE3" w:rsidRPr="009E1DBA" w:rsidRDefault="00976EE3" w:rsidP="00F10EAA">
      <w:pPr>
        <w:pStyle w:val="Item"/>
      </w:pPr>
      <w:r w:rsidRPr="009E1DBA">
        <w:t>Omit “the product ruling”, substitute “the ruling”.</w:t>
      </w:r>
    </w:p>
    <w:p w14:paraId="18661A85" w14:textId="77777777" w:rsidR="00976EE3" w:rsidRPr="009E1DBA" w:rsidRDefault="00976EE3" w:rsidP="00F10EAA">
      <w:pPr>
        <w:pStyle w:val="ItemHead"/>
      </w:pPr>
      <w:r w:rsidRPr="009E1DBA">
        <w:t xml:space="preserve">8  After </w:t>
      </w:r>
      <w:r w:rsidR="00F569DA" w:rsidRPr="009E1DBA">
        <w:t>subsection 2</w:t>
      </w:r>
      <w:r w:rsidRPr="009E1DBA">
        <w:t>90</w:t>
      </w:r>
      <w:r w:rsidR="009E1DBA">
        <w:noBreakHyphen/>
      </w:r>
      <w:r w:rsidRPr="009E1DBA">
        <w:t xml:space="preserve">50(1) in </w:t>
      </w:r>
      <w:r w:rsidR="00F569DA" w:rsidRPr="009E1DBA">
        <w:t>Schedule 1</w:t>
      </w:r>
    </w:p>
    <w:p w14:paraId="20141B36" w14:textId="77777777" w:rsidR="00976EE3" w:rsidRPr="009E1DBA" w:rsidRDefault="00976EE3" w:rsidP="00F10EAA">
      <w:pPr>
        <w:pStyle w:val="Item"/>
      </w:pPr>
      <w:r w:rsidRPr="009E1DBA">
        <w:t>Insert:</w:t>
      </w:r>
    </w:p>
    <w:p w14:paraId="3E64B79D" w14:textId="77777777" w:rsidR="00976EE3" w:rsidRPr="009E1DBA" w:rsidRDefault="00976EE3" w:rsidP="00F10EAA">
      <w:pPr>
        <w:pStyle w:val="SubsectionHead"/>
      </w:pPr>
      <w:r w:rsidRPr="009E1DBA">
        <w:t>Promoting scheme otherwise than in accordance with ruling</w:t>
      </w:r>
    </w:p>
    <w:p w14:paraId="38E4E970" w14:textId="77777777" w:rsidR="00976EE3" w:rsidRPr="009E1DBA" w:rsidRDefault="00976EE3" w:rsidP="00F10EAA">
      <w:pPr>
        <w:pStyle w:val="subsection"/>
      </w:pPr>
      <w:r w:rsidRPr="009E1DBA">
        <w:tab/>
        <w:t>(1A)</w:t>
      </w:r>
      <w:r w:rsidRPr="009E1DBA">
        <w:tab/>
        <w:t xml:space="preserve">An entity must not engage in conduct that results in a </w:t>
      </w:r>
      <w:r w:rsidR="00F10EAA" w:rsidRPr="009E1DBA">
        <w:rPr>
          <w:position w:val="6"/>
          <w:sz w:val="16"/>
        </w:rPr>
        <w:t>*</w:t>
      </w:r>
      <w:r w:rsidRPr="009E1DBA">
        <w:t xml:space="preserve">scheme that is materially different from that described in a </w:t>
      </w:r>
      <w:r w:rsidR="00F10EAA" w:rsidRPr="009E1DBA">
        <w:rPr>
          <w:position w:val="6"/>
          <w:sz w:val="16"/>
        </w:rPr>
        <w:t>*</w:t>
      </w:r>
      <w:r w:rsidRPr="009E1DBA">
        <w:t xml:space="preserve">public ruling, </w:t>
      </w:r>
      <w:r w:rsidR="00F10EAA" w:rsidRPr="009E1DBA">
        <w:rPr>
          <w:position w:val="6"/>
          <w:sz w:val="16"/>
        </w:rPr>
        <w:t>*</w:t>
      </w:r>
      <w:r w:rsidRPr="009E1DBA">
        <w:t xml:space="preserve">private ruling or </w:t>
      </w:r>
      <w:r w:rsidR="00F10EAA" w:rsidRPr="009E1DBA">
        <w:rPr>
          <w:position w:val="6"/>
          <w:sz w:val="16"/>
        </w:rPr>
        <w:t>*</w:t>
      </w:r>
      <w:r w:rsidRPr="009E1DBA">
        <w:t>oral ruling being promoted on the basis of conformity with that ruling.</w:t>
      </w:r>
    </w:p>
    <w:p w14:paraId="40DC3AA4" w14:textId="77777777" w:rsidR="00976EE3" w:rsidRPr="009E1DBA" w:rsidRDefault="00976EE3" w:rsidP="00F10EAA">
      <w:pPr>
        <w:pStyle w:val="ItemHead"/>
      </w:pPr>
      <w:r w:rsidRPr="009E1DBA">
        <w:t>9  Sub</w:t>
      </w:r>
      <w:r w:rsidR="00F569DA" w:rsidRPr="009E1DBA">
        <w:t>section 2</w:t>
      </w:r>
      <w:r w:rsidRPr="009E1DBA">
        <w:t>90</w:t>
      </w:r>
      <w:r w:rsidR="009E1DBA">
        <w:noBreakHyphen/>
      </w:r>
      <w:r w:rsidRPr="009E1DBA">
        <w:t xml:space="preserve">50(2) in </w:t>
      </w:r>
      <w:r w:rsidR="00F569DA" w:rsidRPr="009E1DBA">
        <w:t>Schedule 1</w:t>
      </w:r>
    </w:p>
    <w:p w14:paraId="5BC26DF5" w14:textId="77777777" w:rsidR="00976EE3" w:rsidRPr="009E1DBA" w:rsidRDefault="00976EE3" w:rsidP="00F10EAA">
      <w:pPr>
        <w:pStyle w:val="Item"/>
      </w:pPr>
      <w:r w:rsidRPr="009E1DBA">
        <w:t>Omit “</w:t>
      </w:r>
      <w:r w:rsidR="00F10EAA" w:rsidRPr="009E1DBA">
        <w:rPr>
          <w:position w:val="6"/>
          <w:sz w:val="16"/>
        </w:rPr>
        <w:t>*</w:t>
      </w:r>
      <w:r w:rsidRPr="009E1DBA">
        <w:t>product ruling”, substitute “</w:t>
      </w:r>
      <w:r w:rsidR="00F10EAA" w:rsidRPr="009E1DBA">
        <w:rPr>
          <w:position w:val="6"/>
          <w:sz w:val="16"/>
        </w:rPr>
        <w:t>*</w:t>
      </w:r>
      <w:r w:rsidRPr="009E1DBA">
        <w:t xml:space="preserve">public ruling, </w:t>
      </w:r>
      <w:r w:rsidR="00F10EAA" w:rsidRPr="009E1DBA">
        <w:rPr>
          <w:position w:val="6"/>
          <w:sz w:val="16"/>
        </w:rPr>
        <w:t>*</w:t>
      </w:r>
      <w:r w:rsidRPr="009E1DBA">
        <w:t xml:space="preserve">private ruling or </w:t>
      </w:r>
      <w:r w:rsidR="00F10EAA" w:rsidRPr="009E1DBA">
        <w:rPr>
          <w:position w:val="6"/>
          <w:sz w:val="16"/>
        </w:rPr>
        <w:t>*</w:t>
      </w:r>
      <w:r w:rsidRPr="009E1DBA">
        <w:t>oral ruling (whether or not the ruling actually relates to the scheme)”.</w:t>
      </w:r>
    </w:p>
    <w:p w14:paraId="4D013BAD" w14:textId="77777777" w:rsidR="00976EE3" w:rsidRPr="009E1DBA" w:rsidRDefault="00976EE3" w:rsidP="00F10EAA">
      <w:pPr>
        <w:pStyle w:val="ItemHead"/>
      </w:pPr>
      <w:r w:rsidRPr="009E1DBA">
        <w:t>10  Sub</w:t>
      </w:r>
      <w:r w:rsidR="00F569DA" w:rsidRPr="009E1DBA">
        <w:t>section 2</w:t>
      </w:r>
      <w:r w:rsidRPr="009E1DBA">
        <w:t>90</w:t>
      </w:r>
      <w:r w:rsidR="009E1DBA">
        <w:noBreakHyphen/>
      </w:r>
      <w:r w:rsidRPr="009E1DBA">
        <w:t xml:space="preserve">50(2) in </w:t>
      </w:r>
      <w:r w:rsidR="00F569DA" w:rsidRPr="009E1DBA">
        <w:t>Schedule 1</w:t>
      </w:r>
    </w:p>
    <w:p w14:paraId="435B365C" w14:textId="77777777" w:rsidR="00976EE3" w:rsidRPr="009E1DBA" w:rsidRDefault="00976EE3" w:rsidP="00F10EAA">
      <w:pPr>
        <w:pStyle w:val="Item"/>
      </w:pPr>
      <w:r w:rsidRPr="009E1DBA">
        <w:t>Omit “the product ruling”, substitute “the ruling”.</w:t>
      </w:r>
    </w:p>
    <w:p w14:paraId="1D415173" w14:textId="77777777" w:rsidR="00976EE3" w:rsidRPr="009E1DBA" w:rsidRDefault="00976EE3" w:rsidP="00F10EAA">
      <w:pPr>
        <w:pStyle w:val="ItemHead"/>
      </w:pPr>
      <w:r w:rsidRPr="009E1DBA">
        <w:t>11  Sub</w:t>
      </w:r>
      <w:r w:rsidR="00F569DA" w:rsidRPr="009E1DBA">
        <w:t>section 2</w:t>
      </w:r>
      <w:r w:rsidRPr="009E1DBA">
        <w:t>90</w:t>
      </w:r>
      <w:r w:rsidR="009E1DBA">
        <w:noBreakHyphen/>
      </w:r>
      <w:r w:rsidRPr="009E1DBA">
        <w:t xml:space="preserve">50(2) in </w:t>
      </w:r>
      <w:r w:rsidR="00F569DA" w:rsidRPr="009E1DBA">
        <w:t>Schedule 1</w:t>
      </w:r>
      <w:r w:rsidRPr="009E1DBA">
        <w:t xml:space="preserve"> (note)</w:t>
      </w:r>
    </w:p>
    <w:p w14:paraId="6DDE5D13" w14:textId="77777777" w:rsidR="00976EE3" w:rsidRPr="009E1DBA" w:rsidRDefault="00976EE3" w:rsidP="00F10EAA">
      <w:pPr>
        <w:pStyle w:val="Item"/>
      </w:pPr>
      <w:r w:rsidRPr="009E1DBA">
        <w:t>Omit “product”.</w:t>
      </w:r>
    </w:p>
    <w:p w14:paraId="06A599DE" w14:textId="77777777" w:rsidR="00976EE3" w:rsidRPr="009E1DBA" w:rsidRDefault="00976EE3" w:rsidP="00F10EAA">
      <w:pPr>
        <w:pStyle w:val="ItemHead"/>
      </w:pPr>
      <w:r w:rsidRPr="009E1DBA">
        <w:t>12  Sub</w:t>
      </w:r>
      <w:r w:rsidR="00F569DA" w:rsidRPr="009E1DBA">
        <w:t>section 2</w:t>
      </w:r>
      <w:r w:rsidRPr="009E1DBA">
        <w:t>90</w:t>
      </w:r>
      <w:r w:rsidR="009E1DBA">
        <w:noBreakHyphen/>
      </w:r>
      <w:r w:rsidRPr="009E1DBA">
        <w:t xml:space="preserve">50(2A) in </w:t>
      </w:r>
      <w:r w:rsidR="00F569DA" w:rsidRPr="009E1DBA">
        <w:t>Schedule 1</w:t>
      </w:r>
    </w:p>
    <w:p w14:paraId="1A0C85C9" w14:textId="77777777" w:rsidR="00976EE3" w:rsidRPr="009E1DBA" w:rsidRDefault="00976EE3" w:rsidP="00F10EAA">
      <w:pPr>
        <w:pStyle w:val="Item"/>
      </w:pPr>
      <w:r w:rsidRPr="009E1DBA">
        <w:t>Omit “</w:t>
      </w:r>
      <w:r w:rsidR="00F569DA" w:rsidRPr="009E1DBA">
        <w:t>subsection (</w:t>
      </w:r>
      <w:r w:rsidRPr="009E1DBA">
        <w:t>2)”, substitute “subsections (1A) and (2)”.</w:t>
      </w:r>
    </w:p>
    <w:p w14:paraId="6D7522F8" w14:textId="77777777" w:rsidR="00976EE3" w:rsidRPr="009E1DBA" w:rsidRDefault="00976EE3" w:rsidP="00F10EAA">
      <w:pPr>
        <w:pStyle w:val="ItemHead"/>
      </w:pPr>
      <w:r w:rsidRPr="009E1DBA">
        <w:lastRenderedPageBreak/>
        <w:t>13  Sub</w:t>
      </w:r>
      <w:r w:rsidR="00F569DA" w:rsidRPr="009E1DBA">
        <w:t>section 2</w:t>
      </w:r>
      <w:r w:rsidRPr="009E1DBA">
        <w:t>90</w:t>
      </w:r>
      <w:r w:rsidR="009E1DBA">
        <w:noBreakHyphen/>
      </w:r>
      <w:r w:rsidRPr="009E1DBA">
        <w:t xml:space="preserve">50(2A) in </w:t>
      </w:r>
      <w:r w:rsidR="00F569DA" w:rsidRPr="009E1DBA">
        <w:t>Schedule 1</w:t>
      </w:r>
      <w:r w:rsidRPr="009E1DBA">
        <w:t xml:space="preserve"> (note 2)</w:t>
      </w:r>
    </w:p>
    <w:p w14:paraId="41CB71B7" w14:textId="77777777" w:rsidR="00976EE3" w:rsidRPr="009E1DBA" w:rsidRDefault="00976EE3" w:rsidP="00F10EAA">
      <w:pPr>
        <w:pStyle w:val="Item"/>
      </w:pPr>
      <w:r w:rsidRPr="009E1DBA">
        <w:t>Omit “product”.</w:t>
      </w:r>
    </w:p>
    <w:p w14:paraId="34D6496E" w14:textId="77777777" w:rsidR="00976EE3" w:rsidRPr="009E1DBA" w:rsidRDefault="00976EE3" w:rsidP="00F10EAA">
      <w:pPr>
        <w:pStyle w:val="ItemHead"/>
      </w:pPr>
      <w:r w:rsidRPr="009E1DBA">
        <w:t>14  Sub</w:t>
      </w:r>
      <w:r w:rsidR="00F569DA" w:rsidRPr="009E1DBA">
        <w:t>section 2</w:t>
      </w:r>
      <w:r w:rsidRPr="009E1DBA">
        <w:t>90</w:t>
      </w:r>
      <w:r w:rsidR="009E1DBA">
        <w:noBreakHyphen/>
      </w:r>
      <w:r w:rsidRPr="009E1DBA">
        <w:t xml:space="preserve">50(3) in </w:t>
      </w:r>
      <w:r w:rsidR="00F569DA" w:rsidRPr="009E1DBA">
        <w:t>Schedule 1</w:t>
      </w:r>
    </w:p>
    <w:p w14:paraId="1BCBD389" w14:textId="77777777" w:rsidR="00976EE3" w:rsidRPr="009E1DBA" w:rsidRDefault="00976EE3" w:rsidP="00F10EAA">
      <w:pPr>
        <w:pStyle w:val="Item"/>
      </w:pPr>
      <w:r w:rsidRPr="009E1DBA">
        <w:t>After “(1)”, insert “, (1A)”.</w:t>
      </w:r>
    </w:p>
    <w:p w14:paraId="757EE8B0" w14:textId="77777777" w:rsidR="00976EE3" w:rsidRPr="009E1DBA" w:rsidRDefault="00976EE3" w:rsidP="00F10EAA">
      <w:pPr>
        <w:pStyle w:val="ItemHead"/>
      </w:pPr>
      <w:r w:rsidRPr="009E1DBA">
        <w:t xml:space="preserve">15  At the end of </w:t>
      </w:r>
      <w:r w:rsidR="00F569DA" w:rsidRPr="009E1DBA">
        <w:t>subsection 2</w:t>
      </w:r>
      <w:r w:rsidRPr="009E1DBA">
        <w:t>90</w:t>
      </w:r>
      <w:r w:rsidR="009E1DBA">
        <w:noBreakHyphen/>
      </w:r>
      <w:r w:rsidRPr="009E1DBA">
        <w:t xml:space="preserve">50(3) in </w:t>
      </w:r>
      <w:r w:rsidR="00F569DA" w:rsidRPr="009E1DBA">
        <w:t>Schedule 1</w:t>
      </w:r>
    </w:p>
    <w:p w14:paraId="20B19170" w14:textId="77777777" w:rsidR="00976EE3" w:rsidRPr="009E1DBA" w:rsidRDefault="00976EE3" w:rsidP="00F10EAA">
      <w:pPr>
        <w:pStyle w:val="Item"/>
      </w:pPr>
      <w:r w:rsidRPr="009E1DBA">
        <w:t>Add:</w:t>
      </w:r>
    </w:p>
    <w:p w14:paraId="572545EF" w14:textId="77777777" w:rsidR="00976EE3" w:rsidRPr="009E1DBA" w:rsidRDefault="00976EE3" w:rsidP="00F10EAA">
      <w:pPr>
        <w:pStyle w:val="notetext"/>
      </w:pPr>
      <w:r w:rsidRPr="009E1DBA">
        <w:t>Note:</w:t>
      </w:r>
      <w:r w:rsidRPr="009E1DBA">
        <w:tab/>
        <w:t xml:space="preserve">If the entity is a registered tax agent or BAS agent, being penalised under this subsection may affect the continued registration of the entity: see </w:t>
      </w:r>
      <w:r w:rsidR="00F569DA" w:rsidRPr="009E1DBA">
        <w:t>section 2</w:t>
      </w:r>
      <w:r w:rsidRPr="009E1DBA">
        <w:t>0</w:t>
      </w:r>
      <w:r w:rsidR="009E1DBA">
        <w:noBreakHyphen/>
      </w:r>
      <w:r w:rsidRPr="009E1DBA">
        <w:t xml:space="preserve">45 and </w:t>
      </w:r>
      <w:r w:rsidR="00F569DA" w:rsidRPr="009E1DBA">
        <w:t>Subdivision 4</w:t>
      </w:r>
      <w:r w:rsidRPr="009E1DBA">
        <w:t>0</w:t>
      </w:r>
      <w:r w:rsidR="009E1DBA">
        <w:noBreakHyphen/>
      </w:r>
      <w:r w:rsidRPr="009E1DBA">
        <w:t xml:space="preserve">A of the </w:t>
      </w:r>
      <w:r w:rsidRPr="009E1DBA">
        <w:rPr>
          <w:i/>
        </w:rPr>
        <w:t>Tax Agent Services Act 2009</w:t>
      </w:r>
      <w:r w:rsidRPr="009E1DBA">
        <w:t>.</w:t>
      </w:r>
    </w:p>
    <w:p w14:paraId="4BF8D045" w14:textId="77777777" w:rsidR="00976EE3" w:rsidRPr="009E1DBA" w:rsidRDefault="00976EE3" w:rsidP="00F10EAA">
      <w:pPr>
        <w:pStyle w:val="ItemHead"/>
      </w:pPr>
      <w:r w:rsidRPr="009E1DBA">
        <w:t>16  Sub</w:t>
      </w:r>
      <w:r w:rsidR="00F569DA" w:rsidRPr="009E1DBA">
        <w:t>section 2</w:t>
      </w:r>
      <w:r w:rsidRPr="009E1DBA">
        <w:t>90</w:t>
      </w:r>
      <w:r w:rsidR="009E1DBA">
        <w:noBreakHyphen/>
      </w:r>
      <w:r w:rsidRPr="009E1DBA">
        <w:t xml:space="preserve">50(4) in </w:t>
      </w:r>
      <w:r w:rsidR="00F569DA" w:rsidRPr="009E1DBA">
        <w:t>Schedule 1</w:t>
      </w:r>
    </w:p>
    <w:p w14:paraId="235AB6DE" w14:textId="77777777" w:rsidR="00976EE3" w:rsidRPr="009E1DBA" w:rsidRDefault="00976EE3" w:rsidP="00F10EAA">
      <w:pPr>
        <w:pStyle w:val="Item"/>
      </w:pPr>
      <w:r w:rsidRPr="009E1DBA">
        <w:t>Repeal the subsection, substitute:</w:t>
      </w:r>
    </w:p>
    <w:p w14:paraId="6A262748" w14:textId="77777777" w:rsidR="00976EE3" w:rsidRPr="009E1DBA" w:rsidRDefault="00976EE3" w:rsidP="00F10EAA">
      <w:pPr>
        <w:pStyle w:val="SubsectionHead"/>
      </w:pPr>
      <w:r w:rsidRPr="009E1DBA">
        <w:t>Amount of penalty</w:t>
      </w:r>
    </w:p>
    <w:p w14:paraId="54BDDDAE" w14:textId="77777777" w:rsidR="00976EE3" w:rsidRPr="009E1DBA" w:rsidRDefault="00976EE3" w:rsidP="00F10EAA">
      <w:pPr>
        <w:pStyle w:val="subsection"/>
      </w:pPr>
      <w:r w:rsidRPr="009E1DBA">
        <w:tab/>
        <w:t>(4)</w:t>
      </w:r>
      <w:r w:rsidRPr="009E1DBA">
        <w:tab/>
        <w:t>The maximum amount of the penalty for a contravention by an entity</w:t>
      </w:r>
      <w:r w:rsidRPr="009E1DBA">
        <w:rPr>
          <w:i/>
        </w:rPr>
        <w:t xml:space="preserve"> </w:t>
      </w:r>
      <w:r w:rsidRPr="009E1DBA">
        <w:t>is the greater of:</w:t>
      </w:r>
    </w:p>
    <w:p w14:paraId="12EE44F7" w14:textId="77777777" w:rsidR="00976EE3" w:rsidRPr="009E1DBA" w:rsidRDefault="00976EE3" w:rsidP="00F10EAA">
      <w:pPr>
        <w:pStyle w:val="paragraph"/>
      </w:pPr>
      <w:r w:rsidRPr="009E1DBA">
        <w:tab/>
        <w:t>(a)</w:t>
      </w:r>
      <w:r w:rsidRPr="009E1DBA">
        <w:tab/>
        <w:t>5,000 penalty units; and</w:t>
      </w:r>
    </w:p>
    <w:p w14:paraId="59D868A8" w14:textId="77777777" w:rsidR="00976EE3" w:rsidRPr="009E1DBA" w:rsidRDefault="00976EE3" w:rsidP="00F10EAA">
      <w:pPr>
        <w:pStyle w:val="paragraph"/>
      </w:pPr>
      <w:r w:rsidRPr="009E1DBA">
        <w:tab/>
        <w:t>(b)</w:t>
      </w:r>
      <w:r w:rsidRPr="009E1DBA">
        <w:tab/>
        <w:t>3 times the total value of all</w:t>
      </w:r>
      <w:r w:rsidRPr="009E1DBA">
        <w:rPr>
          <w:i/>
        </w:rPr>
        <w:t xml:space="preserve"> </w:t>
      </w:r>
      <w:r w:rsidRPr="009E1DBA">
        <w:t>benefits</w:t>
      </w:r>
      <w:r w:rsidRPr="009E1DBA">
        <w:rPr>
          <w:i/>
        </w:rPr>
        <w:t xml:space="preserve"> </w:t>
      </w:r>
      <w:r w:rsidRPr="009E1DBA">
        <w:t xml:space="preserve">received or receivable (directly or indirectly) by the entity and </w:t>
      </w:r>
      <w:r w:rsidR="00F10EAA" w:rsidRPr="009E1DBA">
        <w:rPr>
          <w:position w:val="6"/>
          <w:sz w:val="16"/>
        </w:rPr>
        <w:t>*</w:t>
      </w:r>
      <w:r w:rsidRPr="009E1DBA">
        <w:t xml:space="preserve">associates of the entity in respect of the </w:t>
      </w:r>
      <w:r w:rsidR="00F10EAA" w:rsidRPr="009E1DBA">
        <w:rPr>
          <w:position w:val="6"/>
          <w:sz w:val="16"/>
        </w:rPr>
        <w:t>*</w:t>
      </w:r>
      <w:r w:rsidRPr="009E1DBA">
        <w:t>scheme.</w:t>
      </w:r>
    </w:p>
    <w:p w14:paraId="5E33E652" w14:textId="77777777" w:rsidR="00976EE3" w:rsidRPr="009E1DBA" w:rsidRDefault="00976EE3" w:rsidP="00F10EAA">
      <w:pPr>
        <w:pStyle w:val="notetext"/>
      </w:pPr>
      <w:r w:rsidRPr="009E1DBA">
        <w:t>Note:</w:t>
      </w:r>
      <w:r w:rsidRPr="009E1DBA">
        <w:tab/>
        <w:t xml:space="preserve">See section 4AA of the </w:t>
      </w:r>
      <w:r w:rsidRPr="009E1DBA">
        <w:rPr>
          <w:i/>
        </w:rPr>
        <w:t>Crimes Act 1914</w:t>
      </w:r>
      <w:r w:rsidRPr="009E1DBA">
        <w:t xml:space="preserve"> for the current value of a penalty unit.</w:t>
      </w:r>
    </w:p>
    <w:p w14:paraId="0817CA35" w14:textId="77777777" w:rsidR="00976EE3" w:rsidRPr="009E1DBA" w:rsidRDefault="00976EE3" w:rsidP="00F10EAA">
      <w:pPr>
        <w:pStyle w:val="subsection"/>
      </w:pPr>
      <w:r w:rsidRPr="009E1DBA">
        <w:tab/>
        <w:t>(4A)</w:t>
      </w:r>
      <w:r w:rsidRPr="009E1DBA">
        <w:tab/>
        <w:t xml:space="preserve">Despite </w:t>
      </w:r>
      <w:r w:rsidR="00F569DA" w:rsidRPr="009E1DBA">
        <w:t>subsection (</w:t>
      </w:r>
      <w:r w:rsidRPr="009E1DBA">
        <w:t>4), the maximum amount of the penalty for a contravention by an entity that is a body corporate is the greatest of the following:</w:t>
      </w:r>
    </w:p>
    <w:p w14:paraId="13B514BF" w14:textId="77777777" w:rsidR="00976EE3" w:rsidRPr="009E1DBA" w:rsidRDefault="00976EE3" w:rsidP="00F10EAA">
      <w:pPr>
        <w:pStyle w:val="paragraph"/>
      </w:pPr>
      <w:r w:rsidRPr="009E1DBA">
        <w:tab/>
        <w:t>(a)</w:t>
      </w:r>
      <w:r w:rsidRPr="009E1DBA">
        <w:tab/>
        <w:t>50,000 penalty units;</w:t>
      </w:r>
    </w:p>
    <w:p w14:paraId="24E98D6C" w14:textId="77777777" w:rsidR="00976EE3" w:rsidRPr="009E1DBA" w:rsidRDefault="00976EE3" w:rsidP="00F10EAA">
      <w:pPr>
        <w:pStyle w:val="paragraph"/>
      </w:pPr>
      <w:r w:rsidRPr="009E1DBA">
        <w:tab/>
        <w:t>(b)</w:t>
      </w:r>
      <w:r w:rsidRPr="009E1DBA">
        <w:tab/>
        <w:t>3 times the total value of all</w:t>
      </w:r>
      <w:r w:rsidRPr="009E1DBA">
        <w:rPr>
          <w:i/>
        </w:rPr>
        <w:t xml:space="preserve"> </w:t>
      </w:r>
      <w:r w:rsidRPr="009E1DBA">
        <w:t>benefits</w:t>
      </w:r>
      <w:r w:rsidRPr="009E1DBA">
        <w:rPr>
          <w:i/>
        </w:rPr>
        <w:t xml:space="preserve"> </w:t>
      </w:r>
      <w:r w:rsidRPr="009E1DBA">
        <w:t xml:space="preserve">received or receivable (directly or indirectly) by the entity and </w:t>
      </w:r>
      <w:r w:rsidR="00F10EAA" w:rsidRPr="009E1DBA">
        <w:rPr>
          <w:position w:val="6"/>
          <w:sz w:val="16"/>
        </w:rPr>
        <w:t>*</w:t>
      </w:r>
      <w:r w:rsidRPr="009E1DBA">
        <w:t xml:space="preserve">associates of the entity in respect of the </w:t>
      </w:r>
      <w:r w:rsidR="00F10EAA" w:rsidRPr="009E1DBA">
        <w:rPr>
          <w:position w:val="6"/>
          <w:sz w:val="16"/>
        </w:rPr>
        <w:t>*</w:t>
      </w:r>
      <w:r w:rsidRPr="009E1DBA">
        <w:t>scheme;</w:t>
      </w:r>
    </w:p>
    <w:p w14:paraId="2EE33E41" w14:textId="77777777" w:rsidR="00976EE3" w:rsidRPr="009E1DBA" w:rsidRDefault="00976EE3" w:rsidP="00F10EAA">
      <w:pPr>
        <w:pStyle w:val="paragraph"/>
      </w:pPr>
      <w:r w:rsidRPr="009E1DBA">
        <w:tab/>
        <w:t>(c)</w:t>
      </w:r>
      <w:r w:rsidRPr="009E1DBA">
        <w:tab/>
        <w:t>either:</w:t>
      </w:r>
    </w:p>
    <w:p w14:paraId="5ED80B2B" w14:textId="77777777" w:rsidR="00976EE3" w:rsidRPr="009E1DBA" w:rsidRDefault="00976EE3" w:rsidP="00F10EAA">
      <w:pPr>
        <w:pStyle w:val="paragraphsub"/>
      </w:pPr>
      <w:r w:rsidRPr="009E1DBA">
        <w:tab/>
        <w:t>(i)</w:t>
      </w:r>
      <w:r w:rsidRPr="009E1DBA">
        <w:tab/>
        <w:t xml:space="preserve">10% of the </w:t>
      </w:r>
      <w:r w:rsidR="00F10EAA" w:rsidRPr="009E1DBA">
        <w:rPr>
          <w:position w:val="6"/>
          <w:sz w:val="16"/>
        </w:rPr>
        <w:t>*</w:t>
      </w:r>
      <w:r w:rsidRPr="009E1DBA">
        <w:t>aggregated turnover of the entity for the most recent income year to end before the entity contravened, or began to contravene, the provision; or</w:t>
      </w:r>
    </w:p>
    <w:p w14:paraId="21315C5F" w14:textId="77777777" w:rsidR="00976EE3" w:rsidRPr="009E1DBA" w:rsidRDefault="00976EE3" w:rsidP="00F10EAA">
      <w:pPr>
        <w:pStyle w:val="paragraphsub"/>
      </w:pPr>
      <w:r w:rsidRPr="009E1DBA">
        <w:lastRenderedPageBreak/>
        <w:tab/>
        <w:t>(ii)</w:t>
      </w:r>
      <w:r w:rsidRPr="009E1DBA">
        <w:tab/>
        <w:t xml:space="preserve">if the amount worked out under </w:t>
      </w:r>
      <w:r w:rsidR="00F569DA" w:rsidRPr="009E1DBA">
        <w:t>subparagraph (</w:t>
      </w:r>
      <w:r w:rsidRPr="009E1DBA">
        <w:t>i) is greater than an amount equal to 2.5 million penalty units—2.5 million penalty units.</w:t>
      </w:r>
    </w:p>
    <w:p w14:paraId="7DB163A0" w14:textId="77777777" w:rsidR="00976EE3" w:rsidRPr="009E1DBA" w:rsidRDefault="00976EE3" w:rsidP="00F10EAA">
      <w:pPr>
        <w:pStyle w:val="notetext"/>
      </w:pPr>
      <w:r w:rsidRPr="009E1DBA">
        <w:t>Note:</w:t>
      </w:r>
      <w:r w:rsidRPr="009E1DBA">
        <w:tab/>
        <w:t xml:space="preserve">See section 4AA of the </w:t>
      </w:r>
      <w:r w:rsidRPr="009E1DBA">
        <w:rPr>
          <w:i/>
        </w:rPr>
        <w:t>Crimes Act 1914</w:t>
      </w:r>
      <w:r w:rsidRPr="009E1DBA">
        <w:t xml:space="preserve"> for the current value of a penalty unit.</w:t>
      </w:r>
    </w:p>
    <w:p w14:paraId="1947FD65" w14:textId="77777777" w:rsidR="00976EE3" w:rsidRPr="009E1DBA" w:rsidRDefault="00976EE3" w:rsidP="00F10EAA">
      <w:pPr>
        <w:pStyle w:val="subsection"/>
      </w:pPr>
      <w:r w:rsidRPr="009E1DBA">
        <w:tab/>
        <w:t>(4B)</w:t>
      </w:r>
      <w:r w:rsidRPr="009E1DBA">
        <w:tab/>
        <w:t>Despite subsections (4) and (4A), the maximum amount of the penalty for a contravention by an entity that is:</w:t>
      </w:r>
    </w:p>
    <w:p w14:paraId="79D0C05D" w14:textId="77777777" w:rsidR="00976EE3" w:rsidRPr="009E1DBA" w:rsidRDefault="00976EE3" w:rsidP="00F10EAA">
      <w:pPr>
        <w:pStyle w:val="paragraph"/>
      </w:pPr>
      <w:r w:rsidRPr="009E1DBA">
        <w:tab/>
        <w:t>(a)</w:t>
      </w:r>
      <w:r w:rsidRPr="009E1DBA">
        <w:tab/>
        <w:t xml:space="preserve">a partner in a partnership that is a </w:t>
      </w:r>
      <w:r w:rsidR="00F10EAA" w:rsidRPr="009E1DBA">
        <w:rPr>
          <w:position w:val="6"/>
          <w:sz w:val="16"/>
        </w:rPr>
        <w:t>*</w:t>
      </w:r>
      <w:r w:rsidRPr="009E1DBA">
        <w:t>significant global entity; or</w:t>
      </w:r>
    </w:p>
    <w:p w14:paraId="5870A439" w14:textId="77777777" w:rsidR="00976EE3" w:rsidRPr="009E1DBA" w:rsidRDefault="00976EE3" w:rsidP="00F10EAA">
      <w:pPr>
        <w:pStyle w:val="paragraph"/>
      </w:pPr>
      <w:r w:rsidRPr="009E1DBA">
        <w:tab/>
        <w:t>(b)</w:t>
      </w:r>
      <w:r w:rsidRPr="009E1DBA">
        <w:tab/>
        <w:t>a trustee of a trust that is a significant global entity;</w:t>
      </w:r>
    </w:p>
    <w:p w14:paraId="74590308" w14:textId="77777777" w:rsidR="00976EE3" w:rsidRPr="009E1DBA" w:rsidRDefault="00976EE3" w:rsidP="00F10EAA">
      <w:pPr>
        <w:pStyle w:val="subsection2"/>
      </w:pPr>
      <w:r w:rsidRPr="009E1DBA">
        <w:t>is the greatest of the following:</w:t>
      </w:r>
    </w:p>
    <w:p w14:paraId="15D6526E" w14:textId="77777777" w:rsidR="00976EE3" w:rsidRPr="009E1DBA" w:rsidRDefault="00976EE3" w:rsidP="00F10EAA">
      <w:pPr>
        <w:pStyle w:val="paragraph"/>
      </w:pPr>
      <w:r w:rsidRPr="009E1DBA">
        <w:tab/>
        <w:t>(c)</w:t>
      </w:r>
      <w:r w:rsidRPr="009E1DBA">
        <w:tab/>
        <w:t>50,000 penalty units;</w:t>
      </w:r>
    </w:p>
    <w:p w14:paraId="5A24F7A3" w14:textId="77777777" w:rsidR="00976EE3" w:rsidRPr="009E1DBA" w:rsidRDefault="00976EE3" w:rsidP="00F10EAA">
      <w:pPr>
        <w:pStyle w:val="paragraph"/>
      </w:pPr>
      <w:r w:rsidRPr="009E1DBA">
        <w:tab/>
        <w:t>(d)</w:t>
      </w:r>
      <w:r w:rsidRPr="009E1DBA">
        <w:tab/>
        <w:t>3 times the total value of all</w:t>
      </w:r>
      <w:r w:rsidRPr="009E1DBA">
        <w:rPr>
          <w:i/>
        </w:rPr>
        <w:t xml:space="preserve"> </w:t>
      </w:r>
      <w:r w:rsidRPr="009E1DBA">
        <w:t>benefits</w:t>
      </w:r>
      <w:r w:rsidRPr="009E1DBA">
        <w:rPr>
          <w:i/>
        </w:rPr>
        <w:t xml:space="preserve"> </w:t>
      </w:r>
      <w:r w:rsidRPr="009E1DBA">
        <w:t xml:space="preserve">received or receivable (directly or indirectly) by the significant global entity and </w:t>
      </w:r>
      <w:r w:rsidR="00F10EAA" w:rsidRPr="009E1DBA">
        <w:rPr>
          <w:position w:val="6"/>
          <w:sz w:val="16"/>
        </w:rPr>
        <w:t>*</w:t>
      </w:r>
      <w:r w:rsidRPr="009E1DBA">
        <w:t xml:space="preserve">associates of the significant global entity in respect of the </w:t>
      </w:r>
      <w:r w:rsidR="00F10EAA" w:rsidRPr="009E1DBA">
        <w:rPr>
          <w:position w:val="6"/>
          <w:sz w:val="16"/>
        </w:rPr>
        <w:t>*</w:t>
      </w:r>
      <w:r w:rsidRPr="009E1DBA">
        <w:t>scheme;</w:t>
      </w:r>
    </w:p>
    <w:p w14:paraId="573D1276" w14:textId="77777777" w:rsidR="00976EE3" w:rsidRPr="009E1DBA" w:rsidRDefault="00976EE3" w:rsidP="00F10EAA">
      <w:pPr>
        <w:pStyle w:val="paragraph"/>
      </w:pPr>
      <w:r w:rsidRPr="009E1DBA">
        <w:tab/>
        <w:t>(e)</w:t>
      </w:r>
      <w:r w:rsidRPr="009E1DBA">
        <w:tab/>
        <w:t>either:</w:t>
      </w:r>
    </w:p>
    <w:p w14:paraId="5CFA286F" w14:textId="77777777" w:rsidR="00976EE3" w:rsidRPr="009E1DBA" w:rsidRDefault="00976EE3" w:rsidP="00F10EAA">
      <w:pPr>
        <w:pStyle w:val="paragraphsub"/>
      </w:pPr>
      <w:r w:rsidRPr="009E1DBA">
        <w:tab/>
        <w:t>(i)</w:t>
      </w:r>
      <w:r w:rsidRPr="009E1DBA">
        <w:tab/>
        <w:t xml:space="preserve">10% of the </w:t>
      </w:r>
      <w:r w:rsidR="00F10EAA" w:rsidRPr="009E1DBA">
        <w:rPr>
          <w:position w:val="6"/>
          <w:sz w:val="16"/>
        </w:rPr>
        <w:t>*</w:t>
      </w:r>
      <w:r w:rsidRPr="009E1DBA">
        <w:t>aggregated turnover of the significant global entity for the most recent income year to end before the entity contravened, or began to contravene, the provision; or</w:t>
      </w:r>
    </w:p>
    <w:p w14:paraId="03EE15ED" w14:textId="77777777" w:rsidR="00976EE3" w:rsidRPr="009E1DBA" w:rsidRDefault="00976EE3" w:rsidP="00F10EAA">
      <w:pPr>
        <w:pStyle w:val="paragraphsub"/>
      </w:pPr>
      <w:r w:rsidRPr="009E1DBA">
        <w:tab/>
        <w:t>(ii)</w:t>
      </w:r>
      <w:r w:rsidRPr="009E1DBA">
        <w:tab/>
        <w:t xml:space="preserve">if the amount worked out under </w:t>
      </w:r>
      <w:r w:rsidR="00F569DA" w:rsidRPr="009E1DBA">
        <w:t>subparagraph (</w:t>
      </w:r>
      <w:r w:rsidRPr="009E1DBA">
        <w:t>i) is greater than an amount equal to 2.5 million penalty units—2.5 million penalty units.</w:t>
      </w:r>
    </w:p>
    <w:p w14:paraId="5FCBD247" w14:textId="77777777" w:rsidR="00976EE3" w:rsidRPr="009E1DBA" w:rsidRDefault="00976EE3" w:rsidP="00F10EAA">
      <w:pPr>
        <w:pStyle w:val="notetext"/>
      </w:pPr>
      <w:r w:rsidRPr="009E1DBA">
        <w:t>Note:</w:t>
      </w:r>
      <w:r w:rsidRPr="009E1DBA">
        <w:tab/>
        <w:t xml:space="preserve">See section 4AA of the </w:t>
      </w:r>
      <w:r w:rsidRPr="009E1DBA">
        <w:rPr>
          <w:i/>
        </w:rPr>
        <w:t>Crimes Act 1914</w:t>
      </w:r>
      <w:r w:rsidRPr="009E1DBA">
        <w:t xml:space="preserve"> for the current value of a penalty unit.</w:t>
      </w:r>
    </w:p>
    <w:p w14:paraId="294EDBF0" w14:textId="77777777" w:rsidR="00976EE3" w:rsidRPr="009E1DBA" w:rsidRDefault="00976EE3" w:rsidP="00F10EAA">
      <w:pPr>
        <w:pStyle w:val="ItemHead"/>
      </w:pPr>
      <w:r w:rsidRPr="009E1DBA">
        <w:t>17  Sub</w:t>
      </w:r>
      <w:r w:rsidR="00F569DA" w:rsidRPr="009E1DBA">
        <w:t>section 2</w:t>
      </w:r>
      <w:r w:rsidRPr="009E1DBA">
        <w:t>90</w:t>
      </w:r>
      <w:r w:rsidR="009E1DBA">
        <w:noBreakHyphen/>
      </w:r>
      <w:r w:rsidRPr="009E1DBA">
        <w:t xml:space="preserve">50(5) in </w:t>
      </w:r>
      <w:r w:rsidR="00F569DA" w:rsidRPr="009E1DBA">
        <w:t>Schedule 1</w:t>
      </w:r>
    </w:p>
    <w:p w14:paraId="5158607A" w14:textId="77777777" w:rsidR="00976EE3" w:rsidRPr="009E1DBA" w:rsidRDefault="00976EE3" w:rsidP="00F10EAA">
      <w:pPr>
        <w:pStyle w:val="Item"/>
      </w:pPr>
      <w:r w:rsidRPr="009E1DBA">
        <w:t>After “(1)”, insert “, (1A)”.</w:t>
      </w:r>
    </w:p>
    <w:p w14:paraId="4679FD70" w14:textId="77777777" w:rsidR="00976EE3" w:rsidRPr="009E1DBA" w:rsidRDefault="00976EE3" w:rsidP="00F10EAA">
      <w:pPr>
        <w:pStyle w:val="ItemHead"/>
      </w:pPr>
      <w:r w:rsidRPr="009E1DBA">
        <w:t>18  Paragraph 290</w:t>
      </w:r>
      <w:r w:rsidR="009E1DBA">
        <w:noBreakHyphen/>
      </w:r>
      <w:r w:rsidRPr="009E1DBA">
        <w:t xml:space="preserve">50(5)(a) in </w:t>
      </w:r>
      <w:r w:rsidR="00F569DA" w:rsidRPr="009E1DBA">
        <w:t>Schedule 1</w:t>
      </w:r>
    </w:p>
    <w:p w14:paraId="50FC98B7" w14:textId="77777777" w:rsidR="00976EE3" w:rsidRPr="009E1DBA" w:rsidRDefault="00976EE3" w:rsidP="00F10EAA">
      <w:pPr>
        <w:pStyle w:val="Item"/>
      </w:pPr>
      <w:r w:rsidRPr="009E1DBA">
        <w:t>Omit “consideration”, substitute “benefit”.</w:t>
      </w:r>
    </w:p>
    <w:p w14:paraId="057B74F5" w14:textId="77777777" w:rsidR="00976EE3" w:rsidRPr="009E1DBA" w:rsidRDefault="00976EE3" w:rsidP="00F10EAA">
      <w:pPr>
        <w:pStyle w:val="ItemHead"/>
      </w:pPr>
      <w:r w:rsidRPr="009E1DBA">
        <w:t>19  Sub</w:t>
      </w:r>
      <w:r w:rsidR="00F569DA" w:rsidRPr="009E1DBA">
        <w:t>section 2</w:t>
      </w:r>
      <w:r w:rsidRPr="009E1DBA">
        <w:t>90</w:t>
      </w:r>
      <w:r w:rsidR="009E1DBA">
        <w:noBreakHyphen/>
      </w:r>
      <w:r w:rsidRPr="009E1DBA">
        <w:t xml:space="preserve">55(2) in </w:t>
      </w:r>
      <w:r w:rsidR="00F569DA" w:rsidRPr="009E1DBA">
        <w:t>Schedule 1</w:t>
      </w:r>
    </w:p>
    <w:p w14:paraId="6C4291A0" w14:textId="77777777" w:rsidR="00976EE3" w:rsidRPr="009E1DBA" w:rsidRDefault="00976EE3" w:rsidP="00F10EAA">
      <w:pPr>
        <w:pStyle w:val="Item"/>
      </w:pPr>
      <w:r w:rsidRPr="009E1DBA">
        <w:t>Repeal the subsection, substitute:</w:t>
      </w:r>
    </w:p>
    <w:p w14:paraId="50D990EC" w14:textId="77777777" w:rsidR="00976EE3" w:rsidRPr="009E1DBA" w:rsidRDefault="00976EE3" w:rsidP="00F10EAA">
      <w:pPr>
        <w:pStyle w:val="subsection"/>
      </w:pPr>
      <w:r w:rsidRPr="009E1DBA">
        <w:tab/>
        <w:t>(2)</w:t>
      </w:r>
      <w:r w:rsidRPr="009E1DBA">
        <w:tab/>
        <w:t xml:space="preserve">The other entity referred to in </w:t>
      </w:r>
      <w:r w:rsidR="00F569DA" w:rsidRPr="009E1DBA">
        <w:t>paragraph (</w:t>
      </w:r>
      <w:r w:rsidRPr="009E1DBA">
        <w:t>1)(b) does not include:</w:t>
      </w:r>
    </w:p>
    <w:p w14:paraId="459999DB" w14:textId="77777777" w:rsidR="00976EE3" w:rsidRPr="009E1DBA" w:rsidRDefault="00976EE3" w:rsidP="00F10EAA">
      <w:pPr>
        <w:pStyle w:val="paragraph"/>
      </w:pPr>
      <w:r w:rsidRPr="009E1DBA">
        <w:lastRenderedPageBreak/>
        <w:tab/>
        <w:t>(a)</w:t>
      </w:r>
      <w:r w:rsidRPr="009E1DBA">
        <w:tab/>
        <w:t>someone who was an employee or agent of the entity when the alleged conduct occurred; or</w:t>
      </w:r>
    </w:p>
    <w:p w14:paraId="30B04485" w14:textId="77777777" w:rsidR="00976EE3" w:rsidRPr="009E1DBA" w:rsidRDefault="00976EE3" w:rsidP="00F10EAA">
      <w:pPr>
        <w:pStyle w:val="paragraph"/>
      </w:pPr>
      <w:r w:rsidRPr="009E1DBA">
        <w:tab/>
        <w:t>(b)</w:t>
      </w:r>
      <w:r w:rsidRPr="009E1DBA">
        <w:tab/>
        <w:t>if the entity is a body corporate—someone who was a director of the entity when the alleged conduct occurred; or</w:t>
      </w:r>
    </w:p>
    <w:p w14:paraId="7541739C" w14:textId="77777777" w:rsidR="00976EE3" w:rsidRPr="009E1DBA" w:rsidRDefault="00976EE3" w:rsidP="00F10EAA">
      <w:pPr>
        <w:pStyle w:val="paragraph"/>
      </w:pPr>
      <w:r w:rsidRPr="009E1DBA">
        <w:tab/>
        <w:t>(c)</w:t>
      </w:r>
      <w:r w:rsidRPr="009E1DBA">
        <w:tab/>
        <w:t>if the entity is a partner in a partnership—someone who was also a partner in the partnership when the alleged conduct occurred; or</w:t>
      </w:r>
    </w:p>
    <w:p w14:paraId="6AFD2AF2" w14:textId="77777777" w:rsidR="00976EE3" w:rsidRPr="009E1DBA" w:rsidRDefault="00976EE3" w:rsidP="00F10EAA">
      <w:pPr>
        <w:pStyle w:val="paragraph"/>
      </w:pPr>
      <w:r w:rsidRPr="009E1DBA">
        <w:tab/>
        <w:t>(d)</w:t>
      </w:r>
      <w:r w:rsidRPr="009E1DBA">
        <w:tab/>
        <w:t>if the entity is a trustee of a trust that has more than one trustee—someone who was also a trustee of the trust when the alleged conduct occurred.</w:t>
      </w:r>
    </w:p>
    <w:p w14:paraId="0D6568BF" w14:textId="77777777" w:rsidR="00976EE3" w:rsidRPr="009E1DBA" w:rsidRDefault="00976EE3" w:rsidP="00F10EAA">
      <w:pPr>
        <w:pStyle w:val="ItemHead"/>
      </w:pPr>
      <w:r w:rsidRPr="009E1DBA">
        <w:t>20  Sub</w:t>
      </w:r>
      <w:r w:rsidR="00F569DA" w:rsidRPr="009E1DBA">
        <w:t>section 2</w:t>
      </w:r>
      <w:r w:rsidRPr="009E1DBA">
        <w:t>90</w:t>
      </w:r>
      <w:r w:rsidR="009E1DBA">
        <w:noBreakHyphen/>
      </w:r>
      <w:r w:rsidRPr="009E1DBA">
        <w:t xml:space="preserve">55(4) in </w:t>
      </w:r>
      <w:r w:rsidR="00F569DA" w:rsidRPr="009E1DBA">
        <w:t>Schedule 1</w:t>
      </w:r>
    </w:p>
    <w:p w14:paraId="06703158" w14:textId="77777777" w:rsidR="00976EE3" w:rsidRPr="009E1DBA" w:rsidRDefault="00976EE3" w:rsidP="00F10EAA">
      <w:pPr>
        <w:pStyle w:val="Item"/>
      </w:pPr>
      <w:r w:rsidRPr="009E1DBA">
        <w:t>Omit “4 years”, substitute “6 years”.</w:t>
      </w:r>
    </w:p>
    <w:p w14:paraId="1921BB29" w14:textId="77777777" w:rsidR="00976EE3" w:rsidRPr="009E1DBA" w:rsidRDefault="00976EE3" w:rsidP="00F10EAA">
      <w:pPr>
        <w:pStyle w:val="ItemHead"/>
      </w:pPr>
      <w:r w:rsidRPr="009E1DBA">
        <w:t>21  Sub</w:t>
      </w:r>
      <w:r w:rsidR="00F569DA" w:rsidRPr="009E1DBA">
        <w:t>section 2</w:t>
      </w:r>
      <w:r w:rsidRPr="009E1DBA">
        <w:t>90</w:t>
      </w:r>
      <w:r w:rsidR="009E1DBA">
        <w:noBreakHyphen/>
      </w:r>
      <w:r w:rsidRPr="009E1DBA">
        <w:t xml:space="preserve">55(5) in </w:t>
      </w:r>
      <w:r w:rsidR="00F569DA" w:rsidRPr="009E1DBA">
        <w:t>Schedule 1</w:t>
      </w:r>
    </w:p>
    <w:p w14:paraId="3E15E498" w14:textId="77777777" w:rsidR="00976EE3" w:rsidRPr="009E1DBA" w:rsidRDefault="00976EE3" w:rsidP="00F10EAA">
      <w:pPr>
        <w:pStyle w:val="Item"/>
      </w:pPr>
      <w:r w:rsidRPr="009E1DBA">
        <w:t>Omit “</w:t>
      </w:r>
      <w:r w:rsidR="00F10EAA" w:rsidRPr="009E1DBA">
        <w:rPr>
          <w:position w:val="6"/>
          <w:sz w:val="16"/>
        </w:rPr>
        <w:t>*</w:t>
      </w:r>
      <w:r w:rsidRPr="009E1DBA">
        <w:t>product ruling”, substitute “</w:t>
      </w:r>
      <w:r w:rsidR="00F10EAA" w:rsidRPr="009E1DBA">
        <w:rPr>
          <w:position w:val="6"/>
          <w:sz w:val="16"/>
        </w:rPr>
        <w:t>*</w:t>
      </w:r>
      <w:r w:rsidRPr="009E1DBA">
        <w:t xml:space="preserve">public ruling, </w:t>
      </w:r>
      <w:r w:rsidR="00F10EAA" w:rsidRPr="009E1DBA">
        <w:rPr>
          <w:position w:val="6"/>
          <w:sz w:val="16"/>
        </w:rPr>
        <w:t>*</w:t>
      </w:r>
      <w:r w:rsidRPr="009E1DBA">
        <w:t xml:space="preserve">private ruling or </w:t>
      </w:r>
      <w:r w:rsidR="00F10EAA" w:rsidRPr="009E1DBA">
        <w:rPr>
          <w:position w:val="6"/>
          <w:sz w:val="16"/>
        </w:rPr>
        <w:t>*</w:t>
      </w:r>
      <w:r w:rsidRPr="009E1DBA">
        <w:t>oral ruling”.</w:t>
      </w:r>
    </w:p>
    <w:p w14:paraId="68EF66BF" w14:textId="77777777" w:rsidR="00976EE3" w:rsidRPr="009E1DBA" w:rsidRDefault="00976EE3" w:rsidP="00F10EAA">
      <w:pPr>
        <w:pStyle w:val="ItemHead"/>
      </w:pPr>
      <w:r w:rsidRPr="009E1DBA">
        <w:t>22  Sub</w:t>
      </w:r>
      <w:r w:rsidR="00F569DA" w:rsidRPr="009E1DBA">
        <w:t>section 2</w:t>
      </w:r>
      <w:r w:rsidRPr="009E1DBA">
        <w:t>90</w:t>
      </w:r>
      <w:r w:rsidR="009E1DBA">
        <w:noBreakHyphen/>
      </w:r>
      <w:r w:rsidRPr="009E1DBA">
        <w:t xml:space="preserve">55(5) in </w:t>
      </w:r>
      <w:r w:rsidR="00F569DA" w:rsidRPr="009E1DBA">
        <w:t>Schedule 1</w:t>
      </w:r>
    </w:p>
    <w:p w14:paraId="43458AD3" w14:textId="77777777" w:rsidR="00976EE3" w:rsidRPr="009E1DBA" w:rsidRDefault="00976EE3" w:rsidP="00F10EAA">
      <w:pPr>
        <w:pStyle w:val="Item"/>
      </w:pPr>
      <w:r w:rsidRPr="009E1DBA">
        <w:t>Omit “4 years”, substitute “6 years”.</w:t>
      </w:r>
    </w:p>
    <w:p w14:paraId="5DEB8788" w14:textId="77777777" w:rsidR="00976EE3" w:rsidRPr="009E1DBA" w:rsidRDefault="00976EE3" w:rsidP="00F10EAA">
      <w:pPr>
        <w:pStyle w:val="ItemHead"/>
      </w:pPr>
      <w:r w:rsidRPr="009E1DBA">
        <w:t>23  Sub</w:t>
      </w:r>
      <w:r w:rsidR="00F569DA" w:rsidRPr="009E1DBA">
        <w:t>section 2</w:t>
      </w:r>
      <w:r w:rsidRPr="009E1DBA">
        <w:t>90</w:t>
      </w:r>
      <w:r w:rsidR="009E1DBA">
        <w:noBreakHyphen/>
      </w:r>
      <w:r w:rsidRPr="009E1DBA">
        <w:t xml:space="preserve">55(5) in </w:t>
      </w:r>
      <w:r w:rsidR="00F569DA" w:rsidRPr="009E1DBA">
        <w:t>Schedule 1</w:t>
      </w:r>
    </w:p>
    <w:p w14:paraId="2FBB662B" w14:textId="77777777" w:rsidR="00976EE3" w:rsidRPr="009E1DBA" w:rsidRDefault="00976EE3" w:rsidP="00F10EAA">
      <w:pPr>
        <w:pStyle w:val="Item"/>
      </w:pPr>
      <w:r w:rsidRPr="009E1DBA">
        <w:t>Omit all the words after “last engaged”, substitute:</w:t>
      </w:r>
    </w:p>
    <w:p w14:paraId="434B3977" w14:textId="77777777" w:rsidR="00976EE3" w:rsidRPr="009E1DBA" w:rsidRDefault="00976EE3" w:rsidP="00F10EAA">
      <w:pPr>
        <w:pStyle w:val="subsection"/>
      </w:pPr>
      <w:r w:rsidRPr="009E1DBA">
        <w:tab/>
      </w:r>
      <w:r w:rsidRPr="009E1DBA">
        <w:tab/>
        <w:t>in conduct in relation to:</w:t>
      </w:r>
    </w:p>
    <w:p w14:paraId="37E86CC3" w14:textId="77777777" w:rsidR="00976EE3" w:rsidRPr="009E1DBA" w:rsidRDefault="00976EE3" w:rsidP="00F10EAA">
      <w:pPr>
        <w:pStyle w:val="paragraph"/>
      </w:pPr>
      <w:r w:rsidRPr="009E1DBA">
        <w:tab/>
        <w:t>(a)</w:t>
      </w:r>
      <w:r w:rsidRPr="009E1DBA">
        <w:tab/>
        <w:t>if the scheme has been implemented—the implementation of the scheme; or</w:t>
      </w:r>
    </w:p>
    <w:p w14:paraId="6AA14935" w14:textId="77777777" w:rsidR="00976EE3" w:rsidRPr="009E1DBA" w:rsidRDefault="00976EE3" w:rsidP="00F10EAA">
      <w:pPr>
        <w:pStyle w:val="paragraph"/>
      </w:pPr>
      <w:r w:rsidRPr="009E1DBA">
        <w:tab/>
        <w:t>(b)</w:t>
      </w:r>
      <w:r w:rsidRPr="009E1DBA">
        <w:tab/>
        <w:t>if the scheme has not been implemented—the promotion of the scheme.</w:t>
      </w:r>
    </w:p>
    <w:p w14:paraId="48826453" w14:textId="77777777" w:rsidR="00976EE3" w:rsidRPr="009E1DBA" w:rsidRDefault="00976EE3" w:rsidP="00F10EAA">
      <w:pPr>
        <w:pStyle w:val="ItemHead"/>
      </w:pPr>
      <w:r w:rsidRPr="009E1DBA">
        <w:t>24  Sub</w:t>
      </w:r>
      <w:r w:rsidR="00F569DA" w:rsidRPr="009E1DBA">
        <w:t>section 2</w:t>
      </w:r>
      <w:r w:rsidRPr="009E1DBA">
        <w:t>90</w:t>
      </w:r>
      <w:r w:rsidR="009E1DBA">
        <w:noBreakHyphen/>
      </w:r>
      <w:r w:rsidRPr="009E1DBA">
        <w:t xml:space="preserve">55(6) in </w:t>
      </w:r>
      <w:r w:rsidR="00F569DA" w:rsidRPr="009E1DBA">
        <w:t>Schedule 1</w:t>
      </w:r>
    </w:p>
    <w:p w14:paraId="4D4F9779" w14:textId="77777777" w:rsidR="00976EE3" w:rsidRPr="009E1DBA" w:rsidRDefault="00976EE3" w:rsidP="00F10EAA">
      <w:pPr>
        <w:pStyle w:val="Item"/>
      </w:pPr>
      <w:r w:rsidRPr="009E1DBA">
        <w:t xml:space="preserve">Omit “a </w:t>
      </w:r>
      <w:r w:rsidR="00F10EAA" w:rsidRPr="009E1DBA">
        <w:rPr>
          <w:position w:val="6"/>
          <w:sz w:val="16"/>
        </w:rPr>
        <w:t>*</w:t>
      </w:r>
      <w:r w:rsidRPr="009E1DBA">
        <w:t>scheme involving”, substitute “</w:t>
      </w:r>
      <w:r w:rsidR="00F10EAA" w:rsidRPr="009E1DBA">
        <w:rPr>
          <w:position w:val="6"/>
          <w:sz w:val="16"/>
        </w:rPr>
        <w:t>*</w:t>
      </w:r>
      <w:r w:rsidRPr="009E1DBA">
        <w:t>schemes that involve, or if implemented would involve,”.</w:t>
      </w:r>
    </w:p>
    <w:p w14:paraId="0172D633" w14:textId="77777777" w:rsidR="00976EE3" w:rsidRPr="009E1DBA" w:rsidRDefault="00976EE3" w:rsidP="00F10EAA">
      <w:pPr>
        <w:pStyle w:val="ItemHead"/>
      </w:pPr>
      <w:r w:rsidRPr="009E1DBA">
        <w:t>25  After paragraph 290</w:t>
      </w:r>
      <w:r w:rsidR="009E1DBA">
        <w:noBreakHyphen/>
      </w:r>
      <w:r w:rsidRPr="009E1DBA">
        <w:t xml:space="preserve">55(7)(a) in </w:t>
      </w:r>
      <w:r w:rsidR="00F569DA" w:rsidRPr="009E1DBA">
        <w:t>Schedule 1</w:t>
      </w:r>
    </w:p>
    <w:p w14:paraId="2D9022D1" w14:textId="77777777" w:rsidR="00976EE3" w:rsidRPr="009E1DBA" w:rsidRDefault="00976EE3" w:rsidP="00F10EAA">
      <w:pPr>
        <w:pStyle w:val="Item"/>
      </w:pPr>
      <w:r w:rsidRPr="009E1DBA">
        <w:t>Insert:</w:t>
      </w:r>
    </w:p>
    <w:p w14:paraId="0D947FED" w14:textId="77777777" w:rsidR="00976EE3" w:rsidRPr="009E1DBA" w:rsidRDefault="00976EE3" w:rsidP="00F10EAA">
      <w:pPr>
        <w:pStyle w:val="paragraph"/>
      </w:pPr>
      <w:r w:rsidRPr="009E1DBA">
        <w:tab/>
        <w:t>(aa)</w:t>
      </w:r>
      <w:r w:rsidRPr="009E1DBA">
        <w:tab/>
        <w:t xml:space="preserve">that results in a </w:t>
      </w:r>
      <w:r w:rsidR="00F10EAA" w:rsidRPr="009E1DBA">
        <w:rPr>
          <w:position w:val="6"/>
          <w:sz w:val="16"/>
        </w:rPr>
        <w:t>*</w:t>
      </w:r>
      <w:r w:rsidRPr="009E1DBA">
        <w:t xml:space="preserve">scheme that is materially different from that described in a </w:t>
      </w:r>
      <w:r w:rsidR="00F10EAA" w:rsidRPr="009E1DBA">
        <w:rPr>
          <w:position w:val="6"/>
          <w:sz w:val="16"/>
        </w:rPr>
        <w:t>*</w:t>
      </w:r>
      <w:r w:rsidRPr="009E1DBA">
        <w:t xml:space="preserve">public ruling, </w:t>
      </w:r>
      <w:r w:rsidR="00F10EAA" w:rsidRPr="009E1DBA">
        <w:rPr>
          <w:position w:val="6"/>
          <w:sz w:val="16"/>
        </w:rPr>
        <w:t>*</w:t>
      </w:r>
      <w:r w:rsidRPr="009E1DBA">
        <w:t xml:space="preserve">private ruling or </w:t>
      </w:r>
      <w:r w:rsidR="00F10EAA" w:rsidRPr="009E1DBA">
        <w:rPr>
          <w:position w:val="6"/>
          <w:sz w:val="16"/>
        </w:rPr>
        <w:t>*</w:t>
      </w:r>
      <w:r w:rsidRPr="009E1DBA">
        <w:t xml:space="preserve">oral ruling </w:t>
      </w:r>
      <w:r w:rsidRPr="009E1DBA">
        <w:lastRenderedPageBreak/>
        <w:t>being promoted on the basis of conformity with that ruling; or</w:t>
      </w:r>
    </w:p>
    <w:p w14:paraId="14FC5778" w14:textId="77777777" w:rsidR="00976EE3" w:rsidRPr="009E1DBA" w:rsidRDefault="00976EE3" w:rsidP="00F10EAA">
      <w:pPr>
        <w:pStyle w:val="ItemHead"/>
      </w:pPr>
      <w:r w:rsidRPr="009E1DBA">
        <w:t>26  Paragraph 290</w:t>
      </w:r>
      <w:r w:rsidR="009E1DBA">
        <w:noBreakHyphen/>
      </w:r>
      <w:r w:rsidRPr="009E1DBA">
        <w:t xml:space="preserve">55(7)(b) in </w:t>
      </w:r>
      <w:r w:rsidR="00F569DA" w:rsidRPr="009E1DBA">
        <w:t>Schedule 1</w:t>
      </w:r>
    </w:p>
    <w:p w14:paraId="2FB44071" w14:textId="77777777" w:rsidR="00976EE3" w:rsidRPr="009E1DBA" w:rsidRDefault="00976EE3" w:rsidP="00F10EAA">
      <w:pPr>
        <w:pStyle w:val="Item"/>
      </w:pPr>
      <w:r w:rsidRPr="009E1DBA">
        <w:t>Omit “</w:t>
      </w:r>
      <w:r w:rsidR="00F10EAA" w:rsidRPr="009E1DBA">
        <w:rPr>
          <w:position w:val="6"/>
          <w:sz w:val="16"/>
        </w:rPr>
        <w:t>*</w:t>
      </w:r>
      <w:r w:rsidRPr="009E1DBA">
        <w:t>scheme”, substitute “scheme”.</w:t>
      </w:r>
    </w:p>
    <w:p w14:paraId="311906D5" w14:textId="77777777" w:rsidR="00976EE3" w:rsidRPr="009E1DBA" w:rsidRDefault="00976EE3" w:rsidP="00F10EAA">
      <w:pPr>
        <w:pStyle w:val="ItemHead"/>
      </w:pPr>
      <w:r w:rsidRPr="009E1DBA">
        <w:t>27  Paragraph 290</w:t>
      </w:r>
      <w:r w:rsidR="009E1DBA">
        <w:noBreakHyphen/>
      </w:r>
      <w:r w:rsidRPr="009E1DBA">
        <w:t xml:space="preserve">55(7)(b) in </w:t>
      </w:r>
      <w:r w:rsidR="00F569DA" w:rsidRPr="009E1DBA">
        <w:t>Schedule 1</w:t>
      </w:r>
    </w:p>
    <w:p w14:paraId="2827D80F" w14:textId="77777777" w:rsidR="00976EE3" w:rsidRPr="009E1DBA" w:rsidRDefault="00976EE3" w:rsidP="00F10EAA">
      <w:pPr>
        <w:pStyle w:val="Item"/>
      </w:pPr>
      <w:r w:rsidRPr="009E1DBA">
        <w:t>Omit “</w:t>
      </w:r>
      <w:r w:rsidR="00F10EAA" w:rsidRPr="009E1DBA">
        <w:rPr>
          <w:position w:val="6"/>
          <w:sz w:val="16"/>
        </w:rPr>
        <w:t>*</w:t>
      </w:r>
      <w:r w:rsidRPr="009E1DBA">
        <w:t>product ruling”, substitute “public ruling, private ruling or oral ruling”.</w:t>
      </w:r>
    </w:p>
    <w:p w14:paraId="1B987BE6" w14:textId="77777777" w:rsidR="00976EE3" w:rsidRPr="009E1DBA" w:rsidRDefault="00976EE3" w:rsidP="00F10EAA">
      <w:pPr>
        <w:pStyle w:val="ItemHead"/>
      </w:pPr>
      <w:r w:rsidRPr="009E1DBA">
        <w:t>28  Paragraph 290</w:t>
      </w:r>
      <w:r w:rsidR="009E1DBA">
        <w:noBreakHyphen/>
      </w:r>
      <w:r w:rsidRPr="009E1DBA">
        <w:t xml:space="preserve">55(7)(b) in </w:t>
      </w:r>
      <w:r w:rsidR="00F569DA" w:rsidRPr="009E1DBA">
        <w:t>Schedule 1</w:t>
      </w:r>
    </w:p>
    <w:p w14:paraId="43D5EA7A" w14:textId="77777777" w:rsidR="00976EE3" w:rsidRPr="009E1DBA" w:rsidRDefault="00976EE3" w:rsidP="00F10EAA">
      <w:pPr>
        <w:pStyle w:val="Item"/>
      </w:pPr>
      <w:r w:rsidRPr="009E1DBA">
        <w:t>Omit “the product ruling”, substitute “the ruling”.</w:t>
      </w:r>
    </w:p>
    <w:p w14:paraId="00912A32" w14:textId="77777777" w:rsidR="00976EE3" w:rsidRPr="009E1DBA" w:rsidRDefault="00976EE3" w:rsidP="00F10EAA">
      <w:pPr>
        <w:pStyle w:val="ItemHead"/>
      </w:pPr>
      <w:r w:rsidRPr="009E1DBA">
        <w:t xml:space="preserve">29  After </w:t>
      </w:r>
      <w:r w:rsidR="00F569DA" w:rsidRPr="009E1DBA">
        <w:t>subsection 2</w:t>
      </w:r>
      <w:r w:rsidRPr="009E1DBA">
        <w:t>90</w:t>
      </w:r>
      <w:r w:rsidR="009E1DBA">
        <w:noBreakHyphen/>
      </w:r>
      <w:r w:rsidRPr="009E1DBA">
        <w:t xml:space="preserve">55(7) in </w:t>
      </w:r>
      <w:r w:rsidR="00F569DA" w:rsidRPr="009E1DBA">
        <w:t>Schedule 1</w:t>
      </w:r>
    </w:p>
    <w:p w14:paraId="5C0C701E" w14:textId="77777777" w:rsidR="00976EE3" w:rsidRPr="009E1DBA" w:rsidRDefault="00976EE3" w:rsidP="00F10EAA">
      <w:pPr>
        <w:pStyle w:val="Item"/>
      </w:pPr>
      <w:r w:rsidRPr="009E1DBA">
        <w:t>Insert:</w:t>
      </w:r>
    </w:p>
    <w:p w14:paraId="64361254" w14:textId="77777777" w:rsidR="00976EE3" w:rsidRPr="009E1DBA" w:rsidRDefault="00976EE3" w:rsidP="00F10EAA">
      <w:pPr>
        <w:pStyle w:val="subsection"/>
      </w:pPr>
      <w:r w:rsidRPr="009E1DBA">
        <w:tab/>
        <w:t>(7A)</w:t>
      </w:r>
      <w:r w:rsidRPr="009E1DBA">
        <w:tab/>
        <w:t xml:space="preserve">The other entity referred to in </w:t>
      </w:r>
      <w:r w:rsidR="00F569DA" w:rsidRPr="009E1DBA">
        <w:t>paragraph (</w:t>
      </w:r>
      <w:r w:rsidRPr="009E1DBA">
        <w:t>7)(a) does not include:</w:t>
      </w:r>
    </w:p>
    <w:p w14:paraId="096A073F" w14:textId="77777777" w:rsidR="00976EE3" w:rsidRPr="009E1DBA" w:rsidRDefault="00976EE3" w:rsidP="00F10EAA">
      <w:pPr>
        <w:pStyle w:val="paragraph"/>
      </w:pPr>
      <w:r w:rsidRPr="009E1DBA">
        <w:tab/>
        <w:t>(a)</w:t>
      </w:r>
      <w:r w:rsidRPr="009E1DBA">
        <w:tab/>
        <w:t xml:space="preserve">if the entity mentioned first in </w:t>
      </w:r>
      <w:r w:rsidR="00F569DA" w:rsidRPr="009E1DBA">
        <w:t>subsection (</w:t>
      </w:r>
      <w:r w:rsidRPr="009E1DBA">
        <w:t>7) is a partner in a partnership:</w:t>
      </w:r>
    </w:p>
    <w:p w14:paraId="43A4B07D" w14:textId="77777777" w:rsidR="00976EE3" w:rsidRPr="009E1DBA" w:rsidRDefault="00976EE3" w:rsidP="00F10EAA">
      <w:pPr>
        <w:pStyle w:val="paragraphsub"/>
      </w:pPr>
      <w:r w:rsidRPr="009E1DBA">
        <w:tab/>
        <w:t>(i)</w:t>
      </w:r>
      <w:r w:rsidRPr="009E1DBA">
        <w:tab/>
        <w:t>the partnership; or</w:t>
      </w:r>
    </w:p>
    <w:p w14:paraId="20137285" w14:textId="77777777" w:rsidR="00976EE3" w:rsidRPr="009E1DBA" w:rsidRDefault="00976EE3" w:rsidP="00F10EAA">
      <w:pPr>
        <w:pStyle w:val="paragraphsub"/>
      </w:pPr>
      <w:r w:rsidRPr="009E1DBA">
        <w:tab/>
        <w:t>(ii)</w:t>
      </w:r>
      <w:r w:rsidRPr="009E1DBA">
        <w:tab/>
        <w:t>someone who was a partner in the partnership when the alleged conduct occurred; or</w:t>
      </w:r>
    </w:p>
    <w:p w14:paraId="251D1A41" w14:textId="77777777" w:rsidR="00976EE3" w:rsidRPr="009E1DBA" w:rsidRDefault="00976EE3" w:rsidP="00F10EAA">
      <w:pPr>
        <w:pStyle w:val="paragraph"/>
      </w:pPr>
      <w:r w:rsidRPr="009E1DBA">
        <w:tab/>
        <w:t>(b)</w:t>
      </w:r>
      <w:r w:rsidRPr="009E1DBA">
        <w:tab/>
        <w:t xml:space="preserve">if the entity mentioned first in </w:t>
      </w:r>
      <w:r w:rsidR="00F569DA" w:rsidRPr="009E1DBA">
        <w:t>subsection (</w:t>
      </w:r>
      <w:r w:rsidRPr="009E1DBA">
        <w:t>7) is a trustee of a trust:</w:t>
      </w:r>
    </w:p>
    <w:p w14:paraId="68850375" w14:textId="77777777" w:rsidR="00976EE3" w:rsidRPr="009E1DBA" w:rsidRDefault="00976EE3" w:rsidP="00F10EAA">
      <w:pPr>
        <w:pStyle w:val="paragraphsub"/>
      </w:pPr>
      <w:r w:rsidRPr="009E1DBA">
        <w:tab/>
        <w:t>(i)</w:t>
      </w:r>
      <w:r w:rsidRPr="009E1DBA">
        <w:tab/>
        <w:t>the trust; or</w:t>
      </w:r>
    </w:p>
    <w:p w14:paraId="51E28328" w14:textId="77777777" w:rsidR="00976EE3" w:rsidRPr="009E1DBA" w:rsidRDefault="00976EE3" w:rsidP="00F10EAA">
      <w:pPr>
        <w:pStyle w:val="paragraphsub"/>
      </w:pPr>
      <w:r w:rsidRPr="009E1DBA">
        <w:tab/>
        <w:t>(ii)</w:t>
      </w:r>
      <w:r w:rsidRPr="009E1DBA">
        <w:tab/>
        <w:t>if the trust has more than one trustee—someone who was also a trustee of the trust when the alleged conduct occurred.</w:t>
      </w:r>
    </w:p>
    <w:p w14:paraId="79CE85B2" w14:textId="77777777" w:rsidR="00976EE3" w:rsidRPr="009E1DBA" w:rsidRDefault="00976EE3" w:rsidP="00F10EAA">
      <w:pPr>
        <w:pStyle w:val="ItemHead"/>
      </w:pPr>
      <w:r w:rsidRPr="009E1DBA">
        <w:t>30  Paragraph 290</w:t>
      </w:r>
      <w:r w:rsidR="009E1DBA">
        <w:noBreakHyphen/>
      </w:r>
      <w:r w:rsidRPr="009E1DBA">
        <w:t xml:space="preserve">60(1)(a) in </w:t>
      </w:r>
      <w:r w:rsidR="00F569DA" w:rsidRPr="009E1DBA">
        <w:t>Schedule 1</w:t>
      </w:r>
    </w:p>
    <w:p w14:paraId="02EBFAA6" w14:textId="77777777" w:rsidR="00976EE3" w:rsidRPr="009E1DBA" w:rsidRDefault="00976EE3" w:rsidP="00F10EAA">
      <w:pPr>
        <w:pStyle w:val="Item"/>
      </w:pPr>
      <w:r w:rsidRPr="009E1DBA">
        <w:t>Repeal the paragraph, substitute:</w:t>
      </w:r>
    </w:p>
    <w:p w14:paraId="31FB64E2" w14:textId="77777777" w:rsidR="00976EE3" w:rsidRPr="009E1DBA" w:rsidRDefault="00976EE3" w:rsidP="00F10EAA">
      <w:pPr>
        <w:pStyle w:val="paragraph"/>
      </w:pPr>
      <w:r w:rsidRPr="009E1DBA">
        <w:tab/>
        <w:t>(a)</w:t>
      </w:r>
      <w:r w:rsidRPr="009E1DBA">
        <w:tab/>
        <w:t>the entity:</w:t>
      </w:r>
    </w:p>
    <w:p w14:paraId="1459FCE3" w14:textId="77777777" w:rsidR="00976EE3" w:rsidRPr="009E1DBA" w:rsidRDefault="00976EE3" w:rsidP="00F10EAA">
      <w:pPr>
        <w:pStyle w:val="paragraphsub"/>
      </w:pPr>
      <w:r w:rsidRPr="009E1DBA">
        <w:tab/>
        <w:t>(i)</w:t>
      </w:r>
      <w:r w:rsidRPr="009E1DBA">
        <w:tab/>
        <w:t>markets the scheme; or</w:t>
      </w:r>
    </w:p>
    <w:p w14:paraId="5B473F38" w14:textId="77777777" w:rsidR="00976EE3" w:rsidRPr="009E1DBA" w:rsidRDefault="00976EE3" w:rsidP="00F10EAA">
      <w:pPr>
        <w:pStyle w:val="paragraphsub"/>
      </w:pPr>
      <w:r w:rsidRPr="009E1DBA">
        <w:tab/>
        <w:t>(ii)</w:t>
      </w:r>
      <w:r w:rsidRPr="009E1DBA">
        <w:tab/>
        <w:t>otherwise encourages the growth of the scheme or interest in it; and</w:t>
      </w:r>
    </w:p>
    <w:p w14:paraId="57512E5E" w14:textId="77777777" w:rsidR="00976EE3" w:rsidRPr="009E1DBA" w:rsidRDefault="00976EE3" w:rsidP="00F10EAA">
      <w:pPr>
        <w:pStyle w:val="ItemHead"/>
      </w:pPr>
      <w:r w:rsidRPr="009E1DBA">
        <w:t>31  Paragraph 290</w:t>
      </w:r>
      <w:r w:rsidR="009E1DBA">
        <w:noBreakHyphen/>
      </w:r>
      <w:r w:rsidRPr="009E1DBA">
        <w:t xml:space="preserve">60(1)(b) in </w:t>
      </w:r>
      <w:r w:rsidR="00F569DA" w:rsidRPr="009E1DBA">
        <w:t>Schedule 1</w:t>
      </w:r>
    </w:p>
    <w:p w14:paraId="606CC2FC" w14:textId="77777777" w:rsidR="00976EE3" w:rsidRPr="009E1DBA" w:rsidRDefault="00976EE3" w:rsidP="00F10EAA">
      <w:pPr>
        <w:pStyle w:val="Item"/>
      </w:pPr>
      <w:r w:rsidRPr="009E1DBA">
        <w:t>Omit “consideration”, substitute “a benefit”.</w:t>
      </w:r>
    </w:p>
    <w:p w14:paraId="47811A88" w14:textId="77777777" w:rsidR="00976EE3" w:rsidRPr="009E1DBA" w:rsidRDefault="00976EE3" w:rsidP="00F10EAA">
      <w:pPr>
        <w:pStyle w:val="ItemHead"/>
      </w:pPr>
      <w:r w:rsidRPr="009E1DBA">
        <w:lastRenderedPageBreak/>
        <w:t xml:space="preserve">32  After </w:t>
      </w:r>
      <w:r w:rsidR="00F569DA" w:rsidRPr="009E1DBA">
        <w:t>subsection 2</w:t>
      </w:r>
      <w:r w:rsidRPr="009E1DBA">
        <w:t>90</w:t>
      </w:r>
      <w:r w:rsidR="009E1DBA">
        <w:noBreakHyphen/>
      </w:r>
      <w:r w:rsidRPr="009E1DBA">
        <w:t xml:space="preserve">65(1) in </w:t>
      </w:r>
      <w:r w:rsidR="00F569DA" w:rsidRPr="009E1DBA">
        <w:t>Schedule 1</w:t>
      </w:r>
    </w:p>
    <w:p w14:paraId="3EE3BD35" w14:textId="77777777" w:rsidR="00976EE3" w:rsidRPr="009E1DBA" w:rsidRDefault="00976EE3" w:rsidP="00F10EAA">
      <w:pPr>
        <w:pStyle w:val="Item"/>
      </w:pPr>
      <w:r w:rsidRPr="009E1DBA">
        <w:t>Insert:</w:t>
      </w:r>
    </w:p>
    <w:p w14:paraId="41DE6003" w14:textId="77777777" w:rsidR="00976EE3" w:rsidRPr="009E1DBA" w:rsidRDefault="00976EE3" w:rsidP="00F10EAA">
      <w:pPr>
        <w:pStyle w:val="subsection"/>
      </w:pPr>
      <w:r w:rsidRPr="009E1DBA">
        <w:tab/>
        <w:t>(1A)</w:t>
      </w:r>
      <w:r w:rsidRPr="009E1DBA">
        <w:tab/>
        <w:t xml:space="preserve">A </w:t>
      </w:r>
      <w:r w:rsidR="00F10EAA" w:rsidRPr="009E1DBA">
        <w:rPr>
          <w:position w:val="6"/>
          <w:sz w:val="16"/>
        </w:rPr>
        <w:t>*</w:t>
      </w:r>
      <w:r w:rsidRPr="009E1DBA">
        <w:t xml:space="preserve">scheme is also a </w:t>
      </w:r>
      <w:r w:rsidRPr="009E1DBA">
        <w:rPr>
          <w:b/>
          <w:i/>
        </w:rPr>
        <w:t>tax exploitation scheme</w:t>
      </w:r>
      <w:r w:rsidRPr="009E1DBA">
        <w:t xml:space="preserve"> if, at the time of the conduct mentioned in </w:t>
      </w:r>
      <w:r w:rsidR="00F569DA" w:rsidRPr="009E1DBA">
        <w:t>subsection 2</w:t>
      </w:r>
      <w:r w:rsidRPr="009E1DBA">
        <w:t>90</w:t>
      </w:r>
      <w:r w:rsidR="009E1DBA">
        <w:noBreakHyphen/>
      </w:r>
      <w:r w:rsidRPr="009E1DBA">
        <w:t>50(1):</w:t>
      </w:r>
    </w:p>
    <w:p w14:paraId="0B16310E" w14:textId="77777777" w:rsidR="00976EE3" w:rsidRPr="009E1DBA" w:rsidRDefault="00976EE3" w:rsidP="00F10EAA">
      <w:pPr>
        <w:pStyle w:val="paragraph"/>
      </w:pPr>
      <w:r w:rsidRPr="009E1DBA">
        <w:tab/>
        <w:t>(a)</w:t>
      </w:r>
      <w:r w:rsidRPr="009E1DBA">
        <w:tab/>
        <w:t>one of these conditions is satisfied:</w:t>
      </w:r>
    </w:p>
    <w:p w14:paraId="6D649104" w14:textId="77777777" w:rsidR="00976EE3" w:rsidRPr="009E1DBA" w:rsidRDefault="00976EE3" w:rsidP="00F10EAA">
      <w:pPr>
        <w:pStyle w:val="paragraphsub"/>
      </w:pPr>
      <w:r w:rsidRPr="009E1DBA">
        <w:tab/>
        <w:t>(i)</w:t>
      </w:r>
      <w:r w:rsidRPr="009E1DBA">
        <w:tab/>
        <w:t xml:space="preserve">if the scheme has been implemented—Part IVA of the </w:t>
      </w:r>
      <w:r w:rsidRPr="009E1DBA">
        <w:rPr>
          <w:i/>
        </w:rPr>
        <w:t xml:space="preserve">Income Tax Assessment Act 1936 </w:t>
      </w:r>
      <w:r w:rsidRPr="009E1DBA">
        <w:t>applies to the scheme because of section 177DA or 177J of that Act;</w:t>
      </w:r>
    </w:p>
    <w:p w14:paraId="461C49BA" w14:textId="77777777" w:rsidR="00976EE3" w:rsidRPr="009E1DBA" w:rsidRDefault="00976EE3" w:rsidP="00F10EAA">
      <w:pPr>
        <w:pStyle w:val="paragraphsub"/>
      </w:pPr>
      <w:r w:rsidRPr="009E1DBA">
        <w:tab/>
        <w:t>(ii)</w:t>
      </w:r>
      <w:r w:rsidRPr="009E1DBA">
        <w:tab/>
        <w:t>if the scheme has not been implemented—it is reasonable to conclude that, had the scheme been entered into or carried out, Part IVA of that Act</w:t>
      </w:r>
      <w:r w:rsidRPr="009E1DBA">
        <w:rPr>
          <w:i/>
        </w:rPr>
        <w:t xml:space="preserve"> </w:t>
      </w:r>
      <w:r w:rsidRPr="009E1DBA">
        <w:t>would apply to the scheme because of section 177DA or 177J of that Act; and</w:t>
      </w:r>
    </w:p>
    <w:p w14:paraId="46454767" w14:textId="77777777" w:rsidR="00976EE3" w:rsidRPr="009E1DBA" w:rsidRDefault="00976EE3" w:rsidP="00F10EAA">
      <w:pPr>
        <w:pStyle w:val="paragraph"/>
      </w:pPr>
      <w:r w:rsidRPr="009E1DBA">
        <w:tab/>
        <w:t>(b)</w:t>
      </w:r>
      <w:r w:rsidRPr="009E1DBA">
        <w:tab/>
        <w:t>one of these conditions is satisfied:</w:t>
      </w:r>
    </w:p>
    <w:p w14:paraId="6AD1044C" w14:textId="77777777" w:rsidR="00976EE3" w:rsidRPr="009E1DBA" w:rsidRDefault="00976EE3" w:rsidP="00F10EAA">
      <w:pPr>
        <w:pStyle w:val="paragraphsub"/>
      </w:pPr>
      <w:r w:rsidRPr="009E1DBA">
        <w:tab/>
        <w:t>(i)</w:t>
      </w:r>
      <w:r w:rsidRPr="009E1DBA">
        <w:tab/>
        <w:t xml:space="preserve">if the scheme has been implemented—it is reasonable to conclude that an entity that (alone or with others) entered into or carried out the scheme, or part of it, did so for a principal purpose of, or for more than one principal purpose that includes a purpose of, that entity or another entity getting a </w:t>
      </w:r>
      <w:r w:rsidR="00F10EAA" w:rsidRPr="009E1DBA">
        <w:rPr>
          <w:position w:val="6"/>
          <w:sz w:val="16"/>
        </w:rPr>
        <w:t>*</w:t>
      </w:r>
      <w:r w:rsidRPr="009E1DBA">
        <w:t>scheme benefit from the scheme;</w:t>
      </w:r>
    </w:p>
    <w:p w14:paraId="6F9EB531" w14:textId="77777777" w:rsidR="00976EE3" w:rsidRPr="009E1DBA" w:rsidRDefault="00976EE3" w:rsidP="00F10EAA">
      <w:pPr>
        <w:pStyle w:val="paragraphsub"/>
      </w:pPr>
      <w:r w:rsidRPr="009E1DBA">
        <w:tab/>
        <w:t>(ii)</w:t>
      </w:r>
      <w:r w:rsidRPr="009E1DBA">
        <w:tab/>
        <w:t>if the scheme has not been implemented—it is reasonable to conclude that if an entity (alone or with others) had entered into or carried out the scheme, it would have done so for a principal purpose of, or for more than one principal purpose that includes a purpose of, that entity or another entity getting a scheme benefit from the scheme; and</w:t>
      </w:r>
    </w:p>
    <w:p w14:paraId="369A140F" w14:textId="77777777" w:rsidR="00976EE3" w:rsidRPr="009E1DBA" w:rsidRDefault="00976EE3" w:rsidP="00F10EAA">
      <w:pPr>
        <w:pStyle w:val="paragraph"/>
      </w:pPr>
      <w:r w:rsidRPr="009E1DBA">
        <w:tab/>
        <w:t>(c)</w:t>
      </w:r>
      <w:r w:rsidRPr="009E1DBA">
        <w:tab/>
        <w:t>one of these conditions is satisfied:</w:t>
      </w:r>
    </w:p>
    <w:p w14:paraId="500055A5" w14:textId="77777777" w:rsidR="00976EE3" w:rsidRPr="009E1DBA" w:rsidRDefault="00976EE3" w:rsidP="00F10EAA">
      <w:pPr>
        <w:pStyle w:val="paragraphsub"/>
      </w:pPr>
      <w:r w:rsidRPr="009E1DBA">
        <w:tab/>
        <w:t>(i)</w:t>
      </w:r>
      <w:r w:rsidRPr="009E1DBA">
        <w:tab/>
        <w:t xml:space="preserve">if the scheme has been implemented—it is not </w:t>
      </w:r>
      <w:r w:rsidR="00F10EAA" w:rsidRPr="009E1DBA">
        <w:rPr>
          <w:position w:val="6"/>
          <w:sz w:val="16"/>
        </w:rPr>
        <w:t>*</w:t>
      </w:r>
      <w:r w:rsidRPr="009E1DBA">
        <w:t>reasonably arguable that the scheme benefit is available at law;</w:t>
      </w:r>
    </w:p>
    <w:p w14:paraId="37E27EBF" w14:textId="77777777" w:rsidR="00976EE3" w:rsidRPr="009E1DBA" w:rsidRDefault="00976EE3" w:rsidP="00F10EAA">
      <w:pPr>
        <w:pStyle w:val="paragraphsub"/>
      </w:pPr>
      <w:r w:rsidRPr="009E1DBA">
        <w:tab/>
        <w:t>(ii)</w:t>
      </w:r>
      <w:r w:rsidRPr="009E1DBA">
        <w:tab/>
        <w:t>if the scheme has not been implemented—it is not reasonably arguable that the scheme benefit would be available at law if the scheme were implemented.</w:t>
      </w:r>
    </w:p>
    <w:p w14:paraId="07253D22" w14:textId="77777777" w:rsidR="00976EE3" w:rsidRPr="009E1DBA" w:rsidRDefault="00976EE3" w:rsidP="00F10EAA">
      <w:pPr>
        <w:pStyle w:val="ItemHead"/>
      </w:pPr>
      <w:r w:rsidRPr="009E1DBA">
        <w:t xml:space="preserve">33  </w:t>
      </w:r>
      <w:r w:rsidR="00F569DA" w:rsidRPr="009E1DBA">
        <w:t>Section 2</w:t>
      </w:r>
      <w:r w:rsidRPr="009E1DBA">
        <w:t>90</w:t>
      </w:r>
      <w:r w:rsidR="009E1DBA">
        <w:noBreakHyphen/>
      </w:r>
      <w:r w:rsidRPr="009E1DBA">
        <w:t xml:space="preserve">120 in </w:t>
      </w:r>
      <w:r w:rsidR="00F569DA" w:rsidRPr="009E1DBA">
        <w:t>Schedule 1</w:t>
      </w:r>
    </w:p>
    <w:p w14:paraId="3AA6E95D" w14:textId="77777777" w:rsidR="00976EE3" w:rsidRPr="009E1DBA" w:rsidRDefault="00976EE3" w:rsidP="00F10EAA">
      <w:pPr>
        <w:pStyle w:val="Item"/>
      </w:pPr>
      <w:r w:rsidRPr="009E1DBA">
        <w:t>After “(1)”, insert “, (1A)”.</w:t>
      </w:r>
    </w:p>
    <w:p w14:paraId="30536E7A" w14:textId="77777777" w:rsidR="00976EE3" w:rsidRPr="009E1DBA" w:rsidRDefault="00976EE3" w:rsidP="00F10EAA">
      <w:pPr>
        <w:pStyle w:val="ItemHead"/>
      </w:pPr>
      <w:r w:rsidRPr="009E1DBA">
        <w:lastRenderedPageBreak/>
        <w:t>34  Paragraph 290</w:t>
      </w:r>
      <w:r w:rsidR="009E1DBA">
        <w:noBreakHyphen/>
      </w:r>
      <w:r w:rsidRPr="009E1DBA">
        <w:t xml:space="preserve">135(a) in </w:t>
      </w:r>
      <w:r w:rsidR="00F569DA" w:rsidRPr="009E1DBA">
        <w:t>Schedule 1</w:t>
      </w:r>
    </w:p>
    <w:p w14:paraId="0BC2020F" w14:textId="77777777" w:rsidR="00976EE3" w:rsidRPr="009E1DBA" w:rsidRDefault="00976EE3" w:rsidP="00F10EAA">
      <w:pPr>
        <w:pStyle w:val="Item"/>
      </w:pPr>
      <w:r w:rsidRPr="009E1DBA">
        <w:t>Omit “</w:t>
      </w:r>
      <w:r w:rsidR="00F10EAA" w:rsidRPr="009E1DBA">
        <w:rPr>
          <w:position w:val="6"/>
          <w:sz w:val="16"/>
        </w:rPr>
        <w:t>*</w:t>
      </w:r>
      <w:r w:rsidRPr="009E1DBA">
        <w:t>product ruling”, substitute “</w:t>
      </w:r>
      <w:r w:rsidR="00F10EAA" w:rsidRPr="009E1DBA">
        <w:rPr>
          <w:position w:val="6"/>
          <w:sz w:val="16"/>
        </w:rPr>
        <w:t>*</w:t>
      </w:r>
      <w:r w:rsidRPr="009E1DBA">
        <w:t xml:space="preserve">public ruling, </w:t>
      </w:r>
      <w:r w:rsidR="00F10EAA" w:rsidRPr="009E1DBA">
        <w:rPr>
          <w:position w:val="6"/>
          <w:sz w:val="16"/>
        </w:rPr>
        <w:t>*</w:t>
      </w:r>
      <w:r w:rsidRPr="009E1DBA">
        <w:t xml:space="preserve">private ruling or </w:t>
      </w:r>
      <w:r w:rsidR="00F10EAA" w:rsidRPr="009E1DBA">
        <w:rPr>
          <w:position w:val="6"/>
          <w:sz w:val="16"/>
        </w:rPr>
        <w:t>*</w:t>
      </w:r>
      <w:r w:rsidRPr="009E1DBA">
        <w:t>oral ruling”.</w:t>
      </w:r>
    </w:p>
    <w:p w14:paraId="2CD5B4B8" w14:textId="77777777" w:rsidR="00976EE3" w:rsidRPr="009E1DBA" w:rsidRDefault="00976EE3" w:rsidP="00F10EAA">
      <w:pPr>
        <w:pStyle w:val="ItemHead"/>
      </w:pPr>
      <w:r w:rsidRPr="009E1DBA">
        <w:t>35  At the end of section 444</w:t>
      </w:r>
      <w:r w:rsidR="009E1DBA">
        <w:noBreakHyphen/>
      </w:r>
      <w:r w:rsidRPr="009E1DBA">
        <w:t xml:space="preserve">30 in </w:t>
      </w:r>
      <w:r w:rsidR="00F569DA" w:rsidRPr="009E1DBA">
        <w:t>Schedule 1</w:t>
      </w:r>
    </w:p>
    <w:p w14:paraId="1D82C452" w14:textId="77777777" w:rsidR="00976EE3" w:rsidRPr="009E1DBA" w:rsidRDefault="00976EE3" w:rsidP="00F10EAA">
      <w:pPr>
        <w:pStyle w:val="Item"/>
      </w:pPr>
      <w:r w:rsidRPr="009E1DBA">
        <w:t>Add:</w:t>
      </w:r>
    </w:p>
    <w:p w14:paraId="3CB25096" w14:textId="77777777" w:rsidR="00976EE3" w:rsidRPr="009E1DBA" w:rsidRDefault="00976EE3" w:rsidP="00F10EAA">
      <w:pPr>
        <w:pStyle w:val="subsection"/>
      </w:pPr>
      <w:r w:rsidRPr="009E1DBA">
        <w:tab/>
        <w:t>(5)</w:t>
      </w:r>
      <w:r w:rsidRPr="009E1DBA">
        <w:tab/>
        <w:t xml:space="preserve">If a civil penalty may be imposed in relation to a contravention of a provision of this Schedule or an </w:t>
      </w:r>
      <w:r w:rsidR="00F10EAA" w:rsidRPr="009E1DBA">
        <w:rPr>
          <w:position w:val="6"/>
          <w:sz w:val="16"/>
        </w:rPr>
        <w:t>*</w:t>
      </w:r>
      <w:r w:rsidRPr="009E1DBA">
        <w:t>indirect tax law:</w:t>
      </w:r>
    </w:p>
    <w:p w14:paraId="1FCA5952" w14:textId="77777777" w:rsidR="00976EE3" w:rsidRPr="009E1DBA" w:rsidRDefault="00976EE3" w:rsidP="00F10EAA">
      <w:pPr>
        <w:pStyle w:val="paragraph"/>
      </w:pPr>
      <w:r w:rsidRPr="009E1DBA">
        <w:tab/>
        <w:t>(a)</w:t>
      </w:r>
      <w:r w:rsidRPr="009E1DBA">
        <w:tab/>
      </w:r>
      <w:r w:rsidR="00F569DA" w:rsidRPr="009E1DBA">
        <w:t>subsection (</w:t>
      </w:r>
      <w:r w:rsidRPr="009E1DBA">
        <w:t>3) applies to a contravention of the provision in a corresponding way to the way in which it applies to an offence; and</w:t>
      </w:r>
    </w:p>
    <w:p w14:paraId="30D15590" w14:textId="77777777" w:rsidR="00976EE3" w:rsidRPr="009E1DBA" w:rsidRDefault="00976EE3" w:rsidP="00F10EAA">
      <w:pPr>
        <w:pStyle w:val="paragraph"/>
      </w:pPr>
      <w:r w:rsidRPr="009E1DBA">
        <w:tab/>
        <w:t>(b)</w:t>
      </w:r>
      <w:r w:rsidRPr="009E1DBA">
        <w:tab/>
      </w:r>
      <w:r w:rsidR="00F569DA" w:rsidRPr="009E1DBA">
        <w:t>subsection (</w:t>
      </w:r>
      <w:r w:rsidRPr="009E1DBA">
        <w:t>4) does not apply.</w:t>
      </w:r>
    </w:p>
    <w:p w14:paraId="69CC46AF" w14:textId="77777777" w:rsidR="00976EE3" w:rsidRPr="009E1DBA" w:rsidRDefault="00976EE3" w:rsidP="00F10EAA">
      <w:pPr>
        <w:pStyle w:val="ItemHead"/>
      </w:pPr>
      <w:r w:rsidRPr="009E1DBA">
        <w:t xml:space="preserve">36  At the end of Division 444 in </w:t>
      </w:r>
      <w:r w:rsidR="00F569DA" w:rsidRPr="009E1DBA">
        <w:t>Schedule 1</w:t>
      </w:r>
    </w:p>
    <w:p w14:paraId="5CC08B74" w14:textId="77777777" w:rsidR="00976EE3" w:rsidRPr="009E1DBA" w:rsidRDefault="00976EE3" w:rsidP="00F10EAA">
      <w:pPr>
        <w:pStyle w:val="Item"/>
      </w:pPr>
      <w:r w:rsidRPr="009E1DBA">
        <w:t>Add:</w:t>
      </w:r>
    </w:p>
    <w:p w14:paraId="61B2BFD9" w14:textId="77777777" w:rsidR="00976EE3" w:rsidRPr="009E1DBA" w:rsidRDefault="00F569DA" w:rsidP="00F10EAA">
      <w:pPr>
        <w:pStyle w:val="ActHead4"/>
      </w:pPr>
      <w:bookmarkStart w:id="7" w:name="_Toc168296814"/>
      <w:r w:rsidRPr="009E1DBA">
        <w:rPr>
          <w:rStyle w:val="CharSubdNo"/>
        </w:rPr>
        <w:t>Subdivision 4</w:t>
      </w:r>
      <w:r w:rsidR="00976EE3" w:rsidRPr="009E1DBA">
        <w:rPr>
          <w:rStyle w:val="CharSubdNo"/>
        </w:rPr>
        <w:t>44</w:t>
      </w:r>
      <w:r w:rsidR="009E1DBA" w:rsidRPr="009E1DBA">
        <w:rPr>
          <w:rStyle w:val="CharSubdNo"/>
        </w:rPr>
        <w:noBreakHyphen/>
      </w:r>
      <w:r w:rsidR="00976EE3" w:rsidRPr="009E1DBA">
        <w:rPr>
          <w:rStyle w:val="CharSubdNo"/>
        </w:rPr>
        <w:t>F</w:t>
      </w:r>
      <w:r w:rsidR="00976EE3" w:rsidRPr="009E1DBA">
        <w:t>—</w:t>
      </w:r>
      <w:r w:rsidR="00976EE3" w:rsidRPr="009E1DBA">
        <w:rPr>
          <w:rStyle w:val="CharSubdText"/>
        </w:rPr>
        <w:t>Trusts</w:t>
      </w:r>
      <w:bookmarkEnd w:id="7"/>
    </w:p>
    <w:p w14:paraId="2176D874" w14:textId="77777777" w:rsidR="00976EE3" w:rsidRPr="009E1DBA" w:rsidRDefault="00976EE3" w:rsidP="00F10EAA">
      <w:pPr>
        <w:pStyle w:val="TofSectsHeading"/>
      </w:pPr>
      <w:r w:rsidRPr="009E1DBA">
        <w:t>Table of sections</w:t>
      </w:r>
    </w:p>
    <w:p w14:paraId="675A8DD7" w14:textId="77777777" w:rsidR="00976EE3" w:rsidRPr="009E1DBA" w:rsidRDefault="00976EE3" w:rsidP="00F10EAA">
      <w:pPr>
        <w:pStyle w:val="TofSectsSection"/>
      </w:pPr>
      <w:bookmarkStart w:id="8" w:name="Heading"/>
      <w:bookmarkStart w:id="9" w:name="_Hlk148546681"/>
      <w:bookmarkStart w:id="10" w:name="_Hlk148426516"/>
      <w:r w:rsidRPr="009E1DBA">
        <w:t>444</w:t>
      </w:r>
      <w:r w:rsidR="009E1DBA">
        <w:noBreakHyphen/>
      </w:r>
      <w:r w:rsidRPr="009E1DBA">
        <w:t>120</w:t>
      </w:r>
      <w:r w:rsidRPr="009E1DBA">
        <w:tab/>
        <w:t>Joint and several liability for all trustees</w:t>
      </w:r>
    </w:p>
    <w:p w14:paraId="180057AF" w14:textId="77777777" w:rsidR="00976EE3" w:rsidRPr="009E1DBA" w:rsidRDefault="00976EE3" w:rsidP="00F10EAA">
      <w:pPr>
        <w:pStyle w:val="ActHead5"/>
      </w:pPr>
      <w:bookmarkStart w:id="11" w:name="_Toc168296815"/>
      <w:bookmarkEnd w:id="8"/>
      <w:r w:rsidRPr="009E1DBA">
        <w:rPr>
          <w:rStyle w:val="CharSectno"/>
        </w:rPr>
        <w:t>444</w:t>
      </w:r>
      <w:r w:rsidR="009E1DBA" w:rsidRPr="009E1DBA">
        <w:rPr>
          <w:rStyle w:val="CharSectno"/>
        </w:rPr>
        <w:noBreakHyphen/>
      </w:r>
      <w:r w:rsidRPr="009E1DBA">
        <w:rPr>
          <w:rStyle w:val="CharSectno"/>
        </w:rPr>
        <w:t>120</w:t>
      </w:r>
      <w:r w:rsidRPr="009E1DBA">
        <w:t xml:space="preserve">  Joint and several liability for all trustees</w:t>
      </w:r>
      <w:bookmarkEnd w:id="11"/>
    </w:p>
    <w:bookmarkEnd w:id="9"/>
    <w:p w14:paraId="6030A199" w14:textId="77777777" w:rsidR="00976EE3" w:rsidRPr="009E1DBA" w:rsidRDefault="00976EE3" w:rsidP="00F10EAA">
      <w:pPr>
        <w:pStyle w:val="subsection"/>
      </w:pPr>
      <w:r w:rsidRPr="009E1DBA">
        <w:tab/>
      </w:r>
      <w:r w:rsidRPr="009E1DBA">
        <w:tab/>
        <w:t>If:</w:t>
      </w:r>
    </w:p>
    <w:p w14:paraId="44B4604B" w14:textId="77777777" w:rsidR="00976EE3" w:rsidRPr="009E1DBA" w:rsidRDefault="00976EE3" w:rsidP="00F10EAA">
      <w:pPr>
        <w:pStyle w:val="paragraph"/>
      </w:pPr>
      <w:r w:rsidRPr="009E1DBA">
        <w:tab/>
        <w:t>(a)</w:t>
      </w:r>
      <w:r w:rsidRPr="009E1DBA">
        <w:tab/>
        <w:t>a trust has more than one trustee; and</w:t>
      </w:r>
    </w:p>
    <w:p w14:paraId="56DF04CC" w14:textId="77777777" w:rsidR="00976EE3" w:rsidRPr="009E1DBA" w:rsidRDefault="00976EE3" w:rsidP="00F10EAA">
      <w:pPr>
        <w:pStyle w:val="paragraph"/>
      </w:pPr>
      <w:r w:rsidRPr="009E1DBA">
        <w:tab/>
        <w:t>(b)</w:t>
      </w:r>
      <w:r w:rsidRPr="009E1DBA">
        <w:tab/>
        <w:t xml:space="preserve">a civil penalty is imposed in relation to a contravention of a provision of this Schedule or an </w:t>
      </w:r>
      <w:r w:rsidR="00F10EAA" w:rsidRPr="009E1DBA">
        <w:rPr>
          <w:position w:val="6"/>
          <w:sz w:val="16"/>
        </w:rPr>
        <w:t>*</w:t>
      </w:r>
      <w:r w:rsidRPr="009E1DBA">
        <w:t>indirect tax law on one of those trustees;</w:t>
      </w:r>
    </w:p>
    <w:p w14:paraId="44C7E0FF" w14:textId="77777777" w:rsidR="00976EE3" w:rsidRPr="009E1DBA" w:rsidRDefault="00976EE3" w:rsidP="00F10EAA">
      <w:pPr>
        <w:pStyle w:val="subsection2"/>
      </w:pPr>
      <w:r w:rsidRPr="009E1DBA">
        <w:t>then all the trustees are jointly and severally liable to pay the amount of the penalty.</w:t>
      </w:r>
    </w:p>
    <w:bookmarkEnd w:id="10"/>
    <w:p w14:paraId="430F7D24" w14:textId="77777777" w:rsidR="00976EE3" w:rsidRPr="009E1DBA" w:rsidRDefault="00976EE3" w:rsidP="00F10EAA">
      <w:pPr>
        <w:pStyle w:val="Transitional"/>
      </w:pPr>
      <w:r w:rsidRPr="009E1DBA">
        <w:t>37  Application</w:t>
      </w:r>
    </w:p>
    <w:p w14:paraId="44409423" w14:textId="77777777" w:rsidR="00976EE3" w:rsidRPr="009E1DBA" w:rsidRDefault="00976EE3" w:rsidP="00F10EAA">
      <w:pPr>
        <w:pStyle w:val="Subitem"/>
      </w:pPr>
      <w:r w:rsidRPr="009E1DBA">
        <w:t>(1)</w:t>
      </w:r>
      <w:r w:rsidRPr="009E1DBA">
        <w:tab/>
        <w:t xml:space="preserve">Subject to </w:t>
      </w:r>
      <w:r w:rsidR="00F569DA" w:rsidRPr="009E1DBA">
        <w:t>subitem (</w:t>
      </w:r>
      <w:r w:rsidRPr="009E1DBA">
        <w:t>2), the amendments made by this Schedule apply in relation to conduct engaged in on or after the commencement of this Schedule.</w:t>
      </w:r>
    </w:p>
    <w:p w14:paraId="7C7FD62E" w14:textId="77777777" w:rsidR="00976EE3" w:rsidRPr="009E1DBA" w:rsidRDefault="00976EE3" w:rsidP="00F10EAA">
      <w:pPr>
        <w:pStyle w:val="Subitem"/>
      </w:pPr>
      <w:r w:rsidRPr="009E1DBA">
        <w:lastRenderedPageBreak/>
        <w:t>(2)</w:t>
      </w:r>
      <w:r w:rsidRPr="009E1DBA">
        <w:tab/>
        <w:t xml:space="preserve">The amendments made by </w:t>
      </w:r>
      <w:r w:rsidR="00F569DA" w:rsidRPr="009E1DBA">
        <w:t>items 2</w:t>
      </w:r>
      <w:r w:rsidRPr="009E1DBA">
        <w:t>0 and 22 apply in relation to conduct engaged in before, on or after the commencement of this Schedule.</w:t>
      </w:r>
    </w:p>
    <w:p w14:paraId="4F48B040" w14:textId="77777777" w:rsidR="00901BEA" w:rsidRPr="009E1DBA" w:rsidRDefault="00F569DA" w:rsidP="00F10EAA">
      <w:pPr>
        <w:pStyle w:val="ActHead6"/>
        <w:pageBreakBefore/>
      </w:pPr>
      <w:bookmarkStart w:id="12" w:name="_Toc168296816"/>
      <w:r w:rsidRPr="009E1DBA">
        <w:rPr>
          <w:rStyle w:val="CharAmSchNo"/>
        </w:rPr>
        <w:lastRenderedPageBreak/>
        <w:t>Schedule 2</w:t>
      </w:r>
      <w:r w:rsidR="00901BEA" w:rsidRPr="009E1DBA">
        <w:t>—</w:t>
      </w:r>
      <w:r w:rsidR="00D85E0D" w:rsidRPr="009E1DBA">
        <w:rPr>
          <w:rStyle w:val="CharAmSchText"/>
        </w:rPr>
        <w:t xml:space="preserve">PwC </w:t>
      </w:r>
      <w:r w:rsidR="00822C53" w:rsidRPr="009E1DBA">
        <w:rPr>
          <w:rStyle w:val="CharAmSchText"/>
        </w:rPr>
        <w:t>r</w:t>
      </w:r>
      <w:r w:rsidR="00D85E0D" w:rsidRPr="009E1DBA">
        <w:rPr>
          <w:rStyle w:val="CharAmSchText"/>
        </w:rPr>
        <w:t>esponse—</w:t>
      </w:r>
      <w:r w:rsidR="00901BEA" w:rsidRPr="009E1DBA">
        <w:rPr>
          <w:rStyle w:val="CharAmSchText"/>
        </w:rPr>
        <w:t>Extending tax whistleblower protections</w:t>
      </w:r>
      <w:bookmarkEnd w:id="12"/>
    </w:p>
    <w:p w14:paraId="329E65BC" w14:textId="77777777" w:rsidR="00901BEA" w:rsidRPr="009E1DBA" w:rsidRDefault="00901BEA" w:rsidP="00F10EAA">
      <w:pPr>
        <w:pStyle w:val="Header"/>
      </w:pPr>
      <w:r w:rsidRPr="009E1DBA">
        <w:rPr>
          <w:rStyle w:val="CharAmPartNo"/>
        </w:rPr>
        <w:t xml:space="preserve"> </w:t>
      </w:r>
      <w:r w:rsidRPr="009E1DBA">
        <w:rPr>
          <w:rStyle w:val="CharAmPartText"/>
        </w:rPr>
        <w:t xml:space="preserve"> </w:t>
      </w:r>
    </w:p>
    <w:p w14:paraId="01B1B903" w14:textId="77777777" w:rsidR="00901BEA" w:rsidRPr="009E1DBA" w:rsidRDefault="00901BEA" w:rsidP="00F10EAA">
      <w:pPr>
        <w:pStyle w:val="ActHead9"/>
      </w:pPr>
      <w:bookmarkStart w:id="13" w:name="_Toc168296817"/>
      <w:r w:rsidRPr="009E1DBA">
        <w:t>Taxation Administration Act 1953</w:t>
      </w:r>
      <w:bookmarkEnd w:id="13"/>
    </w:p>
    <w:p w14:paraId="1A136828" w14:textId="77777777" w:rsidR="00901BEA" w:rsidRPr="009E1DBA" w:rsidRDefault="00901BEA" w:rsidP="00F10EAA">
      <w:pPr>
        <w:pStyle w:val="ItemHead"/>
      </w:pPr>
      <w:r w:rsidRPr="009E1DBA">
        <w:t>1  Sub</w:t>
      </w:r>
      <w:r w:rsidR="00F569DA" w:rsidRPr="009E1DBA">
        <w:t>section 2</w:t>
      </w:r>
      <w:r w:rsidRPr="009E1DBA">
        <w:t>(1)</w:t>
      </w:r>
    </w:p>
    <w:p w14:paraId="758F859F" w14:textId="77777777" w:rsidR="00901BEA" w:rsidRPr="009E1DBA" w:rsidRDefault="00901BEA" w:rsidP="00F10EAA">
      <w:pPr>
        <w:pStyle w:val="Item"/>
      </w:pPr>
      <w:r w:rsidRPr="009E1DBA">
        <w:t>Insert:</w:t>
      </w:r>
    </w:p>
    <w:p w14:paraId="1E06135C" w14:textId="77777777" w:rsidR="00901BEA" w:rsidRPr="009E1DBA" w:rsidRDefault="00901BEA" w:rsidP="00F10EAA">
      <w:pPr>
        <w:pStyle w:val="Definition"/>
      </w:pPr>
      <w:r w:rsidRPr="009E1DBA">
        <w:rPr>
          <w:b/>
          <w:i/>
        </w:rPr>
        <w:t>Tax Practitioners Board</w:t>
      </w:r>
      <w:r w:rsidRPr="009E1DBA">
        <w:t xml:space="preserve"> means the Tax Practitioners Board established by section 60</w:t>
      </w:r>
      <w:r w:rsidR="009E1DBA">
        <w:noBreakHyphen/>
      </w:r>
      <w:r w:rsidRPr="009E1DBA">
        <w:t xml:space="preserve">5 of the </w:t>
      </w:r>
      <w:r w:rsidRPr="009E1DBA">
        <w:rPr>
          <w:i/>
        </w:rPr>
        <w:t>Tax Agent Services Act 2009</w:t>
      </w:r>
      <w:r w:rsidRPr="009E1DBA">
        <w:t>.</w:t>
      </w:r>
    </w:p>
    <w:p w14:paraId="6A2167CB" w14:textId="77777777" w:rsidR="00901BEA" w:rsidRPr="009E1DBA" w:rsidRDefault="00901BEA" w:rsidP="00F10EAA">
      <w:pPr>
        <w:pStyle w:val="ItemHead"/>
      </w:pPr>
      <w:r w:rsidRPr="009E1DBA">
        <w:t>2  Section 8AC</w:t>
      </w:r>
    </w:p>
    <w:p w14:paraId="1E97B981" w14:textId="77777777" w:rsidR="00901BEA" w:rsidRPr="009E1DBA" w:rsidRDefault="00901BEA" w:rsidP="00F10EAA">
      <w:pPr>
        <w:pStyle w:val="Item"/>
      </w:pPr>
      <w:r w:rsidRPr="009E1DBA">
        <w:t xml:space="preserve">Omit “established by the </w:t>
      </w:r>
      <w:r w:rsidRPr="009E1DBA">
        <w:rPr>
          <w:i/>
        </w:rPr>
        <w:t>Tax Agent Services Act 2009</w:t>
      </w:r>
      <w:r w:rsidRPr="009E1DBA">
        <w:t>”.</w:t>
      </w:r>
    </w:p>
    <w:p w14:paraId="3DB44CC6" w14:textId="77777777" w:rsidR="00901BEA" w:rsidRPr="009E1DBA" w:rsidRDefault="00901BEA" w:rsidP="00F10EAA">
      <w:pPr>
        <w:pStyle w:val="ItemHead"/>
      </w:pPr>
      <w:r w:rsidRPr="009E1DBA">
        <w:t>3  After subsection 14ZZT(1)</w:t>
      </w:r>
    </w:p>
    <w:p w14:paraId="48F229A3" w14:textId="77777777" w:rsidR="00901BEA" w:rsidRPr="009E1DBA" w:rsidRDefault="00901BEA" w:rsidP="00F10EAA">
      <w:pPr>
        <w:pStyle w:val="Item"/>
      </w:pPr>
      <w:r w:rsidRPr="009E1DBA">
        <w:t>Insert:</w:t>
      </w:r>
    </w:p>
    <w:p w14:paraId="0D3426AA" w14:textId="77777777" w:rsidR="00901BEA" w:rsidRPr="009E1DBA" w:rsidRDefault="00901BEA" w:rsidP="00F10EAA">
      <w:pPr>
        <w:pStyle w:val="subsection"/>
      </w:pPr>
      <w:r w:rsidRPr="009E1DBA">
        <w:tab/>
        <w:t>(1A)</w:t>
      </w:r>
      <w:r w:rsidRPr="009E1DBA">
        <w:tab/>
        <w:t xml:space="preserve">A disclosure of information by an individual (the </w:t>
      </w:r>
      <w:r w:rsidRPr="009E1DBA">
        <w:rPr>
          <w:b/>
          <w:i/>
        </w:rPr>
        <w:t>discloser</w:t>
      </w:r>
      <w:r w:rsidRPr="009E1DBA">
        <w:t>) qualifies for protection under this Part if:</w:t>
      </w:r>
    </w:p>
    <w:p w14:paraId="24BBF012" w14:textId="77777777" w:rsidR="00901BEA" w:rsidRPr="009E1DBA" w:rsidRDefault="00901BEA" w:rsidP="00F10EAA">
      <w:pPr>
        <w:pStyle w:val="paragraph"/>
      </w:pPr>
      <w:r w:rsidRPr="009E1DBA">
        <w:tab/>
        <w:t>(a)</w:t>
      </w:r>
      <w:r w:rsidRPr="009E1DBA">
        <w:tab/>
        <w:t xml:space="preserve">the discloser is an eligible whistleblower in relation to an entity (within the meaning of the </w:t>
      </w:r>
      <w:r w:rsidRPr="009E1DBA">
        <w:rPr>
          <w:i/>
        </w:rPr>
        <w:t>Income Tax Assessment Act 1997</w:t>
      </w:r>
      <w:r w:rsidRPr="009E1DBA">
        <w:t>); and</w:t>
      </w:r>
    </w:p>
    <w:p w14:paraId="58F5B1BD" w14:textId="77777777" w:rsidR="00901BEA" w:rsidRPr="009E1DBA" w:rsidRDefault="00901BEA" w:rsidP="00F10EAA">
      <w:pPr>
        <w:pStyle w:val="paragraph"/>
      </w:pPr>
      <w:r w:rsidRPr="009E1DBA">
        <w:tab/>
        <w:t>(b)</w:t>
      </w:r>
      <w:r w:rsidRPr="009E1DBA">
        <w:tab/>
        <w:t>the disclosure is made to:</w:t>
      </w:r>
    </w:p>
    <w:p w14:paraId="64B07946" w14:textId="77777777" w:rsidR="00901BEA" w:rsidRPr="009E1DBA" w:rsidRDefault="00901BEA" w:rsidP="00F10EAA">
      <w:pPr>
        <w:pStyle w:val="paragraphsub"/>
      </w:pPr>
      <w:r w:rsidRPr="009E1DBA">
        <w:tab/>
        <w:t>(i)</w:t>
      </w:r>
      <w:r w:rsidRPr="009E1DBA">
        <w:tab/>
        <w:t>the Tax Practitioners Board; or</w:t>
      </w:r>
    </w:p>
    <w:p w14:paraId="6129558F" w14:textId="77777777" w:rsidR="00901BEA" w:rsidRPr="009E1DBA" w:rsidRDefault="00901BEA" w:rsidP="00F10EAA">
      <w:pPr>
        <w:pStyle w:val="paragraphsub"/>
      </w:pPr>
      <w:r w:rsidRPr="009E1DBA">
        <w:tab/>
        <w:t>(ii)</w:t>
      </w:r>
      <w:r w:rsidRPr="009E1DBA">
        <w:tab/>
        <w:t>the Commissioner; and</w:t>
      </w:r>
    </w:p>
    <w:p w14:paraId="09C434B5" w14:textId="77777777" w:rsidR="00901BEA" w:rsidRPr="009E1DBA" w:rsidRDefault="00901BEA" w:rsidP="00F10EAA">
      <w:pPr>
        <w:pStyle w:val="paragraph"/>
      </w:pPr>
      <w:r w:rsidRPr="009E1DBA">
        <w:tab/>
        <w:t>(c)</w:t>
      </w:r>
      <w:r w:rsidRPr="009E1DBA">
        <w:tab/>
        <w:t xml:space="preserve">the discloser considers that the information may assist the Tax Practitioners Board to perform its functions or duties under the </w:t>
      </w:r>
      <w:r w:rsidRPr="009E1DBA">
        <w:rPr>
          <w:i/>
        </w:rPr>
        <w:t>Tax Agent Services Act 2009</w:t>
      </w:r>
      <w:r w:rsidRPr="009E1DBA">
        <w:t xml:space="preserve">, or an instrument made under that Act, in relation to the entity or an associate (within the meaning of section 318 of the </w:t>
      </w:r>
      <w:r w:rsidRPr="009E1DBA">
        <w:rPr>
          <w:i/>
        </w:rPr>
        <w:t>Income Tax Assessment Act 1936</w:t>
      </w:r>
      <w:r w:rsidRPr="009E1DBA">
        <w:t>) of the entity.</w:t>
      </w:r>
    </w:p>
    <w:p w14:paraId="4726AA7E" w14:textId="77777777" w:rsidR="00901BEA" w:rsidRPr="009E1DBA" w:rsidRDefault="00901BEA" w:rsidP="00F10EAA">
      <w:pPr>
        <w:pStyle w:val="ItemHead"/>
      </w:pPr>
      <w:r w:rsidRPr="009E1DBA">
        <w:t>4  After subsection 14ZZT(3)</w:t>
      </w:r>
    </w:p>
    <w:p w14:paraId="31677A18" w14:textId="77777777" w:rsidR="00901BEA" w:rsidRPr="009E1DBA" w:rsidRDefault="00901BEA" w:rsidP="00F10EAA">
      <w:pPr>
        <w:pStyle w:val="Item"/>
      </w:pPr>
      <w:r w:rsidRPr="009E1DBA">
        <w:t>Insert:</w:t>
      </w:r>
    </w:p>
    <w:p w14:paraId="69C3A7C8" w14:textId="77777777" w:rsidR="00901BEA" w:rsidRPr="009E1DBA" w:rsidRDefault="00901BEA" w:rsidP="00F10EAA">
      <w:pPr>
        <w:pStyle w:val="subsection"/>
      </w:pPr>
      <w:r w:rsidRPr="009E1DBA">
        <w:tab/>
        <w:t>(3A)</w:t>
      </w:r>
      <w:r w:rsidRPr="009E1DBA">
        <w:tab/>
        <w:t xml:space="preserve">A disclosure of information by an individual (the </w:t>
      </w:r>
      <w:r w:rsidRPr="009E1DBA">
        <w:rPr>
          <w:b/>
          <w:i/>
        </w:rPr>
        <w:t>discloser</w:t>
      </w:r>
      <w:r w:rsidRPr="009E1DBA">
        <w:t>) qualifies for protection under this Part if the disclosure is made:</w:t>
      </w:r>
    </w:p>
    <w:p w14:paraId="1208A549" w14:textId="77777777" w:rsidR="00901BEA" w:rsidRPr="009E1DBA" w:rsidRDefault="00901BEA" w:rsidP="00F10EAA">
      <w:pPr>
        <w:pStyle w:val="paragraph"/>
      </w:pPr>
      <w:r w:rsidRPr="009E1DBA">
        <w:lastRenderedPageBreak/>
        <w:tab/>
        <w:t>(a)</w:t>
      </w:r>
      <w:r w:rsidRPr="009E1DBA">
        <w:tab/>
        <w:t xml:space="preserve">to an entity (within the meaning of the </w:t>
      </w:r>
      <w:r w:rsidRPr="009E1DBA">
        <w:rPr>
          <w:i/>
        </w:rPr>
        <w:t>Income Tax Assessment Act 1997</w:t>
      </w:r>
      <w:r w:rsidRPr="009E1DBA">
        <w:t>) that has one or more members, if:</w:t>
      </w:r>
    </w:p>
    <w:p w14:paraId="70B99E22" w14:textId="77777777" w:rsidR="00901BEA" w:rsidRPr="009E1DBA" w:rsidRDefault="00901BEA" w:rsidP="00F10EAA">
      <w:pPr>
        <w:pStyle w:val="paragraphsub"/>
      </w:pPr>
      <w:r w:rsidRPr="009E1DBA">
        <w:tab/>
        <w:t>(i)</w:t>
      </w:r>
      <w:r w:rsidRPr="009E1DBA">
        <w:tab/>
        <w:t>the entity is prescribed by the regulations; and</w:t>
      </w:r>
    </w:p>
    <w:p w14:paraId="1BF47C89" w14:textId="77777777" w:rsidR="00901BEA" w:rsidRPr="009E1DBA" w:rsidRDefault="00901BEA" w:rsidP="00F10EAA">
      <w:pPr>
        <w:pStyle w:val="paragraphsub"/>
      </w:pPr>
      <w:r w:rsidRPr="009E1DBA">
        <w:tab/>
        <w:t>(ii)</w:t>
      </w:r>
      <w:r w:rsidRPr="009E1DBA">
        <w:tab/>
        <w:t>the discloser is a member of the entity; and</w:t>
      </w:r>
    </w:p>
    <w:p w14:paraId="0D5A42C1" w14:textId="77777777" w:rsidR="00901BEA" w:rsidRPr="009E1DBA" w:rsidRDefault="00901BEA" w:rsidP="00F10EAA">
      <w:pPr>
        <w:pStyle w:val="paragraph"/>
      </w:pPr>
      <w:r w:rsidRPr="009E1DBA">
        <w:tab/>
        <w:t>(b)</w:t>
      </w:r>
      <w:r w:rsidRPr="009E1DBA">
        <w:tab/>
        <w:t>for the purpose of obtaining assistance in relation to the operation of this Part.</w:t>
      </w:r>
    </w:p>
    <w:p w14:paraId="5ABF9551" w14:textId="77777777" w:rsidR="00901BEA" w:rsidRPr="009E1DBA" w:rsidRDefault="00901BEA" w:rsidP="00F10EAA">
      <w:pPr>
        <w:pStyle w:val="subsection"/>
      </w:pPr>
      <w:r w:rsidRPr="009E1DBA">
        <w:tab/>
        <w:t>(3B)</w:t>
      </w:r>
      <w:r w:rsidRPr="009E1DBA">
        <w:tab/>
        <w:t xml:space="preserve">A disclosure of information by an individual (the </w:t>
      </w:r>
      <w:r w:rsidRPr="009E1DBA">
        <w:rPr>
          <w:b/>
          <w:i/>
        </w:rPr>
        <w:t>discloser</w:t>
      </w:r>
      <w:r w:rsidRPr="009E1DBA">
        <w:t>) qualifies for protection under this Part if the disclosure is made to a medical practitioner or psychologist for the purpose of obtaining medical or psychiatric care, treatment or counselling (including psychological counselling).</w:t>
      </w:r>
    </w:p>
    <w:p w14:paraId="02D02EE7" w14:textId="77777777" w:rsidR="00901BEA" w:rsidRPr="009E1DBA" w:rsidRDefault="00901BEA" w:rsidP="00F10EAA">
      <w:pPr>
        <w:pStyle w:val="ItemHead"/>
      </w:pPr>
      <w:r w:rsidRPr="009E1DBA">
        <w:t>5  Subsection 14ZZT(4)</w:t>
      </w:r>
    </w:p>
    <w:p w14:paraId="07A40BAB" w14:textId="77777777" w:rsidR="00901BEA" w:rsidRPr="009E1DBA" w:rsidRDefault="00901BEA" w:rsidP="00F10EAA">
      <w:pPr>
        <w:pStyle w:val="Item"/>
      </w:pPr>
      <w:r w:rsidRPr="009E1DBA">
        <w:t>Insert:</w:t>
      </w:r>
    </w:p>
    <w:p w14:paraId="3B6057FF" w14:textId="77777777" w:rsidR="00901BEA" w:rsidRPr="009E1DBA" w:rsidRDefault="00901BEA" w:rsidP="00F10EAA">
      <w:pPr>
        <w:pStyle w:val="Definition"/>
      </w:pPr>
      <w:r w:rsidRPr="009E1DBA">
        <w:rPr>
          <w:b/>
          <w:i/>
        </w:rPr>
        <w:t>medical practitioner</w:t>
      </w:r>
      <w:r w:rsidRPr="009E1DBA">
        <w:t xml:space="preserve"> means a person registered or licensed as a medical practitioner under a law of a State or Territory that provides for the registration or licensing of medical practitioners.</w:t>
      </w:r>
    </w:p>
    <w:p w14:paraId="7A1C96EF" w14:textId="77777777" w:rsidR="00901BEA" w:rsidRPr="009E1DBA" w:rsidRDefault="00901BEA" w:rsidP="00F10EAA">
      <w:pPr>
        <w:pStyle w:val="Definition"/>
      </w:pPr>
      <w:r w:rsidRPr="009E1DBA">
        <w:rPr>
          <w:b/>
          <w:i/>
        </w:rPr>
        <w:t>psychologist</w:t>
      </w:r>
      <w:r w:rsidRPr="009E1DBA">
        <w:t xml:space="preserve"> means a person registered or licensed as a psychologist under a law of a State or Territory that provides for the registration or licensing of psychologists.</w:t>
      </w:r>
    </w:p>
    <w:p w14:paraId="35D7406B" w14:textId="77777777" w:rsidR="00901BEA" w:rsidRPr="009E1DBA" w:rsidRDefault="00901BEA" w:rsidP="00F10EAA">
      <w:pPr>
        <w:pStyle w:val="ItemHead"/>
      </w:pPr>
      <w:r w:rsidRPr="009E1DBA">
        <w:t>6  After section 14ZZT</w:t>
      </w:r>
    </w:p>
    <w:p w14:paraId="1DCF0A70" w14:textId="77777777" w:rsidR="00901BEA" w:rsidRPr="009E1DBA" w:rsidRDefault="00901BEA" w:rsidP="00F10EAA">
      <w:pPr>
        <w:pStyle w:val="Item"/>
      </w:pPr>
      <w:r w:rsidRPr="009E1DBA">
        <w:t>Insert:</w:t>
      </w:r>
    </w:p>
    <w:p w14:paraId="2AD01BB1" w14:textId="77777777" w:rsidR="00901BEA" w:rsidRPr="009E1DBA" w:rsidRDefault="00901BEA" w:rsidP="00F10EAA">
      <w:pPr>
        <w:pStyle w:val="ActHead5"/>
      </w:pPr>
      <w:bookmarkStart w:id="14" w:name="_Toc168296818"/>
      <w:r w:rsidRPr="009E1DBA">
        <w:rPr>
          <w:rStyle w:val="CharSectno"/>
        </w:rPr>
        <w:t>14ZZTA</w:t>
      </w:r>
      <w:r w:rsidRPr="009E1DBA">
        <w:t xml:space="preserve">  Information disclosed for the purpose of assisting the Tax Practitioners Board</w:t>
      </w:r>
      <w:bookmarkEnd w:id="14"/>
    </w:p>
    <w:p w14:paraId="0CC32733" w14:textId="77777777" w:rsidR="00901BEA" w:rsidRPr="009E1DBA" w:rsidRDefault="00901BEA" w:rsidP="00F10EAA">
      <w:pPr>
        <w:pStyle w:val="subsection"/>
      </w:pPr>
      <w:r w:rsidRPr="009E1DBA">
        <w:tab/>
        <w:t>(1)</w:t>
      </w:r>
      <w:r w:rsidRPr="009E1DBA">
        <w:tab/>
        <w:t>If information is disclosed to the Commissioner in accordance with subsection 14ZZT(1A) then, for the purposes of the following provisions:</w:t>
      </w:r>
    </w:p>
    <w:p w14:paraId="35C39776" w14:textId="77777777" w:rsidR="00901BEA" w:rsidRPr="009E1DBA" w:rsidRDefault="00901BEA" w:rsidP="00F10EAA">
      <w:pPr>
        <w:pStyle w:val="paragraph"/>
      </w:pPr>
      <w:r w:rsidRPr="009E1DBA">
        <w:tab/>
        <w:t>(a)</w:t>
      </w:r>
      <w:r w:rsidRPr="009E1DBA">
        <w:tab/>
        <w:t>paragraph 355</w:t>
      </w:r>
      <w:r w:rsidR="009E1DBA">
        <w:noBreakHyphen/>
      </w:r>
      <w:r w:rsidRPr="009E1DBA">
        <w:t xml:space="preserve">30(1)(a) in </w:t>
      </w:r>
      <w:r w:rsidR="00F569DA" w:rsidRPr="009E1DBA">
        <w:t>Schedule 1</w:t>
      </w:r>
      <w:r w:rsidRPr="009E1DBA">
        <w:t>;</w:t>
      </w:r>
    </w:p>
    <w:p w14:paraId="2B964BBB" w14:textId="77777777" w:rsidR="00901BEA" w:rsidRPr="009E1DBA" w:rsidRDefault="00901BEA" w:rsidP="00F10EAA">
      <w:pPr>
        <w:pStyle w:val="paragraph"/>
      </w:pPr>
      <w:r w:rsidRPr="009E1DBA">
        <w:tab/>
        <w:t>(b)</w:t>
      </w:r>
      <w:r w:rsidRPr="009E1DBA">
        <w:tab/>
      </w:r>
      <w:r w:rsidR="00F569DA" w:rsidRPr="009E1DBA">
        <w:t>paragraph (</w:t>
      </w:r>
      <w:r w:rsidRPr="009E1DBA">
        <w:t xml:space="preserve">a) of the definition of </w:t>
      </w:r>
      <w:r w:rsidRPr="009E1DBA">
        <w:rPr>
          <w:b/>
          <w:i/>
        </w:rPr>
        <w:t>official information</w:t>
      </w:r>
      <w:r w:rsidRPr="009E1DBA">
        <w:t xml:space="preserve"> in subsection 90</w:t>
      </w:r>
      <w:r w:rsidR="009E1DBA">
        <w:noBreakHyphen/>
      </w:r>
      <w:r w:rsidRPr="009E1DBA">
        <w:t xml:space="preserve">1(1) of the </w:t>
      </w:r>
      <w:r w:rsidRPr="009E1DBA">
        <w:rPr>
          <w:i/>
        </w:rPr>
        <w:t>Tax Agent Services Act 2009</w:t>
      </w:r>
      <w:r w:rsidRPr="009E1DBA">
        <w:t>;</w:t>
      </w:r>
    </w:p>
    <w:p w14:paraId="3FE411CF" w14:textId="77777777" w:rsidR="00901BEA" w:rsidRPr="009E1DBA" w:rsidRDefault="00901BEA" w:rsidP="00F10EAA">
      <w:pPr>
        <w:pStyle w:val="subsection2"/>
      </w:pPr>
      <w:r w:rsidRPr="009E1DBA">
        <w:t xml:space="preserve">the information is taken to have been disclosed or obtained under or for the purposes of this Act, and not the </w:t>
      </w:r>
      <w:r w:rsidRPr="009E1DBA">
        <w:rPr>
          <w:i/>
        </w:rPr>
        <w:t>Tax Agent Services Act 2009</w:t>
      </w:r>
      <w:r w:rsidRPr="009E1DBA">
        <w:t>.</w:t>
      </w:r>
    </w:p>
    <w:p w14:paraId="2B8C19FA" w14:textId="77777777" w:rsidR="00901BEA" w:rsidRPr="009E1DBA" w:rsidRDefault="00901BEA" w:rsidP="00F10EAA">
      <w:pPr>
        <w:pStyle w:val="subsection"/>
      </w:pPr>
      <w:r w:rsidRPr="009E1DBA">
        <w:lastRenderedPageBreak/>
        <w:tab/>
        <w:t>(2)</w:t>
      </w:r>
      <w:r w:rsidRPr="009E1DBA">
        <w:tab/>
        <w:t>If information is disclosed to the Tax Practitioners Board in accordance with subsection 14ZZT(1A) then, for the purposes of the following provisions:</w:t>
      </w:r>
    </w:p>
    <w:p w14:paraId="38CD5540" w14:textId="77777777" w:rsidR="00901BEA" w:rsidRPr="009E1DBA" w:rsidRDefault="00901BEA" w:rsidP="00F10EAA">
      <w:pPr>
        <w:pStyle w:val="paragraph"/>
      </w:pPr>
      <w:r w:rsidRPr="009E1DBA">
        <w:tab/>
        <w:t>(a)</w:t>
      </w:r>
      <w:r w:rsidRPr="009E1DBA">
        <w:tab/>
        <w:t>paragraph 355</w:t>
      </w:r>
      <w:r w:rsidR="009E1DBA">
        <w:noBreakHyphen/>
      </w:r>
      <w:r w:rsidRPr="009E1DBA">
        <w:t xml:space="preserve">30(1)(a) in </w:t>
      </w:r>
      <w:r w:rsidR="00F569DA" w:rsidRPr="009E1DBA">
        <w:t>Schedule 1</w:t>
      </w:r>
      <w:r w:rsidRPr="009E1DBA">
        <w:t>;</w:t>
      </w:r>
    </w:p>
    <w:p w14:paraId="384C5264" w14:textId="77777777" w:rsidR="00901BEA" w:rsidRPr="009E1DBA" w:rsidRDefault="00901BEA" w:rsidP="00F10EAA">
      <w:pPr>
        <w:pStyle w:val="paragraph"/>
      </w:pPr>
      <w:r w:rsidRPr="009E1DBA">
        <w:tab/>
        <w:t>(b)</w:t>
      </w:r>
      <w:r w:rsidRPr="009E1DBA">
        <w:tab/>
      </w:r>
      <w:r w:rsidR="00F569DA" w:rsidRPr="009E1DBA">
        <w:t>paragraph (</w:t>
      </w:r>
      <w:r w:rsidRPr="009E1DBA">
        <w:t xml:space="preserve">a) of the definition of </w:t>
      </w:r>
      <w:r w:rsidRPr="009E1DBA">
        <w:rPr>
          <w:b/>
          <w:i/>
        </w:rPr>
        <w:t>official information</w:t>
      </w:r>
      <w:r w:rsidRPr="009E1DBA">
        <w:t xml:space="preserve"> in subsection 90</w:t>
      </w:r>
      <w:r w:rsidR="009E1DBA">
        <w:noBreakHyphen/>
      </w:r>
      <w:r w:rsidRPr="009E1DBA">
        <w:t xml:space="preserve">1(1) of the </w:t>
      </w:r>
      <w:r w:rsidRPr="009E1DBA">
        <w:rPr>
          <w:i/>
        </w:rPr>
        <w:t>Tax Agent Services Act 2009</w:t>
      </w:r>
      <w:r w:rsidRPr="009E1DBA">
        <w:t>;</w:t>
      </w:r>
    </w:p>
    <w:p w14:paraId="63018D82" w14:textId="77777777" w:rsidR="00901BEA" w:rsidRPr="009E1DBA" w:rsidRDefault="00901BEA" w:rsidP="00F10EAA">
      <w:pPr>
        <w:pStyle w:val="subsection2"/>
      </w:pPr>
      <w:r w:rsidRPr="009E1DBA">
        <w:t xml:space="preserve">the information is taken to have been disclosed or obtained under or for the purposes of the </w:t>
      </w:r>
      <w:r w:rsidRPr="009E1DBA">
        <w:rPr>
          <w:i/>
        </w:rPr>
        <w:t>Tax Agent Services Act 2009</w:t>
      </w:r>
      <w:r w:rsidRPr="009E1DBA">
        <w:t>, and not this Act.</w:t>
      </w:r>
    </w:p>
    <w:p w14:paraId="4D9EA37F" w14:textId="77777777" w:rsidR="00901BEA" w:rsidRPr="009E1DBA" w:rsidRDefault="00901BEA" w:rsidP="00F10EAA">
      <w:pPr>
        <w:pStyle w:val="ItemHead"/>
      </w:pPr>
      <w:r w:rsidRPr="009E1DBA">
        <w:t>7  Paragraph 14ZZX(1)(c)</w:t>
      </w:r>
    </w:p>
    <w:p w14:paraId="59F30EDC" w14:textId="77777777" w:rsidR="00901BEA" w:rsidRPr="009E1DBA" w:rsidRDefault="00901BEA" w:rsidP="00F10EAA">
      <w:pPr>
        <w:pStyle w:val="Item"/>
      </w:pPr>
      <w:r w:rsidRPr="009E1DBA">
        <w:t>After “to the Commissioner”, insert “or the Tax Practitioners Board”.</w:t>
      </w:r>
    </w:p>
    <w:p w14:paraId="5C8DF1F3" w14:textId="77777777" w:rsidR="00901BEA" w:rsidRPr="009E1DBA" w:rsidRDefault="00901BEA" w:rsidP="00F10EAA">
      <w:pPr>
        <w:pStyle w:val="ItemHead"/>
      </w:pPr>
      <w:r w:rsidRPr="009E1DBA">
        <w:t>8  After section 14ZZX</w:t>
      </w:r>
    </w:p>
    <w:p w14:paraId="4C87E3EC" w14:textId="77777777" w:rsidR="00901BEA" w:rsidRPr="009E1DBA" w:rsidRDefault="00901BEA" w:rsidP="00F10EAA">
      <w:pPr>
        <w:pStyle w:val="Item"/>
      </w:pPr>
      <w:r w:rsidRPr="009E1DBA">
        <w:t>Insert:</w:t>
      </w:r>
    </w:p>
    <w:p w14:paraId="143FBD1D" w14:textId="77777777" w:rsidR="00901BEA" w:rsidRPr="009E1DBA" w:rsidRDefault="00901BEA" w:rsidP="00F10EAA">
      <w:pPr>
        <w:pStyle w:val="ActHead5"/>
      </w:pPr>
      <w:bookmarkStart w:id="15" w:name="_Toc168296819"/>
      <w:r w:rsidRPr="009E1DBA">
        <w:rPr>
          <w:rStyle w:val="CharSectno"/>
        </w:rPr>
        <w:t>14ZZXA</w:t>
      </w:r>
      <w:r w:rsidRPr="009E1DBA">
        <w:t xml:space="preserve">  Claims for protection</w:t>
      </w:r>
      <w:bookmarkEnd w:id="15"/>
    </w:p>
    <w:p w14:paraId="6C46B5FC" w14:textId="77777777" w:rsidR="00901BEA" w:rsidRPr="009E1DBA" w:rsidRDefault="00901BEA" w:rsidP="00F10EAA">
      <w:pPr>
        <w:pStyle w:val="subsection"/>
      </w:pPr>
      <w:r w:rsidRPr="009E1DBA">
        <w:tab/>
        <w:t>(1)</w:t>
      </w:r>
      <w:r w:rsidRPr="009E1DBA">
        <w:tab/>
        <w:t xml:space="preserve">If, in civil or criminal proceedings (the </w:t>
      </w:r>
      <w:r w:rsidRPr="009E1DBA">
        <w:rPr>
          <w:b/>
          <w:i/>
        </w:rPr>
        <w:t>primary proceedings</w:t>
      </w:r>
      <w:r w:rsidRPr="009E1DBA">
        <w:t>) instituted against an individual in a court, the individual makes a claim (relevant to the proceedings) that, because of section 14ZZX, the individual is not subject to any civil, criminal or administrative liability for making a particular disclosure:</w:t>
      </w:r>
    </w:p>
    <w:p w14:paraId="6FC06414" w14:textId="77777777" w:rsidR="00901BEA" w:rsidRPr="009E1DBA" w:rsidRDefault="00901BEA" w:rsidP="00F10EAA">
      <w:pPr>
        <w:pStyle w:val="paragraph"/>
      </w:pPr>
      <w:r w:rsidRPr="009E1DBA">
        <w:tab/>
        <w:t>(a)</w:t>
      </w:r>
      <w:r w:rsidRPr="009E1DBA">
        <w:tab/>
        <w:t>the individual bears the onus of adducing or pointing to evidence that suggests a reasonable possibility that the claim is made out; and</w:t>
      </w:r>
    </w:p>
    <w:p w14:paraId="42CC43E2" w14:textId="77777777" w:rsidR="00901BEA" w:rsidRPr="009E1DBA" w:rsidRDefault="00901BEA" w:rsidP="00F10EAA">
      <w:pPr>
        <w:pStyle w:val="paragraph"/>
      </w:pPr>
      <w:r w:rsidRPr="009E1DBA">
        <w:tab/>
        <w:t>(b)</w:t>
      </w:r>
      <w:r w:rsidRPr="009E1DBA">
        <w:tab/>
        <w:t>if the individual discharges that onus—the party instituting the primary proceedings against the individual bears the onus of proving that the claim is not made out; and</w:t>
      </w:r>
    </w:p>
    <w:p w14:paraId="31550F3E" w14:textId="77777777" w:rsidR="00901BEA" w:rsidRPr="009E1DBA" w:rsidRDefault="00901BEA" w:rsidP="00F10EAA">
      <w:pPr>
        <w:pStyle w:val="paragraph"/>
      </w:pPr>
      <w:r w:rsidRPr="009E1DBA">
        <w:tab/>
        <w:t>(c)</w:t>
      </w:r>
      <w:r w:rsidRPr="009E1DBA">
        <w:tab/>
        <w:t>the court must deal with the claim in separate proceedings; and</w:t>
      </w:r>
    </w:p>
    <w:p w14:paraId="273684B5" w14:textId="77777777" w:rsidR="00901BEA" w:rsidRPr="009E1DBA" w:rsidRDefault="00901BEA" w:rsidP="00F10EAA">
      <w:pPr>
        <w:pStyle w:val="paragraph"/>
      </w:pPr>
      <w:r w:rsidRPr="009E1DBA">
        <w:tab/>
        <w:t>(d)</w:t>
      </w:r>
      <w:r w:rsidRPr="009E1DBA">
        <w:tab/>
        <w:t>the court must adjourn the primary proceedings until the claim has been dealt with; and</w:t>
      </w:r>
    </w:p>
    <w:p w14:paraId="718DDCA8" w14:textId="77777777" w:rsidR="00901BEA" w:rsidRPr="009E1DBA" w:rsidRDefault="00901BEA" w:rsidP="00F10EAA">
      <w:pPr>
        <w:pStyle w:val="paragraph"/>
      </w:pPr>
      <w:r w:rsidRPr="009E1DBA">
        <w:tab/>
        <w:t>(e)</w:t>
      </w:r>
      <w:r w:rsidRPr="009E1DBA">
        <w:tab/>
        <w:t>none of the following:</w:t>
      </w:r>
    </w:p>
    <w:p w14:paraId="6A570F1E" w14:textId="77777777" w:rsidR="00901BEA" w:rsidRPr="009E1DBA" w:rsidRDefault="00901BEA" w:rsidP="00F10EAA">
      <w:pPr>
        <w:pStyle w:val="paragraphsub"/>
      </w:pPr>
      <w:r w:rsidRPr="009E1DBA">
        <w:tab/>
        <w:t>(i)</w:t>
      </w:r>
      <w:r w:rsidRPr="009E1DBA">
        <w:tab/>
        <w:t>any admission made by the individual in the separate proceedings;</w:t>
      </w:r>
    </w:p>
    <w:p w14:paraId="28EBD5EE" w14:textId="77777777" w:rsidR="00901BEA" w:rsidRPr="009E1DBA" w:rsidRDefault="00901BEA" w:rsidP="00F10EAA">
      <w:pPr>
        <w:pStyle w:val="paragraphsub"/>
      </w:pPr>
      <w:r w:rsidRPr="009E1DBA">
        <w:tab/>
        <w:t>(ii)</w:t>
      </w:r>
      <w:r w:rsidRPr="009E1DBA">
        <w:tab/>
        <w:t>any information given by the individual in the separate proceedings;</w:t>
      </w:r>
    </w:p>
    <w:p w14:paraId="7A7AD1BE" w14:textId="77777777" w:rsidR="00901BEA" w:rsidRPr="009E1DBA" w:rsidRDefault="00901BEA" w:rsidP="00F10EAA">
      <w:pPr>
        <w:pStyle w:val="paragraphsub"/>
      </w:pPr>
      <w:r w:rsidRPr="009E1DBA">
        <w:lastRenderedPageBreak/>
        <w:tab/>
        <w:t>(iii)</w:t>
      </w:r>
      <w:r w:rsidRPr="009E1DBA">
        <w:tab/>
        <w:t>any other evidence adduced by the individual in the separate proceedings;</w:t>
      </w:r>
    </w:p>
    <w:p w14:paraId="54CD4E66" w14:textId="77777777" w:rsidR="00901BEA" w:rsidRPr="009E1DBA" w:rsidRDefault="00901BEA" w:rsidP="00F10EAA">
      <w:pPr>
        <w:pStyle w:val="paragraph"/>
      </w:pPr>
      <w:r w:rsidRPr="009E1DBA">
        <w:tab/>
      </w:r>
      <w:r w:rsidRPr="009E1DBA">
        <w:tab/>
        <w:t>is admissible in evidence against the individual except in proceedings in respect of the falsity of the admission, information or evidence; and</w:t>
      </w:r>
    </w:p>
    <w:p w14:paraId="634579F1" w14:textId="77777777" w:rsidR="00901BEA" w:rsidRPr="009E1DBA" w:rsidRDefault="00901BEA" w:rsidP="00F10EAA">
      <w:pPr>
        <w:pStyle w:val="paragraph"/>
      </w:pPr>
      <w:r w:rsidRPr="009E1DBA">
        <w:tab/>
        <w:t>(f)</w:t>
      </w:r>
      <w:r w:rsidRPr="009E1DBA">
        <w:tab/>
        <w:t>if the individual or another person gives evidence in the separate proceedings in support of the claim—giving that evidence does not amount to a waiver of privilege for the purposes of the primary proceedings or any other proceedings.</w:t>
      </w:r>
    </w:p>
    <w:p w14:paraId="7B63F90D" w14:textId="77777777" w:rsidR="00901BEA" w:rsidRPr="009E1DBA" w:rsidRDefault="00901BEA" w:rsidP="00F10EAA">
      <w:pPr>
        <w:pStyle w:val="subsection"/>
      </w:pPr>
      <w:r w:rsidRPr="009E1DBA">
        <w:tab/>
        <w:t>(2)</w:t>
      </w:r>
      <w:r w:rsidRPr="009E1DBA">
        <w:tab/>
        <w:t xml:space="preserve">To avoid doubt, a right under section 126K of the </w:t>
      </w:r>
      <w:r w:rsidRPr="009E1DBA">
        <w:rPr>
          <w:i/>
        </w:rPr>
        <w:t>Evidence Act 1995</w:t>
      </w:r>
      <w:r w:rsidRPr="009E1DBA">
        <w:t xml:space="preserve"> not to be compelled to give evidence is a privilege for the purposes of </w:t>
      </w:r>
      <w:r w:rsidR="00F569DA" w:rsidRPr="009E1DBA">
        <w:t>paragraph (</w:t>
      </w:r>
      <w:r w:rsidRPr="009E1DBA">
        <w:t>1)(f) of this section.</w:t>
      </w:r>
    </w:p>
    <w:p w14:paraId="45565425" w14:textId="77777777" w:rsidR="00901BEA" w:rsidRPr="009E1DBA" w:rsidRDefault="00901BEA" w:rsidP="00F10EAA">
      <w:pPr>
        <w:pStyle w:val="ItemHead"/>
      </w:pPr>
      <w:r w:rsidRPr="009E1DBA">
        <w:t>9  Paragraph 15(3)(a)</w:t>
      </w:r>
    </w:p>
    <w:p w14:paraId="1BE6E2FD" w14:textId="77777777" w:rsidR="00901BEA" w:rsidRPr="009E1DBA" w:rsidRDefault="00901BEA" w:rsidP="00F10EAA">
      <w:pPr>
        <w:pStyle w:val="Item"/>
      </w:pPr>
      <w:r w:rsidRPr="009E1DBA">
        <w:t>Omit “(within the meaning of that Act)”.</w:t>
      </w:r>
    </w:p>
    <w:p w14:paraId="039ECBB2" w14:textId="77777777" w:rsidR="00901BEA" w:rsidRPr="009E1DBA" w:rsidRDefault="00901BEA" w:rsidP="00F10EAA">
      <w:pPr>
        <w:pStyle w:val="ItemHead"/>
      </w:pPr>
      <w:r w:rsidRPr="009E1DBA">
        <w:t>10  Subsection 15A(12)</w:t>
      </w:r>
    </w:p>
    <w:p w14:paraId="7DF91F96" w14:textId="77777777" w:rsidR="00901BEA" w:rsidRPr="009E1DBA" w:rsidRDefault="00901BEA" w:rsidP="00F10EAA">
      <w:pPr>
        <w:pStyle w:val="Item"/>
      </w:pPr>
      <w:r w:rsidRPr="009E1DBA">
        <w:t>Omit “(within the meaning of that Act)”.</w:t>
      </w:r>
    </w:p>
    <w:p w14:paraId="593DB8F9" w14:textId="77777777" w:rsidR="007E78F7" w:rsidRPr="009E1DBA" w:rsidRDefault="00F569DA" w:rsidP="00F10EAA">
      <w:pPr>
        <w:pStyle w:val="ActHead6"/>
        <w:pageBreakBefore/>
      </w:pPr>
      <w:bookmarkStart w:id="16" w:name="_Toc168296820"/>
      <w:r w:rsidRPr="009E1DBA">
        <w:rPr>
          <w:rStyle w:val="CharAmSchNo"/>
        </w:rPr>
        <w:lastRenderedPageBreak/>
        <w:t>Schedule 3</w:t>
      </w:r>
      <w:r w:rsidR="007E78F7" w:rsidRPr="009E1DBA">
        <w:t>—</w:t>
      </w:r>
      <w:r w:rsidR="00D85E0D" w:rsidRPr="009E1DBA">
        <w:rPr>
          <w:rStyle w:val="CharAmSchText"/>
        </w:rPr>
        <w:t xml:space="preserve">PwC </w:t>
      </w:r>
      <w:r w:rsidR="00822C53" w:rsidRPr="009E1DBA">
        <w:rPr>
          <w:rStyle w:val="CharAmSchText"/>
        </w:rPr>
        <w:t>r</w:t>
      </w:r>
      <w:r w:rsidR="00D85E0D" w:rsidRPr="009E1DBA">
        <w:rPr>
          <w:rStyle w:val="CharAmSchText"/>
        </w:rPr>
        <w:t>esponse—</w:t>
      </w:r>
      <w:r w:rsidR="007E78F7" w:rsidRPr="009E1DBA">
        <w:rPr>
          <w:rStyle w:val="CharAmSchText"/>
        </w:rPr>
        <w:t>Tax Practitioners Board</w:t>
      </w:r>
      <w:r w:rsidR="00D85E0D" w:rsidRPr="009E1DBA">
        <w:rPr>
          <w:rStyle w:val="CharAmSchText"/>
        </w:rPr>
        <w:t xml:space="preserve"> reform</w:t>
      </w:r>
      <w:bookmarkEnd w:id="16"/>
    </w:p>
    <w:p w14:paraId="2FEE0F7C" w14:textId="77777777" w:rsidR="007E78F7" w:rsidRPr="009E1DBA" w:rsidRDefault="007E78F7" w:rsidP="00F10EAA">
      <w:pPr>
        <w:pStyle w:val="ActHead7"/>
      </w:pPr>
      <w:bookmarkStart w:id="17" w:name="_Toc168296821"/>
      <w:r w:rsidRPr="009E1DBA">
        <w:rPr>
          <w:rStyle w:val="CharAmPartNo"/>
        </w:rPr>
        <w:t>Part 1</w:t>
      </w:r>
      <w:r w:rsidRPr="009E1DBA">
        <w:t>—</w:t>
      </w:r>
      <w:r w:rsidRPr="009E1DBA">
        <w:rPr>
          <w:rStyle w:val="CharAmPartText"/>
        </w:rPr>
        <w:t>Information on the register</w:t>
      </w:r>
      <w:bookmarkEnd w:id="17"/>
    </w:p>
    <w:p w14:paraId="5AD4D885" w14:textId="77777777" w:rsidR="007E78F7" w:rsidRPr="009E1DBA" w:rsidRDefault="007E78F7" w:rsidP="00F10EAA">
      <w:pPr>
        <w:pStyle w:val="ActHead9"/>
      </w:pPr>
      <w:bookmarkStart w:id="18" w:name="_Toc168296822"/>
      <w:r w:rsidRPr="009E1DBA">
        <w:t>Tax Agent Services Act 2009</w:t>
      </w:r>
      <w:bookmarkEnd w:id="18"/>
    </w:p>
    <w:p w14:paraId="3283434E" w14:textId="77777777" w:rsidR="007E78F7" w:rsidRPr="009E1DBA" w:rsidRDefault="007E78F7" w:rsidP="00F10EAA">
      <w:pPr>
        <w:pStyle w:val="ItemHead"/>
      </w:pPr>
      <w:r w:rsidRPr="009E1DBA">
        <w:t>1  Subsections 60</w:t>
      </w:r>
      <w:r w:rsidR="009E1DBA">
        <w:noBreakHyphen/>
      </w:r>
      <w:r w:rsidRPr="009E1DBA">
        <w:t>135(1) to (3)</w:t>
      </w:r>
    </w:p>
    <w:p w14:paraId="70B9CAC5" w14:textId="77777777" w:rsidR="007E78F7" w:rsidRPr="009E1DBA" w:rsidRDefault="007E78F7" w:rsidP="00F10EAA">
      <w:pPr>
        <w:pStyle w:val="Item"/>
      </w:pPr>
      <w:r w:rsidRPr="009E1DBA">
        <w:t>Repeal the subsections, substitute:</w:t>
      </w:r>
    </w:p>
    <w:p w14:paraId="22A4D3B1" w14:textId="77777777" w:rsidR="007E78F7" w:rsidRPr="009E1DBA" w:rsidRDefault="007E78F7" w:rsidP="00F10EAA">
      <w:pPr>
        <w:pStyle w:val="subsection"/>
      </w:pPr>
      <w:r w:rsidRPr="009E1DBA">
        <w:tab/>
        <w:t>(1)</w:t>
      </w:r>
      <w:r w:rsidRPr="009E1DBA">
        <w:tab/>
        <w:t>The Board must establish, and maintain, a register of entities in accordance with this Act and the regulations made for the purposes of this subsection.</w:t>
      </w:r>
    </w:p>
    <w:p w14:paraId="2859E4F9" w14:textId="77777777" w:rsidR="007E78F7" w:rsidRPr="009E1DBA" w:rsidRDefault="007E78F7" w:rsidP="00F10EAA">
      <w:pPr>
        <w:pStyle w:val="subsection"/>
      </w:pPr>
      <w:r w:rsidRPr="009E1DBA">
        <w:tab/>
        <w:t>(2)</w:t>
      </w:r>
      <w:r w:rsidRPr="009E1DBA">
        <w:tab/>
        <w:t xml:space="preserve">Each entity that is a </w:t>
      </w:r>
      <w:r w:rsidR="00F10EAA" w:rsidRPr="009E1DBA">
        <w:rPr>
          <w:position w:val="6"/>
          <w:sz w:val="16"/>
        </w:rPr>
        <w:t>*</w:t>
      </w:r>
      <w:r w:rsidRPr="009E1DBA">
        <w:t>registered tax agent or BAS agent must be entered on the register for the period during which the entity is a registered tax agent or BAS agent.</w:t>
      </w:r>
    </w:p>
    <w:p w14:paraId="1BB1FCBA" w14:textId="77777777" w:rsidR="007E78F7" w:rsidRPr="009E1DBA" w:rsidRDefault="007E78F7" w:rsidP="00F10EAA">
      <w:pPr>
        <w:pStyle w:val="notetext"/>
      </w:pPr>
      <w:r w:rsidRPr="009E1DBA">
        <w:t>Note:</w:t>
      </w:r>
      <w:r w:rsidRPr="009E1DBA">
        <w:tab/>
        <w:t xml:space="preserve">Another provision of this Act, or regulations made for the purposes of </w:t>
      </w:r>
      <w:r w:rsidR="00F569DA" w:rsidRPr="009E1DBA">
        <w:t>subsection (</w:t>
      </w:r>
      <w:r w:rsidRPr="009E1DBA">
        <w:t>1), may require</w:t>
      </w:r>
      <w:r w:rsidRPr="009E1DBA">
        <w:rPr>
          <w:i/>
        </w:rPr>
        <w:t xml:space="preserve"> </w:t>
      </w:r>
      <w:r w:rsidRPr="009E1DBA">
        <w:t>an entity that is not a registered tax agent or BAS agent to be entered on the register for a period.</w:t>
      </w:r>
    </w:p>
    <w:p w14:paraId="16391E00" w14:textId="77777777" w:rsidR="007E78F7" w:rsidRPr="009E1DBA" w:rsidRDefault="007E78F7" w:rsidP="00F10EAA">
      <w:pPr>
        <w:pStyle w:val="subsection"/>
      </w:pPr>
      <w:bookmarkStart w:id="19" w:name="_Hlk144897288"/>
      <w:r w:rsidRPr="009E1DBA">
        <w:tab/>
        <w:t>(3)</w:t>
      </w:r>
      <w:r w:rsidRPr="009E1DBA">
        <w:tab/>
        <w:t xml:space="preserve">Without limiting the regulations that may be made for the purposes of </w:t>
      </w:r>
      <w:r w:rsidR="00F569DA" w:rsidRPr="009E1DBA">
        <w:t>subsection (</w:t>
      </w:r>
      <w:r w:rsidRPr="009E1DBA">
        <w:t>1), those regulations may do the following:</w:t>
      </w:r>
    </w:p>
    <w:p w14:paraId="2840A2D8" w14:textId="77777777" w:rsidR="007E78F7" w:rsidRPr="009E1DBA" w:rsidRDefault="007E78F7" w:rsidP="00F10EAA">
      <w:pPr>
        <w:pStyle w:val="paragraph"/>
      </w:pPr>
      <w:r w:rsidRPr="009E1DBA">
        <w:tab/>
        <w:t>(a)</w:t>
      </w:r>
      <w:r w:rsidRPr="009E1DBA">
        <w:tab/>
        <w:t>require an entity to be entered on the register for a specified period;</w:t>
      </w:r>
    </w:p>
    <w:p w14:paraId="52B3FED3" w14:textId="77777777" w:rsidR="007E78F7" w:rsidRPr="009E1DBA" w:rsidRDefault="007E78F7" w:rsidP="00F10EAA">
      <w:pPr>
        <w:pStyle w:val="paragraph"/>
      </w:pPr>
      <w:r w:rsidRPr="009E1DBA">
        <w:tab/>
        <w:t>(b)</w:t>
      </w:r>
      <w:r w:rsidRPr="009E1DBA">
        <w:tab/>
        <w:t>if an entity is required (whether by this Act or by the regulations) to be entered on the register for a period—require</w:t>
      </w:r>
      <w:r w:rsidRPr="009E1DBA">
        <w:rPr>
          <w:i/>
        </w:rPr>
        <w:t xml:space="preserve"> </w:t>
      </w:r>
      <w:r w:rsidRPr="009E1DBA">
        <w:t>specified information in respect of the entity to be entered on the register for some or all of that period.</w:t>
      </w:r>
    </w:p>
    <w:bookmarkEnd w:id="19"/>
    <w:p w14:paraId="5E43D3FF" w14:textId="77777777" w:rsidR="007E78F7" w:rsidRPr="009E1DBA" w:rsidRDefault="007E78F7" w:rsidP="00F10EAA">
      <w:pPr>
        <w:pStyle w:val="SubsectionHead"/>
      </w:pPr>
      <w:r w:rsidRPr="009E1DBA">
        <w:t>Entities that are not registered tax agents or BAS agents</w:t>
      </w:r>
    </w:p>
    <w:p w14:paraId="6B28B454" w14:textId="77777777" w:rsidR="007E78F7" w:rsidRPr="009E1DBA" w:rsidRDefault="007E78F7" w:rsidP="00F10EAA">
      <w:pPr>
        <w:pStyle w:val="subsection"/>
      </w:pPr>
      <w:r w:rsidRPr="009E1DBA">
        <w:tab/>
        <w:t>(3A)</w:t>
      </w:r>
      <w:r w:rsidRPr="009E1DBA">
        <w:tab/>
        <w:t xml:space="preserve">An entity that is not a </w:t>
      </w:r>
      <w:r w:rsidR="00F10EAA" w:rsidRPr="009E1DBA">
        <w:rPr>
          <w:position w:val="6"/>
          <w:sz w:val="16"/>
        </w:rPr>
        <w:t>*</w:t>
      </w:r>
      <w:r w:rsidRPr="009E1DBA">
        <w:t>registered tax agent or BAS agent, and information in respect of such an entity:</w:t>
      </w:r>
    </w:p>
    <w:p w14:paraId="139ADA6D" w14:textId="77777777" w:rsidR="007E78F7" w:rsidRPr="009E1DBA" w:rsidRDefault="007E78F7" w:rsidP="00F10EAA">
      <w:pPr>
        <w:pStyle w:val="paragraph"/>
      </w:pPr>
      <w:r w:rsidRPr="009E1DBA">
        <w:tab/>
        <w:t>(a)</w:t>
      </w:r>
      <w:r w:rsidRPr="009E1DBA">
        <w:tab/>
        <w:t>must not be entered on the register; and</w:t>
      </w:r>
    </w:p>
    <w:p w14:paraId="36BA4E42" w14:textId="77777777" w:rsidR="007E78F7" w:rsidRPr="009E1DBA" w:rsidRDefault="007E78F7" w:rsidP="00F10EAA">
      <w:pPr>
        <w:pStyle w:val="paragraph"/>
      </w:pPr>
      <w:r w:rsidRPr="009E1DBA">
        <w:tab/>
        <w:t>(b)</w:t>
      </w:r>
      <w:r w:rsidRPr="009E1DBA">
        <w:tab/>
        <w:t>must not remain entered on the register;</w:t>
      </w:r>
    </w:p>
    <w:p w14:paraId="2458F878" w14:textId="77777777" w:rsidR="007E78F7" w:rsidRPr="009E1DBA" w:rsidRDefault="007E78F7" w:rsidP="00F10EAA">
      <w:pPr>
        <w:pStyle w:val="subsection2"/>
      </w:pPr>
      <w:r w:rsidRPr="009E1DBA">
        <w:t>except as required</w:t>
      </w:r>
      <w:r w:rsidRPr="009E1DBA">
        <w:rPr>
          <w:i/>
        </w:rPr>
        <w:t xml:space="preserve"> </w:t>
      </w:r>
      <w:r w:rsidRPr="009E1DBA">
        <w:t xml:space="preserve">by this Act or by regulations made for the purposes of </w:t>
      </w:r>
      <w:r w:rsidR="00F569DA" w:rsidRPr="009E1DBA">
        <w:t>subsection (</w:t>
      </w:r>
      <w:r w:rsidRPr="009E1DBA">
        <w:t>1).</w:t>
      </w:r>
    </w:p>
    <w:p w14:paraId="0440D9CE" w14:textId="77777777" w:rsidR="007E78F7" w:rsidRPr="009E1DBA" w:rsidRDefault="007E78F7" w:rsidP="00F10EAA">
      <w:pPr>
        <w:pStyle w:val="SubsectionHead"/>
      </w:pPr>
      <w:r w:rsidRPr="009E1DBA">
        <w:lastRenderedPageBreak/>
        <w:t>Availability of register</w:t>
      </w:r>
    </w:p>
    <w:p w14:paraId="46F06EE1" w14:textId="77777777" w:rsidR="007E78F7" w:rsidRPr="009E1DBA" w:rsidRDefault="007E78F7" w:rsidP="00F10EAA">
      <w:pPr>
        <w:pStyle w:val="Transitional"/>
      </w:pPr>
      <w:r w:rsidRPr="009E1DBA">
        <w:t>2  Application and transitional provisions</w:t>
      </w:r>
    </w:p>
    <w:p w14:paraId="10DA8CAD" w14:textId="77777777" w:rsidR="007E78F7" w:rsidRPr="009E1DBA" w:rsidRDefault="007E78F7" w:rsidP="00F10EAA">
      <w:pPr>
        <w:pStyle w:val="SubitemHead"/>
      </w:pPr>
      <w:r w:rsidRPr="009E1DBA">
        <w:t>Transition of register</w:t>
      </w:r>
    </w:p>
    <w:p w14:paraId="2B5381A5" w14:textId="77777777" w:rsidR="007E78F7" w:rsidRPr="009E1DBA" w:rsidRDefault="007E78F7" w:rsidP="00F10EAA">
      <w:pPr>
        <w:pStyle w:val="Subitem"/>
      </w:pPr>
      <w:r w:rsidRPr="009E1DBA">
        <w:t>(1)</w:t>
      </w:r>
      <w:r w:rsidRPr="009E1DBA">
        <w:tab/>
        <w:t xml:space="preserve">The register that was established for the purposes of </w:t>
      </w:r>
      <w:r w:rsidR="00F569DA" w:rsidRPr="009E1DBA">
        <w:t>subsection 6</w:t>
      </w:r>
      <w:r w:rsidRPr="009E1DBA">
        <w:t>0</w:t>
      </w:r>
      <w:r w:rsidR="009E1DBA">
        <w:noBreakHyphen/>
      </w:r>
      <w:r w:rsidRPr="009E1DBA">
        <w:t xml:space="preserve">135(1) of the </w:t>
      </w:r>
      <w:r w:rsidRPr="009E1DBA">
        <w:rPr>
          <w:i/>
        </w:rPr>
        <w:t>Tax Agent Services Act 2009</w:t>
      </w:r>
      <w:r w:rsidRPr="009E1DBA">
        <w:t xml:space="preserve"> before the commencement of this Part, and maintained for the purposes of that subsection immediately before that commencement, is taken, on and after that commencement, to have been established for the purposes of </w:t>
      </w:r>
      <w:r w:rsidR="00F569DA" w:rsidRPr="009E1DBA">
        <w:t>subsection 6</w:t>
      </w:r>
      <w:r w:rsidRPr="009E1DBA">
        <w:t>0</w:t>
      </w:r>
      <w:r w:rsidR="009E1DBA">
        <w:noBreakHyphen/>
      </w:r>
      <w:r w:rsidRPr="009E1DBA">
        <w:t>135(1) of that Act (as amended by this Part).</w:t>
      </w:r>
    </w:p>
    <w:p w14:paraId="3DA164A4" w14:textId="77777777" w:rsidR="007E78F7" w:rsidRPr="009E1DBA" w:rsidRDefault="007E78F7" w:rsidP="00F10EAA">
      <w:pPr>
        <w:pStyle w:val="SubitemHead"/>
      </w:pPr>
      <w:r w:rsidRPr="009E1DBA">
        <w:t>Information prescribed by regulations</w:t>
      </w:r>
    </w:p>
    <w:p w14:paraId="739ECF47" w14:textId="77777777" w:rsidR="007E78F7" w:rsidRPr="009E1DBA" w:rsidRDefault="007E78F7" w:rsidP="00F10EAA">
      <w:pPr>
        <w:pStyle w:val="Subitem"/>
      </w:pPr>
      <w:r w:rsidRPr="009E1DBA">
        <w:t>(2)</w:t>
      </w:r>
      <w:r w:rsidRPr="009E1DBA">
        <w:tab/>
        <w:t>Regulations made for the purposes 60</w:t>
      </w:r>
      <w:r w:rsidR="009E1DBA">
        <w:noBreakHyphen/>
      </w:r>
      <w:r w:rsidRPr="009E1DBA">
        <w:t xml:space="preserve">135(1) of the </w:t>
      </w:r>
      <w:r w:rsidRPr="009E1DBA">
        <w:rPr>
          <w:i/>
        </w:rPr>
        <w:t>Tax Agent Services Act 2009</w:t>
      </w:r>
      <w:r w:rsidRPr="009E1DBA">
        <w:t xml:space="preserve"> (as amended by this Part) may require specified information in respect of an entity to be entered on the register whether the information relates to matters occurring before, on or after the commencement of this Part.</w:t>
      </w:r>
    </w:p>
    <w:p w14:paraId="2E82BF9E" w14:textId="77777777" w:rsidR="007E78F7" w:rsidRPr="009E1DBA" w:rsidRDefault="007E78F7" w:rsidP="00F10EAA">
      <w:pPr>
        <w:pStyle w:val="ActHead7"/>
        <w:pageBreakBefore/>
      </w:pPr>
      <w:bookmarkStart w:id="20" w:name="_Toc168296823"/>
      <w:r w:rsidRPr="009E1DBA">
        <w:rPr>
          <w:rStyle w:val="CharAmPartNo"/>
        </w:rPr>
        <w:lastRenderedPageBreak/>
        <w:t>Part 2</w:t>
      </w:r>
      <w:r w:rsidRPr="009E1DBA">
        <w:t>—</w:t>
      </w:r>
      <w:r w:rsidRPr="009E1DBA">
        <w:rPr>
          <w:rStyle w:val="CharAmPartText"/>
        </w:rPr>
        <w:t>Investigations by the Board</w:t>
      </w:r>
      <w:bookmarkEnd w:id="20"/>
    </w:p>
    <w:p w14:paraId="68FDEEBB" w14:textId="77777777" w:rsidR="007E78F7" w:rsidRPr="009E1DBA" w:rsidRDefault="007E78F7" w:rsidP="00F10EAA">
      <w:pPr>
        <w:pStyle w:val="ActHead8"/>
      </w:pPr>
      <w:bookmarkStart w:id="21" w:name="_Toc168296824"/>
      <w:r w:rsidRPr="009E1DBA">
        <w:t>Division 1—Period for making decisions</w:t>
      </w:r>
      <w:bookmarkEnd w:id="21"/>
    </w:p>
    <w:p w14:paraId="70BC7012" w14:textId="77777777" w:rsidR="007E78F7" w:rsidRPr="009E1DBA" w:rsidRDefault="007E78F7" w:rsidP="00F10EAA">
      <w:pPr>
        <w:pStyle w:val="ActHead9"/>
      </w:pPr>
      <w:bookmarkStart w:id="22" w:name="_Toc168296825"/>
      <w:r w:rsidRPr="009E1DBA">
        <w:t>Tax Agent Services Act 2009</w:t>
      </w:r>
      <w:bookmarkEnd w:id="22"/>
    </w:p>
    <w:p w14:paraId="08245136" w14:textId="77777777" w:rsidR="007E78F7" w:rsidRPr="009E1DBA" w:rsidRDefault="007E78F7" w:rsidP="00F10EAA">
      <w:pPr>
        <w:pStyle w:val="ItemHead"/>
      </w:pPr>
      <w:r w:rsidRPr="009E1DBA">
        <w:t>3  Paragraph 60</w:t>
      </w:r>
      <w:r w:rsidR="009E1DBA">
        <w:noBreakHyphen/>
      </w:r>
      <w:r w:rsidRPr="009E1DBA">
        <w:t>125(3)(a)</w:t>
      </w:r>
    </w:p>
    <w:p w14:paraId="744C4308" w14:textId="77777777" w:rsidR="007E78F7" w:rsidRPr="009E1DBA" w:rsidRDefault="007E78F7" w:rsidP="00F10EAA">
      <w:pPr>
        <w:pStyle w:val="Item"/>
      </w:pPr>
      <w:r w:rsidRPr="009E1DBA">
        <w:t>Omit “6 months”, substitute “24 months”.</w:t>
      </w:r>
    </w:p>
    <w:p w14:paraId="2CB46F83" w14:textId="77777777" w:rsidR="007E78F7" w:rsidRPr="009E1DBA" w:rsidRDefault="007E78F7" w:rsidP="00F10EAA">
      <w:pPr>
        <w:pStyle w:val="Transitional"/>
      </w:pPr>
      <w:r w:rsidRPr="009E1DBA">
        <w:t>4  Application provisions</w:t>
      </w:r>
    </w:p>
    <w:p w14:paraId="2126B3C2" w14:textId="77777777" w:rsidR="007E78F7" w:rsidRPr="009E1DBA" w:rsidRDefault="007E78F7" w:rsidP="00F10EAA">
      <w:pPr>
        <w:pStyle w:val="Subitem"/>
      </w:pPr>
      <w:r w:rsidRPr="009E1DBA">
        <w:t>(1)</w:t>
      </w:r>
      <w:r w:rsidRPr="009E1DBA">
        <w:tab/>
        <w:t>The amendment made by this Division applies in relation to an investigation into conduct under section 60</w:t>
      </w:r>
      <w:r w:rsidR="009E1DBA">
        <w:noBreakHyphen/>
      </w:r>
      <w:r w:rsidRPr="009E1DBA">
        <w:t xml:space="preserve">95 of the </w:t>
      </w:r>
      <w:r w:rsidRPr="009E1DBA">
        <w:rPr>
          <w:i/>
        </w:rPr>
        <w:t>Tax Agent Services Act 2009</w:t>
      </w:r>
      <w:r w:rsidRPr="009E1DBA">
        <w:t xml:space="preserve"> if the investigation commences on or after the commencement of this Division.</w:t>
      </w:r>
    </w:p>
    <w:p w14:paraId="64CAD1AC" w14:textId="77777777" w:rsidR="007E78F7" w:rsidRPr="009E1DBA" w:rsidRDefault="007E78F7" w:rsidP="00F10EAA">
      <w:pPr>
        <w:pStyle w:val="Subitem"/>
      </w:pPr>
      <w:r w:rsidRPr="009E1DBA">
        <w:t>(2)</w:t>
      </w:r>
      <w:r w:rsidRPr="009E1DBA">
        <w:tab/>
        <w:t>The amendment made by this Division also applies in relation to an investigation into conduct under section 60</w:t>
      </w:r>
      <w:r w:rsidR="009E1DBA">
        <w:noBreakHyphen/>
      </w:r>
      <w:r w:rsidRPr="009E1DBA">
        <w:t xml:space="preserve">95 of the </w:t>
      </w:r>
      <w:r w:rsidRPr="009E1DBA">
        <w:rPr>
          <w:i/>
        </w:rPr>
        <w:t>Tax Agent Services Act 2009</w:t>
      </w:r>
      <w:r w:rsidRPr="009E1DBA">
        <w:t xml:space="preserve"> if:</w:t>
      </w:r>
    </w:p>
    <w:p w14:paraId="53DA962A" w14:textId="77777777" w:rsidR="007E78F7" w:rsidRPr="009E1DBA" w:rsidRDefault="007E78F7" w:rsidP="00F10EAA">
      <w:pPr>
        <w:pStyle w:val="paragraph"/>
      </w:pPr>
      <w:r w:rsidRPr="009E1DBA">
        <w:tab/>
        <w:t>(a)</w:t>
      </w:r>
      <w:r w:rsidRPr="009E1DBA">
        <w:tab/>
        <w:t>the investigation commenced before the commencement of this Division; and</w:t>
      </w:r>
    </w:p>
    <w:p w14:paraId="03BFAB91" w14:textId="77777777" w:rsidR="007E78F7" w:rsidRPr="009E1DBA" w:rsidRDefault="007E78F7" w:rsidP="00F10EAA">
      <w:pPr>
        <w:pStyle w:val="paragraph"/>
      </w:pPr>
      <w:r w:rsidRPr="009E1DBA">
        <w:tab/>
        <w:t>(b)</w:t>
      </w:r>
      <w:r w:rsidRPr="009E1DBA">
        <w:tab/>
        <w:t>immediately before the commencement of this Division, the Board had not, in relation to the investigation:</w:t>
      </w:r>
    </w:p>
    <w:p w14:paraId="6B259923" w14:textId="77777777" w:rsidR="007E78F7" w:rsidRPr="009E1DBA" w:rsidRDefault="007E78F7" w:rsidP="00F10EAA">
      <w:pPr>
        <w:pStyle w:val="paragraphsub"/>
      </w:pPr>
      <w:r w:rsidRPr="009E1DBA">
        <w:tab/>
        <w:t>(i)</w:t>
      </w:r>
      <w:r w:rsidRPr="009E1DBA">
        <w:tab/>
        <w:t xml:space="preserve">made a decision under </w:t>
      </w:r>
      <w:r w:rsidR="00F569DA" w:rsidRPr="009E1DBA">
        <w:t>subsection 6</w:t>
      </w:r>
      <w:r w:rsidRPr="009E1DBA">
        <w:t>0</w:t>
      </w:r>
      <w:r w:rsidR="009E1DBA">
        <w:noBreakHyphen/>
      </w:r>
      <w:r w:rsidRPr="009E1DBA">
        <w:t xml:space="preserve">125(2) of the </w:t>
      </w:r>
      <w:r w:rsidRPr="009E1DBA">
        <w:rPr>
          <w:i/>
        </w:rPr>
        <w:t>Tax Agent Services Act 2009</w:t>
      </w:r>
      <w:r w:rsidRPr="009E1DBA">
        <w:t>; or</w:t>
      </w:r>
    </w:p>
    <w:p w14:paraId="1C70CE26" w14:textId="77777777" w:rsidR="007E78F7" w:rsidRPr="009E1DBA" w:rsidRDefault="007E78F7" w:rsidP="00F10EAA">
      <w:pPr>
        <w:pStyle w:val="paragraphsub"/>
      </w:pPr>
      <w:r w:rsidRPr="009E1DBA">
        <w:tab/>
        <w:t>(ii)</w:t>
      </w:r>
      <w:r w:rsidRPr="009E1DBA">
        <w:tab/>
        <w:t>been taken to have made such a decision; and</w:t>
      </w:r>
    </w:p>
    <w:p w14:paraId="2EA15A27" w14:textId="77777777" w:rsidR="007E78F7" w:rsidRPr="009E1DBA" w:rsidRDefault="007E78F7" w:rsidP="00F10EAA">
      <w:pPr>
        <w:pStyle w:val="paragraph"/>
      </w:pPr>
      <w:r w:rsidRPr="009E1DBA">
        <w:tab/>
        <w:t>(c)</w:t>
      </w:r>
      <w:r w:rsidRPr="009E1DBA">
        <w:tab/>
        <w:t>immediately before the commencement of this Division:</w:t>
      </w:r>
    </w:p>
    <w:p w14:paraId="7F0C558B" w14:textId="77777777" w:rsidR="007E78F7" w:rsidRPr="009E1DBA" w:rsidRDefault="007E78F7" w:rsidP="00F10EAA">
      <w:pPr>
        <w:pStyle w:val="paragraphsub"/>
      </w:pPr>
      <w:r w:rsidRPr="009E1DBA">
        <w:tab/>
        <w:t>(i)</w:t>
      </w:r>
      <w:r w:rsidRPr="009E1DBA">
        <w:tab/>
        <w:t xml:space="preserve">the Board had not, in relation to the investigation, determined a period under </w:t>
      </w:r>
      <w:r w:rsidR="00F569DA" w:rsidRPr="009E1DBA">
        <w:t>subsection 6</w:t>
      </w:r>
      <w:r w:rsidRPr="009E1DBA">
        <w:t>0</w:t>
      </w:r>
      <w:r w:rsidR="009E1DBA">
        <w:noBreakHyphen/>
      </w:r>
      <w:r w:rsidRPr="009E1DBA">
        <w:t xml:space="preserve">125(4) of the </w:t>
      </w:r>
      <w:r w:rsidRPr="009E1DBA">
        <w:rPr>
          <w:i/>
        </w:rPr>
        <w:t>Tax Agent Services Act 2009</w:t>
      </w:r>
      <w:r w:rsidRPr="009E1DBA">
        <w:t>; or</w:t>
      </w:r>
    </w:p>
    <w:p w14:paraId="173AAB5C" w14:textId="77777777" w:rsidR="007E78F7" w:rsidRPr="009E1DBA" w:rsidRDefault="007E78F7" w:rsidP="00F10EAA">
      <w:pPr>
        <w:pStyle w:val="paragraphsub"/>
      </w:pPr>
      <w:r w:rsidRPr="009E1DBA">
        <w:tab/>
        <w:t>(ii)</w:t>
      </w:r>
      <w:r w:rsidRPr="009E1DBA">
        <w:tab/>
        <w:t xml:space="preserve">the Board had, in relation to the investigation, determined a period of less than 24 months under </w:t>
      </w:r>
      <w:r w:rsidR="00F569DA" w:rsidRPr="009E1DBA">
        <w:t>subsection 6</w:t>
      </w:r>
      <w:r w:rsidRPr="009E1DBA">
        <w:t>0</w:t>
      </w:r>
      <w:r w:rsidR="009E1DBA">
        <w:noBreakHyphen/>
      </w:r>
      <w:r w:rsidRPr="009E1DBA">
        <w:t>125(4) of that Act.</w:t>
      </w:r>
    </w:p>
    <w:p w14:paraId="40CCB79F" w14:textId="77777777" w:rsidR="007E78F7" w:rsidRPr="009E1DBA" w:rsidRDefault="007E78F7" w:rsidP="00F10EAA">
      <w:pPr>
        <w:pStyle w:val="Subitem"/>
      </w:pPr>
      <w:r w:rsidRPr="009E1DBA">
        <w:t>(3)</w:t>
      </w:r>
      <w:r w:rsidRPr="009E1DBA">
        <w:tab/>
        <w:t xml:space="preserve">If the amendment made by this Division applies in relation to an investigation because of </w:t>
      </w:r>
      <w:r w:rsidR="00F569DA" w:rsidRPr="009E1DBA">
        <w:t>subitem (</w:t>
      </w:r>
      <w:r w:rsidRPr="009E1DBA">
        <w:t xml:space="preserve">2), and </w:t>
      </w:r>
      <w:r w:rsidR="00F569DA" w:rsidRPr="009E1DBA">
        <w:t>subparagraph (</w:t>
      </w:r>
      <w:r w:rsidRPr="009E1DBA">
        <w:t xml:space="preserve">2)(c)(ii) of this item applies, then for the purposes of the </w:t>
      </w:r>
      <w:r w:rsidRPr="009E1DBA">
        <w:rPr>
          <w:i/>
        </w:rPr>
        <w:t>Tax Agent Services Act 2009</w:t>
      </w:r>
      <w:r w:rsidRPr="009E1DBA">
        <w:t xml:space="preserve"> as it applies on and after the commencement of this Division:</w:t>
      </w:r>
    </w:p>
    <w:p w14:paraId="08AD2861" w14:textId="77777777" w:rsidR="007E78F7" w:rsidRPr="009E1DBA" w:rsidRDefault="007E78F7" w:rsidP="00F10EAA">
      <w:pPr>
        <w:pStyle w:val="paragraph"/>
      </w:pPr>
      <w:r w:rsidRPr="009E1DBA">
        <w:lastRenderedPageBreak/>
        <w:tab/>
        <w:t>(a)</w:t>
      </w:r>
      <w:r w:rsidRPr="009E1DBA">
        <w:tab/>
        <w:t xml:space="preserve">the determination referred to in </w:t>
      </w:r>
      <w:r w:rsidR="00F569DA" w:rsidRPr="009E1DBA">
        <w:t>subparagraph (</w:t>
      </w:r>
      <w:r w:rsidRPr="009E1DBA">
        <w:t>2)(c)(ii) of this item is to be disregarded; and</w:t>
      </w:r>
    </w:p>
    <w:p w14:paraId="75F2CE01" w14:textId="77777777" w:rsidR="007E78F7" w:rsidRPr="009E1DBA" w:rsidRDefault="007E78F7" w:rsidP="00F10EAA">
      <w:pPr>
        <w:pStyle w:val="paragraph"/>
      </w:pPr>
      <w:r w:rsidRPr="009E1DBA">
        <w:tab/>
        <w:t>(b)</w:t>
      </w:r>
      <w:r w:rsidRPr="009E1DBA">
        <w:tab/>
        <w:t xml:space="preserve">the Board must not, in relation to the investigation, make any further determination under </w:t>
      </w:r>
      <w:r w:rsidR="00F569DA" w:rsidRPr="009E1DBA">
        <w:t>subsection 6</w:t>
      </w:r>
      <w:r w:rsidRPr="009E1DBA">
        <w:t>0</w:t>
      </w:r>
      <w:r w:rsidR="009E1DBA">
        <w:noBreakHyphen/>
      </w:r>
      <w:r w:rsidRPr="009E1DBA">
        <w:t xml:space="preserve">125(4) of the </w:t>
      </w:r>
      <w:r w:rsidRPr="009E1DBA">
        <w:rPr>
          <w:i/>
        </w:rPr>
        <w:t>Tax Agent Services Act 2009</w:t>
      </w:r>
      <w:r w:rsidRPr="009E1DBA">
        <w:t>.</w:t>
      </w:r>
    </w:p>
    <w:p w14:paraId="7ED5E21D" w14:textId="77777777" w:rsidR="007E78F7" w:rsidRPr="009E1DBA" w:rsidRDefault="007E78F7" w:rsidP="00F10EAA">
      <w:pPr>
        <w:pStyle w:val="ActHead8"/>
      </w:pPr>
      <w:bookmarkStart w:id="23" w:name="_Toc168296826"/>
      <w:r w:rsidRPr="009E1DBA">
        <w:t>Division 2—Publishing results of investigations</w:t>
      </w:r>
      <w:bookmarkEnd w:id="23"/>
    </w:p>
    <w:p w14:paraId="6E506626" w14:textId="77777777" w:rsidR="007E78F7" w:rsidRPr="009E1DBA" w:rsidRDefault="007E78F7" w:rsidP="00F10EAA">
      <w:pPr>
        <w:pStyle w:val="ActHead9"/>
      </w:pPr>
      <w:bookmarkStart w:id="24" w:name="_Toc168296827"/>
      <w:r w:rsidRPr="009E1DBA">
        <w:t>Tax Agent Services Act 2009</w:t>
      </w:r>
      <w:bookmarkEnd w:id="24"/>
    </w:p>
    <w:p w14:paraId="1D6BA423" w14:textId="77777777" w:rsidR="007E78F7" w:rsidRPr="009E1DBA" w:rsidRDefault="007E78F7" w:rsidP="00F10EAA">
      <w:pPr>
        <w:pStyle w:val="ItemHead"/>
      </w:pPr>
      <w:r w:rsidRPr="009E1DBA">
        <w:t>5  At the end of paragraph 60</w:t>
      </w:r>
      <w:r w:rsidR="009E1DBA">
        <w:noBreakHyphen/>
      </w:r>
      <w:r w:rsidRPr="009E1DBA">
        <w:t>125(2)(b)</w:t>
      </w:r>
    </w:p>
    <w:p w14:paraId="45848E95" w14:textId="77777777" w:rsidR="007E78F7" w:rsidRPr="009E1DBA" w:rsidRDefault="007E78F7" w:rsidP="00F10EAA">
      <w:pPr>
        <w:pStyle w:val="Item"/>
      </w:pPr>
      <w:r w:rsidRPr="009E1DBA">
        <w:t>Add:</w:t>
      </w:r>
    </w:p>
    <w:p w14:paraId="095EC8FE" w14:textId="77777777" w:rsidR="007E78F7" w:rsidRPr="009E1DBA" w:rsidRDefault="007E78F7" w:rsidP="00F10EAA">
      <w:pPr>
        <w:pStyle w:val="paragraphsub"/>
      </w:pPr>
      <w:r w:rsidRPr="009E1DBA">
        <w:tab/>
      </w:r>
      <w:bookmarkStart w:id="25" w:name="_Hlk144999775"/>
      <w:r w:rsidRPr="009E1DBA">
        <w:t>; (v)</w:t>
      </w:r>
      <w:r w:rsidRPr="009E1DBA">
        <w:tab/>
        <w:t xml:space="preserve">decide that the entity (the </w:t>
      </w:r>
      <w:r w:rsidRPr="009E1DBA">
        <w:rPr>
          <w:b/>
          <w:i/>
        </w:rPr>
        <w:t>contravening entity</w:t>
      </w:r>
      <w:r w:rsidRPr="009E1DBA">
        <w:t>) that engaged in the conduct, and the information in respect of the contravening entity prescribed by the regulations for the purposes of this subparagraph, be entered on the register for the period prescribed by the regulations for the purposes of this subparagraph.</w:t>
      </w:r>
    </w:p>
    <w:bookmarkEnd w:id="25"/>
    <w:p w14:paraId="14516A1B" w14:textId="77777777" w:rsidR="007E78F7" w:rsidRPr="009E1DBA" w:rsidRDefault="007E78F7" w:rsidP="00F10EAA">
      <w:pPr>
        <w:pStyle w:val="ItemHead"/>
      </w:pPr>
      <w:r w:rsidRPr="009E1DBA">
        <w:t>6  Subsection 60</w:t>
      </w:r>
      <w:r w:rsidR="009E1DBA">
        <w:noBreakHyphen/>
      </w:r>
      <w:r w:rsidRPr="009E1DBA">
        <w:t>125(2) (note)</w:t>
      </w:r>
    </w:p>
    <w:p w14:paraId="12603945" w14:textId="77777777" w:rsidR="007E78F7" w:rsidRPr="009E1DBA" w:rsidRDefault="007E78F7" w:rsidP="00F10EAA">
      <w:pPr>
        <w:pStyle w:val="Item"/>
      </w:pPr>
      <w:r w:rsidRPr="009E1DBA">
        <w:t>Omit “Note”, substitute “Note 1”.</w:t>
      </w:r>
    </w:p>
    <w:p w14:paraId="1081CD08" w14:textId="77777777" w:rsidR="007E78F7" w:rsidRPr="009E1DBA" w:rsidRDefault="007E78F7" w:rsidP="00F10EAA">
      <w:pPr>
        <w:pStyle w:val="ItemHead"/>
      </w:pPr>
      <w:r w:rsidRPr="009E1DBA">
        <w:t xml:space="preserve">7  At the end of </w:t>
      </w:r>
      <w:r w:rsidR="00F569DA" w:rsidRPr="009E1DBA">
        <w:t>subsection 6</w:t>
      </w:r>
      <w:r w:rsidRPr="009E1DBA">
        <w:t>0</w:t>
      </w:r>
      <w:r w:rsidR="009E1DBA">
        <w:noBreakHyphen/>
      </w:r>
      <w:r w:rsidRPr="009E1DBA">
        <w:t>125(2)</w:t>
      </w:r>
    </w:p>
    <w:p w14:paraId="5EA371E3" w14:textId="77777777" w:rsidR="007E78F7" w:rsidRPr="009E1DBA" w:rsidRDefault="007E78F7" w:rsidP="00F10EAA">
      <w:pPr>
        <w:pStyle w:val="Item"/>
      </w:pPr>
      <w:r w:rsidRPr="009E1DBA">
        <w:t>Add:</w:t>
      </w:r>
    </w:p>
    <w:p w14:paraId="3F550455" w14:textId="77777777" w:rsidR="007E78F7" w:rsidRPr="009E1DBA" w:rsidRDefault="007E78F7" w:rsidP="00F10EAA">
      <w:pPr>
        <w:pStyle w:val="notetext"/>
      </w:pPr>
      <w:r w:rsidRPr="009E1DBA">
        <w:t>Note 2:</w:t>
      </w:r>
      <w:r w:rsidRPr="009E1DBA">
        <w:tab/>
        <w:t xml:space="preserve">In this section, </w:t>
      </w:r>
      <w:r w:rsidRPr="009E1DBA">
        <w:rPr>
          <w:b/>
          <w:i/>
        </w:rPr>
        <w:t>register</w:t>
      </w:r>
      <w:r w:rsidRPr="009E1DBA">
        <w:t xml:space="preserve"> means the register kept under section 60</w:t>
      </w:r>
      <w:r w:rsidR="009E1DBA">
        <w:noBreakHyphen/>
      </w:r>
      <w:r w:rsidRPr="009E1DBA">
        <w:t xml:space="preserve">135 (see </w:t>
      </w:r>
      <w:r w:rsidR="00F569DA" w:rsidRPr="009E1DBA">
        <w:t>subsection (</w:t>
      </w:r>
      <w:r w:rsidRPr="009E1DBA">
        <w:t>10) of this section).</w:t>
      </w:r>
    </w:p>
    <w:p w14:paraId="3B93F5D0" w14:textId="77777777" w:rsidR="007E78F7" w:rsidRPr="009E1DBA" w:rsidRDefault="007E78F7" w:rsidP="00F10EAA">
      <w:pPr>
        <w:pStyle w:val="ItemHead"/>
      </w:pPr>
      <w:r w:rsidRPr="009E1DBA">
        <w:t xml:space="preserve">8  After </w:t>
      </w:r>
      <w:r w:rsidR="00F569DA" w:rsidRPr="009E1DBA">
        <w:t>subsection 6</w:t>
      </w:r>
      <w:r w:rsidRPr="009E1DBA">
        <w:t>0</w:t>
      </w:r>
      <w:r w:rsidR="009E1DBA">
        <w:noBreakHyphen/>
      </w:r>
      <w:r w:rsidRPr="009E1DBA">
        <w:t>125(2)</w:t>
      </w:r>
    </w:p>
    <w:p w14:paraId="364A0A99" w14:textId="77777777" w:rsidR="007E78F7" w:rsidRPr="009E1DBA" w:rsidRDefault="007E78F7" w:rsidP="00F10EAA">
      <w:pPr>
        <w:pStyle w:val="Item"/>
      </w:pPr>
      <w:r w:rsidRPr="009E1DBA">
        <w:t>Insert:</w:t>
      </w:r>
    </w:p>
    <w:p w14:paraId="518567D9" w14:textId="77777777" w:rsidR="007E78F7" w:rsidRPr="009E1DBA" w:rsidRDefault="007E78F7" w:rsidP="00F10EAA">
      <w:pPr>
        <w:pStyle w:val="subsection"/>
      </w:pPr>
      <w:bookmarkStart w:id="26" w:name="_Hlk144999841"/>
      <w:r w:rsidRPr="009E1DBA">
        <w:tab/>
        <w:t>(2A)</w:t>
      </w:r>
      <w:r w:rsidRPr="009E1DBA">
        <w:tab/>
        <w:t xml:space="preserve">If the Board makes a decision in relation to the contravening entity under </w:t>
      </w:r>
      <w:r w:rsidR="00F569DA" w:rsidRPr="009E1DBA">
        <w:t>subparagraph (</w:t>
      </w:r>
      <w:r w:rsidRPr="009E1DBA">
        <w:t>2)(b)(v), then the contravening entity, and the information in respect of the contravening entity mentioned in that subparagraph, must be entered on the register for the period mentioned in that subparagraph.</w:t>
      </w:r>
    </w:p>
    <w:bookmarkEnd w:id="26"/>
    <w:p w14:paraId="05EDC8A0" w14:textId="77777777" w:rsidR="007E78F7" w:rsidRPr="009E1DBA" w:rsidRDefault="007E78F7" w:rsidP="00F10EAA">
      <w:pPr>
        <w:pStyle w:val="ItemHead"/>
      </w:pPr>
      <w:r w:rsidRPr="009E1DBA">
        <w:t>9  At the end of section 60</w:t>
      </w:r>
      <w:r w:rsidR="009E1DBA">
        <w:noBreakHyphen/>
      </w:r>
      <w:r w:rsidRPr="009E1DBA">
        <w:t>125</w:t>
      </w:r>
    </w:p>
    <w:p w14:paraId="0E365EF8" w14:textId="77777777" w:rsidR="007E78F7" w:rsidRPr="009E1DBA" w:rsidRDefault="007E78F7" w:rsidP="00F10EAA">
      <w:pPr>
        <w:pStyle w:val="Item"/>
      </w:pPr>
      <w:r w:rsidRPr="009E1DBA">
        <w:t>Add:</w:t>
      </w:r>
    </w:p>
    <w:p w14:paraId="56E61673" w14:textId="77777777" w:rsidR="007E78F7" w:rsidRPr="009E1DBA" w:rsidRDefault="007E78F7" w:rsidP="00F10EAA">
      <w:pPr>
        <w:pStyle w:val="SubsectionHead"/>
      </w:pPr>
      <w:r w:rsidRPr="009E1DBA">
        <w:lastRenderedPageBreak/>
        <w:t>Definitions</w:t>
      </w:r>
    </w:p>
    <w:p w14:paraId="53F8291F" w14:textId="77777777" w:rsidR="007E78F7" w:rsidRPr="009E1DBA" w:rsidRDefault="007E78F7" w:rsidP="00F10EAA">
      <w:pPr>
        <w:pStyle w:val="subsection"/>
      </w:pPr>
      <w:r w:rsidRPr="009E1DBA">
        <w:tab/>
        <w:t>(10)</w:t>
      </w:r>
      <w:r w:rsidRPr="009E1DBA">
        <w:tab/>
        <w:t xml:space="preserve">In this section, </w:t>
      </w:r>
      <w:r w:rsidRPr="009E1DBA">
        <w:rPr>
          <w:b/>
          <w:i/>
        </w:rPr>
        <w:t>register</w:t>
      </w:r>
      <w:r w:rsidRPr="009E1DBA">
        <w:t xml:space="preserve"> means the register kept under section 60</w:t>
      </w:r>
      <w:r w:rsidR="009E1DBA">
        <w:noBreakHyphen/>
      </w:r>
      <w:r w:rsidRPr="009E1DBA">
        <w:t>135.</w:t>
      </w:r>
    </w:p>
    <w:p w14:paraId="724E60F3" w14:textId="77777777" w:rsidR="007E78F7" w:rsidRPr="009E1DBA" w:rsidRDefault="007E78F7" w:rsidP="00F10EAA">
      <w:pPr>
        <w:pStyle w:val="ItemHead"/>
      </w:pPr>
      <w:r w:rsidRPr="009E1DBA">
        <w:t>10  After paragraph 70</w:t>
      </w:r>
      <w:r w:rsidR="009E1DBA">
        <w:noBreakHyphen/>
      </w:r>
      <w:r w:rsidRPr="009E1DBA">
        <w:t>10(h)</w:t>
      </w:r>
    </w:p>
    <w:p w14:paraId="43EA508D" w14:textId="77777777" w:rsidR="007E78F7" w:rsidRPr="009E1DBA" w:rsidRDefault="007E78F7" w:rsidP="00F10EAA">
      <w:pPr>
        <w:pStyle w:val="Item"/>
      </w:pPr>
      <w:r w:rsidRPr="009E1DBA">
        <w:t>Insert:</w:t>
      </w:r>
    </w:p>
    <w:p w14:paraId="0F20F7E2" w14:textId="77777777" w:rsidR="007E78F7" w:rsidRPr="009E1DBA" w:rsidRDefault="007E78F7" w:rsidP="00F10EAA">
      <w:pPr>
        <w:pStyle w:val="paragraph"/>
      </w:pPr>
      <w:r w:rsidRPr="009E1DBA">
        <w:tab/>
        <w:t>(ha)</w:t>
      </w:r>
      <w:r w:rsidRPr="009E1DBA">
        <w:tab/>
        <w:t xml:space="preserve">a decision under </w:t>
      </w:r>
      <w:r w:rsidR="00F569DA" w:rsidRPr="009E1DBA">
        <w:t>subparagraph 6</w:t>
      </w:r>
      <w:r w:rsidRPr="009E1DBA">
        <w:t>0</w:t>
      </w:r>
      <w:r w:rsidR="009E1DBA">
        <w:noBreakHyphen/>
      </w:r>
      <w:r w:rsidRPr="009E1DBA">
        <w:t>125(2)(b)(v) that an entity, and certain information in respect of the entity, be entered on the register kept under section 60</w:t>
      </w:r>
      <w:r w:rsidR="009E1DBA">
        <w:noBreakHyphen/>
      </w:r>
      <w:r w:rsidRPr="009E1DBA">
        <w:t>135 for a period;</w:t>
      </w:r>
    </w:p>
    <w:p w14:paraId="7ED25797" w14:textId="77777777" w:rsidR="007E78F7" w:rsidRPr="009E1DBA" w:rsidRDefault="007E78F7" w:rsidP="00F10EAA">
      <w:pPr>
        <w:pStyle w:val="Transitional"/>
      </w:pPr>
      <w:r w:rsidRPr="009E1DBA">
        <w:t>11  Application provisions</w:t>
      </w:r>
    </w:p>
    <w:p w14:paraId="6677286D" w14:textId="77777777" w:rsidR="007E78F7" w:rsidRPr="009E1DBA" w:rsidRDefault="007E78F7" w:rsidP="00F10EAA">
      <w:pPr>
        <w:pStyle w:val="Subitem"/>
      </w:pPr>
      <w:r w:rsidRPr="009E1DBA">
        <w:t>(1)</w:t>
      </w:r>
      <w:r w:rsidRPr="009E1DBA">
        <w:tab/>
        <w:t>The amendments of section 60</w:t>
      </w:r>
      <w:r w:rsidR="009E1DBA">
        <w:noBreakHyphen/>
      </w:r>
      <w:r w:rsidRPr="009E1DBA">
        <w:t xml:space="preserve">125 of the </w:t>
      </w:r>
      <w:r w:rsidRPr="009E1DBA">
        <w:rPr>
          <w:i/>
        </w:rPr>
        <w:t>Tax Agent Services Act 2009</w:t>
      </w:r>
      <w:r w:rsidRPr="009E1DBA">
        <w:t xml:space="preserve"> made by this Division apply in relation to an investigation into conduct under section 60</w:t>
      </w:r>
      <w:r w:rsidR="009E1DBA">
        <w:noBreakHyphen/>
      </w:r>
      <w:r w:rsidRPr="009E1DBA">
        <w:t>95 of that Act if the investigation commences on or after the commencement of this Division.</w:t>
      </w:r>
    </w:p>
    <w:p w14:paraId="0456BF15" w14:textId="77777777" w:rsidR="007E78F7" w:rsidRPr="009E1DBA" w:rsidRDefault="007E78F7" w:rsidP="00F10EAA">
      <w:pPr>
        <w:pStyle w:val="Subitem"/>
      </w:pPr>
      <w:r w:rsidRPr="009E1DBA">
        <w:t>(2)</w:t>
      </w:r>
      <w:r w:rsidRPr="009E1DBA">
        <w:tab/>
        <w:t>Those amendments also apply in relation to an investigation into conduct under section 60</w:t>
      </w:r>
      <w:r w:rsidR="009E1DBA">
        <w:noBreakHyphen/>
      </w:r>
      <w:r w:rsidRPr="009E1DBA">
        <w:t xml:space="preserve">95 of the </w:t>
      </w:r>
      <w:r w:rsidRPr="009E1DBA">
        <w:rPr>
          <w:i/>
        </w:rPr>
        <w:t xml:space="preserve">Tax Agent Services Act 2009 </w:t>
      </w:r>
      <w:r w:rsidRPr="009E1DBA">
        <w:t>if:</w:t>
      </w:r>
    </w:p>
    <w:p w14:paraId="0EED482C" w14:textId="77777777" w:rsidR="007E78F7" w:rsidRPr="009E1DBA" w:rsidRDefault="007E78F7" w:rsidP="00F10EAA">
      <w:pPr>
        <w:pStyle w:val="paragraph"/>
      </w:pPr>
      <w:r w:rsidRPr="009E1DBA">
        <w:tab/>
        <w:t>(a)</w:t>
      </w:r>
      <w:r w:rsidRPr="009E1DBA">
        <w:tab/>
        <w:t>the investigation commenced on or after 1 July 2022 but before the commencement of this Division; and</w:t>
      </w:r>
    </w:p>
    <w:p w14:paraId="3FF674A9" w14:textId="77777777" w:rsidR="007E78F7" w:rsidRPr="009E1DBA" w:rsidRDefault="007E78F7" w:rsidP="00F10EAA">
      <w:pPr>
        <w:pStyle w:val="paragraph"/>
      </w:pPr>
      <w:r w:rsidRPr="009E1DBA">
        <w:tab/>
        <w:t>(b)</w:t>
      </w:r>
      <w:r w:rsidRPr="009E1DBA">
        <w:tab/>
        <w:t>immediately before the commencement of this Division, the Board had not, in relation to the investigation:</w:t>
      </w:r>
    </w:p>
    <w:p w14:paraId="6CE64578" w14:textId="77777777" w:rsidR="007E78F7" w:rsidRPr="009E1DBA" w:rsidRDefault="007E78F7" w:rsidP="00F10EAA">
      <w:pPr>
        <w:pStyle w:val="paragraphsub"/>
      </w:pPr>
      <w:r w:rsidRPr="009E1DBA">
        <w:tab/>
        <w:t>(i)</w:t>
      </w:r>
      <w:r w:rsidRPr="009E1DBA">
        <w:tab/>
        <w:t xml:space="preserve">made a decision under </w:t>
      </w:r>
      <w:r w:rsidR="00F569DA" w:rsidRPr="009E1DBA">
        <w:t>subsection 6</w:t>
      </w:r>
      <w:r w:rsidRPr="009E1DBA">
        <w:t>0</w:t>
      </w:r>
      <w:r w:rsidR="009E1DBA">
        <w:noBreakHyphen/>
      </w:r>
      <w:r w:rsidRPr="009E1DBA">
        <w:t xml:space="preserve">125(2) of the </w:t>
      </w:r>
      <w:r w:rsidRPr="009E1DBA">
        <w:rPr>
          <w:i/>
        </w:rPr>
        <w:t>Tax Agent Services Act 2009</w:t>
      </w:r>
      <w:r w:rsidRPr="009E1DBA">
        <w:t>; or</w:t>
      </w:r>
    </w:p>
    <w:p w14:paraId="5903F0C6" w14:textId="77777777" w:rsidR="007E78F7" w:rsidRPr="009E1DBA" w:rsidRDefault="007E78F7" w:rsidP="00F10EAA">
      <w:pPr>
        <w:pStyle w:val="paragraphsub"/>
      </w:pPr>
      <w:r w:rsidRPr="009E1DBA">
        <w:tab/>
        <w:t>(ii)</w:t>
      </w:r>
      <w:r w:rsidRPr="009E1DBA">
        <w:tab/>
        <w:t>been taken to have made such a decision.</w:t>
      </w:r>
    </w:p>
    <w:p w14:paraId="0738B03A" w14:textId="77777777" w:rsidR="007E78F7" w:rsidRPr="009E1DBA" w:rsidRDefault="007E78F7" w:rsidP="00F10EAA">
      <w:pPr>
        <w:pStyle w:val="Subitem"/>
      </w:pPr>
      <w:bookmarkStart w:id="27" w:name="_Hlk145059192"/>
      <w:r w:rsidRPr="009E1DBA">
        <w:t>(3)</w:t>
      </w:r>
      <w:r w:rsidRPr="009E1DBA">
        <w:tab/>
        <w:t xml:space="preserve">Regulations made for the purposes of </w:t>
      </w:r>
      <w:r w:rsidR="00F569DA" w:rsidRPr="009E1DBA">
        <w:t>subparagraph 6</w:t>
      </w:r>
      <w:r w:rsidRPr="009E1DBA">
        <w:t>0</w:t>
      </w:r>
      <w:r w:rsidR="009E1DBA">
        <w:noBreakHyphen/>
      </w:r>
      <w:r w:rsidRPr="009E1DBA">
        <w:t xml:space="preserve">125(2)(b)(v) of the </w:t>
      </w:r>
      <w:r w:rsidRPr="009E1DBA">
        <w:rPr>
          <w:i/>
        </w:rPr>
        <w:t>Tax Agent Services Act 2009</w:t>
      </w:r>
      <w:r w:rsidRPr="009E1DBA">
        <w:t>:</w:t>
      </w:r>
    </w:p>
    <w:p w14:paraId="24CD61CF" w14:textId="77777777" w:rsidR="007E78F7" w:rsidRPr="009E1DBA" w:rsidRDefault="007E78F7" w:rsidP="00F10EAA">
      <w:pPr>
        <w:pStyle w:val="paragraph"/>
      </w:pPr>
      <w:r w:rsidRPr="009E1DBA">
        <w:tab/>
        <w:t>(a)</w:t>
      </w:r>
      <w:r w:rsidRPr="009E1DBA">
        <w:tab/>
        <w:t>may prescribe information in respect of a contravening entity that relates to matters occurring before, on or after the commencement of this Division; and</w:t>
      </w:r>
    </w:p>
    <w:p w14:paraId="762E19A3" w14:textId="77777777" w:rsidR="007E78F7" w:rsidRPr="009E1DBA" w:rsidRDefault="007E78F7" w:rsidP="00F10EAA">
      <w:pPr>
        <w:pStyle w:val="paragraph"/>
      </w:pPr>
      <w:r w:rsidRPr="009E1DBA">
        <w:tab/>
        <w:t>(b)</w:t>
      </w:r>
      <w:r w:rsidRPr="009E1DBA">
        <w:tab/>
        <w:t>may prescribe a period that starts before, on or after the commencement of this Division.</w:t>
      </w:r>
    </w:p>
    <w:p w14:paraId="619A8171" w14:textId="77777777" w:rsidR="007E78F7" w:rsidRPr="009E1DBA" w:rsidRDefault="007E78F7" w:rsidP="00F10EAA">
      <w:pPr>
        <w:pStyle w:val="ItemHead"/>
      </w:pPr>
      <w:bookmarkStart w:id="28" w:name="_Hlk148526268"/>
      <w:bookmarkEnd w:id="27"/>
      <w:r w:rsidRPr="009E1DBA">
        <w:t>12  Investigations that have concluded—Board may make new decision to publish findings</w:t>
      </w:r>
    </w:p>
    <w:p w14:paraId="7F64B65F" w14:textId="77777777" w:rsidR="007E78F7" w:rsidRPr="009E1DBA" w:rsidRDefault="007E78F7" w:rsidP="00F10EAA">
      <w:pPr>
        <w:pStyle w:val="Subitem"/>
      </w:pPr>
      <w:r w:rsidRPr="009E1DBA">
        <w:t>(1)</w:t>
      </w:r>
      <w:r w:rsidRPr="009E1DBA">
        <w:tab/>
        <w:t>This item applies in relation to an investigation into conduct under section 60</w:t>
      </w:r>
      <w:r w:rsidR="009E1DBA">
        <w:noBreakHyphen/>
      </w:r>
      <w:r w:rsidRPr="009E1DBA">
        <w:t xml:space="preserve">95 of the </w:t>
      </w:r>
      <w:r w:rsidRPr="009E1DBA">
        <w:rPr>
          <w:i/>
        </w:rPr>
        <w:t>Tax Agent Services Act 2009</w:t>
      </w:r>
      <w:r w:rsidRPr="009E1DBA">
        <w:t xml:space="preserve"> if:</w:t>
      </w:r>
    </w:p>
    <w:p w14:paraId="55B5510C" w14:textId="77777777" w:rsidR="007E78F7" w:rsidRPr="009E1DBA" w:rsidRDefault="007E78F7" w:rsidP="00F10EAA">
      <w:pPr>
        <w:pStyle w:val="paragraph"/>
      </w:pPr>
      <w:r w:rsidRPr="009E1DBA">
        <w:lastRenderedPageBreak/>
        <w:tab/>
        <w:t>(a)</w:t>
      </w:r>
      <w:r w:rsidRPr="009E1DBA">
        <w:tab/>
        <w:t>the investigation commenced before the commencement of this Division; and</w:t>
      </w:r>
    </w:p>
    <w:p w14:paraId="27F320FD" w14:textId="77777777" w:rsidR="007E78F7" w:rsidRPr="009E1DBA" w:rsidRDefault="007E78F7" w:rsidP="00F10EAA">
      <w:pPr>
        <w:pStyle w:val="paragraph"/>
      </w:pPr>
      <w:r w:rsidRPr="009E1DBA">
        <w:tab/>
        <w:t>(b)</w:t>
      </w:r>
      <w:r w:rsidRPr="009E1DBA">
        <w:tab/>
        <w:t>before the commencement of this Division, the Board had made a finding that the conduct breached that Act; and</w:t>
      </w:r>
    </w:p>
    <w:p w14:paraId="35454567" w14:textId="77777777" w:rsidR="007E78F7" w:rsidRPr="009E1DBA" w:rsidRDefault="007E78F7" w:rsidP="00F10EAA">
      <w:pPr>
        <w:pStyle w:val="paragraph"/>
      </w:pPr>
      <w:r w:rsidRPr="009E1DBA">
        <w:tab/>
        <w:t>(c)</w:t>
      </w:r>
      <w:r w:rsidRPr="009E1DBA">
        <w:tab/>
        <w:t xml:space="preserve">on or after 1 July 2022, but before the commencement of this Division, the Board had made a decision, within the period under </w:t>
      </w:r>
      <w:r w:rsidR="00F569DA" w:rsidRPr="009E1DBA">
        <w:t>subsection 6</w:t>
      </w:r>
      <w:r w:rsidRPr="009E1DBA">
        <w:t>0</w:t>
      </w:r>
      <w:r w:rsidR="009E1DBA">
        <w:noBreakHyphen/>
      </w:r>
      <w:r w:rsidRPr="009E1DBA">
        <w:t>125(3) of that Act, that no further action would be taken; and</w:t>
      </w:r>
    </w:p>
    <w:p w14:paraId="3D8462CD" w14:textId="77777777" w:rsidR="007E78F7" w:rsidRPr="009E1DBA" w:rsidRDefault="007E78F7" w:rsidP="00F10EAA">
      <w:pPr>
        <w:pStyle w:val="paragraph"/>
      </w:pPr>
      <w:r w:rsidRPr="009E1DBA">
        <w:tab/>
        <w:t>(d)</w:t>
      </w:r>
      <w:r w:rsidRPr="009E1DBA">
        <w:tab/>
        <w:t xml:space="preserve">the Board made that decision because, at the time the decision was made, the entity (the </w:t>
      </w:r>
      <w:r w:rsidRPr="009E1DBA">
        <w:rPr>
          <w:b/>
          <w:i/>
        </w:rPr>
        <w:t>contravening entity</w:t>
      </w:r>
      <w:r w:rsidRPr="009E1DBA">
        <w:t>)</w:t>
      </w:r>
      <w:r w:rsidRPr="009E1DBA">
        <w:rPr>
          <w:b/>
          <w:i/>
        </w:rPr>
        <w:t xml:space="preserve"> </w:t>
      </w:r>
      <w:r w:rsidRPr="009E1DBA">
        <w:t>who engaged in the conduct had ceased to be a registered tax agent or BAS agent.</w:t>
      </w:r>
    </w:p>
    <w:bookmarkEnd w:id="28"/>
    <w:p w14:paraId="1ACF18E8" w14:textId="77777777" w:rsidR="007E78F7" w:rsidRPr="009E1DBA" w:rsidRDefault="007E78F7" w:rsidP="00F10EAA">
      <w:pPr>
        <w:pStyle w:val="Subitem"/>
      </w:pPr>
      <w:r w:rsidRPr="009E1DBA">
        <w:t>(2)</w:t>
      </w:r>
      <w:r w:rsidRPr="009E1DBA">
        <w:tab/>
        <w:t>The Board may, within the period of 6 months after the commencement of this Division, decide that:</w:t>
      </w:r>
    </w:p>
    <w:p w14:paraId="15FB4C3C" w14:textId="77777777" w:rsidR="007E78F7" w:rsidRPr="009E1DBA" w:rsidRDefault="007E78F7" w:rsidP="00F10EAA">
      <w:pPr>
        <w:pStyle w:val="paragraph"/>
      </w:pPr>
      <w:r w:rsidRPr="009E1DBA">
        <w:tab/>
        <w:t>(a)</w:t>
      </w:r>
      <w:r w:rsidRPr="009E1DBA">
        <w:tab/>
        <w:t>the contravening entity; and</w:t>
      </w:r>
    </w:p>
    <w:p w14:paraId="64A84601" w14:textId="77777777" w:rsidR="007E78F7" w:rsidRPr="009E1DBA" w:rsidRDefault="007E78F7" w:rsidP="00F10EAA">
      <w:pPr>
        <w:pStyle w:val="paragraph"/>
      </w:pPr>
      <w:r w:rsidRPr="009E1DBA">
        <w:tab/>
        <w:t>(b)</w:t>
      </w:r>
      <w:r w:rsidRPr="009E1DBA">
        <w:tab/>
        <w:t xml:space="preserve">the information in respect of the contravening entity prescribed by the regulations for the purposes of </w:t>
      </w:r>
      <w:r w:rsidR="00F569DA" w:rsidRPr="009E1DBA">
        <w:t>subparagraph 6</w:t>
      </w:r>
      <w:r w:rsidRPr="009E1DBA">
        <w:t>0</w:t>
      </w:r>
      <w:r w:rsidR="009E1DBA">
        <w:noBreakHyphen/>
      </w:r>
      <w:r w:rsidRPr="009E1DBA">
        <w:t xml:space="preserve">125(2)(b)(v) of the </w:t>
      </w:r>
      <w:r w:rsidRPr="009E1DBA">
        <w:rPr>
          <w:i/>
        </w:rPr>
        <w:t>Tax Agent Services Act 2009</w:t>
      </w:r>
      <w:r w:rsidRPr="009E1DBA">
        <w:t>;</w:t>
      </w:r>
    </w:p>
    <w:p w14:paraId="269274A6" w14:textId="77777777" w:rsidR="007E78F7" w:rsidRPr="009E1DBA" w:rsidRDefault="007E78F7" w:rsidP="00F10EAA">
      <w:pPr>
        <w:pStyle w:val="Item"/>
      </w:pPr>
      <w:r w:rsidRPr="009E1DBA">
        <w:t>be entered on the register for the period prescribed by the regulations for the purposes of that subparagraph.</w:t>
      </w:r>
    </w:p>
    <w:p w14:paraId="5B91C770" w14:textId="77777777" w:rsidR="007E78F7" w:rsidRPr="009E1DBA" w:rsidRDefault="007E78F7" w:rsidP="00F10EAA">
      <w:pPr>
        <w:pStyle w:val="Subitem"/>
      </w:pPr>
      <w:r w:rsidRPr="009E1DBA">
        <w:t>(3)</w:t>
      </w:r>
      <w:r w:rsidRPr="009E1DBA">
        <w:tab/>
        <w:t xml:space="preserve">If the Board makes a decision (a </w:t>
      </w:r>
      <w:r w:rsidRPr="009E1DBA">
        <w:rPr>
          <w:b/>
          <w:i/>
        </w:rPr>
        <w:t>publication decision</w:t>
      </w:r>
      <w:r w:rsidRPr="009E1DBA">
        <w:t>)</w:t>
      </w:r>
      <w:r w:rsidRPr="009E1DBA">
        <w:rPr>
          <w:b/>
          <w:i/>
        </w:rPr>
        <w:t xml:space="preserve"> </w:t>
      </w:r>
      <w:r w:rsidRPr="009E1DBA">
        <w:t xml:space="preserve">under </w:t>
      </w:r>
      <w:r w:rsidR="00F569DA" w:rsidRPr="009E1DBA">
        <w:t>subitem (</w:t>
      </w:r>
      <w:r w:rsidRPr="009E1DBA">
        <w:t xml:space="preserve">2) then, for the purposes of the </w:t>
      </w:r>
      <w:r w:rsidRPr="009E1DBA">
        <w:rPr>
          <w:i/>
        </w:rPr>
        <w:t>Tax Agent Services Act 2009</w:t>
      </w:r>
      <w:r w:rsidRPr="009E1DBA">
        <w:t xml:space="preserve"> as it applies in relation to the investigation on and after the time when the publication decision is made:</w:t>
      </w:r>
    </w:p>
    <w:p w14:paraId="029D0A4E" w14:textId="77777777" w:rsidR="007E78F7" w:rsidRPr="009E1DBA" w:rsidRDefault="007E78F7" w:rsidP="00F10EAA">
      <w:pPr>
        <w:pStyle w:val="paragraph"/>
      </w:pPr>
      <w:r w:rsidRPr="009E1DBA">
        <w:tab/>
        <w:t>(a)</w:t>
      </w:r>
      <w:r w:rsidRPr="009E1DBA">
        <w:tab/>
        <w:t xml:space="preserve">the publication decision is taken to have been validly made under </w:t>
      </w:r>
      <w:r w:rsidR="00F569DA" w:rsidRPr="009E1DBA">
        <w:t>subparagraph 6</w:t>
      </w:r>
      <w:r w:rsidRPr="009E1DBA">
        <w:t>0</w:t>
      </w:r>
      <w:r w:rsidR="009E1DBA">
        <w:noBreakHyphen/>
      </w:r>
      <w:r w:rsidRPr="009E1DBA">
        <w:t xml:space="preserve">125(2)(b)(v) of that Act (and </w:t>
      </w:r>
      <w:r w:rsidR="00F569DA" w:rsidRPr="009E1DBA">
        <w:t>subsections 6</w:t>
      </w:r>
      <w:r w:rsidRPr="009E1DBA">
        <w:t>0</w:t>
      </w:r>
      <w:r w:rsidR="009E1DBA">
        <w:noBreakHyphen/>
      </w:r>
      <w:r w:rsidRPr="009E1DBA">
        <w:t>125(3) and (7) of that Act are to be disregarded); and</w:t>
      </w:r>
    </w:p>
    <w:p w14:paraId="5DA0F40D" w14:textId="77777777" w:rsidR="007E78F7" w:rsidRPr="009E1DBA" w:rsidRDefault="007E78F7" w:rsidP="00F10EAA">
      <w:pPr>
        <w:pStyle w:val="paragraph"/>
      </w:pPr>
      <w:r w:rsidRPr="009E1DBA">
        <w:tab/>
        <w:t>(b)</w:t>
      </w:r>
      <w:r w:rsidRPr="009E1DBA">
        <w:tab/>
        <w:t xml:space="preserve">the period prescribed by the regulations for the purposes of </w:t>
      </w:r>
      <w:r w:rsidR="00F569DA" w:rsidRPr="009E1DBA">
        <w:t>subparagraph 6</w:t>
      </w:r>
      <w:r w:rsidRPr="009E1DBA">
        <w:t>0</w:t>
      </w:r>
      <w:r w:rsidR="009E1DBA">
        <w:noBreakHyphen/>
      </w:r>
      <w:r w:rsidRPr="009E1DBA">
        <w:t xml:space="preserve">125(2)(b)(v) of that Act is taken to be a period of 5 years starting on the day when the Board made the decision that no further action would be taken (as mentioned in </w:t>
      </w:r>
      <w:r w:rsidR="00F569DA" w:rsidRPr="009E1DBA">
        <w:t>paragraph (</w:t>
      </w:r>
      <w:r w:rsidRPr="009E1DBA">
        <w:t>1)(c) of this item); and</w:t>
      </w:r>
    </w:p>
    <w:p w14:paraId="02BF8CE4" w14:textId="77777777" w:rsidR="007E78F7" w:rsidRPr="009E1DBA" w:rsidRDefault="007E78F7" w:rsidP="00F10EAA">
      <w:pPr>
        <w:pStyle w:val="paragraph"/>
      </w:pPr>
      <w:r w:rsidRPr="009E1DBA">
        <w:tab/>
        <w:t>(c)</w:t>
      </w:r>
      <w:r w:rsidRPr="009E1DBA">
        <w:tab/>
        <w:t xml:space="preserve">except for the purposes of </w:t>
      </w:r>
      <w:r w:rsidR="00F569DA" w:rsidRPr="009E1DBA">
        <w:t>paragraph (</w:t>
      </w:r>
      <w:r w:rsidRPr="009E1DBA">
        <w:t>b) of this subitem, the Board’s decision that no further action would be taken is to be disregarded.</w:t>
      </w:r>
    </w:p>
    <w:p w14:paraId="098CBC1B" w14:textId="77777777" w:rsidR="007E78F7" w:rsidRPr="009E1DBA" w:rsidRDefault="007E78F7" w:rsidP="00F10EAA">
      <w:pPr>
        <w:pStyle w:val="notemargin"/>
      </w:pPr>
      <w:r w:rsidRPr="009E1DBA">
        <w:lastRenderedPageBreak/>
        <w:t>Note:</w:t>
      </w:r>
      <w:r w:rsidRPr="009E1DBA">
        <w:tab/>
        <w:t xml:space="preserve">The effects of </w:t>
      </w:r>
      <w:r w:rsidR="00F569DA" w:rsidRPr="009E1DBA">
        <w:t>subitem (</w:t>
      </w:r>
      <w:r w:rsidRPr="009E1DBA">
        <w:t xml:space="preserve">3) include that the Board must give notice of, and reasons for, the publication decision under </w:t>
      </w:r>
      <w:r w:rsidR="00F569DA" w:rsidRPr="009E1DBA">
        <w:t>subsection 6</w:t>
      </w:r>
      <w:r w:rsidRPr="009E1DBA">
        <w:t>0</w:t>
      </w:r>
      <w:r w:rsidR="009E1DBA">
        <w:noBreakHyphen/>
      </w:r>
      <w:r w:rsidRPr="009E1DBA">
        <w:t xml:space="preserve">125(8) of the </w:t>
      </w:r>
      <w:r w:rsidRPr="009E1DBA">
        <w:rPr>
          <w:i/>
        </w:rPr>
        <w:t>Tax Agent Services Act 2009</w:t>
      </w:r>
      <w:r w:rsidRPr="009E1DBA">
        <w:t>, and that an application may be made to the Administrative Appeals Tribunal under section 70</w:t>
      </w:r>
      <w:r w:rsidR="009E1DBA">
        <w:noBreakHyphen/>
      </w:r>
      <w:r w:rsidRPr="009E1DBA">
        <w:t>10 of that Act for review of the publication decision.</w:t>
      </w:r>
    </w:p>
    <w:p w14:paraId="771910E7" w14:textId="77777777" w:rsidR="007E78F7" w:rsidRPr="009E1DBA" w:rsidRDefault="007E78F7" w:rsidP="00F10EAA">
      <w:pPr>
        <w:pStyle w:val="ActHead7"/>
        <w:pageBreakBefore/>
      </w:pPr>
      <w:bookmarkStart w:id="29" w:name="_Toc168296828"/>
      <w:r w:rsidRPr="009E1DBA">
        <w:rPr>
          <w:rStyle w:val="CharAmPartNo"/>
        </w:rPr>
        <w:lastRenderedPageBreak/>
        <w:t>Part 3</w:t>
      </w:r>
      <w:r w:rsidRPr="009E1DBA">
        <w:t>—</w:t>
      </w:r>
      <w:r w:rsidRPr="009E1DBA">
        <w:rPr>
          <w:rStyle w:val="CharAmPartText"/>
        </w:rPr>
        <w:t>Delegations by the Board</w:t>
      </w:r>
      <w:bookmarkEnd w:id="29"/>
    </w:p>
    <w:p w14:paraId="17AA6E7D" w14:textId="77777777" w:rsidR="007E78F7" w:rsidRPr="009E1DBA" w:rsidRDefault="007E78F7" w:rsidP="00F10EAA">
      <w:pPr>
        <w:pStyle w:val="ActHead9"/>
      </w:pPr>
      <w:bookmarkStart w:id="30" w:name="_Toc168296829"/>
      <w:r w:rsidRPr="009E1DBA">
        <w:t>Tax Agent Services Act 2009</w:t>
      </w:r>
      <w:bookmarkEnd w:id="30"/>
    </w:p>
    <w:p w14:paraId="005D706E" w14:textId="77777777" w:rsidR="007E78F7" w:rsidRPr="009E1DBA" w:rsidRDefault="007E78F7" w:rsidP="00F10EAA">
      <w:pPr>
        <w:pStyle w:val="ItemHead"/>
      </w:pPr>
      <w:r w:rsidRPr="009E1DBA">
        <w:t>13  Before subsection 70</w:t>
      </w:r>
      <w:r w:rsidR="009E1DBA">
        <w:noBreakHyphen/>
      </w:r>
      <w:r w:rsidRPr="009E1DBA">
        <w:t>30(1A)</w:t>
      </w:r>
    </w:p>
    <w:p w14:paraId="1BAED639" w14:textId="77777777" w:rsidR="007E78F7" w:rsidRPr="009E1DBA" w:rsidRDefault="007E78F7" w:rsidP="00F10EAA">
      <w:pPr>
        <w:pStyle w:val="Item"/>
      </w:pPr>
      <w:r w:rsidRPr="009E1DBA">
        <w:t>Insert:</w:t>
      </w:r>
    </w:p>
    <w:p w14:paraId="1D5D0D45" w14:textId="77777777" w:rsidR="007E78F7" w:rsidRPr="009E1DBA" w:rsidRDefault="007E78F7" w:rsidP="00F10EAA">
      <w:pPr>
        <w:pStyle w:val="SubsectionHead"/>
      </w:pPr>
      <w:r w:rsidRPr="009E1DBA">
        <w:t>Functions and powers that must not be delegated</w:t>
      </w:r>
    </w:p>
    <w:p w14:paraId="15D2D9A6" w14:textId="77777777" w:rsidR="007E78F7" w:rsidRPr="009E1DBA" w:rsidRDefault="007E78F7" w:rsidP="00F10EAA">
      <w:pPr>
        <w:pStyle w:val="ItemHead"/>
      </w:pPr>
      <w:r w:rsidRPr="009E1DBA">
        <w:t>14  Subsection 70</w:t>
      </w:r>
      <w:r w:rsidR="009E1DBA">
        <w:noBreakHyphen/>
      </w:r>
      <w:r w:rsidRPr="009E1DBA">
        <w:t>30(2)</w:t>
      </w:r>
    </w:p>
    <w:p w14:paraId="54F47704" w14:textId="77777777" w:rsidR="007E78F7" w:rsidRPr="009E1DBA" w:rsidRDefault="007E78F7" w:rsidP="00F10EAA">
      <w:pPr>
        <w:pStyle w:val="Item"/>
      </w:pPr>
      <w:r w:rsidRPr="009E1DBA">
        <w:t>Repeal the subsection, substitute:</w:t>
      </w:r>
    </w:p>
    <w:p w14:paraId="4186B9C2" w14:textId="77777777" w:rsidR="007E78F7" w:rsidRPr="009E1DBA" w:rsidRDefault="007E78F7" w:rsidP="00F10EAA">
      <w:pPr>
        <w:pStyle w:val="SubsectionHead"/>
      </w:pPr>
      <w:r w:rsidRPr="009E1DBA">
        <w:t>Powers to make reviewable decisions</w:t>
      </w:r>
    </w:p>
    <w:p w14:paraId="68911121" w14:textId="77777777" w:rsidR="007E78F7" w:rsidRPr="009E1DBA" w:rsidRDefault="007E78F7" w:rsidP="00F10EAA">
      <w:pPr>
        <w:pStyle w:val="subsection"/>
      </w:pPr>
      <w:r w:rsidRPr="009E1DBA">
        <w:tab/>
        <w:t>(2)</w:t>
      </w:r>
      <w:r w:rsidRPr="009E1DBA">
        <w:tab/>
        <w:t xml:space="preserve">A power to make a reviewable decision (other than a decision covered by </w:t>
      </w:r>
      <w:r w:rsidR="00F569DA" w:rsidRPr="009E1DBA">
        <w:t>subsection (</w:t>
      </w:r>
      <w:r w:rsidRPr="009E1DBA">
        <w:t>2A)):</w:t>
      </w:r>
    </w:p>
    <w:p w14:paraId="204B0E09" w14:textId="77777777" w:rsidR="007E78F7" w:rsidRPr="009E1DBA" w:rsidRDefault="007E78F7" w:rsidP="00F10EAA">
      <w:pPr>
        <w:pStyle w:val="paragraph"/>
      </w:pPr>
      <w:r w:rsidRPr="009E1DBA">
        <w:tab/>
        <w:t>(a)</w:t>
      </w:r>
      <w:r w:rsidRPr="009E1DBA">
        <w:tab/>
        <w:t xml:space="preserve">must not be delegated under </w:t>
      </w:r>
      <w:r w:rsidR="00F569DA" w:rsidRPr="009E1DBA">
        <w:t>paragraph (</w:t>
      </w:r>
      <w:r w:rsidRPr="009E1DBA">
        <w:t>1)(a), (c) or (d); and</w:t>
      </w:r>
    </w:p>
    <w:p w14:paraId="7A662A16" w14:textId="77777777" w:rsidR="007E78F7" w:rsidRPr="009E1DBA" w:rsidRDefault="007E78F7" w:rsidP="00F10EAA">
      <w:pPr>
        <w:pStyle w:val="paragraph"/>
      </w:pPr>
      <w:r w:rsidRPr="009E1DBA">
        <w:tab/>
        <w:t>(b)</w:t>
      </w:r>
      <w:r w:rsidRPr="009E1DBA">
        <w:tab/>
        <w:t xml:space="preserve">may be delegated to a </w:t>
      </w:r>
      <w:r w:rsidR="00F10EAA" w:rsidRPr="009E1DBA">
        <w:rPr>
          <w:position w:val="6"/>
          <w:sz w:val="16"/>
        </w:rPr>
        <w:t>*</w:t>
      </w:r>
      <w:r w:rsidRPr="009E1DBA">
        <w:t xml:space="preserve">committee under </w:t>
      </w:r>
      <w:r w:rsidR="00F569DA" w:rsidRPr="009E1DBA">
        <w:t>paragraph (</w:t>
      </w:r>
      <w:r w:rsidRPr="009E1DBA">
        <w:t>1)(b) only if:</w:t>
      </w:r>
    </w:p>
    <w:p w14:paraId="3C697E63" w14:textId="77777777" w:rsidR="007E78F7" w:rsidRPr="009E1DBA" w:rsidRDefault="007E78F7" w:rsidP="00F10EAA">
      <w:pPr>
        <w:pStyle w:val="paragraphsub"/>
      </w:pPr>
      <w:r w:rsidRPr="009E1DBA">
        <w:tab/>
        <w:t>(i)</w:t>
      </w:r>
      <w:r w:rsidRPr="009E1DBA">
        <w:tab/>
        <w:t>the committee has 3 members or more; and</w:t>
      </w:r>
    </w:p>
    <w:p w14:paraId="36226120" w14:textId="77777777" w:rsidR="007E78F7" w:rsidRPr="009E1DBA" w:rsidRDefault="007E78F7" w:rsidP="00F10EAA">
      <w:pPr>
        <w:pStyle w:val="paragraphsub"/>
      </w:pPr>
      <w:r w:rsidRPr="009E1DBA">
        <w:tab/>
        <w:t>(ii)</w:t>
      </w:r>
      <w:r w:rsidRPr="009E1DBA">
        <w:tab/>
        <w:t xml:space="preserve">all members of the committee are </w:t>
      </w:r>
      <w:r w:rsidR="00F10EAA" w:rsidRPr="009E1DBA">
        <w:rPr>
          <w:position w:val="6"/>
          <w:sz w:val="16"/>
        </w:rPr>
        <w:t>*</w:t>
      </w:r>
      <w:r w:rsidRPr="009E1DBA">
        <w:t>Board members.</w:t>
      </w:r>
    </w:p>
    <w:p w14:paraId="5FF4D533" w14:textId="77777777" w:rsidR="007E78F7" w:rsidRPr="009E1DBA" w:rsidRDefault="007E78F7" w:rsidP="00F10EAA">
      <w:pPr>
        <w:pStyle w:val="notetext"/>
      </w:pPr>
      <w:r w:rsidRPr="009E1DBA">
        <w:t>Note:</w:t>
      </w:r>
      <w:r w:rsidRPr="009E1DBA">
        <w:tab/>
        <w:t xml:space="preserve">For </w:t>
      </w:r>
      <w:r w:rsidRPr="009E1DBA">
        <w:rPr>
          <w:b/>
          <w:i/>
        </w:rPr>
        <w:t>reviewable decision</w:t>
      </w:r>
      <w:r w:rsidRPr="009E1DBA">
        <w:t xml:space="preserve">, see </w:t>
      </w:r>
      <w:r w:rsidR="00F569DA" w:rsidRPr="009E1DBA">
        <w:t>subsection (</w:t>
      </w:r>
      <w:r w:rsidRPr="009E1DBA">
        <w:t>5).</w:t>
      </w:r>
    </w:p>
    <w:p w14:paraId="4EA3F7CB" w14:textId="77777777" w:rsidR="007E78F7" w:rsidRPr="009E1DBA" w:rsidRDefault="007E78F7" w:rsidP="00F10EAA">
      <w:pPr>
        <w:pStyle w:val="subsection"/>
      </w:pPr>
      <w:r w:rsidRPr="009E1DBA">
        <w:tab/>
        <w:t>(2A)</w:t>
      </w:r>
      <w:r w:rsidRPr="009E1DBA">
        <w:tab/>
        <w:t>This subsection covers the following reviewable decisions:</w:t>
      </w:r>
    </w:p>
    <w:p w14:paraId="036600AA" w14:textId="77777777" w:rsidR="007E78F7" w:rsidRPr="009E1DBA" w:rsidRDefault="007E78F7" w:rsidP="00F10EAA">
      <w:pPr>
        <w:pStyle w:val="paragraph"/>
      </w:pPr>
      <w:r w:rsidRPr="009E1DBA">
        <w:tab/>
        <w:t>(a)</w:t>
      </w:r>
      <w:r w:rsidRPr="009E1DBA">
        <w:tab/>
        <w:t>a decision to terminate the registration of an individual under subsection 40</w:t>
      </w:r>
      <w:r w:rsidR="009E1DBA">
        <w:noBreakHyphen/>
      </w:r>
      <w:r w:rsidRPr="009E1DBA">
        <w:t>5(2);</w:t>
      </w:r>
    </w:p>
    <w:p w14:paraId="7B342C08" w14:textId="77777777" w:rsidR="007E78F7" w:rsidRPr="009E1DBA" w:rsidRDefault="007E78F7" w:rsidP="00F10EAA">
      <w:pPr>
        <w:pStyle w:val="paragraph"/>
      </w:pPr>
      <w:r w:rsidRPr="009E1DBA">
        <w:tab/>
        <w:t>(b)</w:t>
      </w:r>
      <w:r w:rsidRPr="009E1DBA">
        <w:tab/>
        <w:t>a decision to terminate the registration of a partnership under subsection 40</w:t>
      </w:r>
      <w:r w:rsidR="009E1DBA">
        <w:noBreakHyphen/>
      </w:r>
      <w:r w:rsidRPr="009E1DBA">
        <w:t>10(2);</w:t>
      </w:r>
    </w:p>
    <w:p w14:paraId="1B8A2A8A" w14:textId="77777777" w:rsidR="007E78F7" w:rsidRPr="009E1DBA" w:rsidRDefault="007E78F7" w:rsidP="00F10EAA">
      <w:pPr>
        <w:pStyle w:val="paragraph"/>
      </w:pPr>
      <w:r w:rsidRPr="009E1DBA">
        <w:tab/>
        <w:t>(c)</w:t>
      </w:r>
      <w:r w:rsidRPr="009E1DBA">
        <w:tab/>
        <w:t>a decision to terminate the registration of a company under subsection 40</w:t>
      </w:r>
      <w:r w:rsidR="009E1DBA">
        <w:noBreakHyphen/>
      </w:r>
      <w:r w:rsidRPr="009E1DBA">
        <w:t>15(2).</w:t>
      </w:r>
    </w:p>
    <w:p w14:paraId="1E8EBEE3" w14:textId="77777777" w:rsidR="007E78F7" w:rsidRPr="009E1DBA" w:rsidRDefault="007E78F7" w:rsidP="00F10EAA">
      <w:pPr>
        <w:pStyle w:val="SubsectionHead"/>
      </w:pPr>
      <w:bookmarkStart w:id="31" w:name="_Hlk144215500"/>
      <w:r w:rsidRPr="009E1DBA">
        <w:t>Other matters</w:t>
      </w:r>
    </w:p>
    <w:bookmarkEnd w:id="31"/>
    <w:p w14:paraId="653DBA44" w14:textId="77777777" w:rsidR="007E78F7" w:rsidRPr="009E1DBA" w:rsidRDefault="007E78F7" w:rsidP="00F10EAA">
      <w:pPr>
        <w:pStyle w:val="ItemHead"/>
      </w:pPr>
      <w:r w:rsidRPr="009E1DBA">
        <w:t>15  At the end of section 70</w:t>
      </w:r>
      <w:r w:rsidR="009E1DBA">
        <w:noBreakHyphen/>
      </w:r>
      <w:r w:rsidRPr="009E1DBA">
        <w:t>30</w:t>
      </w:r>
    </w:p>
    <w:p w14:paraId="0C1FBE90" w14:textId="77777777" w:rsidR="007E78F7" w:rsidRPr="009E1DBA" w:rsidRDefault="007E78F7" w:rsidP="00F10EAA">
      <w:pPr>
        <w:pStyle w:val="Item"/>
      </w:pPr>
      <w:r w:rsidRPr="009E1DBA">
        <w:t>Add:</w:t>
      </w:r>
    </w:p>
    <w:p w14:paraId="38DE5774" w14:textId="77777777" w:rsidR="007E78F7" w:rsidRPr="009E1DBA" w:rsidRDefault="007E78F7" w:rsidP="00F10EAA">
      <w:pPr>
        <w:pStyle w:val="SubsectionHead"/>
      </w:pPr>
      <w:r w:rsidRPr="009E1DBA">
        <w:lastRenderedPageBreak/>
        <w:t>Definitions</w:t>
      </w:r>
    </w:p>
    <w:p w14:paraId="44CDDF5F" w14:textId="77777777" w:rsidR="007E78F7" w:rsidRPr="009E1DBA" w:rsidRDefault="007E78F7" w:rsidP="00F10EAA">
      <w:pPr>
        <w:pStyle w:val="subsection"/>
      </w:pPr>
      <w:r w:rsidRPr="009E1DBA">
        <w:tab/>
        <w:t>(5)</w:t>
      </w:r>
      <w:r w:rsidRPr="009E1DBA">
        <w:tab/>
        <w:t>In this section:</w:t>
      </w:r>
    </w:p>
    <w:p w14:paraId="28FF1E5F" w14:textId="77777777" w:rsidR="007E78F7" w:rsidRPr="009E1DBA" w:rsidRDefault="007E78F7" w:rsidP="00F10EAA">
      <w:pPr>
        <w:pStyle w:val="Definition"/>
      </w:pPr>
      <w:r w:rsidRPr="009E1DBA">
        <w:rPr>
          <w:b/>
          <w:i/>
        </w:rPr>
        <w:t>reviewable decision</w:t>
      </w:r>
      <w:r w:rsidRPr="009E1DBA">
        <w:rPr>
          <w:b/>
        </w:rPr>
        <w:t xml:space="preserve"> </w:t>
      </w:r>
      <w:r w:rsidRPr="009E1DBA">
        <w:t>means a decision in respect of which an application for review may be made to the Administrative Appeals Tribunal under section 70</w:t>
      </w:r>
      <w:r w:rsidR="009E1DBA">
        <w:noBreakHyphen/>
      </w:r>
      <w:r w:rsidRPr="009E1DBA">
        <w:t>10.</w:t>
      </w:r>
    </w:p>
    <w:p w14:paraId="5E3CFAB3" w14:textId="77777777" w:rsidR="00F351C1" w:rsidRPr="009E1DBA" w:rsidRDefault="00F569DA" w:rsidP="00F10EAA">
      <w:pPr>
        <w:pStyle w:val="ActHead6"/>
        <w:pageBreakBefore/>
      </w:pPr>
      <w:bookmarkStart w:id="32" w:name="_Toc168296830"/>
      <w:r w:rsidRPr="009E1DBA">
        <w:rPr>
          <w:rStyle w:val="CharAmSchNo"/>
        </w:rPr>
        <w:lastRenderedPageBreak/>
        <w:t>Schedule 4</w:t>
      </w:r>
      <w:r w:rsidR="00F351C1" w:rsidRPr="009E1DBA">
        <w:t>—</w:t>
      </w:r>
      <w:r w:rsidR="00D85E0D" w:rsidRPr="009E1DBA">
        <w:rPr>
          <w:rStyle w:val="CharAmSchText"/>
        </w:rPr>
        <w:t xml:space="preserve">PwC </w:t>
      </w:r>
      <w:r w:rsidR="00822C53" w:rsidRPr="009E1DBA">
        <w:rPr>
          <w:rStyle w:val="CharAmSchText"/>
        </w:rPr>
        <w:t>r</w:t>
      </w:r>
      <w:r w:rsidR="00D85E0D" w:rsidRPr="009E1DBA">
        <w:rPr>
          <w:rStyle w:val="CharAmSchText"/>
        </w:rPr>
        <w:t>esponse—</w:t>
      </w:r>
      <w:r w:rsidR="00F351C1" w:rsidRPr="009E1DBA">
        <w:rPr>
          <w:rStyle w:val="CharAmSchText"/>
        </w:rPr>
        <w:t>Information sharing</w:t>
      </w:r>
      <w:bookmarkEnd w:id="32"/>
    </w:p>
    <w:p w14:paraId="646A9D36" w14:textId="77777777" w:rsidR="00F351C1" w:rsidRPr="009E1DBA" w:rsidRDefault="00F351C1" w:rsidP="00F10EAA">
      <w:pPr>
        <w:pStyle w:val="ActHead7"/>
      </w:pPr>
      <w:bookmarkStart w:id="33" w:name="_Toc168296831"/>
      <w:r w:rsidRPr="009E1DBA">
        <w:rPr>
          <w:rStyle w:val="CharAmPartNo"/>
        </w:rPr>
        <w:t>Part 1</w:t>
      </w:r>
      <w:r w:rsidRPr="009E1DBA">
        <w:t>—</w:t>
      </w:r>
      <w:r w:rsidRPr="009E1DBA">
        <w:rPr>
          <w:rStyle w:val="CharAmPartText"/>
        </w:rPr>
        <w:t>Amend</w:t>
      </w:r>
      <w:bookmarkStart w:id="34" w:name="_stPageBreakInsert"/>
      <w:bookmarkEnd w:id="34"/>
      <w:r w:rsidRPr="009E1DBA">
        <w:rPr>
          <w:rStyle w:val="CharAmPartText"/>
        </w:rPr>
        <w:t>ments</w:t>
      </w:r>
      <w:bookmarkEnd w:id="33"/>
    </w:p>
    <w:p w14:paraId="691E07F1" w14:textId="77777777" w:rsidR="00F351C1" w:rsidRPr="009E1DBA" w:rsidRDefault="00F351C1" w:rsidP="00F10EAA">
      <w:pPr>
        <w:pStyle w:val="ActHead9"/>
      </w:pPr>
      <w:bookmarkStart w:id="35" w:name="_Toc168296832"/>
      <w:r w:rsidRPr="009E1DBA">
        <w:t>Taxation Administration Act 1953</w:t>
      </w:r>
      <w:bookmarkEnd w:id="35"/>
    </w:p>
    <w:p w14:paraId="402394E6" w14:textId="77777777" w:rsidR="00F351C1" w:rsidRPr="009E1DBA" w:rsidRDefault="00F351C1" w:rsidP="00F10EAA">
      <w:pPr>
        <w:pStyle w:val="ItemHead"/>
      </w:pPr>
      <w:r w:rsidRPr="009E1DBA">
        <w:t>1  Subsection 355</w:t>
      </w:r>
      <w:r w:rsidR="009E1DBA">
        <w:noBreakHyphen/>
      </w:r>
      <w:r w:rsidRPr="009E1DBA">
        <w:t xml:space="preserve">65(8) in </w:t>
      </w:r>
      <w:r w:rsidR="00F569DA" w:rsidRPr="009E1DBA">
        <w:t>Schedule 1</w:t>
      </w:r>
      <w:r w:rsidRPr="009E1DBA">
        <w:t xml:space="preserve"> (at the end of the </w:t>
      </w:r>
      <w:r w:rsidR="001C5376" w:rsidRPr="009E1DBA">
        <w:t>t</w:t>
      </w:r>
      <w:r w:rsidRPr="009E1DBA">
        <w:t>able)</w:t>
      </w:r>
    </w:p>
    <w:p w14:paraId="3014080F" w14:textId="77777777" w:rsidR="00F351C1" w:rsidRPr="009E1DBA" w:rsidRDefault="00F351C1" w:rsidP="00F10EAA">
      <w:pPr>
        <w:pStyle w:val="Item"/>
      </w:pPr>
      <w:r w:rsidRPr="009E1DBA">
        <w:t>Add:</w:t>
      </w:r>
    </w:p>
    <w:p w14:paraId="0B85EC63" w14:textId="77777777" w:rsidR="00F351C1" w:rsidRPr="009E1DBA" w:rsidRDefault="00F351C1" w:rsidP="00F10EAA">
      <w:pPr>
        <w:pStyle w:val="Tabletext"/>
      </w:pPr>
    </w:p>
    <w:tbl>
      <w:tblPr>
        <w:tblW w:w="0" w:type="auto"/>
        <w:tblInd w:w="113" w:type="dxa"/>
        <w:tblCellMar>
          <w:left w:w="0" w:type="dxa"/>
          <w:right w:w="0" w:type="dxa"/>
        </w:tblCellMar>
        <w:tblLook w:val="04A0" w:firstRow="1" w:lastRow="0" w:firstColumn="1" w:lastColumn="0" w:noHBand="0" w:noVBand="1"/>
      </w:tblPr>
      <w:tblGrid>
        <w:gridCol w:w="714"/>
        <w:gridCol w:w="3186"/>
        <w:gridCol w:w="3186"/>
      </w:tblGrid>
      <w:tr w:rsidR="00F351C1" w:rsidRPr="009E1DBA" w14:paraId="4135195D" w14:textId="77777777" w:rsidTr="008537D1">
        <w:tc>
          <w:tcPr>
            <w:tcW w:w="714" w:type="dxa"/>
            <w:tcBorders>
              <w:top w:val="nil"/>
              <w:left w:val="nil"/>
              <w:bottom w:val="single" w:sz="2" w:space="0" w:color="auto"/>
              <w:right w:val="nil"/>
            </w:tcBorders>
            <w:tcMar>
              <w:top w:w="0" w:type="dxa"/>
              <w:left w:w="108" w:type="dxa"/>
              <w:bottom w:w="0" w:type="dxa"/>
              <w:right w:w="108" w:type="dxa"/>
            </w:tcMar>
            <w:hideMark/>
          </w:tcPr>
          <w:p w14:paraId="2BCA49A3" w14:textId="77777777" w:rsidR="00F351C1" w:rsidRPr="009E1DBA" w:rsidRDefault="00F351C1" w:rsidP="00F10EAA">
            <w:pPr>
              <w:pStyle w:val="Tabletext"/>
              <w:rPr>
                <w:lang w:eastAsia="en-US"/>
              </w:rPr>
            </w:pPr>
            <w:r w:rsidRPr="009E1DBA">
              <w:rPr>
                <w:lang w:eastAsia="en-US"/>
              </w:rPr>
              <w:t>14</w:t>
            </w:r>
          </w:p>
        </w:tc>
        <w:tc>
          <w:tcPr>
            <w:tcW w:w="3186" w:type="dxa"/>
            <w:tcBorders>
              <w:top w:val="nil"/>
              <w:left w:val="nil"/>
              <w:bottom w:val="single" w:sz="2" w:space="0" w:color="auto"/>
              <w:right w:val="nil"/>
            </w:tcBorders>
            <w:tcMar>
              <w:top w:w="0" w:type="dxa"/>
              <w:left w:w="108" w:type="dxa"/>
              <w:bottom w:w="0" w:type="dxa"/>
              <w:right w:w="108" w:type="dxa"/>
            </w:tcMar>
            <w:hideMark/>
          </w:tcPr>
          <w:p w14:paraId="0A77CA7C" w14:textId="77777777" w:rsidR="00F351C1" w:rsidRPr="009E1DBA" w:rsidRDefault="00F351C1" w:rsidP="00F10EAA">
            <w:pPr>
              <w:pStyle w:val="Tabletext"/>
              <w:rPr>
                <w:lang w:eastAsia="en-US"/>
              </w:rPr>
            </w:pPr>
            <w:r w:rsidRPr="009E1DBA">
              <w:rPr>
                <w:lang w:eastAsia="en-US"/>
              </w:rPr>
              <w:t>the Secretary of the Department</w:t>
            </w:r>
          </w:p>
        </w:tc>
        <w:tc>
          <w:tcPr>
            <w:tcW w:w="3186" w:type="dxa"/>
            <w:tcBorders>
              <w:top w:val="nil"/>
              <w:left w:val="nil"/>
              <w:bottom w:val="single" w:sz="2" w:space="0" w:color="auto"/>
              <w:right w:val="nil"/>
            </w:tcBorders>
            <w:tcMar>
              <w:top w:w="0" w:type="dxa"/>
              <w:left w:w="108" w:type="dxa"/>
              <w:bottom w:w="0" w:type="dxa"/>
              <w:right w:w="108" w:type="dxa"/>
            </w:tcMar>
            <w:hideMark/>
          </w:tcPr>
          <w:p w14:paraId="309FA97A" w14:textId="77777777" w:rsidR="00F351C1" w:rsidRPr="009E1DBA" w:rsidRDefault="00F351C1" w:rsidP="00F10EAA">
            <w:pPr>
              <w:pStyle w:val="Tablea"/>
              <w:rPr>
                <w:lang w:eastAsia="en-US"/>
              </w:rPr>
            </w:pPr>
            <w:r w:rsidRPr="009E1DBA">
              <w:rPr>
                <w:lang w:eastAsia="en-US"/>
              </w:rPr>
              <w:t>(a)</w:t>
            </w:r>
            <w:r w:rsidR="008D1F88" w:rsidRPr="009E1DBA">
              <w:rPr>
                <w:lang w:eastAsia="en-US"/>
              </w:rPr>
              <w:t xml:space="preserve"> </w:t>
            </w:r>
            <w:r w:rsidRPr="009E1DBA">
              <w:rPr>
                <w:lang w:eastAsia="en-US"/>
              </w:rPr>
              <w:t>is of information that concerns:</w:t>
            </w:r>
          </w:p>
          <w:p w14:paraId="78356A29" w14:textId="77777777" w:rsidR="00F351C1" w:rsidRPr="009E1DBA" w:rsidRDefault="00F351C1" w:rsidP="00F10EAA">
            <w:pPr>
              <w:pStyle w:val="Tablei"/>
              <w:rPr>
                <w:lang w:eastAsia="en-US"/>
              </w:rPr>
            </w:pPr>
            <w:r w:rsidRPr="009E1DBA">
              <w:rPr>
                <w:lang w:eastAsia="en-US"/>
              </w:rPr>
              <w:t>(i)</w:t>
            </w:r>
            <w:r w:rsidR="008D1F88" w:rsidRPr="009E1DBA">
              <w:rPr>
                <w:lang w:eastAsia="en-US"/>
              </w:rPr>
              <w:t xml:space="preserve"> </w:t>
            </w:r>
            <w:r w:rsidRPr="009E1DBA">
              <w:rPr>
                <w:lang w:eastAsia="en-US"/>
              </w:rPr>
              <w:t xml:space="preserve">a breach of an obligation of confidence by an entity (the </w:t>
            </w:r>
            <w:r w:rsidRPr="009E1DBA">
              <w:rPr>
                <w:b/>
                <w:bCs/>
                <w:i/>
                <w:iCs/>
                <w:lang w:eastAsia="en-US"/>
              </w:rPr>
              <w:t>first entity</w:t>
            </w:r>
            <w:r w:rsidRPr="009E1DBA">
              <w:rPr>
                <w:lang w:eastAsia="en-US"/>
              </w:rPr>
              <w:t xml:space="preserve">) against the Commonwealth or a Commonwealth entity (within the meaning of the </w:t>
            </w:r>
            <w:r w:rsidRPr="009E1DBA">
              <w:rPr>
                <w:i/>
                <w:iCs/>
                <w:lang w:eastAsia="en-US"/>
              </w:rPr>
              <w:t>Public Governance, Performance and Accountability Act 2013</w:t>
            </w:r>
            <w:r w:rsidRPr="009E1DBA">
              <w:rPr>
                <w:lang w:eastAsia="en-US"/>
              </w:rPr>
              <w:t>); or</w:t>
            </w:r>
          </w:p>
          <w:p w14:paraId="3436939E" w14:textId="77777777" w:rsidR="00F351C1" w:rsidRPr="009E1DBA" w:rsidRDefault="00F351C1" w:rsidP="00F10EAA">
            <w:pPr>
              <w:pStyle w:val="Tablei"/>
              <w:rPr>
                <w:lang w:eastAsia="en-US"/>
              </w:rPr>
            </w:pPr>
            <w:r w:rsidRPr="009E1DBA">
              <w:rPr>
                <w:lang w:eastAsia="en-US"/>
              </w:rPr>
              <w:t>(ii)</w:t>
            </w:r>
            <w:r w:rsidR="008D1F88" w:rsidRPr="009E1DBA">
              <w:rPr>
                <w:lang w:eastAsia="en-US"/>
              </w:rPr>
              <w:t xml:space="preserve"> </w:t>
            </w:r>
            <w:r w:rsidRPr="009E1DBA">
              <w:rPr>
                <w:lang w:eastAsia="en-US"/>
              </w:rPr>
              <w:t>if the taxation officer reasonably suspects that such a breach has occurred—the suspected breach;</w:t>
            </w:r>
          </w:p>
          <w:p w14:paraId="2CC9DD74" w14:textId="77777777" w:rsidR="00F351C1" w:rsidRPr="009E1DBA" w:rsidRDefault="00F351C1" w:rsidP="00F10EAA">
            <w:pPr>
              <w:pStyle w:val="Tablea"/>
              <w:rPr>
                <w:lang w:eastAsia="en-US"/>
              </w:rPr>
            </w:pPr>
            <w:r w:rsidRPr="009E1DBA">
              <w:rPr>
                <w:lang w:eastAsia="en-US"/>
              </w:rPr>
              <w:tab/>
              <w:t>where the obligation arose in connection with the first entity providing advice,</w:t>
            </w:r>
            <w:r w:rsidRPr="009E1DBA">
              <w:t xml:space="preserve"> or otherwise providing services,</w:t>
            </w:r>
            <w:r w:rsidRPr="009E1DBA">
              <w:rPr>
                <w:lang w:eastAsia="en-US"/>
              </w:rPr>
              <w:t xml:space="preserve"> to a Commonwealth entity either:</w:t>
            </w:r>
          </w:p>
          <w:p w14:paraId="574188CD" w14:textId="77777777" w:rsidR="00F351C1" w:rsidRPr="009E1DBA" w:rsidRDefault="00F351C1" w:rsidP="00F10EAA">
            <w:pPr>
              <w:pStyle w:val="Tablei"/>
              <w:rPr>
                <w:lang w:eastAsia="en-US"/>
              </w:rPr>
            </w:pPr>
            <w:r w:rsidRPr="009E1DBA">
              <w:rPr>
                <w:lang w:eastAsia="en-US"/>
              </w:rPr>
              <w:t>(iii)</w:t>
            </w:r>
            <w:r w:rsidR="008D1F88" w:rsidRPr="009E1DBA">
              <w:rPr>
                <w:lang w:eastAsia="en-US"/>
              </w:rPr>
              <w:t xml:space="preserve"> </w:t>
            </w:r>
            <w:r w:rsidRPr="009E1DBA">
              <w:rPr>
                <w:lang w:eastAsia="en-US"/>
              </w:rPr>
              <w:t>as an entity engaged by the Commonwealth entity for that purpose; or</w:t>
            </w:r>
          </w:p>
          <w:p w14:paraId="0829FC43" w14:textId="77777777" w:rsidR="00F351C1" w:rsidRPr="009E1DBA" w:rsidRDefault="00F351C1" w:rsidP="00F10EAA">
            <w:pPr>
              <w:pStyle w:val="Tablei"/>
              <w:rPr>
                <w:lang w:eastAsia="en-US"/>
              </w:rPr>
            </w:pPr>
            <w:r w:rsidRPr="009E1DBA">
              <w:rPr>
                <w:lang w:eastAsia="en-US"/>
              </w:rPr>
              <w:t>(iv)</w:t>
            </w:r>
            <w:r w:rsidR="008D1F88" w:rsidRPr="009E1DBA">
              <w:rPr>
                <w:lang w:eastAsia="en-US"/>
              </w:rPr>
              <w:t xml:space="preserve"> </w:t>
            </w:r>
            <w:r w:rsidRPr="009E1DBA">
              <w:rPr>
                <w:lang w:eastAsia="en-US"/>
              </w:rPr>
              <w:t>as an entity representing a taxpayer; and</w:t>
            </w:r>
          </w:p>
          <w:p w14:paraId="4DBF5D5F" w14:textId="77777777" w:rsidR="00F351C1" w:rsidRPr="009E1DBA" w:rsidRDefault="00F351C1" w:rsidP="00F10EAA">
            <w:pPr>
              <w:pStyle w:val="Tablea"/>
              <w:rPr>
                <w:lang w:eastAsia="en-US"/>
              </w:rPr>
            </w:pPr>
            <w:r w:rsidRPr="009E1DBA">
              <w:rPr>
                <w:lang w:eastAsia="en-US"/>
              </w:rPr>
              <w:t>(b)</w:t>
            </w:r>
            <w:r w:rsidR="008D1F88" w:rsidRPr="009E1DBA">
              <w:rPr>
                <w:lang w:eastAsia="en-US"/>
              </w:rPr>
              <w:t xml:space="preserve"> </w:t>
            </w:r>
            <w:r w:rsidRPr="009E1DBA">
              <w:rPr>
                <w:lang w:eastAsia="en-US"/>
              </w:rPr>
              <w:t xml:space="preserve">is for the purpose of enabling or assisting in the consideration, development or implementation of any measure, or the taking of </w:t>
            </w:r>
            <w:r w:rsidRPr="009E1DBA">
              <w:rPr>
                <w:lang w:eastAsia="en-US"/>
              </w:rPr>
              <w:lastRenderedPageBreak/>
              <w:t>any action, directed at dealing with the breach or suspected breach; and</w:t>
            </w:r>
          </w:p>
          <w:p w14:paraId="416DE6D8" w14:textId="77777777" w:rsidR="00F351C1" w:rsidRPr="009E1DBA" w:rsidRDefault="00F351C1" w:rsidP="00F10EAA">
            <w:pPr>
              <w:pStyle w:val="Tablea"/>
              <w:rPr>
                <w:lang w:eastAsia="en-US"/>
              </w:rPr>
            </w:pPr>
            <w:r w:rsidRPr="009E1DBA">
              <w:rPr>
                <w:lang w:eastAsia="en-US"/>
              </w:rPr>
              <w:t>(c)</w:t>
            </w:r>
            <w:r w:rsidR="008D1F88" w:rsidRPr="009E1DBA">
              <w:rPr>
                <w:lang w:eastAsia="en-US"/>
              </w:rPr>
              <w:t xml:space="preserve"> </w:t>
            </w:r>
            <w:r w:rsidRPr="009E1DBA">
              <w:rPr>
                <w:lang w:eastAsia="en-US"/>
              </w:rPr>
              <w:t>does not include:</w:t>
            </w:r>
          </w:p>
          <w:p w14:paraId="303DC470" w14:textId="77777777" w:rsidR="00F351C1" w:rsidRPr="009E1DBA" w:rsidRDefault="00F351C1" w:rsidP="00F10EAA">
            <w:pPr>
              <w:pStyle w:val="Tablei"/>
              <w:rPr>
                <w:lang w:eastAsia="en-US"/>
              </w:rPr>
            </w:pPr>
            <w:r w:rsidRPr="009E1DBA">
              <w:rPr>
                <w:lang w:eastAsia="en-US"/>
              </w:rPr>
              <w:t>(i)</w:t>
            </w:r>
            <w:r w:rsidR="008D1F88" w:rsidRPr="009E1DBA">
              <w:rPr>
                <w:lang w:eastAsia="en-US"/>
              </w:rPr>
              <w:t xml:space="preserve"> </w:t>
            </w:r>
            <w:r w:rsidRPr="009E1DBA">
              <w:rPr>
                <w:lang w:eastAsia="en-US"/>
              </w:rPr>
              <w:t xml:space="preserve">the </w:t>
            </w:r>
            <w:r w:rsidR="00F10EAA" w:rsidRPr="009E1DBA">
              <w:rPr>
                <w:position w:val="6"/>
                <w:sz w:val="16"/>
                <w:szCs w:val="16"/>
                <w:lang w:eastAsia="en-US"/>
              </w:rPr>
              <w:t>*</w:t>
            </w:r>
            <w:r w:rsidRPr="009E1DBA">
              <w:rPr>
                <w:lang w:eastAsia="en-US"/>
              </w:rPr>
              <w:t>ABN; or</w:t>
            </w:r>
          </w:p>
          <w:p w14:paraId="4CA5B99B" w14:textId="77777777" w:rsidR="00F351C1" w:rsidRPr="009E1DBA" w:rsidRDefault="00F351C1" w:rsidP="00F10EAA">
            <w:pPr>
              <w:pStyle w:val="Tablei"/>
              <w:rPr>
                <w:lang w:eastAsia="en-US"/>
              </w:rPr>
            </w:pPr>
            <w:r w:rsidRPr="009E1DBA">
              <w:rPr>
                <w:lang w:eastAsia="en-US"/>
              </w:rPr>
              <w:t>(ii)</w:t>
            </w:r>
            <w:r w:rsidR="008D1F88" w:rsidRPr="009E1DBA">
              <w:rPr>
                <w:lang w:eastAsia="en-US"/>
              </w:rPr>
              <w:t xml:space="preserve"> </w:t>
            </w:r>
            <w:r w:rsidRPr="009E1DBA">
              <w:rPr>
                <w:lang w:eastAsia="en-US"/>
              </w:rPr>
              <w:t>the name; or</w:t>
            </w:r>
          </w:p>
          <w:p w14:paraId="0CCE3CA3" w14:textId="77777777" w:rsidR="00F351C1" w:rsidRPr="009E1DBA" w:rsidRDefault="00F351C1" w:rsidP="00F10EAA">
            <w:pPr>
              <w:pStyle w:val="Tablei"/>
              <w:rPr>
                <w:lang w:eastAsia="en-US"/>
              </w:rPr>
            </w:pPr>
            <w:r w:rsidRPr="009E1DBA">
              <w:rPr>
                <w:lang w:eastAsia="en-US"/>
              </w:rPr>
              <w:t>(iii)</w:t>
            </w:r>
            <w:r w:rsidR="008D1F88" w:rsidRPr="009E1DBA">
              <w:rPr>
                <w:lang w:eastAsia="en-US"/>
              </w:rPr>
              <w:t xml:space="preserve"> </w:t>
            </w:r>
            <w:r w:rsidRPr="009E1DBA">
              <w:rPr>
                <w:lang w:eastAsia="en-US"/>
              </w:rPr>
              <w:t>contact details; or</w:t>
            </w:r>
          </w:p>
          <w:p w14:paraId="5EF8FE13" w14:textId="77777777" w:rsidR="00F351C1" w:rsidRPr="009E1DBA" w:rsidRDefault="00F351C1" w:rsidP="00F10EAA">
            <w:pPr>
              <w:pStyle w:val="Tablei"/>
              <w:rPr>
                <w:lang w:eastAsia="en-US"/>
              </w:rPr>
            </w:pPr>
            <w:r w:rsidRPr="009E1DBA">
              <w:rPr>
                <w:lang w:eastAsia="en-US"/>
              </w:rPr>
              <w:t>(iv)</w:t>
            </w:r>
            <w:r w:rsidR="008D1F88" w:rsidRPr="009E1DBA">
              <w:rPr>
                <w:lang w:eastAsia="en-US"/>
              </w:rPr>
              <w:t xml:space="preserve"> </w:t>
            </w:r>
            <w:r w:rsidRPr="009E1DBA">
              <w:rPr>
                <w:lang w:eastAsia="en-US"/>
              </w:rPr>
              <w:t xml:space="preserve">personal information (within the meaning of the </w:t>
            </w:r>
            <w:r w:rsidRPr="009E1DBA">
              <w:rPr>
                <w:i/>
                <w:iCs/>
                <w:lang w:eastAsia="en-US"/>
              </w:rPr>
              <w:t>Privacy Act 1988</w:t>
            </w:r>
            <w:r w:rsidRPr="009E1DBA">
              <w:rPr>
                <w:lang w:eastAsia="en-US"/>
              </w:rPr>
              <w:t>);</w:t>
            </w:r>
          </w:p>
          <w:p w14:paraId="1137F5F9" w14:textId="77777777" w:rsidR="00F351C1" w:rsidRPr="009E1DBA" w:rsidRDefault="00F351C1" w:rsidP="00F10EAA">
            <w:pPr>
              <w:pStyle w:val="Tablea"/>
              <w:rPr>
                <w:lang w:eastAsia="en-US"/>
              </w:rPr>
            </w:pPr>
            <w:r w:rsidRPr="009E1DBA">
              <w:rPr>
                <w:lang w:eastAsia="en-US"/>
              </w:rPr>
              <w:tab/>
              <w:t xml:space="preserve">of any entity other than the first entity, unless the Commissioner is satisfied that the inclusion of the information is necessary for the purpose mentioned in </w:t>
            </w:r>
            <w:r w:rsidR="00F569DA" w:rsidRPr="009E1DBA">
              <w:rPr>
                <w:lang w:eastAsia="en-US"/>
              </w:rPr>
              <w:t>paragraph (</w:t>
            </w:r>
            <w:r w:rsidRPr="009E1DBA">
              <w:rPr>
                <w:lang w:eastAsia="en-US"/>
              </w:rPr>
              <w:t>b); and</w:t>
            </w:r>
          </w:p>
          <w:p w14:paraId="2AE4077B" w14:textId="77777777" w:rsidR="00F351C1" w:rsidRPr="009E1DBA" w:rsidRDefault="00F351C1" w:rsidP="00F10EAA">
            <w:pPr>
              <w:pStyle w:val="Tablea"/>
              <w:rPr>
                <w:lang w:eastAsia="en-US"/>
              </w:rPr>
            </w:pPr>
            <w:r w:rsidRPr="009E1DBA">
              <w:rPr>
                <w:lang w:eastAsia="en-US"/>
              </w:rPr>
              <w:t>(d)</w:t>
            </w:r>
            <w:r w:rsidR="008D1F88" w:rsidRPr="009E1DBA">
              <w:rPr>
                <w:lang w:eastAsia="en-US"/>
              </w:rPr>
              <w:t xml:space="preserve"> </w:t>
            </w:r>
            <w:r w:rsidRPr="009E1DBA">
              <w:rPr>
                <w:lang w:eastAsia="en-US"/>
              </w:rPr>
              <w:t xml:space="preserve">if the taxation officer is not the Commissioner, a </w:t>
            </w:r>
            <w:r w:rsidR="00F10EAA" w:rsidRPr="009E1DBA">
              <w:rPr>
                <w:position w:val="6"/>
                <w:sz w:val="16"/>
                <w:lang w:eastAsia="en-US"/>
              </w:rPr>
              <w:t>*</w:t>
            </w:r>
            <w:r w:rsidRPr="009E1DBA">
              <w:rPr>
                <w:lang w:eastAsia="en-US"/>
              </w:rPr>
              <w:t>Second Commissioner or an SES employee or acting SES employee of the Australian Taxation Office—is authorised by:</w:t>
            </w:r>
          </w:p>
          <w:p w14:paraId="08FFD21A" w14:textId="77777777" w:rsidR="00F351C1" w:rsidRPr="009E1DBA" w:rsidRDefault="00F351C1" w:rsidP="00F10EAA">
            <w:pPr>
              <w:pStyle w:val="Tablei"/>
              <w:rPr>
                <w:lang w:eastAsia="en-US"/>
              </w:rPr>
            </w:pPr>
            <w:r w:rsidRPr="009E1DBA">
              <w:rPr>
                <w:lang w:eastAsia="en-US"/>
              </w:rPr>
              <w:t>(i)</w:t>
            </w:r>
            <w:r w:rsidR="008D1F88" w:rsidRPr="009E1DBA">
              <w:rPr>
                <w:lang w:eastAsia="en-US"/>
              </w:rPr>
              <w:t xml:space="preserve"> </w:t>
            </w:r>
            <w:r w:rsidRPr="009E1DBA">
              <w:rPr>
                <w:lang w:eastAsia="en-US"/>
              </w:rPr>
              <w:t>the Commissioner; or</w:t>
            </w:r>
          </w:p>
          <w:p w14:paraId="592BEFCF" w14:textId="77777777" w:rsidR="00F351C1" w:rsidRPr="009E1DBA" w:rsidRDefault="00F351C1" w:rsidP="00F10EAA">
            <w:pPr>
              <w:pStyle w:val="Tablei"/>
              <w:rPr>
                <w:lang w:eastAsia="en-US"/>
              </w:rPr>
            </w:pPr>
            <w:r w:rsidRPr="009E1DBA">
              <w:rPr>
                <w:lang w:eastAsia="en-US"/>
              </w:rPr>
              <w:t>(ii)</w:t>
            </w:r>
            <w:r w:rsidR="008D1F88" w:rsidRPr="009E1DBA">
              <w:rPr>
                <w:lang w:eastAsia="en-US"/>
              </w:rPr>
              <w:t xml:space="preserve"> </w:t>
            </w:r>
            <w:r w:rsidRPr="009E1DBA">
              <w:rPr>
                <w:lang w:eastAsia="en-US"/>
              </w:rPr>
              <w:t>a Second Commissioner; or</w:t>
            </w:r>
          </w:p>
          <w:p w14:paraId="059BB32B" w14:textId="77777777" w:rsidR="00F351C1" w:rsidRPr="009E1DBA" w:rsidRDefault="00F351C1" w:rsidP="00F10EAA">
            <w:pPr>
              <w:pStyle w:val="Tablei"/>
              <w:rPr>
                <w:lang w:eastAsia="en-US"/>
              </w:rPr>
            </w:pPr>
            <w:r w:rsidRPr="009E1DBA">
              <w:rPr>
                <w:lang w:eastAsia="en-US"/>
              </w:rPr>
              <w:t>(iii)</w:t>
            </w:r>
            <w:r w:rsidR="008D1F88" w:rsidRPr="009E1DBA">
              <w:rPr>
                <w:lang w:eastAsia="en-US"/>
              </w:rPr>
              <w:t xml:space="preserve"> </w:t>
            </w:r>
            <w:r w:rsidRPr="009E1DBA">
              <w:rPr>
                <w:lang w:eastAsia="en-US"/>
              </w:rPr>
              <w:t>an SES employee or acting SES employee of the Australian Taxation Office who is not a direct supervisor of the taxation officer.</w:t>
            </w:r>
          </w:p>
        </w:tc>
      </w:tr>
      <w:tr w:rsidR="00F351C1" w:rsidRPr="009E1DBA" w14:paraId="3776CF1A" w14:textId="77777777" w:rsidTr="008537D1">
        <w:tc>
          <w:tcPr>
            <w:tcW w:w="714" w:type="dxa"/>
            <w:tcBorders>
              <w:top w:val="single" w:sz="2" w:space="0" w:color="auto"/>
            </w:tcBorders>
            <w:tcMar>
              <w:top w:w="0" w:type="dxa"/>
              <w:left w:w="108" w:type="dxa"/>
              <w:bottom w:w="0" w:type="dxa"/>
              <w:right w:w="108" w:type="dxa"/>
            </w:tcMar>
            <w:hideMark/>
          </w:tcPr>
          <w:p w14:paraId="2D1AED16" w14:textId="77777777" w:rsidR="00F351C1" w:rsidRPr="009E1DBA" w:rsidRDefault="00F351C1" w:rsidP="00F10EAA">
            <w:pPr>
              <w:pStyle w:val="Tabletext"/>
              <w:rPr>
                <w:lang w:eastAsia="en-US"/>
              </w:rPr>
            </w:pPr>
            <w:r w:rsidRPr="009E1DBA">
              <w:rPr>
                <w:lang w:eastAsia="en-US"/>
              </w:rPr>
              <w:lastRenderedPageBreak/>
              <w:t>15</w:t>
            </w:r>
          </w:p>
        </w:tc>
        <w:tc>
          <w:tcPr>
            <w:tcW w:w="3186" w:type="dxa"/>
            <w:tcBorders>
              <w:top w:val="single" w:sz="2" w:space="0" w:color="auto"/>
            </w:tcBorders>
            <w:tcMar>
              <w:top w:w="0" w:type="dxa"/>
              <w:left w:w="108" w:type="dxa"/>
              <w:bottom w:w="0" w:type="dxa"/>
              <w:right w:w="108" w:type="dxa"/>
            </w:tcMar>
            <w:hideMark/>
          </w:tcPr>
          <w:p w14:paraId="7D0638D5" w14:textId="77777777" w:rsidR="00F351C1" w:rsidRPr="009E1DBA" w:rsidRDefault="00F351C1" w:rsidP="00F10EAA">
            <w:pPr>
              <w:pStyle w:val="Tabletext"/>
              <w:rPr>
                <w:lang w:eastAsia="en-US"/>
              </w:rPr>
            </w:pPr>
            <w:r w:rsidRPr="009E1DBA">
              <w:rPr>
                <w:lang w:eastAsia="en-US"/>
              </w:rPr>
              <w:t xml:space="preserve">a professional disciplinary body that is prescribed for the purposes of this table item (a </w:t>
            </w:r>
            <w:r w:rsidRPr="009E1DBA">
              <w:rPr>
                <w:b/>
                <w:bCs/>
                <w:i/>
                <w:iCs/>
                <w:lang w:eastAsia="en-US"/>
              </w:rPr>
              <w:t>prescribed disciplinary body</w:t>
            </w:r>
            <w:r w:rsidRPr="009E1DBA">
              <w:rPr>
                <w:lang w:eastAsia="en-US"/>
              </w:rPr>
              <w:t>)</w:t>
            </w:r>
          </w:p>
        </w:tc>
        <w:tc>
          <w:tcPr>
            <w:tcW w:w="3186" w:type="dxa"/>
            <w:tcBorders>
              <w:top w:val="single" w:sz="2" w:space="0" w:color="auto"/>
            </w:tcBorders>
            <w:tcMar>
              <w:top w:w="0" w:type="dxa"/>
              <w:left w:w="108" w:type="dxa"/>
              <w:bottom w:w="0" w:type="dxa"/>
              <w:right w:w="108" w:type="dxa"/>
            </w:tcMar>
            <w:hideMark/>
          </w:tcPr>
          <w:p w14:paraId="72BF4D65" w14:textId="77777777" w:rsidR="00F351C1" w:rsidRPr="009E1DBA" w:rsidRDefault="00F351C1" w:rsidP="00F10EAA">
            <w:pPr>
              <w:pStyle w:val="Tablea"/>
              <w:rPr>
                <w:lang w:eastAsia="en-US"/>
              </w:rPr>
            </w:pPr>
            <w:r w:rsidRPr="009E1DBA">
              <w:rPr>
                <w:lang w:eastAsia="en-US"/>
              </w:rPr>
              <w:t>(a)</w:t>
            </w:r>
            <w:r w:rsidR="008D1F88" w:rsidRPr="009E1DBA">
              <w:rPr>
                <w:lang w:eastAsia="en-US"/>
              </w:rPr>
              <w:t xml:space="preserve"> </w:t>
            </w:r>
            <w:r w:rsidRPr="009E1DBA">
              <w:rPr>
                <w:lang w:eastAsia="en-US"/>
              </w:rPr>
              <w:t xml:space="preserve">is of information that concerns an entity (the </w:t>
            </w:r>
            <w:r w:rsidRPr="009E1DBA">
              <w:rPr>
                <w:b/>
                <w:bCs/>
                <w:i/>
                <w:iCs/>
                <w:lang w:eastAsia="en-US"/>
              </w:rPr>
              <w:t>first entity</w:t>
            </w:r>
            <w:r w:rsidRPr="009E1DBA">
              <w:rPr>
                <w:lang w:eastAsia="en-US"/>
              </w:rPr>
              <w:t xml:space="preserve">) and an act or omission (or a suspected act or omission) of the first entity that the taxation officer reasonably suspects may constitute a breach by the first entity of the prescribed disciplinary body’s code of conduct or professional standards, however described; </w:t>
            </w:r>
            <w:r w:rsidRPr="009E1DBA">
              <w:rPr>
                <w:lang w:eastAsia="en-US"/>
              </w:rPr>
              <w:lastRenderedPageBreak/>
              <w:t>and</w:t>
            </w:r>
          </w:p>
          <w:p w14:paraId="30090C03" w14:textId="77777777" w:rsidR="00F351C1" w:rsidRPr="009E1DBA" w:rsidRDefault="00F351C1" w:rsidP="00F10EAA">
            <w:pPr>
              <w:pStyle w:val="Tablea"/>
              <w:rPr>
                <w:lang w:eastAsia="en-US"/>
              </w:rPr>
            </w:pPr>
            <w:r w:rsidRPr="009E1DBA">
              <w:rPr>
                <w:lang w:eastAsia="en-US"/>
              </w:rPr>
              <w:t>(b)</w:t>
            </w:r>
            <w:r w:rsidR="008D1F88" w:rsidRPr="009E1DBA">
              <w:rPr>
                <w:lang w:eastAsia="en-US"/>
              </w:rPr>
              <w:t xml:space="preserve"> </w:t>
            </w:r>
            <w:r w:rsidRPr="009E1DBA">
              <w:rPr>
                <w:lang w:eastAsia="en-US"/>
              </w:rPr>
              <w:t>is for the purpose of enabling or assisting the prescribed disciplinary body to perform one or more of its functions in respect of the first entity; and</w:t>
            </w:r>
          </w:p>
          <w:p w14:paraId="661E8D5A" w14:textId="77777777" w:rsidR="00F351C1" w:rsidRPr="009E1DBA" w:rsidRDefault="00F351C1" w:rsidP="00F10EAA">
            <w:pPr>
              <w:pStyle w:val="Tablea"/>
              <w:rPr>
                <w:lang w:eastAsia="en-US"/>
              </w:rPr>
            </w:pPr>
            <w:r w:rsidRPr="009E1DBA">
              <w:rPr>
                <w:lang w:eastAsia="en-US"/>
              </w:rPr>
              <w:t>(c)</w:t>
            </w:r>
            <w:r w:rsidR="008D1F88" w:rsidRPr="009E1DBA">
              <w:rPr>
                <w:lang w:eastAsia="en-US"/>
              </w:rPr>
              <w:t xml:space="preserve"> </w:t>
            </w:r>
            <w:r w:rsidRPr="009E1DBA">
              <w:rPr>
                <w:lang w:eastAsia="en-US"/>
              </w:rPr>
              <w:t>does not include:</w:t>
            </w:r>
          </w:p>
          <w:p w14:paraId="3D21B3BA" w14:textId="77777777" w:rsidR="00F351C1" w:rsidRPr="009E1DBA" w:rsidRDefault="00F351C1" w:rsidP="00F10EAA">
            <w:pPr>
              <w:pStyle w:val="Tablei"/>
              <w:rPr>
                <w:lang w:eastAsia="en-US"/>
              </w:rPr>
            </w:pPr>
            <w:r w:rsidRPr="009E1DBA">
              <w:rPr>
                <w:lang w:eastAsia="en-US"/>
              </w:rPr>
              <w:t>(i)</w:t>
            </w:r>
            <w:r w:rsidR="008D1F88" w:rsidRPr="009E1DBA">
              <w:rPr>
                <w:lang w:eastAsia="en-US"/>
              </w:rPr>
              <w:t xml:space="preserve"> </w:t>
            </w:r>
            <w:r w:rsidRPr="009E1DBA">
              <w:rPr>
                <w:lang w:eastAsia="en-US"/>
              </w:rPr>
              <w:t xml:space="preserve">the </w:t>
            </w:r>
            <w:r w:rsidR="00F10EAA" w:rsidRPr="009E1DBA">
              <w:rPr>
                <w:position w:val="6"/>
                <w:sz w:val="16"/>
                <w:szCs w:val="16"/>
                <w:lang w:eastAsia="en-US"/>
              </w:rPr>
              <w:t>*</w:t>
            </w:r>
            <w:r w:rsidRPr="009E1DBA">
              <w:rPr>
                <w:lang w:eastAsia="en-US"/>
              </w:rPr>
              <w:t>ABN; or</w:t>
            </w:r>
          </w:p>
          <w:p w14:paraId="50F8ADFA" w14:textId="77777777" w:rsidR="00F351C1" w:rsidRPr="009E1DBA" w:rsidRDefault="00F351C1" w:rsidP="00F10EAA">
            <w:pPr>
              <w:pStyle w:val="Tablei"/>
              <w:rPr>
                <w:lang w:eastAsia="en-US"/>
              </w:rPr>
            </w:pPr>
            <w:r w:rsidRPr="009E1DBA">
              <w:rPr>
                <w:lang w:eastAsia="en-US"/>
              </w:rPr>
              <w:t>(ii)</w:t>
            </w:r>
            <w:r w:rsidR="008D1F88" w:rsidRPr="009E1DBA">
              <w:rPr>
                <w:lang w:eastAsia="en-US"/>
              </w:rPr>
              <w:t xml:space="preserve"> </w:t>
            </w:r>
            <w:r w:rsidRPr="009E1DBA">
              <w:rPr>
                <w:lang w:eastAsia="en-US"/>
              </w:rPr>
              <w:t>the name; or</w:t>
            </w:r>
          </w:p>
          <w:p w14:paraId="6F372DA1" w14:textId="77777777" w:rsidR="00F351C1" w:rsidRPr="009E1DBA" w:rsidRDefault="00F351C1" w:rsidP="00F10EAA">
            <w:pPr>
              <w:pStyle w:val="Tablei"/>
              <w:rPr>
                <w:lang w:eastAsia="en-US"/>
              </w:rPr>
            </w:pPr>
            <w:r w:rsidRPr="009E1DBA">
              <w:rPr>
                <w:lang w:eastAsia="en-US"/>
              </w:rPr>
              <w:t>(iii)</w:t>
            </w:r>
            <w:r w:rsidR="008D1F88" w:rsidRPr="009E1DBA">
              <w:rPr>
                <w:lang w:eastAsia="en-US"/>
              </w:rPr>
              <w:t xml:space="preserve"> </w:t>
            </w:r>
            <w:r w:rsidRPr="009E1DBA">
              <w:rPr>
                <w:lang w:eastAsia="en-US"/>
              </w:rPr>
              <w:t>contact details; or</w:t>
            </w:r>
          </w:p>
          <w:p w14:paraId="32DE6337" w14:textId="77777777" w:rsidR="00F351C1" w:rsidRPr="009E1DBA" w:rsidRDefault="00F351C1" w:rsidP="00F10EAA">
            <w:pPr>
              <w:pStyle w:val="Tablei"/>
              <w:rPr>
                <w:lang w:eastAsia="en-US"/>
              </w:rPr>
            </w:pPr>
            <w:r w:rsidRPr="009E1DBA">
              <w:rPr>
                <w:lang w:eastAsia="en-US"/>
              </w:rPr>
              <w:t>(iv)</w:t>
            </w:r>
            <w:r w:rsidR="008D1F88" w:rsidRPr="009E1DBA">
              <w:rPr>
                <w:lang w:eastAsia="en-US"/>
              </w:rPr>
              <w:t xml:space="preserve"> </w:t>
            </w:r>
            <w:r w:rsidRPr="009E1DBA">
              <w:rPr>
                <w:lang w:eastAsia="en-US"/>
              </w:rPr>
              <w:t xml:space="preserve">personal information (within the meaning of the </w:t>
            </w:r>
            <w:r w:rsidRPr="009E1DBA">
              <w:rPr>
                <w:i/>
                <w:iCs/>
                <w:lang w:eastAsia="en-US"/>
              </w:rPr>
              <w:t>Privacy Act 1988</w:t>
            </w:r>
            <w:r w:rsidRPr="009E1DBA">
              <w:rPr>
                <w:lang w:eastAsia="en-US"/>
              </w:rPr>
              <w:t>);</w:t>
            </w:r>
          </w:p>
          <w:p w14:paraId="1890F3D9" w14:textId="77777777" w:rsidR="00F351C1" w:rsidRPr="009E1DBA" w:rsidRDefault="00F351C1" w:rsidP="00F10EAA">
            <w:pPr>
              <w:pStyle w:val="Tablea"/>
              <w:rPr>
                <w:lang w:eastAsia="en-US"/>
              </w:rPr>
            </w:pPr>
            <w:r w:rsidRPr="009E1DBA">
              <w:rPr>
                <w:lang w:eastAsia="en-US"/>
              </w:rPr>
              <w:tab/>
              <w:t xml:space="preserve">of any entity other than the first entity, unless the Commissioner is satisfied that the inclusion of the information is necessary for the purpose mentioned in </w:t>
            </w:r>
            <w:r w:rsidR="00F569DA" w:rsidRPr="009E1DBA">
              <w:rPr>
                <w:lang w:eastAsia="en-US"/>
              </w:rPr>
              <w:t>paragraph (</w:t>
            </w:r>
            <w:r w:rsidRPr="009E1DBA">
              <w:rPr>
                <w:lang w:eastAsia="en-US"/>
              </w:rPr>
              <w:t>b); and</w:t>
            </w:r>
          </w:p>
          <w:p w14:paraId="0BE78E86" w14:textId="77777777" w:rsidR="00F351C1" w:rsidRPr="009E1DBA" w:rsidRDefault="00F351C1" w:rsidP="00F10EAA">
            <w:pPr>
              <w:pStyle w:val="Tablea"/>
              <w:rPr>
                <w:lang w:eastAsia="en-US"/>
              </w:rPr>
            </w:pPr>
            <w:r w:rsidRPr="009E1DBA">
              <w:rPr>
                <w:lang w:eastAsia="en-US"/>
              </w:rPr>
              <w:t>(d)</w:t>
            </w:r>
            <w:r w:rsidR="008D1F88" w:rsidRPr="009E1DBA">
              <w:rPr>
                <w:lang w:eastAsia="en-US"/>
              </w:rPr>
              <w:t xml:space="preserve"> </w:t>
            </w:r>
            <w:r w:rsidRPr="009E1DBA">
              <w:rPr>
                <w:lang w:eastAsia="en-US"/>
              </w:rPr>
              <w:t xml:space="preserve">if the taxation officer is not the Commissioner, a </w:t>
            </w:r>
            <w:r w:rsidR="00F10EAA" w:rsidRPr="009E1DBA">
              <w:rPr>
                <w:position w:val="6"/>
                <w:sz w:val="16"/>
                <w:lang w:eastAsia="en-US"/>
              </w:rPr>
              <w:t>*</w:t>
            </w:r>
            <w:r w:rsidRPr="009E1DBA">
              <w:rPr>
                <w:lang w:eastAsia="en-US"/>
              </w:rPr>
              <w:t>Second Commissioner or an SES employee or acting SES employee of the Australian Taxation Office—is authorised by:</w:t>
            </w:r>
          </w:p>
          <w:p w14:paraId="4D53511E" w14:textId="77777777" w:rsidR="00F351C1" w:rsidRPr="009E1DBA" w:rsidRDefault="00F351C1" w:rsidP="00F10EAA">
            <w:pPr>
              <w:pStyle w:val="Tablei"/>
              <w:rPr>
                <w:lang w:eastAsia="en-US"/>
              </w:rPr>
            </w:pPr>
            <w:r w:rsidRPr="009E1DBA">
              <w:rPr>
                <w:lang w:eastAsia="en-US"/>
              </w:rPr>
              <w:t>(i)</w:t>
            </w:r>
            <w:r w:rsidR="008D1F88" w:rsidRPr="009E1DBA">
              <w:rPr>
                <w:lang w:eastAsia="en-US"/>
              </w:rPr>
              <w:t xml:space="preserve"> </w:t>
            </w:r>
            <w:r w:rsidRPr="009E1DBA">
              <w:rPr>
                <w:lang w:eastAsia="en-US"/>
              </w:rPr>
              <w:t>the Commissioner; or</w:t>
            </w:r>
          </w:p>
          <w:p w14:paraId="105BCCB6" w14:textId="77777777" w:rsidR="00F351C1" w:rsidRPr="009E1DBA" w:rsidRDefault="00F351C1" w:rsidP="00F10EAA">
            <w:pPr>
              <w:pStyle w:val="Tablei"/>
              <w:rPr>
                <w:lang w:eastAsia="en-US"/>
              </w:rPr>
            </w:pPr>
            <w:r w:rsidRPr="009E1DBA">
              <w:rPr>
                <w:lang w:eastAsia="en-US"/>
              </w:rPr>
              <w:t>(ii)</w:t>
            </w:r>
            <w:r w:rsidR="008D1F88" w:rsidRPr="009E1DBA">
              <w:rPr>
                <w:lang w:eastAsia="en-US"/>
              </w:rPr>
              <w:t xml:space="preserve"> </w:t>
            </w:r>
            <w:r w:rsidRPr="009E1DBA">
              <w:rPr>
                <w:lang w:eastAsia="en-US"/>
              </w:rPr>
              <w:t>a Second Commissioner; or</w:t>
            </w:r>
          </w:p>
          <w:p w14:paraId="2CC9094E" w14:textId="77777777" w:rsidR="00F351C1" w:rsidRPr="009E1DBA" w:rsidRDefault="00F351C1" w:rsidP="00F10EAA">
            <w:pPr>
              <w:pStyle w:val="Tablei"/>
            </w:pPr>
            <w:r w:rsidRPr="009E1DBA">
              <w:t>(iii)</w:t>
            </w:r>
            <w:r w:rsidR="008D1F88" w:rsidRPr="009E1DBA">
              <w:t xml:space="preserve"> </w:t>
            </w:r>
            <w:r w:rsidRPr="009E1DBA">
              <w:t>an SES employee or acting SES employee of the Australian Taxation Office who is not a direct supervisor of the taxation officer.</w:t>
            </w:r>
          </w:p>
        </w:tc>
      </w:tr>
    </w:tbl>
    <w:p w14:paraId="63F3E326" w14:textId="77777777" w:rsidR="00F351C1" w:rsidRPr="009E1DBA" w:rsidRDefault="00F351C1" w:rsidP="00F10EAA">
      <w:pPr>
        <w:pStyle w:val="ItemHead"/>
      </w:pPr>
      <w:r w:rsidRPr="009E1DBA">
        <w:lastRenderedPageBreak/>
        <w:t>2  After section 355</w:t>
      </w:r>
      <w:r w:rsidR="009E1DBA">
        <w:noBreakHyphen/>
      </w:r>
      <w:r w:rsidRPr="009E1DBA">
        <w:t xml:space="preserve">180 in </w:t>
      </w:r>
      <w:r w:rsidR="00F569DA" w:rsidRPr="009E1DBA">
        <w:t>Schedule 1</w:t>
      </w:r>
    </w:p>
    <w:p w14:paraId="1E5E0651" w14:textId="77777777" w:rsidR="00F351C1" w:rsidRPr="009E1DBA" w:rsidRDefault="00F351C1" w:rsidP="00F10EAA">
      <w:pPr>
        <w:pStyle w:val="Item"/>
      </w:pPr>
      <w:r w:rsidRPr="009E1DBA">
        <w:t>Insert:</w:t>
      </w:r>
    </w:p>
    <w:p w14:paraId="18251F47" w14:textId="77777777" w:rsidR="00F351C1" w:rsidRPr="009E1DBA" w:rsidRDefault="00F351C1" w:rsidP="00F10EAA">
      <w:pPr>
        <w:pStyle w:val="ActHead5"/>
      </w:pPr>
      <w:bookmarkStart w:id="36" w:name="_Toc168296833"/>
      <w:r w:rsidRPr="009E1DBA">
        <w:rPr>
          <w:rStyle w:val="CharSectno"/>
        </w:rPr>
        <w:lastRenderedPageBreak/>
        <w:t>355</w:t>
      </w:r>
      <w:r w:rsidR="009E1DBA" w:rsidRPr="009E1DBA">
        <w:rPr>
          <w:rStyle w:val="CharSectno"/>
        </w:rPr>
        <w:noBreakHyphen/>
      </w:r>
      <w:r w:rsidRPr="009E1DBA">
        <w:rPr>
          <w:rStyle w:val="CharSectno"/>
        </w:rPr>
        <w:t>181</w:t>
      </w:r>
      <w:r w:rsidRPr="009E1DBA">
        <w:t xml:space="preserve">  Exception—on</w:t>
      </w:r>
      <w:r w:rsidR="009E1DBA">
        <w:noBreakHyphen/>
      </w:r>
      <w:r w:rsidRPr="009E1DBA">
        <w:t>disclosure to Ministers in relation to breach of confidence and related matters</w:t>
      </w:r>
      <w:bookmarkEnd w:id="36"/>
    </w:p>
    <w:p w14:paraId="632DB611" w14:textId="77777777" w:rsidR="00F351C1" w:rsidRPr="009E1DBA" w:rsidRDefault="00F351C1" w:rsidP="00F10EAA">
      <w:pPr>
        <w:pStyle w:val="subsection"/>
      </w:pPr>
      <w:r w:rsidRPr="009E1DBA">
        <w:tab/>
      </w:r>
      <w:r w:rsidRPr="009E1DBA">
        <w:tab/>
        <w:t>Section 355</w:t>
      </w:r>
      <w:r w:rsidR="009E1DBA">
        <w:noBreakHyphen/>
      </w:r>
      <w:r w:rsidRPr="009E1DBA">
        <w:t>155 does not apply if:</w:t>
      </w:r>
    </w:p>
    <w:p w14:paraId="6BAE8AC2" w14:textId="77777777" w:rsidR="00F351C1" w:rsidRPr="009E1DBA" w:rsidRDefault="00F351C1" w:rsidP="00F10EAA">
      <w:pPr>
        <w:pStyle w:val="paragraph"/>
      </w:pPr>
      <w:r w:rsidRPr="009E1DBA">
        <w:tab/>
        <w:t>(a)</w:t>
      </w:r>
      <w:r w:rsidRPr="009E1DBA">
        <w:tab/>
        <w:t>the entity is the Secretary of the Department or an SES employee of the Department authorised by the Secretary for the purposes of this section</w:t>
      </w:r>
      <w:r w:rsidRPr="009E1DBA">
        <w:rPr>
          <w:i/>
        </w:rPr>
        <w:t xml:space="preserve"> </w:t>
      </w:r>
      <w:r w:rsidRPr="009E1DBA">
        <w:t xml:space="preserve">(the </w:t>
      </w:r>
      <w:r w:rsidRPr="009E1DBA">
        <w:rPr>
          <w:b/>
          <w:i/>
        </w:rPr>
        <w:t>first entity</w:t>
      </w:r>
      <w:r w:rsidRPr="009E1DBA">
        <w:t>); and</w:t>
      </w:r>
    </w:p>
    <w:p w14:paraId="220E137D" w14:textId="77777777" w:rsidR="00F351C1" w:rsidRPr="009E1DBA" w:rsidRDefault="00F351C1" w:rsidP="00F10EAA">
      <w:pPr>
        <w:pStyle w:val="paragraph"/>
        <w:rPr>
          <w:color w:val="000000" w:themeColor="text1"/>
        </w:rPr>
      </w:pPr>
      <w:r w:rsidRPr="009E1DBA">
        <w:rPr>
          <w:color w:val="000000" w:themeColor="text1"/>
        </w:rPr>
        <w:tab/>
        <w:t>(b)</w:t>
      </w:r>
      <w:r w:rsidRPr="009E1DBA">
        <w:rPr>
          <w:color w:val="000000" w:themeColor="text1"/>
        </w:rPr>
        <w:tab/>
        <w:t xml:space="preserve">the information was obtained by the first entity under the exception </w:t>
      </w:r>
      <w:r w:rsidRPr="009E1DBA">
        <w:rPr>
          <w:color w:val="000000" w:themeColor="text1"/>
          <w:szCs w:val="22"/>
          <w:shd w:val="clear" w:color="auto" w:fill="FFFFFF"/>
        </w:rPr>
        <w:t xml:space="preserve">in </w:t>
      </w:r>
      <w:r w:rsidRPr="009E1DBA">
        <w:rPr>
          <w:color w:val="000000" w:themeColor="text1"/>
          <w:shd w:val="clear" w:color="auto" w:fill="FFFFFF"/>
        </w:rPr>
        <w:t>subsection 355</w:t>
      </w:r>
      <w:r w:rsidR="009E1DBA">
        <w:rPr>
          <w:color w:val="000000" w:themeColor="text1"/>
          <w:shd w:val="clear" w:color="auto" w:fill="FFFFFF"/>
        </w:rPr>
        <w:noBreakHyphen/>
      </w:r>
      <w:r w:rsidRPr="009E1DBA">
        <w:rPr>
          <w:color w:val="000000" w:themeColor="text1"/>
          <w:shd w:val="clear" w:color="auto" w:fill="FFFFFF"/>
        </w:rPr>
        <w:t>65(1) operating in relation to item 14 in the table in subsection 3</w:t>
      </w:r>
      <w:r w:rsidRPr="009E1DBA">
        <w:rPr>
          <w:color w:val="000000" w:themeColor="text1"/>
        </w:rPr>
        <w:t>55</w:t>
      </w:r>
      <w:r w:rsidR="009E1DBA">
        <w:rPr>
          <w:color w:val="000000" w:themeColor="text1"/>
        </w:rPr>
        <w:noBreakHyphen/>
      </w:r>
      <w:r w:rsidRPr="009E1DBA">
        <w:rPr>
          <w:color w:val="000000" w:themeColor="text1"/>
        </w:rPr>
        <w:t>65(8); and</w:t>
      </w:r>
    </w:p>
    <w:p w14:paraId="110E622D" w14:textId="77777777" w:rsidR="00F351C1" w:rsidRPr="009E1DBA" w:rsidRDefault="00F351C1" w:rsidP="00F10EAA">
      <w:pPr>
        <w:pStyle w:val="paragraph"/>
        <w:rPr>
          <w:color w:val="000000"/>
          <w:szCs w:val="22"/>
          <w:shd w:val="clear" w:color="auto" w:fill="FFFFFF"/>
        </w:rPr>
      </w:pPr>
      <w:r w:rsidRPr="009E1DBA">
        <w:tab/>
        <w:t>(c)</w:t>
      </w:r>
      <w:r w:rsidRPr="009E1DBA">
        <w:tab/>
        <w:t>the record is made for, or the disclosu</w:t>
      </w:r>
      <w:r w:rsidRPr="009E1DBA">
        <w:rPr>
          <w:color w:val="000000"/>
          <w:szCs w:val="22"/>
          <w:shd w:val="clear" w:color="auto" w:fill="FFFFFF"/>
        </w:rPr>
        <w:t xml:space="preserve">re is to, the Minister or the </w:t>
      </w:r>
      <w:r w:rsidR="00F10EAA" w:rsidRPr="009E1DBA">
        <w:rPr>
          <w:color w:val="000000"/>
          <w:position w:val="6"/>
          <w:sz w:val="16"/>
          <w:szCs w:val="22"/>
          <w:shd w:val="clear" w:color="auto" w:fill="FFFFFF"/>
        </w:rPr>
        <w:t>*</w:t>
      </w:r>
      <w:r w:rsidRPr="009E1DBA">
        <w:rPr>
          <w:color w:val="000000"/>
          <w:szCs w:val="22"/>
          <w:shd w:val="clear" w:color="auto" w:fill="FFFFFF"/>
        </w:rPr>
        <w:t>Finance Minister; and</w:t>
      </w:r>
    </w:p>
    <w:p w14:paraId="6FD921ED" w14:textId="77777777" w:rsidR="00F351C1" w:rsidRPr="009E1DBA" w:rsidRDefault="00F351C1" w:rsidP="00F10EAA">
      <w:pPr>
        <w:pStyle w:val="paragraph"/>
      </w:pPr>
      <w:r w:rsidRPr="009E1DBA">
        <w:tab/>
        <w:t>(d)</w:t>
      </w:r>
      <w:r w:rsidRPr="009E1DBA">
        <w:tab/>
        <w:t>the record or disclosure is for the purpose of providing advice to the Minister or the Finance Minister in relation to:</w:t>
      </w:r>
    </w:p>
    <w:p w14:paraId="77F7692C" w14:textId="77777777" w:rsidR="00F351C1" w:rsidRPr="009E1DBA" w:rsidRDefault="00F351C1" w:rsidP="00F10EAA">
      <w:pPr>
        <w:pStyle w:val="paragraphsub"/>
      </w:pPr>
      <w:r w:rsidRPr="009E1DBA">
        <w:tab/>
        <w:t>(i)</w:t>
      </w:r>
      <w:r w:rsidRPr="009E1DBA">
        <w:tab/>
        <w:t xml:space="preserve">a breach, or a suspected breach, of an obligation of confidence by another entity (the </w:t>
      </w:r>
      <w:r w:rsidRPr="009E1DBA">
        <w:rPr>
          <w:b/>
          <w:i/>
        </w:rPr>
        <w:t>second entity</w:t>
      </w:r>
      <w:r w:rsidRPr="009E1DBA">
        <w:t xml:space="preserve">) against the Commonwealth or a Commonwealth entity (within the meaning of the </w:t>
      </w:r>
      <w:r w:rsidRPr="009E1DBA">
        <w:rPr>
          <w:i/>
        </w:rPr>
        <w:t>Public Governance, Performance and Accountability Act 2013</w:t>
      </w:r>
      <w:r w:rsidRPr="009E1DBA">
        <w:t>); or</w:t>
      </w:r>
    </w:p>
    <w:p w14:paraId="698AA25C" w14:textId="77777777" w:rsidR="00F351C1" w:rsidRPr="009E1DBA" w:rsidRDefault="00F351C1" w:rsidP="00F10EAA">
      <w:pPr>
        <w:pStyle w:val="paragraphsub"/>
      </w:pPr>
      <w:r w:rsidRPr="009E1DBA">
        <w:tab/>
        <w:t>(ii)</w:t>
      </w:r>
      <w:r w:rsidRPr="009E1DBA">
        <w:tab/>
        <w:t>any proposed measure or action directed at dealing with such a breach or suspected breach.</w:t>
      </w:r>
    </w:p>
    <w:p w14:paraId="06839A7D" w14:textId="77777777" w:rsidR="00F351C1" w:rsidRPr="009E1DBA" w:rsidRDefault="00F351C1" w:rsidP="00F10EAA">
      <w:pPr>
        <w:pStyle w:val="notetext"/>
        <w:rPr>
          <w:shd w:val="clear" w:color="auto" w:fill="FFFFFF"/>
        </w:rPr>
      </w:pPr>
      <w:r w:rsidRPr="009E1DBA">
        <w:rPr>
          <w:shd w:val="clear" w:color="auto" w:fill="FFFFFF"/>
        </w:rPr>
        <w:t>Note:</w:t>
      </w:r>
      <w:r w:rsidRPr="009E1DBA">
        <w:rPr>
          <w:shd w:val="clear" w:color="auto" w:fill="FFFFFF"/>
        </w:rPr>
        <w:tab/>
        <w:t>A defendant bears an evidential burden in relation to the matters in this section: see subsection 13.3(3) of the </w:t>
      </w:r>
      <w:r w:rsidRPr="009E1DBA">
        <w:rPr>
          <w:i/>
          <w:iCs/>
          <w:shd w:val="clear" w:color="auto" w:fill="FFFFFF"/>
        </w:rPr>
        <w:t>Criminal Code</w:t>
      </w:r>
      <w:r w:rsidRPr="009E1DBA">
        <w:rPr>
          <w:shd w:val="clear" w:color="auto" w:fill="FFFFFF"/>
        </w:rPr>
        <w:t>.</w:t>
      </w:r>
    </w:p>
    <w:p w14:paraId="01CA5294" w14:textId="77777777" w:rsidR="00F351C1" w:rsidRPr="009E1DBA" w:rsidRDefault="00F351C1" w:rsidP="00F10EAA">
      <w:pPr>
        <w:pStyle w:val="ItemHead"/>
      </w:pPr>
      <w:r w:rsidRPr="009E1DBA">
        <w:t>3  Section 355</w:t>
      </w:r>
      <w:r w:rsidR="009E1DBA">
        <w:noBreakHyphen/>
      </w:r>
      <w:r w:rsidRPr="009E1DBA">
        <w:t xml:space="preserve">210 in </w:t>
      </w:r>
      <w:r w:rsidR="00F569DA" w:rsidRPr="009E1DBA">
        <w:t>Schedule 1</w:t>
      </w:r>
    </w:p>
    <w:p w14:paraId="49CEAED6" w14:textId="77777777" w:rsidR="00F351C1" w:rsidRPr="009E1DBA" w:rsidRDefault="00F351C1" w:rsidP="00F10EAA">
      <w:pPr>
        <w:pStyle w:val="Item"/>
      </w:pPr>
      <w:r w:rsidRPr="009E1DBA">
        <w:t>After “355</w:t>
      </w:r>
      <w:r w:rsidR="009E1DBA">
        <w:noBreakHyphen/>
      </w:r>
      <w:r w:rsidRPr="009E1DBA">
        <w:t>180”, insert “, 355</w:t>
      </w:r>
      <w:r w:rsidR="009E1DBA">
        <w:noBreakHyphen/>
      </w:r>
      <w:r w:rsidRPr="009E1DBA">
        <w:t>181”.</w:t>
      </w:r>
    </w:p>
    <w:p w14:paraId="191634FE" w14:textId="77777777" w:rsidR="00F351C1" w:rsidRPr="009E1DBA" w:rsidRDefault="00F351C1" w:rsidP="00F10EAA">
      <w:pPr>
        <w:pStyle w:val="ActHead9"/>
      </w:pPr>
      <w:bookmarkStart w:id="37" w:name="_Toc168296834"/>
      <w:r w:rsidRPr="009E1DBA">
        <w:t>Tax Agent Services Act 2009</w:t>
      </w:r>
      <w:bookmarkEnd w:id="37"/>
    </w:p>
    <w:p w14:paraId="03FBB850" w14:textId="77777777" w:rsidR="00F351C1" w:rsidRPr="009E1DBA" w:rsidRDefault="00F351C1" w:rsidP="00F10EAA">
      <w:pPr>
        <w:pStyle w:val="ItemHead"/>
      </w:pPr>
      <w:r w:rsidRPr="009E1DBA">
        <w:t>4  At the end of section 70</w:t>
      </w:r>
      <w:r w:rsidR="009E1DBA">
        <w:noBreakHyphen/>
      </w:r>
      <w:r w:rsidRPr="009E1DBA">
        <w:t>40</w:t>
      </w:r>
    </w:p>
    <w:p w14:paraId="6ADA85D7" w14:textId="77777777" w:rsidR="00F351C1" w:rsidRPr="009E1DBA" w:rsidRDefault="00F351C1" w:rsidP="00F10EAA">
      <w:pPr>
        <w:pStyle w:val="Item"/>
      </w:pPr>
      <w:r w:rsidRPr="009E1DBA">
        <w:t>Add:</w:t>
      </w:r>
    </w:p>
    <w:p w14:paraId="5C4D6C76" w14:textId="77777777" w:rsidR="00F351C1" w:rsidRPr="009E1DBA" w:rsidRDefault="00F351C1" w:rsidP="00F10EAA">
      <w:pPr>
        <w:pStyle w:val="SubsectionHead"/>
      </w:pPr>
      <w:r w:rsidRPr="009E1DBA">
        <w:t>Disclosures to the Secretary of the Department</w:t>
      </w:r>
    </w:p>
    <w:p w14:paraId="2146BF50" w14:textId="77777777" w:rsidR="00F351C1" w:rsidRPr="009E1DBA" w:rsidRDefault="00F351C1" w:rsidP="00F10EAA">
      <w:pPr>
        <w:pStyle w:val="subsection"/>
      </w:pPr>
      <w:r w:rsidRPr="009E1DBA">
        <w:tab/>
        <w:t>(5)</w:t>
      </w:r>
      <w:r w:rsidRPr="009E1DBA">
        <w:tab/>
        <w:t>Subsection 70</w:t>
      </w:r>
      <w:r w:rsidR="009E1DBA">
        <w:noBreakHyphen/>
      </w:r>
      <w:r w:rsidRPr="009E1DBA">
        <w:t>35(1) does not apply if:</w:t>
      </w:r>
    </w:p>
    <w:p w14:paraId="32262EBD" w14:textId="77777777" w:rsidR="00F351C1" w:rsidRPr="009E1DBA" w:rsidRDefault="00F351C1" w:rsidP="00F10EAA">
      <w:pPr>
        <w:pStyle w:val="paragraph"/>
      </w:pPr>
      <w:r w:rsidRPr="009E1DBA">
        <w:tab/>
        <w:t>(a)</w:t>
      </w:r>
      <w:r w:rsidRPr="009E1DBA">
        <w:tab/>
        <w:t xml:space="preserve">the person (the </w:t>
      </w:r>
      <w:r w:rsidRPr="009E1DBA">
        <w:rPr>
          <w:b/>
          <w:i/>
        </w:rPr>
        <w:t>first person</w:t>
      </w:r>
      <w:r w:rsidRPr="009E1DBA">
        <w:t>) makes the record for, or the disclosure to, the Secretary of the Department; and</w:t>
      </w:r>
    </w:p>
    <w:p w14:paraId="7DDBD7DB" w14:textId="77777777" w:rsidR="00F351C1" w:rsidRPr="009E1DBA" w:rsidRDefault="00F351C1" w:rsidP="00F10EAA">
      <w:pPr>
        <w:pStyle w:val="paragraph"/>
      </w:pPr>
      <w:r w:rsidRPr="009E1DBA">
        <w:tab/>
        <w:t>(b)</w:t>
      </w:r>
      <w:r w:rsidRPr="009E1DBA">
        <w:tab/>
        <w:t>the record or disclosure is of information that concerns:</w:t>
      </w:r>
    </w:p>
    <w:p w14:paraId="75F4EC88" w14:textId="77777777" w:rsidR="00F351C1" w:rsidRPr="009E1DBA" w:rsidRDefault="00F351C1" w:rsidP="00F10EAA">
      <w:pPr>
        <w:pStyle w:val="paragraphsub"/>
      </w:pPr>
      <w:r w:rsidRPr="009E1DBA">
        <w:lastRenderedPageBreak/>
        <w:tab/>
        <w:t>(i)</w:t>
      </w:r>
      <w:r w:rsidRPr="009E1DBA">
        <w:tab/>
        <w:t xml:space="preserve">a breach of an obligation of confidence by another person (the </w:t>
      </w:r>
      <w:r w:rsidRPr="009E1DBA">
        <w:rPr>
          <w:b/>
          <w:i/>
        </w:rPr>
        <w:t>second person</w:t>
      </w:r>
      <w:r w:rsidRPr="009E1DBA">
        <w:t xml:space="preserve">) against the Commonwealth or a Commonwealth entity (within the meaning of the </w:t>
      </w:r>
      <w:r w:rsidRPr="009E1DBA">
        <w:rPr>
          <w:i/>
        </w:rPr>
        <w:t>Public Governance, Performance and Accountability Act 2013</w:t>
      </w:r>
      <w:r w:rsidRPr="009E1DBA">
        <w:t>); or</w:t>
      </w:r>
    </w:p>
    <w:p w14:paraId="502326E6" w14:textId="77777777" w:rsidR="00F351C1" w:rsidRPr="009E1DBA" w:rsidRDefault="00F351C1" w:rsidP="00F10EAA">
      <w:pPr>
        <w:pStyle w:val="paragraphsub"/>
      </w:pPr>
      <w:r w:rsidRPr="009E1DBA">
        <w:tab/>
        <w:t>(ii)</w:t>
      </w:r>
      <w:r w:rsidRPr="009E1DBA">
        <w:tab/>
        <w:t>if the first person</w:t>
      </w:r>
      <w:r w:rsidRPr="009E1DBA">
        <w:rPr>
          <w:i/>
        </w:rPr>
        <w:t xml:space="preserve"> </w:t>
      </w:r>
      <w:r w:rsidRPr="009E1DBA">
        <w:t>reasonably</w:t>
      </w:r>
      <w:r w:rsidRPr="009E1DBA">
        <w:rPr>
          <w:i/>
        </w:rPr>
        <w:t xml:space="preserve"> </w:t>
      </w:r>
      <w:r w:rsidRPr="009E1DBA">
        <w:t>suspects that such a breach has occurred—the suspected breach; and</w:t>
      </w:r>
    </w:p>
    <w:p w14:paraId="6F982B61" w14:textId="77777777" w:rsidR="00F351C1" w:rsidRPr="009E1DBA" w:rsidRDefault="00F351C1" w:rsidP="00F10EAA">
      <w:pPr>
        <w:pStyle w:val="paragraph"/>
      </w:pPr>
      <w:r w:rsidRPr="009E1DBA">
        <w:tab/>
        <w:t>(c)</w:t>
      </w:r>
      <w:r w:rsidRPr="009E1DBA">
        <w:tab/>
        <w:t>the obligation arose in connection with the second person providing advice, or otherwise providing services, to a Commonwealth entity either:</w:t>
      </w:r>
    </w:p>
    <w:p w14:paraId="3BC522AC" w14:textId="77777777" w:rsidR="00F351C1" w:rsidRPr="009E1DBA" w:rsidRDefault="00F351C1" w:rsidP="00F10EAA">
      <w:pPr>
        <w:pStyle w:val="paragraphsub"/>
      </w:pPr>
      <w:r w:rsidRPr="009E1DBA">
        <w:tab/>
        <w:t>(i)</w:t>
      </w:r>
      <w:r w:rsidRPr="009E1DBA">
        <w:tab/>
        <w:t>as an entity engaged by the Commonwealth entity for that purpose; or</w:t>
      </w:r>
    </w:p>
    <w:p w14:paraId="14CFF2D5" w14:textId="77777777" w:rsidR="00F351C1" w:rsidRPr="009E1DBA" w:rsidRDefault="00F351C1" w:rsidP="00F10EAA">
      <w:pPr>
        <w:pStyle w:val="paragraphsub"/>
      </w:pPr>
      <w:r w:rsidRPr="009E1DBA">
        <w:tab/>
        <w:t>(ii)</w:t>
      </w:r>
      <w:r w:rsidRPr="009E1DBA">
        <w:tab/>
        <w:t>as an entity representing a taxpayer; and</w:t>
      </w:r>
    </w:p>
    <w:p w14:paraId="08A3A0C3" w14:textId="77777777" w:rsidR="00F351C1" w:rsidRPr="009E1DBA" w:rsidRDefault="00F351C1" w:rsidP="00F10EAA">
      <w:pPr>
        <w:pStyle w:val="paragraph"/>
      </w:pPr>
      <w:r w:rsidRPr="009E1DBA">
        <w:tab/>
        <w:t>(d)</w:t>
      </w:r>
      <w:r w:rsidRPr="009E1DBA">
        <w:tab/>
        <w:t>the record or disclosure is for the purpose of:</w:t>
      </w:r>
    </w:p>
    <w:p w14:paraId="085B01FB" w14:textId="77777777" w:rsidR="00F351C1" w:rsidRPr="009E1DBA" w:rsidRDefault="00F351C1" w:rsidP="00F10EAA">
      <w:pPr>
        <w:pStyle w:val="paragraphsub"/>
      </w:pPr>
      <w:r w:rsidRPr="009E1DBA">
        <w:tab/>
        <w:t>(i)</w:t>
      </w:r>
      <w:r w:rsidRPr="009E1DBA">
        <w:tab/>
        <w:t>enabling or assisting in the consideration, development or implementation of any measure or the taking of any action</w:t>
      </w:r>
      <w:r w:rsidRPr="009E1DBA">
        <w:rPr>
          <w:i/>
        </w:rPr>
        <w:t xml:space="preserve"> </w:t>
      </w:r>
      <w:r w:rsidRPr="009E1DBA">
        <w:t>directed at dealing with the breach or suspected breach; or</w:t>
      </w:r>
    </w:p>
    <w:p w14:paraId="2667A2F2" w14:textId="77777777" w:rsidR="00F351C1" w:rsidRPr="009E1DBA" w:rsidRDefault="00F351C1" w:rsidP="00F10EAA">
      <w:pPr>
        <w:pStyle w:val="paragraphsub"/>
      </w:pPr>
      <w:r w:rsidRPr="009E1DBA">
        <w:tab/>
        <w:t>(ii)</w:t>
      </w:r>
      <w:r w:rsidRPr="009E1DBA">
        <w:tab/>
        <w:t>enabling or assisting the Secretary</w:t>
      </w:r>
      <w:r w:rsidRPr="009E1DBA">
        <w:rPr>
          <w:i/>
        </w:rPr>
        <w:t xml:space="preserve"> </w:t>
      </w:r>
      <w:r w:rsidRPr="009E1DBA">
        <w:t>or an SES employee of the Department</w:t>
      </w:r>
      <w:r w:rsidRPr="009E1DBA">
        <w:rPr>
          <w:i/>
        </w:rPr>
        <w:t xml:space="preserve"> </w:t>
      </w:r>
      <w:r w:rsidRPr="009E1DBA">
        <w:t xml:space="preserve">to advise the Minister and the </w:t>
      </w:r>
      <w:r w:rsidR="00F10EAA" w:rsidRPr="009E1DBA">
        <w:rPr>
          <w:position w:val="6"/>
          <w:sz w:val="16"/>
        </w:rPr>
        <w:t>*</w:t>
      </w:r>
      <w:r w:rsidRPr="009E1DBA">
        <w:t>Finance Minister in relation to</w:t>
      </w:r>
      <w:r w:rsidRPr="009E1DBA">
        <w:rPr>
          <w:lang w:eastAsia="en-US"/>
        </w:rPr>
        <w:t xml:space="preserve"> the breach or suspected breach</w:t>
      </w:r>
      <w:r w:rsidRPr="009E1DBA">
        <w:t>; and</w:t>
      </w:r>
    </w:p>
    <w:p w14:paraId="70E2F08F" w14:textId="77777777" w:rsidR="00F351C1" w:rsidRPr="009E1DBA" w:rsidRDefault="00F351C1" w:rsidP="00F10EAA">
      <w:pPr>
        <w:pStyle w:val="paragraph"/>
      </w:pPr>
      <w:r w:rsidRPr="009E1DBA">
        <w:tab/>
        <w:t>(e)</w:t>
      </w:r>
      <w:r w:rsidRPr="009E1DBA">
        <w:tab/>
        <w:t>the record or disclosure is of information that does not include:</w:t>
      </w:r>
    </w:p>
    <w:p w14:paraId="4D338533" w14:textId="77777777" w:rsidR="00F351C1" w:rsidRPr="009E1DBA" w:rsidRDefault="00F351C1" w:rsidP="00F10EAA">
      <w:pPr>
        <w:pStyle w:val="paragraphsub"/>
      </w:pPr>
      <w:r w:rsidRPr="009E1DBA">
        <w:tab/>
        <w:t>(i)</w:t>
      </w:r>
      <w:r w:rsidRPr="009E1DBA">
        <w:tab/>
        <w:t xml:space="preserve">the </w:t>
      </w:r>
      <w:r w:rsidR="00F10EAA" w:rsidRPr="009E1DBA">
        <w:rPr>
          <w:position w:val="6"/>
          <w:sz w:val="16"/>
        </w:rPr>
        <w:t>*</w:t>
      </w:r>
      <w:r w:rsidRPr="009E1DBA">
        <w:t>ABN; or</w:t>
      </w:r>
    </w:p>
    <w:p w14:paraId="4C89DB0E" w14:textId="77777777" w:rsidR="00F351C1" w:rsidRPr="009E1DBA" w:rsidRDefault="00F351C1" w:rsidP="00F10EAA">
      <w:pPr>
        <w:pStyle w:val="paragraphsub"/>
      </w:pPr>
      <w:r w:rsidRPr="009E1DBA">
        <w:tab/>
        <w:t>(ii)</w:t>
      </w:r>
      <w:r w:rsidRPr="009E1DBA">
        <w:tab/>
        <w:t>the name; or</w:t>
      </w:r>
    </w:p>
    <w:p w14:paraId="5FA586A5" w14:textId="77777777" w:rsidR="00F351C1" w:rsidRPr="009E1DBA" w:rsidRDefault="00F351C1" w:rsidP="00F10EAA">
      <w:pPr>
        <w:pStyle w:val="paragraphsub"/>
      </w:pPr>
      <w:r w:rsidRPr="009E1DBA">
        <w:tab/>
        <w:t>(iii)</w:t>
      </w:r>
      <w:r w:rsidRPr="009E1DBA">
        <w:tab/>
        <w:t>contact details; or</w:t>
      </w:r>
    </w:p>
    <w:p w14:paraId="6C2B4A9F" w14:textId="77777777" w:rsidR="00F351C1" w:rsidRPr="009E1DBA" w:rsidRDefault="00F351C1" w:rsidP="00F10EAA">
      <w:pPr>
        <w:pStyle w:val="paragraphsub"/>
      </w:pPr>
      <w:r w:rsidRPr="009E1DBA">
        <w:tab/>
        <w:t>(iv)</w:t>
      </w:r>
      <w:r w:rsidRPr="009E1DBA">
        <w:tab/>
        <w:t xml:space="preserve">personal information (within the meaning of the </w:t>
      </w:r>
      <w:r w:rsidRPr="009E1DBA">
        <w:rPr>
          <w:i/>
        </w:rPr>
        <w:t>Privacy Act 1988</w:t>
      </w:r>
      <w:r w:rsidRPr="009E1DBA">
        <w:t>);</w:t>
      </w:r>
    </w:p>
    <w:p w14:paraId="53DA9811" w14:textId="77777777" w:rsidR="00F351C1" w:rsidRPr="009E1DBA" w:rsidRDefault="00F351C1" w:rsidP="00F10EAA">
      <w:pPr>
        <w:pStyle w:val="paragraph"/>
      </w:pPr>
      <w:r w:rsidRPr="009E1DBA">
        <w:tab/>
      </w:r>
      <w:r w:rsidRPr="009E1DBA">
        <w:tab/>
        <w:t xml:space="preserve">of any person other than the second person, unless the Board is satisfied that the inclusion of the information is necessary for a purpose mentioned in </w:t>
      </w:r>
      <w:r w:rsidR="00F569DA" w:rsidRPr="009E1DBA">
        <w:t>paragraph (</w:t>
      </w:r>
      <w:r w:rsidRPr="009E1DBA">
        <w:t>d).</w:t>
      </w:r>
    </w:p>
    <w:p w14:paraId="0408AA02" w14:textId="77777777" w:rsidR="00F351C1" w:rsidRPr="009E1DBA" w:rsidRDefault="00F351C1" w:rsidP="00F10EAA">
      <w:pPr>
        <w:pStyle w:val="notetext"/>
      </w:pPr>
      <w:r w:rsidRPr="009E1DBA">
        <w:t>Note:</w:t>
      </w:r>
      <w:r w:rsidRPr="009E1DBA">
        <w:tab/>
        <w:t xml:space="preserve">A defendant bears an evidential burden in relation to the matters in </w:t>
      </w:r>
      <w:r w:rsidR="00F569DA" w:rsidRPr="009E1DBA">
        <w:t>subsection (</w:t>
      </w:r>
      <w:r w:rsidRPr="009E1DBA">
        <w:t xml:space="preserve">5): see subsection 13.3(3) of the </w:t>
      </w:r>
      <w:r w:rsidRPr="009E1DBA">
        <w:rPr>
          <w:i/>
        </w:rPr>
        <w:t>Criminal Code</w:t>
      </w:r>
      <w:r w:rsidRPr="009E1DBA">
        <w:t>.</w:t>
      </w:r>
    </w:p>
    <w:p w14:paraId="5B6EBC6E" w14:textId="77777777" w:rsidR="00F351C1" w:rsidRPr="009E1DBA" w:rsidRDefault="00F351C1" w:rsidP="00F10EAA">
      <w:pPr>
        <w:pStyle w:val="SubsectionHead"/>
      </w:pPr>
      <w:r w:rsidRPr="009E1DBA">
        <w:t>Disclosures to a prescribed professional disciplinary body</w:t>
      </w:r>
    </w:p>
    <w:p w14:paraId="423FC085" w14:textId="77777777" w:rsidR="00F351C1" w:rsidRPr="009E1DBA" w:rsidRDefault="00F351C1" w:rsidP="00F10EAA">
      <w:pPr>
        <w:pStyle w:val="subsection"/>
      </w:pPr>
      <w:r w:rsidRPr="009E1DBA">
        <w:tab/>
        <w:t>(6)</w:t>
      </w:r>
      <w:r w:rsidRPr="009E1DBA">
        <w:tab/>
        <w:t>Subsection 70</w:t>
      </w:r>
      <w:r w:rsidR="009E1DBA">
        <w:noBreakHyphen/>
      </w:r>
      <w:r w:rsidRPr="009E1DBA">
        <w:t>35(1) does not apply if:</w:t>
      </w:r>
    </w:p>
    <w:p w14:paraId="22C9921F" w14:textId="77777777" w:rsidR="00F351C1" w:rsidRPr="009E1DBA" w:rsidRDefault="00F351C1" w:rsidP="00F10EAA">
      <w:pPr>
        <w:pStyle w:val="paragraph"/>
      </w:pPr>
      <w:r w:rsidRPr="009E1DBA">
        <w:lastRenderedPageBreak/>
        <w:tab/>
        <w:t>(a)</w:t>
      </w:r>
      <w:r w:rsidRPr="009E1DBA">
        <w:tab/>
        <w:t xml:space="preserve">the person (the </w:t>
      </w:r>
      <w:r w:rsidRPr="009E1DBA">
        <w:rPr>
          <w:b/>
          <w:i/>
        </w:rPr>
        <w:t>first person</w:t>
      </w:r>
      <w:r w:rsidRPr="009E1DBA">
        <w:t xml:space="preserve">) makes the record for, or the disclosure to, a professional disciplinary body that is prescribed by the regulations for the purposes of this </w:t>
      </w:r>
      <w:r w:rsidR="00F569DA" w:rsidRPr="009E1DBA">
        <w:t>subsection (</w:t>
      </w:r>
      <w:r w:rsidRPr="009E1DBA">
        <w:t xml:space="preserve">a </w:t>
      </w:r>
      <w:r w:rsidRPr="009E1DBA">
        <w:rPr>
          <w:b/>
          <w:i/>
        </w:rPr>
        <w:t>prescribed disciplinary body</w:t>
      </w:r>
      <w:r w:rsidRPr="009E1DBA">
        <w:t>); and</w:t>
      </w:r>
    </w:p>
    <w:p w14:paraId="29F78701" w14:textId="77777777" w:rsidR="00F351C1" w:rsidRPr="009E1DBA" w:rsidRDefault="00F351C1" w:rsidP="00F10EAA">
      <w:pPr>
        <w:pStyle w:val="paragraph"/>
      </w:pPr>
      <w:r w:rsidRPr="009E1DBA">
        <w:tab/>
        <w:t>(b)</w:t>
      </w:r>
      <w:r w:rsidRPr="009E1DBA">
        <w:tab/>
        <w:t xml:space="preserve">the record or disclosure is of information that concerns another person (the </w:t>
      </w:r>
      <w:r w:rsidRPr="009E1DBA">
        <w:rPr>
          <w:b/>
          <w:i/>
        </w:rPr>
        <w:t>second person</w:t>
      </w:r>
      <w:r w:rsidRPr="009E1DBA">
        <w:t>) and an act or omission (or a suspected act or omission) of the second person that the first person reasonably suspects may constitute a breach by the second person of the prescribed disciplinary body’s code of conduct or professional standards, however described; and</w:t>
      </w:r>
    </w:p>
    <w:p w14:paraId="1802FFBE" w14:textId="77777777" w:rsidR="00F351C1" w:rsidRPr="009E1DBA" w:rsidRDefault="00F351C1" w:rsidP="00F10EAA">
      <w:pPr>
        <w:pStyle w:val="paragraph"/>
      </w:pPr>
      <w:r w:rsidRPr="009E1DBA">
        <w:tab/>
        <w:t>(c)</w:t>
      </w:r>
      <w:r w:rsidRPr="009E1DBA">
        <w:tab/>
        <w:t xml:space="preserve">the record or disclosure is made for the purpose of </w:t>
      </w:r>
      <w:r w:rsidRPr="009E1DBA">
        <w:rPr>
          <w:lang w:eastAsia="en-US"/>
        </w:rPr>
        <w:t>enabling or assisting the prescribed disciplinary body to</w:t>
      </w:r>
      <w:r w:rsidRPr="009E1DBA">
        <w:t xml:space="preserve"> perform one or more of its functions in respect of the second person; and</w:t>
      </w:r>
    </w:p>
    <w:p w14:paraId="4619CF59" w14:textId="77777777" w:rsidR="00F351C1" w:rsidRPr="009E1DBA" w:rsidRDefault="00F351C1" w:rsidP="00F10EAA">
      <w:pPr>
        <w:pStyle w:val="paragraph"/>
      </w:pPr>
      <w:r w:rsidRPr="009E1DBA">
        <w:tab/>
        <w:t>(d)</w:t>
      </w:r>
      <w:r w:rsidRPr="009E1DBA">
        <w:tab/>
        <w:t>the record or disclosure is of information that does not include:</w:t>
      </w:r>
    </w:p>
    <w:p w14:paraId="6734736E" w14:textId="77777777" w:rsidR="00F351C1" w:rsidRPr="009E1DBA" w:rsidRDefault="00F351C1" w:rsidP="00F10EAA">
      <w:pPr>
        <w:pStyle w:val="paragraphsub"/>
      </w:pPr>
      <w:r w:rsidRPr="009E1DBA">
        <w:tab/>
        <w:t>(i)</w:t>
      </w:r>
      <w:r w:rsidRPr="009E1DBA">
        <w:tab/>
        <w:t xml:space="preserve">the </w:t>
      </w:r>
      <w:r w:rsidR="00F10EAA" w:rsidRPr="009E1DBA">
        <w:rPr>
          <w:position w:val="6"/>
          <w:sz w:val="16"/>
        </w:rPr>
        <w:t>*</w:t>
      </w:r>
      <w:r w:rsidRPr="009E1DBA">
        <w:t>ABN; or</w:t>
      </w:r>
    </w:p>
    <w:p w14:paraId="623D2497" w14:textId="77777777" w:rsidR="00F351C1" w:rsidRPr="009E1DBA" w:rsidRDefault="00F351C1" w:rsidP="00F10EAA">
      <w:pPr>
        <w:pStyle w:val="paragraphsub"/>
      </w:pPr>
      <w:r w:rsidRPr="009E1DBA">
        <w:tab/>
        <w:t>(ii)</w:t>
      </w:r>
      <w:r w:rsidRPr="009E1DBA">
        <w:tab/>
        <w:t>the name; or</w:t>
      </w:r>
    </w:p>
    <w:p w14:paraId="5EB1A8B1" w14:textId="77777777" w:rsidR="00F351C1" w:rsidRPr="009E1DBA" w:rsidRDefault="00F351C1" w:rsidP="00F10EAA">
      <w:pPr>
        <w:pStyle w:val="paragraphsub"/>
      </w:pPr>
      <w:r w:rsidRPr="009E1DBA">
        <w:tab/>
        <w:t>(iii)</w:t>
      </w:r>
      <w:r w:rsidRPr="009E1DBA">
        <w:tab/>
        <w:t>contact details; or</w:t>
      </w:r>
    </w:p>
    <w:p w14:paraId="60A18775" w14:textId="77777777" w:rsidR="00F351C1" w:rsidRPr="009E1DBA" w:rsidRDefault="00F351C1" w:rsidP="00F10EAA">
      <w:pPr>
        <w:pStyle w:val="paragraphsub"/>
      </w:pPr>
      <w:r w:rsidRPr="009E1DBA">
        <w:tab/>
        <w:t>(iv)</w:t>
      </w:r>
      <w:r w:rsidRPr="009E1DBA">
        <w:tab/>
        <w:t xml:space="preserve">personal information (within the meaning of the </w:t>
      </w:r>
      <w:r w:rsidRPr="009E1DBA">
        <w:rPr>
          <w:i/>
        </w:rPr>
        <w:t>Privacy Act 1988</w:t>
      </w:r>
      <w:r w:rsidRPr="009E1DBA">
        <w:t>);</w:t>
      </w:r>
    </w:p>
    <w:p w14:paraId="2FD688B1" w14:textId="77777777" w:rsidR="00F351C1" w:rsidRPr="009E1DBA" w:rsidRDefault="00F351C1" w:rsidP="00F10EAA">
      <w:pPr>
        <w:pStyle w:val="paragraph"/>
      </w:pPr>
      <w:r w:rsidRPr="009E1DBA">
        <w:tab/>
      </w:r>
      <w:r w:rsidRPr="009E1DBA">
        <w:tab/>
        <w:t xml:space="preserve">of any person other than the second person, unless the Board is satisfied that the inclusion of the information is necessary for the purpose mentioned in </w:t>
      </w:r>
      <w:r w:rsidR="00F569DA" w:rsidRPr="009E1DBA">
        <w:t>paragraph (</w:t>
      </w:r>
      <w:r w:rsidRPr="009E1DBA">
        <w:t>c).</w:t>
      </w:r>
    </w:p>
    <w:p w14:paraId="5446CB70" w14:textId="77777777" w:rsidR="00F351C1" w:rsidRPr="009E1DBA" w:rsidRDefault="00F351C1" w:rsidP="00F10EAA">
      <w:pPr>
        <w:pStyle w:val="notetext"/>
      </w:pPr>
      <w:r w:rsidRPr="009E1DBA">
        <w:t>Note:</w:t>
      </w:r>
      <w:r w:rsidRPr="009E1DBA">
        <w:tab/>
        <w:t xml:space="preserve">A defendant bears an evidential burden in relation to the matters in </w:t>
      </w:r>
      <w:r w:rsidR="00F569DA" w:rsidRPr="009E1DBA">
        <w:t>subsection (</w:t>
      </w:r>
      <w:r w:rsidRPr="009E1DBA">
        <w:t xml:space="preserve">6): see subsection 13.3(3) of the </w:t>
      </w:r>
      <w:r w:rsidRPr="009E1DBA">
        <w:rPr>
          <w:i/>
        </w:rPr>
        <w:t>Criminal Code</w:t>
      </w:r>
      <w:r w:rsidRPr="009E1DBA">
        <w:t>.</w:t>
      </w:r>
    </w:p>
    <w:p w14:paraId="3AF7590F" w14:textId="77777777" w:rsidR="00F351C1" w:rsidRPr="009E1DBA" w:rsidRDefault="00F351C1" w:rsidP="00F10EAA">
      <w:pPr>
        <w:pStyle w:val="ActHead7"/>
        <w:pageBreakBefore/>
      </w:pPr>
      <w:bookmarkStart w:id="38" w:name="_Toc168296835"/>
      <w:r w:rsidRPr="009E1DBA">
        <w:rPr>
          <w:rStyle w:val="CharAmPartNo"/>
        </w:rPr>
        <w:lastRenderedPageBreak/>
        <w:t>Part 2</w:t>
      </w:r>
      <w:r w:rsidRPr="009E1DBA">
        <w:t>—</w:t>
      </w:r>
      <w:r w:rsidRPr="009E1DBA">
        <w:rPr>
          <w:rStyle w:val="CharAmPartText"/>
        </w:rPr>
        <w:t>Application of amendments</w:t>
      </w:r>
      <w:bookmarkEnd w:id="38"/>
    </w:p>
    <w:p w14:paraId="3E207854" w14:textId="77777777" w:rsidR="00F351C1" w:rsidRPr="009E1DBA" w:rsidRDefault="00F351C1" w:rsidP="00F10EAA">
      <w:pPr>
        <w:pStyle w:val="Transitional"/>
      </w:pPr>
      <w:r w:rsidRPr="009E1DBA">
        <w:t>5  Application—record or disclosure of information</w:t>
      </w:r>
    </w:p>
    <w:p w14:paraId="7EB50D39" w14:textId="77777777" w:rsidR="00F351C1" w:rsidRPr="009E1DBA" w:rsidRDefault="00F351C1" w:rsidP="00F10EAA">
      <w:pPr>
        <w:pStyle w:val="Subitem"/>
      </w:pPr>
      <w:r w:rsidRPr="009E1DBA">
        <w:t>(1)</w:t>
      </w:r>
      <w:r w:rsidRPr="009E1DBA">
        <w:tab/>
        <w:t xml:space="preserve">The amendments of </w:t>
      </w:r>
      <w:r w:rsidR="00F569DA" w:rsidRPr="009E1DBA">
        <w:t>Schedule 1</w:t>
      </w:r>
      <w:r w:rsidRPr="009E1DBA">
        <w:t xml:space="preserve"> to the </w:t>
      </w:r>
      <w:r w:rsidRPr="009E1DBA">
        <w:rPr>
          <w:i/>
        </w:rPr>
        <w:t>Taxation Administration Act 1953</w:t>
      </w:r>
      <w:r w:rsidRPr="009E1DBA">
        <w:t xml:space="preserve"> made by this Schedule apply in relation to records and disclosures of information made on or after the commencement of this item, whether the information was obtained before, on or after that commencement.</w:t>
      </w:r>
    </w:p>
    <w:p w14:paraId="02C93454" w14:textId="77777777" w:rsidR="00F351C1" w:rsidRPr="009E1DBA" w:rsidRDefault="00F351C1" w:rsidP="00F10EAA">
      <w:pPr>
        <w:pStyle w:val="Subitem"/>
      </w:pPr>
      <w:r w:rsidRPr="009E1DBA">
        <w:t>(2)</w:t>
      </w:r>
      <w:r w:rsidRPr="009E1DBA">
        <w:tab/>
        <w:t xml:space="preserve">The amendments of the </w:t>
      </w:r>
      <w:r w:rsidRPr="009E1DBA">
        <w:rPr>
          <w:i/>
        </w:rPr>
        <w:t>Tax Agent Services Act 2009</w:t>
      </w:r>
      <w:r w:rsidRPr="009E1DBA">
        <w:t xml:space="preserve"> made by this Schedule apply in relation to records and disclosures of information made on or after the commencement of this item, whether the information was obtained before, on or after that commencement.</w:t>
      </w:r>
    </w:p>
    <w:p w14:paraId="7BE92E4A" w14:textId="77777777" w:rsidR="009E5874" w:rsidRPr="009E1DBA" w:rsidRDefault="00F569DA" w:rsidP="00F10EAA">
      <w:pPr>
        <w:pStyle w:val="ActHead6"/>
        <w:pageBreakBefore/>
      </w:pPr>
      <w:bookmarkStart w:id="39" w:name="_Toc168296836"/>
      <w:r w:rsidRPr="009E1DBA">
        <w:rPr>
          <w:rStyle w:val="CharAmSchNo"/>
        </w:rPr>
        <w:lastRenderedPageBreak/>
        <w:t>Schedule 5</w:t>
      </w:r>
      <w:r w:rsidR="009E5874" w:rsidRPr="009E1DBA">
        <w:t>—</w:t>
      </w:r>
      <w:r w:rsidR="009E5874" w:rsidRPr="009E1DBA">
        <w:rPr>
          <w:rStyle w:val="CharAmSchText"/>
        </w:rPr>
        <w:t>Petroleum resource rent tax deductions cap</w:t>
      </w:r>
      <w:bookmarkEnd w:id="39"/>
    </w:p>
    <w:p w14:paraId="3BA1BA6E" w14:textId="77777777" w:rsidR="009E5874" w:rsidRPr="009E1DBA" w:rsidRDefault="009E5874" w:rsidP="00F10EAA">
      <w:pPr>
        <w:pStyle w:val="Header"/>
      </w:pPr>
      <w:r w:rsidRPr="009E1DBA">
        <w:rPr>
          <w:rStyle w:val="CharAmPartNo"/>
        </w:rPr>
        <w:t xml:space="preserve"> </w:t>
      </w:r>
      <w:r w:rsidRPr="009E1DBA">
        <w:rPr>
          <w:rStyle w:val="CharAmPartText"/>
        </w:rPr>
        <w:t xml:space="preserve"> </w:t>
      </w:r>
    </w:p>
    <w:p w14:paraId="4679EDF2" w14:textId="77777777" w:rsidR="009E5874" w:rsidRPr="009E1DBA" w:rsidRDefault="009E5874" w:rsidP="00F10EAA">
      <w:pPr>
        <w:pStyle w:val="ActHead9"/>
      </w:pPr>
      <w:bookmarkStart w:id="40" w:name="_Toc168296837"/>
      <w:r w:rsidRPr="009E1DBA">
        <w:t>Petroleum Resource Rent Tax Assessment Act 1987</w:t>
      </w:r>
      <w:bookmarkEnd w:id="40"/>
    </w:p>
    <w:p w14:paraId="4EAA2A8A" w14:textId="77777777" w:rsidR="009E5874" w:rsidRPr="009E1DBA" w:rsidRDefault="009E5874" w:rsidP="00F10EAA">
      <w:pPr>
        <w:pStyle w:val="ItemHead"/>
      </w:pPr>
      <w:r w:rsidRPr="009E1DBA">
        <w:t xml:space="preserve">1  </w:t>
      </w:r>
      <w:r w:rsidR="00F569DA" w:rsidRPr="009E1DBA">
        <w:t>Section 2</w:t>
      </w:r>
      <w:r w:rsidRPr="009E1DBA">
        <w:t xml:space="preserve"> (definition of </w:t>
      </w:r>
      <w:r w:rsidRPr="009E1DBA">
        <w:rPr>
          <w:i/>
        </w:rPr>
        <w:t>apportionment percentage figure</w:t>
      </w:r>
      <w:r w:rsidRPr="009E1DBA">
        <w:t>)</w:t>
      </w:r>
    </w:p>
    <w:p w14:paraId="712ED0DD" w14:textId="77777777" w:rsidR="009E5874" w:rsidRPr="009E1DBA" w:rsidRDefault="009E5874" w:rsidP="00F10EAA">
      <w:pPr>
        <w:pStyle w:val="Item"/>
      </w:pPr>
      <w:r w:rsidRPr="009E1DBA">
        <w:t>Repeal the definition, substitute:</w:t>
      </w:r>
    </w:p>
    <w:p w14:paraId="2C0F9B3C" w14:textId="77777777" w:rsidR="009E5874" w:rsidRPr="009E1DBA" w:rsidRDefault="009E5874" w:rsidP="00F10EAA">
      <w:pPr>
        <w:pStyle w:val="Definition"/>
      </w:pPr>
      <w:r w:rsidRPr="009E1DBA">
        <w:rPr>
          <w:b/>
          <w:i/>
        </w:rPr>
        <w:t>apportionment percentage figure</w:t>
      </w:r>
      <w:r w:rsidRPr="009E1DBA">
        <w:t>:</w:t>
      </w:r>
    </w:p>
    <w:p w14:paraId="6DC30477" w14:textId="77777777" w:rsidR="009E5874" w:rsidRPr="009E1DBA" w:rsidRDefault="009E5874" w:rsidP="00F10EAA">
      <w:pPr>
        <w:pStyle w:val="paragraph"/>
      </w:pPr>
      <w:r w:rsidRPr="009E1DBA">
        <w:tab/>
        <w:t>(a)</w:t>
      </w:r>
      <w:r w:rsidRPr="009E1DBA">
        <w:tab/>
        <w:t xml:space="preserve">in relation to a year of tax—has the meaning given by </w:t>
      </w:r>
      <w:r w:rsidR="00F569DA" w:rsidRPr="009E1DBA">
        <w:t>subsection 2</w:t>
      </w:r>
      <w:r w:rsidRPr="009E1DBA">
        <w:t>C(2); and</w:t>
      </w:r>
    </w:p>
    <w:p w14:paraId="6D8F47DB" w14:textId="77777777" w:rsidR="009E5874" w:rsidRPr="009E1DBA" w:rsidRDefault="009E5874" w:rsidP="00F10EAA">
      <w:pPr>
        <w:pStyle w:val="paragraph"/>
      </w:pPr>
      <w:r w:rsidRPr="009E1DBA">
        <w:tab/>
        <w:t>(b)</w:t>
      </w:r>
      <w:r w:rsidRPr="009E1DBA">
        <w:tab/>
        <w:t xml:space="preserve">in relation to any other period—has the meaning given by </w:t>
      </w:r>
      <w:r w:rsidR="00F569DA" w:rsidRPr="009E1DBA">
        <w:t>subsection 2</w:t>
      </w:r>
      <w:r w:rsidRPr="009E1DBA">
        <w:t>C(3).</w:t>
      </w:r>
    </w:p>
    <w:p w14:paraId="2CC49BDD" w14:textId="77777777" w:rsidR="009E5874" w:rsidRPr="009E1DBA" w:rsidRDefault="009E5874" w:rsidP="00F10EAA">
      <w:pPr>
        <w:pStyle w:val="ItemHead"/>
      </w:pPr>
      <w:r w:rsidRPr="009E1DBA">
        <w:t xml:space="preserve">2  At the end of </w:t>
      </w:r>
      <w:r w:rsidR="00F569DA" w:rsidRPr="009E1DBA">
        <w:t>section 2</w:t>
      </w:r>
      <w:r w:rsidRPr="009E1DBA">
        <w:t>C</w:t>
      </w:r>
    </w:p>
    <w:p w14:paraId="0D9C3824" w14:textId="77777777" w:rsidR="009E5874" w:rsidRPr="009E1DBA" w:rsidRDefault="009E5874" w:rsidP="00F10EAA">
      <w:pPr>
        <w:pStyle w:val="Item"/>
      </w:pPr>
      <w:r w:rsidRPr="009E1DBA">
        <w:t>Add:</w:t>
      </w:r>
    </w:p>
    <w:p w14:paraId="3D22822A" w14:textId="77777777" w:rsidR="009E5874" w:rsidRPr="009E1DBA" w:rsidRDefault="009E5874" w:rsidP="00F10EAA">
      <w:pPr>
        <w:pStyle w:val="subsection"/>
      </w:pPr>
      <w:r w:rsidRPr="009E1DBA">
        <w:tab/>
        <w:t>(3)</w:t>
      </w:r>
      <w:r w:rsidRPr="009E1DBA">
        <w:tab/>
        <w:t xml:space="preserve">For the purposes of this Act, </w:t>
      </w:r>
      <w:r w:rsidRPr="009E1DBA">
        <w:rPr>
          <w:b/>
          <w:i/>
        </w:rPr>
        <w:t>apportionment percentage figure</w:t>
      </w:r>
      <w:r w:rsidRPr="009E1DBA">
        <w:t xml:space="preserve">, in relation to a period of days that is not a year of tax, means the amount worked out under </w:t>
      </w:r>
      <w:r w:rsidR="00F569DA" w:rsidRPr="009E1DBA">
        <w:t>subsection (</w:t>
      </w:r>
      <w:r w:rsidRPr="009E1DBA">
        <w:t>2) as if the period were a year of tax.</w:t>
      </w:r>
    </w:p>
    <w:p w14:paraId="6FE84ADD" w14:textId="77777777" w:rsidR="009E5874" w:rsidRPr="009E1DBA" w:rsidRDefault="009E5874" w:rsidP="00F10EAA">
      <w:pPr>
        <w:pStyle w:val="ItemHead"/>
      </w:pPr>
      <w:r w:rsidRPr="009E1DBA">
        <w:t xml:space="preserve">3  At the end of </w:t>
      </w:r>
      <w:r w:rsidR="00F569DA" w:rsidRPr="009E1DBA">
        <w:t>section 2</w:t>
      </w:r>
      <w:r w:rsidRPr="009E1DBA">
        <w:t>2</w:t>
      </w:r>
    </w:p>
    <w:p w14:paraId="3D8CF6AC" w14:textId="77777777" w:rsidR="009E5874" w:rsidRPr="009E1DBA" w:rsidRDefault="009E5874" w:rsidP="00F10EAA">
      <w:pPr>
        <w:pStyle w:val="Item"/>
      </w:pPr>
      <w:r w:rsidRPr="009E1DBA">
        <w:t>Add:</w:t>
      </w:r>
    </w:p>
    <w:p w14:paraId="63DFFE06" w14:textId="77777777" w:rsidR="009E5874" w:rsidRPr="009E1DBA" w:rsidRDefault="009E5874" w:rsidP="00F10EAA">
      <w:pPr>
        <w:pStyle w:val="SubsectionHead"/>
      </w:pPr>
      <w:r w:rsidRPr="009E1DBA">
        <w:t>Deemed taxable profit for certain liquefied natural gas projects</w:t>
      </w:r>
    </w:p>
    <w:p w14:paraId="23210858" w14:textId="77777777" w:rsidR="009E5874" w:rsidRPr="009E1DBA" w:rsidRDefault="009E5874" w:rsidP="00F10EAA">
      <w:pPr>
        <w:pStyle w:val="subsection"/>
      </w:pPr>
      <w:r w:rsidRPr="009E1DBA">
        <w:tab/>
        <w:t>(3)</w:t>
      </w:r>
      <w:r w:rsidRPr="009E1DBA">
        <w:tab/>
        <w:t>If:</w:t>
      </w:r>
    </w:p>
    <w:p w14:paraId="4549DB7B" w14:textId="77777777" w:rsidR="009E5874" w:rsidRPr="009E1DBA" w:rsidRDefault="009E5874" w:rsidP="00F10EAA">
      <w:pPr>
        <w:pStyle w:val="paragraph"/>
      </w:pPr>
      <w:r w:rsidRPr="009E1DBA">
        <w:tab/>
        <w:t>(a)</w:t>
      </w:r>
      <w:r w:rsidRPr="009E1DBA">
        <w:tab/>
        <w:t>a person derives assessable petroleum receipts or assessable tolling receipts in relation to a petroleum project in a year of tax; and</w:t>
      </w:r>
    </w:p>
    <w:p w14:paraId="3D75CA69" w14:textId="77777777" w:rsidR="009E5874" w:rsidRPr="009E1DBA" w:rsidRDefault="009E5874" w:rsidP="00F10EAA">
      <w:pPr>
        <w:pStyle w:val="paragraph"/>
      </w:pPr>
      <w:r w:rsidRPr="009E1DBA">
        <w:tab/>
        <w:t>(b)</w:t>
      </w:r>
      <w:r w:rsidRPr="009E1DBA">
        <w:tab/>
        <w:t>sales gas is, or will be, produced from some or all of the petroleum that is, or will be, recovered from the project; and</w:t>
      </w:r>
    </w:p>
    <w:p w14:paraId="6AE2F7FB" w14:textId="77777777" w:rsidR="009E5874" w:rsidRPr="009E1DBA" w:rsidRDefault="009E5874" w:rsidP="00F10EAA">
      <w:pPr>
        <w:pStyle w:val="paragraph"/>
      </w:pPr>
      <w:r w:rsidRPr="009E1DBA">
        <w:tab/>
        <w:t>(c)</w:t>
      </w:r>
      <w:r w:rsidRPr="009E1DBA">
        <w:tab/>
        <w:t>the person is a party to an arrangement (within the meaning of section 50); and</w:t>
      </w:r>
    </w:p>
    <w:p w14:paraId="20505039" w14:textId="77777777" w:rsidR="009E5874" w:rsidRPr="009E1DBA" w:rsidRDefault="009E5874" w:rsidP="00F10EAA">
      <w:pPr>
        <w:pStyle w:val="paragraph"/>
      </w:pPr>
      <w:r w:rsidRPr="009E1DBA">
        <w:tab/>
        <w:t>(d)</w:t>
      </w:r>
      <w:r w:rsidRPr="009E1DBA">
        <w:tab/>
        <w:t xml:space="preserve">it is intended, as a result of carrying out the arrangement, that sales gas (which may or may not be the sales gas mentioned </w:t>
      </w:r>
      <w:r w:rsidRPr="009E1DBA">
        <w:lastRenderedPageBreak/>
        <w:t xml:space="preserve">in </w:t>
      </w:r>
      <w:r w:rsidR="00F569DA" w:rsidRPr="009E1DBA">
        <w:t>paragraph (</w:t>
      </w:r>
      <w:r w:rsidRPr="009E1DBA">
        <w:t>b)) is to be wholly or primarily processed into liquefied natural gas; and</w:t>
      </w:r>
    </w:p>
    <w:p w14:paraId="44224DE2" w14:textId="77777777" w:rsidR="009E5874" w:rsidRPr="009E1DBA" w:rsidRDefault="009E5874" w:rsidP="00F10EAA">
      <w:pPr>
        <w:pStyle w:val="paragraph"/>
      </w:pPr>
      <w:r w:rsidRPr="009E1DBA">
        <w:tab/>
        <w:t>(e)</w:t>
      </w:r>
      <w:r w:rsidRPr="009E1DBA">
        <w:tab/>
        <w:t>the person enters, or will enter, into such arrangements on a regular or consistent basis; and</w:t>
      </w:r>
    </w:p>
    <w:p w14:paraId="7312B343" w14:textId="77777777" w:rsidR="009E5874" w:rsidRPr="009E1DBA" w:rsidRDefault="009E5874" w:rsidP="00F10EAA">
      <w:pPr>
        <w:pStyle w:val="paragraph"/>
      </w:pPr>
      <w:r w:rsidRPr="009E1DBA">
        <w:tab/>
        <w:t>(f)</w:t>
      </w:r>
      <w:r w:rsidRPr="009E1DBA">
        <w:tab/>
        <w:t xml:space="preserve">the person is not taken under </w:t>
      </w:r>
      <w:r w:rsidR="00F569DA" w:rsidRPr="009E1DBA">
        <w:t>subsection (</w:t>
      </w:r>
      <w:r w:rsidRPr="009E1DBA">
        <w:t>1) or (2) to have a taxable profit in relation to the project and the year of tax; and</w:t>
      </w:r>
    </w:p>
    <w:p w14:paraId="2F73FB37" w14:textId="77777777" w:rsidR="009E5874" w:rsidRPr="009E1DBA" w:rsidRDefault="009E5874" w:rsidP="00F10EAA">
      <w:pPr>
        <w:pStyle w:val="paragraph"/>
      </w:pPr>
      <w:r w:rsidRPr="009E1DBA">
        <w:tab/>
        <w:t>(g)</w:t>
      </w:r>
      <w:r w:rsidRPr="009E1DBA">
        <w:tab/>
        <w:t xml:space="preserve">the project is not excluded under </w:t>
      </w:r>
      <w:r w:rsidR="00F569DA" w:rsidRPr="009E1DBA">
        <w:t>subsection (</w:t>
      </w:r>
      <w:r w:rsidRPr="009E1DBA">
        <w:t>5) for the year of tax;</w:t>
      </w:r>
    </w:p>
    <w:p w14:paraId="0F7939C9" w14:textId="77777777" w:rsidR="009E5874" w:rsidRPr="009E1DBA" w:rsidRDefault="009E5874" w:rsidP="00F10EAA">
      <w:pPr>
        <w:pStyle w:val="subsection2"/>
      </w:pPr>
      <w:r w:rsidRPr="009E1DBA">
        <w:t xml:space="preserve">the person is taken for the purposes of this Act to have a taxable profit in relation to the project and the year of tax of an amount (the </w:t>
      </w:r>
      <w:r w:rsidRPr="009E1DBA">
        <w:rPr>
          <w:b/>
          <w:i/>
        </w:rPr>
        <w:t>denied deduction amount</w:t>
      </w:r>
      <w:r w:rsidRPr="009E1DBA">
        <w:t>) equal to 10% of the assessable receipts derived by the person in relation to the project in the year of tax.</w:t>
      </w:r>
    </w:p>
    <w:p w14:paraId="38AA8E77" w14:textId="77777777" w:rsidR="009E5874" w:rsidRPr="009E1DBA" w:rsidRDefault="009E5874" w:rsidP="00F10EAA">
      <w:pPr>
        <w:pStyle w:val="subsection"/>
      </w:pPr>
      <w:r w:rsidRPr="009E1DBA">
        <w:tab/>
        <w:t>(4)</w:t>
      </w:r>
      <w:r w:rsidRPr="009E1DBA">
        <w:tab/>
        <w:t xml:space="preserve">However, if the project is a Greater Sunrise project, the person is taken for the purposes of this Act to have a taxable profit in relation to the project and the year of tax of an amount (the </w:t>
      </w:r>
      <w:r w:rsidRPr="009E1DBA">
        <w:rPr>
          <w:b/>
          <w:i/>
        </w:rPr>
        <w:t>denied deduction amount</w:t>
      </w:r>
      <w:r w:rsidRPr="009E1DBA">
        <w:t>) worked out using the following formula:</w:t>
      </w:r>
    </w:p>
    <w:p w14:paraId="022838C9" w14:textId="4A4F7750" w:rsidR="009E5874" w:rsidRPr="009E1DBA" w:rsidRDefault="00713077" w:rsidP="00F10EAA">
      <w:pPr>
        <w:pStyle w:val="subsection2"/>
      </w:pPr>
      <w:r w:rsidRPr="009E1DBA">
        <w:object w:dxaOrig="4760" w:dyaOrig="880" w14:anchorId="21FFA2F7">
          <v:shape id="_x0000_i1027" type="#_x0000_t75" alt="Start formula start fraction initial taxable profit times apportionment percentage figure over 100 end fraction end formula" style="width:238.5pt;height:44.25pt" o:ole="">
            <v:imagedata r:id="rId21" o:title=""/>
          </v:shape>
          <o:OLEObject Type="Embed" ProgID="Equation.DSMT4" ShapeID="_x0000_i1027" DrawAspect="Content" ObjectID="_1778912505" r:id="rId22"/>
        </w:object>
      </w:r>
    </w:p>
    <w:p w14:paraId="5C172A6B" w14:textId="77777777" w:rsidR="009E5874" w:rsidRPr="009E1DBA" w:rsidRDefault="009E5874" w:rsidP="00F10EAA">
      <w:pPr>
        <w:pStyle w:val="subsection2"/>
      </w:pPr>
      <w:r w:rsidRPr="009E1DBA">
        <w:t>where:</w:t>
      </w:r>
    </w:p>
    <w:p w14:paraId="7FC33BF0" w14:textId="77777777" w:rsidR="009E5874" w:rsidRPr="009E1DBA" w:rsidRDefault="009E5874" w:rsidP="00F10EAA">
      <w:pPr>
        <w:pStyle w:val="Definition"/>
      </w:pPr>
      <w:r w:rsidRPr="009E1DBA">
        <w:rPr>
          <w:b/>
          <w:i/>
        </w:rPr>
        <w:t>apportionment percentage figure</w:t>
      </w:r>
      <w:r w:rsidRPr="009E1DBA">
        <w:t xml:space="preserve"> has the meaning given by </w:t>
      </w:r>
      <w:r w:rsidR="00F569DA" w:rsidRPr="009E1DBA">
        <w:t>subsection 2</w:t>
      </w:r>
      <w:r w:rsidRPr="009E1DBA">
        <w:t>C(2).</w:t>
      </w:r>
    </w:p>
    <w:p w14:paraId="7FDF5AB3" w14:textId="77777777" w:rsidR="009E5874" w:rsidRPr="009E1DBA" w:rsidRDefault="009E5874" w:rsidP="00F10EAA">
      <w:pPr>
        <w:pStyle w:val="Definition"/>
      </w:pPr>
      <w:r w:rsidRPr="009E1DBA">
        <w:rPr>
          <w:b/>
          <w:i/>
        </w:rPr>
        <w:t>initial taxable profit</w:t>
      </w:r>
      <w:r w:rsidRPr="009E1DBA">
        <w:t xml:space="preserve"> means the amount of taxable profit worked out under </w:t>
      </w:r>
      <w:r w:rsidR="00F569DA" w:rsidRPr="009E1DBA">
        <w:t>subsection (</w:t>
      </w:r>
      <w:r w:rsidRPr="009E1DBA">
        <w:t>3) ignoring this subsection.</w:t>
      </w:r>
    </w:p>
    <w:p w14:paraId="36A77040" w14:textId="77777777" w:rsidR="009E5874" w:rsidRPr="009E1DBA" w:rsidRDefault="009E5874" w:rsidP="00F10EAA">
      <w:pPr>
        <w:pStyle w:val="subsection"/>
      </w:pPr>
      <w:r w:rsidRPr="009E1DBA">
        <w:tab/>
        <w:t>(5)</w:t>
      </w:r>
      <w:r w:rsidRPr="009E1DBA">
        <w:tab/>
        <w:t xml:space="preserve">For the purposes of </w:t>
      </w:r>
      <w:r w:rsidR="00F569DA" w:rsidRPr="009E1DBA">
        <w:t>paragraph (</w:t>
      </w:r>
      <w:r w:rsidRPr="009E1DBA">
        <w:t>3)(g), a project is excluded for a year of tax if:</w:t>
      </w:r>
    </w:p>
    <w:p w14:paraId="508A1E64" w14:textId="77777777" w:rsidR="009E5874" w:rsidRPr="009E1DBA" w:rsidRDefault="009E5874" w:rsidP="00F10EAA">
      <w:pPr>
        <w:pStyle w:val="paragraph"/>
      </w:pPr>
      <w:r w:rsidRPr="009E1DBA">
        <w:tab/>
        <w:t>(a)</w:t>
      </w:r>
      <w:r w:rsidRPr="009E1DBA">
        <w:tab/>
        <w:t>the year of tax is the first financial year in which assessable petroleum receipts are derived by the person in relation to the project or one of the subsequent 7 financial years; or</w:t>
      </w:r>
    </w:p>
    <w:p w14:paraId="5DBCC5AE" w14:textId="77777777" w:rsidR="009E5874" w:rsidRPr="009E1DBA" w:rsidRDefault="009E5874" w:rsidP="00F10EAA">
      <w:pPr>
        <w:pStyle w:val="paragraph"/>
      </w:pPr>
      <w:r w:rsidRPr="009E1DBA">
        <w:tab/>
        <w:t>(b)</w:t>
      </w:r>
      <w:r w:rsidRPr="009E1DBA">
        <w:tab/>
        <w:t>the person incurs resource tax expenditure or starting base expenditure in the year of tax in relation to the project; or</w:t>
      </w:r>
    </w:p>
    <w:p w14:paraId="2DF89EDF" w14:textId="77777777" w:rsidR="009E5874" w:rsidRPr="009E1DBA" w:rsidRDefault="009E5874" w:rsidP="00F10EAA">
      <w:pPr>
        <w:pStyle w:val="paragraph"/>
      </w:pPr>
      <w:r w:rsidRPr="009E1DBA">
        <w:tab/>
        <w:t>(c)</w:t>
      </w:r>
      <w:r w:rsidRPr="009E1DBA">
        <w:tab/>
        <w:t xml:space="preserve">the person is not taken to incur any amounts under subsection 33(3), 34(3), 34A(4), 35(3), 35C(5), 35E(3), </w:t>
      </w:r>
      <w:r w:rsidRPr="009E1DBA">
        <w:lastRenderedPageBreak/>
        <w:t>35F(2) or 36(1) (including because of section 48 or 48A) in relation to the project:</w:t>
      </w:r>
    </w:p>
    <w:p w14:paraId="35F391C0" w14:textId="77777777" w:rsidR="009E5874" w:rsidRPr="009E1DBA" w:rsidRDefault="009E5874" w:rsidP="00F10EAA">
      <w:pPr>
        <w:pStyle w:val="paragraphsub"/>
      </w:pPr>
      <w:r w:rsidRPr="009E1DBA">
        <w:tab/>
        <w:t>(i)</w:t>
      </w:r>
      <w:r w:rsidRPr="009E1DBA">
        <w:tab/>
        <w:t>on the first day of the year of tax; or</w:t>
      </w:r>
    </w:p>
    <w:p w14:paraId="5C2B4A31" w14:textId="77777777" w:rsidR="009E5874" w:rsidRPr="009E1DBA" w:rsidRDefault="009E5874" w:rsidP="00F10EAA">
      <w:pPr>
        <w:pStyle w:val="paragraphsub"/>
      </w:pPr>
      <w:r w:rsidRPr="009E1DBA">
        <w:tab/>
        <w:t>(ii)</w:t>
      </w:r>
      <w:r w:rsidRPr="009E1DBA">
        <w:tab/>
        <w:t>on the first day of a previous year of tax (other than the first year of tax in which the person incurred deductible expenditure in relation to the project).</w:t>
      </w:r>
    </w:p>
    <w:p w14:paraId="03CA12AB" w14:textId="77777777" w:rsidR="009E5874" w:rsidRPr="009E1DBA" w:rsidRDefault="009E5874" w:rsidP="00F10EAA">
      <w:pPr>
        <w:pStyle w:val="ItemHead"/>
      </w:pPr>
      <w:r w:rsidRPr="009E1DBA">
        <w:t>4  After paragraph 32(fc)</w:t>
      </w:r>
    </w:p>
    <w:p w14:paraId="7A3AEDEE" w14:textId="77777777" w:rsidR="009E5874" w:rsidRPr="009E1DBA" w:rsidRDefault="009E5874" w:rsidP="00F10EAA">
      <w:pPr>
        <w:pStyle w:val="Item"/>
      </w:pPr>
      <w:r w:rsidRPr="009E1DBA">
        <w:t>Insert:</w:t>
      </w:r>
    </w:p>
    <w:p w14:paraId="41C6AC10" w14:textId="77777777" w:rsidR="009E5874" w:rsidRPr="009E1DBA" w:rsidRDefault="009E5874" w:rsidP="00F10EAA">
      <w:pPr>
        <w:pStyle w:val="paragraph"/>
      </w:pPr>
      <w:r w:rsidRPr="009E1DBA">
        <w:tab/>
        <w:t>(</w:t>
      </w:r>
      <w:proofErr w:type="spellStart"/>
      <w:r w:rsidRPr="009E1DBA">
        <w:t>fd</w:t>
      </w:r>
      <w:proofErr w:type="spellEnd"/>
      <w:r w:rsidRPr="009E1DBA">
        <w:t>)</w:t>
      </w:r>
      <w:r w:rsidRPr="009E1DBA">
        <w:tab/>
        <w:t>augmented denied deductible expenditure;</w:t>
      </w:r>
    </w:p>
    <w:p w14:paraId="7DC3AB2A" w14:textId="77777777" w:rsidR="009E5874" w:rsidRPr="009E1DBA" w:rsidRDefault="009E5874" w:rsidP="00F10EAA">
      <w:pPr>
        <w:pStyle w:val="ItemHead"/>
      </w:pPr>
      <w:r w:rsidRPr="009E1DBA">
        <w:t>5  After section 35E</w:t>
      </w:r>
    </w:p>
    <w:p w14:paraId="568A63CA" w14:textId="77777777" w:rsidR="009E5874" w:rsidRPr="009E1DBA" w:rsidRDefault="009E5874" w:rsidP="00F10EAA">
      <w:pPr>
        <w:pStyle w:val="Item"/>
      </w:pPr>
      <w:r w:rsidRPr="009E1DBA">
        <w:t>Insert:</w:t>
      </w:r>
    </w:p>
    <w:p w14:paraId="16232E34" w14:textId="77777777" w:rsidR="009E5874" w:rsidRPr="009E1DBA" w:rsidRDefault="009E5874" w:rsidP="00F10EAA">
      <w:pPr>
        <w:pStyle w:val="ActHead5"/>
      </w:pPr>
      <w:bookmarkStart w:id="41" w:name="_Toc168296838"/>
      <w:r w:rsidRPr="009E1DBA">
        <w:rPr>
          <w:rStyle w:val="CharSectno"/>
        </w:rPr>
        <w:t>35F</w:t>
      </w:r>
      <w:r w:rsidRPr="009E1DBA">
        <w:t xml:space="preserve">  Augmented denied deductible expenditure</w:t>
      </w:r>
      <w:bookmarkEnd w:id="41"/>
    </w:p>
    <w:p w14:paraId="5EB030FE" w14:textId="77777777" w:rsidR="009E5874" w:rsidRPr="009E1DBA" w:rsidRDefault="009E5874" w:rsidP="00F10EAA">
      <w:pPr>
        <w:pStyle w:val="subsection"/>
      </w:pPr>
      <w:r w:rsidRPr="009E1DBA">
        <w:tab/>
        <w:t>(1)</w:t>
      </w:r>
      <w:r w:rsidRPr="009E1DBA">
        <w:tab/>
        <w:t>For the purposes of this Act, a reference to the augmented denied deductible expenditure incurred by a person in a financial year in relation to a petroleum project is a reference to:</w:t>
      </w:r>
    </w:p>
    <w:p w14:paraId="285471A4" w14:textId="77777777" w:rsidR="009E5874" w:rsidRPr="009E1DBA" w:rsidRDefault="009E5874" w:rsidP="00F10EAA">
      <w:pPr>
        <w:pStyle w:val="paragraph"/>
      </w:pPr>
      <w:r w:rsidRPr="009E1DBA">
        <w:tab/>
        <w:t>(a)</w:t>
      </w:r>
      <w:r w:rsidRPr="009E1DBA">
        <w:tab/>
        <w:t xml:space="preserve">if the petroleum project is not a combined project—any amount that is taken by </w:t>
      </w:r>
      <w:r w:rsidR="00F569DA" w:rsidRPr="009E1DBA">
        <w:t>subsection (</w:t>
      </w:r>
      <w:r w:rsidRPr="009E1DBA">
        <w:t>2) or Division 5 to be augmented denied deductible expenditure incurred by the person in relation to the project in the financial year; or</w:t>
      </w:r>
    </w:p>
    <w:p w14:paraId="4A987399" w14:textId="77777777" w:rsidR="009E5874" w:rsidRPr="009E1DBA" w:rsidRDefault="009E5874" w:rsidP="00F10EAA">
      <w:pPr>
        <w:pStyle w:val="paragraph"/>
      </w:pPr>
      <w:r w:rsidRPr="009E1DBA">
        <w:tab/>
        <w:t>(b)</w:t>
      </w:r>
      <w:r w:rsidRPr="009E1DBA">
        <w:tab/>
        <w:t>if the petroleum project is a combined project:</w:t>
      </w:r>
    </w:p>
    <w:p w14:paraId="55979850" w14:textId="77777777" w:rsidR="009E5874" w:rsidRPr="009E1DBA" w:rsidRDefault="009E5874" w:rsidP="00F10EAA">
      <w:pPr>
        <w:pStyle w:val="paragraphsub"/>
      </w:pPr>
      <w:r w:rsidRPr="009E1DBA">
        <w:tab/>
        <w:t>(i)</w:t>
      </w:r>
      <w:r w:rsidRPr="009E1DBA">
        <w:tab/>
        <w:t xml:space="preserve">any amount that is taken by </w:t>
      </w:r>
      <w:r w:rsidR="00F569DA" w:rsidRPr="009E1DBA">
        <w:t>subsection (</w:t>
      </w:r>
      <w:r w:rsidRPr="009E1DBA">
        <w:t>2) or Division 5 to be augmented denied deductible expenditure incurred by the person in relation to the project in the financial year; or</w:t>
      </w:r>
    </w:p>
    <w:p w14:paraId="33BB05D6" w14:textId="77777777" w:rsidR="009E5874" w:rsidRPr="009E1DBA" w:rsidRDefault="009E5874" w:rsidP="00F10EAA">
      <w:pPr>
        <w:pStyle w:val="paragraphsub"/>
      </w:pPr>
      <w:r w:rsidRPr="009E1DBA">
        <w:tab/>
        <w:t>(ii)</w:t>
      </w:r>
      <w:r w:rsidRPr="009E1DBA">
        <w:tab/>
        <w:t>if the financial year</w:t>
      </w:r>
      <w:r w:rsidRPr="009E1DBA">
        <w:rPr>
          <w:i/>
        </w:rPr>
        <w:t xml:space="preserve"> </w:t>
      </w:r>
      <w:r w:rsidRPr="009E1DBA">
        <w:t xml:space="preserve">is the year in which the project combination certificate in relation to the project came into force—each amount that is taken by </w:t>
      </w:r>
      <w:r w:rsidR="00F569DA" w:rsidRPr="009E1DBA">
        <w:t>subsection (</w:t>
      </w:r>
      <w:r w:rsidRPr="009E1DBA">
        <w:t>2) or Division 5 to be augmented denied deductible expenditure incurred by the person in relation to the pre</w:t>
      </w:r>
      <w:r w:rsidR="009E1DBA">
        <w:noBreakHyphen/>
      </w:r>
      <w:r w:rsidRPr="009E1DBA">
        <w:t>combination projects in the financial year.</w:t>
      </w:r>
    </w:p>
    <w:p w14:paraId="28DBB53D" w14:textId="77777777" w:rsidR="009E5874" w:rsidRPr="009E1DBA" w:rsidRDefault="009E5874" w:rsidP="00F10EAA">
      <w:pPr>
        <w:pStyle w:val="SubsectionHead"/>
      </w:pPr>
      <w:r w:rsidRPr="009E1DBA">
        <w:t>Amounts uplifted from previous financial year</w:t>
      </w:r>
    </w:p>
    <w:p w14:paraId="0FC4BE7A" w14:textId="77777777" w:rsidR="009E5874" w:rsidRPr="009E1DBA" w:rsidRDefault="009E5874" w:rsidP="00F10EAA">
      <w:pPr>
        <w:pStyle w:val="subsection"/>
      </w:pPr>
      <w:r w:rsidRPr="009E1DBA">
        <w:tab/>
        <w:t>(2)</w:t>
      </w:r>
      <w:r w:rsidRPr="009E1DBA">
        <w:tab/>
        <w:t>If:</w:t>
      </w:r>
    </w:p>
    <w:p w14:paraId="09CC1595" w14:textId="77777777" w:rsidR="009E5874" w:rsidRPr="009E1DBA" w:rsidRDefault="009E5874" w:rsidP="00F10EAA">
      <w:pPr>
        <w:pStyle w:val="paragraph"/>
      </w:pPr>
      <w:r w:rsidRPr="009E1DBA">
        <w:lastRenderedPageBreak/>
        <w:tab/>
        <w:t>(a)</w:t>
      </w:r>
      <w:r w:rsidRPr="009E1DBA">
        <w:tab/>
        <w:t xml:space="preserve">a person has a denied deduction amount worked out under </w:t>
      </w:r>
      <w:r w:rsidR="00F569DA" w:rsidRPr="009E1DBA">
        <w:t>subsection 2</w:t>
      </w:r>
      <w:r w:rsidRPr="009E1DBA">
        <w:t xml:space="preserve">2(3) or (4) in relation to a project and a financial year (the </w:t>
      </w:r>
      <w:r w:rsidRPr="009E1DBA">
        <w:rPr>
          <w:b/>
          <w:i/>
        </w:rPr>
        <w:t>assessable year</w:t>
      </w:r>
      <w:r w:rsidRPr="009E1DBA">
        <w:rPr>
          <w:i/>
        </w:rPr>
        <w:t>)</w:t>
      </w:r>
      <w:r w:rsidRPr="009E1DBA">
        <w:t>; and</w:t>
      </w:r>
    </w:p>
    <w:p w14:paraId="75649EA3" w14:textId="77777777" w:rsidR="009E5874" w:rsidRPr="009E1DBA" w:rsidRDefault="009E5874" w:rsidP="00F10EAA">
      <w:pPr>
        <w:pStyle w:val="paragraph"/>
      </w:pPr>
      <w:r w:rsidRPr="009E1DBA">
        <w:tab/>
        <w:t>(b)</w:t>
      </w:r>
      <w:r w:rsidRPr="009E1DBA">
        <w:tab/>
        <w:t>the sum of:</w:t>
      </w:r>
    </w:p>
    <w:p w14:paraId="3026C52F" w14:textId="77777777" w:rsidR="009E5874" w:rsidRPr="009E1DBA" w:rsidRDefault="009E5874" w:rsidP="00F10EAA">
      <w:pPr>
        <w:pStyle w:val="paragraphsub"/>
      </w:pPr>
      <w:r w:rsidRPr="009E1DBA">
        <w:tab/>
        <w:t>(i)</w:t>
      </w:r>
      <w:r w:rsidRPr="009E1DBA">
        <w:tab/>
        <w:t>the deductible expenditure incurred by the person in relation to the project in the assessable year; and</w:t>
      </w:r>
    </w:p>
    <w:p w14:paraId="5A675A30" w14:textId="77777777" w:rsidR="009E5874" w:rsidRPr="009E1DBA" w:rsidRDefault="009E5874" w:rsidP="00F10EAA">
      <w:pPr>
        <w:pStyle w:val="paragraphsub"/>
      </w:pPr>
      <w:r w:rsidRPr="009E1DBA">
        <w:tab/>
        <w:t>(ii)</w:t>
      </w:r>
      <w:r w:rsidRPr="009E1DBA">
        <w:tab/>
        <w:t>the total of the amounts (if any) transferred by the person to the project in relation to the assessable year under section 45A; and</w:t>
      </w:r>
    </w:p>
    <w:p w14:paraId="49FBD388" w14:textId="77777777" w:rsidR="009E5874" w:rsidRPr="009E1DBA" w:rsidRDefault="009E5874" w:rsidP="00F10EAA">
      <w:pPr>
        <w:pStyle w:val="paragraphsub"/>
      </w:pPr>
      <w:r w:rsidRPr="009E1DBA">
        <w:tab/>
        <w:t>(iii)</w:t>
      </w:r>
      <w:r w:rsidRPr="009E1DBA">
        <w:tab/>
        <w:t>the total of the amounts (if any) transferred by another person to the person in relation to the project and the assessable year under section 45B;</w:t>
      </w:r>
    </w:p>
    <w:p w14:paraId="5CEED80E" w14:textId="77777777" w:rsidR="009E5874" w:rsidRPr="009E1DBA" w:rsidRDefault="009E5874" w:rsidP="00F10EAA">
      <w:pPr>
        <w:pStyle w:val="paragraph"/>
      </w:pPr>
      <w:r w:rsidRPr="009E1DBA">
        <w:tab/>
      </w:r>
      <w:r w:rsidRPr="009E1DBA">
        <w:tab/>
        <w:t>equals or exceeds the assessable receipts derived by the person in the assessable year in relation to the project;</w:t>
      </w:r>
    </w:p>
    <w:p w14:paraId="51E36E25" w14:textId="77777777" w:rsidR="009E5874" w:rsidRPr="009E1DBA" w:rsidRDefault="009E5874" w:rsidP="00F10EAA">
      <w:pPr>
        <w:pStyle w:val="subsection2"/>
      </w:pPr>
      <w:r w:rsidRPr="009E1DBA">
        <w:t>the person is taken to incur, in relation to the project and on the first day of the next financial year, an amount of augmented denied deductible expenditure worked out in accordance with the formula:</w:t>
      </w:r>
    </w:p>
    <w:p w14:paraId="1D057236" w14:textId="1166557F" w:rsidR="009E5874" w:rsidRPr="009E1DBA" w:rsidRDefault="00713077" w:rsidP="00F10EAA">
      <w:pPr>
        <w:pStyle w:val="subsection2"/>
      </w:pPr>
      <w:r w:rsidRPr="009E1DBA">
        <w:rPr>
          <w:position w:val="-10"/>
        </w:rPr>
        <w:object w:dxaOrig="2260" w:dyaOrig="420" w14:anchorId="671B9FF7">
          <v:shape id="_x0000_i1028" type="#_x0000_t75" alt="Start formula available excess times LTBR end formula" style="width:113.25pt;height:20.25pt" o:ole="">
            <v:imagedata r:id="rId23" o:title=""/>
          </v:shape>
          <o:OLEObject Type="Embed" ProgID="Equation.DSMT4" ShapeID="_x0000_i1028" DrawAspect="Content" ObjectID="_1778912506" r:id="rId24"/>
        </w:object>
      </w:r>
    </w:p>
    <w:p w14:paraId="74FB4340" w14:textId="77777777" w:rsidR="009E5874" w:rsidRPr="009E1DBA" w:rsidRDefault="009E5874" w:rsidP="00F10EAA">
      <w:pPr>
        <w:pStyle w:val="subsection2"/>
      </w:pPr>
      <w:r w:rsidRPr="009E1DBA">
        <w:t>where:</w:t>
      </w:r>
    </w:p>
    <w:p w14:paraId="664FF2F2" w14:textId="77777777" w:rsidR="009E5874" w:rsidRPr="009E1DBA" w:rsidRDefault="009E5874" w:rsidP="00F10EAA">
      <w:pPr>
        <w:pStyle w:val="Definition"/>
      </w:pPr>
      <w:r w:rsidRPr="009E1DBA">
        <w:rPr>
          <w:b/>
          <w:i/>
        </w:rPr>
        <w:t>available excess</w:t>
      </w:r>
      <w:r w:rsidRPr="009E1DBA">
        <w:t xml:space="preserve"> means the sum of:</w:t>
      </w:r>
    </w:p>
    <w:p w14:paraId="24282221" w14:textId="77777777" w:rsidR="009E5874" w:rsidRPr="009E1DBA" w:rsidRDefault="009E5874" w:rsidP="00F10EAA">
      <w:pPr>
        <w:pStyle w:val="paragraph"/>
      </w:pPr>
      <w:r w:rsidRPr="009E1DBA">
        <w:tab/>
        <w:t>(a)</w:t>
      </w:r>
      <w:r w:rsidRPr="009E1DBA">
        <w:tab/>
        <w:t>so much of the excess as does not exceed the amount (if any) of augmented denied deductible expenditure incurred by the person in relation to the project in the assessable year; and</w:t>
      </w:r>
    </w:p>
    <w:p w14:paraId="32B21B43" w14:textId="77777777" w:rsidR="009E5874" w:rsidRPr="009E1DBA" w:rsidRDefault="009E5874" w:rsidP="00F10EAA">
      <w:pPr>
        <w:pStyle w:val="paragraph"/>
      </w:pPr>
      <w:r w:rsidRPr="009E1DBA">
        <w:tab/>
        <w:t>(b)</w:t>
      </w:r>
      <w:r w:rsidRPr="009E1DBA">
        <w:tab/>
        <w:t>the denied deduction amount.</w:t>
      </w:r>
    </w:p>
    <w:p w14:paraId="75CCB9EB" w14:textId="77777777" w:rsidR="009E5874" w:rsidRPr="009E1DBA" w:rsidRDefault="009E5874" w:rsidP="00F10EAA">
      <w:pPr>
        <w:pStyle w:val="Definition"/>
      </w:pPr>
      <w:r w:rsidRPr="009E1DBA">
        <w:rPr>
          <w:b/>
          <w:i/>
        </w:rPr>
        <w:t>LTBR</w:t>
      </w:r>
      <w:r w:rsidRPr="009E1DBA">
        <w:t xml:space="preserve"> means the long</w:t>
      </w:r>
      <w:r w:rsidR="009E1DBA">
        <w:noBreakHyphen/>
      </w:r>
      <w:r w:rsidRPr="009E1DBA">
        <w:t>term bond rate in relation to the assessable year plus 1.</w:t>
      </w:r>
    </w:p>
    <w:p w14:paraId="4A0571BE" w14:textId="77777777" w:rsidR="009E5874" w:rsidRPr="009E1DBA" w:rsidRDefault="009E5874" w:rsidP="00F10EAA">
      <w:pPr>
        <w:pStyle w:val="ItemHead"/>
      </w:pPr>
      <w:r w:rsidRPr="009E1DBA">
        <w:t>6  Paragraph 97(1A)(b)</w:t>
      </w:r>
    </w:p>
    <w:p w14:paraId="4DE96C26" w14:textId="77777777" w:rsidR="009E5874" w:rsidRPr="009E1DBA" w:rsidRDefault="009E5874" w:rsidP="00F10EAA">
      <w:pPr>
        <w:pStyle w:val="Item"/>
      </w:pPr>
      <w:r w:rsidRPr="009E1DBA">
        <w:t>After “35E(3)”, insert “, 35F(2)”.</w:t>
      </w:r>
    </w:p>
    <w:p w14:paraId="0EE6DDC0" w14:textId="77777777" w:rsidR="009E5874" w:rsidRPr="009E1DBA" w:rsidRDefault="009E5874" w:rsidP="00F10EAA">
      <w:pPr>
        <w:pStyle w:val="ItemHead"/>
      </w:pPr>
      <w:r w:rsidRPr="009E1DBA">
        <w:t>7  After subsection 97(1B)</w:t>
      </w:r>
    </w:p>
    <w:p w14:paraId="49D5D076" w14:textId="77777777" w:rsidR="009E5874" w:rsidRPr="009E1DBA" w:rsidRDefault="009E5874" w:rsidP="00F10EAA">
      <w:pPr>
        <w:pStyle w:val="Item"/>
      </w:pPr>
      <w:r w:rsidRPr="009E1DBA">
        <w:t>Insert:</w:t>
      </w:r>
    </w:p>
    <w:p w14:paraId="2AAB242C" w14:textId="77777777" w:rsidR="009E5874" w:rsidRPr="009E1DBA" w:rsidRDefault="009E5874" w:rsidP="00F10EAA">
      <w:pPr>
        <w:pStyle w:val="subsection"/>
      </w:pPr>
      <w:r w:rsidRPr="009E1DBA">
        <w:tab/>
        <w:t>(1BA)</w:t>
      </w:r>
      <w:r w:rsidRPr="009E1DBA">
        <w:tab/>
        <w:t xml:space="preserve">However, if a person was taken under </w:t>
      </w:r>
      <w:r w:rsidR="00F569DA" w:rsidRPr="009E1DBA">
        <w:t>subsection 2</w:t>
      </w:r>
      <w:r w:rsidRPr="009E1DBA">
        <w:t>2(3) or (4) to have a taxable profit in relation to the project and the financial year immediately preceding the year of tax, then:</w:t>
      </w:r>
    </w:p>
    <w:p w14:paraId="029775A5" w14:textId="77777777" w:rsidR="009E5874" w:rsidRPr="009E1DBA" w:rsidRDefault="009E5874" w:rsidP="00F10EAA">
      <w:pPr>
        <w:pStyle w:val="paragraph"/>
      </w:pPr>
      <w:r w:rsidRPr="009E1DBA">
        <w:lastRenderedPageBreak/>
        <w:tab/>
        <w:t>(a)</w:t>
      </w:r>
      <w:r w:rsidRPr="009E1DBA">
        <w:tab/>
      </w:r>
      <w:r w:rsidR="00F569DA" w:rsidRPr="009E1DBA">
        <w:t>subsection (</w:t>
      </w:r>
      <w:r w:rsidRPr="009E1DBA">
        <w:t>1) of this section does not apply to the person in relation to the project and the year of tax; and</w:t>
      </w:r>
    </w:p>
    <w:p w14:paraId="0788DD43" w14:textId="77777777" w:rsidR="009E5874" w:rsidRPr="009E1DBA" w:rsidRDefault="009E5874" w:rsidP="00F10EAA">
      <w:pPr>
        <w:pStyle w:val="paragraph"/>
      </w:pPr>
      <w:r w:rsidRPr="009E1DBA">
        <w:tab/>
        <w:t>(b)</w:t>
      </w:r>
      <w:r w:rsidRPr="009E1DBA">
        <w:tab/>
        <w:t xml:space="preserve">subject to </w:t>
      </w:r>
      <w:r w:rsidR="00F569DA" w:rsidRPr="009E1DBA">
        <w:t>subsection (</w:t>
      </w:r>
      <w:r w:rsidRPr="009E1DBA">
        <w:t>2) of this section, the notional tax amount of the person, in relation to the project and an instalment period in the year of tax, is the tax that would, if the instalment period were a year of tax, be payable on the amount worked out in accordance with the formula:</w:t>
      </w:r>
    </w:p>
    <w:p w14:paraId="289D0E2A" w14:textId="31963DB7" w:rsidR="009E5874" w:rsidRPr="009E1DBA" w:rsidRDefault="00A95B44" w:rsidP="00A95B44">
      <w:pPr>
        <w:pStyle w:val="paragraph"/>
      </w:pPr>
      <w:r w:rsidRPr="009E1DBA">
        <w:tab/>
      </w:r>
      <w:r w:rsidRPr="009E1DBA">
        <w:tab/>
      </w:r>
      <w:r w:rsidR="00713077" w:rsidRPr="009E1DBA">
        <w:object w:dxaOrig="4920" w:dyaOrig="580" w14:anchorId="29D4B673">
          <v:shape id="_x0000_i1029" type="#_x0000_t75" alt="Start formula open bracket current period receipts minus previous period receipts close bracket times zero point one end formula" style="width:246pt;height:28.5pt" o:ole="">
            <v:imagedata r:id="rId25" o:title=""/>
          </v:shape>
          <o:OLEObject Type="Embed" ProgID="Equation.DSMT4" ShapeID="_x0000_i1029" DrawAspect="Content" ObjectID="_1778912507" r:id="rId26"/>
        </w:object>
      </w:r>
    </w:p>
    <w:p w14:paraId="2C351BEB" w14:textId="77777777" w:rsidR="009E5874" w:rsidRPr="009E1DBA" w:rsidRDefault="00A95B44" w:rsidP="00A95B44">
      <w:pPr>
        <w:pStyle w:val="paragraph"/>
      </w:pPr>
      <w:r w:rsidRPr="009E1DBA">
        <w:tab/>
      </w:r>
      <w:r w:rsidRPr="009E1DBA">
        <w:tab/>
      </w:r>
      <w:r w:rsidR="009E5874" w:rsidRPr="009E1DBA">
        <w:t>where:</w:t>
      </w:r>
    </w:p>
    <w:p w14:paraId="0C7CD995" w14:textId="77777777" w:rsidR="009E5874" w:rsidRPr="009E1DBA" w:rsidRDefault="00A95B44" w:rsidP="00A95B44">
      <w:pPr>
        <w:pStyle w:val="paragraph"/>
      </w:pPr>
      <w:r w:rsidRPr="009E1DBA">
        <w:tab/>
      </w:r>
      <w:r w:rsidRPr="009E1DBA">
        <w:tab/>
      </w:r>
      <w:r w:rsidR="009E5874" w:rsidRPr="009E1DBA">
        <w:rPr>
          <w:b/>
          <w:i/>
        </w:rPr>
        <w:t>current period receipts</w:t>
      </w:r>
      <w:r w:rsidR="009E5874" w:rsidRPr="009E1DBA">
        <w:t xml:space="preserve"> means:</w:t>
      </w:r>
    </w:p>
    <w:p w14:paraId="2CB3E4BC" w14:textId="77777777" w:rsidR="009E5874" w:rsidRPr="009E1DBA" w:rsidRDefault="009E5874" w:rsidP="00A95B44">
      <w:pPr>
        <w:pStyle w:val="paragraphsub"/>
      </w:pPr>
      <w:r w:rsidRPr="009E1DBA">
        <w:tab/>
        <w:t>(a)</w:t>
      </w:r>
      <w:r w:rsidRPr="009E1DBA">
        <w:tab/>
        <w:t>if the project is not a Greater Sunrise project—the assessable receipts derived by the person in relation to the project in the instalment period; or</w:t>
      </w:r>
    </w:p>
    <w:p w14:paraId="0C5AD9F4" w14:textId="77777777" w:rsidR="009E5874" w:rsidRPr="009E1DBA" w:rsidRDefault="009E5874" w:rsidP="00A95B44">
      <w:pPr>
        <w:pStyle w:val="paragraphsub"/>
      </w:pPr>
      <w:r w:rsidRPr="009E1DBA">
        <w:tab/>
        <w:t>(b)</w:t>
      </w:r>
      <w:r w:rsidRPr="009E1DBA">
        <w:tab/>
        <w:t>if the project is a Greater Sunrise project—the assessable receipts derived by the person in relation to the project in the instalment period multiplied by the apportionment percentage figure for the instalment period.</w:t>
      </w:r>
    </w:p>
    <w:p w14:paraId="146812B7" w14:textId="77777777" w:rsidR="009E5874" w:rsidRPr="009E1DBA" w:rsidRDefault="00A95B44" w:rsidP="00A95B44">
      <w:pPr>
        <w:pStyle w:val="paragraph"/>
      </w:pPr>
      <w:r w:rsidRPr="009E1DBA">
        <w:tab/>
      </w:r>
      <w:r w:rsidRPr="009E1DBA">
        <w:tab/>
      </w:r>
      <w:r w:rsidR="009E5874" w:rsidRPr="009E1DBA">
        <w:rPr>
          <w:b/>
          <w:i/>
        </w:rPr>
        <w:t>previous period receipts</w:t>
      </w:r>
      <w:r w:rsidR="009E5874" w:rsidRPr="009E1DBA">
        <w:t xml:space="preserve"> means:</w:t>
      </w:r>
    </w:p>
    <w:p w14:paraId="77A2A0A0" w14:textId="77777777" w:rsidR="009E5874" w:rsidRPr="009E1DBA" w:rsidRDefault="009E5874" w:rsidP="00A95B44">
      <w:pPr>
        <w:pStyle w:val="paragraphsub"/>
      </w:pPr>
      <w:r w:rsidRPr="009E1DBA">
        <w:tab/>
        <w:t>(a)</w:t>
      </w:r>
      <w:r w:rsidRPr="009E1DBA">
        <w:tab/>
        <w:t>if the instalment period is the first instalment period in the year of tax—nil; or</w:t>
      </w:r>
    </w:p>
    <w:p w14:paraId="34F90DC7" w14:textId="77777777" w:rsidR="009E5874" w:rsidRPr="009E1DBA" w:rsidRDefault="009E5874" w:rsidP="00A95B44">
      <w:pPr>
        <w:pStyle w:val="paragraphsub"/>
      </w:pPr>
      <w:r w:rsidRPr="009E1DBA">
        <w:tab/>
        <w:t>(b)</w:t>
      </w:r>
      <w:r w:rsidRPr="009E1DBA">
        <w:tab/>
        <w:t xml:space="preserve">if </w:t>
      </w:r>
      <w:r w:rsidR="00F569DA" w:rsidRPr="009E1DBA">
        <w:t>paragraph (</w:t>
      </w:r>
      <w:r w:rsidRPr="009E1DBA">
        <w:t>a) does not apply—the current period receipts for the instalment period that ended most recently before the end of the instalment period.</w:t>
      </w:r>
    </w:p>
    <w:p w14:paraId="51925FE3" w14:textId="77777777" w:rsidR="009E5874" w:rsidRPr="009E1DBA" w:rsidRDefault="009E5874" w:rsidP="00F10EAA">
      <w:pPr>
        <w:pStyle w:val="subsection"/>
      </w:pPr>
      <w:r w:rsidRPr="009E1DBA">
        <w:tab/>
        <w:t>(1BB)</w:t>
      </w:r>
      <w:r w:rsidRPr="009E1DBA">
        <w:tab/>
        <w:t xml:space="preserve">For the purposes of </w:t>
      </w:r>
      <w:r w:rsidR="00F569DA" w:rsidRPr="009E1DBA">
        <w:t>subsection (</w:t>
      </w:r>
      <w:r w:rsidRPr="009E1DBA">
        <w:t xml:space="preserve">1BA), if the whole or a part of the assessable petroleum receipts that would be taken into account in working out the current period receipts were determined under paragraph 24(1)(d) or (e) (the </w:t>
      </w:r>
      <w:r w:rsidRPr="009E1DBA">
        <w:rPr>
          <w:b/>
          <w:i/>
        </w:rPr>
        <w:t>special calculation provisions</w:t>
      </w:r>
      <w:r w:rsidRPr="009E1DBA">
        <w:t>), then, in calculating the current period receipts:</w:t>
      </w:r>
    </w:p>
    <w:p w14:paraId="77756413" w14:textId="77777777" w:rsidR="009E5874" w:rsidRPr="009E1DBA" w:rsidRDefault="009E5874" w:rsidP="00F10EAA">
      <w:pPr>
        <w:pStyle w:val="paragraph"/>
      </w:pPr>
      <w:r w:rsidRPr="009E1DBA">
        <w:tab/>
        <w:t>(a)</w:t>
      </w:r>
      <w:r w:rsidRPr="009E1DBA">
        <w:tab/>
        <w:t>any assessable petroleum receipts determined under the special calculation provisions are to be excluded; and</w:t>
      </w:r>
    </w:p>
    <w:p w14:paraId="6D8D1A38" w14:textId="77777777" w:rsidR="009E5874" w:rsidRPr="009E1DBA" w:rsidRDefault="009E5874" w:rsidP="00F10EAA">
      <w:pPr>
        <w:pStyle w:val="paragraph"/>
      </w:pPr>
      <w:r w:rsidRPr="009E1DBA">
        <w:tab/>
        <w:t>(b)</w:t>
      </w:r>
      <w:r w:rsidRPr="009E1DBA">
        <w:tab/>
        <w:t>the amount worked out in accordance with the regulations in respect of those assessable petroleum receipts is to be included.</w:t>
      </w:r>
    </w:p>
    <w:p w14:paraId="5933D725" w14:textId="77777777" w:rsidR="009E5874" w:rsidRPr="009E1DBA" w:rsidRDefault="009E5874" w:rsidP="00F10EAA">
      <w:pPr>
        <w:pStyle w:val="ItemHead"/>
      </w:pPr>
      <w:r w:rsidRPr="009E1DBA">
        <w:t>8  Subsection 97(1C)</w:t>
      </w:r>
    </w:p>
    <w:p w14:paraId="34D18993" w14:textId="77777777" w:rsidR="009E5874" w:rsidRPr="009E1DBA" w:rsidRDefault="009E5874" w:rsidP="00F10EAA">
      <w:pPr>
        <w:pStyle w:val="Item"/>
      </w:pPr>
      <w:r w:rsidRPr="009E1DBA">
        <w:t>Omit “</w:t>
      </w:r>
      <w:r w:rsidR="00F569DA" w:rsidRPr="009E1DBA">
        <w:t>subsection (</w:t>
      </w:r>
      <w:r w:rsidRPr="009E1DBA">
        <w:t>1B)”, substitute “subsections (1B) and (1BA)”.</w:t>
      </w:r>
    </w:p>
    <w:p w14:paraId="65978BCA" w14:textId="77777777" w:rsidR="009E5874" w:rsidRPr="009E1DBA" w:rsidRDefault="009E5874" w:rsidP="00F10EAA">
      <w:pPr>
        <w:pStyle w:val="ItemHead"/>
      </w:pPr>
      <w:r w:rsidRPr="009E1DBA">
        <w:lastRenderedPageBreak/>
        <w:t>9  Subsection 97(2)</w:t>
      </w:r>
    </w:p>
    <w:p w14:paraId="01DAB7DA" w14:textId="77777777" w:rsidR="009E5874" w:rsidRPr="009E1DBA" w:rsidRDefault="009E5874" w:rsidP="00F10EAA">
      <w:pPr>
        <w:pStyle w:val="Item"/>
      </w:pPr>
      <w:r w:rsidRPr="009E1DBA">
        <w:t>After “</w:t>
      </w:r>
      <w:r w:rsidR="00F569DA" w:rsidRPr="009E1DBA">
        <w:t>subsection (</w:t>
      </w:r>
      <w:r w:rsidRPr="009E1DBA">
        <w:t>1)”, insert “or (1BA)”.</w:t>
      </w:r>
    </w:p>
    <w:p w14:paraId="3ECBD626" w14:textId="77777777" w:rsidR="009E5874" w:rsidRPr="009E1DBA" w:rsidRDefault="009E5874" w:rsidP="00F10EAA">
      <w:pPr>
        <w:pStyle w:val="ItemHead"/>
      </w:pPr>
      <w:r w:rsidRPr="009E1DBA">
        <w:t xml:space="preserve">10  Clause 5 of </w:t>
      </w:r>
      <w:r w:rsidR="00F569DA" w:rsidRPr="009E1DBA">
        <w:t>Schedule 1</w:t>
      </w:r>
      <w:r w:rsidRPr="009E1DBA">
        <w:t xml:space="preserve"> (definition of </w:t>
      </w:r>
      <w:r w:rsidRPr="009E1DBA">
        <w:rPr>
          <w:i/>
        </w:rPr>
        <w:t>notional taxable profit</w:t>
      </w:r>
      <w:r w:rsidRPr="009E1DBA">
        <w:t>)</w:t>
      </w:r>
    </w:p>
    <w:p w14:paraId="2CE3533D" w14:textId="77777777" w:rsidR="009E5874" w:rsidRPr="009E1DBA" w:rsidRDefault="009E5874" w:rsidP="00F10EAA">
      <w:pPr>
        <w:pStyle w:val="Item"/>
      </w:pPr>
      <w:r w:rsidRPr="009E1DBA">
        <w:t xml:space="preserve">After “would be the taxable profit”, insert “under </w:t>
      </w:r>
      <w:r w:rsidR="00F569DA" w:rsidRPr="009E1DBA">
        <w:t>subsection 2</w:t>
      </w:r>
      <w:r w:rsidRPr="009E1DBA">
        <w:t>2(1) or (2)”.</w:t>
      </w:r>
    </w:p>
    <w:p w14:paraId="27FD1710" w14:textId="77777777" w:rsidR="009E5874" w:rsidRPr="009E1DBA" w:rsidRDefault="009E5874" w:rsidP="00F10EAA">
      <w:pPr>
        <w:pStyle w:val="ItemHead"/>
      </w:pPr>
      <w:r w:rsidRPr="009E1DBA">
        <w:t xml:space="preserve">11  Clause 5 of </w:t>
      </w:r>
      <w:r w:rsidR="00F569DA" w:rsidRPr="009E1DBA">
        <w:t>Schedule 1</w:t>
      </w:r>
      <w:r w:rsidRPr="009E1DBA">
        <w:t xml:space="preserve"> (</w:t>
      </w:r>
      <w:r w:rsidR="00F569DA" w:rsidRPr="009E1DBA">
        <w:t>paragraph (</w:t>
      </w:r>
      <w:r w:rsidRPr="009E1DBA">
        <w:t xml:space="preserve">a) of the definition of </w:t>
      </w:r>
      <w:r w:rsidRPr="009E1DBA">
        <w:rPr>
          <w:i/>
        </w:rPr>
        <w:t>notional taxable profit</w:t>
      </w:r>
      <w:r w:rsidRPr="009E1DBA">
        <w:t>)</w:t>
      </w:r>
    </w:p>
    <w:p w14:paraId="336A9ABA" w14:textId="77777777" w:rsidR="009E5874" w:rsidRPr="009E1DBA" w:rsidRDefault="009E5874" w:rsidP="00F10EAA">
      <w:pPr>
        <w:pStyle w:val="Item"/>
      </w:pPr>
      <w:r w:rsidRPr="009E1DBA">
        <w:t>After “starting base expenditure”, insert “, augmented denied deductible expenditure”.</w:t>
      </w:r>
    </w:p>
    <w:p w14:paraId="1BBEAA37" w14:textId="77777777" w:rsidR="009E5874" w:rsidRPr="009E1DBA" w:rsidRDefault="009E5874" w:rsidP="00F10EAA">
      <w:pPr>
        <w:pStyle w:val="ItemHead"/>
      </w:pPr>
      <w:r w:rsidRPr="009E1DBA">
        <w:t xml:space="preserve">12  Clause 9 of </w:t>
      </w:r>
      <w:r w:rsidR="00F569DA" w:rsidRPr="009E1DBA">
        <w:t>Schedule 1</w:t>
      </w:r>
      <w:r w:rsidRPr="009E1DBA">
        <w:t xml:space="preserve"> (definition of </w:t>
      </w:r>
      <w:r w:rsidRPr="009E1DBA">
        <w:rPr>
          <w:i/>
        </w:rPr>
        <w:t>notional taxable profit</w:t>
      </w:r>
      <w:r w:rsidRPr="009E1DBA">
        <w:t>)</w:t>
      </w:r>
    </w:p>
    <w:p w14:paraId="7C94AEE2" w14:textId="77777777" w:rsidR="009E5874" w:rsidRPr="009E1DBA" w:rsidRDefault="009E5874" w:rsidP="00F10EAA">
      <w:pPr>
        <w:pStyle w:val="Item"/>
      </w:pPr>
      <w:r w:rsidRPr="009E1DBA">
        <w:t xml:space="preserve">After “would be the taxable profit”, insert “under </w:t>
      </w:r>
      <w:r w:rsidR="00F569DA" w:rsidRPr="009E1DBA">
        <w:t>subsection 2</w:t>
      </w:r>
      <w:r w:rsidRPr="009E1DBA">
        <w:t>2(1) or (2)”.</w:t>
      </w:r>
    </w:p>
    <w:p w14:paraId="6F060910" w14:textId="77777777" w:rsidR="009E5874" w:rsidRPr="009E1DBA" w:rsidRDefault="009E5874" w:rsidP="00F10EAA">
      <w:pPr>
        <w:pStyle w:val="ItemHead"/>
      </w:pPr>
      <w:r w:rsidRPr="009E1DBA">
        <w:t xml:space="preserve">13  Clause 9 of </w:t>
      </w:r>
      <w:r w:rsidR="00F569DA" w:rsidRPr="009E1DBA">
        <w:t>Schedule 1</w:t>
      </w:r>
      <w:r w:rsidRPr="009E1DBA">
        <w:t xml:space="preserve"> (</w:t>
      </w:r>
      <w:r w:rsidR="00F569DA" w:rsidRPr="009E1DBA">
        <w:t>paragraph (</w:t>
      </w:r>
      <w:r w:rsidRPr="009E1DBA">
        <w:t xml:space="preserve">a) of the definition of </w:t>
      </w:r>
      <w:r w:rsidRPr="009E1DBA">
        <w:rPr>
          <w:i/>
        </w:rPr>
        <w:t>notional taxable profit</w:t>
      </w:r>
      <w:r w:rsidRPr="009E1DBA">
        <w:t>)</w:t>
      </w:r>
    </w:p>
    <w:p w14:paraId="5596997B" w14:textId="77777777" w:rsidR="009E5874" w:rsidRPr="009E1DBA" w:rsidRDefault="009E5874" w:rsidP="00F10EAA">
      <w:pPr>
        <w:pStyle w:val="Item"/>
      </w:pPr>
      <w:r w:rsidRPr="009E1DBA">
        <w:t>After “starting base expenditure”, insert “, augmented denied deductible expenditure”.</w:t>
      </w:r>
    </w:p>
    <w:p w14:paraId="0D8AE877" w14:textId="77777777" w:rsidR="009E5874" w:rsidRPr="009E1DBA" w:rsidRDefault="009E5874" w:rsidP="00F10EAA">
      <w:pPr>
        <w:pStyle w:val="ItemHead"/>
      </w:pPr>
      <w:r w:rsidRPr="009E1DBA">
        <w:t xml:space="preserve">14  Clause 14 of </w:t>
      </w:r>
      <w:r w:rsidR="00F569DA" w:rsidRPr="009E1DBA">
        <w:t>Schedule 1</w:t>
      </w:r>
    </w:p>
    <w:p w14:paraId="2504DC79" w14:textId="77777777" w:rsidR="009E5874" w:rsidRPr="009E1DBA" w:rsidRDefault="009E5874" w:rsidP="00F10EAA">
      <w:pPr>
        <w:pStyle w:val="Item"/>
      </w:pPr>
      <w:r w:rsidRPr="009E1DBA">
        <w:t>Before “Amounts”, insert “(1)”.</w:t>
      </w:r>
    </w:p>
    <w:p w14:paraId="468ACD1F" w14:textId="77777777" w:rsidR="009E5874" w:rsidRPr="009E1DBA" w:rsidRDefault="009E5874" w:rsidP="00F10EAA">
      <w:pPr>
        <w:pStyle w:val="ItemHead"/>
      </w:pPr>
      <w:r w:rsidRPr="009E1DBA">
        <w:t xml:space="preserve">15  At the end of clause 14 of </w:t>
      </w:r>
      <w:r w:rsidR="00F569DA" w:rsidRPr="009E1DBA">
        <w:t>Schedule 1</w:t>
      </w:r>
    </w:p>
    <w:p w14:paraId="55EBFCD2" w14:textId="77777777" w:rsidR="009E5874" w:rsidRPr="009E1DBA" w:rsidRDefault="009E5874" w:rsidP="00F10EAA">
      <w:pPr>
        <w:pStyle w:val="Item"/>
      </w:pPr>
      <w:r w:rsidRPr="009E1DBA">
        <w:t>Add:</w:t>
      </w:r>
    </w:p>
    <w:p w14:paraId="594EE6F8" w14:textId="77777777" w:rsidR="009E5874" w:rsidRPr="009E1DBA" w:rsidRDefault="009E5874" w:rsidP="00F10EAA">
      <w:pPr>
        <w:pStyle w:val="subsection"/>
      </w:pPr>
      <w:r w:rsidRPr="009E1DBA">
        <w:tab/>
        <w:t>(2)</w:t>
      </w:r>
      <w:r w:rsidRPr="009E1DBA">
        <w:tab/>
      </w:r>
      <w:bookmarkStart w:id="42" w:name="_Hlk140160705"/>
      <w:r w:rsidRPr="009E1DBA">
        <w:t xml:space="preserve">Augmented denied deductible expenditure </w:t>
      </w:r>
      <w:bookmarkEnd w:id="42"/>
      <w:r w:rsidRPr="009E1DBA">
        <w:t>taken to be incurred by a person in a financial year in relation to the notional project is not deductible expenditure actually incurred by the person in relation to the notional project in the financial year.</w:t>
      </w:r>
    </w:p>
    <w:p w14:paraId="42FF9A66" w14:textId="77777777" w:rsidR="009E5874" w:rsidRPr="009E1DBA" w:rsidRDefault="009E5874" w:rsidP="00F10EAA">
      <w:pPr>
        <w:pStyle w:val="ItemHead"/>
      </w:pPr>
      <w:r w:rsidRPr="009E1DBA">
        <w:t xml:space="preserve">16  Clause 19 of </w:t>
      </w:r>
      <w:r w:rsidR="00F569DA" w:rsidRPr="009E1DBA">
        <w:t>Schedule 1</w:t>
      </w:r>
      <w:r w:rsidRPr="009E1DBA">
        <w:t xml:space="preserve"> (definition of </w:t>
      </w:r>
      <w:r w:rsidRPr="009E1DBA">
        <w:rPr>
          <w:i/>
        </w:rPr>
        <w:t>notional taxable profit</w:t>
      </w:r>
      <w:r w:rsidRPr="009E1DBA">
        <w:t>)</w:t>
      </w:r>
    </w:p>
    <w:p w14:paraId="62D320E1" w14:textId="77777777" w:rsidR="009E5874" w:rsidRPr="009E1DBA" w:rsidRDefault="009E5874" w:rsidP="00F10EAA">
      <w:pPr>
        <w:pStyle w:val="Item"/>
      </w:pPr>
      <w:r w:rsidRPr="009E1DBA">
        <w:t xml:space="preserve">After “would be the taxable profit”, insert “under </w:t>
      </w:r>
      <w:r w:rsidR="00F569DA" w:rsidRPr="009E1DBA">
        <w:t>subsection 2</w:t>
      </w:r>
      <w:r w:rsidRPr="009E1DBA">
        <w:t>2(1) or (2)”.</w:t>
      </w:r>
    </w:p>
    <w:p w14:paraId="58A1522C" w14:textId="77777777" w:rsidR="009E5874" w:rsidRPr="009E1DBA" w:rsidRDefault="009E5874" w:rsidP="00F10EAA">
      <w:pPr>
        <w:pStyle w:val="ItemHead"/>
      </w:pPr>
      <w:r w:rsidRPr="009E1DBA">
        <w:lastRenderedPageBreak/>
        <w:t xml:space="preserve">17  Clause 27 of </w:t>
      </w:r>
      <w:r w:rsidR="00F569DA" w:rsidRPr="009E1DBA">
        <w:t>Schedule 1</w:t>
      </w:r>
      <w:r w:rsidRPr="009E1DBA">
        <w:t xml:space="preserve"> (definition of </w:t>
      </w:r>
      <w:r w:rsidRPr="009E1DBA">
        <w:rPr>
          <w:i/>
        </w:rPr>
        <w:t>notional taxable profit</w:t>
      </w:r>
      <w:r w:rsidRPr="009E1DBA">
        <w:t>)</w:t>
      </w:r>
    </w:p>
    <w:p w14:paraId="3FDA342E" w14:textId="77777777" w:rsidR="009E5874" w:rsidRPr="009E1DBA" w:rsidRDefault="009E5874" w:rsidP="00F10EAA">
      <w:pPr>
        <w:pStyle w:val="Item"/>
      </w:pPr>
      <w:r w:rsidRPr="009E1DBA">
        <w:t xml:space="preserve">After “would be the taxable profit”, insert “under </w:t>
      </w:r>
      <w:r w:rsidR="00F569DA" w:rsidRPr="009E1DBA">
        <w:t>subsection 2</w:t>
      </w:r>
      <w:r w:rsidRPr="009E1DBA">
        <w:t>2(1) or (2)”.</w:t>
      </w:r>
    </w:p>
    <w:p w14:paraId="3110AC84" w14:textId="77777777" w:rsidR="009E5874" w:rsidRPr="009E1DBA" w:rsidRDefault="009E5874" w:rsidP="00F10EAA">
      <w:pPr>
        <w:pStyle w:val="Transitional"/>
      </w:pPr>
      <w:r w:rsidRPr="009E1DBA">
        <w:t>18  Application of amendments</w:t>
      </w:r>
    </w:p>
    <w:p w14:paraId="67B71BB1" w14:textId="77777777" w:rsidR="009E5874" w:rsidRPr="009E1DBA" w:rsidRDefault="009E5874" w:rsidP="00F10EAA">
      <w:pPr>
        <w:pStyle w:val="Subitem"/>
      </w:pPr>
      <w:r w:rsidRPr="009E1DBA">
        <w:t>(1)</w:t>
      </w:r>
      <w:r w:rsidRPr="009E1DBA">
        <w:tab/>
        <w:t xml:space="preserve">The amendments to the </w:t>
      </w:r>
      <w:r w:rsidRPr="009E1DBA">
        <w:rPr>
          <w:i/>
        </w:rPr>
        <w:t>Petroleum Resource Rent Tax Assessment Act 1987</w:t>
      </w:r>
      <w:r w:rsidRPr="009E1DBA">
        <w:t xml:space="preserve"> made by this Schedule, other than the amendments made by items 7 to 9, apply in relation to assessable receipts derived by a person in relation to a petroleum project in a year of tax beginning on or after 1 July 2023 (whether or not assessable receipts were also derived by a person in relation to the project in an earlier year of tax).</w:t>
      </w:r>
    </w:p>
    <w:p w14:paraId="76AE4A09" w14:textId="77777777" w:rsidR="009E5874" w:rsidRPr="009E1DBA" w:rsidRDefault="009E5874" w:rsidP="00F10EAA">
      <w:pPr>
        <w:pStyle w:val="Subitem"/>
      </w:pPr>
      <w:r w:rsidRPr="009E1DBA">
        <w:t>(2)</w:t>
      </w:r>
      <w:r w:rsidRPr="009E1DBA">
        <w:tab/>
        <w:t xml:space="preserve">In determining, under </w:t>
      </w:r>
      <w:r w:rsidR="00F569DA" w:rsidRPr="009E1DBA">
        <w:t>subsection 2</w:t>
      </w:r>
      <w:r w:rsidRPr="009E1DBA">
        <w:t xml:space="preserve">2(5) of the </w:t>
      </w:r>
      <w:r w:rsidRPr="009E1DBA">
        <w:rPr>
          <w:i/>
        </w:rPr>
        <w:t>Petroleum Resource Rent Tax Assessment Act 1987</w:t>
      </w:r>
      <w:r w:rsidRPr="009E1DBA">
        <w:t xml:space="preserve"> as inserted by this Schedule, whether a project is excluded for a year of tax beginning on or after 1 July 2023, apply </w:t>
      </w:r>
      <w:r w:rsidR="00F569DA" w:rsidRPr="009E1DBA">
        <w:t>paragraph (</w:t>
      </w:r>
      <w:r w:rsidRPr="009E1DBA">
        <w:t xml:space="preserve">a) and </w:t>
      </w:r>
      <w:r w:rsidR="00F569DA" w:rsidRPr="009E1DBA">
        <w:t>subparagraph (</w:t>
      </w:r>
      <w:r w:rsidRPr="009E1DBA">
        <w:t>c)(ii) of that subsection with regard to financial years including financial years before that year of tax.</w:t>
      </w:r>
    </w:p>
    <w:p w14:paraId="175B3B53" w14:textId="34766944" w:rsidR="009E5874" w:rsidRDefault="009E5874" w:rsidP="00F10EAA">
      <w:pPr>
        <w:pStyle w:val="Subitem"/>
      </w:pPr>
      <w:r w:rsidRPr="009E1DBA">
        <w:t>(3)</w:t>
      </w:r>
      <w:r w:rsidRPr="009E1DBA">
        <w:tab/>
        <w:t xml:space="preserve">The amendments to the </w:t>
      </w:r>
      <w:r w:rsidRPr="009E1DBA">
        <w:rPr>
          <w:i/>
        </w:rPr>
        <w:t>Petroleum Resource Rent Tax Assessment Act 1987</w:t>
      </w:r>
      <w:r w:rsidRPr="009E1DBA">
        <w:t xml:space="preserve"> made by items 7 to 9 of this Schedule apply in relation to a petroleum project and a year of tax beginning on or after 1 July 2024.</w:t>
      </w:r>
    </w:p>
    <w:p w14:paraId="17069401" w14:textId="77777777" w:rsidR="006E5ED2" w:rsidRDefault="006E5ED2" w:rsidP="006E5ED2"/>
    <w:p w14:paraId="7268A4BB" w14:textId="77777777" w:rsidR="006E5ED2" w:rsidRDefault="006E5ED2" w:rsidP="006E5ED2">
      <w:pPr>
        <w:pStyle w:val="AssentBk"/>
        <w:keepNext/>
      </w:pPr>
    </w:p>
    <w:p w14:paraId="338486E1" w14:textId="77777777" w:rsidR="006E5ED2" w:rsidRDefault="006E5ED2" w:rsidP="006E5ED2">
      <w:pPr>
        <w:pStyle w:val="AssentBk"/>
        <w:keepNext/>
      </w:pPr>
    </w:p>
    <w:p w14:paraId="7E3743C5" w14:textId="77777777" w:rsidR="006E5ED2" w:rsidRDefault="006E5ED2" w:rsidP="006E5ED2">
      <w:pPr>
        <w:pStyle w:val="2ndRd"/>
        <w:keepNext/>
        <w:pBdr>
          <w:top w:val="single" w:sz="2" w:space="1" w:color="auto"/>
        </w:pBdr>
      </w:pPr>
    </w:p>
    <w:p w14:paraId="01B06A83" w14:textId="77777777" w:rsidR="00212D1A" w:rsidRDefault="00212D1A" w:rsidP="00212D1A">
      <w:pPr>
        <w:pStyle w:val="2ndRd"/>
        <w:keepNext/>
        <w:spacing w:line="260" w:lineRule="atLeast"/>
        <w:rPr>
          <w:i/>
        </w:rPr>
      </w:pPr>
      <w:r>
        <w:t>[</w:t>
      </w:r>
      <w:r>
        <w:rPr>
          <w:i/>
        </w:rPr>
        <w:t>Minister’s second reading speech made in—</w:t>
      </w:r>
    </w:p>
    <w:p w14:paraId="67F2C648" w14:textId="77777777" w:rsidR="00212D1A" w:rsidRDefault="00212D1A" w:rsidP="00212D1A">
      <w:pPr>
        <w:pStyle w:val="2ndRd"/>
        <w:keepNext/>
        <w:spacing w:line="260" w:lineRule="atLeast"/>
        <w:rPr>
          <w:i/>
        </w:rPr>
      </w:pPr>
      <w:r>
        <w:rPr>
          <w:i/>
        </w:rPr>
        <w:t>House of Representatives on 16 November 2023</w:t>
      </w:r>
    </w:p>
    <w:p w14:paraId="67AD95D1" w14:textId="3D32EFC9" w:rsidR="00212D1A" w:rsidRDefault="00212D1A" w:rsidP="00212D1A">
      <w:pPr>
        <w:pStyle w:val="2ndRd"/>
        <w:keepNext/>
        <w:spacing w:line="260" w:lineRule="atLeast"/>
      </w:pPr>
      <w:r>
        <w:rPr>
          <w:i/>
        </w:rPr>
        <w:t>Senate on 18 March 2024</w:t>
      </w:r>
      <w:r>
        <w:t>]</w:t>
      </w:r>
    </w:p>
    <w:p w14:paraId="6625B3BB" w14:textId="77777777" w:rsidR="00212D1A" w:rsidRDefault="00212D1A" w:rsidP="00212D1A">
      <w:pPr>
        <w:pStyle w:val="2ndRd"/>
        <w:keepNext/>
        <w:spacing w:line="260" w:lineRule="atLeast"/>
        <w:rPr>
          <w:i/>
        </w:rPr>
      </w:pPr>
    </w:p>
    <w:p w14:paraId="095965B8" w14:textId="77777777" w:rsidR="00212D1A" w:rsidRDefault="00212D1A" w:rsidP="009D2859">
      <w:pPr>
        <w:framePr w:hSpace="180" w:wrap="around" w:vAnchor="text" w:hAnchor="page" w:x="2386" w:y="2504"/>
      </w:pPr>
      <w:r>
        <w:t>(141/23)</w:t>
      </w:r>
    </w:p>
    <w:p w14:paraId="45A001CF" w14:textId="77777777" w:rsidR="00212D1A" w:rsidRDefault="00212D1A" w:rsidP="00212D1A"/>
    <w:p w14:paraId="52961D5C" w14:textId="77777777" w:rsidR="00134965" w:rsidRDefault="00134965"/>
    <w:p w14:paraId="117CF383" w14:textId="77777777" w:rsidR="008E07FD" w:rsidRDefault="008E07FD" w:rsidP="00367C29">
      <w:pPr>
        <w:pBdr>
          <w:bottom w:val="single" w:sz="4" w:space="1" w:color="auto"/>
        </w:pBdr>
        <w:sectPr w:rsidR="008E07FD" w:rsidSect="00367C29">
          <w:headerReference w:type="even" r:id="rId27"/>
          <w:headerReference w:type="default" r:id="rId28"/>
          <w:footerReference w:type="even" r:id="rId29"/>
          <w:footerReference w:type="default" r:id="rId30"/>
          <w:headerReference w:type="first" r:id="rId31"/>
          <w:footerReference w:type="first" r:id="rId32"/>
          <w:pgSz w:w="11907" w:h="16839"/>
          <w:pgMar w:top="1871" w:right="2410" w:bottom="4537" w:left="2410" w:header="720" w:footer="3402" w:gutter="0"/>
          <w:pgNumType w:start="1"/>
          <w:cols w:space="708"/>
          <w:titlePg/>
          <w:docGrid w:linePitch="360"/>
        </w:sectPr>
      </w:pPr>
    </w:p>
    <w:p w14:paraId="5D9D1DA7" w14:textId="77777777" w:rsidR="0039283E" w:rsidRDefault="0039283E" w:rsidP="006E5ED2"/>
    <w:sectPr w:rsidR="0039283E" w:rsidSect="008E07FD">
      <w:headerReference w:type="even" r:id="rId33"/>
      <w:headerReference w:type="default" r:id="rId34"/>
      <w:headerReference w:type="first" r:id="rId35"/>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283C2" w14:textId="77777777" w:rsidR="00212D1A" w:rsidRDefault="00212D1A" w:rsidP="0048364F">
      <w:pPr>
        <w:spacing w:line="240" w:lineRule="auto"/>
      </w:pPr>
      <w:r>
        <w:separator/>
      </w:r>
    </w:p>
  </w:endnote>
  <w:endnote w:type="continuationSeparator" w:id="0">
    <w:p w14:paraId="4B83E0FE" w14:textId="77777777" w:rsidR="00212D1A" w:rsidRDefault="00212D1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AC80" w14:textId="77777777" w:rsidR="00212D1A" w:rsidRPr="005F1388" w:rsidRDefault="00212D1A" w:rsidP="00F10EA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41D66" w14:textId="3D0550FF" w:rsidR="00212D1A" w:rsidRDefault="00212D1A" w:rsidP="0039283E">
    <w:pPr>
      <w:pStyle w:val="ScalePlusRef"/>
    </w:pPr>
    <w:r>
      <w:t>Note: An electronic version of this Act is available on the Federal Register of Legislation (</w:t>
    </w:r>
    <w:hyperlink r:id="rId1" w:history="1">
      <w:r>
        <w:t>https://www.legislation.gov.au/</w:t>
      </w:r>
    </w:hyperlink>
    <w:r>
      <w:t>)</w:t>
    </w:r>
  </w:p>
  <w:p w14:paraId="57E8A4C6" w14:textId="77777777" w:rsidR="00212D1A" w:rsidRDefault="00212D1A" w:rsidP="0039283E"/>
  <w:p w14:paraId="3268DCC9" w14:textId="66F047EC" w:rsidR="00212D1A" w:rsidRDefault="00212D1A" w:rsidP="00F10EAA">
    <w:pPr>
      <w:pStyle w:val="Footer"/>
      <w:spacing w:before="120"/>
    </w:pPr>
  </w:p>
  <w:p w14:paraId="7BEAD68B" w14:textId="77777777" w:rsidR="00212D1A" w:rsidRPr="005F1388" w:rsidRDefault="00212D1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64496" w14:textId="77777777" w:rsidR="00212D1A" w:rsidRPr="00ED79B6" w:rsidRDefault="00212D1A" w:rsidP="00F10EA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4F30" w14:textId="77777777" w:rsidR="00212D1A" w:rsidRDefault="00212D1A" w:rsidP="00F10E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12D1A" w14:paraId="465C8594" w14:textId="77777777" w:rsidTr="007145F5">
      <w:tc>
        <w:tcPr>
          <w:tcW w:w="646" w:type="dxa"/>
        </w:tcPr>
        <w:p w14:paraId="3404DC19" w14:textId="77777777" w:rsidR="00212D1A" w:rsidRDefault="00212D1A" w:rsidP="007145F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97C8812" w14:textId="5474D1DF" w:rsidR="00212D1A" w:rsidRDefault="00212D1A" w:rsidP="007145F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40A44">
            <w:rPr>
              <w:i/>
              <w:sz w:val="18"/>
            </w:rPr>
            <w:t>Treasury Laws Amendment (Tax Accountability and Fairness) Act 2024</w:t>
          </w:r>
          <w:r w:rsidRPr="00ED79B6">
            <w:rPr>
              <w:i/>
              <w:sz w:val="18"/>
            </w:rPr>
            <w:fldChar w:fldCharType="end"/>
          </w:r>
        </w:p>
      </w:tc>
      <w:tc>
        <w:tcPr>
          <w:tcW w:w="1270" w:type="dxa"/>
        </w:tcPr>
        <w:p w14:paraId="797CDDF9" w14:textId="58FC08A1" w:rsidR="00212D1A" w:rsidRDefault="00212D1A" w:rsidP="007145F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40A44">
            <w:rPr>
              <w:i/>
              <w:sz w:val="18"/>
            </w:rPr>
            <w:t>No. 37, 2024</w:t>
          </w:r>
          <w:r w:rsidRPr="00ED79B6">
            <w:rPr>
              <w:i/>
              <w:sz w:val="18"/>
            </w:rPr>
            <w:fldChar w:fldCharType="end"/>
          </w:r>
        </w:p>
      </w:tc>
    </w:tr>
  </w:tbl>
  <w:p w14:paraId="667D5CCC" w14:textId="77777777" w:rsidR="00212D1A" w:rsidRDefault="00212D1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33B18" w14:textId="77777777" w:rsidR="00212D1A" w:rsidRPr="00A961C4" w:rsidRDefault="00212D1A" w:rsidP="00B85B5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70"/>
      <w:gridCol w:w="686"/>
    </w:tblGrid>
    <w:tr w:rsidR="00212D1A" w14:paraId="09B23E46" w14:textId="77777777" w:rsidTr="0039283E">
      <w:tc>
        <w:tcPr>
          <w:tcW w:w="1247" w:type="dxa"/>
        </w:tcPr>
        <w:p w14:paraId="596EEE72" w14:textId="5E9F08F8" w:rsidR="00212D1A" w:rsidRDefault="00212D1A" w:rsidP="00B85B5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40A44">
            <w:rPr>
              <w:i/>
              <w:sz w:val="18"/>
            </w:rPr>
            <w:t>No. 37, 2024</w:t>
          </w:r>
          <w:r w:rsidRPr="007A1328">
            <w:rPr>
              <w:i/>
              <w:sz w:val="18"/>
            </w:rPr>
            <w:fldChar w:fldCharType="end"/>
          </w:r>
        </w:p>
      </w:tc>
      <w:tc>
        <w:tcPr>
          <w:tcW w:w="5370" w:type="dxa"/>
        </w:tcPr>
        <w:p w14:paraId="0FBE6661" w14:textId="14CF5EC8" w:rsidR="00212D1A" w:rsidRDefault="00212D1A" w:rsidP="00B85B5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40A44">
            <w:rPr>
              <w:i/>
              <w:sz w:val="18"/>
            </w:rPr>
            <w:t>Treasury Laws Amendment (Tax Accountability and Fairness) Act 2024</w:t>
          </w:r>
          <w:r w:rsidRPr="007A1328">
            <w:rPr>
              <w:i/>
              <w:sz w:val="18"/>
            </w:rPr>
            <w:fldChar w:fldCharType="end"/>
          </w:r>
        </w:p>
      </w:tc>
      <w:tc>
        <w:tcPr>
          <w:tcW w:w="686" w:type="dxa"/>
        </w:tcPr>
        <w:p w14:paraId="166A5E59" w14:textId="77777777" w:rsidR="00212D1A" w:rsidRDefault="00212D1A" w:rsidP="00B85B5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3</w:t>
          </w:r>
          <w:r w:rsidRPr="007A1328">
            <w:rPr>
              <w:i/>
              <w:sz w:val="18"/>
            </w:rPr>
            <w:fldChar w:fldCharType="end"/>
          </w:r>
        </w:p>
      </w:tc>
    </w:tr>
  </w:tbl>
  <w:p w14:paraId="031EF230" w14:textId="77777777" w:rsidR="00212D1A" w:rsidRPr="00B85B53" w:rsidRDefault="00212D1A" w:rsidP="00B85B5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6146" w14:textId="77777777" w:rsidR="00212D1A" w:rsidRPr="00A961C4" w:rsidRDefault="00212D1A" w:rsidP="00F10EA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4"/>
      <w:gridCol w:w="5379"/>
      <w:gridCol w:w="1270"/>
    </w:tblGrid>
    <w:tr w:rsidR="00212D1A" w14:paraId="78C2E3AC" w14:textId="77777777" w:rsidTr="008000C6">
      <w:tc>
        <w:tcPr>
          <w:tcW w:w="654" w:type="dxa"/>
        </w:tcPr>
        <w:p w14:paraId="2D869252" w14:textId="77777777" w:rsidR="00212D1A" w:rsidRDefault="00212D1A" w:rsidP="00283DA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79" w:type="dxa"/>
        </w:tcPr>
        <w:p w14:paraId="1EA8301A" w14:textId="06376BD5" w:rsidR="00212D1A" w:rsidRDefault="00212D1A" w:rsidP="00283DA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40A44">
            <w:rPr>
              <w:i/>
              <w:sz w:val="18"/>
            </w:rPr>
            <w:t>Treasury Laws Amendment (Tax Accountability and Fairness) Act 2024</w:t>
          </w:r>
          <w:r w:rsidRPr="007A1328">
            <w:rPr>
              <w:i/>
              <w:sz w:val="18"/>
            </w:rPr>
            <w:fldChar w:fldCharType="end"/>
          </w:r>
        </w:p>
      </w:tc>
      <w:tc>
        <w:tcPr>
          <w:tcW w:w="1270" w:type="dxa"/>
        </w:tcPr>
        <w:p w14:paraId="354A26E5" w14:textId="3D21EC28" w:rsidR="00212D1A" w:rsidRDefault="00212D1A" w:rsidP="00283DA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40A44">
            <w:rPr>
              <w:i/>
              <w:sz w:val="18"/>
            </w:rPr>
            <w:t>No. 37, 2024</w:t>
          </w:r>
          <w:r w:rsidRPr="007A1328">
            <w:rPr>
              <w:i/>
              <w:sz w:val="18"/>
            </w:rPr>
            <w:fldChar w:fldCharType="end"/>
          </w:r>
        </w:p>
      </w:tc>
    </w:tr>
  </w:tbl>
  <w:p w14:paraId="67A53E6F" w14:textId="77777777" w:rsidR="00212D1A" w:rsidRPr="00A961C4" w:rsidRDefault="00212D1A"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FEED6" w14:textId="77777777" w:rsidR="00212D1A" w:rsidRPr="00A961C4" w:rsidRDefault="00212D1A" w:rsidP="00F10EA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70"/>
      <w:gridCol w:w="686"/>
    </w:tblGrid>
    <w:tr w:rsidR="00212D1A" w14:paraId="5F013CC6" w14:textId="77777777" w:rsidTr="008000C6">
      <w:tc>
        <w:tcPr>
          <w:tcW w:w="1247" w:type="dxa"/>
        </w:tcPr>
        <w:p w14:paraId="1BEA7BF5" w14:textId="5DE17B29" w:rsidR="00212D1A" w:rsidRDefault="00212D1A" w:rsidP="00283DA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40A44">
            <w:rPr>
              <w:i/>
              <w:sz w:val="18"/>
            </w:rPr>
            <w:t>No. 37, 2024</w:t>
          </w:r>
          <w:r w:rsidRPr="007A1328">
            <w:rPr>
              <w:i/>
              <w:sz w:val="18"/>
            </w:rPr>
            <w:fldChar w:fldCharType="end"/>
          </w:r>
        </w:p>
      </w:tc>
      <w:tc>
        <w:tcPr>
          <w:tcW w:w="5370" w:type="dxa"/>
        </w:tcPr>
        <w:p w14:paraId="0DA2355B" w14:textId="3A981D8C" w:rsidR="00212D1A" w:rsidRDefault="00212D1A" w:rsidP="00283DA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40A44">
            <w:rPr>
              <w:i/>
              <w:sz w:val="18"/>
            </w:rPr>
            <w:t>Treasury Laws Amendment (Tax Accountability and Fairness) Act 2024</w:t>
          </w:r>
          <w:r w:rsidRPr="007A1328">
            <w:rPr>
              <w:i/>
              <w:sz w:val="18"/>
            </w:rPr>
            <w:fldChar w:fldCharType="end"/>
          </w:r>
        </w:p>
      </w:tc>
      <w:tc>
        <w:tcPr>
          <w:tcW w:w="686" w:type="dxa"/>
        </w:tcPr>
        <w:p w14:paraId="22E5A540" w14:textId="77777777" w:rsidR="00212D1A" w:rsidRDefault="00212D1A" w:rsidP="00283DA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D855E6E" w14:textId="77777777" w:rsidR="00212D1A" w:rsidRPr="00055B5C" w:rsidRDefault="00212D1A"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0BBE" w14:textId="77777777" w:rsidR="00212D1A" w:rsidRPr="00A961C4" w:rsidRDefault="00212D1A" w:rsidP="00B85B5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70"/>
      <w:gridCol w:w="686"/>
    </w:tblGrid>
    <w:tr w:rsidR="00212D1A" w14:paraId="5FA8BE8E" w14:textId="77777777" w:rsidTr="0039283E">
      <w:tc>
        <w:tcPr>
          <w:tcW w:w="1247" w:type="dxa"/>
        </w:tcPr>
        <w:p w14:paraId="65E35861" w14:textId="6F709A4C" w:rsidR="00212D1A" w:rsidRDefault="00212D1A" w:rsidP="00B85B5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40A44">
            <w:rPr>
              <w:i/>
              <w:sz w:val="18"/>
            </w:rPr>
            <w:t>No. 37, 2024</w:t>
          </w:r>
          <w:r w:rsidRPr="007A1328">
            <w:rPr>
              <w:i/>
              <w:sz w:val="18"/>
            </w:rPr>
            <w:fldChar w:fldCharType="end"/>
          </w:r>
        </w:p>
      </w:tc>
      <w:tc>
        <w:tcPr>
          <w:tcW w:w="5370" w:type="dxa"/>
        </w:tcPr>
        <w:p w14:paraId="5DC271B4" w14:textId="181CE697" w:rsidR="00212D1A" w:rsidRDefault="00212D1A" w:rsidP="00B85B5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40A44">
            <w:rPr>
              <w:i/>
              <w:sz w:val="18"/>
            </w:rPr>
            <w:t>Treasury Laws Amendment (Tax Accountability and Fairness) Act 2024</w:t>
          </w:r>
          <w:r w:rsidRPr="007A1328">
            <w:rPr>
              <w:i/>
              <w:sz w:val="18"/>
            </w:rPr>
            <w:fldChar w:fldCharType="end"/>
          </w:r>
        </w:p>
      </w:tc>
      <w:tc>
        <w:tcPr>
          <w:tcW w:w="686" w:type="dxa"/>
        </w:tcPr>
        <w:p w14:paraId="0790F8E3" w14:textId="77777777" w:rsidR="00212D1A" w:rsidRDefault="00212D1A" w:rsidP="00B85B5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3</w:t>
          </w:r>
          <w:r w:rsidRPr="007A1328">
            <w:rPr>
              <w:i/>
              <w:sz w:val="18"/>
            </w:rPr>
            <w:fldChar w:fldCharType="end"/>
          </w:r>
        </w:p>
      </w:tc>
    </w:tr>
  </w:tbl>
  <w:p w14:paraId="67A34039" w14:textId="77777777" w:rsidR="00212D1A" w:rsidRPr="00055B5C" w:rsidRDefault="00212D1A" w:rsidP="00B85B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13195" w14:textId="77777777" w:rsidR="00212D1A" w:rsidRDefault="00212D1A" w:rsidP="0048364F">
      <w:pPr>
        <w:spacing w:line="240" w:lineRule="auto"/>
      </w:pPr>
      <w:r>
        <w:separator/>
      </w:r>
    </w:p>
  </w:footnote>
  <w:footnote w:type="continuationSeparator" w:id="0">
    <w:p w14:paraId="6E3BCBA3" w14:textId="77777777" w:rsidR="00212D1A" w:rsidRDefault="00212D1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6F140" w14:textId="77777777" w:rsidR="00212D1A" w:rsidRPr="005F1388" w:rsidRDefault="00212D1A"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42DEE" w14:textId="026D1CDD" w:rsidR="00212D1A" w:rsidRPr="00A961C4" w:rsidRDefault="00212D1A" w:rsidP="0048364F">
    <w:pPr>
      <w:rPr>
        <w:b/>
        <w:sz w:val="20"/>
      </w:rPr>
    </w:pPr>
  </w:p>
  <w:p w14:paraId="23E2AB7A" w14:textId="51CC43EC" w:rsidR="00212D1A" w:rsidRPr="00A961C4" w:rsidRDefault="00212D1A"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49D91AA6" w14:textId="77777777" w:rsidR="00212D1A" w:rsidRPr="00A961C4" w:rsidRDefault="00212D1A"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90465" w14:textId="62A1EB66" w:rsidR="00212D1A" w:rsidRPr="00A961C4" w:rsidRDefault="00212D1A" w:rsidP="0048364F">
    <w:pPr>
      <w:jc w:val="right"/>
      <w:rPr>
        <w:sz w:val="20"/>
      </w:rPr>
    </w:pPr>
  </w:p>
  <w:p w14:paraId="7DCA813C" w14:textId="0301829D" w:rsidR="00212D1A" w:rsidRPr="00A961C4" w:rsidRDefault="00212D1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5CCCE663" w14:textId="77777777" w:rsidR="00212D1A" w:rsidRPr="00A961C4" w:rsidRDefault="00212D1A"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7C81E" w14:textId="77777777" w:rsidR="00212D1A" w:rsidRPr="00A961C4" w:rsidRDefault="00212D1A"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31E43" w14:textId="77777777" w:rsidR="00212D1A" w:rsidRPr="005F1388" w:rsidRDefault="00212D1A"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3A891" w14:textId="77777777" w:rsidR="00212D1A" w:rsidRPr="005F1388" w:rsidRDefault="00212D1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3EBE1" w14:textId="77777777" w:rsidR="00212D1A" w:rsidRPr="00ED79B6" w:rsidRDefault="00212D1A"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F2C38" w14:textId="77777777" w:rsidR="00212D1A" w:rsidRPr="00ED79B6" w:rsidRDefault="00212D1A"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3223" w14:textId="77777777" w:rsidR="00212D1A" w:rsidRPr="00ED79B6" w:rsidRDefault="00212D1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92E28" w14:textId="14AE59AE" w:rsidR="00212D1A" w:rsidRPr="00A961C4" w:rsidRDefault="00212D1A" w:rsidP="0048364F">
    <w:pPr>
      <w:rPr>
        <w:b/>
        <w:sz w:val="20"/>
      </w:rPr>
    </w:pPr>
    <w:r>
      <w:rPr>
        <w:b/>
        <w:sz w:val="20"/>
      </w:rPr>
      <w:fldChar w:fldCharType="begin"/>
    </w:r>
    <w:r>
      <w:rPr>
        <w:b/>
        <w:sz w:val="20"/>
      </w:rPr>
      <w:instrText xml:space="preserve"> STYLEREF CharAmSchNo </w:instrText>
    </w:r>
    <w:r w:rsidR="00192166">
      <w:rPr>
        <w:b/>
        <w:sz w:val="20"/>
      </w:rPr>
      <w:fldChar w:fldCharType="separate"/>
    </w:r>
    <w:r w:rsidR="00192166">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92166">
      <w:rPr>
        <w:sz w:val="20"/>
      </w:rPr>
      <w:fldChar w:fldCharType="separate"/>
    </w:r>
    <w:r w:rsidR="00192166">
      <w:rPr>
        <w:noProof/>
        <w:sz w:val="20"/>
      </w:rPr>
      <w:t>PwC response—Tax Practitioners Board reform</w:t>
    </w:r>
    <w:r>
      <w:rPr>
        <w:sz w:val="20"/>
      </w:rPr>
      <w:fldChar w:fldCharType="end"/>
    </w:r>
  </w:p>
  <w:p w14:paraId="51FC9B1B" w14:textId="183811B1" w:rsidR="00212D1A" w:rsidRPr="00A961C4" w:rsidRDefault="00212D1A" w:rsidP="0048364F">
    <w:pPr>
      <w:rPr>
        <w:b/>
        <w:sz w:val="20"/>
      </w:rPr>
    </w:pPr>
    <w:r>
      <w:rPr>
        <w:b/>
        <w:sz w:val="20"/>
      </w:rPr>
      <w:fldChar w:fldCharType="begin"/>
    </w:r>
    <w:r>
      <w:rPr>
        <w:b/>
        <w:sz w:val="20"/>
      </w:rPr>
      <w:instrText xml:space="preserve"> STYLEREF CharAmPartNo </w:instrText>
    </w:r>
    <w:r w:rsidR="00192166">
      <w:rPr>
        <w:b/>
        <w:sz w:val="20"/>
      </w:rPr>
      <w:fldChar w:fldCharType="separate"/>
    </w:r>
    <w:r w:rsidR="00192166">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192166">
      <w:rPr>
        <w:sz w:val="20"/>
      </w:rPr>
      <w:fldChar w:fldCharType="separate"/>
    </w:r>
    <w:r w:rsidR="00192166">
      <w:rPr>
        <w:noProof/>
        <w:sz w:val="20"/>
      </w:rPr>
      <w:t>Investigations by the Board</w:t>
    </w:r>
    <w:r>
      <w:rPr>
        <w:sz w:val="20"/>
      </w:rPr>
      <w:fldChar w:fldCharType="end"/>
    </w:r>
  </w:p>
  <w:p w14:paraId="62D74E32" w14:textId="77777777" w:rsidR="00212D1A" w:rsidRPr="00A961C4" w:rsidRDefault="00212D1A"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07DED" w14:textId="1B8F309F" w:rsidR="00212D1A" w:rsidRPr="00A961C4" w:rsidRDefault="00212D1A" w:rsidP="0048364F">
    <w:pPr>
      <w:jc w:val="right"/>
      <w:rPr>
        <w:sz w:val="20"/>
      </w:rPr>
    </w:pPr>
    <w:r w:rsidRPr="00A961C4">
      <w:rPr>
        <w:sz w:val="20"/>
      </w:rPr>
      <w:fldChar w:fldCharType="begin"/>
    </w:r>
    <w:r w:rsidRPr="00A961C4">
      <w:rPr>
        <w:sz w:val="20"/>
      </w:rPr>
      <w:instrText xml:space="preserve"> STYLEREF CharAmSchText </w:instrText>
    </w:r>
    <w:r w:rsidR="00E40A44">
      <w:rPr>
        <w:sz w:val="20"/>
      </w:rPr>
      <w:fldChar w:fldCharType="separate"/>
    </w:r>
    <w:r w:rsidR="00192166">
      <w:rPr>
        <w:noProof/>
        <w:sz w:val="20"/>
      </w:rPr>
      <w:t>PwC response—Tax Practitioners Board reform</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40A44">
      <w:rPr>
        <w:b/>
        <w:sz w:val="20"/>
      </w:rPr>
      <w:fldChar w:fldCharType="separate"/>
    </w:r>
    <w:r w:rsidR="00192166">
      <w:rPr>
        <w:b/>
        <w:noProof/>
        <w:sz w:val="20"/>
      </w:rPr>
      <w:t>Schedule 3</w:t>
    </w:r>
    <w:r>
      <w:rPr>
        <w:b/>
        <w:sz w:val="20"/>
      </w:rPr>
      <w:fldChar w:fldCharType="end"/>
    </w:r>
  </w:p>
  <w:p w14:paraId="76FBC822" w14:textId="5A9ECE93" w:rsidR="00212D1A" w:rsidRPr="00A961C4" w:rsidRDefault="00212D1A" w:rsidP="0048364F">
    <w:pPr>
      <w:jc w:val="right"/>
      <w:rPr>
        <w:b/>
        <w:sz w:val="20"/>
      </w:rPr>
    </w:pPr>
    <w:r w:rsidRPr="00A961C4">
      <w:rPr>
        <w:sz w:val="20"/>
      </w:rPr>
      <w:fldChar w:fldCharType="begin"/>
    </w:r>
    <w:r w:rsidRPr="00A961C4">
      <w:rPr>
        <w:sz w:val="20"/>
      </w:rPr>
      <w:instrText xml:space="preserve"> STYLEREF CharAmPartText </w:instrText>
    </w:r>
    <w:r w:rsidR="00192166">
      <w:rPr>
        <w:sz w:val="20"/>
      </w:rPr>
      <w:fldChar w:fldCharType="separate"/>
    </w:r>
    <w:r w:rsidR="00192166">
      <w:rPr>
        <w:noProof/>
        <w:sz w:val="20"/>
      </w:rPr>
      <w:t>Investigations by the Board</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192166">
      <w:rPr>
        <w:b/>
        <w:sz w:val="20"/>
      </w:rPr>
      <w:fldChar w:fldCharType="separate"/>
    </w:r>
    <w:r w:rsidR="00192166">
      <w:rPr>
        <w:b/>
        <w:noProof/>
        <w:sz w:val="20"/>
      </w:rPr>
      <w:t>Part 2</w:t>
    </w:r>
    <w:r w:rsidRPr="00A961C4">
      <w:rPr>
        <w:b/>
        <w:sz w:val="20"/>
      </w:rPr>
      <w:fldChar w:fldCharType="end"/>
    </w:r>
  </w:p>
  <w:p w14:paraId="3439B4CB" w14:textId="77777777" w:rsidR="00212D1A" w:rsidRPr="00A961C4" w:rsidRDefault="00212D1A"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71912" w14:textId="77777777" w:rsidR="00212D1A" w:rsidRPr="00A961C4" w:rsidRDefault="00212D1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F249DB"/>
    <w:multiLevelType w:val="hybridMultilevel"/>
    <w:tmpl w:val="335E2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58564BA"/>
    <w:multiLevelType w:val="hybridMultilevel"/>
    <w:tmpl w:val="E230D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5"/>
  </w:num>
  <w:num w:numId="14">
    <w:abstractNumId w:val="13"/>
  </w:num>
  <w:num w:numId="15">
    <w:abstractNumId w:val="16"/>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145F5"/>
    <w:rsid w:val="00005D25"/>
    <w:rsid w:val="000113BC"/>
    <w:rsid w:val="000136AF"/>
    <w:rsid w:val="000417C9"/>
    <w:rsid w:val="00055B5C"/>
    <w:rsid w:val="00056391"/>
    <w:rsid w:val="00060FF9"/>
    <w:rsid w:val="000614BF"/>
    <w:rsid w:val="000712D0"/>
    <w:rsid w:val="00071378"/>
    <w:rsid w:val="00083194"/>
    <w:rsid w:val="000B1FD2"/>
    <w:rsid w:val="000B491C"/>
    <w:rsid w:val="000D05EF"/>
    <w:rsid w:val="000D103C"/>
    <w:rsid w:val="000F21C1"/>
    <w:rsid w:val="000F316E"/>
    <w:rsid w:val="00101D90"/>
    <w:rsid w:val="0010745C"/>
    <w:rsid w:val="00113BD1"/>
    <w:rsid w:val="00122206"/>
    <w:rsid w:val="00134965"/>
    <w:rsid w:val="001432F4"/>
    <w:rsid w:val="0015646E"/>
    <w:rsid w:val="001643C9"/>
    <w:rsid w:val="00165568"/>
    <w:rsid w:val="00166C2F"/>
    <w:rsid w:val="001716C9"/>
    <w:rsid w:val="00173062"/>
    <w:rsid w:val="00173363"/>
    <w:rsid w:val="00173B94"/>
    <w:rsid w:val="001854B4"/>
    <w:rsid w:val="00192166"/>
    <w:rsid w:val="001939E1"/>
    <w:rsid w:val="00195382"/>
    <w:rsid w:val="001A3658"/>
    <w:rsid w:val="001A759A"/>
    <w:rsid w:val="001B633C"/>
    <w:rsid w:val="001B7A5D"/>
    <w:rsid w:val="001C2418"/>
    <w:rsid w:val="001C5376"/>
    <w:rsid w:val="001C69C4"/>
    <w:rsid w:val="001E3590"/>
    <w:rsid w:val="001E7407"/>
    <w:rsid w:val="00201D27"/>
    <w:rsid w:val="00202618"/>
    <w:rsid w:val="00212D1A"/>
    <w:rsid w:val="00224610"/>
    <w:rsid w:val="00225735"/>
    <w:rsid w:val="00232523"/>
    <w:rsid w:val="00233165"/>
    <w:rsid w:val="00240749"/>
    <w:rsid w:val="0024309E"/>
    <w:rsid w:val="00255E00"/>
    <w:rsid w:val="00263820"/>
    <w:rsid w:val="00275197"/>
    <w:rsid w:val="00283DA4"/>
    <w:rsid w:val="00293B89"/>
    <w:rsid w:val="00297ECB"/>
    <w:rsid w:val="002B5A30"/>
    <w:rsid w:val="002D043A"/>
    <w:rsid w:val="002D395A"/>
    <w:rsid w:val="002E5606"/>
    <w:rsid w:val="002F49D4"/>
    <w:rsid w:val="002F57F2"/>
    <w:rsid w:val="002F5A80"/>
    <w:rsid w:val="003415D3"/>
    <w:rsid w:val="00350417"/>
    <w:rsid w:val="00352B0F"/>
    <w:rsid w:val="00367C29"/>
    <w:rsid w:val="003707BF"/>
    <w:rsid w:val="00373874"/>
    <w:rsid w:val="00375C6C"/>
    <w:rsid w:val="00381B26"/>
    <w:rsid w:val="00387BFC"/>
    <w:rsid w:val="0039283E"/>
    <w:rsid w:val="003A7B3C"/>
    <w:rsid w:val="003B4E3D"/>
    <w:rsid w:val="003C0436"/>
    <w:rsid w:val="003C3F78"/>
    <w:rsid w:val="003C5F2B"/>
    <w:rsid w:val="003C685D"/>
    <w:rsid w:val="003D0BFE"/>
    <w:rsid w:val="003D5700"/>
    <w:rsid w:val="003D7B18"/>
    <w:rsid w:val="003F0FB6"/>
    <w:rsid w:val="00405579"/>
    <w:rsid w:val="004078E4"/>
    <w:rsid w:val="00410B8E"/>
    <w:rsid w:val="004116CD"/>
    <w:rsid w:val="00421FC1"/>
    <w:rsid w:val="004229C7"/>
    <w:rsid w:val="00424CA9"/>
    <w:rsid w:val="00436785"/>
    <w:rsid w:val="00436BD5"/>
    <w:rsid w:val="00437E4B"/>
    <w:rsid w:val="0044291A"/>
    <w:rsid w:val="00450F69"/>
    <w:rsid w:val="004723D3"/>
    <w:rsid w:val="0047437D"/>
    <w:rsid w:val="0048196B"/>
    <w:rsid w:val="0048364F"/>
    <w:rsid w:val="00486D05"/>
    <w:rsid w:val="00496F97"/>
    <w:rsid w:val="004C7C8C"/>
    <w:rsid w:val="004E2A4A"/>
    <w:rsid w:val="004F0D23"/>
    <w:rsid w:val="004F1FAC"/>
    <w:rsid w:val="00505B1F"/>
    <w:rsid w:val="005078E4"/>
    <w:rsid w:val="00513024"/>
    <w:rsid w:val="005167A0"/>
    <w:rsid w:val="00516B8D"/>
    <w:rsid w:val="00537FBC"/>
    <w:rsid w:val="00543469"/>
    <w:rsid w:val="00545D52"/>
    <w:rsid w:val="00550733"/>
    <w:rsid w:val="00551B54"/>
    <w:rsid w:val="0055420A"/>
    <w:rsid w:val="00584811"/>
    <w:rsid w:val="00593AA6"/>
    <w:rsid w:val="00594161"/>
    <w:rsid w:val="00594749"/>
    <w:rsid w:val="005A0D92"/>
    <w:rsid w:val="005B4067"/>
    <w:rsid w:val="005C3F41"/>
    <w:rsid w:val="005D386A"/>
    <w:rsid w:val="005E152A"/>
    <w:rsid w:val="005E5EB6"/>
    <w:rsid w:val="005F0088"/>
    <w:rsid w:val="005F05E2"/>
    <w:rsid w:val="005F11B1"/>
    <w:rsid w:val="005F4A80"/>
    <w:rsid w:val="00600219"/>
    <w:rsid w:val="006167FD"/>
    <w:rsid w:val="00624F2A"/>
    <w:rsid w:val="0062536F"/>
    <w:rsid w:val="00631256"/>
    <w:rsid w:val="00632F4D"/>
    <w:rsid w:val="0063344F"/>
    <w:rsid w:val="00641DE5"/>
    <w:rsid w:val="00656F0C"/>
    <w:rsid w:val="00660FFB"/>
    <w:rsid w:val="00677CC2"/>
    <w:rsid w:val="00681F92"/>
    <w:rsid w:val="006842C2"/>
    <w:rsid w:val="00685F42"/>
    <w:rsid w:val="0069207B"/>
    <w:rsid w:val="006A4B23"/>
    <w:rsid w:val="006B0EC9"/>
    <w:rsid w:val="006C2874"/>
    <w:rsid w:val="006C7F8C"/>
    <w:rsid w:val="006D380D"/>
    <w:rsid w:val="006E0135"/>
    <w:rsid w:val="006E303A"/>
    <w:rsid w:val="006E5ED2"/>
    <w:rsid w:val="006F7E19"/>
    <w:rsid w:val="00700B2C"/>
    <w:rsid w:val="00712D8D"/>
    <w:rsid w:val="00713077"/>
    <w:rsid w:val="00713084"/>
    <w:rsid w:val="007145F5"/>
    <w:rsid w:val="00714B26"/>
    <w:rsid w:val="00731E00"/>
    <w:rsid w:val="007440B7"/>
    <w:rsid w:val="007634AD"/>
    <w:rsid w:val="007715C9"/>
    <w:rsid w:val="00774EDD"/>
    <w:rsid w:val="007757EC"/>
    <w:rsid w:val="00782A4C"/>
    <w:rsid w:val="007A74A8"/>
    <w:rsid w:val="007B30AA"/>
    <w:rsid w:val="007D40B0"/>
    <w:rsid w:val="007D6DA3"/>
    <w:rsid w:val="007E78F7"/>
    <w:rsid w:val="007E7D4A"/>
    <w:rsid w:val="007F0D79"/>
    <w:rsid w:val="008000C6"/>
    <w:rsid w:val="008006CC"/>
    <w:rsid w:val="00807F18"/>
    <w:rsid w:val="00822C53"/>
    <w:rsid w:val="00831E8D"/>
    <w:rsid w:val="008537D1"/>
    <w:rsid w:val="00856A31"/>
    <w:rsid w:val="00857D6B"/>
    <w:rsid w:val="008754D0"/>
    <w:rsid w:val="00876322"/>
    <w:rsid w:val="00877D48"/>
    <w:rsid w:val="00883781"/>
    <w:rsid w:val="00885570"/>
    <w:rsid w:val="00893958"/>
    <w:rsid w:val="00895F2D"/>
    <w:rsid w:val="008A2C36"/>
    <w:rsid w:val="008A2E77"/>
    <w:rsid w:val="008C6F6F"/>
    <w:rsid w:val="008D0EE0"/>
    <w:rsid w:val="008D1F88"/>
    <w:rsid w:val="008D3E94"/>
    <w:rsid w:val="008E07FD"/>
    <w:rsid w:val="008F4F1C"/>
    <w:rsid w:val="008F77C4"/>
    <w:rsid w:val="00901BEA"/>
    <w:rsid w:val="009103F3"/>
    <w:rsid w:val="00913BCC"/>
    <w:rsid w:val="00932377"/>
    <w:rsid w:val="00943221"/>
    <w:rsid w:val="00967042"/>
    <w:rsid w:val="00975DF4"/>
    <w:rsid w:val="00976EE3"/>
    <w:rsid w:val="00977A9A"/>
    <w:rsid w:val="0098255A"/>
    <w:rsid w:val="009845BE"/>
    <w:rsid w:val="009969C9"/>
    <w:rsid w:val="009C51E2"/>
    <w:rsid w:val="009D2859"/>
    <w:rsid w:val="009E186E"/>
    <w:rsid w:val="009E1DBA"/>
    <w:rsid w:val="009E4B55"/>
    <w:rsid w:val="009E5874"/>
    <w:rsid w:val="009F693A"/>
    <w:rsid w:val="009F7BD0"/>
    <w:rsid w:val="00A048FF"/>
    <w:rsid w:val="00A10775"/>
    <w:rsid w:val="00A10F6D"/>
    <w:rsid w:val="00A16F0D"/>
    <w:rsid w:val="00A231E2"/>
    <w:rsid w:val="00A356EA"/>
    <w:rsid w:val="00A36C48"/>
    <w:rsid w:val="00A37750"/>
    <w:rsid w:val="00A41E0B"/>
    <w:rsid w:val="00A47889"/>
    <w:rsid w:val="00A5523E"/>
    <w:rsid w:val="00A55631"/>
    <w:rsid w:val="00A64912"/>
    <w:rsid w:val="00A70A74"/>
    <w:rsid w:val="00A95B44"/>
    <w:rsid w:val="00A963D3"/>
    <w:rsid w:val="00AA2A4E"/>
    <w:rsid w:val="00AA3795"/>
    <w:rsid w:val="00AC1923"/>
    <w:rsid w:val="00AC1E75"/>
    <w:rsid w:val="00AD5641"/>
    <w:rsid w:val="00AE1088"/>
    <w:rsid w:val="00AF1BA4"/>
    <w:rsid w:val="00B032D8"/>
    <w:rsid w:val="00B21943"/>
    <w:rsid w:val="00B32BE2"/>
    <w:rsid w:val="00B33B3C"/>
    <w:rsid w:val="00B449A8"/>
    <w:rsid w:val="00B6382D"/>
    <w:rsid w:val="00B85B53"/>
    <w:rsid w:val="00BA5026"/>
    <w:rsid w:val="00BB40BF"/>
    <w:rsid w:val="00BC0CD1"/>
    <w:rsid w:val="00BC1692"/>
    <w:rsid w:val="00BD0B65"/>
    <w:rsid w:val="00BD1A1F"/>
    <w:rsid w:val="00BE719A"/>
    <w:rsid w:val="00BE720A"/>
    <w:rsid w:val="00BF0461"/>
    <w:rsid w:val="00BF4944"/>
    <w:rsid w:val="00BF56D4"/>
    <w:rsid w:val="00C03C8D"/>
    <w:rsid w:val="00C04409"/>
    <w:rsid w:val="00C058F4"/>
    <w:rsid w:val="00C067E5"/>
    <w:rsid w:val="00C164CA"/>
    <w:rsid w:val="00C176CF"/>
    <w:rsid w:val="00C24EE9"/>
    <w:rsid w:val="00C42BF8"/>
    <w:rsid w:val="00C460AE"/>
    <w:rsid w:val="00C50043"/>
    <w:rsid w:val="00C54E84"/>
    <w:rsid w:val="00C66E45"/>
    <w:rsid w:val="00C74F04"/>
    <w:rsid w:val="00C7573B"/>
    <w:rsid w:val="00C76CF3"/>
    <w:rsid w:val="00C86AE6"/>
    <w:rsid w:val="00CB2652"/>
    <w:rsid w:val="00CD35E4"/>
    <w:rsid w:val="00CE1E31"/>
    <w:rsid w:val="00CE4353"/>
    <w:rsid w:val="00CF0BB2"/>
    <w:rsid w:val="00CF44A0"/>
    <w:rsid w:val="00D00EAA"/>
    <w:rsid w:val="00D01352"/>
    <w:rsid w:val="00D13441"/>
    <w:rsid w:val="00D243A3"/>
    <w:rsid w:val="00D401F1"/>
    <w:rsid w:val="00D414D7"/>
    <w:rsid w:val="00D477C3"/>
    <w:rsid w:val="00D52EFE"/>
    <w:rsid w:val="00D53E7B"/>
    <w:rsid w:val="00D62D28"/>
    <w:rsid w:val="00D63EF6"/>
    <w:rsid w:val="00D67597"/>
    <w:rsid w:val="00D70DFB"/>
    <w:rsid w:val="00D73029"/>
    <w:rsid w:val="00D74A10"/>
    <w:rsid w:val="00D766DF"/>
    <w:rsid w:val="00D85E0D"/>
    <w:rsid w:val="00D917FF"/>
    <w:rsid w:val="00DA0FFE"/>
    <w:rsid w:val="00DB2FD6"/>
    <w:rsid w:val="00DD0F57"/>
    <w:rsid w:val="00DE2002"/>
    <w:rsid w:val="00DF7AE9"/>
    <w:rsid w:val="00E02A44"/>
    <w:rsid w:val="00E05704"/>
    <w:rsid w:val="00E24D66"/>
    <w:rsid w:val="00E37760"/>
    <w:rsid w:val="00E40A44"/>
    <w:rsid w:val="00E54292"/>
    <w:rsid w:val="00E56187"/>
    <w:rsid w:val="00E74DC7"/>
    <w:rsid w:val="00E83839"/>
    <w:rsid w:val="00E84E30"/>
    <w:rsid w:val="00E84ECA"/>
    <w:rsid w:val="00E87699"/>
    <w:rsid w:val="00E91931"/>
    <w:rsid w:val="00E947C6"/>
    <w:rsid w:val="00EB510C"/>
    <w:rsid w:val="00ED492F"/>
    <w:rsid w:val="00ED734C"/>
    <w:rsid w:val="00EE3E36"/>
    <w:rsid w:val="00EF2E3A"/>
    <w:rsid w:val="00EF43C2"/>
    <w:rsid w:val="00F047E2"/>
    <w:rsid w:val="00F078DC"/>
    <w:rsid w:val="00F10EAA"/>
    <w:rsid w:val="00F13E86"/>
    <w:rsid w:val="00F17B00"/>
    <w:rsid w:val="00F351C1"/>
    <w:rsid w:val="00F37DBB"/>
    <w:rsid w:val="00F405BF"/>
    <w:rsid w:val="00F569DA"/>
    <w:rsid w:val="00F63D3E"/>
    <w:rsid w:val="00F677A9"/>
    <w:rsid w:val="00F84CF5"/>
    <w:rsid w:val="00F92D35"/>
    <w:rsid w:val="00FA3130"/>
    <w:rsid w:val="00FA420B"/>
    <w:rsid w:val="00FD1E13"/>
    <w:rsid w:val="00FD7EB1"/>
    <w:rsid w:val="00FE41C9"/>
    <w:rsid w:val="00FE7F93"/>
    <w:rsid w:val="00FF5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E4F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10EAA"/>
    <w:pPr>
      <w:spacing w:line="260" w:lineRule="atLeast"/>
    </w:pPr>
    <w:rPr>
      <w:sz w:val="22"/>
    </w:rPr>
  </w:style>
  <w:style w:type="paragraph" w:styleId="Heading1">
    <w:name w:val="heading 1"/>
    <w:basedOn w:val="Normal"/>
    <w:next w:val="Normal"/>
    <w:link w:val="Heading1Char"/>
    <w:uiPriority w:val="9"/>
    <w:qFormat/>
    <w:rsid w:val="00F10EAA"/>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10EAA"/>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0EAA"/>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10EAA"/>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10EAA"/>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10EAA"/>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10EAA"/>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10EAA"/>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0EAA"/>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10EAA"/>
  </w:style>
  <w:style w:type="paragraph" w:customStyle="1" w:styleId="OPCParaBase">
    <w:name w:val="OPCParaBase"/>
    <w:qFormat/>
    <w:rsid w:val="00F10EAA"/>
    <w:pPr>
      <w:spacing w:line="260" w:lineRule="atLeast"/>
    </w:pPr>
    <w:rPr>
      <w:rFonts w:eastAsia="Times New Roman" w:cs="Times New Roman"/>
      <w:sz w:val="22"/>
      <w:lang w:eastAsia="en-AU"/>
    </w:rPr>
  </w:style>
  <w:style w:type="paragraph" w:customStyle="1" w:styleId="ShortT">
    <w:name w:val="ShortT"/>
    <w:basedOn w:val="OPCParaBase"/>
    <w:next w:val="Normal"/>
    <w:qFormat/>
    <w:rsid w:val="00F10EAA"/>
    <w:pPr>
      <w:spacing w:line="240" w:lineRule="auto"/>
    </w:pPr>
    <w:rPr>
      <w:b/>
      <w:sz w:val="40"/>
    </w:rPr>
  </w:style>
  <w:style w:type="paragraph" w:customStyle="1" w:styleId="ActHead1">
    <w:name w:val="ActHead 1"/>
    <w:aliases w:val="c"/>
    <w:basedOn w:val="OPCParaBase"/>
    <w:next w:val="Normal"/>
    <w:qFormat/>
    <w:rsid w:val="00F10E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10E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10E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10E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10E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10E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10E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10E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10EA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10EAA"/>
  </w:style>
  <w:style w:type="paragraph" w:customStyle="1" w:styleId="Blocks">
    <w:name w:val="Blocks"/>
    <w:aliases w:val="bb"/>
    <w:basedOn w:val="OPCParaBase"/>
    <w:qFormat/>
    <w:rsid w:val="00F10EAA"/>
    <w:pPr>
      <w:spacing w:line="240" w:lineRule="auto"/>
    </w:pPr>
    <w:rPr>
      <w:sz w:val="24"/>
    </w:rPr>
  </w:style>
  <w:style w:type="paragraph" w:customStyle="1" w:styleId="BoxText">
    <w:name w:val="BoxText"/>
    <w:aliases w:val="bt"/>
    <w:basedOn w:val="OPCParaBase"/>
    <w:qFormat/>
    <w:rsid w:val="00F10E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10EAA"/>
    <w:rPr>
      <w:b/>
    </w:rPr>
  </w:style>
  <w:style w:type="paragraph" w:customStyle="1" w:styleId="BoxHeadItalic">
    <w:name w:val="BoxHeadItalic"/>
    <w:aliases w:val="bhi"/>
    <w:basedOn w:val="BoxText"/>
    <w:next w:val="BoxStep"/>
    <w:qFormat/>
    <w:rsid w:val="00F10EAA"/>
    <w:rPr>
      <w:i/>
    </w:rPr>
  </w:style>
  <w:style w:type="paragraph" w:customStyle="1" w:styleId="BoxList">
    <w:name w:val="BoxList"/>
    <w:aliases w:val="bl"/>
    <w:basedOn w:val="BoxText"/>
    <w:qFormat/>
    <w:rsid w:val="00F10EAA"/>
    <w:pPr>
      <w:ind w:left="1559" w:hanging="425"/>
    </w:pPr>
  </w:style>
  <w:style w:type="paragraph" w:customStyle="1" w:styleId="BoxNote">
    <w:name w:val="BoxNote"/>
    <w:aliases w:val="bn"/>
    <w:basedOn w:val="BoxText"/>
    <w:qFormat/>
    <w:rsid w:val="00F10EAA"/>
    <w:pPr>
      <w:tabs>
        <w:tab w:val="left" w:pos="1985"/>
      </w:tabs>
      <w:spacing w:before="122" w:line="198" w:lineRule="exact"/>
      <w:ind w:left="2948" w:hanging="1814"/>
    </w:pPr>
    <w:rPr>
      <w:sz w:val="18"/>
    </w:rPr>
  </w:style>
  <w:style w:type="paragraph" w:customStyle="1" w:styleId="BoxPara">
    <w:name w:val="BoxPara"/>
    <w:aliases w:val="bp"/>
    <w:basedOn w:val="BoxText"/>
    <w:qFormat/>
    <w:rsid w:val="00F10EAA"/>
    <w:pPr>
      <w:tabs>
        <w:tab w:val="right" w:pos="2268"/>
      </w:tabs>
      <w:ind w:left="2552" w:hanging="1418"/>
    </w:pPr>
  </w:style>
  <w:style w:type="paragraph" w:customStyle="1" w:styleId="BoxStep">
    <w:name w:val="BoxStep"/>
    <w:aliases w:val="bs"/>
    <w:basedOn w:val="BoxText"/>
    <w:qFormat/>
    <w:rsid w:val="00F10EAA"/>
    <w:pPr>
      <w:ind w:left="1985" w:hanging="851"/>
    </w:pPr>
  </w:style>
  <w:style w:type="character" w:customStyle="1" w:styleId="CharAmPartNo">
    <w:name w:val="CharAmPartNo"/>
    <w:basedOn w:val="OPCCharBase"/>
    <w:qFormat/>
    <w:rsid w:val="00F10EAA"/>
  </w:style>
  <w:style w:type="character" w:customStyle="1" w:styleId="CharAmPartText">
    <w:name w:val="CharAmPartText"/>
    <w:basedOn w:val="OPCCharBase"/>
    <w:qFormat/>
    <w:rsid w:val="00F10EAA"/>
  </w:style>
  <w:style w:type="character" w:customStyle="1" w:styleId="CharAmSchNo">
    <w:name w:val="CharAmSchNo"/>
    <w:basedOn w:val="OPCCharBase"/>
    <w:qFormat/>
    <w:rsid w:val="00F10EAA"/>
  </w:style>
  <w:style w:type="character" w:customStyle="1" w:styleId="CharAmSchText">
    <w:name w:val="CharAmSchText"/>
    <w:basedOn w:val="OPCCharBase"/>
    <w:qFormat/>
    <w:rsid w:val="00F10EAA"/>
  </w:style>
  <w:style w:type="character" w:customStyle="1" w:styleId="CharBoldItalic">
    <w:name w:val="CharBoldItalic"/>
    <w:basedOn w:val="OPCCharBase"/>
    <w:uiPriority w:val="1"/>
    <w:qFormat/>
    <w:rsid w:val="00F10EAA"/>
    <w:rPr>
      <w:b/>
      <w:i/>
    </w:rPr>
  </w:style>
  <w:style w:type="character" w:customStyle="1" w:styleId="CharChapNo">
    <w:name w:val="CharChapNo"/>
    <w:basedOn w:val="OPCCharBase"/>
    <w:uiPriority w:val="1"/>
    <w:qFormat/>
    <w:rsid w:val="00F10EAA"/>
  </w:style>
  <w:style w:type="character" w:customStyle="1" w:styleId="CharChapText">
    <w:name w:val="CharChapText"/>
    <w:basedOn w:val="OPCCharBase"/>
    <w:uiPriority w:val="1"/>
    <w:qFormat/>
    <w:rsid w:val="00F10EAA"/>
  </w:style>
  <w:style w:type="character" w:customStyle="1" w:styleId="CharDivNo">
    <w:name w:val="CharDivNo"/>
    <w:basedOn w:val="OPCCharBase"/>
    <w:uiPriority w:val="1"/>
    <w:qFormat/>
    <w:rsid w:val="00F10EAA"/>
  </w:style>
  <w:style w:type="character" w:customStyle="1" w:styleId="CharDivText">
    <w:name w:val="CharDivText"/>
    <w:basedOn w:val="OPCCharBase"/>
    <w:uiPriority w:val="1"/>
    <w:qFormat/>
    <w:rsid w:val="00F10EAA"/>
  </w:style>
  <w:style w:type="character" w:customStyle="1" w:styleId="CharItalic">
    <w:name w:val="CharItalic"/>
    <w:basedOn w:val="OPCCharBase"/>
    <w:uiPriority w:val="1"/>
    <w:qFormat/>
    <w:rsid w:val="00F10EAA"/>
    <w:rPr>
      <w:i/>
    </w:rPr>
  </w:style>
  <w:style w:type="character" w:customStyle="1" w:styleId="CharPartNo">
    <w:name w:val="CharPartNo"/>
    <w:basedOn w:val="OPCCharBase"/>
    <w:uiPriority w:val="1"/>
    <w:qFormat/>
    <w:rsid w:val="00F10EAA"/>
  </w:style>
  <w:style w:type="character" w:customStyle="1" w:styleId="CharPartText">
    <w:name w:val="CharPartText"/>
    <w:basedOn w:val="OPCCharBase"/>
    <w:uiPriority w:val="1"/>
    <w:qFormat/>
    <w:rsid w:val="00F10EAA"/>
  </w:style>
  <w:style w:type="character" w:customStyle="1" w:styleId="CharSectno">
    <w:name w:val="CharSectno"/>
    <w:basedOn w:val="OPCCharBase"/>
    <w:qFormat/>
    <w:rsid w:val="00F10EAA"/>
  </w:style>
  <w:style w:type="character" w:customStyle="1" w:styleId="CharSubdNo">
    <w:name w:val="CharSubdNo"/>
    <w:basedOn w:val="OPCCharBase"/>
    <w:uiPriority w:val="1"/>
    <w:qFormat/>
    <w:rsid w:val="00F10EAA"/>
  </w:style>
  <w:style w:type="character" w:customStyle="1" w:styleId="CharSubdText">
    <w:name w:val="CharSubdText"/>
    <w:basedOn w:val="OPCCharBase"/>
    <w:uiPriority w:val="1"/>
    <w:qFormat/>
    <w:rsid w:val="00F10EAA"/>
  </w:style>
  <w:style w:type="paragraph" w:customStyle="1" w:styleId="CTA--">
    <w:name w:val="CTA --"/>
    <w:basedOn w:val="OPCParaBase"/>
    <w:next w:val="Normal"/>
    <w:rsid w:val="00F10EAA"/>
    <w:pPr>
      <w:spacing w:before="60" w:line="240" w:lineRule="atLeast"/>
      <w:ind w:left="142" w:hanging="142"/>
    </w:pPr>
    <w:rPr>
      <w:sz w:val="20"/>
    </w:rPr>
  </w:style>
  <w:style w:type="paragraph" w:customStyle="1" w:styleId="CTA-">
    <w:name w:val="CTA -"/>
    <w:basedOn w:val="OPCParaBase"/>
    <w:rsid w:val="00F10EAA"/>
    <w:pPr>
      <w:spacing w:before="60" w:line="240" w:lineRule="atLeast"/>
      <w:ind w:left="85" w:hanging="85"/>
    </w:pPr>
    <w:rPr>
      <w:sz w:val="20"/>
    </w:rPr>
  </w:style>
  <w:style w:type="paragraph" w:customStyle="1" w:styleId="CTA---">
    <w:name w:val="CTA ---"/>
    <w:basedOn w:val="OPCParaBase"/>
    <w:next w:val="Normal"/>
    <w:rsid w:val="00F10EAA"/>
    <w:pPr>
      <w:spacing w:before="60" w:line="240" w:lineRule="atLeast"/>
      <w:ind w:left="198" w:hanging="198"/>
    </w:pPr>
    <w:rPr>
      <w:sz w:val="20"/>
    </w:rPr>
  </w:style>
  <w:style w:type="paragraph" w:customStyle="1" w:styleId="CTA----">
    <w:name w:val="CTA ----"/>
    <w:basedOn w:val="OPCParaBase"/>
    <w:next w:val="Normal"/>
    <w:rsid w:val="00F10EAA"/>
    <w:pPr>
      <w:spacing w:before="60" w:line="240" w:lineRule="atLeast"/>
      <w:ind w:left="255" w:hanging="255"/>
    </w:pPr>
    <w:rPr>
      <w:sz w:val="20"/>
    </w:rPr>
  </w:style>
  <w:style w:type="paragraph" w:customStyle="1" w:styleId="CTA1a">
    <w:name w:val="CTA 1(a)"/>
    <w:basedOn w:val="OPCParaBase"/>
    <w:rsid w:val="00F10EAA"/>
    <w:pPr>
      <w:tabs>
        <w:tab w:val="right" w:pos="414"/>
      </w:tabs>
      <w:spacing w:before="40" w:line="240" w:lineRule="atLeast"/>
      <w:ind w:left="675" w:hanging="675"/>
    </w:pPr>
    <w:rPr>
      <w:sz w:val="20"/>
    </w:rPr>
  </w:style>
  <w:style w:type="paragraph" w:customStyle="1" w:styleId="CTA1ai">
    <w:name w:val="CTA 1(a)(i)"/>
    <w:basedOn w:val="OPCParaBase"/>
    <w:rsid w:val="00F10EAA"/>
    <w:pPr>
      <w:tabs>
        <w:tab w:val="right" w:pos="1004"/>
      </w:tabs>
      <w:spacing w:before="40" w:line="240" w:lineRule="atLeast"/>
      <w:ind w:left="1253" w:hanging="1253"/>
    </w:pPr>
    <w:rPr>
      <w:sz w:val="20"/>
    </w:rPr>
  </w:style>
  <w:style w:type="paragraph" w:customStyle="1" w:styleId="CTA2a">
    <w:name w:val="CTA 2(a)"/>
    <w:basedOn w:val="OPCParaBase"/>
    <w:rsid w:val="00F10EAA"/>
    <w:pPr>
      <w:tabs>
        <w:tab w:val="right" w:pos="482"/>
      </w:tabs>
      <w:spacing w:before="40" w:line="240" w:lineRule="atLeast"/>
      <w:ind w:left="748" w:hanging="748"/>
    </w:pPr>
    <w:rPr>
      <w:sz w:val="20"/>
    </w:rPr>
  </w:style>
  <w:style w:type="paragraph" w:customStyle="1" w:styleId="CTA2ai">
    <w:name w:val="CTA 2(a)(i)"/>
    <w:basedOn w:val="OPCParaBase"/>
    <w:rsid w:val="00F10EAA"/>
    <w:pPr>
      <w:tabs>
        <w:tab w:val="right" w:pos="1089"/>
      </w:tabs>
      <w:spacing w:before="40" w:line="240" w:lineRule="atLeast"/>
      <w:ind w:left="1327" w:hanging="1327"/>
    </w:pPr>
    <w:rPr>
      <w:sz w:val="20"/>
    </w:rPr>
  </w:style>
  <w:style w:type="paragraph" w:customStyle="1" w:styleId="CTA3a">
    <w:name w:val="CTA 3(a)"/>
    <w:basedOn w:val="OPCParaBase"/>
    <w:rsid w:val="00F10EAA"/>
    <w:pPr>
      <w:tabs>
        <w:tab w:val="right" w:pos="556"/>
      </w:tabs>
      <w:spacing w:before="40" w:line="240" w:lineRule="atLeast"/>
      <w:ind w:left="805" w:hanging="805"/>
    </w:pPr>
    <w:rPr>
      <w:sz w:val="20"/>
    </w:rPr>
  </w:style>
  <w:style w:type="paragraph" w:customStyle="1" w:styleId="CTA3ai">
    <w:name w:val="CTA 3(a)(i)"/>
    <w:basedOn w:val="OPCParaBase"/>
    <w:rsid w:val="00F10EAA"/>
    <w:pPr>
      <w:tabs>
        <w:tab w:val="right" w:pos="1140"/>
      </w:tabs>
      <w:spacing w:before="40" w:line="240" w:lineRule="atLeast"/>
      <w:ind w:left="1361" w:hanging="1361"/>
    </w:pPr>
    <w:rPr>
      <w:sz w:val="20"/>
    </w:rPr>
  </w:style>
  <w:style w:type="paragraph" w:customStyle="1" w:styleId="CTA4a">
    <w:name w:val="CTA 4(a)"/>
    <w:basedOn w:val="OPCParaBase"/>
    <w:rsid w:val="00F10EAA"/>
    <w:pPr>
      <w:tabs>
        <w:tab w:val="right" w:pos="624"/>
      </w:tabs>
      <w:spacing w:before="40" w:line="240" w:lineRule="atLeast"/>
      <w:ind w:left="873" w:hanging="873"/>
    </w:pPr>
    <w:rPr>
      <w:sz w:val="20"/>
    </w:rPr>
  </w:style>
  <w:style w:type="paragraph" w:customStyle="1" w:styleId="CTA4ai">
    <w:name w:val="CTA 4(a)(i)"/>
    <w:basedOn w:val="OPCParaBase"/>
    <w:rsid w:val="00F10EAA"/>
    <w:pPr>
      <w:tabs>
        <w:tab w:val="right" w:pos="1213"/>
      </w:tabs>
      <w:spacing w:before="40" w:line="240" w:lineRule="atLeast"/>
      <w:ind w:left="1452" w:hanging="1452"/>
    </w:pPr>
    <w:rPr>
      <w:sz w:val="20"/>
    </w:rPr>
  </w:style>
  <w:style w:type="paragraph" w:customStyle="1" w:styleId="CTACAPS">
    <w:name w:val="CTA CAPS"/>
    <w:basedOn w:val="OPCParaBase"/>
    <w:rsid w:val="00F10EAA"/>
    <w:pPr>
      <w:spacing w:before="60" w:line="240" w:lineRule="atLeast"/>
    </w:pPr>
    <w:rPr>
      <w:sz w:val="20"/>
    </w:rPr>
  </w:style>
  <w:style w:type="paragraph" w:customStyle="1" w:styleId="CTAright">
    <w:name w:val="CTA right"/>
    <w:basedOn w:val="OPCParaBase"/>
    <w:rsid w:val="00F10EAA"/>
    <w:pPr>
      <w:spacing w:before="60" w:line="240" w:lineRule="auto"/>
      <w:jc w:val="right"/>
    </w:pPr>
    <w:rPr>
      <w:sz w:val="20"/>
    </w:rPr>
  </w:style>
  <w:style w:type="paragraph" w:customStyle="1" w:styleId="subsection">
    <w:name w:val="subsection"/>
    <w:aliases w:val="ss"/>
    <w:basedOn w:val="OPCParaBase"/>
    <w:link w:val="subsectionChar"/>
    <w:rsid w:val="00F10EAA"/>
    <w:pPr>
      <w:tabs>
        <w:tab w:val="right" w:pos="1021"/>
      </w:tabs>
      <w:spacing w:before="180" w:line="240" w:lineRule="auto"/>
      <w:ind w:left="1134" w:hanging="1134"/>
    </w:pPr>
  </w:style>
  <w:style w:type="paragraph" w:customStyle="1" w:styleId="Definition">
    <w:name w:val="Definition"/>
    <w:aliases w:val="dd"/>
    <w:basedOn w:val="OPCParaBase"/>
    <w:rsid w:val="00F10EAA"/>
    <w:pPr>
      <w:spacing w:before="180" w:line="240" w:lineRule="auto"/>
      <w:ind w:left="1134"/>
    </w:pPr>
  </w:style>
  <w:style w:type="paragraph" w:customStyle="1" w:styleId="ETAsubitem">
    <w:name w:val="ETA(subitem)"/>
    <w:basedOn w:val="OPCParaBase"/>
    <w:rsid w:val="00F10EAA"/>
    <w:pPr>
      <w:tabs>
        <w:tab w:val="right" w:pos="340"/>
      </w:tabs>
      <w:spacing w:before="60" w:line="240" w:lineRule="auto"/>
      <w:ind w:left="454" w:hanging="454"/>
    </w:pPr>
    <w:rPr>
      <w:sz w:val="20"/>
    </w:rPr>
  </w:style>
  <w:style w:type="paragraph" w:customStyle="1" w:styleId="ETApara">
    <w:name w:val="ETA(para)"/>
    <w:basedOn w:val="OPCParaBase"/>
    <w:rsid w:val="00F10EAA"/>
    <w:pPr>
      <w:tabs>
        <w:tab w:val="right" w:pos="754"/>
      </w:tabs>
      <w:spacing w:before="60" w:line="240" w:lineRule="auto"/>
      <w:ind w:left="828" w:hanging="828"/>
    </w:pPr>
    <w:rPr>
      <w:sz w:val="20"/>
    </w:rPr>
  </w:style>
  <w:style w:type="paragraph" w:customStyle="1" w:styleId="ETAsubpara">
    <w:name w:val="ETA(subpara)"/>
    <w:basedOn w:val="OPCParaBase"/>
    <w:rsid w:val="00F10EAA"/>
    <w:pPr>
      <w:tabs>
        <w:tab w:val="right" w:pos="1083"/>
      </w:tabs>
      <w:spacing w:before="60" w:line="240" w:lineRule="auto"/>
      <w:ind w:left="1191" w:hanging="1191"/>
    </w:pPr>
    <w:rPr>
      <w:sz w:val="20"/>
    </w:rPr>
  </w:style>
  <w:style w:type="paragraph" w:customStyle="1" w:styleId="ETAsub-subpara">
    <w:name w:val="ETA(sub-subpara)"/>
    <w:basedOn w:val="OPCParaBase"/>
    <w:rsid w:val="00F10EAA"/>
    <w:pPr>
      <w:tabs>
        <w:tab w:val="right" w:pos="1412"/>
      </w:tabs>
      <w:spacing w:before="60" w:line="240" w:lineRule="auto"/>
      <w:ind w:left="1525" w:hanging="1525"/>
    </w:pPr>
    <w:rPr>
      <w:sz w:val="20"/>
    </w:rPr>
  </w:style>
  <w:style w:type="paragraph" w:customStyle="1" w:styleId="Formula">
    <w:name w:val="Formula"/>
    <w:basedOn w:val="OPCParaBase"/>
    <w:rsid w:val="00F10EAA"/>
    <w:pPr>
      <w:spacing w:line="240" w:lineRule="auto"/>
      <w:ind w:left="1134"/>
    </w:pPr>
    <w:rPr>
      <w:sz w:val="20"/>
    </w:rPr>
  </w:style>
  <w:style w:type="paragraph" w:styleId="Header">
    <w:name w:val="header"/>
    <w:basedOn w:val="OPCParaBase"/>
    <w:link w:val="HeaderChar"/>
    <w:unhideWhenUsed/>
    <w:rsid w:val="00F10EA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10EAA"/>
    <w:rPr>
      <w:rFonts w:eastAsia="Times New Roman" w:cs="Times New Roman"/>
      <w:sz w:val="16"/>
      <w:lang w:eastAsia="en-AU"/>
    </w:rPr>
  </w:style>
  <w:style w:type="paragraph" w:customStyle="1" w:styleId="House">
    <w:name w:val="House"/>
    <w:basedOn w:val="OPCParaBase"/>
    <w:rsid w:val="00F10EAA"/>
    <w:pPr>
      <w:spacing w:line="240" w:lineRule="auto"/>
    </w:pPr>
    <w:rPr>
      <w:sz w:val="28"/>
    </w:rPr>
  </w:style>
  <w:style w:type="paragraph" w:customStyle="1" w:styleId="Item">
    <w:name w:val="Item"/>
    <w:aliases w:val="i"/>
    <w:basedOn w:val="OPCParaBase"/>
    <w:next w:val="ItemHead"/>
    <w:rsid w:val="00F10EAA"/>
    <w:pPr>
      <w:keepLines/>
      <w:spacing w:before="80" w:line="240" w:lineRule="auto"/>
      <w:ind w:left="709"/>
    </w:pPr>
  </w:style>
  <w:style w:type="paragraph" w:customStyle="1" w:styleId="ItemHead">
    <w:name w:val="ItemHead"/>
    <w:aliases w:val="ih"/>
    <w:basedOn w:val="OPCParaBase"/>
    <w:next w:val="Item"/>
    <w:rsid w:val="00F10EA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10EAA"/>
    <w:pPr>
      <w:spacing w:line="240" w:lineRule="auto"/>
    </w:pPr>
    <w:rPr>
      <w:b/>
      <w:sz w:val="32"/>
    </w:rPr>
  </w:style>
  <w:style w:type="paragraph" w:customStyle="1" w:styleId="notedraft">
    <w:name w:val="note(draft)"/>
    <w:aliases w:val="nd"/>
    <w:basedOn w:val="OPCParaBase"/>
    <w:rsid w:val="00F10EAA"/>
    <w:pPr>
      <w:spacing w:before="240" w:line="240" w:lineRule="auto"/>
      <w:ind w:left="284" w:hanging="284"/>
    </w:pPr>
    <w:rPr>
      <w:i/>
      <w:sz w:val="24"/>
    </w:rPr>
  </w:style>
  <w:style w:type="paragraph" w:customStyle="1" w:styleId="notemargin">
    <w:name w:val="note(margin)"/>
    <w:aliases w:val="nm"/>
    <w:basedOn w:val="OPCParaBase"/>
    <w:rsid w:val="00F10EAA"/>
    <w:pPr>
      <w:tabs>
        <w:tab w:val="left" w:pos="709"/>
      </w:tabs>
      <w:spacing w:before="122" w:line="198" w:lineRule="exact"/>
      <w:ind w:left="709" w:hanging="709"/>
    </w:pPr>
    <w:rPr>
      <w:sz w:val="18"/>
    </w:rPr>
  </w:style>
  <w:style w:type="paragraph" w:customStyle="1" w:styleId="noteToPara">
    <w:name w:val="noteToPara"/>
    <w:aliases w:val="ntp"/>
    <w:basedOn w:val="OPCParaBase"/>
    <w:rsid w:val="00F10EAA"/>
    <w:pPr>
      <w:spacing w:before="122" w:line="198" w:lineRule="exact"/>
      <w:ind w:left="2353" w:hanging="709"/>
    </w:pPr>
    <w:rPr>
      <w:sz w:val="18"/>
    </w:rPr>
  </w:style>
  <w:style w:type="paragraph" w:customStyle="1" w:styleId="noteParlAmend">
    <w:name w:val="note(ParlAmend)"/>
    <w:aliases w:val="npp"/>
    <w:basedOn w:val="OPCParaBase"/>
    <w:next w:val="ParlAmend"/>
    <w:rsid w:val="00F10EAA"/>
    <w:pPr>
      <w:spacing w:line="240" w:lineRule="auto"/>
      <w:jc w:val="right"/>
    </w:pPr>
    <w:rPr>
      <w:rFonts w:ascii="Arial" w:hAnsi="Arial"/>
      <w:b/>
      <w:i/>
    </w:rPr>
  </w:style>
  <w:style w:type="paragraph" w:customStyle="1" w:styleId="Page1">
    <w:name w:val="Page1"/>
    <w:basedOn w:val="OPCParaBase"/>
    <w:rsid w:val="00F10EAA"/>
    <w:pPr>
      <w:spacing w:before="5600" w:line="240" w:lineRule="auto"/>
    </w:pPr>
    <w:rPr>
      <w:b/>
      <w:sz w:val="32"/>
    </w:rPr>
  </w:style>
  <w:style w:type="paragraph" w:customStyle="1" w:styleId="PageBreak">
    <w:name w:val="PageBreak"/>
    <w:aliases w:val="pb"/>
    <w:basedOn w:val="OPCParaBase"/>
    <w:rsid w:val="00F10EAA"/>
    <w:pPr>
      <w:spacing w:line="240" w:lineRule="auto"/>
    </w:pPr>
    <w:rPr>
      <w:sz w:val="20"/>
    </w:rPr>
  </w:style>
  <w:style w:type="paragraph" w:customStyle="1" w:styleId="paragraphsub">
    <w:name w:val="paragraph(sub)"/>
    <w:aliases w:val="aa"/>
    <w:basedOn w:val="OPCParaBase"/>
    <w:rsid w:val="00F10EAA"/>
    <w:pPr>
      <w:tabs>
        <w:tab w:val="right" w:pos="1985"/>
      </w:tabs>
      <w:spacing w:before="40" w:line="240" w:lineRule="auto"/>
      <w:ind w:left="2098" w:hanging="2098"/>
    </w:pPr>
  </w:style>
  <w:style w:type="paragraph" w:customStyle="1" w:styleId="paragraphsub-sub">
    <w:name w:val="paragraph(sub-sub)"/>
    <w:aliases w:val="aaa"/>
    <w:basedOn w:val="OPCParaBase"/>
    <w:rsid w:val="00F10EAA"/>
    <w:pPr>
      <w:tabs>
        <w:tab w:val="right" w:pos="2722"/>
      </w:tabs>
      <w:spacing w:before="40" w:line="240" w:lineRule="auto"/>
      <w:ind w:left="2835" w:hanging="2835"/>
    </w:pPr>
  </w:style>
  <w:style w:type="paragraph" w:customStyle="1" w:styleId="paragraph">
    <w:name w:val="paragraph"/>
    <w:aliases w:val="a"/>
    <w:basedOn w:val="OPCParaBase"/>
    <w:rsid w:val="00F10EAA"/>
    <w:pPr>
      <w:tabs>
        <w:tab w:val="right" w:pos="1531"/>
      </w:tabs>
      <w:spacing w:before="40" w:line="240" w:lineRule="auto"/>
      <w:ind w:left="1644" w:hanging="1644"/>
    </w:pPr>
  </w:style>
  <w:style w:type="paragraph" w:customStyle="1" w:styleId="ParlAmend">
    <w:name w:val="ParlAmend"/>
    <w:aliases w:val="pp"/>
    <w:basedOn w:val="OPCParaBase"/>
    <w:rsid w:val="00F10EAA"/>
    <w:pPr>
      <w:spacing w:before="240" w:line="240" w:lineRule="atLeast"/>
      <w:ind w:hanging="567"/>
    </w:pPr>
    <w:rPr>
      <w:sz w:val="24"/>
    </w:rPr>
  </w:style>
  <w:style w:type="paragraph" w:customStyle="1" w:styleId="Penalty">
    <w:name w:val="Penalty"/>
    <w:basedOn w:val="OPCParaBase"/>
    <w:rsid w:val="00F10EAA"/>
    <w:pPr>
      <w:tabs>
        <w:tab w:val="left" w:pos="2977"/>
      </w:tabs>
      <w:spacing w:before="180" w:line="240" w:lineRule="auto"/>
      <w:ind w:left="1985" w:hanging="851"/>
    </w:pPr>
  </w:style>
  <w:style w:type="paragraph" w:customStyle="1" w:styleId="Portfolio">
    <w:name w:val="Portfolio"/>
    <w:basedOn w:val="OPCParaBase"/>
    <w:rsid w:val="00F10EAA"/>
    <w:pPr>
      <w:spacing w:line="240" w:lineRule="auto"/>
    </w:pPr>
    <w:rPr>
      <w:i/>
      <w:sz w:val="20"/>
    </w:rPr>
  </w:style>
  <w:style w:type="paragraph" w:customStyle="1" w:styleId="Preamble">
    <w:name w:val="Preamble"/>
    <w:basedOn w:val="OPCParaBase"/>
    <w:next w:val="Normal"/>
    <w:rsid w:val="00F10E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10EAA"/>
    <w:pPr>
      <w:spacing w:line="240" w:lineRule="auto"/>
    </w:pPr>
    <w:rPr>
      <w:i/>
      <w:sz w:val="20"/>
    </w:rPr>
  </w:style>
  <w:style w:type="paragraph" w:customStyle="1" w:styleId="Session">
    <w:name w:val="Session"/>
    <w:basedOn w:val="OPCParaBase"/>
    <w:rsid w:val="00F10EAA"/>
    <w:pPr>
      <w:spacing w:line="240" w:lineRule="auto"/>
    </w:pPr>
    <w:rPr>
      <w:sz w:val="28"/>
    </w:rPr>
  </w:style>
  <w:style w:type="paragraph" w:customStyle="1" w:styleId="Sponsor">
    <w:name w:val="Sponsor"/>
    <w:basedOn w:val="OPCParaBase"/>
    <w:rsid w:val="00F10EAA"/>
    <w:pPr>
      <w:spacing w:line="240" w:lineRule="auto"/>
    </w:pPr>
    <w:rPr>
      <w:i/>
    </w:rPr>
  </w:style>
  <w:style w:type="paragraph" w:customStyle="1" w:styleId="Subitem">
    <w:name w:val="Subitem"/>
    <w:aliases w:val="iss"/>
    <w:basedOn w:val="OPCParaBase"/>
    <w:rsid w:val="00F10EAA"/>
    <w:pPr>
      <w:spacing w:before="180" w:line="240" w:lineRule="auto"/>
      <w:ind w:left="709" w:hanging="709"/>
    </w:pPr>
  </w:style>
  <w:style w:type="paragraph" w:customStyle="1" w:styleId="SubitemHead">
    <w:name w:val="SubitemHead"/>
    <w:aliases w:val="issh"/>
    <w:basedOn w:val="OPCParaBase"/>
    <w:rsid w:val="00F10E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10EAA"/>
    <w:pPr>
      <w:spacing w:before="40" w:line="240" w:lineRule="auto"/>
      <w:ind w:left="1134"/>
    </w:pPr>
  </w:style>
  <w:style w:type="paragraph" w:customStyle="1" w:styleId="SubsectionHead">
    <w:name w:val="SubsectionHead"/>
    <w:aliases w:val="ssh"/>
    <w:basedOn w:val="OPCParaBase"/>
    <w:next w:val="subsection"/>
    <w:rsid w:val="00F10EAA"/>
    <w:pPr>
      <w:keepNext/>
      <w:keepLines/>
      <w:spacing w:before="240" w:line="240" w:lineRule="auto"/>
      <w:ind w:left="1134"/>
    </w:pPr>
    <w:rPr>
      <w:i/>
    </w:rPr>
  </w:style>
  <w:style w:type="paragraph" w:customStyle="1" w:styleId="Tablea">
    <w:name w:val="Table(a)"/>
    <w:aliases w:val="ta"/>
    <w:basedOn w:val="OPCParaBase"/>
    <w:rsid w:val="00F10EAA"/>
    <w:pPr>
      <w:spacing w:before="60" w:line="240" w:lineRule="auto"/>
      <w:ind w:left="284" w:hanging="284"/>
    </w:pPr>
    <w:rPr>
      <w:sz w:val="20"/>
    </w:rPr>
  </w:style>
  <w:style w:type="paragraph" w:customStyle="1" w:styleId="TableAA">
    <w:name w:val="Table(AA)"/>
    <w:aliases w:val="taaa"/>
    <w:basedOn w:val="OPCParaBase"/>
    <w:rsid w:val="00F10EA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10EA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10EAA"/>
    <w:pPr>
      <w:spacing w:before="60" w:line="240" w:lineRule="atLeast"/>
    </w:pPr>
    <w:rPr>
      <w:sz w:val="20"/>
    </w:rPr>
  </w:style>
  <w:style w:type="paragraph" w:customStyle="1" w:styleId="TLPBoxTextnote">
    <w:name w:val="TLPBoxText(note"/>
    <w:aliases w:val="right)"/>
    <w:basedOn w:val="OPCParaBase"/>
    <w:rsid w:val="00F10E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10EA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10EAA"/>
    <w:pPr>
      <w:spacing w:before="122" w:line="198" w:lineRule="exact"/>
      <w:ind w:left="1985" w:hanging="851"/>
      <w:jc w:val="right"/>
    </w:pPr>
    <w:rPr>
      <w:sz w:val="18"/>
    </w:rPr>
  </w:style>
  <w:style w:type="paragraph" w:customStyle="1" w:styleId="TLPTableBullet">
    <w:name w:val="TLPTableBullet"/>
    <w:aliases w:val="ttb"/>
    <w:basedOn w:val="OPCParaBase"/>
    <w:rsid w:val="00F10EAA"/>
    <w:pPr>
      <w:spacing w:line="240" w:lineRule="exact"/>
      <w:ind w:left="284" w:hanging="284"/>
    </w:pPr>
    <w:rPr>
      <w:sz w:val="20"/>
    </w:rPr>
  </w:style>
  <w:style w:type="paragraph" w:styleId="TOC1">
    <w:name w:val="toc 1"/>
    <w:basedOn w:val="OPCParaBase"/>
    <w:next w:val="Normal"/>
    <w:uiPriority w:val="39"/>
    <w:semiHidden/>
    <w:unhideWhenUsed/>
    <w:rsid w:val="00F10EA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10EA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10EA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10EA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723D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10EA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10EA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10EA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10EA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10EAA"/>
    <w:pPr>
      <w:keepLines/>
      <w:spacing w:before="240" w:after="120" w:line="240" w:lineRule="auto"/>
      <w:ind w:left="794"/>
    </w:pPr>
    <w:rPr>
      <w:b/>
      <w:kern w:val="28"/>
      <w:sz w:val="20"/>
    </w:rPr>
  </w:style>
  <w:style w:type="paragraph" w:customStyle="1" w:styleId="TofSectsHeading">
    <w:name w:val="TofSects(Heading)"/>
    <w:basedOn w:val="OPCParaBase"/>
    <w:rsid w:val="00F10EAA"/>
    <w:pPr>
      <w:spacing w:before="240" w:after="120" w:line="240" w:lineRule="auto"/>
    </w:pPr>
    <w:rPr>
      <w:b/>
      <w:sz w:val="24"/>
    </w:rPr>
  </w:style>
  <w:style w:type="paragraph" w:customStyle="1" w:styleId="TofSectsSection">
    <w:name w:val="TofSects(Section)"/>
    <w:basedOn w:val="OPCParaBase"/>
    <w:rsid w:val="00F10EAA"/>
    <w:pPr>
      <w:keepLines/>
      <w:spacing w:before="40" w:line="240" w:lineRule="auto"/>
      <w:ind w:left="1588" w:hanging="794"/>
    </w:pPr>
    <w:rPr>
      <w:kern w:val="28"/>
      <w:sz w:val="18"/>
    </w:rPr>
  </w:style>
  <w:style w:type="paragraph" w:customStyle="1" w:styleId="TofSectsSubdiv">
    <w:name w:val="TofSects(Subdiv)"/>
    <w:basedOn w:val="OPCParaBase"/>
    <w:rsid w:val="00F10EAA"/>
    <w:pPr>
      <w:keepLines/>
      <w:spacing w:before="80" w:line="240" w:lineRule="auto"/>
      <w:ind w:left="1588" w:hanging="794"/>
    </w:pPr>
    <w:rPr>
      <w:kern w:val="28"/>
    </w:rPr>
  </w:style>
  <w:style w:type="paragraph" w:customStyle="1" w:styleId="WRStyle">
    <w:name w:val="WR Style"/>
    <w:aliases w:val="WR"/>
    <w:basedOn w:val="OPCParaBase"/>
    <w:rsid w:val="00F10EAA"/>
    <w:pPr>
      <w:spacing w:before="240" w:line="240" w:lineRule="auto"/>
      <w:ind w:left="284" w:hanging="284"/>
    </w:pPr>
    <w:rPr>
      <w:b/>
      <w:i/>
      <w:kern w:val="28"/>
      <w:sz w:val="24"/>
    </w:rPr>
  </w:style>
  <w:style w:type="paragraph" w:customStyle="1" w:styleId="notepara">
    <w:name w:val="note(para)"/>
    <w:aliases w:val="na"/>
    <w:basedOn w:val="OPCParaBase"/>
    <w:rsid w:val="00F10EAA"/>
    <w:pPr>
      <w:spacing w:before="40" w:line="198" w:lineRule="exact"/>
      <w:ind w:left="2354" w:hanging="369"/>
    </w:pPr>
    <w:rPr>
      <w:sz w:val="18"/>
    </w:rPr>
  </w:style>
  <w:style w:type="paragraph" w:styleId="Footer">
    <w:name w:val="footer"/>
    <w:link w:val="FooterChar"/>
    <w:rsid w:val="00F10EA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10EAA"/>
    <w:rPr>
      <w:rFonts w:eastAsia="Times New Roman" w:cs="Times New Roman"/>
      <w:sz w:val="22"/>
      <w:szCs w:val="24"/>
      <w:lang w:eastAsia="en-AU"/>
    </w:rPr>
  </w:style>
  <w:style w:type="character" w:styleId="LineNumber">
    <w:name w:val="line number"/>
    <w:basedOn w:val="OPCCharBase"/>
    <w:uiPriority w:val="99"/>
    <w:semiHidden/>
    <w:unhideWhenUsed/>
    <w:rsid w:val="00F10EAA"/>
    <w:rPr>
      <w:sz w:val="16"/>
    </w:rPr>
  </w:style>
  <w:style w:type="table" w:customStyle="1" w:styleId="CFlag">
    <w:name w:val="CFlag"/>
    <w:basedOn w:val="TableNormal"/>
    <w:uiPriority w:val="99"/>
    <w:rsid w:val="00F10EAA"/>
    <w:rPr>
      <w:rFonts w:eastAsia="Times New Roman" w:cs="Times New Roman"/>
      <w:lang w:eastAsia="en-AU"/>
    </w:rPr>
    <w:tblPr/>
  </w:style>
  <w:style w:type="paragraph" w:customStyle="1" w:styleId="NotesHeading1">
    <w:name w:val="NotesHeading 1"/>
    <w:basedOn w:val="OPCParaBase"/>
    <w:next w:val="Normal"/>
    <w:rsid w:val="00F10EAA"/>
    <w:rPr>
      <w:b/>
      <w:sz w:val="28"/>
      <w:szCs w:val="28"/>
    </w:rPr>
  </w:style>
  <w:style w:type="paragraph" w:customStyle="1" w:styleId="NotesHeading2">
    <w:name w:val="NotesHeading 2"/>
    <w:basedOn w:val="OPCParaBase"/>
    <w:next w:val="Normal"/>
    <w:rsid w:val="00F10EAA"/>
    <w:rPr>
      <w:b/>
      <w:sz w:val="28"/>
      <w:szCs w:val="28"/>
    </w:rPr>
  </w:style>
  <w:style w:type="paragraph" w:customStyle="1" w:styleId="SignCoverPageEnd">
    <w:name w:val="SignCoverPageEnd"/>
    <w:basedOn w:val="OPCParaBase"/>
    <w:next w:val="Normal"/>
    <w:rsid w:val="00F10EA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10EAA"/>
    <w:pPr>
      <w:pBdr>
        <w:top w:val="single" w:sz="4" w:space="1" w:color="auto"/>
      </w:pBdr>
      <w:spacing w:before="360"/>
      <w:ind w:right="397"/>
      <w:jc w:val="both"/>
    </w:pPr>
  </w:style>
  <w:style w:type="paragraph" w:customStyle="1" w:styleId="Paragraphsub-sub-sub">
    <w:name w:val="Paragraph(sub-sub-sub)"/>
    <w:aliases w:val="aaaa"/>
    <w:basedOn w:val="OPCParaBase"/>
    <w:rsid w:val="00F10EA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10E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10E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10E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10EA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10EAA"/>
    <w:pPr>
      <w:spacing w:before="120"/>
    </w:pPr>
  </w:style>
  <w:style w:type="paragraph" w:customStyle="1" w:styleId="TableTextEndNotes">
    <w:name w:val="TableTextEndNotes"/>
    <w:aliases w:val="Tten"/>
    <w:basedOn w:val="Normal"/>
    <w:rsid w:val="00F10EAA"/>
    <w:pPr>
      <w:spacing w:before="60" w:line="240" w:lineRule="auto"/>
    </w:pPr>
    <w:rPr>
      <w:rFonts w:cs="Arial"/>
      <w:sz w:val="20"/>
      <w:szCs w:val="22"/>
    </w:rPr>
  </w:style>
  <w:style w:type="paragraph" w:customStyle="1" w:styleId="TableHeading">
    <w:name w:val="TableHeading"/>
    <w:aliases w:val="th"/>
    <w:basedOn w:val="OPCParaBase"/>
    <w:next w:val="Tabletext"/>
    <w:rsid w:val="00F10EAA"/>
    <w:pPr>
      <w:keepNext/>
      <w:spacing w:before="60" w:line="240" w:lineRule="atLeast"/>
    </w:pPr>
    <w:rPr>
      <w:b/>
      <w:sz w:val="20"/>
    </w:rPr>
  </w:style>
  <w:style w:type="paragraph" w:customStyle="1" w:styleId="NoteToSubpara">
    <w:name w:val="NoteToSubpara"/>
    <w:aliases w:val="nts"/>
    <w:basedOn w:val="OPCParaBase"/>
    <w:rsid w:val="00F10EAA"/>
    <w:pPr>
      <w:spacing w:before="40" w:line="198" w:lineRule="exact"/>
      <w:ind w:left="2835" w:hanging="709"/>
    </w:pPr>
    <w:rPr>
      <w:sz w:val="18"/>
    </w:rPr>
  </w:style>
  <w:style w:type="paragraph" w:customStyle="1" w:styleId="ENoteTableHeading">
    <w:name w:val="ENoteTableHeading"/>
    <w:aliases w:val="enth"/>
    <w:basedOn w:val="OPCParaBase"/>
    <w:rsid w:val="00F10EAA"/>
    <w:pPr>
      <w:keepNext/>
      <w:spacing w:before="60" w:line="240" w:lineRule="atLeast"/>
    </w:pPr>
    <w:rPr>
      <w:rFonts w:ascii="Arial" w:hAnsi="Arial"/>
      <w:b/>
      <w:sz w:val="16"/>
    </w:rPr>
  </w:style>
  <w:style w:type="paragraph" w:customStyle="1" w:styleId="ENoteTTi">
    <w:name w:val="ENoteTTi"/>
    <w:aliases w:val="entti"/>
    <w:basedOn w:val="OPCParaBase"/>
    <w:rsid w:val="00F10EAA"/>
    <w:pPr>
      <w:keepNext/>
      <w:spacing w:before="60" w:line="240" w:lineRule="atLeast"/>
      <w:ind w:left="170"/>
    </w:pPr>
    <w:rPr>
      <w:sz w:val="16"/>
    </w:rPr>
  </w:style>
  <w:style w:type="paragraph" w:customStyle="1" w:styleId="ENotesHeading1">
    <w:name w:val="ENotesHeading 1"/>
    <w:aliases w:val="Enh1"/>
    <w:basedOn w:val="OPCParaBase"/>
    <w:next w:val="Normal"/>
    <w:rsid w:val="00F10EAA"/>
    <w:pPr>
      <w:spacing w:before="120"/>
      <w:outlineLvl w:val="1"/>
    </w:pPr>
    <w:rPr>
      <w:b/>
      <w:sz w:val="28"/>
      <w:szCs w:val="28"/>
    </w:rPr>
  </w:style>
  <w:style w:type="paragraph" w:customStyle="1" w:styleId="ENotesHeading2">
    <w:name w:val="ENotesHeading 2"/>
    <w:aliases w:val="Enh2"/>
    <w:basedOn w:val="OPCParaBase"/>
    <w:next w:val="Normal"/>
    <w:rsid w:val="00F10EAA"/>
    <w:pPr>
      <w:spacing w:before="120" w:after="120"/>
      <w:outlineLvl w:val="2"/>
    </w:pPr>
    <w:rPr>
      <w:b/>
      <w:sz w:val="24"/>
      <w:szCs w:val="28"/>
    </w:rPr>
  </w:style>
  <w:style w:type="paragraph" w:customStyle="1" w:styleId="ENoteTTIndentHeading">
    <w:name w:val="ENoteTTIndentHeading"/>
    <w:aliases w:val="enTTHi"/>
    <w:basedOn w:val="OPCParaBase"/>
    <w:rsid w:val="00F10E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10EAA"/>
    <w:pPr>
      <w:spacing w:before="60" w:line="240" w:lineRule="atLeast"/>
    </w:pPr>
    <w:rPr>
      <w:sz w:val="16"/>
    </w:rPr>
  </w:style>
  <w:style w:type="paragraph" w:customStyle="1" w:styleId="MadeunderText">
    <w:name w:val="MadeunderText"/>
    <w:basedOn w:val="OPCParaBase"/>
    <w:next w:val="Normal"/>
    <w:rsid w:val="00F10EAA"/>
    <w:pPr>
      <w:spacing w:before="240"/>
    </w:pPr>
    <w:rPr>
      <w:sz w:val="24"/>
      <w:szCs w:val="24"/>
    </w:rPr>
  </w:style>
  <w:style w:type="paragraph" w:customStyle="1" w:styleId="ENotesHeading3">
    <w:name w:val="ENotesHeading 3"/>
    <w:aliases w:val="Enh3"/>
    <w:basedOn w:val="OPCParaBase"/>
    <w:next w:val="Normal"/>
    <w:rsid w:val="00F10EAA"/>
    <w:pPr>
      <w:keepNext/>
      <w:spacing w:before="120" w:line="240" w:lineRule="auto"/>
      <w:outlineLvl w:val="4"/>
    </w:pPr>
    <w:rPr>
      <w:b/>
      <w:szCs w:val="24"/>
    </w:rPr>
  </w:style>
  <w:style w:type="paragraph" w:customStyle="1" w:styleId="SubPartCASA">
    <w:name w:val="SubPart(CASA)"/>
    <w:aliases w:val="csp"/>
    <w:basedOn w:val="OPCParaBase"/>
    <w:next w:val="ActHead3"/>
    <w:rsid w:val="00F10EA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10EAA"/>
  </w:style>
  <w:style w:type="character" w:customStyle="1" w:styleId="CharSubPartNoCASA">
    <w:name w:val="CharSubPartNo(CASA)"/>
    <w:basedOn w:val="OPCCharBase"/>
    <w:uiPriority w:val="1"/>
    <w:rsid w:val="00F10EAA"/>
  </w:style>
  <w:style w:type="paragraph" w:customStyle="1" w:styleId="ENoteTTIndentHeadingSub">
    <w:name w:val="ENoteTTIndentHeadingSub"/>
    <w:aliases w:val="enTTHis"/>
    <w:basedOn w:val="OPCParaBase"/>
    <w:rsid w:val="00F10EAA"/>
    <w:pPr>
      <w:keepNext/>
      <w:spacing w:before="60" w:line="240" w:lineRule="atLeast"/>
      <w:ind w:left="340"/>
    </w:pPr>
    <w:rPr>
      <w:b/>
      <w:sz w:val="16"/>
    </w:rPr>
  </w:style>
  <w:style w:type="paragraph" w:customStyle="1" w:styleId="ENoteTTiSub">
    <w:name w:val="ENoteTTiSub"/>
    <w:aliases w:val="enttis"/>
    <w:basedOn w:val="OPCParaBase"/>
    <w:rsid w:val="00F10EAA"/>
    <w:pPr>
      <w:keepNext/>
      <w:spacing w:before="60" w:line="240" w:lineRule="atLeast"/>
      <w:ind w:left="340"/>
    </w:pPr>
    <w:rPr>
      <w:sz w:val="16"/>
    </w:rPr>
  </w:style>
  <w:style w:type="paragraph" w:customStyle="1" w:styleId="SubDivisionMigration">
    <w:name w:val="SubDivisionMigration"/>
    <w:aliases w:val="sdm"/>
    <w:basedOn w:val="OPCParaBase"/>
    <w:rsid w:val="00F10E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10EAA"/>
    <w:pPr>
      <w:keepNext/>
      <w:keepLines/>
      <w:spacing w:before="240" w:line="240" w:lineRule="auto"/>
      <w:ind w:left="1134" w:hanging="1134"/>
    </w:pPr>
    <w:rPr>
      <w:b/>
      <w:sz w:val="28"/>
    </w:rPr>
  </w:style>
  <w:style w:type="table" w:styleId="TableGrid">
    <w:name w:val="Table Grid"/>
    <w:basedOn w:val="TableNormal"/>
    <w:uiPriority w:val="59"/>
    <w:rsid w:val="00F1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F10EAA"/>
    <w:pPr>
      <w:spacing w:before="122" w:line="240" w:lineRule="auto"/>
      <w:ind w:left="1985" w:hanging="851"/>
    </w:pPr>
    <w:rPr>
      <w:sz w:val="18"/>
    </w:rPr>
  </w:style>
  <w:style w:type="paragraph" w:customStyle="1" w:styleId="FreeForm">
    <w:name w:val="FreeForm"/>
    <w:rsid w:val="00F10EAA"/>
    <w:rPr>
      <w:rFonts w:ascii="Arial" w:hAnsi="Arial"/>
      <w:sz w:val="22"/>
    </w:rPr>
  </w:style>
  <w:style w:type="paragraph" w:customStyle="1" w:styleId="SOText">
    <w:name w:val="SO Text"/>
    <w:aliases w:val="sot"/>
    <w:link w:val="SOTextChar"/>
    <w:rsid w:val="00F10EA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10EAA"/>
    <w:rPr>
      <w:sz w:val="22"/>
    </w:rPr>
  </w:style>
  <w:style w:type="paragraph" w:customStyle="1" w:styleId="SOTextNote">
    <w:name w:val="SO TextNote"/>
    <w:aliases w:val="sont"/>
    <w:basedOn w:val="SOText"/>
    <w:qFormat/>
    <w:rsid w:val="00F10EAA"/>
    <w:pPr>
      <w:spacing w:before="122" w:line="198" w:lineRule="exact"/>
      <w:ind w:left="1843" w:hanging="709"/>
    </w:pPr>
    <w:rPr>
      <w:sz w:val="18"/>
    </w:rPr>
  </w:style>
  <w:style w:type="paragraph" w:customStyle="1" w:styleId="SOPara">
    <w:name w:val="SO Para"/>
    <w:aliases w:val="soa"/>
    <w:basedOn w:val="SOText"/>
    <w:link w:val="SOParaChar"/>
    <w:qFormat/>
    <w:rsid w:val="00F10EAA"/>
    <w:pPr>
      <w:tabs>
        <w:tab w:val="right" w:pos="1786"/>
      </w:tabs>
      <w:spacing w:before="40"/>
      <w:ind w:left="2070" w:hanging="936"/>
    </w:pPr>
  </w:style>
  <w:style w:type="character" w:customStyle="1" w:styleId="SOParaChar">
    <w:name w:val="SO Para Char"/>
    <w:aliases w:val="soa Char"/>
    <w:basedOn w:val="DefaultParagraphFont"/>
    <w:link w:val="SOPara"/>
    <w:rsid w:val="00F10EAA"/>
    <w:rPr>
      <w:sz w:val="22"/>
    </w:rPr>
  </w:style>
  <w:style w:type="paragraph" w:customStyle="1" w:styleId="FileName">
    <w:name w:val="FileName"/>
    <w:basedOn w:val="Normal"/>
    <w:rsid w:val="00F10EAA"/>
  </w:style>
  <w:style w:type="paragraph" w:customStyle="1" w:styleId="SOHeadBold">
    <w:name w:val="SO HeadBold"/>
    <w:aliases w:val="sohb"/>
    <w:basedOn w:val="SOText"/>
    <w:next w:val="SOText"/>
    <w:link w:val="SOHeadBoldChar"/>
    <w:qFormat/>
    <w:rsid w:val="00F10EAA"/>
    <w:rPr>
      <w:b/>
    </w:rPr>
  </w:style>
  <w:style w:type="character" w:customStyle="1" w:styleId="SOHeadBoldChar">
    <w:name w:val="SO HeadBold Char"/>
    <w:aliases w:val="sohb Char"/>
    <w:basedOn w:val="DefaultParagraphFont"/>
    <w:link w:val="SOHeadBold"/>
    <w:rsid w:val="00F10EAA"/>
    <w:rPr>
      <w:b/>
      <w:sz w:val="22"/>
    </w:rPr>
  </w:style>
  <w:style w:type="paragraph" w:customStyle="1" w:styleId="SOHeadItalic">
    <w:name w:val="SO HeadItalic"/>
    <w:aliases w:val="sohi"/>
    <w:basedOn w:val="SOText"/>
    <w:next w:val="SOText"/>
    <w:link w:val="SOHeadItalicChar"/>
    <w:qFormat/>
    <w:rsid w:val="00F10EAA"/>
    <w:rPr>
      <w:i/>
    </w:rPr>
  </w:style>
  <w:style w:type="character" w:customStyle="1" w:styleId="SOHeadItalicChar">
    <w:name w:val="SO HeadItalic Char"/>
    <w:aliases w:val="sohi Char"/>
    <w:basedOn w:val="DefaultParagraphFont"/>
    <w:link w:val="SOHeadItalic"/>
    <w:rsid w:val="00F10EAA"/>
    <w:rPr>
      <w:i/>
      <w:sz w:val="22"/>
    </w:rPr>
  </w:style>
  <w:style w:type="paragraph" w:customStyle="1" w:styleId="SOBullet">
    <w:name w:val="SO Bullet"/>
    <w:aliases w:val="sotb"/>
    <w:basedOn w:val="SOText"/>
    <w:link w:val="SOBulletChar"/>
    <w:qFormat/>
    <w:rsid w:val="00F10EAA"/>
    <w:pPr>
      <w:ind w:left="1559" w:hanging="425"/>
    </w:pPr>
  </w:style>
  <w:style w:type="character" w:customStyle="1" w:styleId="SOBulletChar">
    <w:name w:val="SO Bullet Char"/>
    <w:aliases w:val="sotb Char"/>
    <w:basedOn w:val="DefaultParagraphFont"/>
    <w:link w:val="SOBullet"/>
    <w:rsid w:val="00F10EAA"/>
    <w:rPr>
      <w:sz w:val="22"/>
    </w:rPr>
  </w:style>
  <w:style w:type="paragraph" w:customStyle="1" w:styleId="SOBulletNote">
    <w:name w:val="SO BulletNote"/>
    <w:aliases w:val="sonb"/>
    <w:basedOn w:val="SOTextNote"/>
    <w:link w:val="SOBulletNoteChar"/>
    <w:qFormat/>
    <w:rsid w:val="00F10EAA"/>
    <w:pPr>
      <w:tabs>
        <w:tab w:val="left" w:pos="1560"/>
      </w:tabs>
      <w:ind w:left="2268" w:hanging="1134"/>
    </w:pPr>
  </w:style>
  <w:style w:type="character" w:customStyle="1" w:styleId="SOBulletNoteChar">
    <w:name w:val="SO BulletNote Char"/>
    <w:aliases w:val="sonb Char"/>
    <w:basedOn w:val="DefaultParagraphFont"/>
    <w:link w:val="SOBulletNote"/>
    <w:rsid w:val="00F10EAA"/>
    <w:rPr>
      <w:sz w:val="18"/>
    </w:rPr>
  </w:style>
  <w:style w:type="paragraph" w:customStyle="1" w:styleId="SOText2">
    <w:name w:val="SO Text2"/>
    <w:aliases w:val="sot2"/>
    <w:basedOn w:val="Normal"/>
    <w:next w:val="SOText"/>
    <w:link w:val="SOText2Char"/>
    <w:rsid w:val="00F10EA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10EAA"/>
    <w:rPr>
      <w:sz w:val="22"/>
    </w:rPr>
  </w:style>
  <w:style w:type="paragraph" w:customStyle="1" w:styleId="Transitional">
    <w:name w:val="Transitional"/>
    <w:aliases w:val="tr"/>
    <w:basedOn w:val="ItemHead"/>
    <w:next w:val="Item"/>
    <w:rsid w:val="00F10EAA"/>
  </w:style>
  <w:style w:type="numbering" w:styleId="111111">
    <w:name w:val="Outline List 2"/>
    <w:basedOn w:val="NoList"/>
    <w:uiPriority w:val="99"/>
    <w:semiHidden/>
    <w:unhideWhenUsed/>
    <w:rsid w:val="00F10EAA"/>
    <w:pPr>
      <w:numPr>
        <w:numId w:val="13"/>
      </w:numPr>
    </w:pPr>
  </w:style>
  <w:style w:type="numbering" w:styleId="1ai">
    <w:name w:val="Outline List 1"/>
    <w:basedOn w:val="NoList"/>
    <w:uiPriority w:val="99"/>
    <w:semiHidden/>
    <w:unhideWhenUsed/>
    <w:rsid w:val="00F10EAA"/>
    <w:pPr>
      <w:numPr>
        <w:numId w:val="14"/>
      </w:numPr>
    </w:pPr>
  </w:style>
  <w:style w:type="character" w:customStyle="1" w:styleId="Heading1Char">
    <w:name w:val="Heading 1 Char"/>
    <w:basedOn w:val="DefaultParagraphFont"/>
    <w:link w:val="Heading1"/>
    <w:uiPriority w:val="9"/>
    <w:rsid w:val="00F10EA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10EA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10EA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10EAA"/>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F10EAA"/>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10EAA"/>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10EAA"/>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10E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0EAA"/>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10EAA"/>
    <w:pPr>
      <w:numPr>
        <w:numId w:val="15"/>
      </w:numPr>
    </w:pPr>
  </w:style>
  <w:style w:type="paragraph" w:styleId="BalloonText">
    <w:name w:val="Balloon Text"/>
    <w:basedOn w:val="Normal"/>
    <w:link w:val="BalloonTextChar"/>
    <w:uiPriority w:val="99"/>
    <w:semiHidden/>
    <w:unhideWhenUsed/>
    <w:rsid w:val="00F10E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EAA"/>
    <w:rPr>
      <w:rFonts w:ascii="Segoe UI" w:hAnsi="Segoe UI" w:cs="Segoe UI"/>
      <w:sz w:val="18"/>
      <w:szCs w:val="18"/>
    </w:rPr>
  </w:style>
  <w:style w:type="paragraph" w:styleId="Bibliography">
    <w:name w:val="Bibliography"/>
    <w:basedOn w:val="Normal"/>
    <w:next w:val="Normal"/>
    <w:uiPriority w:val="37"/>
    <w:semiHidden/>
    <w:unhideWhenUsed/>
    <w:rsid w:val="00F10EAA"/>
  </w:style>
  <w:style w:type="paragraph" w:styleId="BlockText">
    <w:name w:val="Block Text"/>
    <w:basedOn w:val="Normal"/>
    <w:uiPriority w:val="99"/>
    <w:semiHidden/>
    <w:unhideWhenUsed/>
    <w:rsid w:val="00F10EA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F10EAA"/>
    <w:pPr>
      <w:spacing w:after="120"/>
    </w:pPr>
  </w:style>
  <w:style w:type="character" w:customStyle="1" w:styleId="BodyTextChar">
    <w:name w:val="Body Text Char"/>
    <w:basedOn w:val="DefaultParagraphFont"/>
    <w:link w:val="BodyText"/>
    <w:uiPriority w:val="99"/>
    <w:semiHidden/>
    <w:rsid w:val="00F10EAA"/>
    <w:rPr>
      <w:sz w:val="22"/>
    </w:rPr>
  </w:style>
  <w:style w:type="paragraph" w:styleId="BodyText2">
    <w:name w:val="Body Text 2"/>
    <w:basedOn w:val="Normal"/>
    <w:link w:val="BodyText2Char"/>
    <w:uiPriority w:val="99"/>
    <w:semiHidden/>
    <w:unhideWhenUsed/>
    <w:rsid w:val="00F10EAA"/>
    <w:pPr>
      <w:spacing w:after="120" w:line="480" w:lineRule="auto"/>
    </w:pPr>
  </w:style>
  <w:style w:type="character" w:customStyle="1" w:styleId="BodyText2Char">
    <w:name w:val="Body Text 2 Char"/>
    <w:basedOn w:val="DefaultParagraphFont"/>
    <w:link w:val="BodyText2"/>
    <w:uiPriority w:val="99"/>
    <w:semiHidden/>
    <w:rsid w:val="00F10EAA"/>
    <w:rPr>
      <w:sz w:val="22"/>
    </w:rPr>
  </w:style>
  <w:style w:type="paragraph" w:styleId="BodyText3">
    <w:name w:val="Body Text 3"/>
    <w:basedOn w:val="Normal"/>
    <w:link w:val="BodyText3Char"/>
    <w:uiPriority w:val="99"/>
    <w:semiHidden/>
    <w:unhideWhenUsed/>
    <w:rsid w:val="00F10EAA"/>
    <w:pPr>
      <w:spacing w:after="120"/>
    </w:pPr>
    <w:rPr>
      <w:sz w:val="16"/>
      <w:szCs w:val="16"/>
    </w:rPr>
  </w:style>
  <w:style w:type="character" w:customStyle="1" w:styleId="BodyText3Char">
    <w:name w:val="Body Text 3 Char"/>
    <w:basedOn w:val="DefaultParagraphFont"/>
    <w:link w:val="BodyText3"/>
    <w:uiPriority w:val="99"/>
    <w:semiHidden/>
    <w:rsid w:val="00F10EAA"/>
    <w:rPr>
      <w:sz w:val="16"/>
      <w:szCs w:val="16"/>
    </w:rPr>
  </w:style>
  <w:style w:type="paragraph" w:styleId="BodyTextFirstIndent">
    <w:name w:val="Body Text First Indent"/>
    <w:basedOn w:val="BodyText"/>
    <w:link w:val="BodyTextFirstIndentChar"/>
    <w:uiPriority w:val="99"/>
    <w:semiHidden/>
    <w:unhideWhenUsed/>
    <w:rsid w:val="00F10EAA"/>
    <w:pPr>
      <w:spacing w:after="0"/>
      <w:ind w:firstLine="360"/>
    </w:pPr>
  </w:style>
  <w:style w:type="character" w:customStyle="1" w:styleId="BodyTextFirstIndentChar">
    <w:name w:val="Body Text First Indent Char"/>
    <w:basedOn w:val="BodyTextChar"/>
    <w:link w:val="BodyTextFirstIndent"/>
    <w:uiPriority w:val="99"/>
    <w:semiHidden/>
    <w:rsid w:val="00F10EAA"/>
    <w:rPr>
      <w:sz w:val="22"/>
    </w:rPr>
  </w:style>
  <w:style w:type="paragraph" w:styleId="BodyTextIndent">
    <w:name w:val="Body Text Indent"/>
    <w:basedOn w:val="Normal"/>
    <w:link w:val="BodyTextIndentChar"/>
    <w:uiPriority w:val="99"/>
    <w:semiHidden/>
    <w:unhideWhenUsed/>
    <w:rsid w:val="00F10EAA"/>
    <w:pPr>
      <w:spacing w:after="120"/>
      <w:ind w:left="283"/>
    </w:pPr>
  </w:style>
  <w:style w:type="character" w:customStyle="1" w:styleId="BodyTextIndentChar">
    <w:name w:val="Body Text Indent Char"/>
    <w:basedOn w:val="DefaultParagraphFont"/>
    <w:link w:val="BodyTextIndent"/>
    <w:uiPriority w:val="99"/>
    <w:semiHidden/>
    <w:rsid w:val="00F10EAA"/>
    <w:rPr>
      <w:sz w:val="22"/>
    </w:rPr>
  </w:style>
  <w:style w:type="paragraph" w:styleId="BodyTextFirstIndent2">
    <w:name w:val="Body Text First Indent 2"/>
    <w:basedOn w:val="BodyTextIndent"/>
    <w:link w:val="BodyTextFirstIndent2Char"/>
    <w:uiPriority w:val="99"/>
    <w:semiHidden/>
    <w:unhideWhenUsed/>
    <w:rsid w:val="00F10EAA"/>
    <w:pPr>
      <w:spacing w:after="0"/>
      <w:ind w:left="360" w:firstLine="360"/>
    </w:pPr>
  </w:style>
  <w:style w:type="character" w:customStyle="1" w:styleId="BodyTextFirstIndent2Char">
    <w:name w:val="Body Text First Indent 2 Char"/>
    <w:basedOn w:val="BodyTextIndentChar"/>
    <w:link w:val="BodyTextFirstIndent2"/>
    <w:uiPriority w:val="99"/>
    <w:semiHidden/>
    <w:rsid w:val="00F10EAA"/>
    <w:rPr>
      <w:sz w:val="22"/>
    </w:rPr>
  </w:style>
  <w:style w:type="paragraph" w:styleId="BodyTextIndent2">
    <w:name w:val="Body Text Indent 2"/>
    <w:basedOn w:val="Normal"/>
    <w:link w:val="BodyTextIndent2Char"/>
    <w:uiPriority w:val="99"/>
    <w:semiHidden/>
    <w:unhideWhenUsed/>
    <w:rsid w:val="00F10EAA"/>
    <w:pPr>
      <w:spacing w:after="120" w:line="480" w:lineRule="auto"/>
      <w:ind w:left="283"/>
    </w:pPr>
  </w:style>
  <w:style w:type="character" w:customStyle="1" w:styleId="BodyTextIndent2Char">
    <w:name w:val="Body Text Indent 2 Char"/>
    <w:basedOn w:val="DefaultParagraphFont"/>
    <w:link w:val="BodyTextIndent2"/>
    <w:uiPriority w:val="99"/>
    <w:semiHidden/>
    <w:rsid w:val="00F10EAA"/>
    <w:rPr>
      <w:sz w:val="22"/>
    </w:rPr>
  </w:style>
  <w:style w:type="paragraph" w:styleId="BodyTextIndent3">
    <w:name w:val="Body Text Indent 3"/>
    <w:basedOn w:val="Normal"/>
    <w:link w:val="BodyTextIndent3Char"/>
    <w:uiPriority w:val="99"/>
    <w:semiHidden/>
    <w:unhideWhenUsed/>
    <w:rsid w:val="00F10EA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10EAA"/>
    <w:rPr>
      <w:sz w:val="16"/>
      <w:szCs w:val="16"/>
    </w:rPr>
  </w:style>
  <w:style w:type="character" w:styleId="BookTitle">
    <w:name w:val="Book Title"/>
    <w:basedOn w:val="DefaultParagraphFont"/>
    <w:uiPriority w:val="33"/>
    <w:qFormat/>
    <w:rsid w:val="00F10EAA"/>
    <w:rPr>
      <w:b/>
      <w:bCs/>
      <w:i/>
      <w:iCs/>
      <w:spacing w:val="5"/>
    </w:rPr>
  </w:style>
  <w:style w:type="paragraph" w:styleId="Caption">
    <w:name w:val="caption"/>
    <w:basedOn w:val="Normal"/>
    <w:next w:val="Normal"/>
    <w:uiPriority w:val="35"/>
    <w:semiHidden/>
    <w:unhideWhenUsed/>
    <w:qFormat/>
    <w:rsid w:val="00F10EAA"/>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F10EAA"/>
    <w:pPr>
      <w:spacing w:line="240" w:lineRule="auto"/>
      <w:ind w:left="4252"/>
    </w:pPr>
  </w:style>
  <w:style w:type="character" w:customStyle="1" w:styleId="ClosingChar">
    <w:name w:val="Closing Char"/>
    <w:basedOn w:val="DefaultParagraphFont"/>
    <w:link w:val="Closing"/>
    <w:uiPriority w:val="99"/>
    <w:semiHidden/>
    <w:rsid w:val="00F10EAA"/>
    <w:rPr>
      <w:sz w:val="22"/>
    </w:rPr>
  </w:style>
  <w:style w:type="table" w:styleId="ColorfulGrid">
    <w:name w:val="Colorful Grid"/>
    <w:basedOn w:val="TableNormal"/>
    <w:uiPriority w:val="73"/>
    <w:semiHidden/>
    <w:unhideWhenUsed/>
    <w:rsid w:val="00F10EA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10EA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10EA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10EA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10EA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10EA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10EA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10EA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10EA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10EA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10EA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10EA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10EA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10EA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10EA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10EA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10EA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10EA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10EA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10EA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10EA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10EAA"/>
    <w:rPr>
      <w:sz w:val="16"/>
      <w:szCs w:val="16"/>
    </w:rPr>
  </w:style>
  <w:style w:type="paragraph" w:styleId="CommentText">
    <w:name w:val="annotation text"/>
    <w:basedOn w:val="Normal"/>
    <w:link w:val="CommentTextChar"/>
    <w:uiPriority w:val="99"/>
    <w:semiHidden/>
    <w:unhideWhenUsed/>
    <w:rsid w:val="00F10EAA"/>
    <w:pPr>
      <w:spacing w:line="240" w:lineRule="auto"/>
    </w:pPr>
    <w:rPr>
      <w:sz w:val="20"/>
    </w:rPr>
  </w:style>
  <w:style w:type="character" w:customStyle="1" w:styleId="CommentTextChar">
    <w:name w:val="Comment Text Char"/>
    <w:basedOn w:val="DefaultParagraphFont"/>
    <w:link w:val="CommentText"/>
    <w:uiPriority w:val="99"/>
    <w:semiHidden/>
    <w:rsid w:val="00F10EAA"/>
  </w:style>
  <w:style w:type="paragraph" w:styleId="CommentSubject">
    <w:name w:val="annotation subject"/>
    <w:basedOn w:val="CommentText"/>
    <w:next w:val="CommentText"/>
    <w:link w:val="CommentSubjectChar"/>
    <w:uiPriority w:val="99"/>
    <w:semiHidden/>
    <w:unhideWhenUsed/>
    <w:rsid w:val="00F10EAA"/>
    <w:rPr>
      <w:b/>
      <w:bCs/>
    </w:rPr>
  </w:style>
  <w:style w:type="character" w:customStyle="1" w:styleId="CommentSubjectChar">
    <w:name w:val="Comment Subject Char"/>
    <w:basedOn w:val="CommentTextChar"/>
    <w:link w:val="CommentSubject"/>
    <w:uiPriority w:val="99"/>
    <w:semiHidden/>
    <w:rsid w:val="00F10EAA"/>
    <w:rPr>
      <w:b/>
      <w:bCs/>
    </w:rPr>
  </w:style>
  <w:style w:type="table" w:styleId="DarkList">
    <w:name w:val="Dark List"/>
    <w:basedOn w:val="TableNormal"/>
    <w:uiPriority w:val="70"/>
    <w:semiHidden/>
    <w:unhideWhenUsed/>
    <w:rsid w:val="00F10EA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10EA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10EA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10EA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10EA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10EA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10EA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10EAA"/>
  </w:style>
  <w:style w:type="character" w:customStyle="1" w:styleId="DateChar">
    <w:name w:val="Date Char"/>
    <w:basedOn w:val="DefaultParagraphFont"/>
    <w:link w:val="Date"/>
    <w:uiPriority w:val="99"/>
    <w:semiHidden/>
    <w:rsid w:val="00F10EAA"/>
    <w:rPr>
      <w:sz w:val="22"/>
    </w:rPr>
  </w:style>
  <w:style w:type="paragraph" w:styleId="DocumentMap">
    <w:name w:val="Document Map"/>
    <w:basedOn w:val="Normal"/>
    <w:link w:val="DocumentMapChar"/>
    <w:uiPriority w:val="99"/>
    <w:semiHidden/>
    <w:unhideWhenUsed/>
    <w:rsid w:val="00F10EA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10EAA"/>
    <w:rPr>
      <w:rFonts w:ascii="Segoe UI" w:hAnsi="Segoe UI" w:cs="Segoe UI"/>
      <w:sz w:val="16"/>
      <w:szCs w:val="16"/>
    </w:rPr>
  </w:style>
  <w:style w:type="paragraph" w:styleId="E-mailSignature">
    <w:name w:val="E-mail Signature"/>
    <w:basedOn w:val="Normal"/>
    <w:link w:val="E-mailSignatureChar"/>
    <w:uiPriority w:val="99"/>
    <w:semiHidden/>
    <w:unhideWhenUsed/>
    <w:rsid w:val="00F10EAA"/>
    <w:pPr>
      <w:spacing w:line="240" w:lineRule="auto"/>
    </w:pPr>
  </w:style>
  <w:style w:type="character" w:customStyle="1" w:styleId="E-mailSignatureChar">
    <w:name w:val="E-mail Signature Char"/>
    <w:basedOn w:val="DefaultParagraphFont"/>
    <w:link w:val="E-mailSignature"/>
    <w:uiPriority w:val="99"/>
    <w:semiHidden/>
    <w:rsid w:val="00F10EAA"/>
    <w:rPr>
      <w:sz w:val="22"/>
    </w:rPr>
  </w:style>
  <w:style w:type="character" w:styleId="Emphasis">
    <w:name w:val="Emphasis"/>
    <w:basedOn w:val="DefaultParagraphFont"/>
    <w:uiPriority w:val="20"/>
    <w:qFormat/>
    <w:rsid w:val="00F10EAA"/>
    <w:rPr>
      <w:i/>
      <w:iCs/>
    </w:rPr>
  </w:style>
  <w:style w:type="character" w:styleId="EndnoteReference">
    <w:name w:val="endnote reference"/>
    <w:basedOn w:val="DefaultParagraphFont"/>
    <w:uiPriority w:val="99"/>
    <w:semiHidden/>
    <w:unhideWhenUsed/>
    <w:rsid w:val="00F10EAA"/>
    <w:rPr>
      <w:vertAlign w:val="superscript"/>
    </w:rPr>
  </w:style>
  <w:style w:type="paragraph" w:styleId="EndnoteText">
    <w:name w:val="endnote text"/>
    <w:basedOn w:val="Normal"/>
    <w:link w:val="EndnoteTextChar"/>
    <w:uiPriority w:val="99"/>
    <w:semiHidden/>
    <w:unhideWhenUsed/>
    <w:rsid w:val="00F10EAA"/>
    <w:pPr>
      <w:spacing w:line="240" w:lineRule="auto"/>
    </w:pPr>
    <w:rPr>
      <w:sz w:val="20"/>
    </w:rPr>
  </w:style>
  <w:style w:type="character" w:customStyle="1" w:styleId="EndnoteTextChar">
    <w:name w:val="Endnote Text Char"/>
    <w:basedOn w:val="DefaultParagraphFont"/>
    <w:link w:val="EndnoteText"/>
    <w:uiPriority w:val="99"/>
    <w:semiHidden/>
    <w:rsid w:val="00F10EAA"/>
  </w:style>
  <w:style w:type="paragraph" w:styleId="EnvelopeAddress">
    <w:name w:val="envelope address"/>
    <w:basedOn w:val="Normal"/>
    <w:uiPriority w:val="99"/>
    <w:semiHidden/>
    <w:unhideWhenUsed/>
    <w:rsid w:val="00F10EA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10EAA"/>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10EAA"/>
    <w:rPr>
      <w:color w:val="800080" w:themeColor="followedHyperlink"/>
      <w:u w:val="single"/>
    </w:rPr>
  </w:style>
  <w:style w:type="character" w:styleId="FootnoteReference">
    <w:name w:val="footnote reference"/>
    <w:basedOn w:val="DefaultParagraphFont"/>
    <w:uiPriority w:val="99"/>
    <w:semiHidden/>
    <w:unhideWhenUsed/>
    <w:rsid w:val="00F10EAA"/>
    <w:rPr>
      <w:vertAlign w:val="superscript"/>
    </w:rPr>
  </w:style>
  <w:style w:type="paragraph" w:styleId="FootnoteText">
    <w:name w:val="footnote text"/>
    <w:basedOn w:val="Normal"/>
    <w:link w:val="FootnoteTextChar"/>
    <w:uiPriority w:val="99"/>
    <w:semiHidden/>
    <w:unhideWhenUsed/>
    <w:rsid w:val="00F10EAA"/>
    <w:pPr>
      <w:spacing w:line="240" w:lineRule="auto"/>
    </w:pPr>
    <w:rPr>
      <w:sz w:val="20"/>
    </w:rPr>
  </w:style>
  <w:style w:type="character" w:customStyle="1" w:styleId="FootnoteTextChar">
    <w:name w:val="Footnote Text Char"/>
    <w:basedOn w:val="DefaultParagraphFont"/>
    <w:link w:val="FootnoteText"/>
    <w:uiPriority w:val="99"/>
    <w:semiHidden/>
    <w:rsid w:val="00F10EAA"/>
  </w:style>
  <w:style w:type="table" w:styleId="GridTable1Light">
    <w:name w:val="Grid Table 1 Light"/>
    <w:basedOn w:val="TableNormal"/>
    <w:uiPriority w:val="46"/>
    <w:rsid w:val="00F10EA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10EA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10EA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10EA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10EA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10EA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10EA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10EA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10EA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10EA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10EA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10EA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10EA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10EA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10EA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10EA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10EA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10E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10E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10EA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10EA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10EA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10EA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10EA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10E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10E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10EA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10EA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10E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10E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10E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10E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10E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10E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10E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10EA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10EA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10EA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10EA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10EA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10EA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10EA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10EA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10EA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10EA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10EA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10EA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10EA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10EA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10EAA"/>
    <w:rPr>
      <w:color w:val="2B579A"/>
      <w:shd w:val="clear" w:color="auto" w:fill="E1DFDD"/>
    </w:rPr>
  </w:style>
  <w:style w:type="character" w:styleId="HTMLAcronym">
    <w:name w:val="HTML Acronym"/>
    <w:basedOn w:val="DefaultParagraphFont"/>
    <w:uiPriority w:val="99"/>
    <w:semiHidden/>
    <w:unhideWhenUsed/>
    <w:rsid w:val="00F10EAA"/>
  </w:style>
  <w:style w:type="paragraph" w:styleId="HTMLAddress">
    <w:name w:val="HTML Address"/>
    <w:basedOn w:val="Normal"/>
    <w:link w:val="HTMLAddressChar"/>
    <w:uiPriority w:val="99"/>
    <w:semiHidden/>
    <w:unhideWhenUsed/>
    <w:rsid w:val="00F10EAA"/>
    <w:pPr>
      <w:spacing w:line="240" w:lineRule="auto"/>
    </w:pPr>
    <w:rPr>
      <w:i/>
      <w:iCs/>
    </w:rPr>
  </w:style>
  <w:style w:type="character" w:customStyle="1" w:styleId="HTMLAddressChar">
    <w:name w:val="HTML Address Char"/>
    <w:basedOn w:val="DefaultParagraphFont"/>
    <w:link w:val="HTMLAddress"/>
    <w:uiPriority w:val="99"/>
    <w:semiHidden/>
    <w:rsid w:val="00F10EAA"/>
    <w:rPr>
      <w:i/>
      <w:iCs/>
      <w:sz w:val="22"/>
    </w:rPr>
  </w:style>
  <w:style w:type="character" w:styleId="HTMLCite">
    <w:name w:val="HTML Cite"/>
    <w:basedOn w:val="DefaultParagraphFont"/>
    <w:uiPriority w:val="99"/>
    <w:semiHidden/>
    <w:unhideWhenUsed/>
    <w:rsid w:val="00F10EAA"/>
    <w:rPr>
      <w:i/>
      <w:iCs/>
    </w:rPr>
  </w:style>
  <w:style w:type="character" w:styleId="HTMLCode">
    <w:name w:val="HTML Code"/>
    <w:basedOn w:val="DefaultParagraphFont"/>
    <w:uiPriority w:val="99"/>
    <w:semiHidden/>
    <w:unhideWhenUsed/>
    <w:rsid w:val="00F10EAA"/>
    <w:rPr>
      <w:rFonts w:ascii="Consolas" w:hAnsi="Consolas"/>
      <w:sz w:val="20"/>
      <w:szCs w:val="20"/>
    </w:rPr>
  </w:style>
  <w:style w:type="character" w:styleId="HTMLDefinition">
    <w:name w:val="HTML Definition"/>
    <w:basedOn w:val="DefaultParagraphFont"/>
    <w:uiPriority w:val="99"/>
    <w:semiHidden/>
    <w:unhideWhenUsed/>
    <w:rsid w:val="00F10EAA"/>
    <w:rPr>
      <w:i/>
      <w:iCs/>
    </w:rPr>
  </w:style>
  <w:style w:type="character" w:styleId="HTMLKeyboard">
    <w:name w:val="HTML Keyboard"/>
    <w:basedOn w:val="DefaultParagraphFont"/>
    <w:uiPriority w:val="99"/>
    <w:semiHidden/>
    <w:unhideWhenUsed/>
    <w:rsid w:val="00F10EAA"/>
    <w:rPr>
      <w:rFonts w:ascii="Consolas" w:hAnsi="Consolas"/>
      <w:sz w:val="20"/>
      <w:szCs w:val="20"/>
    </w:rPr>
  </w:style>
  <w:style w:type="paragraph" w:styleId="HTMLPreformatted">
    <w:name w:val="HTML Preformatted"/>
    <w:basedOn w:val="Normal"/>
    <w:link w:val="HTMLPreformattedChar"/>
    <w:uiPriority w:val="99"/>
    <w:semiHidden/>
    <w:unhideWhenUsed/>
    <w:rsid w:val="00F10EAA"/>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F10EAA"/>
    <w:rPr>
      <w:rFonts w:ascii="Consolas" w:hAnsi="Consolas"/>
    </w:rPr>
  </w:style>
  <w:style w:type="character" w:styleId="HTMLSample">
    <w:name w:val="HTML Sample"/>
    <w:basedOn w:val="DefaultParagraphFont"/>
    <w:uiPriority w:val="99"/>
    <w:semiHidden/>
    <w:unhideWhenUsed/>
    <w:rsid w:val="00F10EAA"/>
    <w:rPr>
      <w:rFonts w:ascii="Consolas" w:hAnsi="Consolas"/>
      <w:sz w:val="24"/>
      <w:szCs w:val="24"/>
    </w:rPr>
  </w:style>
  <w:style w:type="character" w:styleId="HTMLTypewriter">
    <w:name w:val="HTML Typewriter"/>
    <w:basedOn w:val="DefaultParagraphFont"/>
    <w:uiPriority w:val="99"/>
    <w:semiHidden/>
    <w:unhideWhenUsed/>
    <w:rsid w:val="00F10EAA"/>
    <w:rPr>
      <w:rFonts w:ascii="Consolas" w:hAnsi="Consolas"/>
      <w:sz w:val="20"/>
      <w:szCs w:val="20"/>
    </w:rPr>
  </w:style>
  <w:style w:type="character" w:styleId="HTMLVariable">
    <w:name w:val="HTML Variable"/>
    <w:basedOn w:val="DefaultParagraphFont"/>
    <w:uiPriority w:val="99"/>
    <w:semiHidden/>
    <w:unhideWhenUsed/>
    <w:rsid w:val="00F10EAA"/>
    <w:rPr>
      <w:i/>
      <w:iCs/>
    </w:rPr>
  </w:style>
  <w:style w:type="character" w:styleId="Hyperlink">
    <w:name w:val="Hyperlink"/>
    <w:basedOn w:val="DefaultParagraphFont"/>
    <w:uiPriority w:val="99"/>
    <w:semiHidden/>
    <w:unhideWhenUsed/>
    <w:rsid w:val="00F10EAA"/>
    <w:rPr>
      <w:color w:val="0000FF" w:themeColor="hyperlink"/>
      <w:u w:val="single"/>
    </w:rPr>
  </w:style>
  <w:style w:type="paragraph" w:styleId="Index1">
    <w:name w:val="index 1"/>
    <w:basedOn w:val="Normal"/>
    <w:next w:val="Normal"/>
    <w:autoRedefine/>
    <w:uiPriority w:val="99"/>
    <w:semiHidden/>
    <w:unhideWhenUsed/>
    <w:rsid w:val="00F10EAA"/>
    <w:pPr>
      <w:spacing w:line="240" w:lineRule="auto"/>
      <w:ind w:left="220" w:hanging="220"/>
    </w:pPr>
  </w:style>
  <w:style w:type="paragraph" w:styleId="Index2">
    <w:name w:val="index 2"/>
    <w:basedOn w:val="Normal"/>
    <w:next w:val="Normal"/>
    <w:autoRedefine/>
    <w:uiPriority w:val="99"/>
    <w:semiHidden/>
    <w:unhideWhenUsed/>
    <w:rsid w:val="00F10EAA"/>
    <w:pPr>
      <w:spacing w:line="240" w:lineRule="auto"/>
      <w:ind w:left="440" w:hanging="220"/>
    </w:pPr>
  </w:style>
  <w:style w:type="paragraph" w:styleId="Index3">
    <w:name w:val="index 3"/>
    <w:basedOn w:val="Normal"/>
    <w:next w:val="Normal"/>
    <w:autoRedefine/>
    <w:uiPriority w:val="99"/>
    <w:semiHidden/>
    <w:unhideWhenUsed/>
    <w:rsid w:val="00F10EAA"/>
    <w:pPr>
      <w:spacing w:line="240" w:lineRule="auto"/>
      <w:ind w:left="660" w:hanging="220"/>
    </w:pPr>
  </w:style>
  <w:style w:type="paragraph" w:styleId="Index4">
    <w:name w:val="index 4"/>
    <w:basedOn w:val="Normal"/>
    <w:next w:val="Normal"/>
    <w:autoRedefine/>
    <w:uiPriority w:val="99"/>
    <w:semiHidden/>
    <w:unhideWhenUsed/>
    <w:rsid w:val="00F10EAA"/>
    <w:pPr>
      <w:spacing w:line="240" w:lineRule="auto"/>
      <w:ind w:left="880" w:hanging="220"/>
    </w:pPr>
  </w:style>
  <w:style w:type="paragraph" w:styleId="Index5">
    <w:name w:val="index 5"/>
    <w:basedOn w:val="Normal"/>
    <w:next w:val="Normal"/>
    <w:autoRedefine/>
    <w:uiPriority w:val="99"/>
    <w:semiHidden/>
    <w:unhideWhenUsed/>
    <w:rsid w:val="00F10EAA"/>
    <w:pPr>
      <w:spacing w:line="240" w:lineRule="auto"/>
      <w:ind w:left="1100" w:hanging="220"/>
    </w:pPr>
  </w:style>
  <w:style w:type="paragraph" w:styleId="Index6">
    <w:name w:val="index 6"/>
    <w:basedOn w:val="Normal"/>
    <w:next w:val="Normal"/>
    <w:autoRedefine/>
    <w:uiPriority w:val="99"/>
    <w:semiHidden/>
    <w:unhideWhenUsed/>
    <w:rsid w:val="00F10EAA"/>
    <w:pPr>
      <w:spacing w:line="240" w:lineRule="auto"/>
      <w:ind w:left="1320" w:hanging="220"/>
    </w:pPr>
  </w:style>
  <w:style w:type="paragraph" w:styleId="Index7">
    <w:name w:val="index 7"/>
    <w:basedOn w:val="Normal"/>
    <w:next w:val="Normal"/>
    <w:autoRedefine/>
    <w:uiPriority w:val="99"/>
    <w:semiHidden/>
    <w:unhideWhenUsed/>
    <w:rsid w:val="00F10EAA"/>
    <w:pPr>
      <w:spacing w:line="240" w:lineRule="auto"/>
      <w:ind w:left="1540" w:hanging="220"/>
    </w:pPr>
  </w:style>
  <w:style w:type="paragraph" w:styleId="Index8">
    <w:name w:val="index 8"/>
    <w:basedOn w:val="Normal"/>
    <w:next w:val="Normal"/>
    <w:autoRedefine/>
    <w:uiPriority w:val="99"/>
    <w:semiHidden/>
    <w:unhideWhenUsed/>
    <w:rsid w:val="00F10EAA"/>
    <w:pPr>
      <w:spacing w:line="240" w:lineRule="auto"/>
      <w:ind w:left="1760" w:hanging="220"/>
    </w:pPr>
  </w:style>
  <w:style w:type="paragraph" w:styleId="Index9">
    <w:name w:val="index 9"/>
    <w:basedOn w:val="Normal"/>
    <w:next w:val="Normal"/>
    <w:autoRedefine/>
    <w:uiPriority w:val="99"/>
    <w:semiHidden/>
    <w:unhideWhenUsed/>
    <w:rsid w:val="00F10EAA"/>
    <w:pPr>
      <w:spacing w:line="240" w:lineRule="auto"/>
      <w:ind w:left="1980" w:hanging="220"/>
    </w:pPr>
  </w:style>
  <w:style w:type="paragraph" w:styleId="IndexHeading">
    <w:name w:val="index heading"/>
    <w:basedOn w:val="Normal"/>
    <w:next w:val="Index1"/>
    <w:uiPriority w:val="99"/>
    <w:semiHidden/>
    <w:unhideWhenUsed/>
    <w:rsid w:val="00F10EAA"/>
    <w:rPr>
      <w:rFonts w:asciiTheme="majorHAnsi" w:eastAsiaTheme="majorEastAsia" w:hAnsiTheme="majorHAnsi" w:cstheme="majorBidi"/>
      <w:b/>
      <w:bCs/>
    </w:rPr>
  </w:style>
  <w:style w:type="character" w:styleId="IntenseEmphasis">
    <w:name w:val="Intense Emphasis"/>
    <w:basedOn w:val="DefaultParagraphFont"/>
    <w:uiPriority w:val="21"/>
    <w:qFormat/>
    <w:rsid w:val="00F10EAA"/>
    <w:rPr>
      <w:i/>
      <w:iCs/>
      <w:color w:val="4F81BD" w:themeColor="accent1"/>
    </w:rPr>
  </w:style>
  <w:style w:type="paragraph" w:styleId="IntenseQuote">
    <w:name w:val="Intense Quote"/>
    <w:basedOn w:val="Normal"/>
    <w:next w:val="Normal"/>
    <w:link w:val="IntenseQuoteChar"/>
    <w:uiPriority w:val="30"/>
    <w:qFormat/>
    <w:rsid w:val="00F10EA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0EAA"/>
    <w:rPr>
      <w:i/>
      <w:iCs/>
      <w:color w:val="4F81BD" w:themeColor="accent1"/>
      <w:sz w:val="22"/>
    </w:rPr>
  </w:style>
  <w:style w:type="character" w:styleId="IntenseReference">
    <w:name w:val="Intense Reference"/>
    <w:basedOn w:val="DefaultParagraphFont"/>
    <w:uiPriority w:val="32"/>
    <w:qFormat/>
    <w:rsid w:val="00F10EAA"/>
    <w:rPr>
      <w:b/>
      <w:bCs/>
      <w:smallCaps/>
      <w:color w:val="4F81BD" w:themeColor="accent1"/>
      <w:spacing w:val="5"/>
    </w:rPr>
  </w:style>
  <w:style w:type="table" w:styleId="LightGrid">
    <w:name w:val="Light Grid"/>
    <w:basedOn w:val="TableNormal"/>
    <w:uiPriority w:val="62"/>
    <w:semiHidden/>
    <w:unhideWhenUsed/>
    <w:rsid w:val="00F10EA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10E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10EA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10EA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10EA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10EA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10EA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10EA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10E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10EA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10EA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10EA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10EA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10EA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10EA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10EA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10EA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10EA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10EA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10EA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10EA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F10EAA"/>
    <w:pPr>
      <w:ind w:left="283" w:hanging="283"/>
      <w:contextualSpacing/>
    </w:pPr>
  </w:style>
  <w:style w:type="paragraph" w:styleId="List2">
    <w:name w:val="List 2"/>
    <w:basedOn w:val="Normal"/>
    <w:uiPriority w:val="99"/>
    <w:semiHidden/>
    <w:unhideWhenUsed/>
    <w:rsid w:val="00F10EAA"/>
    <w:pPr>
      <w:ind w:left="566" w:hanging="283"/>
      <w:contextualSpacing/>
    </w:pPr>
  </w:style>
  <w:style w:type="paragraph" w:styleId="List3">
    <w:name w:val="List 3"/>
    <w:basedOn w:val="Normal"/>
    <w:uiPriority w:val="99"/>
    <w:semiHidden/>
    <w:unhideWhenUsed/>
    <w:rsid w:val="00F10EAA"/>
    <w:pPr>
      <w:ind w:left="849" w:hanging="283"/>
      <w:contextualSpacing/>
    </w:pPr>
  </w:style>
  <w:style w:type="paragraph" w:styleId="List4">
    <w:name w:val="List 4"/>
    <w:basedOn w:val="Normal"/>
    <w:uiPriority w:val="99"/>
    <w:semiHidden/>
    <w:unhideWhenUsed/>
    <w:rsid w:val="00F10EAA"/>
    <w:pPr>
      <w:ind w:left="1132" w:hanging="283"/>
      <w:contextualSpacing/>
    </w:pPr>
  </w:style>
  <w:style w:type="paragraph" w:styleId="List5">
    <w:name w:val="List 5"/>
    <w:basedOn w:val="Normal"/>
    <w:uiPriority w:val="99"/>
    <w:semiHidden/>
    <w:unhideWhenUsed/>
    <w:rsid w:val="00F10EAA"/>
    <w:pPr>
      <w:ind w:left="1415" w:hanging="283"/>
      <w:contextualSpacing/>
    </w:pPr>
  </w:style>
  <w:style w:type="paragraph" w:styleId="ListBullet">
    <w:name w:val="List Bullet"/>
    <w:basedOn w:val="Normal"/>
    <w:uiPriority w:val="99"/>
    <w:semiHidden/>
    <w:unhideWhenUsed/>
    <w:rsid w:val="00F10EAA"/>
    <w:pPr>
      <w:numPr>
        <w:numId w:val="1"/>
      </w:numPr>
      <w:contextualSpacing/>
    </w:pPr>
  </w:style>
  <w:style w:type="paragraph" w:styleId="ListBullet2">
    <w:name w:val="List Bullet 2"/>
    <w:basedOn w:val="Normal"/>
    <w:uiPriority w:val="99"/>
    <w:semiHidden/>
    <w:unhideWhenUsed/>
    <w:rsid w:val="00F10EAA"/>
    <w:pPr>
      <w:numPr>
        <w:numId w:val="2"/>
      </w:numPr>
      <w:contextualSpacing/>
    </w:pPr>
  </w:style>
  <w:style w:type="paragraph" w:styleId="ListBullet3">
    <w:name w:val="List Bullet 3"/>
    <w:basedOn w:val="Normal"/>
    <w:uiPriority w:val="99"/>
    <w:semiHidden/>
    <w:unhideWhenUsed/>
    <w:rsid w:val="00F10EAA"/>
    <w:pPr>
      <w:numPr>
        <w:numId w:val="3"/>
      </w:numPr>
      <w:contextualSpacing/>
    </w:pPr>
  </w:style>
  <w:style w:type="paragraph" w:styleId="ListBullet4">
    <w:name w:val="List Bullet 4"/>
    <w:basedOn w:val="Normal"/>
    <w:uiPriority w:val="99"/>
    <w:semiHidden/>
    <w:unhideWhenUsed/>
    <w:rsid w:val="00F10EAA"/>
    <w:pPr>
      <w:numPr>
        <w:numId w:val="4"/>
      </w:numPr>
      <w:contextualSpacing/>
    </w:pPr>
  </w:style>
  <w:style w:type="paragraph" w:styleId="ListBullet5">
    <w:name w:val="List Bullet 5"/>
    <w:basedOn w:val="Normal"/>
    <w:uiPriority w:val="99"/>
    <w:semiHidden/>
    <w:unhideWhenUsed/>
    <w:rsid w:val="00F10EAA"/>
    <w:pPr>
      <w:numPr>
        <w:numId w:val="5"/>
      </w:numPr>
      <w:contextualSpacing/>
    </w:pPr>
  </w:style>
  <w:style w:type="paragraph" w:styleId="ListContinue">
    <w:name w:val="List Continue"/>
    <w:basedOn w:val="Normal"/>
    <w:uiPriority w:val="99"/>
    <w:semiHidden/>
    <w:unhideWhenUsed/>
    <w:rsid w:val="00F10EAA"/>
    <w:pPr>
      <w:spacing w:after="120"/>
      <w:ind w:left="283"/>
      <w:contextualSpacing/>
    </w:pPr>
  </w:style>
  <w:style w:type="paragraph" w:styleId="ListContinue2">
    <w:name w:val="List Continue 2"/>
    <w:basedOn w:val="Normal"/>
    <w:uiPriority w:val="99"/>
    <w:semiHidden/>
    <w:unhideWhenUsed/>
    <w:rsid w:val="00F10EAA"/>
    <w:pPr>
      <w:spacing w:after="120"/>
      <w:ind w:left="566"/>
      <w:contextualSpacing/>
    </w:pPr>
  </w:style>
  <w:style w:type="paragraph" w:styleId="ListContinue3">
    <w:name w:val="List Continue 3"/>
    <w:basedOn w:val="Normal"/>
    <w:uiPriority w:val="99"/>
    <w:semiHidden/>
    <w:unhideWhenUsed/>
    <w:rsid w:val="00F10EAA"/>
    <w:pPr>
      <w:spacing w:after="120"/>
      <w:ind w:left="849"/>
      <w:contextualSpacing/>
    </w:pPr>
  </w:style>
  <w:style w:type="paragraph" w:styleId="ListContinue4">
    <w:name w:val="List Continue 4"/>
    <w:basedOn w:val="Normal"/>
    <w:uiPriority w:val="99"/>
    <w:semiHidden/>
    <w:unhideWhenUsed/>
    <w:rsid w:val="00F10EAA"/>
    <w:pPr>
      <w:spacing w:after="120"/>
      <w:ind w:left="1132"/>
      <w:contextualSpacing/>
    </w:pPr>
  </w:style>
  <w:style w:type="paragraph" w:styleId="ListContinue5">
    <w:name w:val="List Continue 5"/>
    <w:basedOn w:val="Normal"/>
    <w:uiPriority w:val="99"/>
    <w:semiHidden/>
    <w:unhideWhenUsed/>
    <w:rsid w:val="00F10EAA"/>
    <w:pPr>
      <w:spacing w:after="120"/>
      <w:ind w:left="1415"/>
      <w:contextualSpacing/>
    </w:pPr>
  </w:style>
  <w:style w:type="paragraph" w:styleId="ListNumber">
    <w:name w:val="List Number"/>
    <w:basedOn w:val="Normal"/>
    <w:uiPriority w:val="99"/>
    <w:semiHidden/>
    <w:unhideWhenUsed/>
    <w:rsid w:val="00F10EAA"/>
    <w:pPr>
      <w:numPr>
        <w:numId w:val="6"/>
      </w:numPr>
      <w:contextualSpacing/>
    </w:pPr>
  </w:style>
  <w:style w:type="paragraph" w:styleId="ListNumber2">
    <w:name w:val="List Number 2"/>
    <w:basedOn w:val="Normal"/>
    <w:uiPriority w:val="99"/>
    <w:semiHidden/>
    <w:unhideWhenUsed/>
    <w:rsid w:val="00F10EAA"/>
    <w:pPr>
      <w:numPr>
        <w:numId w:val="7"/>
      </w:numPr>
      <w:contextualSpacing/>
    </w:pPr>
  </w:style>
  <w:style w:type="paragraph" w:styleId="ListNumber3">
    <w:name w:val="List Number 3"/>
    <w:basedOn w:val="Normal"/>
    <w:uiPriority w:val="99"/>
    <w:semiHidden/>
    <w:unhideWhenUsed/>
    <w:rsid w:val="00F10EAA"/>
    <w:pPr>
      <w:numPr>
        <w:numId w:val="8"/>
      </w:numPr>
      <w:contextualSpacing/>
    </w:pPr>
  </w:style>
  <w:style w:type="paragraph" w:styleId="ListNumber4">
    <w:name w:val="List Number 4"/>
    <w:basedOn w:val="Normal"/>
    <w:uiPriority w:val="99"/>
    <w:semiHidden/>
    <w:unhideWhenUsed/>
    <w:rsid w:val="00F10EAA"/>
    <w:pPr>
      <w:numPr>
        <w:numId w:val="9"/>
      </w:numPr>
      <w:contextualSpacing/>
    </w:pPr>
  </w:style>
  <w:style w:type="paragraph" w:styleId="ListNumber5">
    <w:name w:val="List Number 5"/>
    <w:basedOn w:val="Normal"/>
    <w:uiPriority w:val="99"/>
    <w:semiHidden/>
    <w:unhideWhenUsed/>
    <w:rsid w:val="00F10EAA"/>
    <w:pPr>
      <w:numPr>
        <w:numId w:val="10"/>
      </w:numPr>
      <w:contextualSpacing/>
    </w:pPr>
  </w:style>
  <w:style w:type="paragraph" w:styleId="ListParagraph">
    <w:name w:val="List Paragraph"/>
    <w:basedOn w:val="Normal"/>
    <w:uiPriority w:val="34"/>
    <w:qFormat/>
    <w:rsid w:val="00F10EAA"/>
    <w:pPr>
      <w:ind w:left="720"/>
      <w:contextualSpacing/>
    </w:pPr>
  </w:style>
  <w:style w:type="table" w:styleId="ListTable1Light">
    <w:name w:val="List Table 1 Light"/>
    <w:basedOn w:val="TableNormal"/>
    <w:uiPriority w:val="46"/>
    <w:rsid w:val="00F10EA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10EA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10EA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10EA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10EA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10EA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10EA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10EA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10EA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10EA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10EA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10EA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10EA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10EA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10EA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10EA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10EA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10EA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10EA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10EA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10EA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10EA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10EA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10EA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10E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10E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10EA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10EA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10EA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10EA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10EA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10EA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10EA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10EA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10EA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10EA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10EA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10EA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10EA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10EA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10EA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10EA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10EA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10EA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10EA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10EA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10EA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10EA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10EA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10EA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F10EAA"/>
    <w:rPr>
      <w:rFonts w:ascii="Consolas" w:hAnsi="Consolas"/>
    </w:rPr>
  </w:style>
  <w:style w:type="table" w:styleId="MediumGrid1">
    <w:name w:val="Medium Grid 1"/>
    <w:basedOn w:val="TableNormal"/>
    <w:uiPriority w:val="67"/>
    <w:semiHidden/>
    <w:unhideWhenUsed/>
    <w:rsid w:val="00F10EA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10EA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10EA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10EA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10EA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10EA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10EA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10EA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10EA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10EA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10EA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10EA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10EA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10EA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10E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10E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10E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10E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10E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10E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10E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10EA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10EA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10EA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10EA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10EA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10EA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10EA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10EA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10EA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10EA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10EA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10EA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10EA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10EA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10EA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10EA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10EA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10EA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10EA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10EA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10EA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10E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10E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10E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10E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10E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10E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10E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10EAA"/>
    <w:rPr>
      <w:color w:val="2B579A"/>
      <w:shd w:val="clear" w:color="auto" w:fill="E1DFDD"/>
    </w:rPr>
  </w:style>
  <w:style w:type="paragraph" w:styleId="MessageHeader">
    <w:name w:val="Message Header"/>
    <w:basedOn w:val="Normal"/>
    <w:link w:val="MessageHeaderChar"/>
    <w:uiPriority w:val="99"/>
    <w:semiHidden/>
    <w:unhideWhenUsed/>
    <w:rsid w:val="00F10EA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10EAA"/>
    <w:rPr>
      <w:rFonts w:asciiTheme="majorHAnsi" w:eastAsiaTheme="majorEastAsia" w:hAnsiTheme="majorHAnsi" w:cstheme="majorBidi"/>
      <w:sz w:val="24"/>
      <w:szCs w:val="24"/>
      <w:shd w:val="pct20" w:color="auto" w:fill="auto"/>
    </w:rPr>
  </w:style>
  <w:style w:type="paragraph" w:styleId="NoSpacing">
    <w:name w:val="No Spacing"/>
    <w:uiPriority w:val="1"/>
    <w:qFormat/>
    <w:rsid w:val="00F10EAA"/>
    <w:rPr>
      <w:sz w:val="22"/>
    </w:rPr>
  </w:style>
  <w:style w:type="paragraph" w:styleId="NormalWeb">
    <w:name w:val="Normal (Web)"/>
    <w:basedOn w:val="Normal"/>
    <w:uiPriority w:val="99"/>
    <w:semiHidden/>
    <w:unhideWhenUsed/>
    <w:rsid w:val="00F10EAA"/>
    <w:rPr>
      <w:rFonts w:cs="Times New Roman"/>
      <w:sz w:val="24"/>
      <w:szCs w:val="24"/>
    </w:rPr>
  </w:style>
  <w:style w:type="paragraph" w:styleId="NormalIndent">
    <w:name w:val="Normal Indent"/>
    <w:basedOn w:val="Normal"/>
    <w:uiPriority w:val="99"/>
    <w:semiHidden/>
    <w:unhideWhenUsed/>
    <w:rsid w:val="00F10EAA"/>
    <w:pPr>
      <w:ind w:left="720"/>
    </w:pPr>
  </w:style>
  <w:style w:type="paragraph" w:styleId="NoteHeading">
    <w:name w:val="Note Heading"/>
    <w:basedOn w:val="Normal"/>
    <w:next w:val="Normal"/>
    <w:link w:val="NoteHeadingChar"/>
    <w:uiPriority w:val="99"/>
    <w:semiHidden/>
    <w:unhideWhenUsed/>
    <w:rsid w:val="00F10EAA"/>
    <w:pPr>
      <w:spacing w:line="240" w:lineRule="auto"/>
    </w:pPr>
  </w:style>
  <w:style w:type="character" w:customStyle="1" w:styleId="NoteHeadingChar">
    <w:name w:val="Note Heading Char"/>
    <w:basedOn w:val="DefaultParagraphFont"/>
    <w:link w:val="NoteHeading"/>
    <w:uiPriority w:val="99"/>
    <w:semiHidden/>
    <w:rsid w:val="00F10EAA"/>
    <w:rPr>
      <w:sz w:val="22"/>
    </w:rPr>
  </w:style>
  <w:style w:type="character" w:styleId="PageNumber">
    <w:name w:val="page number"/>
    <w:basedOn w:val="DefaultParagraphFont"/>
    <w:uiPriority w:val="99"/>
    <w:semiHidden/>
    <w:unhideWhenUsed/>
    <w:rsid w:val="00F10EAA"/>
  </w:style>
  <w:style w:type="character" w:styleId="PlaceholderText">
    <w:name w:val="Placeholder Text"/>
    <w:basedOn w:val="DefaultParagraphFont"/>
    <w:uiPriority w:val="99"/>
    <w:semiHidden/>
    <w:rsid w:val="00F10EAA"/>
    <w:rPr>
      <w:color w:val="808080"/>
    </w:rPr>
  </w:style>
  <w:style w:type="table" w:styleId="PlainTable1">
    <w:name w:val="Plain Table 1"/>
    <w:basedOn w:val="TableNormal"/>
    <w:uiPriority w:val="41"/>
    <w:rsid w:val="00F10EA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10EA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10EA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10EA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10EA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10EAA"/>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10EAA"/>
    <w:rPr>
      <w:rFonts w:ascii="Consolas" w:hAnsi="Consolas"/>
      <w:sz w:val="21"/>
      <w:szCs w:val="21"/>
    </w:rPr>
  </w:style>
  <w:style w:type="paragraph" w:styleId="Quote">
    <w:name w:val="Quote"/>
    <w:basedOn w:val="Normal"/>
    <w:next w:val="Normal"/>
    <w:link w:val="QuoteChar"/>
    <w:uiPriority w:val="29"/>
    <w:qFormat/>
    <w:rsid w:val="00F10E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0EAA"/>
    <w:rPr>
      <w:i/>
      <w:iCs/>
      <w:color w:val="404040" w:themeColor="text1" w:themeTint="BF"/>
      <w:sz w:val="22"/>
    </w:rPr>
  </w:style>
  <w:style w:type="paragraph" w:styleId="Salutation">
    <w:name w:val="Salutation"/>
    <w:basedOn w:val="Normal"/>
    <w:next w:val="Normal"/>
    <w:link w:val="SalutationChar"/>
    <w:uiPriority w:val="99"/>
    <w:semiHidden/>
    <w:unhideWhenUsed/>
    <w:rsid w:val="00F10EAA"/>
  </w:style>
  <w:style w:type="character" w:customStyle="1" w:styleId="SalutationChar">
    <w:name w:val="Salutation Char"/>
    <w:basedOn w:val="DefaultParagraphFont"/>
    <w:link w:val="Salutation"/>
    <w:uiPriority w:val="99"/>
    <w:semiHidden/>
    <w:rsid w:val="00F10EAA"/>
    <w:rPr>
      <w:sz w:val="22"/>
    </w:rPr>
  </w:style>
  <w:style w:type="paragraph" w:styleId="Signature">
    <w:name w:val="Signature"/>
    <w:basedOn w:val="Normal"/>
    <w:link w:val="SignatureChar"/>
    <w:uiPriority w:val="99"/>
    <w:semiHidden/>
    <w:unhideWhenUsed/>
    <w:rsid w:val="00F10EAA"/>
    <w:pPr>
      <w:spacing w:line="240" w:lineRule="auto"/>
      <w:ind w:left="4252"/>
    </w:pPr>
  </w:style>
  <w:style w:type="character" w:customStyle="1" w:styleId="SignatureChar">
    <w:name w:val="Signature Char"/>
    <w:basedOn w:val="DefaultParagraphFont"/>
    <w:link w:val="Signature"/>
    <w:uiPriority w:val="99"/>
    <w:semiHidden/>
    <w:rsid w:val="00F10EAA"/>
    <w:rPr>
      <w:sz w:val="22"/>
    </w:rPr>
  </w:style>
  <w:style w:type="character" w:styleId="SmartHyperlink">
    <w:name w:val="Smart Hyperlink"/>
    <w:basedOn w:val="DefaultParagraphFont"/>
    <w:uiPriority w:val="99"/>
    <w:semiHidden/>
    <w:unhideWhenUsed/>
    <w:rsid w:val="00F10EAA"/>
    <w:rPr>
      <w:u w:val="dotted"/>
    </w:rPr>
  </w:style>
  <w:style w:type="character" w:styleId="Strong">
    <w:name w:val="Strong"/>
    <w:basedOn w:val="DefaultParagraphFont"/>
    <w:uiPriority w:val="22"/>
    <w:qFormat/>
    <w:rsid w:val="00F10EAA"/>
    <w:rPr>
      <w:b/>
      <w:bCs/>
    </w:rPr>
  </w:style>
  <w:style w:type="paragraph" w:styleId="Subtitle">
    <w:name w:val="Subtitle"/>
    <w:basedOn w:val="Normal"/>
    <w:next w:val="Normal"/>
    <w:link w:val="SubtitleChar"/>
    <w:uiPriority w:val="11"/>
    <w:qFormat/>
    <w:rsid w:val="00F10EAA"/>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F10EAA"/>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F10EAA"/>
    <w:rPr>
      <w:i/>
      <w:iCs/>
      <w:color w:val="404040" w:themeColor="text1" w:themeTint="BF"/>
    </w:rPr>
  </w:style>
  <w:style w:type="character" w:styleId="SubtleReference">
    <w:name w:val="Subtle Reference"/>
    <w:basedOn w:val="DefaultParagraphFont"/>
    <w:uiPriority w:val="31"/>
    <w:qFormat/>
    <w:rsid w:val="00F10EAA"/>
    <w:rPr>
      <w:smallCaps/>
      <w:color w:val="5A5A5A" w:themeColor="text1" w:themeTint="A5"/>
    </w:rPr>
  </w:style>
  <w:style w:type="table" w:styleId="Table3Deffects1">
    <w:name w:val="Table 3D effects 1"/>
    <w:basedOn w:val="TableNormal"/>
    <w:uiPriority w:val="99"/>
    <w:semiHidden/>
    <w:unhideWhenUsed/>
    <w:rsid w:val="00F10EA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10EA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10EA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10EA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10EA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10EA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10EA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10EA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10EA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10EA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10EA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10EA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10EA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10EA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10EA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10EA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10EA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10EA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10EA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10EA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10EA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10EA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10EA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10EA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10EA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10E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10EA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10EA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10EA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10EA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10EA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10EA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10EA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10EA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10EAA"/>
    <w:pPr>
      <w:ind w:left="220" w:hanging="220"/>
    </w:pPr>
  </w:style>
  <w:style w:type="paragraph" w:styleId="TableofFigures">
    <w:name w:val="table of figures"/>
    <w:basedOn w:val="Normal"/>
    <w:next w:val="Normal"/>
    <w:uiPriority w:val="99"/>
    <w:semiHidden/>
    <w:unhideWhenUsed/>
    <w:rsid w:val="00F10EAA"/>
  </w:style>
  <w:style w:type="table" w:styleId="TableProfessional">
    <w:name w:val="Table Professional"/>
    <w:basedOn w:val="TableNormal"/>
    <w:uiPriority w:val="99"/>
    <w:semiHidden/>
    <w:unhideWhenUsed/>
    <w:rsid w:val="00F10EA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10EA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10EA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10EA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10EA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10EA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10EA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10EA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10EA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10EA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10EA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EA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10EA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10EAA"/>
    <w:pPr>
      <w:numPr>
        <w:numId w:val="0"/>
      </w:numPr>
      <w:outlineLvl w:val="9"/>
    </w:pPr>
  </w:style>
  <w:style w:type="character" w:styleId="UnresolvedMention">
    <w:name w:val="Unresolved Mention"/>
    <w:basedOn w:val="DefaultParagraphFont"/>
    <w:uiPriority w:val="99"/>
    <w:semiHidden/>
    <w:unhideWhenUsed/>
    <w:rsid w:val="00F10EAA"/>
    <w:rPr>
      <w:color w:val="605E5C"/>
      <w:shd w:val="clear" w:color="auto" w:fill="E1DFDD"/>
    </w:rPr>
  </w:style>
  <w:style w:type="character" w:customStyle="1" w:styleId="subsectionChar">
    <w:name w:val="subsection Char"/>
    <w:aliases w:val="ss Char"/>
    <w:basedOn w:val="DefaultParagraphFont"/>
    <w:link w:val="subsection"/>
    <w:locked/>
    <w:rsid w:val="007E78F7"/>
    <w:rPr>
      <w:rFonts w:eastAsia="Times New Roman" w:cs="Times New Roman"/>
      <w:sz w:val="22"/>
      <w:lang w:eastAsia="en-AU"/>
    </w:rPr>
  </w:style>
  <w:style w:type="paragraph" w:customStyle="1" w:styleId="ShortTP1">
    <w:name w:val="ShortTP1"/>
    <w:basedOn w:val="ShortT"/>
    <w:link w:val="ShortTP1Char"/>
    <w:rsid w:val="00367C29"/>
    <w:pPr>
      <w:spacing w:before="800"/>
    </w:pPr>
  </w:style>
  <w:style w:type="character" w:customStyle="1" w:styleId="ShortTP1Char">
    <w:name w:val="ShortTP1 Char"/>
    <w:basedOn w:val="DefaultParagraphFont"/>
    <w:link w:val="ShortTP1"/>
    <w:rsid w:val="00367C29"/>
    <w:rPr>
      <w:rFonts w:eastAsia="Times New Roman" w:cs="Times New Roman"/>
      <w:b/>
      <w:sz w:val="40"/>
      <w:lang w:eastAsia="en-AU"/>
    </w:rPr>
  </w:style>
  <w:style w:type="paragraph" w:customStyle="1" w:styleId="ActNoP1">
    <w:name w:val="ActNoP1"/>
    <w:basedOn w:val="Actno"/>
    <w:link w:val="ActNoP1Char"/>
    <w:rsid w:val="00367C29"/>
    <w:pPr>
      <w:spacing w:before="800"/>
    </w:pPr>
    <w:rPr>
      <w:sz w:val="28"/>
    </w:rPr>
  </w:style>
  <w:style w:type="character" w:customStyle="1" w:styleId="ActNoP1Char">
    <w:name w:val="ActNoP1 Char"/>
    <w:basedOn w:val="DefaultParagraphFont"/>
    <w:link w:val="ActNoP1"/>
    <w:rsid w:val="00367C29"/>
    <w:rPr>
      <w:rFonts w:eastAsia="Times New Roman" w:cs="Times New Roman"/>
      <w:b/>
      <w:sz w:val="28"/>
      <w:lang w:eastAsia="en-AU"/>
    </w:rPr>
  </w:style>
  <w:style w:type="paragraph" w:customStyle="1" w:styleId="AssentBk">
    <w:name w:val="AssentBk"/>
    <w:basedOn w:val="Normal"/>
    <w:rsid w:val="00367C29"/>
    <w:pPr>
      <w:spacing w:line="240" w:lineRule="auto"/>
    </w:pPr>
    <w:rPr>
      <w:rFonts w:eastAsia="Times New Roman" w:cs="Times New Roman"/>
      <w:sz w:val="20"/>
      <w:lang w:eastAsia="en-AU"/>
    </w:rPr>
  </w:style>
  <w:style w:type="paragraph" w:customStyle="1" w:styleId="AssentDt">
    <w:name w:val="AssentDt"/>
    <w:basedOn w:val="Normal"/>
    <w:rsid w:val="0039283E"/>
    <w:pPr>
      <w:spacing w:line="240" w:lineRule="auto"/>
    </w:pPr>
    <w:rPr>
      <w:rFonts w:eastAsia="Times New Roman" w:cs="Times New Roman"/>
      <w:sz w:val="20"/>
      <w:lang w:eastAsia="en-AU"/>
    </w:rPr>
  </w:style>
  <w:style w:type="paragraph" w:customStyle="1" w:styleId="2ndRd">
    <w:name w:val="2ndRd"/>
    <w:basedOn w:val="Normal"/>
    <w:rsid w:val="0039283E"/>
    <w:pPr>
      <w:spacing w:line="240" w:lineRule="auto"/>
    </w:pPr>
    <w:rPr>
      <w:rFonts w:eastAsia="Times New Roman" w:cs="Times New Roman"/>
      <w:sz w:val="20"/>
      <w:lang w:eastAsia="en-AU"/>
    </w:rPr>
  </w:style>
  <w:style w:type="paragraph" w:customStyle="1" w:styleId="ScalePlusRef">
    <w:name w:val="ScalePlusRef"/>
    <w:basedOn w:val="Normal"/>
    <w:rsid w:val="0039283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image" Target="media/image2.wmf"/><Relationship Id="rId34" Type="http://schemas.openxmlformats.org/officeDocument/2006/relationships/header" Target="header11.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4.wmf"/><Relationship Id="rId33"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3.wmf"/><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42</Pages>
  <Words>7214</Words>
  <Characters>41123</Characters>
  <Application>Microsoft Office Word</Application>
  <DocSecurity>0</DocSecurity>
  <PresentationFormat/>
  <Lines>342</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2024-06-02T22:06:00Z</dcterms:created>
  <dcterms:modified xsi:type="dcterms:W3CDTF">2024-06-02T23:33:00Z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(Tax Accountability and Fairness) Act 2024</vt:lpwstr>
  </property>
  <property fmtid="{D5CDD505-2E9C-101B-9397-08002B2CF9AE}" pid="3" name="ActNo">
    <vt:lpwstr>No. 37,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OPC8395</vt:lpwstr>
  </property>
  <property fmtid="{D5CDD505-2E9C-101B-9397-08002B2CF9AE}" pid="10" name="MSIP_Label_234ea0fa-41da-4eb0-b95e-07c328641c0b_Enabled">
    <vt:lpwstr>true</vt:lpwstr>
  </property>
  <property fmtid="{D5CDD505-2E9C-101B-9397-08002B2CF9AE}" pid="11" name="MSIP_Label_234ea0fa-41da-4eb0-b95e-07c328641c0b_SetDate">
    <vt:lpwstr>2024-05-19T23:49:12Z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5a632d64-f386-45f8-8b21-4f3bafe1b025</vt:lpwstr>
  </property>
  <property fmtid="{D5CDD505-2E9C-101B-9397-08002B2CF9AE}" pid="16" name="MSIP_Label_234ea0fa-41da-4eb0-b95e-07c328641c0b_ContentBits">
    <vt:lpwstr>0</vt:lpwstr>
  </property>
</Properties>
</file>