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1EA9" w14:textId="13F81E35" w:rsidR="00DD1752" w:rsidRPr="00B431FC" w:rsidRDefault="00DD1752" w:rsidP="00F945ED">
      <w:pPr>
        <w:contextualSpacing/>
        <w:jc w:val="both"/>
        <w:rPr>
          <w:b/>
          <w:bCs/>
          <w:sz w:val="28"/>
          <w:szCs w:val="28"/>
        </w:rPr>
      </w:pPr>
      <w:r w:rsidRPr="00B431FC">
        <w:rPr>
          <w:b/>
          <w:bCs/>
          <w:sz w:val="28"/>
          <w:szCs w:val="28"/>
        </w:rPr>
        <w:t>HEAVY VEHICLE NATIONAL LAW</w:t>
      </w:r>
    </w:p>
    <w:p w14:paraId="2E940B25" w14:textId="148EF981" w:rsidR="00DD1752" w:rsidRPr="001D73C9" w:rsidRDefault="00FE7CBA" w:rsidP="00F945ED">
      <w:pPr>
        <w:contextualSpacing/>
        <w:jc w:val="both"/>
        <w:rPr>
          <w:b/>
          <w:bCs/>
          <w:sz w:val="28"/>
          <w:szCs w:val="28"/>
        </w:rPr>
      </w:pPr>
      <w:r w:rsidRPr="00FE7CBA">
        <w:rPr>
          <w:b/>
          <w:bCs/>
          <w:sz w:val="28"/>
          <w:szCs w:val="28"/>
        </w:rPr>
        <w:t>South Australia Class 1 Transport of Indivisible Items and Agricultural Vehicles Dimension Exemption Notice</w:t>
      </w:r>
      <w:r w:rsidR="00421043">
        <w:rPr>
          <w:b/>
          <w:bCs/>
          <w:sz w:val="28"/>
          <w:szCs w:val="28"/>
        </w:rPr>
        <w:t xml:space="preserve"> 2023</w:t>
      </w:r>
      <w:r w:rsidRPr="00FE7CBA">
        <w:rPr>
          <w:b/>
          <w:bCs/>
          <w:sz w:val="28"/>
          <w:szCs w:val="28"/>
        </w:rPr>
        <w:t xml:space="preserve"> (No.1)</w:t>
      </w:r>
    </w:p>
    <w:p w14:paraId="007C4471" w14:textId="77777777" w:rsidR="00DD1752" w:rsidRPr="00B431FC" w:rsidRDefault="00DD1752" w:rsidP="00F945ED">
      <w:pPr>
        <w:pStyle w:val="ListParagraph"/>
        <w:numPr>
          <w:ilvl w:val="0"/>
          <w:numId w:val="1"/>
        </w:numPr>
        <w:jc w:val="both"/>
        <w:rPr>
          <w:b/>
          <w:bCs/>
        </w:rPr>
      </w:pPr>
      <w:r w:rsidRPr="00B431FC">
        <w:rPr>
          <w:b/>
          <w:bCs/>
        </w:rPr>
        <w:t>Purpose</w:t>
      </w:r>
    </w:p>
    <w:p w14:paraId="3A5A46CB" w14:textId="77777777" w:rsidR="00DD1752" w:rsidRDefault="00DD1752" w:rsidP="00F945ED">
      <w:pPr>
        <w:pStyle w:val="ListParagraph"/>
        <w:ind w:left="1080"/>
        <w:jc w:val="both"/>
      </w:pPr>
    </w:p>
    <w:p w14:paraId="652924D4" w14:textId="28459338" w:rsidR="0080292F" w:rsidRDefault="00DD1752" w:rsidP="00A4767D">
      <w:pPr>
        <w:pStyle w:val="ListParagraph"/>
        <w:numPr>
          <w:ilvl w:val="0"/>
          <w:numId w:val="2"/>
        </w:numPr>
        <w:jc w:val="both"/>
      </w:pPr>
      <w:r>
        <w:t xml:space="preserve">This </w:t>
      </w:r>
      <w:r w:rsidR="00081AEA">
        <w:t>n</w:t>
      </w:r>
      <w:r>
        <w:t>otice grants exemptions</w:t>
      </w:r>
      <w:r w:rsidR="0013550E">
        <w:t xml:space="preserve"> from dimension requirements</w:t>
      </w:r>
      <w:r>
        <w:t xml:space="preserve"> </w:t>
      </w:r>
      <w:r w:rsidR="0013550E">
        <w:t xml:space="preserve">for </w:t>
      </w:r>
      <w:r w:rsidR="00F945ED">
        <w:t xml:space="preserve">class 1 heavy </w:t>
      </w:r>
      <w:r w:rsidR="009614B8">
        <w:t>vehicle</w:t>
      </w:r>
      <w:r w:rsidR="001A5820">
        <w:t>s</w:t>
      </w:r>
      <w:r w:rsidR="009614B8">
        <w:t xml:space="preserve"> that</w:t>
      </w:r>
      <w:r w:rsidR="00FA6842">
        <w:t xml:space="preserve"> </w:t>
      </w:r>
      <w:r w:rsidR="001A5820">
        <w:t xml:space="preserve">are </w:t>
      </w:r>
      <w:r w:rsidR="00FA6842">
        <w:t>carrying</w:t>
      </w:r>
      <w:r w:rsidR="001A5820">
        <w:t xml:space="preserve"> either</w:t>
      </w:r>
      <w:r w:rsidR="00FA6842">
        <w:t xml:space="preserve"> </w:t>
      </w:r>
      <w:r w:rsidR="001A5820">
        <w:t xml:space="preserve">large </w:t>
      </w:r>
      <w:r w:rsidR="00FA6842">
        <w:t>indivisible</w:t>
      </w:r>
      <w:r w:rsidR="00262B80">
        <w:t xml:space="preserve"> </w:t>
      </w:r>
      <w:r w:rsidR="00FA6842">
        <w:t xml:space="preserve">items </w:t>
      </w:r>
      <w:r w:rsidR="00262B80">
        <w:t xml:space="preserve">or </w:t>
      </w:r>
      <w:r w:rsidR="00FA6842">
        <w:t>agricultural vehicles.</w:t>
      </w:r>
    </w:p>
    <w:p w14:paraId="52240D18" w14:textId="77777777" w:rsidR="000805E0" w:rsidRDefault="000805E0" w:rsidP="00F945ED">
      <w:pPr>
        <w:pStyle w:val="ListParagraph"/>
        <w:ind w:left="1080"/>
        <w:jc w:val="both"/>
      </w:pPr>
    </w:p>
    <w:p w14:paraId="2EA44D7F" w14:textId="78ED4649" w:rsidR="000805E0" w:rsidRDefault="000805E0" w:rsidP="00F945ED">
      <w:pPr>
        <w:pStyle w:val="ListParagraph"/>
        <w:numPr>
          <w:ilvl w:val="0"/>
          <w:numId w:val="2"/>
        </w:numPr>
        <w:jc w:val="both"/>
      </w:pPr>
      <w:r>
        <w:t xml:space="preserve">This </w:t>
      </w:r>
      <w:r w:rsidR="00081AEA">
        <w:t>n</w:t>
      </w:r>
      <w:r>
        <w:t>otice revokes</w:t>
      </w:r>
      <w:r w:rsidR="00826A21">
        <w:t xml:space="preserve"> </w:t>
      </w:r>
      <w:r>
        <w:t xml:space="preserve">the </w:t>
      </w:r>
      <w:r w:rsidR="00591081" w:rsidRPr="00591081">
        <w:rPr>
          <w:i/>
          <w:iCs/>
        </w:rPr>
        <w:t>South Australia Class 1 Transport of Indivisible Items and Agricultural Vehicles Dimension Exemption Notice (No.1)</w:t>
      </w:r>
      <w:r w:rsidR="00591081">
        <w:rPr>
          <w:i/>
          <w:iCs/>
        </w:rPr>
        <w:t>.</w:t>
      </w:r>
    </w:p>
    <w:p w14:paraId="149A564C" w14:textId="77777777" w:rsidR="00DD1752" w:rsidRDefault="00DD1752" w:rsidP="00F945ED">
      <w:pPr>
        <w:pStyle w:val="ListParagraph"/>
        <w:ind w:left="1080"/>
        <w:jc w:val="both"/>
      </w:pPr>
    </w:p>
    <w:p w14:paraId="7FED65DE" w14:textId="77777777" w:rsidR="00DD1752" w:rsidRDefault="00DD1752" w:rsidP="00F945ED">
      <w:pPr>
        <w:pStyle w:val="ListParagraph"/>
        <w:numPr>
          <w:ilvl w:val="0"/>
          <w:numId w:val="1"/>
        </w:numPr>
        <w:jc w:val="both"/>
        <w:rPr>
          <w:b/>
          <w:bCs/>
        </w:rPr>
      </w:pPr>
      <w:r w:rsidRPr="00B431FC">
        <w:rPr>
          <w:b/>
          <w:bCs/>
        </w:rPr>
        <w:t xml:space="preserve">Authorising </w:t>
      </w:r>
      <w:r>
        <w:rPr>
          <w:b/>
          <w:bCs/>
        </w:rPr>
        <w:t>p</w:t>
      </w:r>
      <w:r w:rsidRPr="00B431FC">
        <w:rPr>
          <w:b/>
          <w:bCs/>
        </w:rPr>
        <w:t>rovision</w:t>
      </w:r>
    </w:p>
    <w:p w14:paraId="5169E1B2" w14:textId="77777777" w:rsidR="00DD1752" w:rsidRPr="00B93953" w:rsidRDefault="00DD1752" w:rsidP="00F945ED">
      <w:pPr>
        <w:pStyle w:val="ListParagraph"/>
        <w:jc w:val="both"/>
        <w:rPr>
          <w:b/>
          <w:bCs/>
        </w:rPr>
      </w:pPr>
    </w:p>
    <w:p w14:paraId="660440CE" w14:textId="3532F71B" w:rsidR="00DD1752" w:rsidRDefault="00DD1752" w:rsidP="00E66EC5">
      <w:pPr>
        <w:pStyle w:val="ListParagraph"/>
        <w:numPr>
          <w:ilvl w:val="0"/>
          <w:numId w:val="12"/>
        </w:numPr>
        <w:jc w:val="both"/>
      </w:pPr>
      <w:r>
        <w:t xml:space="preserve">This </w:t>
      </w:r>
      <w:r w:rsidR="00081AEA">
        <w:t>n</w:t>
      </w:r>
      <w:r>
        <w:t>otice is made under the following provision of the Heavy Vehicle National Law (HVNL):</w:t>
      </w:r>
    </w:p>
    <w:p w14:paraId="4C370231" w14:textId="77777777" w:rsidR="00DD1752" w:rsidRDefault="00DD1752" w:rsidP="00F945ED">
      <w:pPr>
        <w:pStyle w:val="ListParagraph"/>
        <w:ind w:left="1080"/>
        <w:jc w:val="both"/>
      </w:pPr>
    </w:p>
    <w:p w14:paraId="755BE618" w14:textId="24AFE701" w:rsidR="00DD1752" w:rsidRDefault="00DD1752" w:rsidP="00F945ED">
      <w:pPr>
        <w:pStyle w:val="ListParagraph"/>
        <w:numPr>
          <w:ilvl w:val="0"/>
          <w:numId w:val="3"/>
        </w:numPr>
        <w:jc w:val="both"/>
        <w:rPr>
          <w:i/>
          <w:iCs/>
        </w:rPr>
      </w:pPr>
      <w:r>
        <w:t xml:space="preserve">section 117 – </w:t>
      </w:r>
      <w:r w:rsidRPr="009B156C">
        <w:rPr>
          <w:i/>
          <w:iCs/>
        </w:rPr>
        <w:t>Regulator’s power to exempt category of class 1 or 3 heavy vehicles from compliance with mass or dimension requirement</w:t>
      </w:r>
      <w:r>
        <w:rPr>
          <w:i/>
          <w:iCs/>
        </w:rPr>
        <w:t>.</w:t>
      </w:r>
    </w:p>
    <w:p w14:paraId="78BE1BB6" w14:textId="0FBCC10F" w:rsidR="00FD654C" w:rsidRPr="00006E84" w:rsidRDefault="00FD654C" w:rsidP="00F945ED">
      <w:pPr>
        <w:pStyle w:val="ListParagraph"/>
        <w:numPr>
          <w:ilvl w:val="0"/>
          <w:numId w:val="3"/>
        </w:numPr>
        <w:jc w:val="both"/>
        <w:rPr>
          <w:i/>
          <w:iCs/>
        </w:rPr>
      </w:pPr>
      <w:r>
        <w:t>section 23</w:t>
      </w:r>
      <w:r w:rsidR="00006E84">
        <w:t xml:space="preserve"> of Schedule 1 </w:t>
      </w:r>
      <w:r w:rsidR="00006E84" w:rsidRPr="00006E84">
        <w:rPr>
          <w:i/>
          <w:iCs/>
        </w:rPr>
        <w:t>– Regulator’s power to amend or repeal instrument.</w:t>
      </w:r>
    </w:p>
    <w:p w14:paraId="61970DD1" w14:textId="77777777" w:rsidR="00DD1752" w:rsidRPr="00CB694B" w:rsidRDefault="00DD1752" w:rsidP="00F945ED">
      <w:pPr>
        <w:pStyle w:val="ListParagraph"/>
        <w:ind w:left="1440"/>
        <w:jc w:val="both"/>
        <w:rPr>
          <w:i/>
          <w:iCs/>
        </w:rPr>
      </w:pPr>
    </w:p>
    <w:p w14:paraId="7AFA08BA" w14:textId="77777777" w:rsidR="00DD1752" w:rsidRPr="00811BF4" w:rsidRDefault="00DD1752" w:rsidP="00F945ED">
      <w:pPr>
        <w:pStyle w:val="ListParagraph"/>
        <w:numPr>
          <w:ilvl w:val="0"/>
          <w:numId w:val="1"/>
        </w:numPr>
        <w:jc w:val="both"/>
        <w:rPr>
          <w:b/>
          <w:bCs/>
        </w:rPr>
      </w:pPr>
      <w:r w:rsidRPr="00811BF4">
        <w:rPr>
          <w:b/>
          <w:bCs/>
        </w:rPr>
        <w:t>Title</w:t>
      </w:r>
    </w:p>
    <w:p w14:paraId="652DC6CC" w14:textId="77777777" w:rsidR="00DD1752" w:rsidRDefault="00DD1752" w:rsidP="00F945ED">
      <w:pPr>
        <w:pStyle w:val="ListParagraph"/>
        <w:ind w:left="1080"/>
        <w:jc w:val="both"/>
      </w:pPr>
    </w:p>
    <w:p w14:paraId="28306A6F" w14:textId="7C14A10D" w:rsidR="00DD1752" w:rsidRDefault="00DD1752" w:rsidP="00F945ED">
      <w:pPr>
        <w:pStyle w:val="ListParagraph"/>
        <w:ind w:left="1080"/>
        <w:jc w:val="both"/>
      </w:pPr>
      <w:r>
        <w:t xml:space="preserve">This </w:t>
      </w:r>
      <w:r w:rsidR="00081AEA">
        <w:t>n</w:t>
      </w:r>
      <w:r>
        <w:t>otice may be cited as the</w:t>
      </w:r>
      <w:r w:rsidR="00373E4D" w:rsidRPr="00373E4D">
        <w:t xml:space="preserve"> </w:t>
      </w:r>
      <w:r w:rsidR="00591081" w:rsidRPr="00591081">
        <w:rPr>
          <w:i/>
          <w:iCs/>
        </w:rPr>
        <w:t>South Australia Class 1 Transport of Indivisible Items and Agricultural Vehicles Dimension Exemption Notice</w:t>
      </w:r>
      <w:r w:rsidR="00591081">
        <w:rPr>
          <w:i/>
          <w:iCs/>
        </w:rPr>
        <w:t xml:space="preserve"> 2023</w:t>
      </w:r>
      <w:r w:rsidR="00591081" w:rsidRPr="00591081">
        <w:rPr>
          <w:i/>
          <w:iCs/>
        </w:rPr>
        <w:t xml:space="preserve"> (No.1)</w:t>
      </w:r>
      <w:r w:rsidR="00591081">
        <w:rPr>
          <w:i/>
          <w:iCs/>
        </w:rPr>
        <w:t>.</w:t>
      </w:r>
    </w:p>
    <w:p w14:paraId="646FF47F" w14:textId="77777777" w:rsidR="00DD1752" w:rsidRDefault="00DD1752" w:rsidP="00F945ED">
      <w:pPr>
        <w:pStyle w:val="ListParagraph"/>
        <w:ind w:left="1440"/>
        <w:jc w:val="both"/>
      </w:pPr>
    </w:p>
    <w:p w14:paraId="3603939D" w14:textId="77777777" w:rsidR="00DD1752" w:rsidRDefault="00DD1752" w:rsidP="00F945ED">
      <w:pPr>
        <w:pStyle w:val="ListParagraph"/>
        <w:numPr>
          <w:ilvl w:val="0"/>
          <w:numId w:val="1"/>
        </w:numPr>
        <w:jc w:val="both"/>
        <w:rPr>
          <w:b/>
          <w:bCs/>
        </w:rPr>
      </w:pPr>
      <w:r w:rsidRPr="00B93953">
        <w:rPr>
          <w:b/>
          <w:bCs/>
        </w:rPr>
        <w:t>Commencement date</w:t>
      </w:r>
    </w:p>
    <w:p w14:paraId="4242C1F4" w14:textId="77777777" w:rsidR="00DD1752" w:rsidRPr="00811BF4" w:rsidRDefault="00DD1752" w:rsidP="00F945ED">
      <w:pPr>
        <w:pStyle w:val="ListParagraph"/>
        <w:jc w:val="both"/>
        <w:rPr>
          <w:b/>
          <w:bCs/>
        </w:rPr>
      </w:pPr>
    </w:p>
    <w:p w14:paraId="16179844" w14:textId="3B37ABDC" w:rsidR="00DD1752" w:rsidRDefault="00DD1752" w:rsidP="00F945ED">
      <w:pPr>
        <w:pStyle w:val="ListParagraph"/>
        <w:ind w:left="1080"/>
        <w:jc w:val="both"/>
      </w:pPr>
      <w:r>
        <w:t xml:space="preserve">This Notice commences on </w:t>
      </w:r>
      <w:r w:rsidR="00B660A0">
        <w:t>3 November 2023</w:t>
      </w:r>
      <w:r w:rsidR="005D627E">
        <w:t>.</w:t>
      </w:r>
    </w:p>
    <w:p w14:paraId="22392E63" w14:textId="77777777" w:rsidR="00DD1752" w:rsidRDefault="00DD1752" w:rsidP="00F945ED">
      <w:pPr>
        <w:pStyle w:val="ListParagraph"/>
        <w:ind w:left="1080"/>
        <w:jc w:val="both"/>
      </w:pPr>
    </w:p>
    <w:p w14:paraId="06B562F6" w14:textId="77777777" w:rsidR="00DD1752" w:rsidRDefault="00DD1752" w:rsidP="00F945ED">
      <w:pPr>
        <w:pStyle w:val="ListParagraph"/>
        <w:numPr>
          <w:ilvl w:val="0"/>
          <w:numId w:val="1"/>
        </w:numPr>
        <w:jc w:val="both"/>
        <w:rPr>
          <w:b/>
          <w:bCs/>
        </w:rPr>
      </w:pPr>
      <w:r w:rsidRPr="00B93953">
        <w:rPr>
          <w:b/>
          <w:bCs/>
        </w:rPr>
        <w:t>Expiry date</w:t>
      </w:r>
    </w:p>
    <w:p w14:paraId="77A2266B" w14:textId="77777777" w:rsidR="00DD1752" w:rsidRPr="00B93953" w:rsidRDefault="00DD1752" w:rsidP="00F945ED">
      <w:pPr>
        <w:pStyle w:val="ListParagraph"/>
        <w:jc w:val="both"/>
        <w:rPr>
          <w:b/>
          <w:bCs/>
        </w:rPr>
      </w:pPr>
    </w:p>
    <w:p w14:paraId="22A8D9C6" w14:textId="3AA68556" w:rsidR="00DD1752" w:rsidRDefault="00DD1752" w:rsidP="00F945ED">
      <w:pPr>
        <w:pStyle w:val="ListParagraph"/>
        <w:ind w:left="1080"/>
        <w:jc w:val="both"/>
      </w:pPr>
      <w:r>
        <w:t xml:space="preserve">This Notice expires on </w:t>
      </w:r>
      <w:r w:rsidR="00B660A0">
        <w:t>2 November 2028</w:t>
      </w:r>
      <w:r w:rsidR="005D627E">
        <w:t>.</w:t>
      </w:r>
    </w:p>
    <w:p w14:paraId="42B740FE" w14:textId="77777777" w:rsidR="00DD1752" w:rsidRDefault="00DD1752" w:rsidP="00F945ED">
      <w:pPr>
        <w:pStyle w:val="ListParagraph"/>
        <w:ind w:left="1080"/>
        <w:jc w:val="both"/>
      </w:pPr>
    </w:p>
    <w:p w14:paraId="2DA8D8F2" w14:textId="77777777" w:rsidR="00581C6C" w:rsidRDefault="00581C6C">
      <w:pPr>
        <w:rPr>
          <w:b/>
          <w:bCs/>
        </w:rPr>
      </w:pPr>
      <w:r>
        <w:rPr>
          <w:b/>
          <w:bCs/>
        </w:rPr>
        <w:br w:type="page"/>
      </w:r>
    </w:p>
    <w:p w14:paraId="0B4535BB" w14:textId="1C48BDDF" w:rsidR="00DD1752" w:rsidRPr="00811BF4" w:rsidRDefault="00DD1752" w:rsidP="00F945ED">
      <w:pPr>
        <w:pStyle w:val="ListParagraph"/>
        <w:numPr>
          <w:ilvl w:val="0"/>
          <w:numId w:val="1"/>
        </w:numPr>
        <w:jc w:val="both"/>
        <w:rPr>
          <w:b/>
          <w:bCs/>
        </w:rPr>
      </w:pPr>
      <w:r w:rsidRPr="00811BF4">
        <w:rPr>
          <w:b/>
          <w:bCs/>
        </w:rPr>
        <w:lastRenderedPageBreak/>
        <w:t>Definitions</w:t>
      </w:r>
    </w:p>
    <w:p w14:paraId="792AF829" w14:textId="77777777" w:rsidR="00DD1752" w:rsidRDefault="00DD1752" w:rsidP="00F945ED">
      <w:pPr>
        <w:pStyle w:val="ListParagraph"/>
        <w:ind w:left="1080"/>
        <w:jc w:val="both"/>
      </w:pPr>
    </w:p>
    <w:p w14:paraId="203AD750" w14:textId="5953546B" w:rsidR="00966C63" w:rsidRDefault="00DD1752" w:rsidP="00E66EC5">
      <w:pPr>
        <w:pStyle w:val="ListParagraph"/>
        <w:numPr>
          <w:ilvl w:val="0"/>
          <w:numId w:val="4"/>
        </w:numPr>
        <w:jc w:val="both"/>
      </w:pPr>
      <w:r>
        <w:t>Unless otherwise stated, words and expressions used in this Notice have the same meanings as those in the HVNL and its regulations.</w:t>
      </w:r>
    </w:p>
    <w:p w14:paraId="15073EBC" w14:textId="77777777" w:rsidR="00966C63" w:rsidRDefault="00966C63" w:rsidP="00966C63">
      <w:pPr>
        <w:pStyle w:val="ListParagraph"/>
        <w:ind w:left="1080"/>
        <w:jc w:val="both"/>
      </w:pPr>
    </w:p>
    <w:p w14:paraId="353FC192" w14:textId="77777777" w:rsidR="00DD1752" w:rsidRDefault="00DD1752" w:rsidP="00E66EC5">
      <w:pPr>
        <w:pStyle w:val="ListParagraph"/>
        <w:numPr>
          <w:ilvl w:val="0"/>
          <w:numId w:val="4"/>
        </w:numPr>
        <w:jc w:val="both"/>
      </w:pPr>
      <w:r>
        <w:t>In this Notice:</w:t>
      </w:r>
    </w:p>
    <w:p w14:paraId="33B053D6" w14:textId="030ADE71" w:rsidR="00966C63" w:rsidRPr="005025E3" w:rsidRDefault="00966C63" w:rsidP="005025E3">
      <w:pPr>
        <w:ind w:left="1440"/>
        <w:jc w:val="both"/>
        <w:rPr>
          <w:b/>
          <w:bCs/>
          <w:i/>
          <w:iCs/>
        </w:rPr>
      </w:pPr>
      <w:r w:rsidRPr="00966C63">
        <w:rPr>
          <w:b/>
          <w:bCs/>
          <w:i/>
          <w:iCs/>
        </w:rPr>
        <w:t xml:space="preserve">Adelaide Hills Area </w:t>
      </w:r>
      <w:r w:rsidRPr="00966C63">
        <w:t>means the area described in the map of that name published in the Operator’s Guide.</w:t>
      </w:r>
    </w:p>
    <w:p w14:paraId="55C0E7C8" w14:textId="002EE87E" w:rsidR="00966C63" w:rsidRDefault="00966C63" w:rsidP="00966C63">
      <w:pPr>
        <w:ind w:left="1440"/>
        <w:jc w:val="both"/>
      </w:pPr>
      <w:r w:rsidRPr="00966C63">
        <w:rPr>
          <w:b/>
          <w:bCs/>
          <w:i/>
          <w:iCs/>
        </w:rPr>
        <w:t xml:space="preserve">Adelaide Metropolitan Area </w:t>
      </w:r>
      <w:r w:rsidRPr="00966C63">
        <w:t>means the area described in the map of that name published in the Guide.</w:t>
      </w:r>
    </w:p>
    <w:p w14:paraId="3E8869E1" w14:textId="6DD00562" w:rsidR="00FC1291" w:rsidRDefault="00FC1291" w:rsidP="00966C63">
      <w:pPr>
        <w:ind w:left="1440"/>
        <w:jc w:val="both"/>
      </w:pPr>
      <w:r>
        <w:rPr>
          <w:b/>
          <w:bCs/>
          <w:i/>
          <w:iCs/>
        </w:rPr>
        <w:t xml:space="preserve">Agricultural </w:t>
      </w:r>
      <w:r w:rsidR="00680968">
        <w:rPr>
          <w:b/>
          <w:bCs/>
          <w:i/>
          <w:iCs/>
        </w:rPr>
        <w:t>vehicle</w:t>
      </w:r>
      <w:r w:rsidR="00680968">
        <w:t xml:space="preserve">, for the purpose </w:t>
      </w:r>
      <w:r w:rsidR="00635576">
        <w:t xml:space="preserve">of the notice, </w:t>
      </w:r>
      <w:r w:rsidR="00073A46" w:rsidRPr="00073A46">
        <w:t>includes combinations of agricultural vehicles, machines or implements connected and operated by hydraulic hoses, drive shafts, or other couplings.</w:t>
      </w:r>
    </w:p>
    <w:p w14:paraId="7136AA0C" w14:textId="2FFF3312" w:rsidR="0092776C" w:rsidRPr="00BC28D4" w:rsidRDefault="0092776C" w:rsidP="0092776C">
      <w:pPr>
        <w:ind w:left="1440"/>
        <w:jc w:val="both"/>
        <w:rPr>
          <w:rFonts w:ascii="Calibri" w:eastAsia="Calibri" w:hAnsi="Calibri" w:cs="Times New Roman"/>
          <w:i/>
          <w:iCs/>
        </w:rPr>
      </w:pPr>
      <w:r w:rsidRPr="00BC28D4">
        <w:rPr>
          <w:rFonts w:ascii="Calibri" w:eastAsia="Calibri" w:hAnsi="Calibri" w:cs="Times New Roman"/>
          <w:b/>
          <w:bCs/>
          <w:i/>
          <w:iCs/>
        </w:rPr>
        <w:t>Guide</w:t>
      </w:r>
      <w:r w:rsidRPr="00BC28D4">
        <w:rPr>
          <w:rFonts w:ascii="Calibri" w:eastAsia="Calibri" w:hAnsi="Calibri" w:cs="Times New Roman"/>
        </w:rPr>
        <w:t xml:space="preserve"> means the </w:t>
      </w:r>
      <w:r w:rsidRPr="00BC28D4">
        <w:rPr>
          <w:rFonts w:ascii="Calibri" w:eastAsia="Calibri" w:hAnsi="Calibri" w:cs="Times New Roman"/>
          <w:i/>
          <w:iCs/>
        </w:rPr>
        <w:t>South Australia Class 1 Transport of Indivisible Items and Agricultural Vehicles Dimension Exemption Notice Operator’s Guide</w:t>
      </w:r>
      <w:r w:rsidR="00295C35" w:rsidRPr="00295C35">
        <w:t xml:space="preserve"> </w:t>
      </w:r>
      <w:r w:rsidR="00295C35" w:rsidRPr="00110123">
        <w:t>published by the National Heavy Vehicle Regulator</w:t>
      </w:r>
      <w:r w:rsidR="00295C35">
        <w:t>, and as amended from time to time</w:t>
      </w:r>
      <w:r w:rsidR="00295C35" w:rsidRPr="00110123">
        <w:t>.</w:t>
      </w:r>
    </w:p>
    <w:p w14:paraId="592685DE" w14:textId="4A141D6B" w:rsidR="0092776C" w:rsidRPr="00BC28D4" w:rsidRDefault="0092776C" w:rsidP="0092776C">
      <w:pPr>
        <w:ind w:left="2160" w:hanging="720"/>
        <w:jc w:val="both"/>
        <w:rPr>
          <w:rFonts w:ascii="Calibri" w:eastAsia="Calibri" w:hAnsi="Calibri" w:cs="Times New Roman"/>
          <w:i/>
          <w:iCs/>
        </w:rPr>
      </w:pPr>
      <w:r w:rsidRPr="00BC28D4">
        <w:rPr>
          <w:rFonts w:ascii="Calibri" w:eastAsia="Calibri" w:hAnsi="Calibri" w:cs="Times New Roman"/>
          <w:i/>
          <w:iCs/>
        </w:rPr>
        <w:t>Note:</w:t>
      </w:r>
      <w:r w:rsidRPr="00BC28D4">
        <w:rPr>
          <w:rFonts w:ascii="Calibri" w:eastAsia="Calibri" w:hAnsi="Calibri" w:cs="Times New Roman"/>
          <w:i/>
          <w:iCs/>
        </w:rPr>
        <w:tab/>
        <w:t xml:space="preserve">The </w:t>
      </w:r>
      <w:r>
        <w:rPr>
          <w:rFonts w:ascii="Calibri" w:eastAsia="Calibri" w:hAnsi="Calibri" w:cs="Times New Roman"/>
          <w:i/>
          <w:iCs/>
        </w:rPr>
        <w:t xml:space="preserve">Guide </w:t>
      </w:r>
      <w:r w:rsidRPr="00BC28D4">
        <w:rPr>
          <w:rFonts w:ascii="Calibri" w:eastAsia="Calibri" w:hAnsi="Calibri" w:cs="Times New Roman"/>
          <w:i/>
          <w:iCs/>
        </w:rPr>
        <w:t>contains explanatory material to assist in the interpretation and use of the Notice.</w:t>
      </w:r>
    </w:p>
    <w:p w14:paraId="35EA8B10" w14:textId="00B97288" w:rsidR="0092776C" w:rsidRPr="00BC28D4" w:rsidRDefault="0092776C" w:rsidP="0092776C">
      <w:pPr>
        <w:ind w:left="2160"/>
        <w:jc w:val="both"/>
        <w:rPr>
          <w:rFonts w:ascii="Calibri" w:eastAsia="Calibri" w:hAnsi="Calibri" w:cs="Times New Roman"/>
          <w:i/>
          <w:iCs/>
        </w:rPr>
      </w:pPr>
      <w:r w:rsidRPr="00BC28D4">
        <w:rPr>
          <w:rFonts w:ascii="Calibri" w:eastAsia="Calibri" w:hAnsi="Calibri" w:cs="Times New Roman"/>
          <w:i/>
          <w:iCs/>
        </w:rPr>
        <w:t xml:space="preserve">The </w:t>
      </w:r>
      <w:r>
        <w:rPr>
          <w:rFonts w:ascii="Calibri" w:eastAsia="Calibri" w:hAnsi="Calibri" w:cs="Times New Roman"/>
          <w:i/>
          <w:iCs/>
        </w:rPr>
        <w:t>Guide</w:t>
      </w:r>
      <w:r w:rsidRPr="00BC28D4">
        <w:rPr>
          <w:rFonts w:ascii="Calibri" w:eastAsia="Calibri" w:hAnsi="Calibri" w:cs="Times New Roman"/>
          <w:i/>
          <w:iCs/>
        </w:rPr>
        <w:t xml:space="preserve"> also contains information regarding stated areas and routes that provide access under this Notice including road, </w:t>
      </w:r>
      <w:proofErr w:type="gramStart"/>
      <w:r w:rsidRPr="00BC28D4">
        <w:rPr>
          <w:rFonts w:ascii="Calibri" w:eastAsia="Calibri" w:hAnsi="Calibri" w:cs="Times New Roman"/>
          <w:i/>
          <w:iCs/>
        </w:rPr>
        <w:t>travel</w:t>
      </w:r>
      <w:proofErr w:type="gramEnd"/>
      <w:r w:rsidRPr="00BC28D4">
        <w:rPr>
          <w:rFonts w:ascii="Calibri" w:eastAsia="Calibri" w:hAnsi="Calibri" w:cs="Times New Roman"/>
          <w:i/>
          <w:iCs/>
        </w:rPr>
        <w:t xml:space="preserve"> and vehicle conditions, as well as information regarding participating Road Manager areas.</w:t>
      </w:r>
    </w:p>
    <w:p w14:paraId="2B5B9CE2" w14:textId="656B8B05" w:rsidR="0092776C" w:rsidRPr="0092776C" w:rsidRDefault="0092776C" w:rsidP="0092776C">
      <w:pPr>
        <w:ind w:left="2160"/>
        <w:jc w:val="both"/>
        <w:rPr>
          <w:rFonts w:ascii="Calibri" w:eastAsia="Calibri" w:hAnsi="Calibri" w:cs="Times New Roman"/>
          <w:i/>
          <w:iCs/>
        </w:rPr>
      </w:pPr>
      <w:r w:rsidRPr="00BC28D4">
        <w:rPr>
          <w:rFonts w:ascii="Calibri" w:eastAsia="Calibri" w:hAnsi="Calibri" w:cs="Times New Roman"/>
          <w:i/>
          <w:iCs/>
        </w:rPr>
        <w:t xml:space="preserve">The </w:t>
      </w:r>
      <w:r>
        <w:rPr>
          <w:rFonts w:ascii="Calibri" w:eastAsia="Calibri" w:hAnsi="Calibri" w:cs="Times New Roman"/>
          <w:i/>
          <w:iCs/>
        </w:rPr>
        <w:t>Guide</w:t>
      </w:r>
      <w:r w:rsidRPr="00BC28D4">
        <w:rPr>
          <w:rFonts w:ascii="Calibri" w:eastAsia="Calibri" w:hAnsi="Calibri" w:cs="Times New Roman"/>
          <w:i/>
          <w:iCs/>
        </w:rPr>
        <w:t xml:space="preserve"> is maintained by the Regulator and is published on its website.</w:t>
      </w:r>
    </w:p>
    <w:p w14:paraId="167E8470" w14:textId="6ED2EAA7" w:rsidR="00966C63" w:rsidRPr="00966C63" w:rsidRDefault="00966C63" w:rsidP="005C2E6A">
      <w:pPr>
        <w:ind w:left="1440"/>
        <w:jc w:val="both"/>
        <w:rPr>
          <w:i/>
          <w:iCs/>
        </w:rPr>
      </w:pPr>
      <w:r w:rsidRPr="00966C63">
        <w:rPr>
          <w:b/>
          <w:bCs/>
          <w:i/>
          <w:iCs/>
        </w:rPr>
        <w:t>Participating Road Manager</w:t>
      </w:r>
      <w:r w:rsidRPr="00966C63">
        <w:rPr>
          <w:i/>
          <w:iCs/>
        </w:rPr>
        <w:t xml:space="preserve"> means a Road Manager listed in the Participating Road Manager section of the Guide</w:t>
      </w:r>
      <w:r w:rsidR="007F6585">
        <w:rPr>
          <w:i/>
          <w:iCs/>
        </w:rPr>
        <w:t>.</w:t>
      </w:r>
    </w:p>
    <w:p w14:paraId="033C8C03" w14:textId="2B06EF8C" w:rsidR="00D90F5C" w:rsidRPr="00572726" w:rsidRDefault="00966C63" w:rsidP="00572726">
      <w:pPr>
        <w:ind w:left="1440"/>
        <w:jc w:val="both"/>
        <w:rPr>
          <w:i/>
          <w:iCs/>
        </w:rPr>
      </w:pPr>
      <w:r w:rsidRPr="00966C63">
        <w:rPr>
          <w:b/>
          <w:bCs/>
          <w:i/>
          <w:iCs/>
        </w:rPr>
        <w:t>South Australian Country Area</w:t>
      </w:r>
      <w:r w:rsidRPr="00966C63">
        <w:rPr>
          <w:i/>
          <w:iCs/>
        </w:rPr>
        <w:t xml:space="preserve"> means an area in South Australia other than the Adelaide Metropolitan Area or the Adelaide Hills Area.</w:t>
      </w:r>
    </w:p>
    <w:p w14:paraId="1246D8B9" w14:textId="11AC4417" w:rsidR="00DD1752" w:rsidRPr="00D808F4" w:rsidRDefault="00DD1752" w:rsidP="00D808F4">
      <w:pPr>
        <w:pStyle w:val="ListParagraph"/>
        <w:numPr>
          <w:ilvl w:val="0"/>
          <w:numId w:val="1"/>
        </w:numPr>
        <w:jc w:val="both"/>
        <w:rPr>
          <w:b/>
          <w:bCs/>
        </w:rPr>
      </w:pPr>
      <w:r>
        <w:rPr>
          <w:b/>
          <w:bCs/>
        </w:rPr>
        <w:t>Application</w:t>
      </w:r>
    </w:p>
    <w:p w14:paraId="4B3930F4" w14:textId="77777777" w:rsidR="00202A8D" w:rsidRDefault="00202A8D" w:rsidP="00202A8D">
      <w:pPr>
        <w:pStyle w:val="ListParagraph"/>
        <w:ind w:left="1080"/>
        <w:jc w:val="both"/>
      </w:pPr>
    </w:p>
    <w:p w14:paraId="39603AD7" w14:textId="0B87E8BB" w:rsidR="009D0F26" w:rsidRDefault="00677E4E" w:rsidP="009D0F26">
      <w:pPr>
        <w:pStyle w:val="ListParagraph"/>
        <w:numPr>
          <w:ilvl w:val="0"/>
          <w:numId w:val="5"/>
        </w:numPr>
        <w:jc w:val="both"/>
      </w:pPr>
      <w:r w:rsidRPr="00B779F0">
        <w:t xml:space="preserve">This </w:t>
      </w:r>
      <w:r>
        <w:t>n</w:t>
      </w:r>
      <w:r w:rsidRPr="00B779F0">
        <w:t xml:space="preserve">otice applies to a </w:t>
      </w:r>
      <w:r>
        <w:t>c</w:t>
      </w:r>
      <w:r w:rsidRPr="00B779F0">
        <w:t xml:space="preserve">lass </w:t>
      </w:r>
      <w:r>
        <w:t xml:space="preserve">1 vehicle </w:t>
      </w:r>
      <w:r w:rsidR="00D808F4">
        <w:t>that is</w:t>
      </w:r>
      <w:r w:rsidR="008044A2">
        <w:t>:</w:t>
      </w:r>
    </w:p>
    <w:p w14:paraId="6FA53BDB" w14:textId="77777777" w:rsidR="009D0F26" w:rsidRDefault="009D0F26" w:rsidP="009D0F26">
      <w:pPr>
        <w:pStyle w:val="ListParagraph"/>
        <w:ind w:left="2160"/>
        <w:jc w:val="both"/>
      </w:pPr>
    </w:p>
    <w:p w14:paraId="1BA34103" w14:textId="44074205" w:rsidR="008044A2" w:rsidRDefault="00D808F4" w:rsidP="00911EE7">
      <w:pPr>
        <w:pStyle w:val="ListParagraph"/>
        <w:numPr>
          <w:ilvl w:val="0"/>
          <w:numId w:val="36"/>
        </w:numPr>
        <w:jc w:val="both"/>
      </w:pPr>
      <w:r>
        <w:t xml:space="preserve">a </w:t>
      </w:r>
      <w:r w:rsidR="008044A2">
        <w:t>truck; or</w:t>
      </w:r>
    </w:p>
    <w:p w14:paraId="0E8FFE74" w14:textId="77FCDCE8" w:rsidR="00202A8D" w:rsidRDefault="00D808F4" w:rsidP="00911EE7">
      <w:pPr>
        <w:pStyle w:val="ListParagraph"/>
        <w:numPr>
          <w:ilvl w:val="0"/>
          <w:numId w:val="36"/>
        </w:numPr>
        <w:jc w:val="both"/>
      </w:pPr>
      <w:r>
        <w:t xml:space="preserve">a </w:t>
      </w:r>
      <w:r w:rsidR="00202A8D">
        <w:t>truck towing a trailer; or</w:t>
      </w:r>
    </w:p>
    <w:p w14:paraId="2776EA06" w14:textId="18B4ABBF" w:rsidR="00AC07BF" w:rsidRDefault="00D808F4" w:rsidP="00911EE7">
      <w:pPr>
        <w:pStyle w:val="ListParagraph"/>
        <w:numPr>
          <w:ilvl w:val="0"/>
          <w:numId w:val="36"/>
        </w:numPr>
        <w:jc w:val="both"/>
      </w:pPr>
      <w:r>
        <w:t xml:space="preserve">a </w:t>
      </w:r>
      <w:r w:rsidR="008044A2">
        <w:t>prime mover towing a semi-trailer</w:t>
      </w:r>
      <w:r w:rsidR="00202A8D">
        <w:t>.</w:t>
      </w:r>
    </w:p>
    <w:p w14:paraId="6AF128F4" w14:textId="77777777" w:rsidR="00677E4E" w:rsidRDefault="00677E4E" w:rsidP="00677E4E">
      <w:pPr>
        <w:pStyle w:val="ListParagraph"/>
        <w:ind w:left="1440"/>
        <w:jc w:val="both"/>
      </w:pPr>
    </w:p>
    <w:p w14:paraId="561A9009" w14:textId="66D99EC0" w:rsidR="00677E4E" w:rsidRDefault="00677E4E" w:rsidP="00677E4E">
      <w:pPr>
        <w:pStyle w:val="ListParagraph"/>
        <w:numPr>
          <w:ilvl w:val="0"/>
          <w:numId w:val="5"/>
        </w:numPr>
        <w:jc w:val="both"/>
      </w:pPr>
      <w:r w:rsidRPr="00B779F0">
        <w:t xml:space="preserve">This </w:t>
      </w:r>
      <w:r>
        <w:t>n</w:t>
      </w:r>
      <w:r w:rsidRPr="00B779F0">
        <w:t xml:space="preserve">otice applies to a </w:t>
      </w:r>
      <w:r>
        <w:t>c</w:t>
      </w:r>
      <w:r w:rsidRPr="00B779F0">
        <w:t xml:space="preserve">lass </w:t>
      </w:r>
      <w:r>
        <w:t>1 vehicle that is transporting:</w:t>
      </w:r>
    </w:p>
    <w:p w14:paraId="54149B9C" w14:textId="77777777" w:rsidR="00677E4E" w:rsidRDefault="00677E4E" w:rsidP="00677E4E">
      <w:pPr>
        <w:pStyle w:val="ListParagraph"/>
        <w:ind w:left="1080"/>
        <w:jc w:val="both"/>
      </w:pPr>
    </w:p>
    <w:p w14:paraId="35A2908E" w14:textId="77777777" w:rsidR="00677E4E" w:rsidRDefault="00677E4E" w:rsidP="00677E4E">
      <w:pPr>
        <w:pStyle w:val="ListParagraph"/>
        <w:numPr>
          <w:ilvl w:val="0"/>
          <w:numId w:val="13"/>
        </w:numPr>
        <w:jc w:val="both"/>
      </w:pPr>
      <w:r>
        <w:t>an indivisible item; or</w:t>
      </w:r>
    </w:p>
    <w:p w14:paraId="5D74CFA9" w14:textId="0276F43D" w:rsidR="00AC07BF" w:rsidRDefault="00677E4E" w:rsidP="00D808F4">
      <w:pPr>
        <w:pStyle w:val="ListParagraph"/>
        <w:numPr>
          <w:ilvl w:val="0"/>
          <w:numId w:val="13"/>
        </w:numPr>
        <w:jc w:val="both"/>
      </w:pPr>
      <w:r>
        <w:t>an agricultural vehicle.</w:t>
      </w:r>
    </w:p>
    <w:p w14:paraId="7C83C997" w14:textId="77777777" w:rsidR="00D808F4" w:rsidRDefault="00D808F4" w:rsidP="00D808F4">
      <w:pPr>
        <w:pStyle w:val="ListParagraph"/>
        <w:ind w:left="1440"/>
        <w:jc w:val="both"/>
      </w:pPr>
    </w:p>
    <w:p w14:paraId="72F1A1F0" w14:textId="77777777" w:rsidR="009E23B9" w:rsidRDefault="009E23B9" w:rsidP="00D808F4">
      <w:pPr>
        <w:pStyle w:val="ListParagraph"/>
        <w:ind w:left="1440"/>
        <w:jc w:val="both"/>
      </w:pPr>
    </w:p>
    <w:p w14:paraId="015DC683" w14:textId="77777777" w:rsidR="009E23B9" w:rsidRDefault="009E23B9" w:rsidP="00D808F4">
      <w:pPr>
        <w:pStyle w:val="ListParagraph"/>
        <w:ind w:left="1440"/>
        <w:jc w:val="both"/>
      </w:pPr>
    </w:p>
    <w:p w14:paraId="76B21D3E" w14:textId="4969F3FB" w:rsidR="00D808F4" w:rsidRDefault="00D808F4" w:rsidP="00D808F4">
      <w:pPr>
        <w:pStyle w:val="ListParagraph"/>
        <w:numPr>
          <w:ilvl w:val="0"/>
          <w:numId w:val="5"/>
        </w:numPr>
        <w:jc w:val="both"/>
      </w:pPr>
      <w:r>
        <w:lastRenderedPageBreak/>
        <w:t>This notice applies in South Australia.</w:t>
      </w:r>
    </w:p>
    <w:p w14:paraId="2610A1EB" w14:textId="77777777" w:rsidR="00D808F4" w:rsidRDefault="00D808F4" w:rsidP="00D808F4">
      <w:pPr>
        <w:pStyle w:val="ListParagraph"/>
        <w:ind w:left="1440"/>
        <w:jc w:val="both"/>
      </w:pPr>
    </w:p>
    <w:p w14:paraId="6683DF8B" w14:textId="2366AE93" w:rsidR="00E214FE" w:rsidRDefault="005A6499" w:rsidP="00E66EC5">
      <w:pPr>
        <w:pStyle w:val="ListParagraph"/>
        <w:numPr>
          <w:ilvl w:val="0"/>
          <w:numId w:val="5"/>
        </w:numPr>
        <w:jc w:val="both"/>
      </w:pPr>
      <w:r>
        <w:t>A heavy vehicle to which this section applies and that complies with the conditions of this notice is an eligible vehicle.</w:t>
      </w:r>
    </w:p>
    <w:p w14:paraId="24D653D2" w14:textId="77777777" w:rsidR="00226D24" w:rsidRDefault="00226D24" w:rsidP="00226D24">
      <w:pPr>
        <w:pStyle w:val="ListParagraph"/>
      </w:pPr>
    </w:p>
    <w:p w14:paraId="33340983" w14:textId="394B6936" w:rsidR="001C4AC6" w:rsidRPr="00DE5AD7" w:rsidRDefault="001C4AC6" w:rsidP="00F945ED">
      <w:pPr>
        <w:pStyle w:val="ListParagraph"/>
        <w:numPr>
          <w:ilvl w:val="0"/>
          <w:numId w:val="1"/>
        </w:numPr>
        <w:jc w:val="both"/>
        <w:rPr>
          <w:b/>
          <w:bCs/>
        </w:rPr>
      </w:pPr>
      <w:r>
        <w:rPr>
          <w:b/>
          <w:bCs/>
        </w:rPr>
        <w:t>Exemption – Prescribed dimension requirements</w:t>
      </w:r>
    </w:p>
    <w:p w14:paraId="6E5DC66C" w14:textId="77777777" w:rsidR="001C4AC6" w:rsidRDefault="001C4AC6" w:rsidP="00F945ED">
      <w:pPr>
        <w:pStyle w:val="ListParagraph"/>
        <w:ind w:left="1080"/>
        <w:jc w:val="both"/>
      </w:pPr>
    </w:p>
    <w:p w14:paraId="1E92034A" w14:textId="6AC9787D" w:rsidR="001C4AC6" w:rsidRDefault="001C4AC6" w:rsidP="00E66EC5">
      <w:pPr>
        <w:pStyle w:val="ListParagraph"/>
        <w:numPr>
          <w:ilvl w:val="0"/>
          <w:numId w:val="9"/>
        </w:numPr>
        <w:jc w:val="both"/>
      </w:pPr>
      <w:r>
        <w:t xml:space="preserve">An eligible vehicle is exempt from the following </w:t>
      </w:r>
      <w:r w:rsidR="006E362A">
        <w:t>dimension</w:t>
      </w:r>
      <w:r>
        <w:t xml:space="preserve"> requirements under Schedule </w:t>
      </w:r>
      <w:r w:rsidR="00C71F77">
        <w:t>6</w:t>
      </w:r>
      <w:r>
        <w:t xml:space="preserve"> of the </w:t>
      </w:r>
      <w:r w:rsidRPr="00D43A75">
        <w:rPr>
          <w:i/>
          <w:iCs/>
        </w:rPr>
        <w:t>Heavy Vehicle (Mass Dimension and Loading) National Regulation</w:t>
      </w:r>
      <w:r>
        <w:t xml:space="preserve"> (MDL Regulation):</w:t>
      </w:r>
    </w:p>
    <w:p w14:paraId="6294F0A4" w14:textId="77777777" w:rsidR="001C4AC6" w:rsidRDefault="001C4AC6" w:rsidP="00F945ED">
      <w:pPr>
        <w:pStyle w:val="ListParagraph"/>
        <w:ind w:left="1080"/>
        <w:jc w:val="both"/>
      </w:pPr>
    </w:p>
    <w:p w14:paraId="06E0BDB7" w14:textId="2F227520" w:rsidR="001C4AC6" w:rsidRDefault="001C4AC6" w:rsidP="00E66EC5">
      <w:pPr>
        <w:pStyle w:val="ListParagraph"/>
        <w:numPr>
          <w:ilvl w:val="0"/>
          <w:numId w:val="8"/>
        </w:numPr>
        <w:jc w:val="both"/>
      </w:pPr>
      <w:r>
        <w:t xml:space="preserve">section </w:t>
      </w:r>
      <w:r w:rsidR="00C71F77">
        <w:t>3</w:t>
      </w:r>
      <w:r>
        <w:t xml:space="preserve"> – </w:t>
      </w:r>
      <w:r w:rsidR="00C71F77">
        <w:t>Length (combination or single vehicle)</w:t>
      </w:r>
      <w:r>
        <w:t xml:space="preserve"> </w:t>
      </w:r>
    </w:p>
    <w:p w14:paraId="76DACBCD" w14:textId="65637681" w:rsidR="001C4AC6" w:rsidRDefault="001C4AC6" w:rsidP="00E66EC5">
      <w:pPr>
        <w:pStyle w:val="ListParagraph"/>
        <w:numPr>
          <w:ilvl w:val="0"/>
          <w:numId w:val="8"/>
        </w:numPr>
        <w:jc w:val="both"/>
      </w:pPr>
      <w:r>
        <w:t xml:space="preserve">section </w:t>
      </w:r>
      <w:r w:rsidR="00C71F77">
        <w:t>4</w:t>
      </w:r>
      <w:r>
        <w:t xml:space="preserve"> – </w:t>
      </w:r>
      <w:r w:rsidR="00C71F77">
        <w:t>Length (trailers)</w:t>
      </w:r>
    </w:p>
    <w:p w14:paraId="42C96BC3" w14:textId="78FE2A08" w:rsidR="001C4AC6" w:rsidRDefault="001C4AC6" w:rsidP="00E66EC5">
      <w:pPr>
        <w:pStyle w:val="ListParagraph"/>
        <w:numPr>
          <w:ilvl w:val="0"/>
          <w:numId w:val="8"/>
        </w:numPr>
        <w:jc w:val="both"/>
      </w:pPr>
      <w:r>
        <w:t xml:space="preserve">section </w:t>
      </w:r>
      <w:r w:rsidR="003535F6">
        <w:t>5</w:t>
      </w:r>
      <w:r>
        <w:t xml:space="preserve"> – </w:t>
      </w:r>
      <w:r w:rsidR="003535F6">
        <w:t>Length (</w:t>
      </w:r>
      <w:r w:rsidR="004C45CE">
        <w:t>rear overhang</w:t>
      </w:r>
      <w:r w:rsidR="003535F6">
        <w:t>)</w:t>
      </w:r>
    </w:p>
    <w:p w14:paraId="58BCF6B2" w14:textId="271BE597" w:rsidR="00BD20E5" w:rsidRDefault="00BD20E5" w:rsidP="00E66EC5">
      <w:pPr>
        <w:pStyle w:val="ListParagraph"/>
        <w:numPr>
          <w:ilvl w:val="0"/>
          <w:numId w:val="8"/>
        </w:numPr>
        <w:jc w:val="both"/>
      </w:pPr>
      <w:r>
        <w:t>section 7 – Width</w:t>
      </w:r>
    </w:p>
    <w:p w14:paraId="4124B332" w14:textId="29969AB6" w:rsidR="00E35608" w:rsidRDefault="00E35608" w:rsidP="00E66EC5">
      <w:pPr>
        <w:pStyle w:val="ListParagraph"/>
        <w:numPr>
          <w:ilvl w:val="0"/>
          <w:numId w:val="8"/>
        </w:numPr>
        <w:jc w:val="both"/>
      </w:pPr>
      <w:r>
        <w:t>section 8 – Height</w:t>
      </w:r>
    </w:p>
    <w:p w14:paraId="3EA561C2" w14:textId="137D3F3E" w:rsidR="009F7BA8" w:rsidRDefault="009F7BA8" w:rsidP="00E66EC5">
      <w:pPr>
        <w:pStyle w:val="ListParagraph"/>
        <w:numPr>
          <w:ilvl w:val="0"/>
          <w:numId w:val="8"/>
        </w:numPr>
        <w:jc w:val="both"/>
      </w:pPr>
      <w:r>
        <w:t xml:space="preserve">section 12 – </w:t>
      </w:r>
      <w:r w:rsidR="006F785C">
        <w:t>Rear projection of load</w:t>
      </w:r>
    </w:p>
    <w:p w14:paraId="7A7F71C7" w14:textId="03E26CC1" w:rsidR="00A52A10" w:rsidRDefault="006F785C" w:rsidP="00E66EC5">
      <w:pPr>
        <w:pStyle w:val="ListParagraph"/>
        <w:numPr>
          <w:ilvl w:val="0"/>
          <w:numId w:val="8"/>
        </w:numPr>
        <w:jc w:val="both"/>
      </w:pPr>
      <w:r>
        <w:t>section 13 – Front and side projection of load</w:t>
      </w:r>
    </w:p>
    <w:p w14:paraId="67B74DCC" w14:textId="2C794AF5" w:rsidR="005359D3" w:rsidRPr="005359D3" w:rsidRDefault="00D9737F" w:rsidP="005359D3">
      <w:pPr>
        <w:ind w:left="2160" w:hanging="1080"/>
        <w:jc w:val="both"/>
        <w:rPr>
          <w:i/>
          <w:iCs/>
        </w:rPr>
      </w:pPr>
      <w:r w:rsidRPr="005359D3">
        <w:rPr>
          <w:i/>
          <w:iCs/>
        </w:rPr>
        <w:t>Note:</w:t>
      </w:r>
      <w:r w:rsidRPr="005359D3">
        <w:rPr>
          <w:i/>
          <w:iCs/>
        </w:rPr>
        <w:tab/>
        <w:t>the exe</w:t>
      </w:r>
      <w:r w:rsidR="005359D3" w:rsidRPr="005359D3">
        <w:rPr>
          <w:i/>
          <w:iCs/>
        </w:rPr>
        <w:t>mption in section 8(1)(g) only applies to side projection.</w:t>
      </w:r>
    </w:p>
    <w:p w14:paraId="7725AED6" w14:textId="0B3E981E" w:rsidR="00B12546" w:rsidRDefault="001C4AC6" w:rsidP="00E66EC5">
      <w:pPr>
        <w:pStyle w:val="ListParagraph"/>
        <w:numPr>
          <w:ilvl w:val="0"/>
          <w:numId w:val="9"/>
        </w:numPr>
        <w:jc w:val="both"/>
      </w:pPr>
      <w:r>
        <w:t xml:space="preserve">An exemption in 1) only applies to the extent that specific conditional </w:t>
      </w:r>
      <w:r w:rsidR="00935A22">
        <w:t>dimension</w:t>
      </w:r>
      <w:r>
        <w:t xml:space="preserve"> limits are provided in section</w:t>
      </w:r>
      <w:r w:rsidR="00B05075">
        <w:t xml:space="preserve"> </w:t>
      </w:r>
      <w:r w:rsidR="00226D24">
        <w:t>9</w:t>
      </w:r>
      <w:r w:rsidR="00CD4C1E">
        <w:t xml:space="preserve"> to 13 in this notice</w:t>
      </w:r>
      <w:r w:rsidR="00226D24">
        <w:t>.</w:t>
      </w:r>
    </w:p>
    <w:p w14:paraId="16441D96" w14:textId="77777777" w:rsidR="0009766F" w:rsidRDefault="0009766F" w:rsidP="0009766F">
      <w:pPr>
        <w:pStyle w:val="ListParagraph"/>
        <w:ind w:left="1080"/>
        <w:jc w:val="both"/>
      </w:pPr>
    </w:p>
    <w:p w14:paraId="3E102B68" w14:textId="0BF31305" w:rsidR="005E7F58" w:rsidRPr="00295C35" w:rsidRDefault="003A3765" w:rsidP="00295C35">
      <w:pPr>
        <w:pStyle w:val="ListParagraph"/>
        <w:numPr>
          <w:ilvl w:val="0"/>
          <w:numId w:val="9"/>
        </w:numPr>
        <w:jc w:val="both"/>
      </w:pPr>
      <w:r>
        <w:t>In</w:t>
      </w:r>
      <w:r w:rsidRPr="00C10868">
        <w:t xml:space="preserve"> relation to a particular vehicle or component, </w:t>
      </w:r>
      <w:r>
        <w:t>if this n</w:t>
      </w:r>
      <w:r w:rsidRPr="00C10868">
        <w:t>otice provides for</w:t>
      </w:r>
      <w:r>
        <w:t xml:space="preserve"> more than one dimension</w:t>
      </w:r>
      <w:r w:rsidRPr="00C10868">
        <w:t xml:space="preserve"> limit </w:t>
      </w:r>
      <w:r>
        <w:t xml:space="preserve">to </w:t>
      </w:r>
      <w:r w:rsidRPr="00C10868">
        <w:t>appl</w:t>
      </w:r>
      <w:r>
        <w:t>y</w:t>
      </w:r>
      <w:r w:rsidRPr="00C10868">
        <w:t xml:space="preserve"> in the same circumstances, the </w:t>
      </w:r>
      <w:r>
        <w:t>more restrictive dimension</w:t>
      </w:r>
      <w:r w:rsidRPr="00C10868">
        <w:t xml:space="preserve"> limit applies</w:t>
      </w:r>
      <w:r>
        <w:t>.</w:t>
      </w:r>
    </w:p>
    <w:p w14:paraId="768BFA07" w14:textId="77777777" w:rsidR="00295C35" w:rsidRDefault="00295C35" w:rsidP="00295C35">
      <w:pPr>
        <w:pStyle w:val="ListParagraph"/>
        <w:jc w:val="both"/>
        <w:rPr>
          <w:b/>
          <w:bCs/>
        </w:rPr>
      </w:pPr>
    </w:p>
    <w:p w14:paraId="0D2736DE" w14:textId="1D1008AC" w:rsidR="00B12546" w:rsidRPr="00B12546" w:rsidRDefault="00B12546" w:rsidP="00F945ED">
      <w:pPr>
        <w:pStyle w:val="ListParagraph"/>
        <w:numPr>
          <w:ilvl w:val="0"/>
          <w:numId w:val="1"/>
        </w:numPr>
        <w:jc w:val="both"/>
        <w:rPr>
          <w:b/>
          <w:bCs/>
        </w:rPr>
      </w:pPr>
      <w:r w:rsidRPr="00B12546">
        <w:rPr>
          <w:b/>
          <w:bCs/>
        </w:rPr>
        <w:t xml:space="preserve">Condition – Dimension </w:t>
      </w:r>
      <w:r w:rsidR="003754FD">
        <w:rPr>
          <w:b/>
          <w:bCs/>
        </w:rPr>
        <w:t>(length)</w:t>
      </w:r>
    </w:p>
    <w:p w14:paraId="08A0859A" w14:textId="77777777" w:rsidR="00B12546" w:rsidRDefault="00B12546" w:rsidP="00F945ED">
      <w:pPr>
        <w:pStyle w:val="ListParagraph"/>
        <w:ind w:left="1080"/>
        <w:jc w:val="both"/>
      </w:pPr>
    </w:p>
    <w:p w14:paraId="5FEBE7D8" w14:textId="54B4D412" w:rsidR="0082543C" w:rsidRPr="007E5C32" w:rsidRDefault="007E5C32" w:rsidP="007E5C32">
      <w:pPr>
        <w:pStyle w:val="ListParagraph"/>
        <w:ind w:left="1080"/>
        <w:jc w:val="both"/>
      </w:pPr>
      <w:r>
        <w:t>E</w:t>
      </w:r>
      <w:r w:rsidR="0082543C" w:rsidRPr="007E5C32">
        <w:t xml:space="preserve">ligible vehicles </w:t>
      </w:r>
      <w:r w:rsidR="00AE49B4">
        <w:t>that are a combination</w:t>
      </w:r>
      <w:r w:rsidR="0082543C" w:rsidRPr="007E5C32">
        <w:t xml:space="preserve"> </w:t>
      </w:r>
      <w:r w:rsidR="0047719F" w:rsidRPr="007E5C32">
        <w:t>consisting of a</w:t>
      </w:r>
      <w:r>
        <w:t xml:space="preserve"> </w:t>
      </w:r>
      <w:r w:rsidR="0082543C" w:rsidRPr="007E5C32">
        <w:t xml:space="preserve">prime mover and semi-trailer </w:t>
      </w:r>
      <w:r>
        <w:t>must not exceed</w:t>
      </w:r>
      <w:r w:rsidR="0082543C" w:rsidRPr="007E5C32">
        <w:t xml:space="preserve"> 25</w:t>
      </w:r>
      <w:r w:rsidR="00E12B2E" w:rsidRPr="007E5C32">
        <w:t>.0</w:t>
      </w:r>
      <w:r w:rsidR="0082543C" w:rsidRPr="007E5C32">
        <w:t>m</w:t>
      </w:r>
      <w:r w:rsidR="006941E0">
        <w:t>.</w:t>
      </w:r>
    </w:p>
    <w:p w14:paraId="3BD37FC7" w14:textId="77777777" w:rsidR="006941E0" w:rsidRDefault="006941E0" w:rsidP="007E5C32">
      <w:pPr>
        <w:pStyle w:val="ListParagraph"/>
        <w:ind w:left="1080"/>
        <w:jc w:val="both"/>
      </w:pPr>
    </w:p>
    <w:p w14:paraId="3D17958F" w14:textId="5422F5DD" w:rsidR="006E4FA0" w:rsidRDefault="006941E0" w:rsidP="006E4FA0">
      <w:pPr>
        <w:pStyle w:val="ListParagraph"/>
        <w:ind w:left="2160" w:hanging="1080"/>
        <w:jc w:val="both"/>
        <w:rPr>
          <w:i/>
          <w:iCs/>
        </w:rPr>
      </w:pPr>
      <w:r w:rsidRPr="005B0E89">
        <w:rPr>
          <w:i/>
          <w:iCs/>
        </w:rPr>
        <w:t>Note:</w:t>
      </w:r>
      <w:r w:rsidRPr="005B0E89">
        <w:rPr>
          <w:i/>
          <w:iCs/>
        </w:rPr>
        <w:tab/>
        <w:t xml:space="preserve">due to the function of section 8(2), any </w:t>
      </w:r>
      <w:r w:rsidR="005B0E89" w:rsidRPr="005B0E89">
        <w:rPr>
          <w:i/>
          <w:iCs/>
        </w:rPr>
        <w:t>eligible vehicle that is not a combination consisting of a prime mover and a semi-trailer must not exceed prescribed dimension limit</w:t>
      </w:r>
      <w:r w:rsidR="007F25D6">
        <w:rPr>
          <w:i/>
          <w:iCs/>
        </w:rPr>
        <w:t>s</w:t>
      </w:r>
      <w:r w:rsidR="005B0E89" w:rsidRPr="005B0E89">
        <w:rPr>
          <w:i/>
          <w:iCs/>
        </w:rPr>
        <w:t>.</w:t>
      </w:r>
    </w:p>
    <w:p w14:paraId="7B128250" w14:textId="77777777" w:rsidR="006E4FA0" w:rsidRPr="006E4FA0" w:rsidRDefault="006E4FA0" w:rsidP="006E4FA0">
      <w:pPr>
        <w:pStyle w:val="ListParagraph"/>
        <w:ind w:left="2160" w:hanging="1080"/>
        <w:jc w:val="both"/>
        <w:rPr>
          <w:i/>
          <w:iCs/>
        </w:rPr>
      </w:pPr>
    </w:p>
    <w:p w14:paraId="668713D3" w14:textId="0B296FFA" w:rsidR="0082543C" w:rsidRPr="00B12546" w:rsidRDefault="0082543C" w:rsidP="0082543C">
      <w:pPr>
        <w:pStyle w:val="ListParagraph"/>
        <w:numPr>
          <w:ilvl w:val="0"/>
          <w:numId w:val="1"/>
        </w:numPr>
        <w:jc w:val="both"/>
        <w:rPr>
          <w:b/>
          <w:bCs/>
        </w:rPr>
      </w:pPr>
      <w:r w:rsidRPr="00B12546">
        <w:rPr>
          <w:b/>
          <w:bCs/>
        </w:rPr>
        <w:t>Condition –</w:t>
      </w:r>
      <w:r w:rsidR="005E1270">
        <w:rPr>
          <w:b/>
          <w:bCs/>
        </w:rPr>
        <w:t xml:space="preserve"> </w:t>
      </w:r>
      <w:r w:rsidR="00A32B43">
        <w:rPr>
          <w:b/>
          <w:bCs/>
        </w:rPr>
        <w:t>Rear Overhang</w:t>
      </w:r>
    </w:p>
    <w:p w14:paraId="671064F6" w14:textId="77777777" w:rsidR="0082543C" w:rsidRDefault="0082543C" w:rsidP="0082543C">
      <w:pPr>
        <w:pStyle w:val="ListParagraph"/>
        <w:ind w:left="1080"/>
        <w:jc w:val="both"/>
      </w:pPr>
    </w:p>
    <w:p w14:paraId="5160C857" w14:textId="376B90D1" w:rsidR="00C83593" w:rsidRDefault="00C83593" w:rsidP="00E66EC5">
      <w:pPr>
        <w:pStyle w:val="ListParagraph"/>
        <w:numPr>
          <w:ilvl w:val="0"/>
          <w:numId w:val="15"/>
        </w:numPr>
        <w:jc w:val="both"/>
      </w:pPr>
      <w:r>
        <w:t xml:space="preserve">The rear overhang of an eligible semi-trailer operating under this </w:t>
      </w:r>
      <w:r w:rsidR="00A90DEF">
        <w:t>n</w:t>
      </w:r>
      <w:r>
        <w:t>otice, including the load, must not exceed the lesser of:</w:t>
      </w:r>
    </w:p>
    <w:p w14:paraId="3EDEE828" w14:textId="77777777" w:rsidR="00882622" w:rsidRDefault="00882622" w:rsidP="00882622">
      <w:pPr>
        <w:pStyle w:val="ListParagraph"/>
        <w:ind w:left="2160"/>
        <w:jc w:val="both"/>
      </w:pPr>
    </w:p>
    <w:p w14:paraId="08F2968A" w14:textId="494A34F8" w:rsidR="00C83593" w:rsidRDefault="00C83593" w:rsidP="00E66EC5">
      <w:pPr>
        <w:pStyle w:val="ListParagraph"/>
        <w:numPr>
          <w:ilvl w:val="0"/>
          <w:numId w:val="14"/>
        </w:numPr>
        <w:jc w:val="both"/>
      </w:pPr>
      <w:r>
        <w:t>5.5 metres; or</w:t>
      </w:r>
    </w:p>
    <w:p w14:paraId="6A555412" w14:textId="7F2545E0" w:rsidR="0082543C" w:rsidRDefault="00C83593" w:rsidP="00C83593">
      <w:pPr>
        <w:pStyle w:val="ListParagraph"/>
        <w:numPr>
          <w:ilvl w:val="0"/>
          <w:numId w:val="14"/>
        </w:numPr>
        <w:jc w:val="both"/>
      </w:pPr>
      <w:r>
        <w:t>25% of the overall length of the entire vehicle, including the load.</w:t>
      </w:r>
    </w:p>
    <w:p w14:paraId="39E16167" w14:textId="77777777" w:rsidR="007E5C32" w:rsidRDefault="007E5C32" w:rsidP="007E5C32">
      <w:pPr>
        <w:pStyle w:val="ListParagraph"/>
        <w:ind w:left="1440"/>
        <w:jc w:val="both"/>
      </w:pPr>
    </w:p>
    <w:p w14:paraId="4B0C8B68" w14:textId="77777777" w:rsidR="009E23B9" w:rsidRDefault="009E23B9" w:rsidP="007E5C32">
      <w:pPr>
        <w:pStyle w:val="ListParagraph"/>
        <w:ind w:left="1440"/>
        <w:jc w:val="both"/>
      </w:pPr>
    </w:p>
    <w:p w14:paraId="13FBBFEB" w14:textId="77777777" w:rsidR="009E23B9" w:rsidRDefault="009E23B9" w:rsidP="007E5C32">
      <w:pPr>
        <w:pStyle w:val="ListParagraph"/>
        <w:ind w:left="1440"/>
        <w:jc w:val="both"/>
      </w:pPr>
    </w:p>
    <w:p w14:paraId="0AAD72AF" w14:textId="3385A8A6" w:rsidR="00CB74D0" w:rsidRPr="00B12546" w:rsidRDefault="00CB74D0" w:rsidP="00CB74D0">
      <w:pPr>
        <w:pStyle w:val="ListParagraph"/>
        <w:numPr>
          <w:ilvl w:val="0"/>
          <w:numId w:val="1"/>
        </w:numPr>
        <w:jc w:val="both"/>
        <w:rPr>
          <w:b/>
          <w:bCs/>
        </w:rPr>
      </w:pPr>
      <w:r w:rsidRPr="00B12546">
        <w:rPr>
          <w:b/>
          <w:bCs/>
        </w:rPr>
        <w:lastRenderedPageBreak/>
        <w:t xml:space="preserve">Condition – </w:t>
      </w:r>
      <w:r w:rsidR="00341DDD">
        <w:rPr>
          <w:b/>
          <w:bCs/>
        </w:rPr>
        <w:t>Semi</w:t>
      </w:r>
      <w:r w:rsidR="00384BDB">
        <w:rPr>
          <w:b/>
          <w:bCs/>
        </w:rPr>
        <w:t>t</w:t>
      </w:r>
      <w:r w:rsidR="00341DDD">
        <w:rPr>
          <w:b/>
          <w:bCs/>
        </w:rPr>
        <w:t xml:space="preserve">railer Kingpin dimension </w:t>
      </w:r>
    </w:p>
    <w:p w14:paraId="3B156A3B" w14:textId="77777777" w:rsidR="00CB74D0" w:rsidRDefault="00CB74D0" w:rsidP="00CB74D0">
      <w:pPr>
        <w:pStyle w:val="ListParagraph"/>
        <w:ind w:left="1080"/>
        <w:jc w:val="both"/>
      </w:pPr>
    </w:p>
    <w:p w14:paraId="0D6ED1D4" w14:textId="1116A517" w:rsidR="0033121D" w:rsidRDefault="0033121D" w:rsidP="00E66EC5">
      <w:pPr>
        <w:pStyle w:val="ListParagraph"/>
        <w:numPr>
          <w:ilvl w:val="0"/>
          <w:numId w:val="16"/>
        </w:numPr>
        <w:jc w:val="both"/>
      </w:pPr>
      <w:r>
        <w:t xml:space="preserve">Semi-trailers </w:t>
      </w:r>
      <w:r w:rsidR="00AA4AE8">
        <w:t>that</w:t>
      </w:r>
      <w:r w:rsidR="00520ACB">
        <w:t xml:space="preserve"> are</w:t>
      </w:r>
      <w:r w:rsidR="00AA4AE8">
        <w:t xml:space="preserve"> part of an eligible vehicle</w:t>
      </w:r>
      <w:r>
        <w:t xml:space="preserve"> are </w:t>
      </w:r>
      <w:r w:rsidR="00E1314E">
        <w:t xml:space="preserve">specifically </w:t>
      </w:r>
      <w:r>
        <w:t xml:space="preserve">exempt from meeting the following </w:t>
      </w:r>
      <w:r w:rsidR="004A34A8">
        <w:t>prescribed</w:t>
      </w:r>
      <w:r w:rsidR="00151C94">
        <w:t xml:space="preserve"> </w:t>
      </w:r>
      <w:r>
        <w:t xml:space="preserve">dimension </w:t>
      </w:r>
      <w:r w:rsidR="00B87E34">
        <w:t>requirements in</w:t>
      </w:r>
      <w:r w:rsidR="00151C94">
        <w:t xml:space="preserve"> section 4(2) of </w:t>
      </w:r>
      <w:r w:rsidR="004A34A8">
        <w:t xml:space="preserve">Schedule </w:t>
      </w:r>
      <w:r w:rsidR="00442689">
        <w:t xml:space="preserve">6 of </w:t>
      </w:r>
      <w:r w:rsidR="00151C94">
        <w:t>the MDL Regulation</w:t>
      </w:r>
      <w:r>
        <w:t>:</w:t>
      </w:r>
    </w:p>
    <w:p w14:paraId="0317BA30" w14:textId="77777777" w:rsidR="00882622" w:rsidRDefault="00882622" w:rsidP="00882622">
      <w:pPr>
        <w:pStyle w:val="ListParagraph"/>
        <w:ind w:left="1440"/>
        <w:jc w:val="both"/>
      </w:pPr>
    </w:p>
    <w:p w14:paraId="6F746DA8" w14:textId="7BD82C3D" w:rsidR="0033121D" w:rsidRDefault="0033121D" w:rsidP="00E66EC5">
      <w:pPr>
        <w:pStyle w:val="ListParagraph"/>
        <w:numPr>
          <w:ilvl w:val="0"/>
          <w:numId w:val="17"/>
        </w:numPr>
        <w:jc w:val="both"/>
      </w:pPr>
      <w:r>
        <w:t>9.5</w:t>
      </w:r>
      <w:r w:rsidR="00151C94">
        <w:t>m</w:t>
      </w:r>
      <w:r>
        <w:t xml:space="preserve"> - kingpin to </w:t>
      </w:r>
      <w:r w:rsidR="00857E5F">
        <w:t xml:space="preserve">the </w:t>
      </w:r>
      <w:r>
        <w:t xml:space="preserve">centre of </w:t>
      </w:r>
      <w:r w:rsidR="00857E5F">
        <w:t xml:space="preserve">the </w:t>
      </w:r>
      <w:r>
        <w:t xml:space="preserve">axle </w:t>
      </w:r>
      <w:proofErr w:type="gramStart"/>
      <w:r>
        <w:t>group;</w:t>
      </w:r>
      <w:proofErr w:type="gramEnd"/>
    </w:p>
    <w:p w14:paraId="354C6A82" w14:textId="4E20DBDF" w:rsidR="0033121D" w:rsidRDefault="0033121D" w:rsidP="00E84F4B">
      <w:pPr>
        <w:pStyle w:val="ListParagraph"/>
        <w:numPr>
          <w:ilvl w:val="0"/>
          <w:numId w:val="17"/>
        </w:numPr>
        <w:jc w:val="both"/>
      </w:pPr>
      <w:r>
        <w:t>12.3</w:t>
      </w:r>
      <w:r w:rsidR="00151C94">
        <w:t>m</w:t>
      </w:r>
      <w:r>
        <w:t xml:space="preserve"> - kingpin to </w:t>
      </w:r>
      <w:r w:rsidR="00857E5F">
        <w:t>the</w:t>
      </w:r>
      <w:r>
        <w:t xml:space="preserve"> rear of </w:t>
      </w:r>
      <w:r w:rsidR="00857E5F">
        <w:t xml:space="preserve">the </w:t>
      </w:r>
      <w:r>
        <w:t>semi-trailer.</w:t>
      </w:r>
    </w:p>
    <w:p w14:paraId="318E0122" w14:textId="77777777" w:rsidR="001C4384" w:rsidRDefault="001C4384" w:rsidP="001C4384">
      <w:pPr>
        <w:pStyle w:val="ListParagraph"/>
        <w:ind w:left="1440"/>
        <w:jc w:val="both"/>
      </w:pPr>
    </w:p>
    <w:p w14:paraId="4F079A67" w14:textId="6CA0C708" w:rsidR="00CA0DB2" w:rsidRDefault="00AA4AE8" w:rsidP="001C4384">
      <w:pPr>
        <w:pStyle w:val="ListParagraph"/>
        <w:numPr>
          <w:ilvl w:val="0"/>
          <w:numId w:val="16"/>
        </w:numPr>
        <w:jc w:val="both"/>
      </w:pPr>
      <w:r>
        <w:t>No conditional dimension</w:t>
      </w:r>
      <w:r w:rsidR="00AA3E55">
        <w:t>s</w:t>
      </w:r>
      <w:r>
        <w:t xml:space="preserve"> </w:t>
      </w:r>
      <w:r w:rsidR="004344EC">
        <w:t xml:space="preserve">are </w:t>
      </w:r>
      <w:r w:rsidR="00AA3E55">
        <w:t>impose</w:t>
      </w:r>
      <w:r w:rsidR="004344EC">
        <w:t xml:space="preserve">d on </w:t>
      </w:r>
      <w:r w:rsidR="001F30C9">
        <w:t>the exempted dimensions stated in (1)(a) and (b).</w:t>
      </w:r>
      <w:r>
        <w:t xml:space="preserve"> </w:t>
      </w:r>
    </w:p>
    <w:p w14:paraId="1D16E822" w14:textId="77E9F6E8" w:rsidR="00E84F4B" w:rsidRPr="004D701B" w:rsidRDefault="000567E4" w:rsidP="004D701B">
      <w:pPr>
        <w:ind w:left="2160" w:hanging="1080"/>
        <w:jc w:val="both"/>
        <w:rPr>
          <w:i/>
        </w:rPr>
      </w:pPr>
      <w:r w:rsidRPr="00594014">
        <w:rPr>
          <w:i/>
          <w:iCs/>
        </w:rPr>
        <w:t>Note:</w:t>
      </w:r>
      <w:r w:rsidRPr="00594014">
        <w:rPr>
          <w:i/>
          <w:iCs/>
        </w:rPr>
        <w:tab/>
        <w:t xml:space="preserve">the effect of this section is that eligible vehicles </w:t>
      </w:r>
      <w:r w:rsidR="00594014" w:rsidRPr="00594014">
        <w:rPr>
          <w:i/>
          <w:iCs/>
        </w:rPr>
        <w:t>are exempted from prescribed dimensions relating to kingpins, but no conditional dimensions are imposed.</w:t>
      </w:r>
      <w:r w:rsidRPr="00594014">
        <w:rPr>
          <w:i/>
          <w:iCs/>
        </w:rPr>
        <w:t xml:space="preserve"> </w:t>
      </w:r>
    </w:p>
    <w:p w14:paraId="6FF3CBC7" w14:textId="7C69E7C9" w:rsidR="00AE5E27" w:rsidRPr="00375DE3" w:rsidRDefault="00AE5E27" w:rsidP="00375DE3">
      <w:pPr>
        <w:pStyle w:val="ListParagraph"/>
        <w:numPr>
          <w:ilvl w:val="0"/>
          <w:numId w:val="1"/>
        </w:numPr>
        <w:jc w:val="both"/>
        <w:rPr>
          <w:b/>
          <w:bCs/>
        </w:rPr>
      </w:pPr>
      <w:r w:rsidRPr="00375DE3">
        <w:rPr>
          <w:b/>
          <w:bCs/>
        </w:rPr>
        <w:t>Condition</w:t>
      </w:r>
      <w:r w:rsidR="009A6EE4">
        <w:rPr>
          <w:b/>
          <w:bCs/>
        </w:rPr>
        <w:t>s</w:t>
      </w:r>
      <w:r w:rsidRPr="00375DE3">
        <w:rPr>
          <w:b/>
          <w:bCs/>
        </w:rPr>
        <w:t xml:space="preserve"> </w:t>
      </w:r>
      <w:r w:rsidR="00DB797B" w:rsidRPr="00375DE3">
        <w:rPr>
          <w:b/>
          <w:bCs/>
        </w:rPr>
        <w:t>–</w:t>
      </w:r>
      <w:r w:rsidRPr="00375DE3">
        <w:rPr>
          <w:b/>
          <w:bCs/>
        </w:rPr>
        <w:t xml:space="preserve"> </w:t>
      </w:r>
      <w:r w:rsidR="00DA1802">
        <w:rPr>
          <w:b/>
          <w:bCs/>
        </w:rPr>
        <w:t>Width</w:t>
      </w:r>
    </w:p>
    <w:p w14:paraId="7C1DBA2E" w14:textId="77777777" w:rsidR="00FA0DB6" w:rsidRDefault="00FA0DB6" w:rsidP="00F945ED">
      <w:pPr>
        <w:pStyle w:val="ListParagraph"/>
        <w:ind w:left="1440"/>
        <w:jc w:val="both"/>
      </w:pPr>
    </w:p>
    <w:p w14:paraId="6CB4C756" w14:textId="183EBC21" w:rsidR="00136914" w:rsidRDefault="00136914" w:rsidP="00E66EC5">
      <w:pPr>
        <w:pStyle w:val="ListParagraph"/>
        <w:numPr>
          <w:ilvl w:val="0"/>
          <w:numId w:val="20"/>
        </w:numPr>
        <w:jc w:val="both"/>
      </w:pPr>
      <w:r>
        <w:t xml:space="preserve">An eligible vehicle operating under this </w:t>
      </w:r>
      <w:r w:rsidR="009A6EE4">
        <w:t>n</w:t>
      </w:r>
      <w:r>
        <w:t xml:space="preserve">otice must not exceed: </w:t>
      </w:r>
    </w:p>
    <w:p w14:paraId="716A8B3F" w14:textId="77777777" w:rsidR="00E84F4B" w:rsidRDefault="00E84F4B" w:rsidP="00E84F4B">
      <w:pPr>
        <w:pStyle w:val="ListParagraph"/>
        <w:ind w:left="2160"/>
        <w:jc w:val="both"/>
      </w:pPr>
    </w:p>
    <w:p w14:paraId="6E502513" w14:textId="48823E60" w:rsidR="00136914" w:rsidRDefault="00136914" w:rsidP="00E66EC5">
      <w:pPr>
        <w:pStyle w:val="ListParagraph"/>
        <w:numPr>
          <w:ilvl w:val="0"/>
          <w:numId w:val="18"/>
        </w:numPr>
        <w:jc w:val="both"/>
      </w:pPr>
      <w:r>
        <w:t>3.5m in width</w:t>
      </w:r>
      <w:r w:rsidR="00785553">
        <w:t xml:space="preserve"> when </w:t>
      </w:r>
      <w:r w:rsidR="00AC0A73">
        <w:t>transporting a</w:t>
      </w:r>
      <w:r w:rsidR="00785553">
        <w:t xml:space="preserve"> </w:t>
      </w:r>
      <w:r w:rsidR="00AC0A73">
        <w:t xml:space="preserve">large indivisible item; </w:t>
      </w:r>
      <w:r>
        <w:t>or</w:t>
      </w:r>
    </w:p>
    <w:p w14:paraId="13AB4D68" w14:textId="07664F25" w:rsidR="00136914" w:rsidRDefault="00136914" w:rsidP="00E66EC5">
      <w:pPr>
        <w:pStyle w:val="ListParagraph"/>
        <w:numPr>
          <w:ilvl w:val="0"/>
          <w:numId w:val="18"/>
        </w:numPr>
        <w:jc w:val="both"/>
      </w:pPr>
      <w:r>
        <w:t xml:space="preserve">4.5m in width when </w:t>
      </w:r>
      <w:r w:rsidR="00AC0A73">
        <w:t>transporting an agricultural vehicle</w:t>
      </w:r>
      <w:r>
        <w:t>.</w:t>
      </w:r>
    </w:p>
    <w:p w14:paraId="2DC539DE" w14:textId="77777777" w:rsidR="00136914" w:rsidRDefault="00136914" w:rsidP="00136914">
      <w:pPr>
        <w:pStyle w:val="ListParagraph"/>
        <w:ind w:left="1080"/>
        <w:jc w:val="both"/>
      </w:pPr>
    </w:p>
    <w:p w14:paraId="0249BE23" w14:textId="77777777" w:rsidR="00136914" w:rsidRDefault="00136914" w:rsidP="00E66EC5">
      <w:pPr>
        <w:pStyle w:val="ListParagraph"/>
        <w:numPr>
          <w:ilvl w:val="0"/>
          <w:numId w:val="20"/>
        </w:numPr>
        <w:jc w:val="both"/>
      </w:pPr>
      <w:r>
        <w:t>In addition to 1) the following restrictions also apply:</w:t>
      </w:r>
    </w:p>
    <w:p w14:paraId="7F837F52" w14:textId="77777777" w:rsidR="00E84F4B" w:rsidRDefault="00E84F4B" w:rsidP="00E84F4B">
      <w:pPr>
        <w:pStyle w:val="ListParagraph"/>
        <w:ind w:left="2160"/>
        <w:jc w:val="both"/>
      </w:pPr>
    </w:p>
    <w:p w14:paraId="620FF8F0" w14:textId="118B687A" w:rsidR="00136914" w:rsidRDefault="00136914" w:rsidP="00E66EC5">
      <w:pPr>
        <w:pStyle w:val="ListParagraph"/>
        <w:numPr>
          <w:ilvl w:val="0"/>
          <w:numId w:val="19"/>
        </w:numPr>
        <w:jc w:val="both"/>
      </w:pPr>
      <w:r>
        <w:t>the load must be carried to minimise the amount by which it exceeds 2.5m</w:t>
      </w:r>
      <w:r w:rsidR="007C0670">
        <w:t xml:space="preserve"> in width</w:t>
      </w:r>
      <w:r>
        <w:t>; and</w:t>
      </w:r>
    </w:p>
    <w:p w14:paraId="19CE002F" w14:textId="77777777" w:rsidR="00136914" w:rsidRDefault="00136914" w:rsidP="00E66EC5">
      <w:pPr>
        <w:pStyle w:val="ListParagraph"/>
        <w:numPr>
          <w:ilvl w:val="0"/>
          <w:numId w:val="19"/>
        </w:numPr>
        <w:jc w:val="both"/>
      </w:pPr>
      <w:r>
        <w:t>the overall width of all axles or axle groups of the load carrying part of the vehicle, measured between the outer edges of the tyres, must not be less than 2.1m; and</w:t>
      </w:r>
    </w:p>
    <w:p w14:paraId="192FB22B" w14:textId="257C3F36" w:rsidR="00E84F4B" w:rsidRDefault="00136914" w:rsidP="000134C2">
      <w:pPr>
        <w:pStyle w:val="ListParagraph"/>
        <w:numPr>
          <w:ilvl w:val="0"/>
          <w:numId w:val="19"/>
        </w:numPr>
        <w:jc w:val="both"/>
      </w:pPr>
      <w:r>
        <w:t>any cross member, supporting frame or outrigger fitted to support the load must not protrude beyond the load by more than 50mm.</w:t>
      </w:r>
    </w:p>
    <w:p w14:paraId="6184ABAC" w14:textId="77777777" w:rsidR="007F4784" w:rsidRDefault="007F4784" w:rsidP="000134C2">
      <w:pPr>
        <w:pStyle w:val="ListParagraph"/>
        <w:ind w:left="1440"/>
        <w:jc w:val="both"/>
      </w:pPr>
    </w:p>
    <w:p w14:paraId="36BA010E" w14:textId="1104EB53" w:rsidR="00B8548B" w:rsidRPr="00B8548B" w:rsidRDefault="00B8548B" w:rsidP="00F945ED">
      <w:pPr>
        <w:pStyle w:val="ListParagraph"/>
        <w:numPr>
          <w:ilvl w:val="0"/>
          <w:numId w:val="1"/>
        </w:numPr>
        <w:jc w:val="both"/>
        <w:rPr>
          <w:b/>
          <w:bCs/>
        </w:rPr>
      </w:pPr>
      <w:r w:rsidRPr="00B8548B">
        <w:rPr>
          <w:b/>
          <w:bCs/>
        </w:rPr>
        <w:t xml:space="preserve">Condition – </w:t>
      </w:r>
      <w:r w:rsidR="00136914">
        <w:rPr>
          <w:b/>
          <w:bCs/>
        </w:rPr>
        <w:t>Height</w:t>
      </w:r>
    </w:p>
    <w:p w14:paraId="18C75027" w14:textId="77777777" w:rsidR="00B8548B" w:rsidRDefault="00B8548B" w:rsidP="00F945ED">
      <w:pPr>
        <w:pStyle w:val="ListParagraph"/>
        <w:ind w:left="1080"/>
        <w:jc w:val="both"/>
        <w:rPr>
          <w:lang w:val="en-US"/>
        </w:rPr>
      </w:pPr>
    </w:p>
    <w:p w14:paraId="3EB7FDB4" w14:textId="253BD7ED" w:rsidR="007F4784" w:rsidRDefault="00E7321A" w:rsidP="00CF04C8">
      <w:pPr>
        <w:pStyle w:val="ListParagraph"/>
        <w:ind w:left="1080"/>
        <w:jc w:val="both"/>
      </w:pPr>
      <w:r w:rsidRPr="00E7321A">
        <w:t xml:space="preserve">An eligible vehicle operating under this </w:t>
      </w:r>
      <w:r w:rsidR="000134C2">
        <w:t>n</w:t>
      </w:r>
      <w:r w:rsidRPr="00E7321A">
        <w:t>otice must not exceed 4.9m in height.</w:t>
      </w:r>
    </w:p>
    <w:p w14:paraId="76E95EAD" w14:textId="77777777" w:rsidR="00CF04C8" w:rsidRPr="007F4784" w:rsidRDefault="00CF04C8" w:rsidP="00CF04C8">
      <w:pPr>
        <w:pStyle w:val="ListParagraph"/>
        <w:ind w:left="1080"/>
        <w:jc w:val="both"/>
      </w:pPr>
    </w:p>
    <w:p w14:paraId="391275A0" w14:textId="12234CA4" w:rsidR="007F4784" w:rsidRPr="006726B3" w:rsidRDefault="007F4784" w:rsidP="006726B3">
      <w:pPr>
        <w:pStyle w:val="ListParagraph"/>
        <w:numPr>
          <w:ilvl w:val="0"/>
          <w:numId w:val="1"/>
        </w:numPr>
        <w:jc w:val="both"/>
        <w:rPr>
          <w:b/>
          <w:bCs/>
        </w:rPr>
      </w:pPr>
      <w:r w:rsidRPr="006726B3">
        <w:rPr>
          <w:b/>
          <w:bCs/>
        </w:rPr>
        <w:t xml:space="preserve">Condition – </w:t>
      </w:r>
      <w:r w:rsidR="00163962">
        <w:rPr>
          <w:b/>
          <w:bCs/>
        </w:rPr>
        <w:t>R</w:t>
      </w:r>
      <w:r w:rsidRPr="006726B3">
        <w:rPr>
          <w:b/>
          <w:bCs/>
        </w:rPr>
        <w:t xml:space="preserve">estriction on transporting </w:t>
      </w:r>
      <w:r w:rsidR="006726B3">
        <w:rPr>
          <w:b/>
          <w:bCs/>
        </w:rPr>
        <w:t xml:space="preserve">a </w:t>
      </w:r>
      <w:r w:rsidR="006726B3" w:rsidRPr="006726B3">
        <w:rPr>
          <w:b/>
          <w:bCs/>
        </w:rPr>
        <w:t>large indivisible item or</w:t>
      </w:r>
      <w:r w:rsidR="006726B3">
        <w:rPr>
          <w:b/>
          <w:bCs/>
        </w:rPr>
        <w:t xml:space="preserve"> an</w:t>
      </w:r>
      <w:r w:rsidR="006726B3" w:rsidRPr="006726B3">
        <w:rPr>
          <w:b/>
          <w:bCs/>
        </w:rPr>
        <w:t xml:space="preserve"> agricultural </w:t>
      </w:r>
      <w:proofErr w:type="gramStart"/>
      <w:r w:rsidR="006726B3" w:rsidRPr="006726B3">
        <w:rPr>
          <w:b/>
          <w:bCs/>
        </w:rPr>
        <w:t>vehicle</w:t>
      </w:r>
      <w:proofErr w:type="gramEnd"/>
    </w:p>
    <w:p w14:paraId="266ABFF1" w14:textId="77777777" w:rsidR="007F4784" w:rsidRPr="007F4784" w:rsidRDefault="007F4784" w:rsidP="006726B3">
      <w:pPr>
        <w:pStyle w:val="ListParagraph"/>
        <w:ind w:left="1080"/>
        <w:jc w:val="both"/>
      </w:pPr>
    </w:p>
    <w:p w14:paraId="3F98B3EE" w14:textId="71EA7134" w:rsidR="000134C2" w:rsidRDefault="006726B3" w:rsidP="006726B3">
      <w:pPr>
        <w:pStyle w:val="ListParagraph"/>
        <w:ind w:left="1080"/>
        <w:jc w:val="both"/>
      </w:pPr>
      <w:r>
        <w:t>An</w:t>
      </w:r>
      <w:r w:rsidR="007F4784">
        <w:t xml:space="preserve"> eligible vehicle may only transport either a large indivisible item or an agricultural vehicle.</w:t>
      </w:r>
    </w:p>
    <w:p w14:paraId="76BDD29C" w14:textId="77777777" w:rsidR="006726B3" w:rsidRPr="006726B3" w:rsidRDefault="006726B3" w:rsidP="006726B3">
      <w:pPr>
        <w:pStyle w:val="ListParagraph"/>
        <w:ind w:left="1080"/>
        <w:jc w:val="both"/>
      </w:pPr>
    </w:p>
    <w:p w14:paraId="64BCA8A0" w14:textId="25BF0B10" w:rsidR="00B5081E" w:rsidRDefault="00B5081E" w:rsidP="00DE448B">
      <w:pPr>
        <w:pStyle w:val="ListParagraph"/>
        <w:numPr>
          <w:ilvl w:val="0"/>
          <w:numId w:val="1"/>
        </w:numPr>
        <w:jc w:val="both"/>
        <w:rPr>
          <w:b/>
          <w:bCs/>
        </w:rPr>
      </w:pPr>
      <w:r w:rsidRPr="00DE448B">
        <w:rPr>
          <w:b/>
          <w:bCs/>
        </w:rPr>
        <w:t xml:space="preserve">Condition – </w:t>
      </w:r>
      <w:r w:rsidR="00163962">
        <w:rPr>
          <w:b/>
          <w:bCs/>
        </w:rPr>
        <w:t>St</w:t>
      </w:r>
      <w:r w:rsidRPr="00DE448B">
        <w:rPr>
          <w:b/>
          <w:bCs/>
        </w:rPr>
        <w:t xml:space="preserve">ated areas </w:t>
      </w:r>
      <w:r w:rsidR="000F4EF3" w:rsidRPr="00DE448B">
        <w:rPr>
          <w:b/>
          <w:bCs/>
        </w:rPr>
        <w:t>or routes</w:t>
      </w:r>
    </w:p>
    <w:p w14:paraId="6D036C72" w14:textId="77777777" w:rsidR="00DE448B" w:rsidRPr="00DE448B" w:rsidRDefault="00DE448B" w:rsidP="00DE448B">
      <w:pPr>
        <w:pStyle w:val="ListParagraph"/>
        <w:jc w:val="both"/>
        <w:rPr>
          <w:b/>
          <w:bCs/>
        </w:rPr>
      </w:pPr>
    </w:p>
    <w:p w14:paraId="205F4E7E" w14:textId="65AAEDE0" w:rsidR="004A6AAE" w:rsidRDefault="009614B8" w:rsidP="001E1CA2">
      <w:pPr>
        <w:pStyle w:val="ListParagraph"/>
        <w:numPr>
          <w:ilvl w:val="0"/>
          <w:numId w:val="6"/>
        </w:numPr>
        <w:jc w:val="both"/>
      </w:pPr>
      <w:r>
        <w:t xml:space="preserve">An eligible vehicle complying with the conditions of this </w:t>
      </w:r>
      <w:r w:rsidR="002D425D">
        <w:t>n</w:t>
      </w:r>
      <w:r>
        <w:t xml:space="preserve">otice is authorised to operate on </w:t>
      </w:r>
      <w:r w:rsidR="004A6AAE">
        <w:t>all public roads in South Australia</w:t>
      </w:r>
      <w:r w:rsidR="00B337A9">
        <w:t>, except as limited:</w:t>
      </w:r>
    </w:p>
    <w:p w14:paraId="0C8C1DF6" w14:textId="77777777" w:rsidR="00B337A9" w:rsidRDefault="00B337A9" w:rsidP="00B337A9">
      <w:pPr>
        <w:pStyle w:val="ListParagraph"/>
        <w:ind w:left="1080"/>
        <w:jc w:val="both"/>
      </w:pPr>
    </w:p>
    <w:p w14:paraId="70283397" w14:textId="685D6A55" w:rsidR="00B337A9" w:rsidRDefault="00B337A9" w:rsidP="00B337A9">
      <w:pPr>
        <w:pStyle w:val="ListParagraph"/>
        <w:numPr>
          <w:ilvl w:val="0"/>
          <w:numId w:val="32"/>
        </w:numPr>
        <w:jc w:val="both"/>
      </w:pPr>
      <w:r>
        <w:t>by any relevant conditions set out in this notice; and</w:t>
      </w:r>
    </w:p>
    <w:p w14:paraId="556072FD" w14:textId="53CA17EB" w:rsidR="00B337A9" w:rsidRDefault="00B337A9" w:rsidP="001B4949">
      <w:pPr>
        <w:pStyle w:val="ListParagraph"/>
        <w:numPr>
          <w:ilvl w:val="0"/>
          <w:numId w:val="32"/>
        </w:numPr>
        <w:jc w:val="both"/>
      </w:pPr>
      <w:r>
        <w:t>by any stated area or route conditions set out in the guide.</w:t>
      </w:r>
    </w:p>
    <w:p w14:paraId="1E040918" w14:textId="50BD711F" w:rsidR="00274595" w:rsidRDefault="009614B8" w:rsidP="009F196B">
      <w:pPr>
        <w:pStyle w:val="ListParagraph"/>
        <w:numPr>
          <w:ilvl w:val="0"/>
          <w:numId w:val="6"/>
        </w:numPr>
        <w:jc w:val="both"/>
      </w:pPr>
      <w:r>
        <w:lastRenderedPageBreak/>
        <w:t xml:space="preserve">For the purposes of section 119(1)(a) of the HVNL, an area or route specified in </w:t>
      </w:r>
      <w:r w:rsidR="002D425D">
        <w:t>this section</w:t>
      </w:r>
      <w:r>
        <w:t xml:space="preserve"> is a stated area or route to which this </w:t>
      </w:r>
      <w:r w:rsidR="002D425D">
        <w:t>n</w:t>
      </w:r>
      <w:r>
        <w:t>otice applies.</w:t>
      </w:r>
    </w:p>
    <w:p w14:paraId="7A4E1F7A" w14:textId="77777777" w:rsidR="009614B8" w:rsidRDefault="009614B8" w:rsidP="009614B8">
      <w:pPr>
        <w:pStyle w:val="ListParagraph"/>
        <w:ind w:left="1080"/>
        <w:jc w:val="both"/>
      </w:pPr>
    </w:p>
    <w:p w14:paraId="221A8DD9" w14:textId="21EE864B" w:rsidR="009614B8" w:rsidRDefault="009614B8" w:rsidP="00E66EC5">
      <w:pPr>
        <w:pStyle w:val="ListParagraph"/>
        <w:numPr>
          <w:ilvl w:val="0"/>
          <w:numId w:val="6"/>
        </w:numPr>
        <w:jc w:val="both"/>
      </w:pPr>
      <w:r>
        <w:t xml:space="preserve">An eligible vehicle operating on an area or route specified in this </w:t>
      </w:r>
      <w:r w:rsidR="006A74FD">
        <w:t>section</w:t>
      </w:r>
      <w:r>
        <w:t xml:space="preserve"> must comply with the following conditions as specified for </w:t>
      </w:r>
      <w:r w:rsidR="006168C0">
        <w:t xml:space="preserve">a </w:t>
      </w:r>
      <w:r>
        <w:t xml:space="preserve">route </w:t>
      </w:r>
      <w:r w:rsidR="006168C0">
        <w:t xml:space="preserve">or </w:t>
      </w:r>
      <w:r>
        <w:t>area:</w:t>
      </w:r>
    </w:p>
    <w:p w14:paraId="6FC0817D" w14:textId="77777777" w:rsidR="009614B8" w:rsidRDefault="009614B8" w:rsidP="009614B8">
      <w:pPr>
        <w:pStyle w:val="ListParagraph"/>
        <w:ind w:left="1080"/>
        <w:jc w:val="both"/>
      </w:pPr>
    </w:p>
    <w:p w14:paraId="47349970" w14:textId="77777777" w:rsidR="009614B8" w:rsidRDefault="009614B8" w:rsidP="00E66EC5">
      <w:pPr>
        <w:pStyle w:val="ListParagraph"/>
        <w:numPr>
          <w:ilvl w:val="0"/>
          <w:numId w:val="7"/>
        </w:numPr>
        <w:jc w:val="both"/>
      </w:pPr>
      <w:r>
        <w:t>Road conditions pursuant to section 160 of the HVNL; and</w:t>
      </w:r>
    </w:p>
    <w:p w14:paraId="47EF2F6F" w14:textId="77777777" w:rsidR="009614B8" w:rsidRDefault="009614B8" w:rsidP="00E66EC5">
      <w:pPr>
        <w:pStyle w:val="ListParagraph"/>
        <w:numPr>
          <w:ilvl w:val="0"/>
          <w:numId w:val="7"/>
        </w:numPr>
        <w:jc w:val="both"/>
      </w:pPr>
      <w:r>
        <w:t>Travel conditions pursuant to section 161 of the HVNL; and</w:t>
      </w:r>
    </w:p>
    <w:p w14:paraId="3B85124D" w14:textId="709EC681" w:rsidR="008D19CA" w:rsidRDefault="009614B8" w:rsidP="008D19CA">
      <w:pPr>
        <w:pStyle w:val="ListParagraph"/>
        <w:numPr>
          <w:ilvl w:val="0"/>
          <w:numId w:val="7"/>
        </w:numPr>
        <w:jc w:val="both"/>
      </w:pPr>
      <w:r>
        <w:t>Vehicle conditions pursuant to section 162 of the HVNL.</w:t>
      </w:r>
    </w:p>
    <w:p w14:paraId="19B808CF" w14:textId="77777777" w:rsidR="00266F70" w:rsidRDefault="00266F70" w:rsidP="00266F70">
      <w:pPr>
        <w:pStyle w:val="ListParagraph"/>
        <w:ind w:left="1440"/>
        <w:jc w:val="both"/>
      </w:pPr>
    </w:p>
    <w:p w14:paraId="7506ABC7" w14:textId="04832D41" w:rsidR="00266F70" w:rsidRPr="009355AB" w:rsidRDefault="00266F70" w:rsidP="00266F70">
      <w:pPr>
        <w:pStyle w:val="ListParagraph"/>
        <w:numPr>
          <w:ilvl w:val="0"/>
          <w:numId w:val="1"/>
        </w:numPr>
        <w:jc w:val="both"/>
        <w:rPr>
          <w:b/>
          <w:bCs/>
        </w:rPr>
      </w:pPr>
      <w:r>
        <w:rPr>
          <w:b/>
          <w:bCs/>
        </w:rPr>
        <w:t>Condition – Night travel</w:t>
      </w:r>
    </w:p>
    <w:p w14:paraId="1BF8F685" w14:textId="77777777" w:rsidR="00266F70" w:rsidRDefault="00266F70" w:rsidP="00266F70">
      <w:pPr>
        <w:pStyle w:val="ListParagraph"/>
        <w:ind w:left="1080"/>
        <w:jc w:val="both"/>
      </w:pPr>
    </w:p>
    <w:p w14:paraId="3915FE4B" w14:textId="77777777" w:rsidR="00266F70" w:rsidRDefault="00266F70" w:rsidP="00266F70">
      <w:pPr>
        <w:pStyle w:val="ListParagraph"/>
        <w:numPr>
          <w:ilvl w:val="0"/>
          <w:numId w:val="26"/>
        </w:numPr>
        <w:jc w:val="both"/>
      </w:pPr>
      <w:r>
        <w:t>An eligible vehicle may not travel at night if it exceeds any of the following dimensions:</w:t>
      </w:r>
    </w:p>
    <w:p w14:paraId="1BC96302" w14:textId="77777777" w:rsidR="00266F70" w:rsidRDefault="00266F70" w:rsidP="00266F70">
      <w:pPr>
        <w:pStyle w:val="ListParagraph"/>
        <w:ind w:left="1080"/>
        <w:jc w:val="both"/>
      </w:pPr>
    </w:p>
    <w:p w14:paraId="17E7FC73" w14:textId="77777777" w:rsidR="00266F70" w:rsidRDefault="00266F70" w:rsidP="00266F70">
      <w:pPr>
        <w:pStyle w:val="ListParagraph"/>
        <w:numPr>
          <w:ilvl w:val="0"/>
          <w:numId w:val="27"/>
        </w:numPr>
        <w:jc w:val="both"/>
      </w:pPr>
      <w:r>
        <w:t>width - 3.1m wide</w:t>
      </w:r>
    </w:p>
    <w:p w14:paraId="39CC8E83" w14:textId="77777777" w:rsidR="00266F70" w:rsidRDefault="00266F70" w:rsidP="00266F70">
      <w:pPr>
        <w:pStyle w:val="ListParagraph"/>
        <w:numPr>
          <w:ilvl w:val="0"/>
          <w:numId w:val="27"/>
        </w:numPr>
        <w:jc w:val="both"/>
      </w:pPr>
      <w:r>
        <w:t>height - 4.6m high</w:t>
      </w:r>
    </w:p>
    <w:p w14:paraId="7783FD0C" w14:textId="77777777" w:rsidR="00266F70" w:rsidRDefault="00266F70" w:rsidP="00266F70">
      <w:pPr>
        <w:pStyle w:val="ListParagraph"/>
        <w:numPr>
          <w:ilvl w:val="0"/>
          <w:numId w:val="27"/>
        </w:numPr>
        <w:jc w:val="both"/>
      </w:pPr>
      <w:r>
        <w:t>for an articulated vehicle. length - 22.0m in length</w:t>
      </w:r>
    </w:p>
    <w:p w14:paraId="1D8F9DD0" w14:textId="77777777" w:rsidR="00266F70" w:rsidRDefault="00266F70" w:rsidP="00266F70">
      <w:pPr>
        <w:pStyle w:val="ListParagraph"/>
        <w:ind w:left="1440"/>
        <w:jc w:val="both"/>
      </w:pPr>
    </w:p>
    <w:p w14:paraId="29A5F022" w14:textId="5C5E8D5D" w:rsidR="00266F70" w:rsidRPr="00684915" w:rsidRDefault="00266F70" w:rsidP="00266F70">
      <w:pPr>
        <w:pStyle w:val="ListParagraph"/>
        <w:numPr>
          <w:ilvl w:val="0"/>
          <w:numId w:val="1"/>
        </w:numPr>
        <w:jc w:val="both"/>
        <w:rPr>
          <w:b/>
          <w:bCs/>
        </w:rPr>
      </w:pPr>
      <w:r>
        <w:rPr>
          <w:b/>
          <w:bCs/>
        </w:rPr>
        <w:t xml:space="preserve">Condition - </w:t>
      </w:r>
      <w:r w:rsidRPr="00B17F18">
        <w:rPr>
          <w:b/>
          <w:bCs/>
        </w:rPr>
        <w:t xml:space="preserve">Travel in the Adelaide </w:t>
      </w:r>
      <w:r w:rsidR="00CB195F">
        <w:rPr>
          <w:b/>
          <w:bCs/>
        </w:rPr>
        <w:t>Metropolitan</w:t>
      </w:r>
      <w:r w:rsidRPr="00B17F18">
        <w:rPr>
          <w:b/>
          <w:bCs/>
        </w:rPr>
        <w:t xml:space="preserve"> Area</w:t>
      </w:r>
    </w:p>
    <w:p w14:paraId="5DFA0B56" w14:textId="77777777" w:rsidR="00266F70" w:rsidRDefault="00266F70" w:rsidP="00266F70">
      <w:pPr>
        <w:pStyle w:val="ListParagraph"/>
        <w:jc w:val="both"/>
      </w:pPr>
    </w:p>
    <w:p w14:paraId="5C91CAEA" w14:textId="77777777" w:rsidR="00266F70" w:rsidRDefault="00266F70" w:rsidP="00CB195F">
      <w:pPr>
        <w:pStyle w:val="ListParagraph"/>
        <w:ind w:left="1080"/>
        <w:jc w:val="both"/>
      </w:pPr>
      <w:r>
        <w:t>An eligible vehicle must not travel in the Adelaide Metropolitan Area between the hours of 7am to 9am and 4pm to 6pm, Monday to Friday inclusive.</w:t>
      </w:r>
    </w:p>
    <w:p w14:paraId="2C48FE6D" w14:textId="77777777" w:rsidR="00CB195F" w:rsidRDefault="00CB195F" w:rsidP="00CB195F">
      <w:pPr>
        <w:pStyle w:val="ListParagraph"/>
        <w:ind w:left="1080"/>
        <w:jc w:val="both"/>
      </w:pPr>
    </w:p>
    <w:p w14:paraId="0C6460E8" w14:textId="0E4F469A" w:rsidR="00CB195F" w:rsidRPr="00CB195F" w:rsidRDefault="00CB195F" w:rsidP="00CB195F">
      <w:pPr>
        <w:pStyle w:val="ListParagraph"/>
        <w:numPr>
          <w:ilvl w:val="0"/>
          <w:numId w:val="1"/>
        </w:numPr>
        <w:jc w:val="both"/>
        <w:rPr>
          <w:b/>
          <w:bCs/>
        </w:rPr>
      </w:pPr>
      <w:r>
        <w:rPr>
          <w:b/>
          <w:bCs/>
        </w:rPr>
        <w:t xml:space="preserve">Condition - </w:t>
      </w:r>
      <w:r w:rsidRPr="00B17F18">
        <w:rPr>
          <w:b/>
          <w:bCs/>
        </w:rPr>
        <w:t>Travel in the Adelaide Hills Area</w:t>
      </w:r>
    </w:p>
    <w:p w14:paraId="602269B1" w14:textId="77777777" w:rsidR="00266F70" w:rsidRDefault="00266F70" w:rsidP="00266F70">
      <w:pPr>
        <w:pStyle w:val="ListParagraph"/>
        <w:ind w:left="1080"/>
        <w:jc w:val="both"/>
      </w:pPr>
    </w:p>
    <w:p w14:paraId="5C8015D5" w14:textId="20B3A487" w:rsidR="00266F70" w:rsidRDefault="00674078" w:rsidP="00CB195F">
      <w:pPr>
        <w:pStyle w:val="ListParagraph"/>
        <w:ind w:left="1080"/>
        <w:jc w:val="both"/>
      </w:pPr>
      <w:r>
        <w:t>An</w:t>
      </w:r>
      <w:r w:rsidR="00266F70">
        <w:t xml:space="preserve"> eligible vehicle must not travel in the Adelaide Hills area if </w:t>
      </w:r>
      <w:r w:rsidR="00DC046E">
        <w:t>it</w:t>
      </w:r>
      <w:r w:rsidR="00266F70">
        <w:t xml:space="preserve"> exceeds 3.05m wide and/or 19.0m long.</w:t>
      </w:r>
    </w:p>
    <w:p w14:paraId="1CF9A654" w14:textId="77777777" w:rsidR="000A2502" w:rsidRDefault="000A2502" w:rsidP="000A2502">
      <w:pPr>
        <w:pStyle w:val="ListParagraph"/>
        <w:ind w:left="1440"/>
        <w:jc w:val="both"/>
      </w:pPr>
    </w:p>
    <w:p w14:paraId="1EF78F5E" w14:textId="3F037135" w:rsidR="000A2502" w:rsidRPr="00B94B20" w:rsidRDefault="008D19CA" w:rsidP="00B94B20">
      <w:pPr>
        <w:pStyle w:val="ListParagraph"/>
        <w:numPr>
          <w:ilvl w:val="0"/>
          <w:numId w:val="1"/>
        </w:numPr>
        <w:jc w:val="both"/>
        <w:rPr>
          <w:b/>
          <w:bCs/>
        </w:rPr>
      </w:pPr>
      <w:r w:rsidRPr="008D19CA">
        <w:rPr>
          <w:b/>
          <w:bCs/>
        </w:rPr>
        <w:t xml:space="preserve">Condition – </w:t>
      </w:r>
      <w:r>
        <w:rPr>
          <w:b/>
          <w:bCs/>
        </w:rPr>
        <w:t>Pilot and Escorts</w:t>
      </w:r>
    </w:p>
    <w:p w14:paraId="5265B4B3" w14:textId="77777777" w:rsidR="00E66EC5" w:rsidRDefault="00E66EC5" w:rsidP="00E66EC5">
      <w:pPr>
        <w:pStyle w:val="ListParagraph"/>
        <w:ind w:left="1080"/>
        <w:jc w:val="both"/>
      </w:pPr>
    </w:p>
    <w:p w14:paraId="525133C0" w14:textId="5701A029" w:rsidR="00DB2B93" w:rsidRDefault="00E66EC5" w:rsidP="00B94B20">
      <w:pPr>
        <w:pStyle w:val="ListParagraph"/>
        <w:ind w:left="1080"/>
        <w:jc w:val="both"/>
      </w:pPr>
      <w:r>
        <w:t xml:space="preserve">Drivers of pilot vehicles must operate in accordance with the </w:t>
      </w:r>
      <w:r w:rsidR="00134937" w:rsidRPr="004F36A3">
        <w:rPr>
          <w:i/>
          <w:iCs/>
        </w:rPr>
        <w:t>Escorting Guideline</w:t>
      </w:r>
      <w:r w:rsidR="00B231E8">
        <w:rPr>
          <w:i/>
          <w:iCs/>
        </w:rPr>
        <w:t>s</w:t>
      </w:r>
      <w:r w:rsidR="00134937" w:rsidRPr="004F36A3">
        <w:rPr>
          <w:i/>
          <w:iCs/>
        </w:rPr>
        <w:t xml:space="preserve"> for Oversize and </w:t>
      </w:r>
      <w:proofErr w:type="spellStart"/>
      <w:r w:rsidR="00134937" w:rsidRPr="004F36A3">
        <w:rPr>
          <w:i/>
          <w:iCs/>
        </w:rPr>
        <w:t>Overmass</w:t>
      </w:r>
      <w:proofErr w:type="spellEnd"/>
      <w:r w:rsidR="00134937" w:rsidRPr="004F36A3">
        <w:rPr>
          <w:i/>
          <w:iCs/>
        </w:rPr>
        <w:t xml:space="preserve"> Vehicles and Loads in South Australia</w:t>
      </w:r>
      <w:r w:rsidR="00134937">
        <w:t>, published by South Australia Department for Infrastructure and Transport.</w:t>
      </w:r>
    </w:p>
    <w:p w14:paraId="293E17CF" w14:textId="77777777" w:rsidR="00D82C38" w:rsidRDefault="00D82C38" w:rsidP="00B94B20">
      <w:pPr>
        <w:pStyle w:val="ListParagraph"/>
        <w:ind w:left="1080"/>
        <w:jc w:val="both"/>
      </w:pPr>
    </w:p>
    <w:p w14:paraId="7BCBD077" w14:textId="77777777" w:rsidR="00163962" w:rsidRDefault="00163962" w:rsidP="00163962">
      <w:pPr>
        <w:ind w:left="720"/>
        <w:contextualSpacing/>
        <w:jc w:val="both"/>
      </w:pPr>
      <w:r>
        <w:t>Peter Austin</w:t>
      </w:r>
    </w:p>
    <w:p w14:paraId="55095E34" w14:textId="77777777" w:rsidR="00163962" w:rsidRPr="00912586" w:rsidRDefault="00163962" w:rsidP="00163962">
      <w:pPr>
        <w:ind w:left="720"/>
        <w:contextualSpacing/>
        <w:jc w:val="both"/>
        <w:rPr>
          <w:i/>
          <w:iCs/>
        </w:rPr>
      </w:pPr>
      <w:r w:rsidRPr="00912586">
        <w:rPr>
          <w:i/>
          <w:iCs/>
        </w:rPr>
        <w:t>Director</w:t>
      </w:r>
      <w:r>
        <w:rPr>
          <w:i/>
          <w:iCs/>
        </w:rPr>
        <w:t>,</w:t>
      </w:r>
      <w:r w:rsidRPr="00912586">
        <w:rPr>
          <w:i/>
          <w:iCs/>
        </w:rPr>
        <w:t xml:space="preserve"> </w:t>
      </w:r>
      <w:r>
        <w:rPr>
          <w:i/>
          <w:iCs/>
        </w:rPr>
        <w:t>Policy Implementation</w:t>
      </w:r>
    </w:p>
    <w:p w14:paraId="636FC196" w14:textId="77777777" w:rsidR="00163962" w:rsidRPr="00912586" w:rsidRDefault="00163962" w:rsidP="00163962">
      <w:pPr>
        <w:ind w:left="720"/>
        <w:contextualSpacing/>
        <w:jc w:val="both"/>
        <w:rPr>
          <w:b/>
          <w:bCs/>
        </w:rPr>
      </w:pPr>
      <w:r w:rsidRPr="00912586">
        <w:rPr>
          <w:b/>
          <w:bCs/>
        </w:rPr>
        <w:t>National Heavy Vehicle Regulator</w:t>
      </w:r>
    </w:p>
    <w:p w14:paraId="1FB848C1" w14:textId="77777777" w:rsidR="00163962" w:rsidRDefault="00163962" w:rsidP="00B94B20">
      <w:pPr>
        <w:pStyle w:val="ListParagraph"/>
        <w:ind w:left="1080"/>
        <w:jc w:val="both"/>
      </w:pPr>
    </w:p>
    <w:sectPr w:rsidR="00163962" w:rsidSect="00B660A0">
      <w:footerReference w:type="default" r:id="rId11"/>
      <w:headerReference w:type="first" r:id="rId12"/>
      <w:footerReference w:type="firs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97CD" w14:textId="77777777" w:rsidR="001945F9" w:rsidRDefault="001945F9" w:rsidP="00FF165E">
      <w:pPr>
        <w:spacing w:after="0" w:line="240" w:lineRule="auto"/>
      </w:pPr>
      <w:r>
        <w:separator/>
      </w:r>
    </w:p>
  </w:endnote>
  <w:endnote w:type="continuationSeparator" w:id="0">
    <w:p w14:paraId="44F283DB" w14:textId="77777777" w:rsidR="001945F9" w:rsidRDefault="001945F9" w:rsidP="00FF165E">
      <w:pPr>
        <w:spacing w:after="0" w:line="240" w:lineRule="auto"/>
      </w:pPr>
      <w:r>
        <w:continuationSeparator/>
      </w:r>
    </w:p>
  </w:endnote>
  <w:endnote w:type="continuationNotice" w:id="1">
    <w:p w14:paraId="267D190D" w14:textId="77777777" w:rsidR="00F263A7" w:rsidRDefault="00F263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92B3" w14:textId="77777777" w:rsidR="00FF165E" w:rsidRDefault="00FF165E">
    <w:pPr>
      <w:pStyle w:val="Footer"/>
      <w:jc w:val="right"/>
    </w:pPr>
  </w:p>
  <w:p w14:paraId="7ECA5E02" w14:textId="76EFA748" w:rsidR="005D627E" w:rsidRDefault="005D627E" w:rsidP="00FF165E">
    <w:pPr>
      <w:pStyle w:val="Footer"/>
      <w:jc w:val="right"/>
    </w:pPr>
    <w:r w:rsidRPr="005D627E">
      <w:t>South Australia Class 1 Transport of Indivisible Items and Agricultural Vehicles Dimension Exemption Notice</w:t>
    </w:r>
    <w:r>
      <w:t xml:space="preserve"> 2023</w:t>
    </w:r>
    <w:r w:rsidRPr="005D627E">
      <w:t xml:space="preserve"> (No.1)</w:t>
    </w:r>
  </w:p>
  <w:p w14:paraId="7C4797CB" w14:textId="7022B6C4" w:rsidR="00FF165E" w:rsidRDefault="00826A21" w:rsidP="00FF165E">
    <w:pPr>
      <w:pStyle w:val="Footer"/>
      <w:jc w:val="right"/>
    </w:pPr>
    <w:sdt>
      <w:sdtPr>
        <w:id w:val="-456180703"/>
        <w:docPartObj>
          <w:docPartGallery w:val="Page Numbers (Bottom of Page)"/>
          <w:docPartUnique/>
        </w:docPartObj>
      </w:sdtPr>
      <w:sdtEndPr/>
      <w:sdtContent>
        <w:sdt>
          <w:sdtPr>
            <w:id w:val="-1769616900"/>
            <w:docPartObj>
              <w:docPartGallery w:val="Page Numbers (Top of Page)"/>
              <w:docPartUnique/>
            </w:docPartObj>
          </w:sdtPr>
          <w:sdtEndPr/>
          <w:sdtContent>
            <w:r w:rsidR="00FF165E">
              <w:t xml:space="preserve">Page </w:t>
            </w:r>
            <w:r w:rsidR="00FF165E">
              <w:rPr>
                <w:b/>
                <w:bCs/>
                <w:sz w:val="24"/>
                <w:szCs w:val="24"/>
              </w:rPr>
              <w:fldChar w:fldCharType="begin"/>
            </w:r>
            <w:r w:rsidR="00FF165E">
              <w:rPr>
                <w:b/>
                <w:bCs/>
              </w:rPr>
              <w:instrText xml:space="preserve"> PAGE </w:instrText>
            </w:r>
            <w:r w:rsidR="00FF165E">
              <w:rPr>
                <w:b/>
                <w:bCs/>
                <w:sz w:val="24"/>
                <w:szCs w:val="24"/>
              </w:rPr>
              <w:fldChar w:fldCharType="separate"/>
            </w:r>
            <w:r w:rsidR="00FF165E">
              <w:rPr>
                <w:b/>
                <w:bCs/>
                <w:noProof/>
              </w:rPr>
              <w:t>2</w:t>
            </w:r>
            <w:r w:rsidR="00FF165E">
              <w:rPr>
                <w:b/>
                <w:bCs/>
                <w:sz w:val="24"/>
                <w:szCs w:val="24"/>
              </w:rPr>
              <w:fldChar w:fldCharType="end"/>
            </w:r>
            <w:r w:rsidR="00FF165E">
              <w:t xml:space="preserve"> of </w:t>
            </w:r>
            <w:r w:rsidR="00FF165E">
              <w:rPr>
                <w:b/>
                <w:bCs/>
                <w:sz w:val="24"/>
                <w:szCs w:val="24"/>
              </w:rPr>
              <w:fldChar w:fldCharType="begin"/>
            </w:r>
            <w:r w:rsidR="00FF165E">
              <w:rPr>
                <w:b/>
                <w:bCs/>
              </w:rPr>
              <w:instrText xml:space="preserve"> NUMPAGES  </w:instrText>
            </w:r>
            <w:r w:rsidR="00FF165E">
              <w:rPr>
                <w:b/>
                <w:bCs/>
                <w:sz w:val="24"/>
                <w:szCs w:val="24"/>
              </w:rPr>
              <w:fldChar w:fldCharType="separate"/>
            </w:r>
            <w:r w:rsidR="00FF165E">
              <w:rPr>
                <w:b/>
                <w:bCs/>
                <w:noProof/>
              </w:rPr>
              <w:t>2</w:t>
            </w:r>
            <w:r w:rsidR="00FF165E">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BA2E" w14:textId="77777777" w:rsidR="00B660A0" w:rsidRDefault="00B660A0" w:rsidP="00B660A0">
    <w:pPr>
      <w:pStyle w:val="Footer"/>
      <w:jc w:val="right"/>
    </w:pPr>
  </w:p>
  <w:p w14:paraId="1C6D83D4" w14:textId="3EBDEC87" w:rsidR="00B660A0" w:rsidRDefault="00B660A0" w:rsidP="00B660A0">
    <w:pPr>
      <w:pStyle w:val="Footer"/>
      <w:jc w:val="right"/>
    </w:pPr>
    <w:r w:rsidRPr="005D627E">
      <w:t>South Australia Class 1 Transport of Indivisible Items and Agricultural Vehicles Dimension Exemption Notice</w:t>
    </w:r>
    <w:r>
      <w:t xml:space="preserve"> 2023</w:t>
    </w:r>
    <w:r w:rsidRPr="005D627E">
      <w:t xml:space="preserve"> (No.1)</w:t>
    </w:r>
  </w:p>
  <w:p w14:paraId="137BE081" w14:textId="194C4CD9" w:rsidR="00B660A0" w:rsidRDefault="00826A21" w:rsidP="00B660A0">
    <w:pPr>
      <w:pStyle w:val="Footer"/>
      <w:jc w:val="right"/>
    </w:pPr>
    <w:sdt>
      <w:sdtPr>
        <w:id w:val="-1706088170"/>
        <w:docPartObj>
          <w:docPartGallery w:val="Page Numbers (Bottom of Page)"/>
          <w:docPartUnique/>
        </w:docPartObj>
      </w:sdtPr>
      <w:sdtEndPr/>
      <w:sdtContent>
        <w:sdt>
          <w:sdtPr>
            <w:id w:val="-2096614754"/>
            <w:docPartObj>
              <w:docPartGallery w:val="Page Numbers (Top of Page)"/>
              <w:docPartUnique/>
            </w:docPartObj>
          </w:sdtPr>
          <w:sdtEndPr/>
          <w:sdtContent>
            <w:r w:rsidR="00B660A0">
              <w:t xml:space="preserve">Page </w:t>
            </w:r>
            <w:r w:rsidR="00B660A0">
              <w:rPr>
                <w:b/>
                <w:bCs/>
                <w:sz w:val="24"/>
                <w:szCs w:val="24"/>
              </w:rPr>
              <w:fldChar w:fldCharType="begin"/>
            </w:r>
            <w:r w:rsidR="00B660A0">
              <w:rPr>
                <w:b/>
                <w:bCs/>
              </w:rPr>
              <w:instrText xml:space="preserve"> PAGE </w:instrText>
            </w:r>
            <w:r w:rsidR="00B660A0">
              <w:rPr>
                <w:b/>
                <w:bCs/>
                <w:sz w:val="24"/>
                <w:szCs w:val="24"/>
              </w:rPr>
              <w:fldChar w:fldCharType="separate"/>
            </w:r>
            <w:r w:rsidR="00B660A0">
              <w:rPr>
                <w:b/>
                <w:bCs/>
                <w:sz w:val="24"/>
                <w:szCs w:val="24"/>
              </w:rPr>
              <w:t>2</w:t>
            </w:r>
            <w:r w:rsidR="00B660A0">
              <w:rPr>
                <w:b/>
                <w:bCs/>
                <w:sz w:val="24"/>
                <w:szCs w:val="24"/>
              </w:rPr>
              <w:fldChar w:fldCharType="end"/>
            </w:r>
            <w:r w:rsidR="00B660A0">
              <w:t xml:space="preserve"> of </w:t>
            </w:r>
            <w:r w:rsidR="00B660A0">
              <w:rPr>
                <w:b/>
                <w:bCs/>
                <w:sz w:val="24"/>
                <w:szCs w:val="24"/>
              </w:rPr>
              <w:fldChar w:fldCharType="begin"/>
            </w:r>
            <w:r w:rsidR="00B660A0">
              <w:rPr>
                <w:b/>
                <w:bCs/>
              </w:rPr>
              <w:instrText xml:space="preserve"> NUMPAGES  </w:instrText>
            </w:r>
            <w:r w:rsidR="00B660A0">
              <w:rPr>
                <w:b/>
                <w:bCs/>
                <w:sz w:val="24"/>
                <w:szCs w:val="24"/>
              </w:rPr>
              <w:fldChar w:fldCharType="separate"/>
            </w:r>
            <w:r w:rsidR="00B660A0">
              <w:rPr>
                <w:b/>
                <w:bCs/>
                <w:sz w:val="24"/>
                <w:szCs w:val="24"/>
              </w:rPr>
              <w:t>6</w:t>
            </w:r>
            <w:r w:rsidR="00B660A0">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D9CFA" w14:textId="77777777" w:rsidR="001945F9" w:rsidRDefault="001945F9" w:rsidP="00FF165E">
      <w:pPr>
        <w:spacing w:after="0" w:line="240" w:lineRule="auto"/>
      </w:pPr>
      <w:r>
        <w:separator/>
      </w:r>
    </w:p>
  </w:footnote>
  <w:footnote w:type="continuationSeparator" w:id="0">
    <w:p w14:paraId="4E50EB01" w14:textId="77777777" w:rsidR="001945F9" w:rsidRDefault="001945F9" w:rsidP="00FF165E">
      <w:pPr>
        <w:spacing w:after="0" w:line="240" w:lineRule="auto"/>
      </w:pPr>
      <w:r>
        <w:continuationSeparator/>
      </w:r>
    </w:p>
  </w:footnote>
  <w:footnote w:type="continuationNotice" w:id="1">
    <w:p w14:paraId="06D99CDA" w14:textId="77777777" w:rsidR="00F263A7" w:rsidRDefault="00F263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B660A0" w:rsidRPr="00CE796A" w14:paraId="0BACE86B" w14:textId="77777777" w:rsidTr="0053025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7AC61FD" w14:textId="77777777" w:rsidR="00B660A0" w:rsidRPr="00CE796A" w:rsidRDefault="00B660A0" w:rsidP="00B660A0">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1795C51F" wp14:editId="67B7EBE9">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B37D717" w14:textId="77777777" w:rsidR="00B660A0" w:rsidRPr="00CE796A" w:rsidRDefault="00B660A0" w:rsidP="00B660A0">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38435F54" w14:textId="77777777" w:rsidR="00B660A0" w:rsidRPr="00CE796A" w:rsidRDefault="00B660A0" w:rsidP="00B660A0">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B660A0" w:rsidRPr="00CE796A" w14:paraId="252856C7" w14:textId="77777777" w:rsidTr="0053025D">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35D0E9E" w14:textId="77777777" w:rsidR="00B660A0" w:rsidRPr="00CE796A" w:rsidRDefault="00B660A0" w:rsidP="00B660A0">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4066A4A" w14:textId="77777777" w:rsidR="00B660A0" w:rsidRPr="00840A06" w:rsidRDefault="00B660A0" w:rsidP="00B660A0">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6334A65E" w14:textId="77777777" w:rsidR="00B660A0" w:rsidRDefault="00B66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14F"/>
    <w:multiLevelType w:val="hybridMultilevel"/>
    <w:tmpl w:val="1504A8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7ED43D4"/>
    <w:multiLevelType w:val="hybridMultilevel"/>
    <w:tmpl w:val="D936892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9E70B7C"/>
    <w:multiLevelType w:val="hybridMultilevel"/>
    <w:tmpl w:val="D9368920"/>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486457"/>
    <w:multiLevelType w:val="hybridMultilevel"/>
    <w:tmpl w:val="1504A8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1201A11"/>
    <w:multiLevelType w:val="hybridMultilevel"/>
    <w:tmpl w:val="8B9C6C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F82B9B"/>
    <w:multiLevelType w:val="hybridMultilevel"/>
    <w:tmpl w:val="3678F534"/>
    <w:lvl w:ilvl="0" w:tplc="0C090017">
      <w:start w:val="1"/>
      <w:numFmt w:val="lowerLetter"/>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A1B4660"/>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B0252FA"/>
    <w:multiLevelType w:val="hybridMultilevel"/>
    <w:tmpl w:val="B82ACFF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C732B98"/>
    <w:multiLevelType w:val="hybridMultilevel"/>
    <w:tmpl w:val="A664E220"/>
    <w:lvl w:ilvl="0" w:tplc="0C090017">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EE4495F"/>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F012ABB"/>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2C35A29"/>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3104658"/>
    <w:multiLevelType w:val="hybridMultilevel"/>
    <w:tmpl w:val="D936892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AEB29E5"/>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251125C"/>
    <w:multiLevelType w:val="hybridMultilevel"/>
    <w:tmpl w:val="1504A8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0D97442"/>
    <w:multiLevelType w:val="hybridMultilevel"/>
    <w:tmpl w:val="F21260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5EE0034"/>
    <w:multiLevelType w:val="hybridMultilevel"/>
    <w:tmpl w:val="3B14B73E"/>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15:restartNumberingAfterBreak="0">
    <w:nsid w:val="47152AB3"/>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8757A81"/>
    <w:multiLevelType w:val="hybridMultilevel"/>
    <w:tmpl w:val="0442B35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B1A6AA7"/>
    <w:multiLevelType w:val="hybridMultilevel"/>
    <w:tmpl w:val="3678F53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C812AF1"/>
    <w:multiLevelType w:val="hybridMultilevel"/>
    <w:tmpl w:val="8E107146"/>
    <w:lvl w:ilvl="0" w:tplc="0C090017">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FC27C80"/>
    <w:multiLevelType w:val="hybridMultilevel"/>
    <w:tmpl w:val="D936892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0615FC5"/>
    <w:multiLevelType w:val="hybridMultilevel"/>
    <w:tmpl w:val="B82ACFF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351027D"/>
    <w:multiLevelType w:val="hybridMultilevel"/>
    <w:tmpl w:val="1504A8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6345AA0"/>
    <w:multiLevelType w:val="hybridMultilevel"/>
    <w:tmpl w:val="C64AAFA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CE75FF5"/>
    <w:multiLevelType w:val="hybridMultilevel"/>
    <w:tmpl w:val="D936892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FD81B89"/>
    <w:multiLevelType w:val="hybridMultilevel"/>
    <w:tmpl w:val="1504A81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8072C84"/>
    <w:multiLevelType w:val="hybridMultilevel"/>
    <w:tmpl w:val="8B9C6C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A049E3"/>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BE32020"/>
    <w:multiLevelType w:val="hybridMultilevel"/>
    <w:tmpl w:val="A23414F0"/>
    <w:lvl w:ilvl="0" w:tplc="BC602F1E">
      <w:start w:val="1"/>
      <w:numFmt w:val="lowerLetter"/>
      <w:lvlText w:val="%1)"/>
      <w:lvlJc w:val="left"/>
      <w:pPr>
        <w:ind w:left="1440" w:hanging="360"/>
      </w:pPr>
      <w:rPr>
        <w:i w:val="0"/>
        <w:i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D76275F"/>
    <w:multiLevelType w:val="hybridMultilevel"/>
    <w:tmpl w:val="F2126040"/>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DB75D82"/>
    <w:multiLevelType w:val="hybridMultilevel"/>
    <w:tmpl w:val="B82ACFF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0845542"/>
    <w:multiLevelType w:val="hybridMultilevel"/>
    <w:tmpl w:val="3B14B73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3CC2252"/>
    <w:multiLevelType w:val="hybridMultilevel"/>
    <w:tmpl w:val="3B14B73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73A2BF7"/>
    <w:multiLevelType w:val="hybridMultilevel"/>
    <w:tmpl w:val="D936892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7EE2685"/>
    <w:multiLevelType w:val="hybridMultilevel"/>
    <w:tmpl w:val="8520B92A"/>
    <w:lvl w:ilvl="0" w:tplc="0C090017">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485319466">
    <w:abstractNumId w:val="4"/>
  </w:num>
  <w:num w:numId="2" w16cid:durableId="1627196350">
    <w:abstractNumId w:val="6"/>
  </w:num>
  <w:num w:numId="3" w16cid:durableId="25251383">
    <w:abstractNumId w:val="29"/>
  </w:num>
  <w:num w:numId="4" w16cid:durableId="1986203439">
    <w:abstractNumId w:val="17"/>
  </w:num>
  <w:num w:numId="5" w16cid:durableId="2089380026">
    <w:abstractNumId w:val="28"/>
  </w:num>
  <w:num w:numId="6" w16cid:durableId="1853569039">
    <w:abstractNumId w:val="13"/>
  </w:num>
  <w:num w:numId="7" w16cid:durableId="291373502">
    <w:abstractNumId w:val="9"/>
  </w:num>
  <w:num w:numId="8" w16cid:durableId="2040620951">
    <w:abstractNumId w:val="5"/>
  </w:num>
  <w:num w:numId="9" w16cid:durableId="1894391657">
    <w:abstractNumId w:val="10"/>
  </w:num>
  <w:num w:numId="10" w16cid:durableId="1102188626">
    <w:abstractNumId w:val="2"/>
  </w:num>
  <w:num w:numId="11" w16cid:durableId="317419518">
    <w:abstractNumId w:val="16"/>
  </w:num>
  <w:num w:numId="12" w16cid:durableId="788937709">
    <w:abstractNumId w:val="11"/>
  </w:num>
  <w:num w:numId="13" w16cid:durableId="1230582266">
    <w:abstractNumId w:val="33"/>
  </w:num>
  <w:num w:numId="14" w16cid:durableId="811097129">
    <w:abstractNumId w:val="26"/>
  </w:num>
  <w:num w:numId="15" w16cid:durableId="1596481371">
    <w:abstractNumId w:val="1"/>
  </w:num>
  <w:num w:numId="16" w16cid:durableId="272785914">
    <w:abstractNumId w:val="21"/>
  </w:num>
  <w:num w:numId="17" w16cid:durableId="935097378">
    <w:abstractNumId w:val="3"/>
  </w:num>
  <w:num w:numId="18" w16cid:durableId="1136222574">
    <w:abstractNumId w:val="23"/>
  </w:num>
  <w:num w:numId="19" w16cid:durableId="2709713">
    <w:abstractNumId w:val="14"/>
  </w:num>
  <w:num w:numId="20" w16cid:durableId="1438135109">
    <w:abstractNumId w:val="34"/>
  </w:num>
  <w:num w:numId="21" w16cid:durableId="5450072">
    <w:abstractNumId w:val="25"/>
  </w:num>
  <w:num w:numId="22" w16cid:durableId="9525439">
    <w:abstractNumId w:val="0"/>
  </w:num>
  <w:num w:numId="23" w16cid:durableId="1605990431">
    <w:abstractNumId w:val="12"/>
  </w:num>
  <w:num w:numId="24" w16cid:durableId="1366517181">
    <w:abstractNumId w:val="19"/>
  </w:num>
  <w:num w:numId="25" w16cid:durableId="79104915">
    <w:abstractNumId w:val="27"/>
  </w:num>
  <w:num w:numId="26" w16cid:durableId="1432357605">
    <w:abstractNumId w:val="7"/>
  </w:num>
  <w:num w:numId="27" w16cid:durableId="703671284">
    <w:abstractNumId w:val="30"/>
  </w:num>
  <w:num w:numId="28" w16cid:durableId="1344746685">
    <w:abstractNumId w:val="15"/>
  </w:num>
  <w:num w:numId="29" w16cid:durableId="441536251">
    <w:abstractNumId w:val="31"/>
  </w:num>
  <w:num w:numId="30" w16cid:durableId="1139765319">
    <w:abstractNumId w:val="8"/>
  </w:num>
  <w:num w:numId="31" w16cid:durableId="1803695222">
    <w:abstractNumId w:val="35"/>
  </w:num>
  <w:num w:numId="32" w16cid:durableId="631131019">
    <w:abstractNumId w:val="20"/>
  </w:num>
  <w:num w:numId="33" w16cid:durableId="184296845">
    <w:abstractNumId w:val="18"/>
  </w:num>
  <w:num w:numId="34" w16cid:durableId="1346905869">
    <w:abstractNumId w:val="22"/>
  </w:num>
  <w:num w:numId="35" w16cid:durableId="756751790">
    <w:abstractNumId w:val="24"/>
  </w:num>
  <w:num w:numId="36" w16cid:durableId="434904371">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FBD4EC"/>
    <w:rsid w:val="00006E84"/>
    <w:rsid w:val="000119A9"/>
    <w:rsid w:val="000134C2"/>
    <w:rsid w:val="00016A76"/>
    <w:rsid w:val="000312CB"/>
    <w:rsid w:val="00031358"/>
    <w:rsid w:val="00040E9F"/>
    <w:rsid w:val="00042A7F"/>
    <w:rsid w:val="0004474D"/>
    <w:rsid w:val="00045AA9"/>
    <w:rsid w:val="00046888"/>
    <w:rsid w:val="00047B4C"/>
    <w:rsid w:val="00053C44"/>
    <w:rsid w:val="000567E4"/>
    <w:rsid w:val="00056FFA"/>
    <w:rsid w:val="000634F8"/>
    <w:rsid w:val="00066965"/>
    <w:rsid w:val="00070637"/>
    <w:rsid w:val="000721CA"/>
    <w:rsid w:val="00072713"/>
    <w:rsid w:val="00073A46"/>
    <w:rsid w:val="00074E88"/>
    <w:rsid w:val="000759DD"/>
    <w:rsid w:val="00077780"/>
    <w:rsid w:val="000805E0"/>
    <w:rsid w:val="00081AEA"/>
    <w:rsid w:val="00081E0C"/>
    <w:rsid w:val="00082BA6"/>
    <w:rsid w:val="00083821"/>
    <w:rsid w:val="00084506"/>
    <w:rsid w:val="0009211A"/>
    <w:rsid w:val="0009766F"/>
    <w:rsid w:val="000A2502"/>
    <w:rsid w:val="000A25A8"/>
    <w:rsid w:val="000B1F3E"/>
    <w:rsid w:val="000B2987"/>
    <w:rsid w:val="000B4737"/>
    <w:rsid w:val="000B4854"/>
    <w:rsid w:val="000B7FD6"/>
    <w:rsid w:val="000C6D51"/>
    <w:rsid w:val="000E1232"/>
    <w:rsid w:val="000E2F26"/>
    <w:rsid w:val="000F148B"/>
    <w:rsid w:val="000F35D5"/>
    <w:rsid w:val="000F4C6F"/>
    <w:rsid w:val="000F4EC3"/>
    <w:rsid w:val="000F4EF3"/>
    <w:rsid w:val="000F6670"/>
    <w:rsid w:val="00101395"/>
    <w:rsid w:val="00103F54"/>
    <w:rsid w:val="00107A7E"/>
    <w:rsid w:val="00114BA9"/>
    <w:rsid w:val="001271D6"/>
    <w:rsid w:val="00134937"/>
    <w:rsid w:val="0013550E"/>
    <w:rsid w:val="00136914"/>
    <w:rsid w:val="00145226"/>
    <w:rsid w:val="00151C94"/>
    <w:rsid w:val="00152EBF"/>
    <w:rsid w:val="00154E5A"/>
    <w:rsid w:val="00156041"/>
    <w:rsid w:val="00163962"/>
    <w:rsid w:val="00172BD7"/>
    <w:rsid w:val="00172D56"/>
    <w:rsid w:val="001732F0"/>
    <w:rsid w:val="0018328D"/>
    <w:rsid w:val="00186F5C"/>
    <w:rsid w:val="001922FE"/>
    <w:rsid w:val="001945F9"/>
    <w:rsid w:val="00196050"/>
    <w:rsid w:val="001A2D23"/>
    <w:rsid w:val="001A4E52"/>
    <w:rsid w:val="001A5820"/>
    <w:rsid w:val="001A63EE"/>
    <w:rsid w:val="001B00A4"/>
    <w:rsid w:val="001B26D0"/>
    <w:rsid w:val="001B4949"/>
    <w:rsid w:val="001B636D"/>
    <w:rsid w:val="001C4384"/>
    <w:rsid w:val="001C4AC6"/>
    <w:rsid w:val="001C6FC0"/>
    <w:rsid w:val="001D7E9E"/>
    <w:rsid w:val="001E1CA2"/>
    <w:rsid w:val="001E4266"/>
    <w:rsid w:val="001E7D63"/>
    <w:rsid w:val="001F29C9"/>
    <w:rsid w:val="001F30C9"/>
    <w:rsid w:val="001F3F6C"/>
    <w:rsid w:val="001F7150"/>
    <w:rsid w:val="00202A8D"/>
    <w:rsid w:val="00203990"/>
    <w:rsid w:val="00205820"/>
    <w:rsid w:val="00205C52"/>
    <w:rsid w:val="00213EEB"/>
    <w:rsid w:val="00216B5E"/>
    <w:rsid w:val="002177D4"/>
    <w:rsid w:val="002225E5"/>
    <w:rsid w:val="002236D8"/>
    <w:rsid w:val="00224EEC"/>
    <w:rsid w:val="00225D34"/>
    <w:rsid w:val="0022624C"/>
    <w:rsid w:val="00226D24"/>
    <w:rsid w:val="0023388D"/>
    <w:rsid w:val="002423CF"/>
    <w:rsid w:val="0024249B"/>
    <w:rsid w:val="00245719"/>
    <w:rsid w:val="00247E96"/>
    <w:rsid w:val="002604C7"/>
    <w:rsid w:val="00262B80"/>
    <w:rsid w:val="00266F70"/>
    <w:rsid w:val="00274595"/>
    <w:rsid w:val="00275DD1"/>
    <w:rsid w:val="002771FF"/>
    <w:rsid w:val="002776DB"/>
    <w:rsid w:val="00277B89"/>
    <w:rsid w:val="0028047B"/>
    <w:rsid w:val="002820BF"/>
    <w:rsid w:val="00283D0F"/>
    <w:rsid w:val="00286FC4"/>
    <w:rsid w:val="00293049"/>
    <w:rsid w:val="00293FEB"/>
    <w:rsid w:val="00295C35"/>
    <w:rsid w:val="002969FF"/>
    <w:rsid w:val="00296A93"/>
    <w:rsid w:val="002A057C"/>
    <w:rsid w:val="002A4337"/>
    <w:rsid w:val="002A662C"/>
    <w:rsid w:val="002A7271"/>
    <w:rsid w:val="002B2113"/>
    <w:rsid w:val="002B561E"/>
    <w:rsid w:val="002B748F"/>
    <w:rsid w:val="002C0360"/>
    <w:rsid w:val="002C7057"/>
    <w:rsid w:val="002D425D"/>
    <w:rsid w:val="002E0F98"/>
    <w:rsid w:val="002E505B"/>
    <w:rsid w:val="002E5A20"/>
    <w:rsid w:val="00312F56"/>
    <w:rsid w:val="003170BC"/>
    <w:rsid w:val="00325A52"/>
    <w:rsid w:val="00330D46"/>
    <w:rsid w:val="0033121D"/>
    <w:rsid w:val="00337208"/>
    <w:rsid w:val="00341DDD"/>
    <w:rsid w:val="00343193"/>
    <w:rsid w:val="00350D5D"/>
    <w:rsid w:val="00352311"/>
    <w:rsid w:val="00352F89"/>
    <w:rsid w:val="003535F6"/>
    <w:rsid w:val="00355D69"/>
    <w:rsid w:val="00360318"/>
    <w:rsid w:val="003640FC"/>
    <w:rsid w:val="0037159B"/>
    <w:rsid w:val="00371D42"/>
    <w:rsid w:val="00373E4D"/>
    <w:rsid w:val="003754FD"/>
    <w:rsid w:val="00375DE3"/>
    <w:rsid w:val="00380565"/>
    <w:rsid w:val="00383392"/>
    <w:rsid w:val="00384BDB"/>
    <w:rsid w:val="003933DF"/>
    <w:rsid w:val="003A3765"/>
    <w:rsid w:val="003A78D8"/>
    <w:rsid w:val="003B1289"/>
    <w:rsid w:val="003B5443"/>
    <w:rsid w:val="003D1A6E"/>
    <w:rsid w:val="003D71E6"/>
    <w:rsid w:val="003F015A"/>
    <w:rsid w:val="003F6913"/>
    <w:rsid w:val="00401224"/>
    <w:rsid w:val="004111ED"/>
    <w:rsid w:val="00420610"/>
    <w:rsid w:val="00421043"/>
    <w:rsid w:val="004305C4"/>
    <w:rsid w:val="004344EC"/>
    <w:rsid w:val="00435A42"/>
    <w:rsid w:val="00442689"/>
    <w:rsid w:val="004435AD"/>
    <w:rsid w:val="00445FC5"/>
    <w:rsid w:val="00446F73"/>
    <w:rsid w:val="00447FD8"/>
    <w:rsid w:val="0046505A"/>
    <w:rsid w:val="00466EEA"/>
    <w:rsid w:val="0047177E"/>
    <w:rsid w:val="00474C13"/>
    <w:rsid w:val="0047719F"/>
    <w:rsid w:val="004824C4"/>
    <w:rsid w:val="0048383D"/>
    <w:rsid w:val="00490EBC"/>
    <w:rsid w:val="0049355E"/>
    <w:rsid w:val="0049712C"/>
    <w:rsid w:val="004A34A8"/>
    <w:rsid w:val="004A6AAE"/>
    <w:rsid w:val="004A6E4F"/>
    <w:rsid w:val="004B0E5E"/>
    <w:rsid w:val="004C45CE"/>
    <w:rsid w:val="004D2423"/>
    <w:rsid w:val="004D701B"/>
    <w:rsid w:val="004D71B3"/>
    <w:rsid w:val="004D75DF"/>
    <w:rsid w:val="004E2EA4"/>
    <w:rsid w:val="004F36A3"/>
    <w:rsid w:val="004F49C2"/>
    <w:rsid w:val="005025E3"/>
    <w:rsid w:val="005054A8"/>
    <w:rsid w:val="00506E5A"/>
    <w:rsid w:val="00516D14"/>
    <w:rsid w:val="00520ACB"/>
    <w:rsid w:val="00520FC4"/>
    <w:rsid w:val="005222B1"/>
    <w:rsid w:val="005328BF"/>
    <w:rsid w:val="005359D3"/>
    <w:rsid w:val="00536C0F"/>
    <w:rsid w:val="00542A02"/>
    <w:rsid w:val="00546484"/>
    <w:rsid w:val="00554B50"/>
    <w:rsid w:val="00554B71"/>
    <w:rsid w:val="00561C9D"/>
    <w:rsid w:val="00565E39"/>
    <w:rsid w:val="005708C5"/>
    <w:rsid w:val="00572726"/>
    <w:rsid w:val="005779B1"/>
    <w:rsid w:val="0058031D"/>
    <w:rsid w:val="00580D10"/>
    <w:rsid w:val="00581C6C"/>
    <w:rsid w:val="00582C1F"/>
    <w:rsid w:val="005876B5"/>
    <w:rsid w:val="00591081"/>
    <w:rsid w:val="00592910"/>
    <w:rsid w:val="00594014"/>
    <w:rsid w:val="00595439"/>
    <w:rsid w:val="005A4B22"/>
    <w:rsid w:val="005A588C"/>
    <w:rsid w:val="005A58C2"/>
    <w:rsid w:val="005A6499"/>
    <w:rsid w:val="005B0E89"/>
    <w:rsid w:val="005C1132"/>
    <w:rsid w:val="005C160B"/>
    <w:rsid w:val="005C2E6A"/>
    <w:rsid w:val="005C3E3E"/>
    <w:rsid w:val="005C6504"/>
    <w:rsid w:val="005D2D1C"/>
    <w:rsid w:val="005D627E"/>
    <w:rsid w:val="005E1270"/>
    <w:rsid w:val="005E55EC"/>
    <w:rsid w:val="005E7F58"/>
    <w:rsid w:val="005F2969"/>
    <w:rsid w:val="00601570"/>
    <w:rsid w:val="0060186D"/>
    <w:rsid w:val="00604398"/>
    <w:rsid w:val="006053F3"/>
    <w:rsid w:val="00605BDA"/>
    <w:rsid w:val="00606E7B"/>
    <w:rsid w:val="00607349"/>
    <w:rsid w:val="00611295"/>
    <w:rsid w:val="00612E8C"/>
    <w:rsid w:val="00613347"/>
    <w:rsid w:val="006168C0"/>
    <w:rsid w:val="006171AF"/>
    <w:rsid w:val="0062426F"/>
    <w:rsid w:val="006318B6"/>
    <w:rsid w:val="0063371E"/>
    <w:rsid w:val="00634872"/>
    <w:rsid w:val="00635576"/>
    <w:rsid w:val="00641E43"/>
    <w:rsid w:val="00644600"/>
    <w:rsid w:val="006459A2"/>
    <w:rsid w:val="0065663B"/>
    <w:rsid w:val="00661892"/>
    <w:rsid w:val="0066334E"/>
    <w:rsid w:val="006656BB"/>
    <w:rsid w:val="006726B3"/>
    <w:rsid w:val="00674078"/>
    <w:rsid w:val="00674518"/>
    <w:rsid w:val="00675921"/>
    <w:rsid w:val="00677E4E"/>
    <w:rsid w:val="00680968"/>
    <w:rsid w:val="00684915"/>
    <w:rsid w:val="00690AA3"/>
    <w:rsid w:val="006941E0"/>
    <w:rsid w:val="006944E7"/>
    <w:rsid w:val="006A0DC2"/>
    <w:rsid w:val="006A4075"/>
    <w:rsid w:val="006A58F8"/>
    <w:rsid w:val="006A5B66"/>
    <w:rsid w:val="006A74FD"/>
    <w:rsid w:val="006B1D9B"/>
    <w:rsid w:val="006B5947"/>
    <w:rsid w:val="006B7BD4"/>
    <w:rsid w:val="006C6A22"/>
    <w:rsid w:val="006D34F8"/>
    <w:rsid w:val="006E362A"/>
    <w:rsid w:val="006E3C5A"/>
    <w:rsid w:val="006E4E35"/>
    <w:rsid w:val="006E4FA0"/>
    <w:rsid w:val="006E583D"/>
    <w:rsid w:val="006F3882"/>
    <w:rsid w:val="006F785C"/>
    <w:rsid w:val="00710040"/>
    <w:rsid w:val="00710423"/>
    <w:rsid w:val="00712407"/>
    <w:rsid w:val="00724050"/>
    <w:rsid w:val="0073004D"/>
    <w:rsid w:val="00732807"/>
    <w:rsid w:val="00732C7E"/>
    <w:rsid w:val="007365B6"/>
    <w:rsid w:val="007408C3"/>
    <w:rsid w:val="007428B8"/>
    <w:rsid w:val="00745E6F"/>
    <w:rsid w:val="007505FB"/>
    <w:rsid w:val="00750BFA"/>
    <w:rsid w:val="00751DBD"/>
    <w:rsid w:val="0075762C"/>
    <w:rsid w:val="00765095"/>
    <w:rsid w:val="00767F18"/>
    <w:rsid w:val="007736D2"/>
    <w:rsid w:val="007745BC"/>
    <w:rsid w:val="00781B60"/>
    <w:rsid w:val="00785553"/>
    <w:rsid w:val="00786201"/>
    <w:rsid w:val="0078723F"/>
    <w:rsid w:val="00787E3B"/>
    <w:rsid w:val="007A0E2F"/>
    <w:rsid w:val="007A22A2"/>
    <w:rsid w:val="007B0563"/>
    <w:rsid w:val="007B0CB2"/>
    <w:rsid w:val="007B4298"/>
    <w:rsid w:val="007B55F9"/>
    <w:rsid w:val="007B5877"/>
    <w:rsid w:val="007B5F7B"/>
    <w:rsid w:val="007B74CB"/>
    <w:rsid w:val="007B7D13"/>
    <w:rsid w:val="007C0670"/>
    <w:rsid w:val="007C0E22"/>
    <w:rsid w:val="007C3D71"/>
    <w:rsid w:val="007D06FD"/>
    <w:rsid w:val="007E1179"/>
    <w:rsid w:val="007E11A7"/>
    <w:rsid w:val="007E39FD"/>
    <w:rsid w:val="007E4105"/>
    <w:rsid w:val="007E5C32"/>
    <w:rsid w:val="007E613A"/>
    <w:rsid w:val="007F25D6"/>
    <w:rsid w:val="007F3BA3"/>
    <w:rsid w:val="007F4784"/>
    <w:rsid w:val="007F6585"/>
    <w:rsid w:val="008001A1"/>
    <w:rsid w:val="0080292F"/>
    <w:rsid w:val="00802D1C"/>
    <w:rsid w:val="0080436D"/>
    <w:rsid w:val="008044A2"/>
    <w:rsid w:val="00812307"/>
    <w:rsid w:val="00821B93"/>
    <w:rsid w:val="008235C7"/>
    <w:rsid w:val="008235D8"/>
    <w:rsid w:val="0082543C"/>
    <w:rsid w:val="00826A21"/>
    <w:rsid w:val="0084411E"/>
    <w:rsid w:val="00850AB1"/>
    <w:rsid w:val="00853F53"/>
    <w:rsid w:val="00854A58"/>
    <w:rsid w:val="008556EF"/>
    <w:rsid w:val="00857E5F"/>
    <w:rsid w:val="008627C8"/>
    <w:rsid w:val="00874F37"/>
    <w:rsid w:val="00882622"/>
    <w:rsid w:val="00893A9D"/>
    <w:rsid w:val="00896D18"/>
    <w:rsid w:val="008972DC"/>
    <w:rsid w:val="00897614"/>
    <w:rsid w:val="008A1CC8"/>
    <w:rsid w:val="008A446B"/>
    <w:rsid w:val="008C03DE"/>
    <w:rsid w:val="008C56BD"/>
    <w:rsid w:val="008C58B4"/>
    <w:rsid w:val="008D195A"/>
    <w:rsid w:val="008D19CA"/>
    <w:rsid w:val="008E0DF3"/>
    <w:rsid w:val="008E1E63"/>
    <w:rsid w:val="008E3780"/>
    <w:rsid w:val="008E4A92"/>
    <w:rsid w:val="008E6096"/>
    <w:rsid w:val="008F07B3"/>
    <w:rsid w:val="008F4654"/>
    <w:rsid w:val="008F4BF5"/>
    <w:rsid w:val="008F4C2F"/>
    <w:rsid w:val="00911EE7"/>
    <w:rsid w:val="009128B2"/>
    <w:rsid w:val="00912A03"/>
    <w:rsid w:val="00914825"/>
    <w:rsid w:val="009150BB"/>
    <w:rsid w:val="00917D1D"/>
    <w:rsid w:val="0092117F"/>
    <w:rsid w:val="009222C1"/>
    <w:rsid w:val="0092776C"/>
    <w:rsid w:val="00930540"/>
    <w:rsid w:val="009355AB"/>
    <w:rsid w:val="00935A22"/>
    <w:rsid w:val="00950B23"/>
    <w:rsid w:val="0095292F"/>
    <w:rsid w:val="00956438"/>
    <w:rsid w:val="009602FC"/>
    <w:rsid w:val="009614B8"/>
    <w:rsid w:val="00964AF6"/>
    <w:rsid w:val="00966C63"/>
    <w:rsid w:val="00971756"/>
    <w:rsid w:val="009756DF"/>
    <w:rsid w:val="0098635A"/>
    <w:rsid w:val="009905E0"/>
    <w:rsid w:val="00990669"/>
    <w:rsid w:val="00990724"/>
    <w:rsid w:val="00994722"/>
    <w:rsid w:val="009A2221"/>
    <w:rsid w:val="009A2419"/>
    <w:rsid w:val="009A306F"/>
    <w:rsid w:val="009A64A5"/>
    <w:rsid w:val="009A6EE4"/>
    <w:rsid w:val="009B4B0C"/>
    <w:rsid w:val="009B4F0C"/>
    <w:rsid w:val="009B50A4"/>
    <w:rsid w:val="009C3534"/>
    <w:rsid w:val="009D03FF"/>
    <w:rsid w:val="009D0F26"/>
    <w:rsid w:val="009D6653"/>
    <w:rsid w:val="009E23B9"/>
    <w:rsid w:val="009F196B"/>
    <w:rsid w:val="009F7BA8"/>
    <w:rsid w:val="00A03384"/>
    <w:rsid w:val="00A03EC8"/>
    <w:rsid w:val="00A1628F"/>
    <w:rsid w:val="00A16C40"/>
    <w:rsid w:val="00A17838"/>
    <w:rsid w:val="00A22AA7"/>
    <w:rsid w:val="00A276ED"/>
    <w:rsid w:val="00A32B43"/>
    <w:rsid w:val="00A369C8"/>
    <w:rsid w:val="00A4038E"/>
    <w:rsid w:val="00A4455B"/>
    <w:rsid w:val="00A4767D"/>
    <w:rsid w:val="00A5080C"/>
    <w:rsid w:val="00A52A10"/>
    <w:rsid w:val="00A61E43"/>
    <w:rsid w:val="00A71032"/>
    <w:rsid w:val="00A7223A"/>
    <w:rsid w:val="00A72F0D"/>
    <w:rsid w:val="00A73810"/>
    <w:rsid w:val="00A75118"/>
    <w:rsid w:val="00A85F19"/>
    <w:rsid w:val="00A8780E"/>
    <w:rsid w:val="00A90DEF"/>
    <w:rsid w:val="00A95BD3"/>
    <w:rsid w:val="00AA26CD"/>
    <w:rsid w:val="00AA3E55"/>
    <w:rsid w:val="00AA4AE8"/>
    <w:rsid w:val="00AA5425"/>
    <w:rsid w:val="00AB52C7"/>
    <w:rsid w:val="00AC07BF"/>
    <w:rsid w:val="00AC0A73"/>
    <w:rsid w:val="00AC5F59"/>
    <w:rsid w:val="00AC663B"/>
    <w:rsid w:val="00AC6DE5"/>
    <w:rsid w:val="00AD4748"/>
    <w:rsid w:val="00AD60AD"/>
    <w:rsid w:val="00AD7511"/>
    <w:rsid w:val="00AE49B4"/>
    <w:rsid w:val="00AE500B"/>
    <w:rsid w:val="00AE5E27"/>
    <w:rsid w:val="00AE6DD6"/>
    <w:rsid w:val="00AF229A"/>
    <w:rsid w:val="00B029CE"/>
    <w:rsid w:val="00B03719"/>
    <w:rsid w:val="00B05075"/>
    <w:rsid w:val="00B06794"/>
    <w:rsid w:val="00B06A2F"/>
    <w:rsid w:val="00B06D58"/>
    <w:rsid w:val="00B110AA"/>
    <w:rsid w:val="00B12546"/>
    <w:rsid w:val="00B14D11"/>
    <w:rsid w:val="00B14F34"/>
    <w:rsid w:val="00B160DC"/>
    <w:rsid w:val="00B17F18"/>
    <w:rsid w:val="00B231E8"/>
    <w:rsid w:val="00B253C6"/>
    <w:rsid w:val="00B337A9"/>
    <w:rsid w:val="00B35C61"/>
    <w:rsid w:val="00B374A7"/>
    <w:rsid w:val="00B441BC"/>
    <w:rsid w:val="00B5081E"/>
    <w:rsid w:val="00B55E18"/>
    <w:rsid w:val="00B57536"/>
    <w:rsid w:val="00B60629"/>
    <w:rsid w:val="00B63ED6"/>
    <w:rsid w:val="00B65620"/>
    <w:rsid w:val="00B660A0"/>
    <w:rsid w:val="00B82584"/>
    <w:rsid w:val="00B8548B"/>
    <w:rsid w:val="00B87A9B"/>
    <w:rsid w:val="00B87E34"/>
    <w:rsid w:val="00B94B20"/>
    <w:rsid w:val="00B94DFE"/>
    <w:rsid w:val="00B950A9"/>
    <w:rsid w:val="00B96F4B"/>
    <w:rsid w:val="00BA169F"/>
    <w:rsid w:val="00BA2D18"/>
    <w:rsid w:val="00BA556D"/>
    <w:rsid w:val="00BA5AD0"/>
    <w:rsid w:val="00BB3228"/>
    <w:rsid w:val="00BB58A5"/>
    <w:rsid w:val="00BC1C88"/>
    <w:rsid w:val="00BC28D4"/>
    <w:rsid w:val="00BD0CBF"/>
    <w:rsid w:val="00BD20E5"/>
    <w:rsid w:val="00BE07A0"/>
    <w:rsid w:val="00BE1FC5"/>
    <w:rsid w:val="00BF0270"/>
    <w:rsid w:val="00BF2C6F"/>
    <w:rsid w:val="00C02B48"/>
    <w:rsid w:val="00C10868"/>
    <w:rsid w:val="00C31DE2"/>
    <w:rsid w:val="00C35C78"/>
    <w:rsid w:val="00C41C84"/>
    <w:rsid w:val="00C44237"/>
    <w:rsid w:val="00C44C8D"/>
    <w:rsid w:val="00C46149"/>
    <w:rsid w:val="00C46EF9"/>
    <w:rsid w:val="00C4730D"/>
    <w:rsid w:val="00C5134F"/>
    <w:rsid w:val="00C60491"/>
    <w:rsid w:val="00C6347D"/>
    <w:rsid w:val="00C71065"/>
    <w:rsid w:val="00C71F77"/>
    <w:rsid w:val="00C75A87"/>
    <w:rsid w:val="00C83593"/>
    <w:rsid w:val="00C839BE"/>
    <w:rsid w:val="00C91728"/>
    <w:rsid w:val="00C963C0"/>
    <w:rsid w:val="00C97089"/>
    <w:rsid w:val="00CA0DB2"/>
    <w:rsid w:val="00CA35FB"/>
    <w:rsid w:val="00CA3CC3"/>
    <w:rsid w:val="00CA764B"/>
    <w:rsid w:val="00CA7F4C"/>
    <w:rsid w:val="00CB195F"/>
    <w:rsid w:val="00CB25F3"/>
    <w:rsid w:val="00CB4275"/>
    <w:rsid w:val="00CB4CE5"/>
    <w:rsid w:val="00CB74D0"/>
    <w:rsid w:val="00CB7D5A"/>
    <w:rsid w:val="00CD4C1E"/>
    <w:rsid w:val="00CD594C"/>
    <w:rsid w:val="00CE19D8"/>
    <w:rsid w:val="00CE48EC"/>
    <w:rsid w:val="00CF04C8"/>
    <w:rsid w:val="00CF07FD"/>
    <w:rsid w:val="00CF112A"/>
    <w:rsid w:val="00CF3D38"/>
    <w:rsid w:val="00CF6A7A"/>
    <w:rsid w:val="00D11309"/>
    <w:rsid w:val="00D116AF"/>
    <w:rsid w:val="00D121B8"/>
    <w:rsid w:val="00D13FBF"/>
    <w:rsid w:val="00D17879"/>
    <w:rsid w:val="00D23538"/>
    <w:rsid w:val="00D26820"/>
    <w:rsid w:val="00D2716B"/>
    <w:rsid w:val="00D34AD0"/>
    <w:rsid w:val="00D363BE"/>
    <w:rsid w:val="00D46C1D"/>
    <w:rsid w:val="00D5315C"/>
    <w:rsid w:val="00D54525"/>
    <w:rsid w:val="00D57CF2"/>
    <w:rsid w:val="00D6095A"/>
    <w:rsid w:val="00D61F9E"/>
    <w:rsid w:val="00D631EB"/>
    <w:rsid w:val="00D64E75"/>
    <w:rsid w:val="00D64F82"/>
    <w:rsid w:val="00D720B6"/>
    <w:rsid w:val="00D808F4"/>
    <w:rsid w:val="00D824D7"/>
    <w:rsid w:val="00D82C38"/>
    <w:rsid w:val="00D8531A"/>
    <w:rsid w:val="00D8733D"/>
    <w:rsid w:val="00D90F5C"/>
    <w:rsid w:val="00D945E6"/>
    <w:rsid w:val="00D9737F"/>
    <w:rsid w:val="00DA0478"/>
    <w:rsid w:val="00DA13A1"/>
    <w:rsid w:val="00DA1802"/>
    <w:rsid w:val="00DA6716"/>
    <w:rsid w:val="00DB04B3"/>
    <w:rsid w:val="00DB052F"/>
    <w:rsid w:val="00DB2B93"/>
    <w:rsid w:val="00DB3C4C"/>
    <w:rsid w:val="00DB797B"/>
    <w:rsid w:val="00DC046E"/>
    <w:rsid w:val="00DC19FA"/>
    <w:rsid w:val="00DC64B3"/>
    <w:rsid w:val="00DC6DBF"/>
    <w:rsid w:val="00DD1752"/>
    <w:rsid w:val="00DD6131"/>
    <w:rsid w:val="00DD7263"/>
    <w:rsid w:val="00DE3271"/>
    <w:rsid w:val="00DE448B"/>
    <w:rsid w:val="00DF493D"/>
    <w:rsid w:val="00DF572B"/>
    <w:rsid w:val="00DF6D2B"/>
    <w:rsid w:val="00E06C03"/>
    <w:rsid w:val="00E12B2E"/>
    <w:rsid w:val="00E1314E"/>
    <w:rsid w:val="00E1703B"/>
    <w:rsid w:val="00E214FE"/>
    <w:rsid w:val="00E313D1"/>
    <w:rsid w:val="00E328C8"/>
    <w:rsid w:val="00E3345D"/>
    <w:rsid w:val="00E35608"/>
    <w:rsid w:val="00E43330"/>
    <w:rsid w:val="00E43AE2"/>
    <w:rsid w:val="00E45612"/>
    <w:rsid w:val="00E66EC5"/>
    <w:rsid w:val="00E7321A"/>
    <w:rsid w:val="00E821C6"/>
    <w:rsid w:val="00E82C70"/>
    <w:rsid w:val="00E84515"/>
    <w:rsid w:val="00E84D40"/>
    <w:rsid w:val="00E84F4B"/>
    <w:rsid w:val="00E87B58"/>
    <w:rsid w:val="00E923A1"/>
    <w:rsid w:val="00E92D4B"/>
    <w:rsid w:val="00E93C96"/>
    <w:rsid w:val="00EA009A"/>
    <w:rsid w:val="00EA0308"/>
    <w:rsid w:val="00EC6D9D"/>
    <w:rsid w:val="00ED050F"/>
    <w:rsid w:val="00ED2D4F"/>
    <w:rsid w:val="00ED48A6"/>
    <w:rsid w:val="00ED50B7"/>
    <w:rsid w:val="00ED60A9"/>
    <w:rsid w:val="00EE0EEE"/>
    <w:rsid w:val="00EE230E"/>
    <w:rsid w:val="00EE3E70"/>
    <w:rsid w:val="00EE3EEA"/>
    <w:rsid w:val="00F024BB"/>
    <w:rsid w:val="00F05006"/>
    <w:rsid w:val="00F0512E"/>
    <w:rsid w:val="00F055C8"/>
    <w:rsid w:val="00F06D3F"/>
    <w:rsid w:val="00F263A7"/>
    <w:rsid w:val="00F350EF"/>
    <w:rsid w:val="00F45B70"/>
    <w:rsid w:val="00F47A8C"/>
    <w:rsid w:val="00F53D6F"/>
    <w:rsid w:val="00F54C49"/>
    <w:rsid w:val="00F579FE"/>
    <w:rsid w:val="00F624CC"/>
    <w:rsid w:val="00F75578"/>
    <w:rsid w:val="00F768EC"/>
    <w:rsid w:val="00F83593"/>
    <w:rsid w:val="00F945ED"/>
    <w:rsid w:val="00FA0DB6"/>
    <w:rsid w:val="00FA1F8E"/>
    <w:rsid w:val="00FA264F"/>
    <w:rsid w:val="00FA4817"/>
    <w:rsid w:val="00FA6842"/>
    <w:rsid w:val="00FB22CC"/>
    <w:rsid w:val="00FB24CD"/>
    <w:rsid w:val="00FB2ED3"/>
    <w:rsid w:val="00FB2FB0"/>
    <w:rsid w:val="00FB6A91"/>
    <w:rsid w:val="00FB73AE"/>
    <w:rsid w:val="00FC1291"/>
    <w:rsid w:val="00FC243E"/>
    <w:rsid w:val="00FC6B47"/>
    <w:rsid w:val="00FC73C7"/>
    <w:rsid w:val="00FD2649"/>
    <w:rsid w:val="00FD654C"/>
    <w:rsid w:val="00FE30F4"/>
    <w:rsid w:val="00FE3F86"/>
    <w:rsid w:val="00FE5995"/>
    <w:rsid w:val="00FE64BE"/>
    <w:rsid w:val="00FE7CBA"/>
    <w:rsid w:val="00FF165E"/>
    <w:rsid w:val="00FF2720"/>
    <w:rsid w:val="00FF4A12"/>
    <w:rsid w:val="00FF5154"/>
    <w:rsid w:val="00FF56ED"/>
    <w:rsid w:val="00FF6315"/>
    <w:rsid w:val="34FBD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BD4EC"/>
  <w15:chartTrackingRefBased/>
  <w15:docId w15:val="{C7767CA4-6778-43E6-BE5C-943AD9A0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D1752"/>
    <w:pPr>
      <w:ind w:left="720"/>
      <w:contextualSpacing/>
    </w:pPr>
  </w:style>
  <w:style w:type="table" w:styleId="TableGrid">
    <w:name w:val="Table Grid"/>
    <w:basedOn w:val="TableNormal"/>
    <w:uiPriority w:val="59"/>
    <w:rsid w:val="007B5F7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5D69"/>
    <w:rPr>
      <w:sz w:val="16"/>
      <w:szCs w:val="16"/>
    </w:rPr>
  </w:style>
  <w:style w:type="paragraph" w:styleId="CommentText">
    <w:name w:val="annotation text"/>
    <w:basedOn w:val="Normal"/>
    <w:link w:val="CommentTextChar"/>
    <w:uiPriority w:val="99"/>
    <w:unhideWhenUsed/>
    <w:rsid w:val="00355D69"/>
    <w:pPr>
      <w:spacing w:line="240" w:lineRule="auto"/>
    </w:pPr>
    <w:rPr>
      <w:sz w:val="20"/>
      <w:szCs w:val="20"/>
    </w:rPr>
  </w:style>
  <w:style w:type="character" w:customStyle="1" w:styleId="CommentTextChar">
    <w:name w:val="Comment Text Char"/>
    <w:basedOn w:val="DefaultParagraphFont"/>
    <w:link w:val="CommentText"/>
    <w:uiPriority w:val="99"/>
    <w:rsid w:val="00355D69"/>
    <w:rPr>
      <w:sz w:val="20"/>
      <w:szCs w:val="20"/>
    </w:rPr>
  </w:style>
  <w:style w:type="paragraph" w:styleId="CommentSubject">
    <w:name w:val="annotation subject"/>
    <w:basedOn w:val="CommentText"/>
    <w:next w:val="CommentText"/>
    <w:link w:val="CommentSubjectChar"/>
    <w:uiPriority w:val="99"/>
    <w:semiHidden/>
    <w:unhideWhenUsed/>
    <w:rsid w:val="00355D69"/>
    <w:rPr>
      <w:b/>
      <w:bCs/>
    </w:rPr>
  </w:style>
  <w:style w:type="character" w:customStyle="1" w:styleId="CommentSubjectChar">
    <w:name w:val="Comment Subject Char"/>
    <w:basedOn w:val="CommentTextChar"/>
    <w:link w:val="CommentSubject"/>
    <w:uiPriority w:val="99"/>
    <w:semiHidden/>
    <w:rsid w:val="00355D69"/>
    <w:rPr>
      <w:b/>
      <w:bCs/>
      <w:sz w:val="20"/>
      <w:szCs w:val="20"/>
    </w:rPr>
  </w:style>
  <w:style w:type="paragraph" w:styleId="Header">
    <w:name w:val="header"/>
    <w:basedOn w:val="Normal"/>
    <w:link w:val="HeaderChar"/>
    <w:uiPriority w:val="99"/>
    <w:unhideWhenUsed/>
    <w:rsid w:val="00FF1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65E"/>
  </w:style>
  <w:style w:type="paragraph" w:styleId="Footer">
    <w:name w:val="footer"/>
    <w:basedOn w:val="Normal"/>
    <w:link w:val="FooterChar"/>
    <w:uiPriority w:val="99"/>
    <w:unhideWhenUsed/>
    <w:rsid w:val="00FF1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65E"/>
  </w:style>
  <w:style w:type="paragraph" w:styleId="Revision">
    <w:name w:val="Revision"/>
    <w:hidden/>
    <w:uiPriority w:val="99"/>
    <w:semiHidden/>
    <w:rsid w:val="00BB32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5" ma:contentTypeDescription="Create a new document." ma:contentTypeScope="" ma:versionID="2470763c3bb8fd391469142fd48bcdff">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e6b6330ba7df0a714de88ba6034b60bb"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B9C95112-571A-4549-B264-9EACF15E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EAE40-20A7-41EA-85E8-2893D57B1AEC}">
  <ds:schemaRefs>
    <ds:schemaRef ds:uri="http://purl.org/dc/elements/1.1/"/>
    <ds:schemaRef ds:uri="http://schemas.microsoft.com/office/2006/documentManagement/types"/>
    <ds:schemaRef ds:uri="http://www.w3.org/XML/1998/namespace"/>
    <ds:schemaRef ds:uri="5ad2cbeb-fc51-4b49-87dc-42300fe4d1dd"/>
    <ds:schemaRef ds:uri="http://schemas.microsoft.com/office/2006/metadata/properties"/>
    <ds:schemaRef ds:uri="45ab7314-6ee2-4801-b2cf-a27306d55ce5"/>
    <ds:schemaRef ds:uri="http://schemas.microsoft.com/office/infopath/2007/PartnerControls"/>
    <ds:schemaRef ds:uri="73f7d1ba-ac27-4bcb-a5b6-37981e86af6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01B01AC4-1733-4F85-9E6E-8E156E650B0A}">
  <ds:schemaRefs>
    <ds:schemaRef ds:uri="http://schemas.microsoft.com/sharepoint/v3/contenttype/forms"/>
  </ds:schemaRefs>
</ds:datastoreItem>
</file>

<file path=customXml/itemProps4.xml><?xml version="1.0" encoding="utf-8"?>
<ds:datastoreItem xmlns:ds="http://schemas.openxmlformats.org/officeDocument/2006/customXml" ds:itemID="{71B6F41A-7E72-48EB-A2E6-8BEF46DC3FC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166</cp:revision>
  <dcterms:created xsi:type="dcterms:W3CDTF">2023-05-19T06:40:00Z</dcterms:created>
  <dcterms:modified xsi:type="dcterms:W3CDTF">2023-10-31T22:49:00Z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y fmtid="{D5CDD505-2E9C-101B-9397-08002B2CF9AE}" pid="3" name="MediaServiceImageTags">
    <vt:lpwstr/>
  </property>
</Properties>
</file>