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510A" w14:textId="36B721C4" w:rsidR="00B25A79" w:rsidRPr="00147FF6" w:rsidRDefault="007D7C81" w:rsidP="00147FF6">
      <w:pPr>
        <w:contextualSpacing/>
        <w:jc w:val="both"/>
        <w:rPr>
          <w:b/>
          <w:bCs/>
          <w:sz w:val="28"/>
          <w:szCs w:val="28"/>
        </w:rPr>
      </w:pPr>
      <w:r>
        <w:rPr>
          <w:b/>
          <w:bCs/>
          <w:sz w:val="28"/>
          <w:szCs w:val="28"/>
        </w:rPr>
        <w:t>HEAVY VEHICLE NATIONAL LAW</w:t>
      </w:r>
    </w:p>
    <w:p w14:paraId="209E563E" w14:textId="4ACFA49F" w:rsidR="006B627C" w:rsidRPr="00147FF6" w:rsidRDefault="009453DD" w:rsidP="00147FF6">
      <w:pPr>
        <w:contextualSpacing/>
        <w:jc w:val="both"/>
        <w:rPr>
          <w:b/>
          <w:bCs/>
          <w:sz w:val="28"/>
          <w:szCs w:val="28"/>
        </w:rPr>
      </w:pPr>
      <w:r w:rsidRPr="00147FF6">
        <w:rPr>
          <w:b/>
          <w:bCs/>
          <w:sz w:val="28"/>
          <w:szCs w:val="28"/>
        </w:rPr>
        <w:t>Victoria Class 1 Emergency Management Mass &amp; Dimension Exemption Notice 2023 (No.1)</w:t>
      </w:r>
    </w:p>
    <w:p w14:paraId="755F3A0C" w14:textId="77777777" w:rsidR="006B627C" w:rsidRDefault="006B627C" w:rsidP="00147FF6">
      <w:pPr>
        <w:contextualSpacing/>
        <w:jc w:val="both"/>
      </w:pPr>
    </w:p>
    <w:p w14:paraId="5888F643" w14:textId="19C58C7B" w:rsidR="00B25A79" w:rsidRPr="00147FF6" w:rsidRDefault="006B627C" w:rsidP="00147FF6">
      <w:pPr>
        <w:pStyle w:val="ListParagraph"/>
        <w:numPr>
          <w:ilvl w:val="0"/>
          <w:numId w:val="2"/>
        </w:numPr>
        <w:jc w:val="both"/>
        <w:rPr>
          <w:b/>
          <w:bCs/>
        </w:rPr>
      </w:pPr>
      <w:r w:rsidRPr="00147FF6">
        <w:rPr>
          <w:b/>
          <w:bCs/>
        </w:rPr>
        <w:t>Purpose</w:t>
      </w:r>
    </w:p>
    <w:p w14:paraId="0D608D68" w14:textId="77777777" w:rsidR="00147FF6" w:rsidRDefault="00147FF6" w:rsidP="00147FF6">
      <w:pPr>
        <w:pStyle w:val="ListParagraph"/>
        <w:jc w:val="both"/>
      </w:pPr>
    </w:p>
    <w:p w14:paraId="25C92020" w14:textId="2908EAEB" w:rsidR="006B627C" w:rsidRDefault="006B627C" w:rsidP="00147FF6">
      <w:pPr>
        <w:pStyle w:val="ListParagraph"/>
        <w:ind w:left="1080"/>
        <w:jc w:val="both"/>
      </w:pPr>
      <w:r>
        <w:t xml:space="preserve">This Notice exempts specified categories of heavy vehicles from prescribed mass and dimension requirements so that they may participate in emergency management operations while under direction from Victorian emergency services in accordance with the State Emergency </w:t>
      </w:r>
      <w:r w:rsidR="003C1087">
        <w:t>Management</w:t>
      </w:r>
      <w:r>
        <w:t xml:space="preserve"> Plan</w:t>
      </w:r>
      <w:r w:rsidR="00585A1C">
        <w:t>.</w:t>
      </w:r>
    </w:p>
    <w:p w14:paraId="26294255" w14:textId="4CA994FB" w:rsidR="006B627C" w:rsidRPr="00147FF6" w:rsidRDefault="006B627C" w:rsidP="004A474C">
      <w:pPr>
        <w:ind w:left="1800" w:hanging="720"/>
        <w:contextualSpacing/>
        <w:jc w:val="both"/>
        <w:rPr>
          <w:i/>
          <w:iCs/>
        </w:rPr>
      </w:pPr>
      <w:proofErr w:type="gramStart"/>
      <w:r w:rsidRPr="00147FF6">
        <w:rPr>
          <w:i/>
          <w:iCs/>
        </w:rPr>
        <w:t>Note:-</w:t>
      </w:r>
      <w:proofErr w:type="gramEnd"/>
      <w:r w:rsidR="00147FF6" w:rsidRPr="00147FF6">
        <w:rPr>
          <w:i/>
          <w:iCs/>
        </w:rPr>
        <w:tab/>
      </w:r>
      <w:r w:rsidRPr="00147FF6">
        <w:rPr>
          <w:i/>
          <w:iCs/>
        </w:rPr>
        <w:t>The purpose of this Notice is to enable the following agencies</w:t>
      </w:r>
      <w:r w:rsidR="003741C2">
        <w:rPr>
          <w:i/>
          <w:iCs/>
        </w:rPr>
        <w:t xml:space="preserve"> to use heavy vehicles in carrying out functions under </w:t>
      </w:r>
      <w:r w:rsidR="00CF002C">
        <w:rPr>
          <w:i/>
          <w:iCs/>
        </w:rPr>
        <w:t>Victorian State Emergency Management plans</w:t>
      </w:r>
      <w:r w:rsidRPr="00147FF6">
        <w:rPr>
          <w:i/>
          <w:iCs/>
        </w:rPr>
        <w:t>:</w:t>
      </w:r>
    </w:p>
    <w:p w14:paraId="17E26B1B" w14:textId="0B9A098A" w:rsidR="006B627C" w:rsidRPr="00147FF6" w:rsidRDefault="006B627C" w:rsidP="004A474C">
      <w:pPr>
        <w:pStyle w:val="ListParagraph"/>
        <w:numPr>
          <w:ilvl w:val="0"/>
          <w:numId w:val="1"/>
        </w:numPr>
        <w:ind w:left="2160"/>
        <w:jc w:val="both"/>
        <w:rPr>
          <w:i/>
          <w:iCs/>
        </w:rPr>
      </w:pPr>
      <w:r w:rsidRPr="00147FF6">
        <w:rPr>
          <w:i/>
          <w:iCs/>
        </w:rPr>
        <w:t>Forest Fire Management Victoria</w:t>
      </w:r>
    </w:p>
    <w:p w14:paraId="6433B56F" w14:textId="77777777" w:rsidR="006B627C" w:rsidRPr="00147FF6" w:rsidRDefault="006B627C" w:rsidP="004A474C">
      <w:pPr>
        <w:pStyle w:val="ListParagraph"/>
        <w:numPr>
          <w:ilvl w:val="0"/>
          <w:numId w:val="1"/>
        </w:numPr>
        <w:ind w:left="2160"/>
        <w:jc w:val="both"/>
        <w:rPr>
          <w:i/>
          <w:iCs/>
        </w:rPr>
      </w:pPr>
      <w:r w:rsidRPr="00147FF6">
        <w:rPr>
          <w:i/>
          <w:iCs/>
        </w:rPr>
        <w:t>Country Fire Authority</w:t>
      </w:r>
    </w:p>
    <w:p w14:paraId="2EC4603B" w14:textId="77777777" w:rsidR="006B627C" w:rsidRPr="00147FF6" w:rsidRDefault="006B627C" w:rsidP="004A474C">
      <w:pPr>
        <w:pStyle w:val="ListParagraph"/>
        <w:numPr>
          <w:ilvl w:val="0"/>
          <w:numId w:val="1"/>
        </w:numPr>
        <w:ind w:left="2160"/>
        <w:jc w:val="both"/>
        <w:rPr>
          <w:i/>
          <w:iCs/>
        </w:rPr>
      </w:pPr>
      <w:r w:rsidRPr="00147FF6">
        <w:rPr>
          <w:i/>
          <w:iCs/>
        </w:rPr>
        <w:t>Emergency Management Victoria</w:t>
      </w:r>
    </w:p>
    <w:p w14:paraId="3EAC8968" w14:textId="77777777" w:rsidR="006B627C" w:rsidRPr="00147FF6" w:rsidRDefault="006B627C" w:rsidP="004A474C">
      <w:pPr>
        <w:pStyle w:val="ListParagraph"/>
        <w:numPr>
          <w:ilvl w:val="0"/>
          <w:numId w:val="1"/>
        </w:numPr>
        <w:ind w:left="2160"/>
        <w:jc w:val="both"/>
        <w:rPr>
          <w:i/>
          <w:iCs/>
        </w:rPr>
      </w:pPr>
      <w:r w:rsidRPr="00147FF6">
        <w:rPr>
          <w:i/>
          <w:iCs/>
        </w:rPr>
        <w:t>Victoria Police</w:t>
      </w:r>
    </w:p>
    <w:p w14:paraId="74095634" w14:textId="77777777" w:rsidR="003C0896" w:rsidRDefault="003C0896" w:rsidP="004A474C">
      <w:pPr>
        <w:pStyle w:val="ListParagraph"/>
        <w:numPr>
          <w:ilvl w:val="0"/>
          <w:numId w:val="1"/>
        </w:numPr>
        <w:ind w:left="2160"/>
        <w:jc w:val="both"/>
        <w:rPr>
          <w:i/>
          <w:iCs/>
        </w:rPr>
      </w:pPr>
      <w:r w:rsidRPr="003C0896">
        <w:rPr>
          <w:i/>
          <w:iCs/>
        </w:rPr>
        <w:t>Victorian Department of Transport and Planning</w:t>
      </w:r>
    </w:p>
    <w:p w14:paraId="78EBDC50" w14:textId="265DB584" w:rsidR="006B627C" w:rsidRPr="00147FF6" w:rsidRDefault="002E16F3" w:rsidP="004A474C">
      <w:pPr>
        <w:pStyle w:val="ListParagraph"/>
        <w:numPr>
          <w:ilvl w:val="0"/>
          <w:numId w:val="1"/>
        </w:numPr>
        <w:ind w:left="2160"/>
        <w:jc w:val="both"/>
        <w:rPr>
          <w:i/>
          <w:iCs/>
        </w:rPr>
      </w:pPr>
      <w:r>
        <w:rPr>
          <w:i/>
          <w:iCs/>
        </w:rPr>
        <w:t>Fire Rescue Victoria</w:t>
      </w:r>
      <w:r w:rsidR="006B627C" w:rsidRPr="00147FF6">
        <w:rPr>
          <w:i/>
          <w:iCs/>
        </w:rPr>
        <w:t xml:space="preserve"> </w:t>
      </w:r>
      <w:proofErr w:type="gramStart"/>
      <w:r w:rsidR="006B627C" w:rsidRPr="00147FF6">
        <w:rPr>
          <w:i/>
          <w:iCs/>
        </w:rPr>
        <w:t>and;</w:t>
      </w:r>
      <w:proofErr w:type="gramEnd"/>
      <w:r w:rsidR="006B627C" w:rsidRPr="00147FF6">
        <w:rPr>
          <w:i/>
          <w:iCs/>
        </w:rPr>
        <w:t xml:space="preserve"> </w:t>
      </w:r>
    </w:p>
    <w:p w14:paraId="0B6FDCAE" w14:textId="77777777" w:rsidR="006B627C" w:rsidRPr="00147FF6" w:rsidRDefault="006B627C" w:rsidP="004A474C">
      <w:pPr>
        <w:pStyle w:val="ListParagraph"/>
        <w:numPr>
          <w:ilvl w:val="0"/>
          <w:numId w:val="1"/>
        </w:numPr>
        <w:ind w:left="2160"/>
        <w:jc w:val="both"/>
        <w:rPr>
          <w:i/>
          <w:iCs/>
        </w:rPr>
      </w:pPr>
      <w:r w:rsidRPr="00147FF6">
        <w:rPr>
          <w:i/>
          <w:iCs/>
        </w:rPr>
        <w:t>Victoria State Emergency Service</w:t>
      </w:r>
    </w:p>
    <w:p w14:paraId="6F734980" w14:textId="21CF651E" w:rsidR="006B627C" w:rsidRPr="00D34295" w:rsidRDefault="006B627C" w:rsidP="004A474C">
      <w:pPr>
        <w:pStyle w:val="ListParagraph"/>
        <w:numPr>
          <w:ilvl w:val="0"/>
          <w:numId w:val="1"/>
        </w:numPr>
        <w:ind w:left="2160"/>
        <w:jc w:val="both"/>
        <w:rPr>
          <w:i/>
          <w:iCs/>
        </w:rPr>
      </w:pPr>
      <w:r w:rsidRPr="00147FF6">
        <w:rPr>
          <w:i/>
          <w:iCs/>
        </w:rPr>
        <w:t xml:space="preserve">and personnel engaged or directed by these agencies to transport equipment and plant when responding to an emergency. </w:t>
      </w:r>
    </w:p>
    <w:p w14:paraId="22480075" w14:textId="346B6BBF" w:rsidR="005D6A9E" w:rsidRPr="005D6A9E" w:rsidRDefault="005D6A9E" w:rsidP="004A474C">
      <w:pPr>
        <w:ind w:left="1800"/>
        <w:contextualSpacing/>
        <w:jc w:val="both"/>
        <w:rPr>
          <w:i/>
          <w:iCs/>
        </w:rPr>
      </w:pPr>
      <w:r w:rsidRPr="005D6A9E">
        <w:rPr>
          <w:i/>
          <w:iCs/>
        </w:rPr>
        <w:t>In response to an emergency if travel is required for a class 1 or 3 vehicle on a route other than one prescribed under this Notice, one of the following authorities may be obtained:</w:t>
      </w:r>
    </w:p>
    <w:p w14:paraId="3F464FC3" w14:textId="77777777" w:rsidR="005D6A9E" w:rsidRPr="005D6A9E" w:rsidRDefault="005D6A9E" w:rsidP="005D6A9E">
      <w:pPr>
        <w:pStyle w:val="ListParagraph"/>
        <w:numPr>
          <w:ilvl w:val="0"/>
          <w:numId w:val="28"/>
        </w:numPr>
        <w:jc w:val="both"/>
        <w:rPr>
          <w:i/>
          <w:iCs/>
        </w:rPr>
      </w:pPr>
      <w:r w:rsidRPr="005D6A9E">
        <w:rPr>
          <w:i/>
          <w:iCs/>
        </w:rPr>
        <w:t>a mass or dimension exemption (permit) pursuant to section 122 of the Heavy Vehicle National Law; or</w:t>
      </w:r>
    </w:p>
    <w:p w14:paraId="1C56848A" w14:textId="4EC63091" w:rsidR="005D6A9E" w:rsidRPr="004A474C" w:rsidRDefault="005D6A9E" w:rsidP="004A474C">
      <w:pPr>
        <w:pStyle w:val="ListParagraph"/>
        <w:numPr>
          <w:ilvl w:val="0"/>
          <w:numId w:val="28"/>
        </w:numPr>
        <w:jc w:val="both"/>
        <w:rPr>
          <w:i/>
          <w:iCs/>
        </w:rPr>
      </w:pPr>
      <w:r w:rsidRPr="005D6A9E">
        <w:rPr>
          <w:i/>
          <w:iCs/>
        </w:rPr>
        <w:t xml:space="preserve">an emergency exemption from compliance with </w:t>
      </w:r>
      <w:proofErr w:type="gramStart"/>
      <w:r w:rsidRPr="005D6A9E">
        <w:rPr>
          <w:i/>
          <w:iCs/>
        </w:rPr>
        <w:t>particular requirements</w:t>
      </w:r>
      <w:proofErr w:type="gramEnd"/>
      <w:r w:rsidRPr="005D6A9E">
        <w:rPr>
          <w:i/>
          <w:iCs/>
        </w:rPr>
        <w:t xml:space="preserve"> in an emergency, pursuant to se</w:t>
      </w:r>
      <w:r w:rsidR="002E16F3">
        <w:rPr>
          <w:i/>
          <w:iCs/>
        </w:rPr>
        <w:t>c</w:t>
      </w:r>
      <w:r w:rsidRPr="005D6A9E">
        <w:rPr>
          <w:i/>
          <w:iCs/>
        </w:rPr>
        <w:t>tion 197 of the Heavy Vehicle National Law.</w:t>
      </w:r>
    </w:p>
    <w:p w14:paraId="7704A7EA" w14:textId="7D5EDBA5" w:rsidR="006B627C" w:rsidRPr="00D34295" w:rsidRDefault="006B627C" w:rsidP="00D34295">
      <w:pPr>
        <w:ind w:left="1440"/>
        <w:contextualSpacing/>
        <w:jc w:val="both"/>
        <w:rPr>
          <w:i/>
          <w:iCs/>
        </w:rPr>
      </w:pPr>
      <w:r w:rsidRPr="00147FF6">
        <w:rPr>
          <w:i/>
          <w:iCs/>
        </w:rPr>
        <w:t>This Notice replaces the Victoria Class 1 Emergency Management Mass &amp; Dimension Exemption Notice 2018 (No.2)</w:t>
      </w:r>
      <w:r w:rsidR="00B07C7F">
        <w:rPr>
          <w:i/>
          <w:iCs/>
        </w:rPr>
        <w:t>.</w:t>
      </w:r>
    </w:p>
    <w:p w14:paraId="1531E156" w14:textId="402F2A4C" w:rsidR="006B627C" w:rsidRPr="00147FF6" w:rsidRDefault="006B627C" w:rsidP="00147FF6">
      <w:pPr>
        <w:pStyle w:val="ListParagraph"/>
        <w:numPr>
          <w:ilvl w:val="0"/>
          <w:numId w:val="2"/>
        </w:numPr>
        <w:jc w:val="both"/>
        <w:rPr>
          <w:b/>
          <w:bCs/>
        </w:rPr>
      </w:pPr>
      <w:r w:rsidRPr="00147FF6">
        <w:rPr>
          <w:b/>
          <w:bCs/>
        </w:rPr>
        <w:t>Authorising Provision</w:t>
      </w:r>
    </w:p>
    <w:p w14:paraId="4C6F13AA" w14:textId="77777777" w:rsidR="00147FF6" w:rsidRDefault="00147FF6" w:rsidP="00147FF6">
      <w:pPr>
        <w:pStyle w:val="ListParagraph"/>
        <w:jc w:val="both"/>
      </w:pPr>
    </w:p>
    <w:p w14:paraId="48B9A417" w14:textId="4BF05ECB" w:rsidR="004A474C" w:rsidRDefault="006B627C" w:rsidP="004A474C">
      <w:pPr>
        <w:pStyle w:val="ListParagraph"/>
        <w:ind w:left="1080"/>
        <w:jc w:val="both"/>
      </w:pPr>
      <w:r>
        <w:t>This Notice is made under section 117 of the Heavy Vehicle National Law</w:t>
      </w:r>
      <w:r w:rsidR="00147FF6">
        <w:t>.</w:t>
      </w:r>
    </w:p>
    <w:p w14:paraId="6432A1F8" w14:textId="77777777" w:rsidR="00147FF6" w:rsidRDefault="00147FF6" w:rsidP="00147FF6">
      <w:pPr>
        <w:pStyle w:val="ListParagraph"/>
        <w:jc w:val="both"/>
      </w:pPr>
    </w:p>
    <w:p w14:paraId="4727D62D" w14:textId="630363E3" w:rsidR="006B627C" w:rsidRDefault="006B627C" w:rsidP="00147FF6">
      <w:pPr>
        <w:pStyle w:val="ListParagraph"/>
        <w:numPr>
          <w:ilvl w:val="0"/>
          <w:numId w:val="2"/>
        </w:numPr>
        <w:jc w:val="both"/>
        <w:rPr>
          <w:b/>
          <w:bCs/>
        </w:rPr>
      </w:pPr>
      <w:r w:rsidRPr="00147FF6">
        <w:rPr>
          <w:b/>
          <w:bCs/>
        </w:rPr>
        <w:t>Title</w:t>
      </w:r>
    </w:p>
    <w:p w14:paraId="0D5F65A7" w14:textId="77777777" w:rsidR="00147FF6" w:rsidRPr="00147FF6" w:rsidRDefault="00147FF6" w:rsidP="00147FF6">
      <w:pPr>
        <w:pStyle w:val="ListParagraph"/>
        <w:jc w:val="both"/>
        <w:rPr>
          <w:b/>
          <w:bCs/>
        </w:rPr>
      </w:pPr>
    </w:p>
    <w:p w14:paraId="5CC69FEC" w14:textId="7C38A78A" w:rsidR="00147FF6" w:rsidRDefault="006B627C" w:rsidP="00B07C7F">
      <w:pPr>
        <w:pStyle w:val="ListParagraph"/>
        <w:ind w:left="1080"/>
        <w:jc w:val="both"/>
      </w:pPr>
      <w:r>
        <w:t xml:space="preserve">This Notice may be cited as the </w:t>
      </w:r>
      <w:r w:rsidRPr="003C1087">
        <w:rPr>
          <w:i/>
          <w:iCs/>
        </w:rPr>
        <w:t>Victoria Class 1 Emergency Management Mass &amp; Dimension Exemption Notice 20</w:t>
      </w:r>
      <w:r w:rsidR="00147FF6" w:rsidRPr="003C1087">
        <w:rPr>
          <w:i/>
          <w:iCs/>
        </w:rPr>
        <w:t>23 (No.1)</w:t>
      </w:r>
      <w:r w:rsidR="00B07C7F">
        <w:rPr>
          <w:i/>
          <w:iCs/>
        </w:rPr>
        <w:t>.</w:t>
      </w:r>
    </w:p>
    <w:p w14:paraId="555CEBAB" w14:textId="77777777" w:rsidR="001C131F" w:rsidRDefault="001C131F" w:rsidP="00147FF6">
      <w:pPr>
        <w:pStyle w:val="ListParagraph"/>
        <w:ind w:left="1080"/>
        <w:jc w:val="both"/>
      </w:pPr>
    </w:p>
    <w:p w14:paraId="07772171" w14:textId="5DB335C0" w:rsidR="00B25A79" w:rsidRDefault="006B627C" w:rsidP="00147FF6">
      <w:pPr>
        <w:pStyle w:val="ListParagraph"/>
        <w:numPr>
          <w:ilvl w:val="0"/>
          <w:numId w:val="2"/>
        </w:numPr>
        <w:jc w:val="both"/>
        <w:rPr>
          <w:b/>
          <w:bCs/>
        </w:rPr>
      </w:pPr>
      <w:r w:rsidRPr="00147FF6">
        <w:rPr>
          <w:b/>
          <w:bCs/>
        </w:rPr>
        <w:t>Commencement</w:t>
      </w:r>
    </w:p>
    <w:p w14:paraId="16915A67" w14:textId="77777777" w:rsidR="00147FF6" w:rsidRPr="00147FF6" w:rsidRDefault="00147FF6" w:rsidP="00147FF6">
      <w:pPr>
        <w:pStyle w:val="ListParagraph"/>
        <w:jc w:val="both"/>
        <w:rPr>
          <w:b/>
          <w:bCs/>
        </w:rPr>
      </w:pPr>
    </w:p>
    <w:p w14:paraId="12DF0EA4" w14:textId="58155521" w:rsidR="00147FF6" w:rsidRDefault="006B627C" w:rsidP="00147FF6">
      <w:pPr>
        <w:pStyle w:val="ListParagraph"/>
        <w:ind w:left="1080"/>
        <w:jc w:val="both"/>
      </w:pPr>
      <w:r>
        <w:t xml:space="preserve">This Notice commences on </w:t>
      </w:r>
      <w:r w:rsidR="00101681">
        <w:t>2 August</w:t>
      </w:r>
      <w:r w:rsidR="00147FF6">
        <w:t xml:space="preserve"> 2023</w:t>
      </w:r>
      <w:r>
        <w:t>.</w:t>
      </w:r>
    </w:p>
    <w:p w14:paraId="083D6A08" w14:textId="77777777" w:rsidR="00147FF6" w:rsidRDefault="00147FF6" w:rsidP="00147FF6">
      <w:pPr>
        <w:pStyle w:val="ListParagraph"/>
        <w:ind w:left="1080"/>
        <w:jc w:val="both"/>
      </w:pPr>
    </w:p>
    <w:p w14:paraId="02F1A29D" w14:textId="2AB3CCAC" w:rsidR="00147FF6" w:rsidRDefault="00147FF6" w:rsidP="00147FF6">
      <w:pPr>
        <w:pStyle w:val="ListParagraph"/>
        <w:numPr>
          <w:ilvl w:val="0"/>
          <w:numId w:val="2"/>
        </w:numPr>
        <w:jc w:val="both"/>
        <w:rPr>
          <w:b/>
          <w:bCs/>
        </w:rPr>
      </w:pPr>
      <w:r w:rsidRPr="00147FF6">
        <w:rPr>
          <w:b/>
          <w:bCs/>
        </w:rPr>
        <w:t>Expiry</w:t>
      </w:r>
    </w:p>
    <w:p w14:paraId="2B891AC2" w14:textId="77777777" w:rsidR="00147FF6" w:rsidRPr="00147FF6" w:rsidRDefault="00147FF6" w:rsidP="00147FF6">
      <w:pPr>
        <w:pStyle w:val="ListParagraph"/>
        <w:jc w:val="both"/>
        <w:rPr>
          <w:b/>
          <w:bCs/>
        </w:rPr>
      </w:pPr>
    </w:p>
    <w:p w14:paraId="5C4CF58C" w14:textId="3395CA79" w:rsidR="001C131F" w:rsidRDefault="00147FF6" w:rsidP="001C131F">
      <w:pPr>
        <w:pStyle w:val="ListParagraph"/>
        <w:ind w:left="1080"/>
        <w:jc w:val="both"/>
      </w:pPr>
      <w:r>
        <w:t>This notice expires on 1</w:t>
      </w:r>
      <w:r w:rsidR="00101681">
        <w:t xml:space="preserve"> August</w:t>
      </w:r>
      <w:r>
        <w:t xml:space="preserve"> 202</w:t>
      </w:r>
      <w:r w:rsidR="00262931">
        <w:t>8</w:t>
      </w:r>
      <w:r>
        <w:t>.</w:t>
      </w:r>
    </w:p>
    <w:p w14:paraId="305DD436" w14:textId="77777777" w:rsidR="001C131F" w:rsidRDefault="001C131F" w:rsidP="001C131F">
      <w:pPr>
        <w:pStyle w:val="ListParagraph"/>
        <w:ind w:left="1080"/>
        <w:jc w:val="both"/>
      </w:pPr>
    </w:p>
    <w:p w14:paraId="7FA85196" w14:textId="77777777" w:rsidR="00E868A1" w:rsidRPr="00E868A1" w:rsidRDefault="00E868A1" w:rsidP="00E868A1">
      <w:pPr>
        <w:pStyle w:val="ListParagraph"/>
        <w:numPr>
          <w:ilvl w:val="0"/>
          <w:numId w:val="2"/>
        </w:numPr>
        <w:jc w:val="both"/>
        <w:rPr>
          <w:b/>
          <w:bCs/>
        </w:rPr>
      </w:pPr>
      <w:r w:rsidRPr="00E868A1">
        <w:rPr>
          <w:b/>
          <w:bCs/>
        </w:rPr>
        <w:t>Definitions</w:t>
      </w:r>
    </w:p>
    <w:p w14:paraId="573F5820" w14:textId="77777777" w:rsidR="00E868A1" w:rsidRDefault="00E868A1" w:rsidP="00E868A1">
      <w:pPr>
        <w:pStyle w:val="ListParagraph"/>
        <w:ind w:left="1080"/>
        <w:jc w:val="both"/>
      </w:pPr>
    </w:p>
    <w:p w14:paraId="1D9D6F22" w14:textId="77777777" w:rsidR="00E868A1" w:rsidRDefault="00E868A1" w:rsidP="00E868A1">
      <w:pPr>
        <w:pStyle w:val="ListParagraph"/>
        <w:numPr>
          <w:ilvl w:val="0"/>
          <w:numId w:val="5"/>
        </w:numPr>
        <w:jc w:val="both"/>
      </w:pPr>
      <w:r>
        <w:t>Unless otherwise stated, words or expressions used in this Notice have the same meanings as in the HVNL or regulations made under the HVNL.</w:t>
      </w:r>
    </w:p>
    <w:p w14:paraId="12033CAB" w14:textId="77777777" w:rsidR="00E868A1" w:rsidRDefault="00E868A1" w:rsidP="00E868A1">
      <w:pPr>
        <w:pStyle w:val="ListParagraph"/>
        <w:ind w:left="1080"/>
        <w:jc w:val="both"/>
      </w:pPr>
    </w:p>
    <w:p w14:paraId="6C6B05C8" w14:textId="72F72006" w:rsidR="00E868A1" w:rsidRDefault="00E868A1" w:rsidP="00E868A1">
      <w:pPr>
        <w:pStyle w:val="ListParagraph"/>
        <w:numPr>
          <w:ilvl w:val="0"/>
          <w:numId w:val="5"/>
        </w:numPr>
        <w:jc w:val="both"/>
      </w:pPr>
      <w:r>
        <w:t>In this Notice:</w:t>
      </w:r>
    </w:p>
    <w:p w14:paraId="60C9BE18" w14:textId="77777777" w:rsidR="00E868A1" w:rsidRDefault="00E868A1" w:rsidP="00E868A1">
      <w:pPr>
        <w:pStyle w:val="ListParagraph"/>
        <w:ind w:left="1080"/>
        <w:jc w:val="both"/>
      </w:pPr>
    </w:p>
    <w:p w14:paraId="2A413D79" w14:textId="0CB83CE8" w:rsidR="009A7B3A" w:rsidRDefault="00E868A1" w:rsidP="009A7B3A">
      <w:pPr>
        <w:pStyle w:val="ListParagraph"/>
        <w:ind w:left="1080"/>
        <w:jc w:val="both"/>
      </w:pPr>
      <w:r w:rsidRPr="00045E8C">
        <w:rPr>
          <w:b/>
          <w:bCs/>
          <w:i/>
          <w:iCs/>
        </w:rPr>
        <w:t xml:space="preserve">Controller </w:t>
      </w:r>
      <w:r w:rsidRPr="00045E8C">
        <w:t>means</w:t>
      </w:r>
      <w:r>
        <w:t xml:space="preserve"> the following roles defined in the </w:t>
      </w:r>
      <w:r w:rsidR="00674C53">
        <w:t xml:space="preserve">Victoria Emergency </w:t>
      </w:r>
      <w:r w:rsidR="009A7B3A">
        <w:t>O</w:t>
      </w:r>
      <w:r w:rsidR="00674C53">
        <w:t>perations Handbook</w:t>
      </w:r>
      <w:r>
        <w:t>:</w:t>
      </w:r>
    </w:p>
    <w:p w14:paraId="4F7D7330" w14:textId="77777777" w:rsidR="009A7B3A" w:rsidRDefault="009A7B3A" w:rsidP="009A7B3A">
      <w:pPr>
        <w:pStyle w:val="ListParagraph"/>
        <w:ind w:left="1080"/>
        <w:jc w:val="both"/>
      </w:pPr>
    </w:p>
    <w:p w14:paraId="14BE2AC9" w14:textId="1AB8CA69" w:rsidR="00E868A1" w:rsidRDefault="00E868A1" w:rsidP="009A7B3A">
      <w:pPr>
        <w:pStyle w:val="ListParagraph"/>
        <w:numPr>
          <w:ilvl w:val="0"/>
          <w:numId w:val="6"/>
        </w:numPr>
        <w:jc w:val="both"/>
      </w:pPr>
      <w:r>
        <w:t>Regional Controller</w:t>
      </w:r>
    </w:p>
    <w:p w14:paraId="5E7C0C1A" w14:textId="3E39ED0B" w:rsidR="00E868A1" w:rsidRDefault="00E868A1" w:rsidP="009A7B3A">
      <w:pPr>
        <w:pStyle w:val="ListParagraph"/>
        <w:numPr>
          <w:ilvl w:val="0"/>
          <w:numId w:val="6"/>
        </w:numPr>
        <w:jc w:val="both"/>
      </w:pPr>
      <w:r>
        <w:t>Incident Controller</w:t>
      </w:r>
    </w:p>
    <w:p w14:paraId="1CA32ADE" w14:textId="77777777" w:rsidR="00F56156" w:rsidRDefault="00F56156" w:rsidP="009A7B3A">
      <w:pPr>
        <w:pStyle w:val="ListParagraph"/>
        <w:numPr>
          <w:ilvl w:val="0"/>
          <w:numId w:val="6"/>
        </w:numPr>
        <w:jc w:val="both"/>
      </w:pPr>
      <w:r w:rsidRPr="00F56156">
        <w:t>Zone Controller</w:t>
      </w:r>
    </w:p>
    <w:p w14:paraId="1E35DD1E" w14:textId="77777777" w:rsidR="00F56156" w:rsidRDefault="00F56156" w:rsidP="009A7B3A">
      <w:pPr>
        <w:pStyle w:val="ListParagraph"/>
        <w:numPr>
          <w:ilvl w:val="0"/>
          <w:numId w:val="6"/>
        </w:numPr>
        <w:jc w:val="both"/>
      </w:pPr>
      <w:r w:rsidRPr="00F56156">
        <w:t>Area of Operations Controller</w:t>
      </w:r>
    </w:p>
    <w:p w14:paraId="57A3A2F0" w14:textId="0E9C5357" w:rsidR="00F56156" w:rsidRDefault="00F56156" w:rsidP="009A7B3A">
      <w:pPr>
        <w:pStyle w:val="ListParagraph"/>
        <w:numPr>
          <w:ilvl w:val="0"/>
          <w:numId w:val="6"/>
        </w:numPr>
        <w:jc w:val="both"/>
      </w:pPr>
      <w:r w:rsidRPr="00F56156">
        <w:t>State Response Controller</w:t>
      </w:r>
    </w:p>
    <w:p w14:paraId="75DCED0E" w14:textId="77777777" w:rsidR="00E868A1" w:rsidRDefault="00E868A1" w:rsidP="00E868A1">
      <w:pPr>
        <w:pStyle w:val="ListParagraph"/>
        <w:ind w:left="1080"/>
        <w:jc w:val="both"/>
      </w:pPr>
    </w:p>
    <w:p w14:paraId="2A39FAA8" w14:textId="270456D7" w:rsidR="00CC7245" w:rsidRDefault="00CC7245" w:rsidP="00E868A1">
      <w:pPr>
        <w:pStyle w:val="ListParagraph"/>
        <w:ind w:left="1080"/>
        <w:jc w:val="both"/>
      </w:pPr>
      <w:r w:rsidRPr="0033026B">
        <w:rPr>
          <w:b/>
          <w:bCs/>
          <w:i/>
          <w:iCs/>
        </w:rPr>
        <w:t>Fire truck</w:t>
      </w:r>
      <w:r w:rsidR="0033026B">
        <w:t xml:space="preserve"> means</w:t>
      </w:r>
      <w:r w:rsidR="0043354F">
        <w:t xml:space="preserve"> a rigid </w:t>
      </w:r>
      <w:r w:rsidR="00C37E0F">
        <w:t>vehicle designed and constructed for the purpose of firefighting.</w:t>
      </w:r>
    </w:p>
    <w:p w14:paraId="5E729B68" w14:textId="77777777" w:rsidR="0033026B" w:rsidRDefault="0033026B" w:rsidP="00E868A1">
      <w:pPr>
        <w:pStyle w:val="ListParagraph"/>
        <w:ind w:left="1080"/>
        <w:jc w:val="both"/>
      </w:pPr>
    </w:p>
    <w:p w14:paraId="377F275A" w14:textId="35333BC4" w:rsidR="00E868A1" w:rsidRDefault="00D71931" w:rsidP="00E868A1">
      <w:pPr>
        <w:pStyle w:val="ListParagraph"/>
        <w:ind w:left="1080"/>
        <w:jc w:val="both"/>
      </w:pPr>
      <w:r w:rsidRPr="00D71931">
        <w:rPr>
          <w:b/>
          <w:bCs/>
          <w:i/>
          <w:iCs/>
        </w:rPr>
        <w:t>Victoria Emergency Operations Handbook</w:t>
      </w:r>
      <w:r w:rsidR="00E868A1">
        <w:t xml:space="preserve"> means the </w:t>
      </w:r>
      <w:r w:rsidR="000C4EF5">
        <w:t>document of that named published by</w:t>
      </w:r>
      <w:r w:rsidR="00E868A1">
        <w:t xml:space="preserve"> Emergency Management Victoria</w:t>
      </w:r>
      <w:r w:rsidR="000C4EF5">
        <w:t xml:space="preserve"> as amended from time to time</w:t>
      </w:r>
      <w:r w:rsidR="00850E96">
        <w:t>.</w:t>
      </w:r>
    </w:p>
    <w:p w14:paraId="5868195E" w14:textId="77777777" w:rsidR="00E868A1" w:rsidRDefault="00E868A1" w:rsidP="00E868A1">
      <w:pPr>
        <w:pStyle w:val="ListParagraph"/>
        <w:ind w:left="1080"/>
        <w:jc w:val="both"/>
      </w:pPr>
    </w:p>
    <w:p w14:paraId="5104A928" w14:textId="6D31E734" w:rsidR="00147FF6" w:rsidRDefault="00E868A1" w:rsidP="00D24FB1">
      <w:pPr>
        <w:pStyle w:val="ListParagraph"/>
        <w:ind w:left="1080"/>
        <w:jc w:val="both"/>
      </w:pPr>
      <w:r w:rsidRPr="009A7B3A">
        <w:rPr>
          <w:b/>
          <w:bCs/>
          <w:i/>
          <w:iCs/>
        </w:rPr>
        <w:t xml:space="preserve">State Emergency </w:t>
      </w:r>
      <w:r w:rsidR="00B900B9" w:rsidRPr="009A7B3A">
        <w:rPr>
          <w:b/>
          <w:bCs/>
          <w:i/>
          <w:iCs/>
        </w:rPr>
        <w:t>Management</w:t>
      </w:r>
      <w:r w:rsidRPr="009A7B3A">
        <w:rPr>
          <w:b/>
          <w:bCs/>
          <w:i/>
          <w:iCs/>
        </w:rPr>
        <w:t xml:space="preserve"> Plan</w:t>
      </w:r>
      <w:r>
        <w:t xml:space="preserve"> means </w:t>
      </w:r>
      <w:r w:rsidR="00B778D6">
        <w:t>a</w:t>
      </w:r>
      <w:r>
        <w:t xml:space="preserve"> plan prepared and reviewed in accordance with Part </w:t>
      </w:r>
      <w:r w:rsidR="003915D1">
        <w:t>6A</w:t>
      </w:r>
      <w:r>
        <w:t xml:space="preserve"> of the </w:t>
      </w:r>
      <w:r w:rsidRPr="004422DE">
        <w:rPr>
          <w:i/>
          <w:iCs/>
        </w:rPr>
        <w:t>Emergency Management Act 2013 (Vic</w:t>
      </w:r>
      <w:r w:rsidR="00637780" w:rsidRPr="004422DE">
        <w:rPr>
          <w:i/>
          <w:iCs/>
        </w:rPr>
        <w:t>)</w:t>
      </w:r>
      <w:r w:rsidR="00637780">
        <w:t>.</w:t>
      </w:r>
    </w:p>
    <w:p w14:paraId="7FB89FC2" w14:textId="77777777" w:rsidR="003075C5" w:rsidRDefault="003075C5" w:rsidP="00E868A1">
      <w:pPr>
        <w:pStyle w:val="ListParagraph"/>
        <w:ind w:left="1080"/>
        <w:jc w:val="both"/>
      </w:pPr>
    </w:p>
    <w:p w14:paraId="6DD24D33" w14:textId="18288E29" w:rsidR="003075C5" w:rsidRPr="00FB2480" w:rsidRDefault="008C7B3D" w:rsidP="00FB2480">
      <w:pPr>
        <w:pStyle w:val="ListParagraph"/>
        <w:numPr>
          <w:ilvl w:val="0"/>
          <w:numId w:val="2"/>
        </w:numPr>
        <w:jc w:val="both"/>
        <w:rPr>
          <w:b/>
          <w:bCs/>
        </w:rPr>
      </w:pPr>
      <w:r w:rsidRPr="00FB2480">
        <w:rPr>
          <w:b/>
          <w:bCs/>
        </w:rPr>
        <w:t>Application</w:t>
      </w:r>
    </w:p>
    <w:p w14:paraId="1A0F88E6" w14:textId="77777777" w:rsidR="008C7B3D" w:rsidRDefault="008C7B3D" w:rsidP="00E868A1">
      <w:pPr>
        <w:pStyle w:val="ListParagraph"/>
        <w:ind w:left="1080"/>
        <w:jc w:val="both"/>
      </w:pPr>
    </w:p>
    <w:p w14:paraId="6306B63D" w14:textId="0CBA148D" w:rsidR="008C7B3D" w:rsidRDefault="008C7B3D" w:rsidP="00FB2480">
      <w:pPr>
        <w:pStyle w:val="ListParagraph"/>
        <w:numPr>
          <w:ilvl w:val="0"/>
          <w:numId w:val="8"/>
        </w:numPr>
        <w:jc w:val="both"/>
      </w:pPr>
      <w:r>
        <w:t xml:space="preserve">This notice applies to a class </w:t>
      </w:r>
      <w:r w:rsidR="00CD2CFC">
        <w:t>1</w:t>
      </w:r>
      <w:r>
        <w:t xml:space="preserve"> heavy vehicle </w:t>
      </w:r>
      <w:r w:rsidR="002D5F11">
        <w:t>that is engaged by, or operating under the direction of, a controller for the purpose of a State Emergency Management Plan</w:t>
      </w:r>
      <w:r w:rsidR="00392F12">
        <w:t>, and is:</w:t>
      </w:r>
    </w:p>
    <w:p w14:paraId="061B97AA" w14:textId="77777777" w:rsidR="00D41DE6" w:rsidRDefault="00D41DE6" w:rsidP="00E868A1">
      <w:pPr>
        <w:pStyle w:val="ListParagraph"/>
        <w:ind w:left="1080"/>
        <w:jc w:val="both"/>
      </w:pPr>
    </w:p>
    <w:p w14:paraId="77D4BFCD" w14:textId="3AE5FBF9" w:rsidR="00D41DE6" w:rsidRDefault="00D41DE6" w:rsidP="00D24FB1">
      <w:pPr>
        <w:pStyle w:val="ListParagraph"/>
        <w:numPr>
          <w:ilvl w:val="0"/>
          <w:numId w:val="9"/>
        </w:numPr>
        <w:jc w:val="both"/>
      </w:pPr>
      <w:r>
        <w:t xml:space="preserve">a </w:t>
      </w:r>
      <w:r w:rsidR="002E16F3">
        <w:t>special purpose vehicle</w:t>
      </w:r>
      <w:r>
        <w:t xml:space="preserve">; or </w:t>
      </w:r>
    </w:p>
    <w:p w14:paraId="41746A75" w14:textId="1D0A7E46" w:rsidR="00D41DE6" w:rsidRDefault="00D41DE6" w:rsidP="00D24FB1">
      <w:pPr>
        <w:pStyle w:val="ListParagraph"/>
        <w:numPr>
          <w:ilvl w:val="0"/>
          <w:numId w:val="9"/>
        </w:numPr>
        <w:jc w:val="both"/>
      </w:pPr>
      <w:r>
        <w:t xml:space="preserve">a </w:t>
      </w:r>
      <w:r w:rsidR="001C4433">
        <w:t>load carrying vehicle.</w:t>
      </w:r>
    </w:p>
    <w:p w14:paraId="54E9EBDB" w14:textId="77777777" w:rsidR="00371717" w:rsidRDefault="00371717" w:rsidP="00E868A1">
      <w:pPr>
        <w:pStyle w:val="ListParagraph"/>
        <w:ind w:left="1080"/>
        <w:jc w:val="both"/>
      </w:pPr>
    </w:p>
    <w:p w14:paraId="2DF3F8E0" w14:textId="6D6A78F7" w:rsidR="00374A07" w:rsidRDefault="00392F12" w:rsidP="00FB2480">
      <w:pPr>
        <w:pStyle w:val="ListParagraph"/>
        <w:numPr>
          <w:ilvl w:val="0"/>
          <w:numId w:val="8"/>
        </w:numPr>
        <w:jc w:val="both"/>
      </w:pPr>
      <w:r>
        <w:t xml:space="preserve">This notice applies to a heavy vehicle that is operating unladen </w:t>
      </w:r>
      <w:r w:rsidR="008B6A33">
        <w:t>providing it meets the requirements of 1).</w:t>
      </w:r>
    </w:p>
    <w:p w14:paraId="713DB154" w14:textId="77777777" w:rsidR="008B6A33" w:rsidRDefault="008B6A33" w:rsidP="00AE7C56">
      <w:pPr>
        <w:pStyle w:val="ListParagraph"/>
        <w:ind w:left="1080"/>
        <w:jc w:val="both"/>
      </w:pPr>
    </w:p>
    <w:p w14:paraId="722435D1" w14:textId="7CB76F5B" w:rsidR="008B6A33" w:rsidRDefault="008B6A33" w:rsidP="00FB2480">
      <w:pPr>
        <w:pStyle w:val="ListParagraph"/>
        <w:numPr>
          <w:ilvl w:val="0"/>
          <w:numId w:val="8"/>
        </w:numPr>
        <w:jc w:val="both"/>
      </w:pPr>
      <w:r>
        <w:t>This notice applies in Victoria.</w:t>
      </w:r>
    </w:p>
    <w:p w14:paraId="11CCBBA4" w14:textId="77777777" w:rsidR="008B6A33" w:rsidRDefault="008B6A33" w:rsidP="00FB2480">
      <w:pPr>
        <w:pStyle w:val="ListParagraph"/>
        <w:ind w:left="1080"/>
        <w:jc w:val="both"/>
      </w:pPr>
    </w:p>
    <w:p w14:paraId="5BC2BBCD" w14:textId="7D30DB8E" w:rsidR="004A474C" w:rsidRDefault="008B6A33" w:rsidP="004A474C">
      <w:pPr>
        <w:pStyle w:val="ListParagraph"/>
        <w:numPr>
          <w:ilvl w:val="0"/>
          <w:numId w:val="8"/>
        </w:numPr>
        <w:jc w:val="both"/>
      </w:pPr>
      <w:r>
        <w:lastRenderedPageBreak/>
        <w:t>A vehicle to which this section applies, and that complies with all relevant conditions of this notice, is an eligible vehicle.</w:t>
      </w:r>
    </w:p>
    <w:p w14:paraId="5F264F72" w14:textId="77777777" w:rsidR="004A474C" w:rsidRDefault="004A474C" w:rsidP="004A474C">
      <w:pPr>
        <w:pStyle w:val="ListParagraph"/>
        <w:ind w:left="1080"/>
        <w:jc w:val="both"/>
      </w:pPr>
    </w:p>
    <w:p w14:paraId="142A9D9E" w14:textId="5C685D5B" w:rsidR="00E13FDA" w:rsidRDefault="00E13FDA" w:rsidP="00E13FDA">
      <w:pPr>
        <w:pStyle w:val="ListParagraph"/>
        <w:numPr>
          <w:ilvl w:val="0"/>
          <w:numId w:val="2"/>
        </w:numPr>
        <w:jc w:val="both"/>
        <w:rPr>
          <w:b/>
          <w:bCs/>
        </w:rPr>
      </w:pPr>
      <w:r w:rsidRPr="00E13FDA">
        <w:rPr>
          <w:b/>
          <w:bCs/>
        </w:rPr>
        <w:t xml:space="preserve">Exemption- </w:t>
      </w:r>
      <w:r w:rsidR="00797475">
        <w:rPr>
          <w:b/>
          <w:bCs/>
        </w:rPr>
        <w:t>Mass</w:t>
      </w:r>
      <w:r w:rsidRPr="00E13FDA">
        <w:rPr>
          <w:b/>
          <w:bCs/>
        </w:rPr>
        <w:t xml:space="preserve"> Requirements</w:t>
      </w:r>
    </w:p>
    <w:p w14:paraId="721F4C48" w14:textId="77777777" w:rsidR="00B37F26" w:rsidRPr="00E13FDA" w:rsidRDefault="00B37F26" w:rsidP="00B37F26">
      <w:pPr>
        <w:pStyle w:val="ListParagraph"/>
        <w:jc w:val="both"/>
        <w:rPr>
          <w:b/>
          <w:bCs/>
        </w:rPr>
      </w:pPr>
    </w:p>
    <w:p w14:paraId="3AC07C1C" w14:textId="77777777" w:rsidR="00552271" w:rsidRDefault="00E13FDA" w:rsidP="00552271">
      <w:pPr>
        <w:pStyle w:val="ListParagraph"/>
        <w:numPr>
          <w:ilvl w:val="0"/>
          <w:numId w:val="10"/>
        </w:numPr>
        <w:jc w:val="both"/>
      </w:pPr>
      <w:r>
        <w:t xml:space="preserve">An </w:t>
      </w:r>
      <w:r w:rsidR="00552271">
        <w:t xml:space="preserve">eligible vehicle is exempt from the following mass requirements under Schedule 1 of the </w:t>
      </w:r>
      <w:r w:rsidR="00552271" w:rsidRPr="003909C3">
        <w:rPr>
          <w:i/>
          <w:iCs/>
        </w:rPr>
        <w:t>Heavy Vehicle (Mass Dimension and Loading) National Regulation</w:t>
      </w:r>
      <w:r w:rsidR="00552271">
        <w:t xml:space="preserve"> (MDL Regulation):</w:t>
      </w:r>
    </w:p>
    <w:p w14:paraId="05660043" w14:textId="77777777" w:rsidR="00552271" w:rsidRDefault="00552271" w:rsidP="00552271">
      <w:pPr>
        <w:pStyle w:val="ListParagraph"/>
        <w:ind w:left="1080"/>
        <w:jc w:val="both"/>
      </w:pPr>
    </w:p>
    <w:p w14:paraId="3524C5C2" w14:textId="15358098" w:rsidR="00552271" w:rsidRDefault="00552271" w:rsidP="00552271">
      <w:pPr>
        <w:pStyle w:val="ListParagraph"/>
        <w:numPr>
          <w:ilvl w:val="0"/>
          <w:numId w:val="12"/>
        </w:numPr>
        <w:jc w:val="both"/>
      </w:pPr>
      <w:r>
        <w:t xml:space="preserve">section 2 – Mass limits for a single vehicle or combination </w:t>
      </w:r>
    </w:p>
    <w:p w14:paraId="5EC37EE3" w14:textId="6B292AD0" w:rsidR="00552271" w:rsidRDefault="00552271" w:rsidP="00552271">
      <w:pPr>
        <w:pStyle w:val="ListParagraph"/>
        <w:numPr>
          <w:ilvl w:val="0"/>
          <w:numId w:val="12"/>
        </w:numPr>
        <w:jc w:val="both"/>
      </w:pPr>
      <w:r>
        <w:t>section 3 – Mass limits for a vehicle with a particular axle space less than 2.5m</w:t>
      </w:r>
    </w:p>
    <w:p w14:paraId="0CE7BB63" w14:textId="78C5B16F" w:rsidR="00552271" w:rsidRDefault="00552271" w:rsidP="00552271">
      <w:pPr>
        <w:pStyle w:val="ListParagraph"/>
        <w:numPr>
          <w:ilvl w:val="0"/>
          <w:numId w:val="12"/>
        </w:numPr>
        <w:jc w:val="both"/>
      </w:pPr>
      <w:r>
        <w:t>section 4 – Mass limits for a single axle or axle group</w:t>
      </w:r>
    </w:p>
    <w:p w14:paraId="3704A26C" w14:textId="7C1F8CC6" w:rsidR="00E13FDA" w:rsidRDefault="00552271" w:rsidP="00552271">
      <w:pPr>
        <w:pStyle w:val="ListParagraph"/>
        <w:numPr>
          <w:ilvl w:val="0"/>
          <w:numId w:val="12"/>
        </w:numPr>
        <w:jc w:val="both"/>
      </w:pPr>
      <w:r>
        <w:t xml:space="preserve">section 5 – Mass limits relating to axle spacing </w:t>
      </w:r>
      <w:proofErr w:type="gramStart"/>
      <w:r>
        <w:t>generally</w:t>
      </w:r>
      <w:proofErr w:type="gramEnd"/>
    </w:p>
    <w:p w14:paraId="02525111" w14:textId="77777777" w:rsidR="00552271" w:rsidRDefault="00552271" w:rsidP="00552271">
      <w:pPr>
        <w:pStyle w:val="ListParagraph"/>
        <w:ind w:left="1080"/>
        <w:jc w:val="both"/>
      </w:pPr>
    </w:p>
    <w:p w14:paraId="2CE9C4E6" w14:textId="6FB87E70" w:rsidR="00D81F6E" w:rsidRDefault="00D81F6E" w:rsidP="00D81F6E">
      <w:pPr>
        <w:pStyle w:val="ListParagraph"/>
        <w:numPr>
          <w:ilvl w:val="0"/>
          <w:numId w:val="10"/>
        </w:numPr>
        <w:jc w:val="both"/>
      </w:pPr>
      <w:r>
        <w:t xml:space="preserve">An exemption in 1) only applies to an eligible vehicle to the extent that specific conditional mass limits are </w:t>
      </w:r>
      <w:r w:rsidRPr="007A5770">
        <w:t>provided in sections 9, 10</w:t>
      </w:r>
      <w:r w:rsidR="007A5770" w:rsidRPr="007A5770">
        <w:t xml:space="preserve"> and</w:t>
      </w:r>
      <w:r w:rsidRPr="007A5770">
        <w:t xml:space="preserve"> 11 of this</w:t>
      </w:r>
      <w:r>
        <w:t xml:space="preserve"> Notice</w:t>
      </w:r>
      <w:r w:rsidR="007A5770">
        <w:t>.</w:t>
      </w:r>
    </w:p>
    <w:p w14:paraId="1F3366E6" w14:textId="77777777" w:rsidR="00D81F6E" w:rsidRDefault="00D81F6E" w:rsidP="00D81F6E">
      <w:pPr>
        <w:pStyle w:val="ListParagraph"/>
        <w:ind w:left="1080"/>
        <w:jc w:val="both"/>
      </w:pPr>
    </w:p>
    <w:p w14:paraId="11FF5A01" w14:textId="77777777" w:rsidR="00D81F6E" w:rsidRDefault="00D81F6E" w:rsidP="00D81F6E">
      <w:pPr>
        <w:pStyle w:val="ListParagraph"/>
        <w:numPr>
          <w:ilvl w:val="0"/>
          <w:numId w:val="10"/>
        </w:numPr>
        <w:jc w:val="both"/>
      </w:pPr>
      <w:r>
        <w:t>If, in relation to a particular vehicle or component, this Notice provides for two or more mass limits imposing different mass limits that apply in the same circumstances, the lower mass limit applies, and the other mass limit must be disregarded.</w:t>
      </w:r>
    </w:p>
    <w:p w14:paraId="0C2C80AE" w14:textId="77777777" w:rsidR="00D81F6E" w:rsidRDefault="00D81F6E" w:rsidP="00D81F6E">
      <w:pPr>
        <w:pStyle w:val="ListParagraph"/>
        <w:ind w:left="1080"/>
        <w:jc w:val="both"/>
      </w:pPr>
    </w:p>
    <w:p w14:paraId="22E76444" w14:textId="22513C0D" w:rsidR="00D81F6E" w:rsidRDefault="00D81F6E" w:rsidP="00D81F6E">
      <w:pPr>
        <w:pStyle w:val="ListParagraph"/>
        <w:numPr>
          <w:ilvl w:val="0"/>
          <w:numId w:val="10"/>
        </w:numPr>
        <w:jc w:val="both"/>
      </w:pPr>
      <w:r>
        <w:t>In any case, any additional or conditional mass allowed under this Notice may not exceed manufacturer mass limits pursuant to section 8 of the MDL Regulation.</w:t>
      </w:r>
    </w:p>
    <w:p w14:paraId="260F8AD1" w14:textId="77777777" w:rsidR="00F90A87" w:rsidRDefault="00F90A87" w:rsidP="00F90A87">
      <w:pPr>
        <w:pStyle w:val="ListParagraph"/>
        <w:ind w:left="1080"/>
        <w:jc w:val="both"/>
      </w:pPr>
    </w:p>
    <w:p w14:paraId="3D803D23" w14:textId="31FE301D" w:rsidR="00F90A87" w:rsidRDefault="00F90A87" w:rsidP="00F90A87">
      <w:pPr>
        <w:pStyle w:val="ListParagraph"/>
        <w:numPr>
          <w:ilvl w:val="0"/>
          <w:numId w:val="2"/>
        </w:numPr>
        <w:jc w:val="both"/>
        <w:rPr>
          <w:b/>
          <w:bCs/>
        </w:rPr>
      </w:pPr>
      <w:r w:rsidRPr="00F90A87">
        <w:rPr>
          <w:b/>
          <w:bCs/>
        </w:rPr>
        <w:t xml:space="preserve">Conditions – Maximum </w:t>
      </w:r>
      <w:r w:rsidR="003909C3">
        <w:rPr>
          <w:b/>
          <w:bCs/>
        </w:rPr>
        <w:t>g</w:t>
      </w:r>
      <w:r w:rsidRPr="00F90A87">
        <w:rPr>
          <w:b/>
          <w:bCs/>
        </w:rPr>
        <w:t xml:space="preserve">ross </w:t>
      </w:r>
      <w:r w:rsidR="003909C3">
        <w:rPr>
          <w:b/>
          <w:bCs/>
        </w:rPr>
        <w:t>c</w:t>
      </w:r>
      <w:r w:rsidRPr="00F90A87">
        <w:rPr>
          <w:b/>
          <w:bCs/>
        </w:rPr>
        <w:t xml:space="preserve">ombination </w:t>
      </w:r>
      <w:r w:rsidR="003909C3">
        <w:rPr>
          <w:b/>
          <w:bCs/>
        </w:rPr>
        <w:t>m</w:t>
      </w:r>
      <w:r w:rsidRPr="00F90A87">
        <w:rPr>
          <w:b/>
          <w:bCs/>
        </w:rPr>
        <w:t>ass</w:t>
      </w:r>
    </w:p>
    <w:p w14:paraId="7D7206FC" w14:textId="77777777" w:rsidR="00F90A87" w:rsidRPr="00F90A87" w:rsidRDefault="00F90A87" w:rsidP="00F90A87">
      <w:pPr>
        <w:pStyle w:val="ListParagraph"/>
        <w:jc w:val="both"/>
        <w:rPr>
          <w:b/>
          <w:bCs/>
        </w:rPr>
      </w:pPr>
    </w:p>
    <w:p w14:paraId="178B1274" w14:textId="575AEBAF" w:rsidR="00F90A87" w:rsidRDefault="00F90A87" w:rsidP="00F90A87">
      <w:pPr>
        <w:pStyle w:val="ListParagraph"/>
        <w:ind w:left="1080"/>
        <w:jc w:val="both"/>
      </w:pPr>
      <w:r>
        <w:t xml:space="preserve">The </w:t>
      </w:r>
      <w:r w:rsidR="00246B06">
        <w:t>g</w:t>
      </w:r>
      <w:r>
        <w:t xml:space="preserve">ross </w:t>
      </w:r>
      <w:r w:rsidR="00246B06">
        <w:t>c</w:t>
      </w:r>
      <w:r>
        <w:t xml:space="preserve">ombination </w:t>
      </w:r>
      <w:r w:rsidR="00246B06">
        <w:t>m</w:t>
      </w:r>
      <w:r>
        <w:t xml:space="preserve">ass of an eligible vehicle operating under this </w:t>
      </w:r>
      <w:r w:rsidR="00246B06">
        <w:t>n</w:t>
      </w:r>
      <w:r>
        <w:t>otice must not exceed 78.5t.</w:t>
      </w:r>
    </w:p>
    <w:p w14:paraId="0CB7E515" w14:textId="77777777" w:rsidR="00F90A87" w:rsidRDefault="00F90A87" w:rsidP="00F90A87">
      <w:pPr>
        <w:pStyle w:val="ListParagraph"/>
        <w:ind w:left="1080"/>
        <w:jc w:val="both"/>
      </w:pPr>
    </w:p>
    <w:p w14:paraId="0501272D" w14:textId="31599B9A" w:rsidR="00F90A87" w:rsidRDefault="00F90A87" w:rsidP="00F90A87">
      <w:pPr>
        <w:pStyle w:val="ListParagraph"/>
        <w:numPr>
          <w:ilvl w:val="0"/>
          <w:numId w:val="2"/>
        </w:numPr>
        <w:jc w:val="both"/>
        <w:rPr>
          <w:b/>
          <w:bCs/>
        </w:rPr>
      </w:pPr>
      <w:r w:rsidRPr="00F90A87">
        <w:rPr>
          <w:b/>
          <w:bCs/>
        </w:rPr>
        <w:t>Conditions – Maximum Mass and Axle Spacing</w:t>
      </w:r>
    </w:p>
    <w:p w14:paraId="54CE839E" w14:textId="77777777" w:rsidR="00F90A87" w:rsidRPr="00F90A87" w:rsidRDefault="00F90A87" w:rsidP="00F90A87">
      <w:pPr>
        <w:pStyle w:val="ListParagraph"/>
        <w:jc w:val="both"/>
        <w:rPr>
          <w:b/>
          <w:bCs/>
        </w:rPr>
      </w:pPr>
    </w:p>
    <w:p w14:paraId="0E502C40" w14:textId="164F1669" w:rsidR="00F90A87" w:rsidRDefault="00F90A87" w:rsidP="00140951">
      <w:pPr>
        <w:pStyle w:val="ListParagraph"/>
        <w:numPr>
          <w:ilvl w:val="0"/>
          <w:numId w:val="13"/>
        </w:numPr>
        <w:jc w:val="both"/>
      </w:pPr>
      <w:r>
        <w:t>The mass on an axle or axle group of the prime mover or dolly or trailer in an eligible</w:t>
      </w:r>
      <w:r w:rsidR="00E60303">
        <w:t xml:space="preserve"> </w:t>
      </w:r>
      <w:r w:rsidR="0046659E">
        <w:t xml:space="preserve">load carrying </w:t>
      </w:r>
      <w:r>
        <w:t>vehicle</w:t>
      </w:r>
      <w:r w:rsidR="0046659E">
        <w:t xml:space="preserve"> </w:t>
      </w:r>
      <w:r>
        <w:t>must not be more than the mass limit for the axle group configuration and minimum axle group ground contact width as stated below in Table 1.</w:t>
      </w:r>
    </w:p>
    <w:p w14:paraId="176FE1F1" w14:textId="77777777" w:rsidR="0015279C" w:rsidRDefault="0015279C" w:rsidP="00E60ED4">
      <w:pPr>
        <w:pStyle w:val="ListParagraph"/>
        <w:ind w:left="1080"/>
        <w:jc w:val="both"/>
      </w:pPr>
    </w:p>
    <w:p w14:paraId="1F8FAB3F" w14:textId="1029D4F6" w:rsidR="008065B2" w:rsidRPr="0015279C" w:rsidRDefault="0015279C" w:rsidP="0015279C">
      <w:pPr>
        <w:pStyle w:val="ListParagraph"/>
        <w:ind w:left="1080"/>
        <w:jc w:val="both"/>
        <w:rPr>
          <w:b/>
          <w:bCs/>
        </w:rPr>
      </w:pPr>
      <w:r w:rsidRPr="0015279C">
        <w:rPr>
          <w:b/>
          <w:bCs/>
        </w:rPr>
        <w:t>Table 1</w:t>
      </w:r>
      <w:r>
        <w:rPr>
          <w:b/>
          <w:bCs/>
        </w:rPr>
        <w:t>:</w:t>
      </w:r>
      <w:r w:rsidRPr="0015279C">
        <w:rPr>
          <w:b/>
          <w:bCs/>
        </w:rPr>
        <w:t xml:space="preserve"> Total axle mass of an axle or axle group of the prime mover or dolly or trailer</w:t>
      </w:r>
    </w:p>
    <w:tbl>
      <w:tblPr>
        <w:tblStyle w:val="TableGrid"/>
        <w:tblW w:w="0" w:type="auto"/>
        <w:tblInd w:w="1080" w:type="dxa"/>
        <w:tblLook w:val="04A0" w:firstRow="1" w:lastRow="0" w:firstColumn="1" w:lastColumn="0" w:noHBand="0" w:noVBand="1"/>
        <w:tblCaption w:val="Table 1: Total axle mass of an axle or axle group of the prime mover or dolly or trailer"/>
        <w:tblDescription w:val="Table 1: Total axle mass of an axle or axle group of the prime mover or dolly or trailer"/>
      </w:tblPr>
      <w:tblGrid>
        <w:gridCol w:w="7137"/>
        <w:gridCol w:w="799"/>
      </w:tblGrid>
      <w:tr w:rsidR="0062400A" w14:paraId="43B1AD50" w14:textId="77777777" w:rsidTr="0046479C">
        <w:tc>
          <w:tcPr>
            <w:tcW w:w="7137" w:type="dxa"/>
            <w:vAlign w:val="center"/>
          </w:tcPr>
          <w:p w14:paraId="1E91FDF0" w14:textId="29C7962F" w:rsidR="0062400A" w:rsidRPr="00140951" w:rsidRDefault="00804C88" w:rsidP="0046479C">
            <w:pPr>
              <w:pStyle w:val="ListParagraph"/>
              <w:ind w:left="0"/>
              <w:jc w:val="center"/>
              <w:rPr>
                <w:b/>
                <w:bCs/>
              </w:rPr>
            </w:pPr>
            <w:r w:rsidRPr="00140951">
              <w:rPr>
                <w:b/>
                <w:bCs/>
              </w:rPr>
              <w:t>Axle or Axle Group</w:t>
            </w:r>
          </w:p>
        </w:tc>
        <w:tc>
          <w:tcPr>
            <w:tcW w:w="799" w:type="dxa"/>
            <w:vAlign w:val="center"/>
          </w:tcPr>
          <w:p w14:paraId="61C7A92A" w14:textId="0A1F2EA1" w:rsidR="0062400A" w:rsidRPr="00140951" w:rsidRDefault="006E667A" w:rsidP="0046479C">
            <w:pPr>
              <w:pStyle w:val="ListParagraph"/>
              <w:ind w:left="0"/>
              <w:jc w:val="center"/>
              <w:rPr>
                <w:b/>
                <w:bCs/>
              </w:rPr>
            </w:pPr>
            <w:r w:rsidRPr="00140951">
              <w:rPr>
                <w:b/>
                <w:bCs/>
              </w:rPr>
              <w:t>Mass (t)</w:t>
            </w:r>
          </w:p>
        </w:tc>
      </w:tr>
      <w:tr w:rsidR="0062400A" w14:paraId="693EB563" w14:textId="77777777" w:rsidTr="0046479C">
        <w:tc>
          <w:tcPr>
            <w:tcW w:w="7137" w:type="dxa"/>
            <w:vAlign w:val="center"/>
          </w:tcPr>
          <w:p w14:paraId="1252B5F9" w14:textId="6EAE2FDF" w:rsidR="0062400A" w:rsidRDefault="00382B10" w:rsidP="0046479C">
            <w:pPr>
              <w:pStyle w:val="ListParagraph"/>
              <w:ind w:left="0"/>
            </w:pPr>
            <w:r w:rsidRPr="00382B10">
              <w:t>Steer axle with 2 tyres</w:t>
            </w:r>
          </w:p>
        </w:tc>
        <w:tc>
          <w:tcPr>
            <w:tcW w:w="799" w:type="dxa"/>
            <w:vAlign w:val="center"/>
          </w:tcPr>
          <w:p w14:paraId="0A1BD81E" w14:textId="3576C1CE" w:rsidR="0062400A" w:rsidRDefault="006E667A" w:rsidP="0046479C">
            <w:pPr>
              <w:pStyle w:val="ListParagraph"/>
              <w:ind w:left="0"/>
              <w:jc w:val="center"/>
            </w:pPr>
            <w:r>
              <w:t>6.0</w:t>
            </w:r>
          </w:p>
        </w:tc>
      </w:tr>
      <w:tr w:rsidR="0062400A" w14:paraId="2B739D49" w14:textId="77777777" w:rsidTr="0046479C">
        <w:tc>
          <w:tcPr>
            <w:tcW w:w="7137" w:type="dxa"/>
            <w:vAlign w:val="center"/>
          </w:tcPr>
          <w:p w14:paraId="25C1838A" w14:textId="2BBB7A4C" w:rsidR="0062400A" w:rsidRDefault="003300F8" w:rsidP="0046479C">
            <w:pPr>
              <w:pStyle w:val="ListParagraph"/>
              <w:ind w:left="0"/>
            </w:pPr>
            <w:r w:rsidRPr="003300F8">
              <w:t xml:space="preserve">Tandem axle group on a prime mover, </w:t>
            </w:r>
            <w:proofErr w:type="gramStart"/>
            <w:r w:rsidR="00F6471E" w:rsidRPr="003300F8">
              <w:t>dolly</w:t>
            </w:r>
            <w:proofErr w:type="gramEnd"/>
            <w:r w:rsidR="00F6471E" w:rsidRPr="003300F8">
              <w:t xml:space="preserve"> or</w:t>
            </w:r>
            <w:r w:rsidRPr="003300F8">
              <w:t xml:space="preserve"> trailer with 4 tyres</w:t>
            </w:r>
          </w:p>
        </w:tc>
        <w:tc>
          <w:tcPr>
            <w:tcW w:w="799" w:type="dxa"/>
            <w:vAlign w:val="center"/>
          </w:tcPr>
          <w:p w14:paraId="0BE0002E" w14:textId="379D294E" w:rsidR="0062400A" w:rsidRDefault="006E667A" w:rsidP="0046479C">
            <w:pPr>
              <w:pStyle w:val="ListParagraph"/>
              <w:ind w:left="0"/>
              <w:jc w:val="center"/>
            </w:pPr>
            <w:r>
              <w:t>18.5</w:t>
            </w:r>
          </w:p>
        </w:tc>
      </w:tr>
      <w:tr w:rsidR="0062400A" w14:paraId="0E2A0254" w14:textId="77777777" w:rsidTr="0046479C">
        <w:tc>
          <w:tcPr>
            <w:tcW w:w="7137" w:type="dxa"/>
            <w:vAlign w:val="center"/>
          </w:tcPr>
          <w:p w14:paraId="0D65B252" w14:textId="29A0B6C1" w:rsidR="0062400A" w:rsidRDefault="003729CB" w:rsidP="0046479C">
            <w:pPr>
              <w:pStyle w:val="ListParagraph"/>
              <w:ind w:left="0"/>
            </w:pPr>
            <w:r w:rsidRPr="003729CB">
              <w:t xml:space="preserve">Single </w:t>
            </w:r>
            <w:r w:rsidR="00F6471E" w:rsidRPr="003729CB">
              <w:t>dolly with</w:t>
            </w:r>
            <w:r w:rsidRPr="003729CB">
              <w:t xml:space="preserve"> 4 tyres</w:t>
            </w:r>
          </w:p>
        </w:tc>
        <w:tc>
          <w:tcPr>
            <w:tcW w:w="799" w:type="dxa"/>
            <w:vAlign w:val="center"/>
          </w:tcPr>
          <w:p w14:paraId="11769B21" w14:textId="2346582D" w:rsidR="0062400A" w:rsidRDefault="006E667A" w:rsidP="0046479C">
            <w:pPr>
              <w:pStyle w:val="ListParagraph"/>
              <w:ind w:left="0"/>
              <w:jc w:val="center"/>
            </w:pPr>
            <w:r>
              <w:t>9.0</w:t>
            </w:r>
          </w:p>
        </w:tc>
      </w:tr>
      <w:tr w:rsidR="0062400A" w14:paraId="5836EF96" w14:textId="77777777" w:rsidTr="0046479C">
        <w:tc>
          <w:tcPr>
            <w:tcW w:w="7137" w:type="dxa"/>
            <w:vAlign w:val="center"/>
          </w:tcPr>
          <w:p w14:paraId="7CA812F9" w14:textId="4BE0FC8C" w:rsidR="0062400A" w:rsidRDefault="008E619C" w:rsidP="0046479C">
            <w:pPr>
              <w:pStyle w:val="ListParagraph"/>
              <w:ind w:left="0"/>
            </w:pPr>
            <w:r w:rsidRPr="008E619C">
              <w:t xml:space="preserve">Tandem axle group on a dolly or a trailer with a 1.8m axle spacing with 4 </w:t>
            </w:r>
            <w:r w:rsidR="00F6471E" w:rsidRPr="008E619C">
              <w:t>tyres per</w:t>
            </w:r>
            <w:r w:rsidRPr="008E619C">
              <w:t xml:space="preserve"> axle</w:t>
            </w:r>
          </w:p>
        </w:tc>
        <w:tc>
          <w:tcPr>
            <w:tcW w:w="799" w:type="dxa"/>
            <w:vAlign w:val="center"/>
          </w:tcPr>
          <w:p w14:paraId="56ECDF14" w14:textId="5CB16AB9" w:rsidR="0062400A" w:rsidRDefault="006338CE" w:rsidP="0046479C">
            <w:pPr>
              <w:pStyle w:val="ListParagraph"/>
              <w:ind w:left="0"/>
              <w:jc w:val="center"/>
            </w:pPr>
            <w:r>
              <w:t>21.5</w:t>
            </w:r>
          </w:p>
        </w:tc>
      </w:tr>
      <w:tr w:rsidR="0062400A" w14:paraId="72F714D8" w14:textId="77777777" w:rsidTr="0046479C">
        <w:tc>
          <w:tcPr>
            <w:tcW w:w="7137" w:type="dxa"/>
            <w:vAlign w:val="center"/>
          </w:tcPr>
          <w:p w14:paraId="4E9227DB" w14:textId="50D4A53C" w:rsidR="0062400A" w:rsidRDefault="00147C81" w:rsidP="0046479C">
            <w:pPr>
              <w:pStyle w:val="ListParagraph"/>
              <w:ind w:left="0"/>
            </w:pPr>
            <w:r w:rsidRPr="00147C81">
              <w:t xml:space="preserve">Tri-axle group on a trailer with </w:t>
            </w:r>
            <w:r w:rsidR="00F6471E" w:rsidRPr="00147C81">
              <w:t>1.2m axle</w:t>
            </w:r>
            <w:r w:rsidRPr="00147C81">
              <w:t xml:space="preserve"> </w:t>
            </w:r>
            <w:r w:rsidR="00F6471E" w:rsidRPr="00147C81">
              <w:t>spacings with</w:t>
            </w:r>
            <w:r w:rsidRPr="00147C81">
              <w:t xml:space="preserve"> 4 tyres per axle</w:t>
            </w:r>
          </w:p>
        </w:tc>
        <w:tc>
          <w:tcPr>
            <w:tcW w:w="799" w:type="dxa"/>
            <w:vAlign w:val="center"/>
          </w:tcPr>
          <w:p w14:paraId="580FD8A5" w14:textId="1D5813C6" w:rsidR="0062400A" w:rsidRDefault="006338CE" w:rsidP="0046479C">
            <w:pPr>
              <w:pStyle w:val="ListParagraph"/>
              <w:ind w:left="0"/>
              <w:jc w:val="center"/>
            </w:pPr>
            <w:r>
              <w:t>25.0</w:t>
            </w:r>
          </w:p>
        </w:tc>
      </w:tr>
      <w:tr w:rsidR="0062400A" w14:paraId="3B217EEA" w14:textId="77777777" w:rsidTr="0046479C">
        <w:tc>
          <w:tcPr>
            <w:tcW w:w="7137" w:type="dxa"/>
            <w:vAlign w:val="center"/>
          </w:tcPr>
          <w:p w14:paraId="0BE799AF" w14:textId="3F8E4958" w:rsidR="0062400A" w:rsidRDefault="00F6471E" w:rsidP="0046479C">
            <w:pPr>
              <w:pStyle w:val="ListParagraph"/>
              <w:ind w:left="0"/>
            </w:pPr>
            <w:r w:rsidRPr="00F6471E">
              <w:t>Tri-axle group on a trailer with 1.8m axle spacings with 4 tyres per axle</w:t>
            </w:r>
          </w:p>
        </w:tc>
        <w:tc>
          <w:tcPr>
            <w:tcW w:w="799" w:type="dxa"/>
            <w:vAlign w:val="center"/>
          </w:tcPr>
          <w:p w14:paraId="4EFF81C0" w14:textId="24DC6F0E" w:rsidR="0062400A" w:rsidRDefault="006338CE" w:rsidP="0046479C">
            <w:pPr>
              <w:pStyle w:val="ListParagraph"/>
              <w:ind w:left="0"/>
              <w:jc w:val="center"/>
            </w:pPr>
            <w:r>
              <w:t>27.0</w:t>
            </w:r>
          </w:p>
        </w:tc>
      </w:tr>
      <w:tr w:rsidR="0062400A" w14:paraId="51DD58D6" w14:textId="77777777" w:rsidTr="0046479C">
        <w:tc>
          <w:tcPr>
            <w:tcW w:w="7137" w:type="dxa"/>
            <w:vAlign w:val="center"/>
          </w:tcPr>
          <w:p w14:paraId="0F0E9A86" w14:textId="5E16532F" w:rsidR="0062400A" w:rsidRDefault="00E23456" w:rsidP="0046479C">
            <w:pPr>
              <w:pStyle w:val="ListParagraph"/>
              <w:ind w:left="0"/>
            </w:pPr>
            <w:r w:rsidRPr="00E23456">
              <w:t xml:space="preserve">Quad axle group on a trailer with 1.2, axle spacings with </w:t>
            </w:r>
            <w:r w:rsidR="00A26E97" w:rsidRPr="00E23456">
              <w:t xml:space="preserve">4 </w:t>
            </w:r>
            <w:r w:rsidR="00B72F10" w:rsidRPr="00E23456">
              <w:t>tyres per</w:t>
            </w:r>
            <w:r w:rsidRPr="00E23456">
              <w:t xml:space="preserve"> axle</w:t>
            </w:r>
          </w:p>
        </w:tc>
        <w:tc>
          <w:tcPr>
            <w:tcW w:w="799" w:type="dxa"/>
            <w:vAlign w:val="center"/>
          </w:tcPr>
          <w:p w14:paraId="3E4AAD0B" w14:textId="45789A25" w:rsidR="0062400A" w:rsidRDefault="004327F7" w:rsidP="0046479C">
            <w:pPr>
              <w:pStyle w:val="ListParagraph"/>
              <w:ind w:left="0"/>
              <w:jc w:val="center"/>
            </w:pPr>
            <w:r>
              <w:t>30.0</w:t>
            </w:r>
          </w:p>
        </w:tc>
      </w:tr>
      <w:tr w:rsidR="004327F7" w14:paraId="34551A4F" w14:textId="77777777" w:rsidTr="0046479C">
        <w:tc>
          <w:tcPr>
            <w:tcW w:w="7137" w:type="dxa"/>
            <w:vAlign w:val="center"/>
          </w:tcPr>
          <w:p w14:paraId="4040D733" w14:textId="2C00EA8D" w:rsidR="004327F7" w:rsidRDefault="00A26E97" w:rsidP="0046479C">
            <w:pPr>
              <w:pStyle w:val="ListParagraph"/>
              <w:ind w:left="0"/>
            </w:pPr>
            <w:r w:rsidRPr="00A26E97">
              <w:t xml:space="preserve">Quad axle group on a trailer with 1.2, 2.4, 1.2m axle spacings with </w:t>
            </w:r>
            <w:r w:rsidR="00B72F10" w:rsidRPr="00A26E97">
              <w:t>4 tyres</w:t>
            </w:r>
            <w:r w:rsidRPr="00A26E97">
              <w:t xml:space="preserve"> per axle</w:t>
            </w:r>
          </w:p>
        </w:tc>
        <w:tc>
          <w:tcPr>
            <w:tcW w:w="799" w:type="dxa"/>
            <w:vAlign w:val="center"/>
          </w:tcPr>
          <w:p w14:paraId="128C8849" w14:textId="14F60A4E" w:rsidR="004327F7" w:rsidRDefault="004327F7" w:rsidP="0046479C">
            <w:pPr>
              <w:pStyle w:val="ListParagraph"/>
              <w:ind w:left="0"/>
              <w:jc w:val="center"/>
            </w:pPr>
            <w:r>
              <w:t>35.0</w:t>
            </w:r>
          </w:p>
        </w:tc>
      </w:tr>
    </w:tbl>
    <w:p w14:paraId="22B43CB7" w14:textId="77777777" w:rsidR="004A474C" w:rsidRDefault="004A474C" w:rsidP="004A474C">
      <w:pPr>
        <w:pStyle w:val="ListParagraph"/>
        <w:ind w:left="1080"/>
        <w:jc w:val="both"/>
      </w:pPr>
    </w:p>
    <w:p w14:paraId="4D797480" w14:textId="73056A2A" w:rsidR="00B07C7F" w:rsidRDefault="00585E96" w:rsidP="00B07C7F">
      <w:pPr>
        <w:pStyle w:val="ListParagraph"/>
        <w:numPr>
          <w:ilvl w:val="0"/>
          <w:numId w:val="13"/>
        </w:numPr>
        <w:jc w:val="both"/>
      </w:pPr>
      <w:r>
        <w:lastRenderedPageBreak/>
        <w:t>A</w:t>
      </w:r>
      <w:r w:rsidR="002C0A99">
        <w:t xml:space="preserve">n eligible vehicle operating </w:t>
      </w:r>
      <w:r w:rsidR="005D19A0">
        <w:t>up to</w:t>
      </w:r>
      <w:r w:rsidR="002C0A99">
        <w:t xml:space="preserve"> a conditional mass listed </w:t>
      </w:r>
      <w:r>
        <w:t>in Table 1</w:t>
      </w:r>
      <w:r w:rsidR="005D19A0">
        <w:t xml:space="preserve"> must comply with the following</w:t>
      </w:r>
      <w:r w:rsidR="001A5771">
        <w:t xml:space="preserve"> axle spacing requirements:</w:t>
      </w:r>
    </w:p>
    <w:p w14:paraId="7CAA0F9F" w14:textId="77777777" w:rsidR="00B07C7F" w:rsidRDefault="00B07C7F" w:rsidP="00B07C7F">
      <w:pPr>
        <w:ind w:left="1080"/>
        <w:jc w:val="both"/>
      </w:pPr>
      <w:r>
        <w:object w:dxaOrig="3892" w:dyaOrig="1042" w14:anchorId="4AEEC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The minimum distance from the centre line of the rear most axle of the prime mover to the centreline of the foremost axle trailer must be 7.0 metres." style="width:313pt;height:87.55pt" o:ole="" filled="t">
            <v:imagedata r:id="rId12" o:title=""/>
            <o:lock v:ext="edit" aspectratio="f"/>
          </v:shape>
          <o:OLEObject Type="Embed" ProgID="StaticMetafile" ShapeID="_x0000_i1025" DrawAspect="Content" ObjectID="_1751712796" r:id="rId13"/>
        </w:object>
      </w:r>
    </w:p>
    <w:p w14:paraId="0B108B00" w14:textId="58D21C12" w:rsidR="00B07C7F" w:rsidRDefault="00B07C7F" w:rsidP="00B07C7F">
      <w:pPr>
        <w:ind w:left="720" w:firstLine="720"/>
        <w:jc w:val="both"/>
        <w:rPr>
          <w:b/>
          <w:bCs/>
        </w:rPr>
      </w:pPr>
      <w:r w:rsidRPr="00B72F10">
        <w:rPr>
          <w:b/>
          <w:bCs/>
        </w:rPr>
        <w:t>Figure 1:</w:t>
      </w:r>
      <w:r w:rsidRPr="00B72F10">
        <w:rPr>
          <w:b/>
          <w:bCs/>
        </w:rPr>
        <w:tab/>
      </w:r>
      <w:r>
        <w:rPr>
          <w:b/>
          <w:bCs/>
        </w:rPr>
        <w:t xml:space="preserve">               </w:t>
      </w:r>
      <w:r w:rsidRPr="00B72F10">
        <w:rPr>
          <w:b/>
          <w:bCs/>
        </w:rPr>
        <w:t>Minimum of 7.0m</w:t>
      </w:r>
    </w:p>
    <w:p w14:paraId="02C1FE26" w14:textId="77777777" w:rsidR="00B07C7F" w:rsidRPr="00B07C7F" w:rsidRDefault="00B07C7F" w:rsidP="00B07C7F">
      <w:pPr>
        <w:ind w:left="720" w:firstLine="720"/>
        <w:jc w:val="both"/>
        <w:rPr>
          <w:b/>
          <w:bCs/>
        </w:rPr>
      </w:pPr>
    </w:p>
    <w:p w14:paraId="4C13CE69" w14:textId="2326301D" w:rsidR="00324BE8" w:rsidRDefault="00810AF9" w:rsidP="00B07C7F">
      <w:pPr>
        <w:pStyle w:val="ListParagraph"/>
        <w:numPr>
          <w:ilvl w:val="0"/>
          <w:numId w:val="14"/>
        </w:numPr>
        <w:jc w:val="both"/>
      </w:pPr>
      <w:r w:rsidRPr="00810AF9">
        <w:t>The minimum distance from the centre line of the rear most axle of the prime mover to the centreline of the foremost axle trailer must be 7.0 metres (see figure 1); and</w:t>
      </w:r>
    </w:p>
    <w:p w14:paraId="7508EB7F" w14:textId="77777777" w:rsidR="004A474C" w:rsidRPr="004A474C" w:rsidRDefault="004A474C" w:rsidP="004A474C">
      <w:pPr>
        <w:jc w:val="both"/>
        <w:rPr>
          <w:b/>
          <w:bCs/>
        </w:rPr>
      </w:pPr>
    </w:p>
    <w:p w14:paraId="3104E846" w14:textId="77777777" w:rsidR="00B07C7F" w:rsidRDefault="00B07C7F" w:rsidP="00B07C7F">
      <w:pPr>
        <w:pStyle w:val="ListParagraph"/>
        <w:ind w:left="1440"/>
        <w:jc w:val="both"/>
      </w:pPr>
      <w:r>
        <w:object w:dxaOrig="4679" w:dyaOrig="1080" w14:anchorId="5C4B59C9">
          <v:shape id="_x0000_i1026" type="#_x0000_t75" alt="Figure 2) The minimum distance from the centre line of the rear most axle of the dolly to the centre-line of the foremost axle trailer must be 8.7 metres " style="width:377.25pt;height:92.3pt" o:ole="">
            <v:imagedata r:id="rId14" o:title="" chromakey="white"/>
            <o:lock v:ext="edit" aspectratio="f"/>
          </v:shape>
          <o:OLEObject Type="Embed" ProgID="StaticMetafile" ShapeID="_x0000_i1026" DrawAspect="Content" ObjectID="_1751712797" r:id="rId15"/>
        </w:object>
      </w:r>
    </w:p>
    <w:p w14:paraId="41CE66B9" w14:textId="38E49C7A" w:rsidR="00B07C7F" w:rsidRPr="00B07C7F" w:rsidRDefault="00B07C7F" w:rsidP="00B07C7F">
      <w:pPr>
        <w:ind w:left="720" w:firstLine="720"/>
        <w:jc w:val="both"/>
        <w:rPr>
          <w:b/>
          <w:bCs/>
        </w:rPr>
      </w:pPr>
      <w:r w:rsidRPr="00B72F10">
        <w:rPr>
          <w:b/>
          <w:bCs/>
        </w:rPr>
        <w:t xml:space="preserve">Figure </w:t>
      </w:r>
      <w:r>
        <w:rPr>
          <w:b/>
          <w:bCs/>
        </w:rPr>
        <w:t>2</w:t>
      </w:r>
      <w:r w:rsidRPr="00B72F10">
        <w:rPr>
          <w:b/>
          <w:bCs/>
        </w:rPr>
        <w:t>:</w:t>
      </w:r>
      <w:r w:rsidRPr="00B72F10">
        <w:rPr>
          <w:b/>
          <w:bCs/>
        </w:rPr>
        <w:tab/>
      </w:r>
      <w:r>
        <w:rPr>
          <w:b/>
          <w:bCs/>
        </w:rPr>
        <w:t xml:space="preserve">                           </w:t>
      </w:r>
      <w:r w:rsidRPr="00B72F10">
        <w:rPr>
          <w:b/>
          <w:bCs/>
        </w:rPr>
        <w:t xml:space="preserve">Minimum of </w:t>
      </w:r>
      <w:r>
        <w:rPr>
          <w:b/>
          <w:bCs/>
        </w:rPr>
        <w:t>8.7m</w:t>
      </w:r>
    </w:p>
    <w:p w14:paraId="01C33084" w14:textId="0D4EE31D" w:rsidR="004A474C" w:rsidRDefault="00B84545" w:rsidP="00B07C7F">
      <w:pPr>
        <w:pStyle w:val="ListParagraph"/>
        <w:numPr>
          <w:ilvl w:val="0"/>
          <w:numId w:val="14"/>
        </w:numPr>
        <w:jc w:val="both"/>
      </w:pPr>
      <w:r w:rsidRPr="00B84545">
        <w:t xml:space="preserve">The minimum distance from the centre line of the rear most axle of the dolly to the </w:t>
      </w:r>
      <w:r w:rsidR="00726C35" w:rsidRPr="00B84545">
        <w:t>centreline</w:t>
      </w:r>
      <w:r w:rsidRPr="00B84545">
        <w:t xml:space="preserve"> of the foremost axle trailer must be 8.7 metres (see figure 2).</w:t>
      </w:r>
    </w:p>
    <w:p w14:paraId="04F8627E" w14:textId="77777777" w:rsidR="00B07C7F" w:rsidRPr="00B07C7F" w:rsidRDefault="00B07C7F" w:rsidP="00B07C7F">
      <w:pPr>
        <w:pStyle w:val="ListParagraph"/>
        <w:ind w:left="1440"/>
        <w:jc w:val="both"/>
      </w:pPr>
    </w:p>
    <w:p w14:paraId="175C5213" w14:textId="78F8E329" w:rsidR="00810AF9" w:rsidRDefault="00CC70BE" w:rsidP="00140951">
      <w:pPr>
        <w:pStyle w:val="ListParagraph"/>
        <w:numPr>
          <w:ilvl w:val="0"/>
          <w:numId w:val="13"/>
        </w:numPr>
        <w:jc w:val="both"/>
      </w:pPr>
      <w:r>
        <w:t xml:space="preserve">Minimum ground contact width for an eligible vehicle operating </w:t>
      </w:r>
      <w:r w:rsidR="002A2346">
        <w:t xml:space="preserve">under table 1 must </w:t>
      </w:r>
      <w:r w:rsidR="0062400A">
        <w:t>be at least 2.4m.</w:t>
      </w:r>
    </w:p>
    <w:p w14:paraId="065ACCC8" w14:textId="77777777" w:rsidR="0052387D" w:rsidRDefault="0052387D" w:rsidP="0052387D">
      <w:pPr>
        <w:pStyle w:val="ListParagraph"/>
        <w:ind w:left="1080"/>
        <w:jc w:val="both"/>
      </w:pPr>
    </w:p>
    <w:p w14:paraId="2F4A337C" w14:textId="4714B4D6" w:rsidR="0052387D" w:rsidRDefault="0052387D" w:rsidP="0052387D">
      <w:pPr>
        <w:pStyle w:val="ListParagraph"/>
        <w:numPr>
          <w:ilvl w:val="0"/>
          <w:numId w:val="13"/>
        </w:numPr>
        <w:jc w:val="both"/>
      </w:pPr>
      <w:r>
        <w:t>A complying steer axle may have an additional 0.5t</w:t>
      </w:r>
      <w:r w:rsidR="00B123D0">
        <w:t xml:space="preserve"> to that listed in table 1.</w:t>
      </w:r>
    </w:p>
    <w:p w14:paraId="3667BA43" w14:textId="77777777" w:rsidR="008A2F57" w:rsidRDefault="008A2F57" w:rsidP="008A2F57">
      <w:pPr>
        <w:pStyle w:val="ListParagraph"/>
        <w:ind w:left="1080"/>
        <w:jc w:val="both"/>
      </w:pPr>
    </w:p>
    <w:p w14:paraId="17411920" w14:textId="31C6D194" w:rsidR="00AD0DC4" w:rsidRDefault="00AD0DC4" w:rsidP="0052387D">
      <w:pPr>
        <w:pStyle w:val="ListParagraph"/>
        <w:numPr>
          <w:ilvl w:val="0"/>
          <w:numId w:val="13"/>
        </w:numPr>
        <w:jc w:val="both"/>
      </w:pPr>
      <w:r>
        <w:t xml:space="preserve">The conditional masses in this section do not apply to </w:t>
      </w:r>
      <w:r w:rsidR="009F6839">
        <w:t>fire trucks</w:t>
      </w:r>
      <w:r w:rsidR="008A2F57">
        <w:t>.</w:t>
      </w:r>
    </w:p>
    <w:p w14:paraId="6337F0B6" w14:textId="6F89D4A3" w:rsidR="002D5F11" w:rsidRDefault="002D5F11" w:rsidP="00E13FDA">
      <w:pPr>
        <w:pStyle w:val="ListParagraph"/>
        <w:ind w:left="1080"/>
        <w:jc w:val="both"/>
      </w:pPr>
    </w:p>
    <w:p w14:paraId="6E277C22" w14:textId="68F9EDE3" w:rsidR="000743A1" w:rsidRDefault="000743A1" w:rsidP="000743A1">
      <w:pPr>
        <w:pStyle w:val="ListParagraph"/>
        <w:numPr>
          <w:ilvl w:val="0"/>
          <w:numId w:val="2"/>
        </w:numPr>
        <w:jc w:val="both"/>
        <w:rPr>
          <w:b/>
          <w:bCs/>
        </w:rPr>
      </w:pPr>
      <w:r w:rsidRPr="002C3331">
        <w:rPr>
          <w:b/>
          <w:bCs/>
        </w:rPr>
        <w:t xml:space="preserve">Conditions – </w:t>
      </w:r>
      <w:r w:rsidR="00263FE8">
        <w:rPr>
          <w:b/>
          <w:bCs/>
        </w:rPr>
        <w:t>Axle masses</w:t>
      </w:r>
      <w:r w:rsidRPr="002C3331">
        <w:rPr>
          <w:b/>
          <w:bCs/>
        </w:rPr>
        <w:t xml:space="preserve"> </w:t>
      </w:r>
      <w:r w:rsidR="00263FE8">
        <w:rPr>
          <w:b/>
          <w:bCs/>
        </w:rPr>
        <w:t>for fire trucks</w:t>
      </w:r>
    </w:p>
    <w:p w14:paraId="6B696A23" w14:textId="77777777" w:rsidR="00F471FE" w:rsidRPr="002C3331" w:rsidRDefault="00F471FE" w:rsidP="00F471FE">
      <w:pPr>
        <w:pStyle w:val="ListParagraph"/>
        <w:jc w:val="both"/>
        <w:rPr>
          <w:b/>
          <w:bCs/>
        </w:rPr>
      </w:pPr>
    </w:p>
    <w:p w14:paraId="6084C0E8" w14:textId="000FD44F" w:rsidR="00292E6E" w:rsidRDefault="000743A1" w:rsidP="00D47D8E">
      <w:pPr>
        <w:pStyle w:val="ListParagraph"/>
        <w:numPr>
          <w:ilvl w:val="0"/>
          <w:numId w:val="22"/>
        </w:numPr>
        <w:jc w:val="both"/>
      </w:pPr>
      <w:r>
        <w:t xml:space="preserve">The conditional masses in this section only apply to </w:t>
      </w:r>
      <w:r w:rsidR="00292E6E">
        <w:t xml:space="preserve">an </w:t>
      </w:r>
      <w:r>
        <w:t>eligible vehicl</w:t>
      </w:r>
      <w:r w:rsidR="00263FE8">
        <w:t>e</w:t>
      </w:r>
      <w:r>
        <w:t xml:space="preserve"> that </w:t>
      </w:r>
      <w:r w:rsidR="00292E6E">
        <w:t xml:space="preserve">is a fire </w:t>
      </w:r>
      <w:r w:rsidR="00E65201">
        <w:t>truck.</w:t>
      </w:r>
    </w:p>
    <w:p w14:paraId="2F427D79" w14:textId="77777777" w:rsidR="00F471FE" w:rsidRDefault="00F471FE" w:rsidP="00F471FE">
      <w:pPr>
        <w:pStyle w:val="ListParagraph"/>
        <w:ind w:left="1080"/>
        <w:jc w:val="both"/>
      </w:pPr>
    </w:p>
    <w:p w14:paraId="4804EB01" w14:textId="3E46C4E2" w:rsidR="000743A1" w:rsidRDefault="000743A1" w:rsidP="00F471FE">
      <w:pPr>
        <w:pStyle w:val="ListParagraph"/>
        <w:numPr>
          <w:ilvl w:val="0"/>
          <w:numId w:val="22"/>
        </w:numPr>
        <w:jc w:val="both"/>
      </w:pPr>
      <w:r>
        <w:t xml:space="preserve">A singe drive axle on a </w:t>
      </w:r>
      <w:r w:rsidR="001657B1">
        <w:t>fire truck</w:t>
      </w:r>
      <w:r>
        <w:t xml:space="preserve"> fitted with </w:t>
      </w:r>
      <w:r w:rsidR="00F471FE">
        <w:t xml:space="preserve">tyres </w:t>
      </w:r>
      <w:r w:rsidR="001657B1">
        <w:t xml:space="preserve">with a minimum </w:t>
      </w:r>
      <w:r>
        <w:t>width of 305mm may have a maximum mass of 7.5t on that axle.</w:t>
      </w:r>
    </w:p>
    <w:p w14:paraId="7FA52063" w14:textId="77777777" w:rsidR="00F471FE" w:rsidRDefault="00F471FE" w:rsidP="00F471FE">
      <w:pPr>
        <w:pStyle w:val="ListParagraph"/>
        <w:ind w:left="1080"/>
        <w:jc w:val="both"/>
      </w:pPr>
    </w:p>
    <w:p w14:paraId="7FB86857" w14:textId="687DFB77" w:rsidR="000743A1" w:rsidRDefault="000743A1" w:rsidP="00F471FE">
      <w:pPr>
        <w:pStyle w:val="ListParagraph"/>
        <w:numPr>
          <w:ilvl w:val="0"/>
          <w:numId w:val="22"/>
        </w:numPr>
        <w:jc w:val="both"/>
      </w:pPr>
      <w:r>
        <w:t xml:space="preserve">A single drive axle on a </w:t>
      </w:r>
      <w:r w:rsidR="001657B1">
        <w:t>fire truck</w:t>
      </w:r>
      <w:r>
        <w:t xml:space="preserve"> fitted with a minimum tyre width of 395mm may have a maximum mass of 8.5t on that axle.</w:t>
      </w:r>
    </w:p>
    <w:p w14:paraId="159C33FE" w14:textId="77777777" w:rsidR="00F471FE" w:rsidRDefault="00F471FE" w:rsidP="00F471FE">
      <w:pPr>
        <w:pStyle w:val="ListParagraph"/>
        <w:ind w:left="1080"/>
        <w:jc w:val="both"/>
      </w:pPr>
    </w:p>
    <w:p w14:paraId="01D3631A" w14:textId="346CFF5E" w:rsidR="000743A1" w:rsidRDefault="000743A1" w:rsidP="00D47D8E">
      <w:pPr>
        <w:pStyle w:val="ListParagraph"/>
        <w:numPr>
          <w:ilvl w:val="0"/>
          <w:numId w:val="22"/>
        </w:numPr>
        <w:jc w:val="both"/>
      </w:pPr>
      <w:r>
        <w:t xml:space="preserve">A steer axle on a </w:t>
      </w:r>
      <w:r w:rsidR="001657B1">
        <w:t>fire truck</w:t>
      </w:r>
      <w:r>
        <w:t xml:space="preserve"> may have a maximum mass of 6.5t on that axle.</w:t>
      </w:r>
    </w:p>
    <w:p w14:paraId="415DCAAC" w14:textId="77777777" w:rsidR="004A474C" w:rsidRDefault="004A474C" w:rsidP="004A474C">
      <w:pPr>
        <w:pStyle w:val="ListParagraph"/>
      </w:pPr>
    </w:p>
    <w:p w14:paraId="1B4501AB" w14:textId="77777777" w:rsidR="004A474C" w:rsidRDefault="004A474C" w:rsidP="004A474C">
      <w:pPr>
        <w:pStyle w:val="ListParagraph"/>
        <w:ind w:left="1080"/>
        <w:jc w:val="both"/>
      </w:pPr>
    </w:p>
    <w:p w14:paraId="4568A822" w14:textId="77777777" w:rsidR="001C131F" w:rsidRDefault="001C131F" w:rsidP="001C131F">
      <w:pPr>
        <w:pStyle w:val="ListParagraph"/>
        <w:jc w:val="both"/>
        <w:rPr>
          <w:b/>
          <w:bCs/>
        </w:rPr>
      </w:pPr>
    </w:p>
    <w:p w14:paraId="1DA1A9DE" w14:textId="67B5D2E6" w:rsidR="0052199C" w:rsidRPr="00DE5AD7" w:rsidRDefault="0052199C" w:rsidP="0052199C">
      <w:pPr>
        <w:pStyle w:val="ListParagraph"/>
        <w:numPr>
          <w:ilvl w:val="0"/>
          <w:numId w:val="2"/>
        </w:numPr>
        <w:jc w:val="both"/>
        <w:rPr>
          <w:b/>
          <w:bCs/>
        </w:rPr>
      </w:pPr>
      <w:r>
        <w:rPr>
          <w:b/>
          <w:bCs/>
        </w:rPr>
        <w:t>Exemption – Prescribed dimension requirements</w:t>
      </w:r>
    </w:p>
    <w:p w14:paraId="5DFE76E6" w14:textId="77777777" w:rsidR="0052199C" w:rsidRDefault="0052199C" w:rsidP="0052199C">
      <w:pPr>
        <w:pStyle w:val="ListParagraph"/>
        <w:ind w:left="1080"/>
        <w:jc w:val="both"/>
      </w:pPr>
    </w:p>
    <w:p w14:paraId="062439D0" w14:textId="2C1F0013" w:rsidR="0052199C" w:rsidRDefault="0052199C" w:rsidP="0052199C">
      <w:pPr>
        <w:pStyle w:val="ListParagraph"/>
        <w:numPr>
          <w:ilvl w:val="0"/>
          <w:numId w:val="17"/>
        </w:numPr>
        <w:jc w:val="both"/>
      </w:pPr>
      <w:r>
        <w:t xml:space="preserve">An eligible vehicle is exempt from the following </w:t>
      </w:r>
      <w:proofErr w:type="spellStart"/>
      <w:r w:rsidR="00797475">
        <w:t>diemension</w:t>
      </w:r>
      <w:proofErr w:type="spellEnd"/>
      <w:r>
        <w:t xml:space="preserve"> requirements under Schedule 6 of the </w:t>
      </w:r>
      <w:r w:rsidRPr="00D43A75">
        <w:rPr>
          <w:i/>
          <w:iCs/>
        </w:rPr>
        <w:t>Heavy Vehicle (Mass Dimension and Loading) National Regulation</w:t>
      </w:r>
      <w:r>
        <w:t xml:space="preserve"> (MDL Regulation):</w:t>
      </w:r>
    </w:p>
    <w:p w14:paraId="36CA9563" w14:textId="77777777" w:rsidR="0052199C" w:rsidRDefault="0052199C" w:rsidP="0052199C">
      <w:pPr>
        <w:pStyle w:val="ListParagraph"/>
        <w:ind w:left="1080"/>
        <w:jc w:val="both"/>
      </w:pPr>
    </w:p>
    <w:p w14:paraId="14D1D2FB" w14:textId="77777777" w:rsidR="0052199C" w:rsidRDefault="0052199C" w:rsidP="0052199C">
      <w:pPr>
        <w:pStyle w:val="ListParagraph"/>
        <w:numPr>
          <w:ilvl w:val="0"/>
          <w:numId w:val="16"/>
        </w:numPr>
        <w:jc w:val="both"/>
      </w:pPr>
      <w:r>
        <w:t xml:space="preserve">section 3 – Length (combination or single vehicle) </w:t>
      </w:r>
    </w:p>
    <w:p w14:paraId="1B9B0E95" w14:textId="77777777" w:rsidR="0052199C" w:rsidRDefault="0052199C" w:rsidP="0052199C">
      <w:pPr>
        <w:pStyle w:val="ListParagraph"/>
        <w:numPr>
          <w:ilvl w:val="0"/>
          <w:numId w:val="16"/>
        </w:numPr>
        <w:jc w:val="both"/>
      </w:pPr>
      <w:r>
        <w:t>section 7 – Width</w:t>
      </w:r>
    </w:p>
    <w:p w14:paraId="268B2001" w14:textId="77777777" w:rsidR="0052199C" w:rsidRDefault="0052199C" w:rsidP="0052199C">
      <w:pPr>
        <w:pStyle w:val="ListParagraph"/>
        <w:numPr>
          <w:ilvl w:val="0"/>
          <w:numId w:val="16"/>
        </w:numPr>
        <w:jc w:val="both"/>
      </w:pPr>
      <w:r>
        <w:t>section 8 – Height</w:t>
      </w:r>
    </w:p>
    <w:p w14:paraId="3D068E82" w14:textId="77777777" w:rsidR="0052199C" w:rsidRDefault="0052199C" w:rsidP="0052199C">
      <w:pPr>
        <w:pStyle w:val="ListParagraph"/>
        <w:ind w:left="1440"/>
        <w:jc w:val="both"/>
      </w:pPr>
    </w:p>
    <w:p w14:paraId="3F95E17A" w14:textId="4AC349ED" w:rsidR="0052199C" w:rsidRDefault="0052199C" w:rsidP="0052199C">
      <w:pPr>
        <w:pStyle w:val="ListParagraph"/>
        <w:numPr>
          <w:ilvl w:val="0"/>
          <w:numId w:val="17"/>
        </w:numPr>
        <w:jc w:val="both"/>
      </w:pPr>
      <w:r>
        <w:t xml:space="preserve">An exemption in 1) only applies to the extent that specific conditional dimension limits are provided in </w:t>
      </w:r>
      <w:r w:rsidRPr="00861AFC">
        <w:t xml:space="preserve">section </w:t>
      </w:r>
      <w:r w:rsidR="00861AFC" w:rsidRPr="00861AFC">
        <w:t>13</w:t>
      </w:r>
      <w:r w:rsidR="00861AFC">
        <w:t xml:space="preserve"> and 14</w:t>
      </w:r>
      <w:r>
        <w:t xml:space="preserve"> of this Notice</w:t>
      </w:r>
      <w:r w:rsidR="007A5770">
        <w:t>.</w:t>
      </w:r>
    </w:p>
    <w:p w14:paraId="5C58F064" w14:textId="77777777" w:rsidR="006557E4" w:rsidRDefault="006557E4" w:rsidP="006557E4">
      <w:pPr>
        <w:pStyle w:val="ListParagraph"/>
        <w:ind w:left="1080"/>
        <w:jc w:val="both"/>
      </w:pPr>
    </w:p>
    <w:p w14:paraId="045EACB2" w14:textId="437E4768" w:rsidR="006557E4" w:rsidRDefault="006557E4" w:rsidP="0052199C">
      <w:pPr>
        <w:pStyle w:val="ListParagraph"/>
        <w:numPr>
          <w:ilvl w:val="0"/>
          <w:numId w:val="17"/>
        </w:numPr>
        <w:jc w:val="both"/>
      </w:pPr>
      <w:r>
        <w:t>The exemptions in this section do not apply to an eligible vehicle that is a fire truck.</w:t>
      </w:r>
    </w:p>
    <w:p w14:paraId="73F7CD66" w14:textId="77777777" w:rsidR="0052199C" w:rsidRDefault="0052199C" w:rsidP="0052199C">
      <w:pPr>
        <w:pStyle w:val="ListParagraph"/>
        <w:ind w:left="1080"/>
        <w:jc w:val="both"/>
      </w:pPr>
    </w:p>
    <w:p w14:paraId="048FB838" w14:textId="09F3F23A" w:rsidR="0052199C" w:rsidRDefault="0052199C" w:rsidP="0052199C">
      <w:pPr>
        <w:pStyle w:val="ListParagraph"/>
        <w:numPr>
          <w:ilvl w:val="0"/>
          <w:numId w:val="17"/>
        </w:numPr>
        <w:jc w:val="both"/>
      </w:pPr>
      <w:r w:rsidRPr="00C10868">
        <w:t>If, in relation to a particular vehicle or component, this Notice provides for</w:t>
      </w:r>
      <w:r w:rsidR="00921D61">
        <w:t xml:space="preserve"> more than one </w:t>
      </w:r>
      <w:r>
        <w:t>dimension</w:t>
      </w:r>
      <w:r w:rsidRPr="00C10868">
        <w:t xml:space="preserve"> limit that appl</w:t>
      </w:r>
      <w:r w:rsidR="00921D61">
        <w:t>y</w:t>
      </w:r>
      <w:r w:rsidRPr="00C10868">
        <w:t xml:space="preserve"> in the same circumstances, the lower </w:t>
      </w:r>
      <w:r>
        <w:t>dimension</w:t>
      </w:r>
      <w:r w:rsidRPr="00C10868">
        <w:t xml:space="preserve"> limit applies, and the other </w:t>
      </w:r>
      <w:r>
        <w:t xml:space="preserve">dimension </w:t>
      </w:r>
      <w:r w:rsidRPr="00C10868">
        <w:t>limit must be disregarded.</w:t>
      </w:r>
    </w:p>
    <w:p w14:paraId="3EF01D2C" w14:textId="77777777" w:rsidR="001B158C" w:rsidRDefault="001B158C" w:rsidP="00E13FDA">
      <w:pPr>
        <w:pStyle w:val="ListParagraph"/>
        <w:ind w:left="1080"/>
        <w:jc w:val="both"/>
      </w:pPr>
    </w:p>
    <w:p w14:paraId="30243010" w14:textId="77777777" w:rsidR="0051550F" w:rsidRPr="000A5F82" w:rsidRDefault="0051550F" w:rsidP="000A5F82">
      <w:pPr>
        <w:pStyle w:val="ListParagraph"/>
        <w:numPr>
          <w:ilvl w:val="0"/>
          <w:numId w:val="2"/>
        </w:numPr>
        <w:jc w:val="both"/>
        <w:rPr>
          <w:b/>
          <w:bCs/>
        </w:rPr>
      </w:pPr>
      <w:r w:rsidRPr="000A5F82">
        <w:rPr>
          <w:b/>
          <w:bCs/>
        </w:rPr>
        <w:t>Conditions – Dimensions for combinations up to 46t</w:t>
      </w:r>
    </w:p>
    <w:p w14:paraId="77549892" w14:textId="77777777" w:rsidR="0051550F" w:rsidRDefault="0051550F" w:rsidP="0051550F">
      <w:pPr>
        <w:pStyle w:val="ListParagraph"/>
        <w:ind w:left="1080"/>
        <w:jc w:val="both"/>
      </w:pPr>
    </w:p>
    <w:p w14:paraId="036E132D" w14:textId="6773BE4F" w:rsidR="0051550F" w:rsidRDefault="0051550F" w:rsidP="000A5F82">
      <w:pPr>
        <w:pStyle w:val="ListParagraph"/>
        <w:numPr>
          <w:ilvl w:val="0"/>
          <w:numId w:val="18"/>
        </w:numPr>
        <w:jc w:val="both"/>
      </w:pPr>
      <w:r>
        <w:t xml:space="preserve">An eligible </w:t>
      </w:r>
      <w:r w:rsidR="0006421B">
        <w:t xml:space="preserve">load carrying </w:t>
      </w:r>
      <w:r>
        <w:t xml:space="preserve">vehicle operating under this Notice with a mass up to 46t must, together with its load, not exceed the following dimension limits: </w:t>
      </w:r>
    </w:p>
    <w:p w14:paraId="30E25BD2" w14:textId="77777777" w:rsidR="0051550F" w:rsidRDefault="0051550F" w:rsidP="0051550F">
      <w:pPr>
        <w:pStyle w:val="ListParagraph"/>
        <w:ind w:left="1080"/>
        <w:jc w:val="both"/>
      </w:pPr>
    </w:p>
    <w:p w14:paraId="728D9D2A" w14:textId="7ACFED20" w:rsidR="0051550F" w:rsidRDefault="0051550F" w:rsidP="000A5F82">
      <w:pPr>
        <w:pStyle w:val="ListParagraph"/>
        <w:numPr>
          <w:ilvl w:val="0"/>
          <w:numId w:val="19"/>
        </w:numPr>
        <w:jc w:val="both"/>
      </w:pPr>
      <w:r>
        <w:t>Width - 3.0</w:t>
      </w:r>
      <w:r w:rsidR="00A0363E">
        <w:t>m</w:t>
      </w:r>
    </w:p>
    <w:p w14:paraId="3DD357E8" w14:textId="15C8E607" w:rsidR="0051550F" w:rsidRDefault="0051550F" w:rsidP="000A5F82">
      <w:pPr>
        <w:pStyle w:val="ListParagraph"/>
        <w:numPr>
          <w:ilvl w:val="0"/>
          <w:numId w:val="19"/>
        </w:numPr>
        <w:jc w:val="both"/>
      </w:pPr>
      <w:r>
        <w:t>Height - 4.5</w:t>
      </w:r>
      <w:r w:rsidR="00A0363E">
        <w:t>m</w:t>
      </w:r>
    </w:p>
    <w:p w14:paraId="6FE03EAA" w14:textId="77777777" w:rsidR="0051550F" w:rsidRDefault="0051550F" w:rsidP="0051550F">
      <w:pPr>
        <w:pStyle w:val="ListParagraph"/>
        <w:ind w:left="1080"/>
        <w:jc w:val="both"/>
      </w:pPr>
    </w:p>
    <w:p w14:paraId="697D1D63" w14:textId="1AEF31AF" w:rsidR="00F623AE" w:rsidRDefault="0051550F" w:rsidP="008A2F57">
      <w:pPr>
        <w:pStyle w:val="ListParagraph"/>
        <w:ind w:left="2160" w:hanging="1080"/>
        <w:jc w:val="both"/>
        <w:rPr>
          <w:i/>
          <w:iCs/>
        </w:rPr>
      </w:pPr>
      <w:r w:rsidRPr="00F623AE">
        <w:rPr>
          <w:i/>
          <w:iCs/>
        </w:rPr>
        <w:t>Note:</w:t>
      </w:r>
      <w:r w:rsidRPr="00F623AE">
        <w:rPr>
          <w:i/>
          <w:iCs/>
        </w:rPr>
        <w:tab/>
      </w:r>
      <w:r w:rsidR="007F5AE8" w:rsidRPr="00F623AE">
        <w:rPr>
          <w:i/>
          <w:iCs/>
        </w:rPr>
        <w:t xml:space="preserve">eligible vehicles operating up to 46t in mass must comply with the length limits imposed by </w:t>
      </w:r>
      <w:r w:rsidR="00F623AE" w:rsidRPr="00F623AE">
        <w:rPr>
          <w:i/>
          <w:iCs/>
        </w:rPr>
        <w:t>s3 of Schedule 6 of the MDL regulation.</w:t>
      </w:r>
    </w:p>
    <w:p w14:paraId="0FDEE269" w14:textId="77777777" w:rsidR="008A2F57" w:rsidRPr="008A2F57" w:rsidRDefault="008A2F57" w:rsidP="008A2F57">
      <w:pPr>
        <w:pStyle w:val="ListParagraph"/>
        <w:ind w:left="2160" w:hanging="1080"/>
        <w:jc w:val="both"/>
        <w:rPr>
          <w:i/>
          <w:iCs/>
        </w:rPr>
      </w:pPr>
    </w:p>
    <w:p w14:paraId="2ECAC036" w14:textId="11F47019" w:rsidR="0051550F" w:rsidRPr="000A5F82" w:rsidRDefault="0051550F" w:rsidP="000A5F82">
      <w:pPr>
        <w:pStyle w:val="ListParagraph"/>
        <w:numPr>
          <w:ilvl w:val="0"/>
          <w:numId w:val="2"/>
        </w:numPr>
        <w:jc w:val="both"/>
        <w:rPr>
          <w:b/>
          <w:bCs/>
        </w:rPr>
      </w:pPr>
      <w:r w:rsidRPr="000A5F82">
        <w:rPr>
          <w:b/>
          <w:bCs/>
        </w:rPr>
        <w:t xml:space="preserve">Conditions – Dimensions for combinations that exceed 46 </w:t>
      </w:r>
      <w:proofErr w:type="gramStart"/>
      <w:r w:rsidRPr="000A5F82">
        <w:rPr>
          <w:b/>
          <w:bCs/>
        </w:rPr>
        <w:t>tonnes</w:t>
      </w:r>
      <w:proofErr w:type="gramEnd"/>
    </w:p>
    <w:p w14:paraId="207C1CF8" w14:textId="77777777" w:rsidR="000A5F82" w:rsidRDefault="000A5F82" w:rsidP="0051550F">
      <w:pPr>
        <w:pStyle w:val="ListParagraph"/>
        <w:ind w:left="1080"/>
        <w:jc w:val="both"/>
      </w:pPr>
    </w:p>
    <w:p w14:paraId="333CAB50" w14:textId="6D37B112" w:rsidR="0051550F" w:rsidRDefault="0051550F" w:rsidP="00F623AE">
      <w:pPr>
        <w:pStyle w:val="ListParagraph"/>
        <w:numPr>
          <w:ilvl w:val="0"/>
          <w:numId w:val="20"/>
        </w:numPr>
        <w:jc w:val="both"/>
      </w:pPr>
      <w:r>
        <w:t xml:space="preserve">An eligible </w:t>
      </w:r>
      <w:r w:rsidR="0006421B">
        <w:t xml:space="preserve">load carrying vehicle </w:t>
      </w:r>
      <w:r>
        <w:t xml:space="preserve">operating under this Notice that exceeds 46t must, together with its load, not exceed the following dimension limits: </w:t>
      </w:r>
    </w:p>
    <w:p w14:paraId="3984F1C8" w14:textId="77777777" w:rsidR="0051550F" w:rsidRDefault="0051550F" w:rsidP="0051550F">
      <w:pPr>
        <w:pStyle w:val="ListParagraph"/>
        <w:ind w:left="1080"/>
        <w:jc w:val="both"/>
      </w:pPr>
    </w:p>
    <w:p w14:paraId="3C3C57B4" w14:textId="4FA5E8B3" w:rsidR="0051550F" w:rsidRDefault="0051550F" w:rsidP="00F623AE">
      <w:pPr>
        <w:pStyle w:val="ListParagraph"/>
        <w:numPr>
          <w:ilvl w:val="0"/>
          <w:numId w:val="21"/>
        </w:numPr>
        <w:jc w:val="both"/>
      </w:pPr>
      <w:r>
        <w:t>Length – 26m</w:t>
      </w:r>
    </w:p>
    <w:p w14:paraId="71FD6A41" w14:textId="2ADCFC83" w:rsidR="0051550F" w:rsidRDefault="0051550F" w:rsidP="00F623AE">
      <w:pPr>
        <w:pStyle w:val="ListParagraph"/>
        <w:numPr>
          <w:ilvl w:val="0"/>
          <w:numId w:val="21"/>
        </w:numPr>
        <w:jc w:val="both"/>
      </w:pPr>
      <w:r>
        <w:t>Width - 4.0</w:t>
      </w:r>
      <w:r w:rsidR="00A0363E">
        <w:t>m</w:t>
      </w:r>
    </w:p>
    <w:p w14:paraId="5882BBA3" w14:textId="75EB6D0E" w:rsidR="00A86084" w:rsidRDefault="0051550F" w:rsidP="00861AFC">
      <w:pPr>
        <w:pStyle w:val="ListParagraph"/>
        <w:numPr>
          <w:ilvl w:val="0"/>
          <w:numId w:val="21"/>
        </w:numPr>
        <w:jc w:val="both"/>
      </w:pPr>
      <w:r>
        <w:t>Height - 5.0</w:t>
      </w:r>
      <w:r w:rsidR="00A0363E">
        <w:t>m</w:t>
      </w:r>
    </w:p>
    <w:p w14:paraId="61E13D90" w14:textId="77777777" w:rsidR="00861AFC" w:rsidRPr="00861AFC" w:rsidRDefault="00861AFC" w:rsidP="00861AFC">
      <w:pPr>
        <w:pStyle w:val="ListParagraph"/>
        <w:ind w:left="1440"/>
        <w:jc w:val="both"/>
      </w:pPr>
    </w:p>
    <w:p w14:paraId="74502352" w14:textId="77777777" w:rsidR="00B1077B" w:rsidRDefault="00B1077B">
      <w:pPr>
        <w:rPr>
          <w:b/>
          <w:bCs/>
        </w:rPr>
      </w:pPr>
      <w:r>
        <w:rPr>
          <w:b/>
          <w:bCs/>
        </w:rPr>
        <w:br w:type="page"/>
      </w:r>
    </w:p>
    <w:p w14:paraId="2DE4B014" w14:textId="2E2248D0" w:rsidR="00DF02F2" w:rsidRPr="007505FB" w:rsidRDefault="00DF02F2" w:rsidP="00DF02F2">
      <w:pPr>
        <w:pStyle w:val="ListParagraph"/>
        <w:numPr>
          <w:ilvl w:val="0"/>
          <w:numId w:val="2"/>
        </w:numPr>
        <w:jc w:val="both"/>
        <w:rPr>
          <w:b/>
          <w:bCs/>
        </w:rPr>
      </w:pPr>
      <w:r w:rsidRPr="007505FB">
        <w:rPr>
          <w:b/>
          <w:bCs/>
        </w:rPr>
        <w:lastRenderedPageBreak/>
        <w:t>Disapplication of Schedule 8 of the MDL Regulation</w:t>
      </w:r>
    </w:p>
    <w:p w14:paraId="3943A7FD" w14:textId="77777777" w:rsidR="00DF02F2" w:rsidRDefault="00DF02F2" w:rsidP="00DF02F2">
      <w:pPr>
        <w:pStyle w:val="ListParagraph"/>
        <w:ind w:left="1080"/>
        <w:jc w:val="both"/>
        <w:rPr>
          <w:lang w:val="en-US"/>
        </w:rPr>
      </w:pPr>
    </w:p>
    <w:p w14:paraId="73905BA4" w14:textId="77777777" w:rsidR="00DF02F2" w:rsidRDefault="00DF02F2" w:rsidP="00DF02F2">
      <w:pPr>
        <w:pStyle w:val="ListParagraph"/>
        <w:numPr>
          <w:ilvl w:val="0"/>
          <w:numId w:val="23"/>
        </w:numPr>
        <w:jc w:val="both"/>
        <w:rPr>
          <w:lang w:val="en-US"/>
        </w:rPr>
      </w:pPr>
      <w:r w:rsidRPr="007505FB">
        <w:rPr>
          <w:lang w:val="en-US"/>
        </w:rPr>
        <w:t xml:space="preserve">Pursuant to section 39(5) of the MDL Regulation, under this Notice the conditions in Schedule 8 of the MDL Regulation </w:t>
      </w:r>
      <w:r>
        <w:rPr>
          <w:lang w:val="en-US"/>
        </w:rPr>
        <w:t xml:space="preserve">relating to class 1 vehicles </w:t>
      </w:r>
      <w:r w:rsidRPr="007505FB">
        <w:rPr>
          <w:lang w:val="en-US"/>
        </w:rPr>
        <w:t xml:space="preserve">are disapplied and amended to the extent indicated in this section. </w:t>
      </w:r>
    </w:p>
    <w:p w14:paraId="6DA103A9" w14:textId="77777777" w:rsidR="00A86084" w:rsidRDefault="00A86084" w:rsidP="00A86084">
      <w:pPr>
        <w:pStyle w:val="ListParagraph"/>
        <w:ind w:left="1080"/>
        <w:jc w:val="both"/>
        <w:rPr>
          <w:lang w:val="en-US"/>
        </w:rPr>
      </w:pPr>
    </w:p>
    <w:p w14:paraId="5B8E18B0" w14:textId="77777777" w:rsidR="00A86084" w:rsidRDefault="00A86084" w:rsidP="00A86084">
      <w:pPr>
        <w:pStyle w:val="ListParagraph"/>
        <w:numPr>
          <w:ilvl w:val="0"/>
          <w:numId w:val="24"/>
        </w:numPr>
        <w:jc w:val="both"/>
      </w:pPr>
      <w:r>
        <w:t>section 7 – Travel Restrictions at Night; and</w:t>
      </w:r>
    </w:p>
    <w:p w14:paraId="755605EE" w14:textId="77777777" w:rsidR="00A86084" w:rsidRDefault="00A86084" w:rsidP="00A86084">
      <w:pPr>
        <w:pStyle w:val="ListParagraph"/>
        <w:numPr>
          <w:ilvl w:val="0"/>
          <w:numId w:val="24"/>
        </w:numPr>
        <w:jc w:val="both"/>
      </w:pPr>
      <w:r>
        <w:t>section 8 – No Travelling in Low Visibility; and</w:t>
      </w:r>
    </w:p>
    <w:p w14:paraId="05E14AF3" w14:textId="002E6E2E" w:rsidR="00B7688B" w:rsidRDefault="00A86084" w:rsidP="00A86084">
      <w:pPr>
        <w:pStyle w:val="ListParagraph"/>
        <w:numPr>
          <w:ilvl w:val="0"/>
          <w:numId w:val="24"/>
        </w:numPr>
        <w:jc w:val="both"/>
      </w:pPr>
      <w:r>
        <w:t>Any other travel time restrictions that would otherwise be imposed under Schedule 8.</w:t>
      </w:r>
    </w:p>
    <w:p w14:paraId="2EB84991" w14:textId="77777777" w:rsidR="003E2375" w:rsidRDefault="003E2375" w:rsidP="003E2375">
      <w:pPr>
        <w:pStyle w:val="ListParagraph"/>
        <w:ind w:left="1440"/>
        <w:jc w:val="both"/>
      </w:pPr>
    </w:p>
    <w:p w14:paraId="7C4A015D" w14:textId="77777777" w:rsidR="003E2375" w:rsidRPr="00724050" w:rsidRDefault="003E2375" w:rsidP="00EC227C">
      <w:pPr>
        <w:pStyle w:val="ListParagraph"/>
        <w:numPr>
          <w:ilvl w:val="0"/>
          <w:numId w:val="2"/>
        </w:numPr>
        <w:jc w:val="both"/>
        <w:rPr>
          <w:b/>
          <w:bCs/>
        </w:rPr>
      </w:pPr>
      <w:r w:rsidRPr="00724050">
        <w:rPr>
          <w:b/>
          <w:bCs/>
        </w:rPr>
        <w:t>Conditions – Areas and routes</w:t>
      </w:r>
    </w:p>
    <w:p w14:paraId="3E234485" w14:textId="77777777" w:rsidR="003E2375" w:rsidRDefault="003E2375" w:rsidP="003E2375">
      <w:pPr>
        <w:pStyle w:val="ListParagraph"/>
        <w:ind w:left="1080"/>
        <w:jc w:val="both"/>
        <w:rPr>
          <w:lang w:val="en-US"/>
        </w:rPr>
      </w:pPr>
    </w:p>
    <w:p w14:paraId="6A088658" w14:textId="427D3CF6" w:rsidR="003E2375" w:rsidRDefault="003E2375" w:rsidP="003E2375">
      <w:pPr>
        <w:pStyle w:val="ListParagraph"/>
        <w:numPr>
          <w:ilvl w:val="0"/>
          <w:numId w:val="25"/>
        </w:numPr>
        <w:jc w:val="both"/>
      </w:pPr>
      <w:r>
        <w:t>An eligible vehicle complying with the conditions of this Notice is authorised to operate on the following areas and routes.</w:t>
      </w:r>
    </w:p>
    <w:p w14:paraId="4CD8D9E6" w14:textId="77777777" w:rsidR="00CF75BF" w:rsidRDefault="00CF75BF" w:rsidP="00CF75BF">
      <w:pPr>
        <w:pStyle w:val="ListParagraph"/>
        <w:ind w:left="1440"/>
        <w:jc w:val="both"/>
      </w:pPr>
    </w:p>
    <w:p w14:paraId="6ED89F27" w14:textId="779081FD" w:rsidR="00B04280" w:rsidRDefault="00072BFD" w:rsidP="00D079A0">
      <w:pPr>
        <w:pStyle w:val="ListParagraph"/>
        <w:numPr>
          <w:ilvl w:val="0"/>
          <w:numId w:val="27"/>
        </w:numPr>
        <w:jc w:val="both"/>
      </w:pPr>
      <w:r>
        <w:t xml:space="preserve">an eligible </w:t>
      </w:r>
      <w:r w:rsidR="003F0B23">
        <w:t>special purpose vehicle</w:t>
      </w:r>
      <w:r w:rsidR="00CB5FC3">
        <w:t xml:space="preserve"> or </w:t>
      </w:r>
      <w:r w:rsidR="0010369B">
        <w:t xml:space="preserve">load carrying </w:t>
      </w:r>
      <w:r>
        <w:t xml:space="preserve">vehicle that complies with </w:t>
      </w:r>
      <w:r w:rsidR="001F2E94">
        <w:t>section 13:</w:t>
      </w:r>
    </w:p>
    <w:p w14:paraId="6456202B" w14:textId="77777777" w:rsidR="001F2E94" w:rsidRDefault="001F2E94" w:rsidP="001F2E94">
      <w:pPr>
        <w:pStyle w:val="ListParagraph"/>
        <w:ind w:left="1080"/>
        <w:jc w:val="both"/>
      </w:pPr>
    </w:p>
    <w:p w14:paraId="202A9142" w14:textId="77777777" w:rsidR="00AB12CA" w:rsidRPr="006C664E" w:rsidRDefault="00AB12CA" w:rsidP="00010398">
      <w:pPr>
        <w:pStyle w:val="ListParagraph"/>
        <w:ind w:left="1080"/>
        <w:jc w:val="center"/>
        <w:rPr>
          <w:i/>
          <w:iCs/>
        </w:rPr>
      </w:pPr>
      <w:r w:rsidRPr="006C664E">
        <w:rPr>
          <w:i/>
          <w:iCs/>
        </w:rPr>
        <w:t>Victorian Emergency Response Heavy Vehicle Network</w:t>
      </w:r>
    </w:p>
    <w:p w14:paraId="0CB85193" w14:textId="259C9E05" w:rsidR="001F2E94" w:rsidRDefault="00AB12CA" w:rsidP="00010398">
      <w:pPr>
        <w:pStyle w:val="ListParagraph"/>
        <w:ind w:left="1080"/>
        <w:jc w:val="center"/>
        <w:rPr>
          <w:i/>
          <w:iCs/>
        </w:rPr>
      </w:pPr>
      <w:r w:rsidRPr="006C664E">
        <w:rPr>
          <w:i/>
          <w:iCs/>
        </w:rPr>
        <w:t>(46.0t</w:t>
      </w:r>
      <w:r w:rsidR="00F2333A">
        <w:rPr>
          <w:i/>
          <w:iCs/>
        </w:rPr>
        <w:t xml:space="preserve"> GVM</w:t>
      </w:r>
      <w:r w:rsidRPr="006C664E">
        <w:rPr>
          <w:i/>
          <w:iCs/>
        </w:rPr>
        <w:t>, 3.0m wide, 4.5m high)</w:t>
      </w:r>
    </w:p>
    <w:p w14:paraId="21F58A61" w14:textId="77777777" w:rsidR="00D079A0" w:rsidRPr="006C664E" w:rsidRDefault="00D079A0" w:rsidP="006C664E">
      <w:pPr>
        <w:pStyle w:val="ListParagraph"/>
        <w:ind w:left="1080"/>
        <w:jc w:val="center"/>
        <w:rPr>
          <w:i/>
          <w:iCs/>
        </w:rPr>
      </w:pPr>
    </w:p>
    <w:p w14:paraId="4878D63F" w14:textId="47724B01" w:rsidR="003E2375" w:rsidRDefault="006C664E" w:rsidP="00D079A0">
      <w:pPr>
        <w:pStyle w:val="ListParagraph"/>
        <w:numPr>
          <w:ilvl w:val="0"/>
          <w:numId w:val="27"/>
        </w:numPr>
        <w:jc w:val="both"/>
      </w:pPr>
      <w:r>
        <w:t xml:space="preserve">An eligible </w:t>
      </w:r>
      <w:r w:rsidR="0010369B">
        <w:t xml:space="preserve">load carrying </w:t>
      </w:r>
      <w:r>
        <w:t>vehicle that complies with section 14:</w:t>
      </w:r>
    </w:p>
    <w:p w14:paraId="5D829DC7" w14:textId="77777777" w:rsidR="00D079A0" w:rsidRDefault="00D079A0" w:rsidP="00D079A0">
      <w:pPr>
        <w:pStyle w:val="ListParagraph"/>
        <w:ind w:left="1440"/>
        <w:jc w:val="both"/>
      </w:pPr>
    </w:p>
    <w:p w14:paraId="56894D65" w14:textId="77777777" w:rsidR="00D079A0" w:rsidRDefault="00D079A0" w:rsidP="00010398">
      <w:pPr>
        <w:pStyle w:val="ListParagraph"/>
        <w:ind w:left="1080"/>
        <w:jc w:val="center"/>
        <w:rPr>
          <w:i/>
          <w:iCs/>
        </w:rPr>
      </w:pPr>
      <w:r w:rsidRPr="00D079A0">
        <w:rPr>
          <w:i/>
          <w:iCs/>
        </w:rPr>
        <w:t>Victorian Emergency Response Heavy Vehicle Network</w:t>
      </w:r>
    </w:p>
    <w:p w14:paraId="6416CA9D" w14:textId="555ABAD5" w:rsidR="003E2375" w:rsidRDefault="00D079A0" w:rsidP="00010398">
      <w:pPr>
        <w:pStyle w:val="ListParagraph"/>
        <w:ind w:left="1080"/>
        <w:jc w:val="center"/>
        <w:rPr>
          <w:i/>
          <w:iCs/>
        </w:rPr>
      </w:pPr>
      <w:r w:rsidRPr="00D079A0">
        <w:rPr>
          <w:i/>
          <w:iCs/>
        </w:rPr>
        <w:t>(78.5t GCM, 4.0m wide, 5.0mhigh &amp; 26.0m long)</w:t>
      </w:r>
    </w:p>
    <w:p w14:paraId="6897494F" w14:textId="77777777" w:rsidR="00D079A0" w:rsidRPr="00D079A0" w:rsidRDefault="00D079A0" w:rsidP="00D079A0">
      <w:pPr>
        <w:pStyle w:val="ListParagraph"/>
        <w:ind w:left="1080"/>
        <w:jc w:val="center"/>
        <w:rPr>
          <w:i/>
          <w:iCs/>
        </w:rPr>
      </w:pPr>
    </w:p>
    <w:p w14:paraId="5967D169" w14:textId="77777777" w:rsidR="003E2375" w:rsidRDefault="003E2375" w:rsidP="003E2375">
      <w:pPr>
        <w:pStyle w:val="ListParagraph"/>
        <w:numPr>
          <w:ilvl w:val="0"/>
          <w:numId w:val="25"/>
        </w:numPr>
        <w:jc w:val="both"/>
      </w:pPr>
      <w:r>
        <w:t>For the purposes of section 119(1)(a) of the HVNL, an area or route specified in a Schedule of this Notice is a stated area or route to which this Notice applies.</w:t>
      </w:r>
    </w:p>
    <w:p w14:paraId="7ED983F4" w14:textId="77777777" w:rsidR="003E2375" w:rsidRDefault="003E2375" w:rsidP="003E2375">
      <w:pPr>
        <w:pStyle w:val="ListParagraph"/>
        <w:ind w:left="1080"/>
        <w:jc w:val="both"/>
      </w:pPr>
    </w:p>
    <w:p w14:paraId="79A82D89" w14:textId="77777777" w:rsidR="003E2375" w:rsidRDefault="003E2375" w:rsidP="003E2375">
      <w:pPr>
        <w:pStyle w:val="ListParagraph"/>
        <w:numPr>
          <w:ilvl w:val="0"/>
          <w:numId w:val="25"/>
        </w:numPr>
        <w:jc w:val="both"/>
      </w:pPr>
      <w:r>
        <w:t>An eligible vehicle operating on an area or route specified in this Notice or its Schedules must comply with the following conditions as specified for routes and areas set out on that map:</w:t>
      </w:r>
    </w:p>
    <w:p w14:paraId="43E7D163" w14:textId="77777777" w:rsidR="003E2375" w:rsidRDefault="003E2375" w:rsidP="003E2375">
      <w:pPr>
        <w:pStyle w:val="ListParagraph"/>
        <w:ind w:left="1080"/>
        <w:jc w:val="both"/>
      </w:pPr>
    </w:p>
    <w:p w14:paraId="2F589D1B" w14:textId="77777777" w:rsidR="003E2375" w:rsidRDefault="003E2375" w:rsidP="003E2375">
      <w:pPr>
        <w:pStyle w:val="ListParagraph"/>
        <w:numPr>
          <w:ilvl w:val="0"/>
          <w:numId w:val="26"/>
        </w:numPr>
        <w:jc w:val="both"/>
      </w:pPr>
      <w:r>
        <w:t>Road conditions pursuant to section 160 of the HVNL; and</w:t>
      </w:r>
    </w:p>
    <w:p w14:paraId="758FDBFD" w14:textId="77777777" w:rsidR="003E2375" w:rsidRDefault="003E2375" w:rsidP="003E2375">
      <w:pPr>
        <w:pStyle w:val="ListParagraph"/>
        <w:numPr>
          <w:ilvl w:val="0"/>
          <w:numId w:val="26"/>
        </w:numPr>
        <w:jc w:val="both"/>
      </w:pPr>
      <w:r>
        <w:t>Travel conditions pursuant to section 161 of the HVNL; and</w:t>
      </w:r>
    </w:p>
    <w:p w14:paraId="2AF7682E" w14:textId="77777777" w:rsidR="003E2375" w:rsidRDefault="003E2375" w:rsidP="003E2375">
      <w:pPr>
        <w:pStyle w:val="ListParagraph"/>
        <w:numPr>
          <w:ilvl w:val="0"/>
          <w:numId w:val="26"/>
        </w:numPr>
        <w:jc w:val="both"/>
      </w:pPr>
      <w:r>
        <w:t>Vehicle conditions pursuant to section 162 of the HVNL.</w:t>
      </w:r>
    </w:p>
    <w:p w14:paraId="3DB30657" w14:textId="179BB7B3" w:rsidR="0070549D" w:rsidRPr="00B1077B" w:rsidRDefault="00A22885" w:rsidP="0070549D">
      <w:pPr>
        <w:ind w:left="1440" w:hanging="720"/>
        <w:jc w:val="both"/>
        <w:rPr>
          <w:i/>
          <w:iCs/>
        </w:rPr>
      </w:pPr>
      <w:r w:rsidRPr="00B1077B">
        <w:rPr>
          <w:i/>
          <w:iCs/>
        </w:rPr>
        <w:t>Note:</w:t>
      </w:r>
      <w:r w:rsidR="006603A8" w:rsidRPr="00B1077B">
        <w:rPr>
          <w:i/>
          <w:iCs/>
        </w:rPr>
        <w:tab/>
        <w:t xml:space="preserve">the networks in this section </w:t>
      </w:r>
      <w:r w:rsidR="00866367">
        <w:rPr>
          <w:i/>
          <w:iCs/>
        </w:rPr>
        <w:t>a</w:t>
      </w:r>
      <w:r w:rsidR="006603A8" w:rsidRPr="00B1077B">
        <w:rPr>
          <w:i/>
          <w:iCs/>
        </w:rPr>
        <w:t xml:space="preserve">re maintained by </w:t>
      </w:r>
      <w:r w:rsidR="003C0896" w:rsidRPr="003C0896">
        <w:rPr>
          <w:i/>
          <w:iCs/>
        </w:rPr>
        <w:t>Victorian Department of Transport and Planning</w:t>
      </w:r>
      <w:r w:rsidR="003C0896">
        <w:rPr>
          <w:i/>
          <w:iCs/>
        </w:rPr>
        <w:t xml:space="preserve"> </w:t>
      </w:r>
      <w:r w:rsidR="006603A8" w:rsidRPr="00B1077B">
        <w:rPr>
          <w:i/>
          <w:iCs/>
        </w:rPr>
        <w:t>and are published on its website.</w:t>
      </w:r>
    </w:p>
    <w:sectPr w:rsidR="0070549D" w:rsidRPr="00B1077B" w:rsidSect="00D3429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8593" w14:textId="77777777" w:rsidR="00C739FB" w:rsidRDefault="00C739FB" w:rsidP="00D34295">
      <w:pPr>
        <w:spacing w:after="0" w:line="240" w:lineRule="auto"/>
      </w:pPr>
      <w:r>
        <w:separator/>
      </w:r>
    </w:p>
  </w:endnote>
  <w:endnote w:type="continuationSeparator" w:id="0">
    <w:p w14:paraId="158076C5" w14:textId="77777777" w:rsidR="00C739FB" w:rsidRDefault="00C739FB" w:rsidP="00D3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D681" w14:textId="77777777" w:rsidR="0014741A" w:rsidRDefault="0014741A" w:rsidP="0014741A">
    <w:pPr>
      <w:pStyle w:val="Footer"/>
    </w:pPr>
  </w:p>
  <w:sdt>
    <w:sdtPr>
      <w:id w:val="-554319825"/>
      <w:docPartObj>
        <w:docPartGallery w:val="Page Numbers (Bottom of Page)"/>
        <w:docPartUnique/>
      </w:docPartObj>
    </w:sdtPr>
    <w:sdtContent>
      <w:sdt>
        <w:sdtPr>
          <w:id w:val="976889392"/>
          <w:docPartObj>
            <w:docPartGallery w:val="Page Numbers (Top of Page)"/>
            <w:docPartUnique/>
          </w:docPartObj>
        </w:sdtPr>
        <w:sdtContent>
          <w:p w14:paraId="11A3E8BC" w14:textId="77777777" w:rsidR="0014741A" w:rsidRDefault="0014741A" w:rsidP="0014741A">
            <w:pPr>
              <w:pStyle w:val="Footer"/>
              <w:jc w:val="right"/>
            </w:pPr>
            <w:r>
              <w:t>Victoria Class 1 Emergency Management Mass &amp; Dimension Exemption Notice 2023 (No.1)</w:t>
            </w:r>
          </w:p>
          <w:p w14:paraId="698DF518" w14:textId="6C98632B" w:rsidR="0014741A" w:rsidRDefault="0014741A" w:rsidP="0014741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A5CA" w14:textId="77777777" w:rsidR="00D34295" w:rsidRDefault="00D34295" w:rsidP="00D34295">
    <w:pPr>
      <w:pStyle w:val="Footer"/>
    </w:pPr>
  </w:p>
  <w:sdt>
    <w:sdtPr>
      <w:id w:val="1441791251"/>
      <w:docPartObj>
        <w:docPartGallery w:val="Page Numbers (Bottom of Page)"/>
        <w:docPartUnique/>
      </w:docPartObj>
    </w:sdtPr>
    <w:sdtContent>
      <w:sdt>
        <w:sdtPr>
          <w:id w:val="-1769616900"/>
          <w:docPartObj>
            <w:docPartGallery w:val="Page Numbers (Top of Page)"/>
            <w:docPartUnique/>
          </w:docPartObj>
        </w:sdtPr>
        <w:sdtContent>
          <w:p w14:paraId="4265C55A" w14:textId="477D8584" w:rsidR="00D34295" w:rsidRDefault="00D34295">
            <w:pPr>
              <w:pStyle w:val="Footer"/>
              <w:jc w:val="right"/>
            </w:pPr>
            <w:r>
              <w:t>Victoria Class 1 Emergency Management Mass &amp; Dimension Exemption Notice 2023 (No.1)</w:t>
            </w:r>
          </w:p>
          <w:p w14:paraId="3321B269" w14:textId="1A802DB2" w:rsidR="00D34295" w:rsidRDefault="00D342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9E85A8" w14:textId="77777777" w:rsidR="00D34295" w:rsidRDefault="00D3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8A6B" w14:textId="77777777" w:rsidR="00C739FB" w:rsidRDefault="00C739FB" w:rsidP="00D34295">
      <w:pPr>
        <w:spacing w:after="0" w:line="240" w:lineRule="auto"/>
      </w:pPr>
      <w:r>
        <w:separator/>
      </w:r>
    </w:p>
  </w:footnote>
  <w:footnote w:type="continuationSeparator" w:id="0">
    <w:p w14:paraId="459AF474" w14:textId="77777777" w:rsidR="00C739FB" w:rsidRDefault="00C739FB" w:rsidP="00D3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4A474C" w:rsidRPr="00CE796A" w14:paraId="753848A0" w14:textId="77777777" w:rsidTr="006053F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B777A4A" w14:textId="77777777" w:rsidR="004A474C" w:rsidRPr="00CE796A" w:rsidRDefault="004A474C" w:rsidP="004A474C">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DB7D75E" wp14:editId="20CE200B">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19B4054" w14:textId="77777777" w:rsidR="004A474C" w:rsidRPr="00CE796A" w:rsidRDefault="004A474C" w:rsidP="004A474C">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BFF8904" w14:textId="77777777" w:rsidR="004A474C" w:rsidRPr="00CE796A" w:rsidRDefault="004A474C" w:rsidP="004A474C">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A474C" w:rsidRPr="00CE796A" w14:paraId="450E3945" w14:textId="77777777" w:rsidTr="006053F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470ABA" w14:textId="77777777" w:rsidR="004A474C" w:rsidRPr="00CE796A" w:rsidRDefault="004A474C" w:rsidP="004A474C">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F734AED" w14:textId="77777777" w:rsidR="004A474C" w:rsidRPr="00840A06" w:rsidRDefault="004A474C" w:rsidP="004A474C">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16EBAC4F" w14:textId="77777777" w:rsidR="004D3130" w:rsidRDefault="004D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E22"/>
    <w:multiLevelType w:val="hybridMultilevel"/>
    <w:tmpl w:val="6F7C6A4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BE1610"/>
    <w:multiLevelType w:val="hybridMultilevel"/>
    <w:tmpl w:val="3992048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D931E1"/>
    <w:multiLevelType w:val="hybridMultilevel"/>
    <w:tmpl w:val="6F7C6A4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1201A11"/>
    <w:multiLevelType w:val="hybridMultilevel"/>
    <w:tmpl w:val="8B9C6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FD2E4F"/>
    <w:multiLevelType w:val="hybridMultilevel"/>
    <w:tmpl w:val="6F7C6A4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F82B9B"/>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F012ABB"/>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AEB29E5"/>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367058"/>
    <w:multiLevelType w:val="hybridMultilevel"/>
    <w:tmpl w:val="6F7C6A4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EB63446"/>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F76091E"/>
    <w:multiLevelType w:val="hybridMultilevel"/>
    <w:tmpl w:val="04127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5D597F"/>
    <w:multiLevelType w:val="hybridMultilevel"/>
    <w:tmpl w:val="2FB6A0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A4196B"/>
    <w:multiLevelType w:val="hybridMultilevel"/>
    <w:tmpl w:val="6F7C6A4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E161B75"/>
    <w:multiLevelType w:val="hybridMultilevel"/>
    <w:tmpl w:val="05FE2864"/>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4C3D7302"/>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05B0199"/>
    <w:multiLevelType w:val="hybridMultilevel"/>
    <w:tmpl w:val="E722B76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AB471E2"/>
    <w:multiLevelType w:val="hybridMultilevel"/>
    <w:tmpl w:val="63481CA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60C10D31"/>
    <w:multiLevelType w:val="hybridMultilevel"/>
    <w:tmpl w:val="99E2F0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62257F83"/>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56A684F"/>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6575F25"/>
    <w:multiLevelType w:val="hybridMultilevel"/>
    <w:tmpl w:val="6F7C6A4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7AD2063"/>
    <w:multiLevelType w:val="hybridMultilevel"/>
    <w:tmpl w:val="70EED37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CB34E1B"/>
    <w:multiLevelType w:val="hybridMultilevel"/>
    <w:tmpl w:val="6352B0F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6E3C364A"/>
    <w:multiLevelType w:val="hybridMultilevel"/>
    <w:tmpl w:val="E722B76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1A22C64"/>
    <w:multiLevelType w:val="hybridMultilevel"/>
    <w:tmpl w:val="6F7C6A4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45A675A"/>
    <w:multiLevelType w:val="hybridMultilevel"/>
    <w:tmpl w:val="562C59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F7046A7"/>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85373933">
    <w:abstractNumId w:val="18"/>
  </w:num>
  <w:num w:numId="2" w16cid:durableId="1668048097">
    <w:abstractNumId w:val="11"/>
  </w:num>
  <w:num w:numId="3" w16cid:durableId="1982802208">
    <w:abstractNumId w:val="12"/>
  </w:num>
  <w:num w:numId="4" w16cid:durableId="207031463">
    <w:abstractNumId w:val="1"/>
  </w:num>
  <w:num w:numId="5" w16cid:durableId="808863474">
    <w:abstractNumId w:val="2"/>
  </w:num>
  <w:num w:numId="6" w16cid:durableId="952520752">
    <w:abstractNumId w:val="17"/>
  </w:num>
  <w:num w:numId="7" w16cid:durableId="567542473">
    <w:abstractNumId w:val="23"/>
  </w:num>
  <w:num w:numId="8" w16cid:durableId="1134448105">
    <w:abstractNumId w:val="9"/>
  </w:num>
  <w:num w:numId="9" w16cid:durableId="1174539152">
    <w:abstractNumId w:val="22"/>
  </w:num>
  <w:num w:numId="10" w16cid:durableId="758529288">
    <w:abstractNumId w:val="21"/>
  </w:num>
  <w:num w:numId="11" w16cid:durableId="1483349683">
    <w:abstractNumId w:val="26"/>
  </w:num>
  <w:num w:numId="12" w16cid:durableId="1703090198">
    <w:abstractNumId w:val="16"/>
  </w:num>
  <w:num w:numId="13" w16cid:durableId="433214134">
    <w:abstractNumId w:val="4"/>
  </w:num>
  <w:num w:numId="14" w16cid:durableId="1937403900">
    <w:abstractNumId w:val="24"/>
  </w:num>
  <w:num w:numId="15" w16cid:durableId="400180077">
    <w:abstractNumId w:val="3"/>
  </w:num>
  <w:num w:numId="16" w16cid:durableId="859785288">
    <w:abstractNumId w:val="5"/>
  </w:num>
  <w:num w:numId="17" w16cid:durableId="403992043">
    <w:abstractNumId w:val="7"/>
  </w:num>
  <w:num w:numId="18" w16cid:durableId="686829319">
    <w:abstractNumId w:val="13"/>
  </w:num>
  <w:num w:numId="19" w16cid:durableId="2053189593">
    <w:abstractNumId w:val="19"/>
  </w:num>
  <w:num w:numId="20" w16cid:durableId="1864901908">
    <w:abstractNumId w:val="25"/>
  </w:num>
  <w:num w:numId="21" w16cid:durableId="1371034195">
    <w:abstractNumId w:val="20"/>
  </w:num>
  <w:num w:numId="22" w16cid:durableId="1012950003">
    <w:abstractNumId w:val="0"/>
  </w:num>
  <w:num w:numId="23" w16cid:durableId="909467544">
    <w:abstractNumId w:val="15"/>
  </w:num>
  <w:num w:numId="24" w16cid:durableId="903875033">
    <w:abstractNumId w:val="10"/>
  </w:num>
  <w:num w:numId="25" w16cid:durableId="1088310443">
    <w:abstractNumId w:val="8"/>
  </w:num>
  <w:num w:numId="26" w16cid:durableId="950628813">
    <w:abstractNumId w:val="6"/>
  </w:num>
  <w:num w:numId="27" w16cid:durableId="472988416">
    <w:abstractNumId w:val="27"/>
  </w:num>
  <w:num w:numId="28" w16cid:durableId="17231380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5F"/>
    <w:rsid w:val="00010398"/>
    <w:rsid w:val="00045E8C"/>
    <w:rsid w:val="0006421B"/>
    <w:rsid w:val="00072BFD"/>
    <w:rsid w:val="000743A1"/>
    <w:rsid w:val="000A0B32"/>
    <w:rsid w:val="000A5F82"/>
    <w:rsid w:val="000C4EF5"/>
    <w:rsid w:val="00101031"/>
    <w:rsid w:val="00101681"/>
    <w:rsid w:val="0010369B"/>
    <w:rsid w:val="00140951"/>
    <w:rsid w:val="0014741A"/>
    <w:rsid w:val="00147C81"/>
    <w:rsid w:val="00147FF6"/>
    <w:rsid w:val="0015279C"/>
    <w:rsid w:val="00152F29"/>
    <w:rsid w:val="001657B1"/>
    <w:rsid w:val="00170E9C"/>
    <w:rsid w:val="0019463E"/>
    <w:rsid w:val="001A5771"/>
    <w:rsid w:val="001B158C"/>
    <w:rsid w:val="001C131F"/>
    <w:rsid w:val="001C4433"/>
    <w:rsid w:val="001F2E94"/>
    <w:rsid w:val="00220CD0"/>
    <w:rsid w:val="00246B06"/>
    <w:rsid w:val="00262931"/>
    <w:rsid w:val="00263FE8"/>
    <w:rsid w:val="00292E6E"/>
    <w:rsid w:val="002A2346"/>
    <w:rsid w:val="002C0A99"/>
    <w:rsid w:val="002C3331"/>
    <w:rsid w:val="002D5F11"/>
    <w:rsid w:val="002E16F3"/>
    <w:rsid w:val="003075C5"/>
    <w:rsid w:val="00324BE8"/>
    <w:rsid w:val="003300F8"/>
    <w:rsid w:val="0033026B"/>
    <w:rsid w:val="00330666"/>
    <w:rsid w:val="00341281"/>
    <w:rsid w:val="00355A16"/>
    <w:rsid w:val="003573A9"/>
    <w:rsid w:val="003642E0"/>
    <w:rsid w:val="00371717"/>
    <w:rsid w:val="003729CB"/>
    <w:rsid w:val="003741C2"/>
    <w:rsid w:val="00374A07"/>
    <w:rsid w:val="00382B10"/>
    <w:rsid w:val="003834B8"/>
    <w:rsid w:val="003909C3"/>
    <w:rsid w:val="003915D1"/>
    <w:rsid w:val="00392F12"/>
    <w:rsid w:val="003C0896"/>
    <w:rsid w:val="003C1087"/>
    <w:rsid w:val="003E2375"/>
    <w:rsid w:val="003F0B23"/>
    <w:rsid w:val="004327F7"/>
    <w:rsid w:val="0043354F"/>
    <w:rsid w:val="004422DE"/>
    <w:rsid w:val="0046479C"/>
    <w:rsid w:val="0046659E"/>
    <w:rsid w:val="00470BC4"/>
    <w:rsid w:val="004745FE"/>
    <w:rsid w:val="00486F4E"/>
    <w:rsid w:val="004A474C"/>
    <w:rsid w:val="004B0E38"/>
    <w:rsid w:val="004C4F13"/>
    <w:rsid w:val="004D3130"/>
    <w:rsid w:val="0050055F"/>
    <w:rsid w:val="005054A8"/>
    <w:rsid w:val="0051550F"/>
    <w:rsid w:val="0052199C"/>
    <w:rsid w:val="0052387D"/>
    <w:rsid w:val="00546A43"/>
    <w:rsid w:val="00552271"/>
    <w:rsid w:val="00585A1C"/>
    <w:rsid w:val="00585E96"/>
    <w:rsid w:val="005B0B6E"/>
    <w:rsid w:val="005D19A0"/>
    <w:rsid w:val="005D6A9E"/>
    <w:rsid w:val="0062400A"/>
    <w:rsid w:val="006338CE"/>
    <w:rsid w:val="00637780"/>
    <w:rsid w:val="00645BBA"/>
    <w:rsid w:val="00647691"/>
    <w:rsid w:val="006557E4"/>
    <w:rsid w:val="006603A8"/>
    <w:rsid w:val="0066718F"/>
    <w:rsid w:val="006715C7"/>
    <w:rsid w:val="00674C53"/>
    <w:rsid w:val="006A3E57"/>
    <w:rsid w:val="006B627C"/>
    <w:rsid w:val="006C083D"/>
    <w:rsid w:val="006C664E"/>
    <w:rsid w:val="006E667A"/>
    <w:rsid w:val="0070549D"/>
    <w:rsid w:val="00726C35"/>
    <w:rsid w:val="0073214A"/>
    <w:rsid w:val="00732C8E"/>
    <w:rsid w:val="00733BB0"/>
    <w:rsid w:val="007447FC"/>
    <w:rsid w:val="00796726"/>
    <w:rsid w:val="00797475"/>
    <w:rsid w:val="007A5770"/>
    <w:rsid w:val="007B4C12"/>
    <w:rsid w:val="007D7C81"/>
    <w:rsid w:val="007F5AE8"/>
    <w:rsid w:val="00804C88"/>
    <w:rsid w:val="008065B2"/>
    <w:rsid w:val="00810AF9"/>
    <w:rsid w:val="00814460"/>
    <w:rsid w:val="00825B5C"/>
    <w:rsid w:val="00850E96"/>
    <w:rsid w:val="0085421D"/>
    <w:rsid w:val="00861AFC"/>
    <w:rsid w:val="00864D8F"/>
    <w:rsid w:val="00866367"/>
    <w:rsid w:val="00895952"/>
    <w:rsid w:val="008A2F57"/>
    <w:rsid w:val="008A34AC"/>
    <w:rsid w:val="008B6A33"/>
    <w:rsid w:val="008C7B3D"/>
    <w:rsid w:val="008E619C"/>
    <w:rsid w:val="00917D1D"/>
    <w:rsid w:val="00921D61"/>
    <w:rsid w:val="00940132"/>
    <w:rsid w:val="009453DD"/>
    <w:rsid w:val="00947F9A"/>
    <w:rsid w:val="0095793F"/>
    <w:rsid w:val="009734C2"/>
    <w:rsid w:val="00986B7D"/>
    <w:rsid w:val="0099645F"/>
    <w:rsid w:val="009A7B3A"/>
    <w:rsid w:val="009D32C8"/>
    <w:rsid w:val="009F6839"/>
    <w:rsid w:val="00A0363E"/>
    <w:rsid w:val="00A177FA"/>
    <w:rsid w:val="00A20F4B"/>
    <w:rsid w:val="00A22885"/>
    <w:rsid w:val="00A26E97"/>
    <w:rsid w:val="00A72556"/>
    <w:rsid w:val="00A766C4"/>
    <w:rsid w:val="00A86084"/>
    <w:rsid w:val="00AA7FE5"/>
    <w:rsid w:val="00AB12CA"/>
    <w:rsid w:val="00AD0DC4"/>
    <w:rsid w:val="00AE7C56"/>
    <w:rsid w:val="00AF21A7"/>
    <w:rsid w:val="00B04280"/>
    <w:rsid w:val="00B07C7F"/>
    <w:rsid w:val="00B1077B"/>
    <w:rsid w:val="00B123D0"/>
    <w:rsid w:val="00B25A79"/>
    <w:rsid w:val="00B37F26"/>
    <w:rsid w:val="00B72F10"/>
    <w:rsid w:val="00B7688B"/>
    <w:rsid w:val="00B778D6"/>
    <w:rsid w:val="00B81D4F"/>
    <w:rsid w:val="00B84545"/>
    <w:rsid w:val="00B900B9"/>
    <w:rsid w:val="00BA1A15"/>
    <w:rsid w:val="00BA2938"/>
    <w:rsid w:val="00BA5521"/>
    <w:rsid w:val="00BD4D27"/>
    <w:rsid w:val="00C03A21"/>
    <w:rsid w:val="00C37E0F"/>
    <w:rsid w:val="00C41961"/>
    <w:rsid w:val="00C739FB"/>
    <w:rsid w:val="00C91EDC"/>
    <w:rsid w:val="00CB5FC3"/>
    <w:rsid w:val="00CC52BD"/>
    <w:rsid w:val="00CC70BE"/>
    <w:rsid w:val="00CC7245"/>
    <w:rsid w:val="00CD2CFC"/>
    <w:rsid w:val="00CD6522"/>
    <w:rsid w:val="00CE2C77"/>
    <w:rsid w:val="00CF002C"/>
    <w:rsid w:val="00CF75BF"/>
    <w:rsid w:val="00D079A0"/>
    <w:rsid w:val="00D118D7"/>
    <w:rsid w:val="00D24FB1"/>
    <w:rsid w:val="00D3042A"/>
    <w:rsid w:val="00D34295"/>
    <w:rsid w:val="00D41DE6"/>
    <w:rsid w:val="00D47D8E"/>
    <w:rsid w:val="00D71931"/>
    <w:rsid w:val="00D81F6E"/>
    <w:rsid w:val="00DB51E0"/>
    <w:rsid w:val="00DC2EAF"/>
    <w:rsid w:val="00DD0804"/>
    <w:rsid w:val="00DF02F2"/>
    <w:rsid w:val="00DF6183"/>
    <w:rsid w:val="00E13FDA"/>
    <w:rsid w:val="00E23456"/>
    <w:rsid w:val="00E60303"/>
    <w:rsid w:val="00E60ED4"/>
    <w:rsid w:val="00E65201"/>
    <w:rsid w:val="00E826A3"/>
    <w:rsid w:val="00E868A1"/>
    <w:rsid w:val="00EC227C"/>
    <w:rsid w:val="00F13D20"/>
    <w:rsid w:val="00F2333A"/>
    <w:rsid w:val="00F471FE"/>
    <w:rsid w:val="00F56156"/>
    <w:rsid w:val="00F620CF"/>
    <w:rsid w:val="00F623AE"/>
    <w:rsid w:val="00F6471E"/>
    <w:rsid w:val="00F90A87"/>
    <w:rsid w:val="00FA0E9E"/>
    <w:rsid w:val="00FB2480"/>
    <w:rsid w:val="00FD595A"/>
    <w:rsid w:val="00FD69E1"/>
    <w:rsid w:val="00FF0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0D9A6"/>
  <w15:chartTrackingRefBased/>
  <w15:docId w15:val="{1D13EEC9-C06B-4971-BF56-A98AEA5D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27C"/>
    <w:pPr>
      <w:ind w:left="720"/>
      <w:contextualSpacing/>
    </w:pPr>
  </w:style>
  <w:style w:type="paragraph" w:styleId="Header">
    <w:name w:val="header"/>
    <w:basedOn w:val="Normal"/>
    <w:link w:val="HeaderChar"/>
    <w:uiPriority w:val="99"/>
    <w:unhideWhenUsed/>
    <w:rsid w:val="00D34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295"/>
  </w:style>
  <w:style w:type="paragraph" w:styleId="Footer">
    <w:name w:val="footer"/>
    <w:basedOn w:val="Normal"/>
    <w:link w:val="FooterChar"/>
    <w:uiPriority w:val="99"/>
    <w:unhideWhenUsed/>
    <w:rsid w:val="00D34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295"/>
  </w:style>
  <w:style w:type="character" w:styleId="CommentReference">
    <w:name w:val="annotation reference"/>
    <w:basedOn w:val="DefaultParagraphFont"/>
    <w:uiPriority w:val="99"/>
    <w:semiHidden/>
    <w:unhideWhenUsed/>
    <w:rsid w:val="00647691"/>
    <w:rPr>
      <w:sz w:val="16"/>
      <w:szCs w:val="16"/>
    </w:rPr>
  </w:style>
  <w:style w:type="paragraph" w:styleId="CommentText">
    <w:name w:val="annotation text"/>
    <w:basedOn w:val="Normal"/>
    <w:link w:val="CommentTextChar"/>
    <w:uiPriority w:val="99"/>
    <w:unhideWhenUsed/>
    <w:rsid w:val="00647691"/>
    <w:pPr>
      <w:spacing w:line="240" w:lineRule="auto"/>
    </w:pPr>
    <w:rPr>
      <w:sz w:val="20"/>
      <w:szCs w:val="20"/>
    </w:rPr>
  </w:style>
  <w:style w:type="character" w:customStyle="1" w:styleId="CommentTextChar">
    <w:name w:val="Comment Text Char"/>
    <w:basedOn w:val="DefaultParagraphFont"/>
    <w:link w:val="CommentText"/>
    <w:uiPriority w:val="99"/>
    <w:rsid w:val="00647691"/>
    <w:rPr>
      <w:sz w:val="20"/>
      <w:szCs w:val="20"/>
    </w:rPr>
  </w:style>
  <w:style w:type="paragraph" w:styleId="CommentSubject">
    <w:name w:val="annotation subject"/>
    <w:basedOn w:val="CommentText"/>
    <w:next w:val="CommentText"/>
    <w:link w:val="CommentSubjectChar"/>
    <w:uiPriority w:val="99"/>
    <w:semiHidden/>
    <w:unhideWhenUsed/>
    <w:rsid w:val="00647691"/>
    <w:rPr>
      <w:b/>
      <w:bCs/>
    </w:rPr>
  </w:style>
  <w:style w:type="character" w:customStyle="1" w:styleId="CommentSubjectChar">
    <w:name w:val="Comment Subject Char"/>
    <w:basedOn w:val="CommentTextChar"/>
    <w:link w:val="CommentSubject"/>
    <w:uiPriority w:val="99"/>
    <w:semiHidden/>
    <w:rsid w:val="00647691"/>
    <w:rPr>
      <w:b/>
      <w:bCs/>
      <w:sz w:val="20"/>
      <w:szCs w:val="20"/>
    </w:rPr>
  </w:style>
  <w:style w:type="table" w:styleId="TableGrid">
    <w:name w:val="Table Grid"/>
    <w:basedOn w:val="TableNormal"/>
    <w:uiPriority w:val="39"/>
    <w:rsid w:val="0062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D8F"/>
    <w:rPr>
      <w:color w:val="0563C1" w:themeColor="hyperlink"/>
      <w:u w:val="single"/>
    </w:rPr>
  </w:style>
  <w:style w:type="character" w:styleId="UnresolvedMention">
    <w:name w:val="Unresolved Mention"/>
    <w:basedOn w:val="DefaultParagraphFont"/>
    <w:uiPriority w:val="99"/>
    <w:semiHidden/>
    <w:unhideWhenUsed/>
    <w:rsid w:val="00864D8F"/>
    <w:rPr>
      <w:color w:val="605E5C"/>
      <w:shd w:val="clear" w:color="auto" w:fill="E1DFDD"/>
    </w:rPr>
  </w:style>
  <w:style w:type="paragraph" w:styleId="BalloonText">
    <w:name w:val="Balloon Text"/>
    <w:basedOn w:val="Normal"/>
    <w:link w:val="BalloonTextChar"/>
    <w:uiPriority w:val="99"/>
    <w:semiHidden/>
    <w:unhideWhenUsed/>
    <w:rsid w:val="00364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K a p i s h F i l e n a m e T o U r i M a p p i n g s   x m l n s : x s d = " h t t p : / / w w w . w 3 . o r g / 2 0 0 1 / X M L S c h e m a "   x m l n s : x s i = " h t t p : / / w w w . w 3 . o r g / 2 0 0 1 / X M L S c h e m a - i n s t a n c e " / > 
</file>

<file path=customXml/item5.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5" ma:contentTypeDescription="Create a new document." ma:contentTypeScope="" ma:versionID="2470763c3bb8fd391469142fd48bcdff">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e6b6330ba7df0a714de88ba6034b60bb"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72F79-5FB9-45B5-B263-393D9D62819D}">
  <ds:schemaRefs>
    <ds:schemaRef ds:uri="http://schemas.microsoft.com/office/2006/metadata/properties"/>
    <ds:schemaRef ds:uri="http://schemas.microsoft.com/office/infopath/2007/PartnerControls"/>
    <ds:schemaRef ds:uri="45ab7314-6ee2-4801-b2cf-a27306d55ce5"/>
    <ds:schemaRef ds:uri="73f7d1ba-ac27-4bcb-a5b6-37981e86af6e"/>
  </ds:schemaRefs>
</ds:datastoreItem>
</file>

<file path=customXml/itemProps2.xml><?xml version="1.0" encoding="utf-8"?>
<ds:datastoreItem xmlns:ds="http://schemas.openxmlformats.org/officeDocument/2006/customXml" ds:itemID="{5C702BB4-1693-4D18-BDA4-8748B7C60DE1}">
  <ds:schemaRefs>
    <ds:schemaRef ds:uri="http://schemas.microsoft.com/sharepoint/v3/contenttype/forms"/>
  </ds:schemaRefs>
</ds:datastoreItem>
</file>

<file path=customXml/itemProps3.xml><?xml version="1.0" encoding="utf-8"?>
<ds:datastoreItem xmlns:ds="http://schemas.openxmlformats.org/officeDocument/2006/customXml" ds:itemID="{7D4B747D-2699-4620-B651-7A105B4EFB48}">
  <ds:schemaRefs>
    <ds:schemaRef ds:uri="http://schemas.openxmlformats.org/officeDocument/2006/bibliography"/>
  </ds:schemaRefs>
</ds:datastoreItem>
</file>

<file path=customXml/itemProps4.xml><?xml version="1.0" encoding="utf-8"?>
<ds:datastoreItem xmlns:ds="http://schemas.openxmlformats.org/officeDocument/2006/customXml" ds:itemID="{E465E26E-66DE-4A5A-B0C8-5A9E88B9CFCB}">
  <ds:schemaRefs>
    <ds:schemaRef ds:uri="http://www.w3.org/2001/XMLSchema"/>
  </ds:schemaRefs>
</ds:datastoreItem>
</file>

<file path=customXml/itemProps5.xml><?xml version="1.0" encoding="utf-8"?>
<ds:datastoreItem xmlns:ds="http://schemas.openxmlformats.org/officeDocument/2006/customXml" ds:itemID="{EBADFAB8-9BB1-4BD6-BC24-5D7FBA749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Roneel Ram</cp:lastModifiedBy>
  <cp:revision>4</cp:revision>
  <cp:lastPrinted>2023-07-24T03:53:00Z</cp:lastPrinted>
  <dcterms:created xsi:type="dcterms:W3CDTF">2023-07-24T04:04:00Z</dcterms:created>
  <dcterms:modified xsi:type="dcterms:W3CDTF">2023-07-24T04:07:00Z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Status">
    <vt:lpwstr>Starting</vt:lpwstr>
  </property>
  <property fmtid="{D5CDD505-2E9C-101B-9397-08002B2CF9AE}" pid="4" name="MediaServiceImageTags">
    <vt:lpwstr/>
  </property>
</Properties>
</file>