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5952" w14:textId="1F9E55D1" w:rsidR="004B2753" w:rsidRDefault="00650D73" w:rsidP="00650D73">
      <w:pPr>
        <w:jc w:val="center"/>
      </w:pPr>
      <w:r w:rsidRPr="00FF201F">
        <w:rPr>
          <w:noProof/>
          <w:sz w:val="18"/>
          <w:szCs w:val="18"/>
        </w:rPr>
        <w:drawing>
          <wp:inline distT="0" distB="0" distL="0" distR="0" wp14:anchorId="184EEECC" wp14:editId="272BD79C">
            <wp:extent cx="1133475" cy="832152"/>
            <wp:effectExtent l="0" t="0" r="0" b="635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195863" cy="877955"/>
                    </a:xfrm>
                    <a:prstGeom prst="rect">
                      <a:avLst/>
                    </a:prstGeom>
                  </pic:spPr>
                </pic:pic>
              </a:graphicData>
            </a:graphic>
          </wp:inline>
        </w:drawing>
      </w:r>
    </w:p>
    <w:p w14:paraId="4EE8B6B9" w14:textId="77777777" w:rsidR="00650D73" w:rsidRPr="00F61F16" w:rsidRDefault="00650D73" w:rsidP="00650D73">
      <w:pPr>
        <w:tabs>
          <w:tab w:val="center" w:pos="4513"/>
          <w:tab w:val="right" w:pos="9026"/>
        </w:tabs>
        <w:spacing w:before="120" w:after="0" w:line="240" w:lineRule="auto"/>
        <w:jc w:val="center"/>
        <w:rPr>
          <w:rFonts w:ascii="Times New Roman" w:hAnsi="Times New Roman"/>
          <w:b/>
          <w:lang w:eastAsia="en-AU"/>
        </w:rPr>
      </w:pPr>
      <w:r w:rsidRPr="00F61F16">
        <w:rPr>
          <w:rFonts w:ascii="Times New Roman" w:hAnsi="Times New Roman"/>
          <w:b/>
          <w:lang w:eastAsia="en-AU"/>
        </w:rPr>
        <w:t>SENATOR THE HON MURRAY WATT</w:t>
      </w:r>
    </w:p>
    <w:p w14:paraId="50B6A5A8" w14:textId="77777777" w:rsidR="00650D73" w:rsidRPr="00F61F16" w:rsidRDefault="00650D73" w:rsidP="00650D73">
      <w:pPr>
        <w:tabs>
          <w:tab w:val="center" w:pos="4513"/>
          <w:tab w:val="right" w:pos="9026"/>
        </w:tabs>
        <w:spacing w:after="0" w:line="240" w:lineRule="auto"/>
        <w:jc w:val="center"/>
        <w:rPr>
          <w:rFonts w:ascii="Times New Roman" w:hAnsi="Times New Roman"/>
          <w:b/>
          <w:lang w:eastAsia="en-AU"/>
        </w:rPr>
      </w:pPr>
      <w:r w:rsidRPr="00F61F16">
        <w:rPr>
          <w:rFonts w:ascii="Times New Roman" w:hAnsi="Times New Roman"/>
          <w:b/>
          <w:lang w:eastAsia="en-AU"/>
        </w:rPr>
        <w:t>MINISTER FOR AGRICULTURE, FISHERIES AND FORESTRY</w:t>
      </w:r>
    </w:p>
    <w:p w14:paraId="09FDFEB1" w14:textId="77777777" w:rsidR="00650D73" w:rsidRDefault="00650D73" w:rsidP="00650D73">
      <w:pPr>
        <w:tabs>
          <w:tab w:val="center" w:pos="4513"/>
          <w:tab w:val="right" w:pos="9026"/>
        </w:tabs>
        <w:spacing w:after="0" w:line="240" w:lineRule="auto"/>
        <w:jc w:val="center"/>
        <w:rPr>
          <w:rFonts w:ascii="Times New Roman" w:hAnsi="Times New Roman"/>
          <w:b/>
          <w:lang w:eastAsia="en-AU"/>
        </w:rPr>
      </w:pPr>
      <w:r w:rsidRPr="00F61F16">
        <w:rPr>
          <w:rFonts w:ascii="Times New Roman" w:hAnsi="Times New Roman"/>
          <w:b/>
          <w:lang w:eastAsia="en-AU"/>
        </w:rPr>
        <w:t>MINISTER FOR EMERGENCY MANAGEMENT</w:t>
      </w:r>
    </w:p>
    <w:p w14:paraId="7EB37403" w14:textId="77777777" w:rsidR="006757F6" w:rsidRDefault="006757F6" w:rsidP="00650D73">
      <w:pPr>
        <w:tabs>
          <w:tab w:val="center" w:pos="4513"/>
          <w:tab w:val="right" w:pos="9026"/>
        </w:tabs>
        <w:spacing w:after="0" w:line="240" w:lineRule="auto"/>
        <w:jc w:val="center"/>
        <w:rPr>
          <w:rFonts w:ascii="Times New Roman" w:hAnsi="Times New Roman"/>
          <w:b/>
          <w:lang w:eastAsia="en-AU"/>
        </w:rPr>
      </w:pPr>
    </w:p>
    <w:p w14:paraId="1A2CA1F8" w14:textId="77777777" w:rsidR="006757F6" w:rsidRPr="00FF72DC" w:rsidRDefault="006757F6" w:rsidP="006757F6">
      <w:pPr>
        <w:spacing w:after="0" w:line="240" w:lineRule="auto"/>
        <w:jc w:val="center"/>
        <w:rPr>
          <w:rFonts w:ascii="Times New Roman" w:hAnsi="Times New Roman"/>
          <w:b/>
          <w:bCs/>
          <w:sz w:val="24"/>
          <w:szCs w:val="24"/>
        </w:rPr>
      </w:pPr>
      <w:r w:rsidRPr="00FF72DC">
        <w:rPr>
          <w:rFonts w:ascii="Times New Roman" w:hAnsi="Times New Roman"/>
          <w:b/>
          <w:bCs/>
          <w:i/>
          <w:iCs/>
          <w:sz w:val="24"/>
          <w:szCs w:val="24"/>
        </w:rPr>
        <w:t>Agricultural and Veterinary Chemicals (Administration) Act 1992</w:t>
      </w:r>
    </w:p>
    <w:p w14:paraId="6FB00625" w14:textId="48E61512" w:rsidR="00650D73" w:rsidRPr="006757F6" w:rsidRDefault="006757F6" w:rsidP="006757F6">
      <w:pPr>
        <w:spacing w:after="240" w:line="240" w:lineRule="auto"/>
        <w:jc w:val="center"/>
        <w:rPr>
          <w:rFonts w:ascii="Times New Roman" w:hAnsi="Times New Roman"/>
          <w:b/>
          <w:bCs/>
          <w:sz w:val="24"/>
          <w:szCs w:val="24"/>
        </w:rPr>
      </w:pPr>
      <w:r w:rsidRPr="00FF72DC">
        <w:rPr>
          <w:rFonts w:ascii="Times New Roman" w:hAnsi="Times New Roman"/>
          <w:b/>
          <w:bCs/>
          <w:sz w:val="24"/>
          <w:szCs w:val="24"/>
        </w:rPr>
        <w:t>Ministerial direction to the Australian Pesticides and Veterinary Medicines Authority</w:t>
      </w:r>
    </w:p>
    <w:p w14:paraId="4F3B5AE2" w14:textId="77777777" w:rsidR="00650D73" w:rsidRPr="00FF72DC" w:rsidRDefault="00650D73" w:rsidP="00650D73">
      <w:pPr>
        <w:spacing w:after="240" w:line="240" w:lineRule="auto"/>
        <w:rPr>
          <w:rFonts w:ascii="Times New Roman" w:hAnsi="Times New Roman"/>
          <w:sz w:val="24"/>
          <w:szCs w:val="24"/>
        </w:rPr>
      </w:pPr>
      <w:r w:rsidRPr="00FF72DC">
        <w:rPr>
          <w:rFonts w:ascii="Times New Roman" w:hAnsi="Times New Roman"/>
          <w:sz w:val="24"/>
          <w:szCs w:val="24"/>
        </w:rPr>
        <w:t xml:space="preserve">I, Senator the Hon Murray Watt, Minister for Agriculture, Fisheries and Forestry, consistent with section 10 of the </w:t>
      </w:r>
      <w:r w:rsidRPr="00FF72DC">
        <w:rPr>
          <w:rFonts w:ascii="Times New Roman" w:hAnsi="Times New Roman"/>
          <w:i/>
          <w:iCs/>
          <w:sz w:val="24"/>
          <w:szCs w:val="24"/>
        </w:rPr>
        <w:t>Agricultural and Veterinary Chemicals (Administration) Act 1992</w:t>
      </w:r>
      <w:r w:rsidRPr="00FF72DC">
        <w:rPr>
          <w:rFonts w:ascii="Times New Roman" w:hAnsi="Times New Roman"/>
          <w:sz w:val="24"/>
          <w:szCs w:val="24"/>
        </w:rPr>
        <w:t xml:space="preserve"> (Administration Act) am satisfied it is necessary, in order to ensure that in performing its functions or exercising its powers, the Australian Pesticides and Veterinary Medicines Authority (APVMA) complies with policies referred to in section 9A of the Administration Act, to direct the APVMA that it:</w:t>
      </w:r>
    </w:p>
    <w:p w14:paraId="331A6718" w14:textId="77777777" w:rsidR="00650D73" w:rsidRPr="00FF72DC" w:rsidRDefault="00650D73" w:rsidP="00650D73">
      <w:pPr>
        <w:numPr>
          <w:ilvl w:val="0"/>
          <w:numId w:val="2"/>
        </w:numPr>
        <w:spacing w:after="120" w:line="240" w:lineRule="auto"/>
        <w:ind w:left="714" w:hanging="357"/>
        <w:rPr>
          <w:rFonts w:ascii="Times New Roman" w:hAnsi="Times New Roman"/>
          <w:sz w:val="24"/>
          <w:szCs w:val="24"/>
        </w:rPr>
      </w:pPr>
      <w:r w:rsidRPr="00FF72DC">
        <w:rPr>
          <w:rFonts w:ascii="Times New Roman" w:hAnsi="Times New Roman"/>
          <w:sz w:val="24"/>
          <w:szCs w:val="24"/>
        </w:rPr>
        <w:t xml:space="preserve">recognise that the onus rests on those entities seeking to bring products to the Australian market to establish, and maintain, compliance with the statutory criteria of safety, efficacy, </w:t>
      </w:r>
      <w:proofErr w:type="gramStart"/>
      <w:r w:rsidRPr="00FF72DC">
        <w:rPr>
          <w:rFonts w:ascii="Times New Roman" w:hAnsi="Times New Roman"/>
          <w:sz w:val="24"/>
          <w:szCs w:val="24"/>
        </w:rPr>
        <w:t>trade</w:t>
      </w:r>
      <w:proofErr w:type="gramEnd"/>
      <w:r w:rsidRPr="00FF72DC">
        <w:rPr>
          <w:rFonts w:ascii="Times New Roman" w:hAnsi="Times New Roman"/>
          <w:sz w:val="24"/>
          <w:szCs w:val="24"/>
        </w:rPr>
        <w:t xml:space="preserve"> and labelling. </w:t>
      </w:r>
    </w:p>
    <w:p w14:paraId="16F1D924" w14:textId="77777777" w:rsidR="00650D73" w:rsidRPr="00FF72DC" w:rsidRDefault="00650D73" w:rsidP="00650D73">
      <w:pPr>
        <w:numPr>
          <w:ilvl w:val="0"/>
          <w:numId w:val="2"/>
        </w:numPr>
        <w:spacing w:after="120" w:line="240" w:lineRule="auto"/>
        <w:ind w:left="714" w:hanging="357"/>
        <w:rPr>
          <w:rFonts w:ascii="Times New Roman" w:hAnsi="Times New Roman"/>
          <w:sz w:val="24"/>
          <w:szCs w:val="24"/>
        </w:rPr>
      </w:pPr>
      <w:r w:rsidRPr="00FF72DC">
        <w:rPr>
          <w:rFonts w:ascii="Times New Roman" w:hAnsi="Times New Roman"/>
          <w:sz w:val="24"/>
          <w:szCs w:val="24"/>
        </w:rPr>
        <w:t>undertake all necessary actions to facilitate the determination of chemical reconsiderations that have been ongoing for over 17 years (</w:t>
      </w:r>
      <w:r w:rsidRPr="00FF72DC">
        <w:rPr>
          <w:rFonts w:ascii="Times New Roman" w:hAnsi="Times New Roman"/>
          <w:b/>
          <w:bCs/>
          <w:sz w:val="24"/>
          <w:szCs w:val="24"/>
        </w:rPr>
        <w:t>Attachment A)</w:t>
      </w:r>
      <w:r w:rsidRPr="00FF72DC">
        <w:rPr>
          <w:rFonts w:ascii="Times New Roman" w:hAnsi="Times New Roman"/>
          <w:sz w:val="24"/>
          <w:szCs w:val="24"/>
        </w:rPr>
        <w:t xml:space="preserve">, having regard to the full suite of regulatory powers available including compelling the provision of data and the consequences of non-compliance. </w:t>
      </w:r>
    </w:p>
    <w:p w14:paraId="5723F040" w14:textId="77777777" w:rsidR="00650D73" w:rsidRPr="00FF72DC" w:rsidRDefault="00650D73" w:rsidP="00650D73">
      <w:pPr>
        <w:numPr>
          <w:ilvl w:val="0"/>
          <w:numId w:val="2"/>
        </w:numPr>
        <w:spacing w:after="120" w:line="240" w:lineRule="auto"/>
        <w:ind w:left="714" w:hanging="357"/>
        <w:rPr>
          <w:rFonts w:ascii="Times New Roman" w:hAnsi="Times New Roman"/>
          <w:sz w:val="24"/>
          <w:szCs w:val="24"/>
        </w:rPr>
      </w:pPr>
      <w:r w:rsidRPr="00FF72DC">
        <w:rPr>
          <w:rFonts w:ascii="Times New Roman" w:hAnsi="Times New Roman"/>
          <w:sz w:val="24"/>
          <w:szCs w:val="24"/>
        </w:rPr>
        <w:t>maintain, and update at least annually, a prioritised work program for the assessment of all chemical reconsiderations (nominated, proposed, or active). Where new priorities arise, the APVMA will publish the change to the chemical reconsideration work plan.</w:t>
      </w:r>
    </w:p>
    <w:p w14:paraId="18C4AD9B" w14:textId="77777777" w:rsidR="00650D73" w:rsidRPr="00FF72DC" w:rsidRDefault="00650D73" w:rsidP="00650D73">
      <w:pPr>
        <w:numPr>
          <w:ilvl w:val="0"/>
          <w:numId w:val="2"/>
        </w:numPr>
        <w:spacing w:after="120" w:line="240" w:lineRule="auto"/>
        <w:ind w:left="714" w:hanging="357"/>
        <w:rPr>
          <w:rFonts w:ascii="Times New Roman" w:hAnsi="Times New Roman"/>
          <w:sz w:val="24"/>
          <w:szCs w:val="24"/>
        </w:rPr>
      </w:pPr>
      <w:r w:rsidRPr="00FF72DC">
        <w:rPr>
          <w:rFonts w:ascii="Times New Roman" w:hAnsi="Times New Roman"/>
          <w:sz w:val="24"/>
          <w:szCs w:val="24"/>
        </w:rPr>
        <w:t xml:space="preserve">where a chemical reconsideration is discontinued as the result of all products being withdrawn from registration by the registration holders, the APVMA must publish a summary of findings to date, identifying those matters where APVMA’s satisfaction remained in question. </w:t>
      </w:r>
    </w:p>
    <w:p w14:paraId="4C44CB6E" w14:textId="77777777" w:rsidR="00650D73" w:rsidRPr="00FF72DC" w:rsidRDefault="00650D73" w:rsidP="00650D73">
      <w:pPr>
        <w:spacing w:after="120" w:line="240" w:lineRule="auto"/>
        <w:rPr>
          <w:rFonts w:ascii="Times New Roman" w:hAnsi="Times New Roman"/>
          <w:sz w:val="24"/>
          <w:szCs w:val="24"/>
        </w:rPr>
      </w:pPr>
    </w:p>
    <w:p w14:paraId="063D16AD" w14:textId="77777777" w:rsidR="00650D73" w:rsidRPr="00FF72DC" w:rsidRDefault="00650D73" w:rsidP="00650D73">
      <w:pPr>
        <w:spacing w:after="120" w:line="240" w:lineRule="auto"/>
        <w:rPr>
          <w:rFonts w:ascii="Times New Roman" w:hAnsi="Times New Roman"/>
          <w:sz w:val="24"/>
          <w:szCs w:val="24"/>
        </w:rPr>
      </w:pPr>
      <w:r w:rsidRPr="00FF72DC">
        <w:rPr>
          <w:rFonts w:ascii="Times New Roman" w:hAnsi="Times New Roman"/>
          <w:sz w:val="24"/>
          <w:szCs w:val="24"/>
        </w:rPr>
        <w:t xml:space="preserve">Dated: </w:t>
      </w:r>
      <w:r w:rsidRPr="00FF72DC">
        <w:rPr>
          <w:rFonts w:ascii="Times New Roman" w:hAnsi="Times New Roman"/>
          <w:sz w:val="24"/>
          <w:szCs w:val="24"/>
        </w:rPr>
        <w:tab/>
      </w:r>
      <w:r w:rsidRPr="00FF72DC">
        <w:rPr>
          <w:rFonts w:ascii="Times New Roman" w:hAnsi="Times New Roman"/>
          <w:sz w:val="24"/>
          <w:szCs w:val="24"/>
        </w:rPr>
        <w:tab/>
        <w:t xml:space="preserve">13    </w:t>
      </w:r>
      <w:proofErr w:type="gramStart"/>
      <w:r w:rsidRPr="00FF72DC">
        <w:rPr>
          <w:rFonts w:ascii="Times New Roman" w:hAnsi="Times New Roman"/>
          <w:sz w:val="24"/>
          <w:szCs w:val="24"/>
        </w:rPr>
        <w:t>/  7</w:t>
      </w:r>
      <w:proofErr w:type="gramEnd"/>
      <w:r w:rsidRPr="00FF72DC">
        <w:rPr>
          <w:rFonts w:ascii="Times New Roman" w:hAnsi="Times New Roman"/>
          <w:sz w:val="24"/>
          <w:szCs w:val="24"/>
        </w:rPr>
        <w:t xml:space="preserve">     / 2023</w:t>
      </w:r>
    </w:p>
    <w:p w14:paraId="709BAAE9" w14:textId="77777777" w:rsidR="00650D73" w:rsidRPr="00FF72DC" w:rsidRDefault="00650D73" w:rsidP="00650D73">
      <w:pPr>
        <w:spacing w:after="0" w:line="240" w:lineRule="auto"/>
        <w:rPr>
          <w:rFonts w:ascii="Times New Roman" w:eastAsia="Times New Roman" w:hAnsi="Times New Roman"/>
          <w:b/>
          <w:bCs/>
          <w:sz w:val="24"/>
          <w:szCs w:val="24"/>
        </w:rPr>
      </w:pPr>
    </w:p>
    <w:p w14:paraId="4109A0D3" w14:textId="77777777" w:rsidR="00650D73" w:rsidRPr="00FF72DC" w:rsidRDefault="00650D73" w:rsidP="00650D73">
      <w:pPr>
        <w:spacing w:after="0" w:line="240" w:lineRule="auto"/>
        <w:rPr>
          <w:rFonts w:ascii="Times New Roman" w:eastAsia="Times New Roman" w:hAnsi="Times New Roman"/>
          <w:b/>
          <w:bCs/>
          <w:sz w:val="24"/>
          <w:szCs w:val="24"/>
        </w:rPr>
      </w:pPr>
    </w:p>
    <w:p w14:paraId="296B8D07" w14:textId="77777777" w:rsidR="00650D73" w:rsidRPr="00FF72DC" w:rsidRDefault="00650D73" w:rsidP="00650D73">
      <w:pPr>
        <w:spacing w:after="0" w:line="240" w:lineRule="auto"/>
        <w:rPr>
          <w:rFonts w:ascii="Times New Roman" w:eastAsia="Times New Roman" w:hAnsi="Times New Roman"/>
          <w:b/>
          <w:bCs/>
          <w:sz w:val="24"/>
          <w:szCs w:val="24"/>
        </w:rPr>
      </w:pPr>
    </w:p>
    <w:p w14:paraId="1E0E1F3C" w14:textId="77777777" w:rsidR="00650D73" w:rsidRPr="00FF72DC" w:rsidRDefault="00650D73" w:rsidP="00650D73">
      <w:pPr>
        <w:spacing w:after="0" w:line="240" w:lineRule="auto"/>
        <w:rPr>
          <w:rFonts w:ascii="Times New Roman" w:eastAsia="Times New Roman" w:hAnsi="Times New Roman"/>
          <w:sz w:val="24"/>
          <w:szCs w:val="24"/>
        </w:rPr>
      </w:pPr>
      <w:r w:rsidRPr="00FF72DC">
        <w:rPr>
          <w:rFonts w:ascii="Times New Roman" w:eastAsia="Times New Roman" w:hAnsi="Times New Roman"/>
          <w:sz w:val="24"/>
          <w:szCs w:val="24"/>
        </w:rPr>
        <w:t>MURRAY WATT</w:t>
      </w:r>
    </w:p>
    <w:p w14:paraId="1ED10489" w14:textId="77777777" w:rsidR="00650D73" w:rsidRPr="00FF72DC" w:rsidRDefault="00650D73" w:rsidP="00650D73">
      <w:pPr>
        <w:spacing w:after="0" w:line="240" w:lineRule="auto"/>
        <w:rPr>
          <w:rFonts w:ascii="Times New Roman" w:hAnsi="Times New Roman"/>
          <w:sz w:val="24"/>
          <w:szCs w:val="24"/>
        </w:rPr>
      </w:pPr>
      <w:r w:rsidRPr="00FF72DC">
        <w:rPr>
          <w:rFonts w:ascii="Times New Roman" w:hAnsi="Times New Roman"/>
          <w:sz w:val="24"/>
          <w:szCs w:val="24"/>
        </w:rPr>
        <w:t>MURRAY WATT</w:t>
      </w:r>
    </w:p>
    <w:p w14:paraId="53A7B709" w14:textId="77777777" w:rsidR="00650D73" w:rsidRPr="00FF72DC" w:rsidRDefault="00650D73" w:rsidP="00650D73">
      <w:pPr>
        <w:spacing w:after="240" w:line="240" w:lineRule="auto"/>
        <w:rPr>
          <w:rFonts w:ascii="Times New Roman" w:hAnsi="Times New Roman"/>
          <w:sz w:val="24"/>
          <w:szCs w:val="24"/>
        </w:rPr>
      </w:pPr>
      <w:r w:rsidRPr="00FF72DC">
        <w:rPr>
          <w:rFonts w:ascii="Times New Roman" w:hAnsi="Times New Roman"/>
          <w:sz w:val="24"/>
          <w:szCs w:val="24"/>
        </w:rPr>
        <w:t>Minister of Agriculture, Fisheries and Forestry</w:t>
      </w:r>
    </w:p>
    <w:p w14:paraId="6425C81B" w14:textId="77777777" w:rsidR="00650D73" w:rsidRPr="00FF72DC" w:rsidRDefault="00650D73" w:rsidP="00650D73">
      <w:pPr>
        <w:spacing w:after="0" w:line="240" w:lineRule="auto"/>
        <w:rPr>
          <w:rFonts w:ascii="Times New Roman" w:eastAsia="Times New Roman" w:hAnsi="Times New Roman"/>
          <w:b/>
          <w:bCs/>
          <w:sz w:val="24"/>
          <w:szCs w:val="24"/>
        </w:rPr>
      </w:pPr>
      <w:r w:rsidRPr="00FF72DC">
        <w:rPr>
          <w:rFonts w:ascii="Times New Roman" w:eastAsia="Times New Roman" w:hAnsi="Times New Roman"/>
          <w:b/>
          <w:bCs/>
          <w:sz w:val="24"/>
          <w:szCs w:val="24"/>
        </w:rPr>
        <w:t xml:space="preserve">Attachment 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50D73" w:rsidRPr="00FF72DC" w14:paraId="04743883" w14:textId="77777777" w:rsidTr="002544A1">
        <w:tc>
          <w:tcPr>
            <w:tcW w:w="4508" w:type="dxa"/>
          </w:tcPr>
          <w:p w14:paraId="187AACF8" w14:textId="77777777" w:rsidR="00650D73" w:rsidRPr="00FF72DC" w:rsidRDefault="00650D73" w:rsidP="00650D73">
            <w:pPr>
              <w:pStyle w:val="ListParagraph"/>
              <w:numPr>
                <w:ilvl w:val="0"/>
                <w:numId w:val="3"/>
              </w:numPr>
              <w:ind w:left="589" w:hanging="229"/>
              <w:rPr>
                <w:rFonts w:ascii="Times New Roman" w:hAnsi="Times New Roman"/>
                <w:sz w:val="24"/>
                <w:szCs w:val="24"/>
              </w:rPr>
            </w:pPr>
            <w:r w:rsidRPr="00FF72DC">
              <w:rPr>
                <w:rFonts w:ascii="Times New Roman" w:hAnsi="Times New Roman"/>
                <w:sz w:val="24"/>
                <w:szCs w:val="24"/>
              </w:rPr>
              <w:t>Chlorpyrifos</w:t>
            </w:r>
          </w:p>
        </w:tc>
        <w:tc>
          <w:tcPr>
            <w:tcW w:w="4508" w:type="dxa"/>
          </w:tcPr>
          <w:p w14:paraId="354A74EB" w14:textId="77777777" w:rsidR="00650D73" w:rsidRPr="00FF72DC" w:rsidRDefault="00650D73" w:rsidP="002544A1">
            <w:pPr>
              <w:rPr>
                <w:rFonts w:ascii="Times New Roman" w:eastAsia="Times New Roman" w:hAnsi="Times New Roman"/>
                <w:sz w:val="24"/>
                <w:szCs w:val="24"/>
              </w:rPr>
            </w:pPr>
            <w:r w:rsidRPr="00FF72DC">
              <w:rPr>
                <w:rFonts w:ascii="Times New Roman" w:hAnsi="Times New Roman"/>
                <w:sz w:val="24"/>
                <w:szCs w:val="24"/>
              </w:rPr>
              <w:t>5. Paraquat</w:t>
            </w:r>
          </w:p>
        </w:tc>
      </w:tr>
      <w:tr w:rsidR="00650D73" w:rsidRPr="00FF72DC" w14:paraId="2AA43EA7" w14:textId="77777777" w:rsidTr="002544A1">
        <w:tc>
          <w:tcPr>
            <w:tcW w:w="4508" w:type="dxa"/>
          </w:tcPr>
          <w:p w14:paraId="79A8A498" w14:textId="77777777" w:rsidR="00650D73" w:rsidRPr="00FF72DC" w:rsidRDefault="00650D73" w:rsidP="00650D73">
            <w:pPr>
              <w:pStyle w:val="ListParagraph"/>
              <w:numPr>
                <w:ilvl w:val="0"/>
                <w:numId w:val="3"/>
              </w:numPr>
              <w:ind w:left="589" w:hanging="229"/>
              <w:rPr>
                <w:rFonts w:ascii="Times New Roman" w:hAnsi="Times New Roman"/>
                <w:sz w:val="24"/>
                <w:szCs w:val="24"/>
              </w:rPr>
            </w:pPr>
            <w:r w:rsidRPr="00FF72DC">
              <w:rPr>
                <w:rFonts w:ascii="Times New Roman" w:hAnsi="Times New Roman"/>
                <w:sz w:val="24"/>
                <w:szCs w:val="24"/>
              </w:rPr>
              <w:t>Fenitrothion</w:t>
            </w:r>
          </w:p>
        </w:tc>
        <w:tc>
          <w:tcPr>
            <w:tcW w:w="4508" w:type="dxa"/>
          </w:tcPr>
          <w:p w14:paraId="55BF6576" w14:textId="77777777" w:rsidR="00650D73" w:rsidRPr="00FF72DC" w:rsidRDefault="00650D73" w:rsidP="002544A1">
            <w:pPr>
              <w:rPr>
                <w:rFonts w:ascii="Times New Roman" w:eastAsia="Times New Roman" w:hAnsi="Times New Roman"/>
                <w:sz w:val="24"/>
                <w:szCs w:val="24"/>
              </w:rPr>
            </w:pPr>
            <w:r w:rsidRPr="00FF72DC">
              <w:rPr>
                <w:rFonts w:ascii="Times New Roman" w:hAnsi="Times New Roman"/>
                <w:sz w:val="24"/>
                <w:szCs w:val="24"/>
              </w:rPr>
              <w:t>6. Malathion/</w:t>
            </w:r>
            <w:proofErr w:type="spellStart"/>
            <w:r w:rsidRPr="00FF72DC">
              <w:rPr>
                <w:rFonts w:ascii="Times New Roman" w:hAnsi="Times New Roman"/>
                <w:sz w:val="24"/>
                <w:szCs w:val="24"/>
              </w:rPr>
              <w:t>maldison</w:t>
            </w:r>
            <w:proofErr w:type="spellEnd"/>
          </w:p>
        </w:tc>
      </w:tr>
      <w:tr w:rsidR="00650D73" w:rsidRPr="00FF72DC" w14:paraId="5E537197" w14:textId="77777777" w:rsidTr="002544A1">
        <w:tc>
          <w:tcPr>
            <w:tcW w:w="4508" w:type="dxa"/>
          </w:tcPr>
          <w:p w14:paraId="7A045DE3" w14:textId="77777777" w:rsidR="00650D73" w:rsidRPr="00FF72DC" w:rsidRDefault="00650D73" w:rsidP="00650D73">
            <w:pPr>
              <w:pStyle w:val="ListParagraph"/>
              <w:numPr>
                <w:ilvl w:val="0"/>
                <w:numId w:val="3"/>
              </w:numPr>
              <w:ind w:left="589" w:hanging="229"/>
              <w:rPr>
                <w:rFonts w:ascii="Times New Roman" w:eastAsia="Times New Roman" w:hAnsi="Times New Roman"/>
                <w:sz w:val="24"/>
                <w:szCs w:val="24"/>
              </w:rPr>
            </w:pPr>
            <w:r w:rsidRPr="00FF72DC">
              <w:rPr>
                <w:rFonts w:ascii="Times New Roman" w:hAnsi="Times New Roman"/>
                <w:sz w:val="24"/>
                <w:szCs w:val="24"/>
              </w:rPr>
              <w:t>Diazinon</w:t>
            </w:r>
          </w:p>
        </w:tc>
        <w:tc>
          <w:tcPr>
            <w:tcW w:w="4508" w:type="dxa"/>
          </w:tcPr>
          <w:p w14:paraId="1492C9C6" w14:textId="77777777" w:rsidR="00650D73" w:rsidRPr="00FF72DC" w:rsidRDefault="00650D73" w:rsidP="002544A1">
            <w:pPr>
              <w:rPr>
                <w:rFonts w:ascii="Times New Roman" w:hAnsi="Times New Roman"/>
                <w:sz w:val="24"/>
                <w:szCs w:val="24"/>
              </w:rPr>
            </w:pPr>
            <w:r w:rsidRPr="00FF72DC">
              <w:rPr>
                <w:rFonts w:ascii="Times New Roman" w:hAnsi="Times New Roman"/>
                <w:sz w:val="24"/>
                <w:szCs w:val="24"/>
              </w:rPr>
              <w:t>7. Fipronil</w:t>
            </w:r>
          </w:p>
        </w:tc>
      </w:tr>
      <w:tr w:rsidR="00650D73" w14:paraId="3A6E9552" w14:textId="77777777" w:rsidTr="002544A1">
        <w:tc>
          <w:tcPr>
            <w:tcW w:w="4508" w:type="dxa"/>
          </w:tcPr>
          <w:p w14:paraId="4239A4B1" w14:textId="77777777" w:rsidR="00650D73" w:rsidRPr="00FF72DC" w:rsidRDefault="00650D73" w:rsidP="00650D73">
            <w:pPr>
              <w:pStyle w:val="ListParagraph"/>
              <w:numPr>
                <w:ilvl w:val="0"/>
                <w:numId w:val="3"/>
              </w:numPr>
              <w:ind w:left="589" w:hanging="229"/>
              <w:rPr>
                <w:rFonts w:ascii="Times New Roman" w:eastAsia="Times New Roman" w:hAnsi="Times New Roman"/>
                <w:sz w:val="24"/>
                <w:szCs w:val="24"/>
              </w:rPr>
            </w:pPr>
            <w:r w:rsidRPr="00FF72DC">
              <w:rPr>
                <w:rFonts w:ascii="Times New Roman" w:hAnsi="Times New Roman"/>
                <w:sz w:val="24"/>
                <w:szCs w:val="24"/>
              </w:rPr>
              <w:t>Diquat</w:t>
            </w:r>
          </w:p>
        </w:tc>
        <w:tc>
          <w:tcPr>
            <w:tcW w:w="4508" w:type="dxa"/>
          </w:tcPr>
          <w:p w14:paraId="386FF74A" w14:textId="77777777" w:rsidR="00650D73" w:rsidRPr="009256EA" w:rsidRDefault="00650D73" w:rsidP="002544A1">
            <w:pPr>
              <w:rPr>
                <w:rFonts w:ascii="Times New Roman" w:eastAsia="Times New Roman" w:hAnsi="Times New Roman"/>
                <w:sz w:val="24"/>
                <w:szCs w:val="24"/>
              </w:rPr>
            </w:pPr>
            <w:r w:rsidRPr="00FF72DC">
              <w:rPr>
                <w:rFonts w:ascii="Times New Roman" w:hAnsi="Times New Roman"/>
                <w:sz w:val="24"/>
                <w:szCs w:val="24"/>
              </w:rPr>
              <w:t>8. Neomycin</w:t>
            </w:r>
          </w:p>
        </w:tc>
      </w:tr>
    </w:tbl>
    <w:p w14:paraId="5234D0CE" w14:textId="77777777" w:rsidR="00650D73" w:rsidRPr="00424B97" w:rsidRDefault="00650D73" w:rsidP="00650D73"/>
    <w:sectPr w:rsidR="00650D7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AFE6" w14:textId="77777777" w:rsidR="001376DA" w:rsidRDefault="001376DA" w:rsidP="003A707F">
      <w:pPr>
        <w:spacing w:after="0" w:line="240" w:lineRule="auto"/>
      </w:pPr>
      <w:r>
        <w:separator/>
      </w:r>
    </w:p>
  </w:endnote>
  <w:endnote w:type="continuationSeparator" w:id="0">
    <w:p w14:paraId="3D4E2191" w14:textId="77777777" w:rsidR="001376DA" w:rsidRDefault="001376D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622B" w14:textId="77777777" w:rsidR="001376DA" w:rsidRDefault="001376DA" w:rsidP="003A707F">
      <w:pPr>
        <w:spacing w:after="0" w:line="240" w:lineRule="auto"/>
      </w:pPr>
      <w:r>
        <w:separator/>
      </w:r>
    </w:p>
  </w:footnote>
  <w:footnote w:type="continuationSeparator" w:id="0">
    <w:p w14:paraId="21C382FC" w14:textId="77777777" w:rsidR="001376DA" w:rsidRDefault="001376D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B9CE66F"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4D68FBE"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8447D7A" wp14:editId="468E661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555A65"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3799D8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04B4AB6"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D411879"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554C661"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37DE8EE" w14:textId="77777777" w:rsidR="00F40885" w:rsidRPr="003A707F" w:rsidRDefault="00F40885" w:rsidP="00F40885">
    <w:pPr>
      <w:pStyle w:val="Header"/>
      <w:rPr>
        <w:sz w:val="2"/>
        <w:szCs w:val="2"/>
      </w:rPr>
    </w:pPr>
  </w:p>
  <w:p w14:paraId="205DD0DF"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791A"/>
    <w:multiLevelType w:val="hybridMultilevel"/>
    <w:tmpl w:val="6E182CAA"/>
    <w:lvl w:ilvl="0" w:tplc="F1060254">
      <w:start w:val="1"/>
      <w:numFmt w:val="bullet"/>
      <w:lvlText w:val=""/>
      <w:lvlJc w:val="left"/>
      <w:pPr>
        <w:ind w:left="720" w:hanging="360"/>
      </w:pPr>
      <w:rPr>
        <w:rFonts w:ascii="Symbol" w:hAnsi="Symbol" w:hint="default"/>
      </w:rPr>
    </w:lvl>
    <w:lvl w:ilvl="1" w:tplc="CC7E8BD6">
      <w:start w:val="1"/>
      <w:numFmt w:val="bullet"/>
      <w:lvlText w:val="o"/>
      <w:lvlJc w:val="left"/>
      <w:pPr>
        <w:ind w:left="1440" w:hanging="360"/>
      </w:pPr>
      <w:rPr>
        <w:rFonts w:ascii="Courier New" w:hAnsi="Courier New" w:cs="Courier New" w:hint="default"/>
      </w:rPr>
    </w:lvl>
    <w:lvl w:ilvl="2" w:tplc="06AC46A0" w:tentative="1">
      <w:start w:val="1"/>
      <w:numFmt w:val="bullet"/>
      <w:lvlText w:val=""/>
      <w:lvlJc w:val="left"/>
      <w:pPr>
        <w:ind w:left="2160" w:hanging="360"/>
      </w:pPr>
      <w:rPr>
        <w:rFonts w:ascii="Wingdings" w:hAnsi="Wingdings" w:hint="default"/>
      </w:rPr>
    </w:lvl>
    <w:lvl w:ilvl="3" w:tplc="D5DE298A" w:tentative="1">
      <w:start w:val="1"/>
      <w:numFmt w:val="bullet"/>
      <w:lvlText w:val=""/>
      <w:lvlJc w:val="left"/>
      <w:pPr>
        <w:ind w:left="2880" w:hanging="360"/>
      </w:pPr>
      <w:rPr>
        <w:rFonts w:ascii="Symbol" w:hAnsi="Symbol" w:hint="default"/>
      </w:rPr>
    </w:lvl>
    <w:lvl w:ilvl="4" w:tplc="D884EBBA" w:tentative="1">
      <w:start w:val="1"/>
      <w:numFmt w:val="bullet"/>
      <w:lvlText w:val="o"/>
      <w:lvlJc w:val="left"/>
      <w:pPr>
        <w:ind w:left="3600" w:hanging="360"/>
      </w:pPr>
      <w:rPr>
        <w:rFonts w:ascii="Courier New" w:hAnsi="Courier New" w:cs="Courier New" w:hint="default"/>
      </w:rPr>
    </w:lvl>
    <w:lvl w:ilvl="5" w:tplc="E1842280" w:tentative="1">
      <w:start w:val="1"/>
      <w:numFmt w:val="bullet"/>
      <w:lvlText w:val=""/>
      <w:lvlJc w:val="left"/>
      <w:pPr>
        <w:ind w:left="4320" w:hanging="360"/>
      </w:pPr>
      <w:rPr>
        <w:rFonts w:ascii="Wingdings" w:hAnsi="Wingdings" w:hint="default"/>
      </w:rPr>
    </w:lvl>
    <w:lvl w:ilvl="6" w:tplc="F5C87A00" w:tentative="1">
      <w:start w:val="1"/>
      <w:numFmt w:val="bullet"/>
      <w:lvlText w:val=""/>
      <w:lvlJc w:val="left"/>
      <w:pPr>
        <w:ind w:left="5040" w:hanging="360"/>
      </w:pPr>
      <w:rPr>
        <w:rFonts w:ascii="Symbol" w:hAnsi="Symbol" w:hint="default"/>
      </w:rPr>
    </w:lvl>
    <w:lvl w:ilvl="7" w:tplc="E70E8484" w:tentative="1">
      <w:start w:val="1"/>
      <w:numFmt w:val="bullet"/>
      <w:lvlText w:val="o"/>
      <w:lvlJc w:val="left"/>
      <w:pPr>
        <w:ind w:left="5760" w:hanging="360"/>
      </w:pPr>
      <w:rPr>
        <w:rFonts w:ascii="Courier New" w:hAnsi="Courier New" w:cs="Courier New" w:hint="default"/>
      </w:rPr>
    </w:lvl>
    <w:lvl w:ilvl="8" w:tplc="2746FEE2" w:tentative="1">
      <w:start w:val="1"/>
      <w:numFmt w:val="bullet"/>
      <w:lvlText w:val=""/>
      <w:lvlJc w:val="left"/>
      <w:pPr>
        <w:ind w:left="6480" w:hanging="360"/>
      </w:pPr>
      <w:rPr>
        <w:rFonts w:ascii="Wingdings" w:hAnsi="Wingdings" w:hint="default"/>
      </w:rPr>
    </w:lvl>
  </w:abstractNum>
  <w:abstractNum w:abstractNumId="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80D12E8"/>
    <w:multiLevelType w:val="hybridMultilevel"/>
    <w:tmpl w:val="5A9EC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1530199">
    <w:abstractNumId w:val="1"/>
  </w:num>
  <w:num w:numId="2" w16cid:durableId="1233739065">
    <w:abstractNumId w:val="0"/>
  </w:num>
  <w:num w:numId="3" w16cid:durableId="77228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376DA"/>
    <w:rsid w:val="001C2AAD"/>
    <w:rsid w:val="001F6E54"/>
    <w:rsid w:val="0024126F"/>
    <w:rsid w:val="00280BCD"/>
    <w:rsid w:val="003A707F"/>
    <w:rsid w:val="003B0EC1"/>
    <w:rsid w:val="003B573B"/>
    <w:rsid w:val="003F2CBD"/>
    <w:rsid w:val="00424B97"/>
    <w:rsid w:val="004B2753"/>
    <w:rsid w:val="00520873"/>
    <w:rsid w:val="00573D44"/>
    <w:rsid w:val="00650D73"/>
    <w:rsid w:val="006757F6"/>
    <w:rsid w:val="00774B31"/>
    <w:rsid w:val="00840A06"/>
    <w:rsid w:val="008439B7"/>
    <w:rsid w:val="0087253F"/>
    <w:rsid w:val="008E4F6C"/>
    <w:rsid w:val="009539C7"/>
    <w:rsid w:val="00A00F21"/>
    <w:rsid w:val="00AC5329"/>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650D73"/>
    <w:pPr>
      <w:numPr>
        <w:numId w:val="1"/>
      </w:numPr>
    </w:pPr>
    <w:rPr>
      <w:rFonts w:ascii="Arial" w:eastAsia="Calibri" w:hAnsi="Arial" w:cs="Times New Roman"/>
    </w:rPr>
  </w:style>
  <w:style w:type="table" w:styleId="TableGrid">
    <w:name w:val="Table Grid"/>
    <w:basedOn w:val="TableNormal"/>
    <w:uiPriority w:val="39"/>
    <w:rsid w:val="00650D73"/>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2023-07-13T05:55:00Z</dcterms:created>
  <dcterms:modified xsi:type="dcterms:W3CDTF">2023-07-13T06:23:00Z</dcterms:modified>
  <cp:category/>
  <cp:contentStatus/>
  <dc:language/>
  <cp:version/>
</cp:coreProperties>
</file>