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9A728" w14:textId="5F076F04" w:rsidR="00CE64F5" w:rsidRPr="00CE64F5" w:rsidRDefault="00CE64F5" w:rsidP="00CE64F5">
      <w:pPr>
        <w:spacing w:after="400" w:line="250" w:lineRule="auto"/>
        <w:jc w:val="center"/>
        <w:rPr>
          <w:rFonts w:ascii="Arial" w:eastAsia="Times New Roman" w:hAnsi="Arial"/>
          <w:b/>
          <w:bCs/>
          <w:sz w:val="24"/>
          <w:szCs w:val="24"/>
        </w:rPr>
      </w:pPr>
      <w:r w:rsidRPr="00CE64F5">
        <w:rPr>
          <w:rFonts w:ascii="Arial" w:eastAsia="Times New Roman" w:hAnsi="Arial"/>
          <w:b/>
          <w:bCs/>
          <w:sz w:val="24"/>
          <w:szCs w:val="24"/>
        </w:rPr>
        <w:t>NOTICE OF INTENTION TO APPLY TO THE FEDERAL COURT OF AUSTRALIA FOR CONFIRMATION OF A SCHEME UNDER DIVISION 3A OF PART III OF THE INSURANCE ACT 1973 (CTH) TO TRANSFER THE INSURANCE BUSINESS OF ALLIANZ AUSTRALIA GENERAL INSURANCE LIMITED TO ALLIANZ AUSTRALIA INSURANCE LIMITED</w:t>
      </w:r>
    </w:p>
    <w:p w14:paraId="443EA6A9" w14:textId="77777777" w:rsidR="00CE64F5" w:rsidRPr="00CE64F5" w:rsidRDefault="00CE64F5" w:rsidP="00CE64F5">
      <w:pPr>
        <w:spacing w:after="240" w:line="250" w:lineRule="auto"/>
        <w:rPr>
          <w:rFonts w:ascii="Arial" w:eastAsia="Arial" w:hAnsi="Arial" w:cs="Times New Roman"/>
          <w:color w:val="000000"/>
          <w:sz w:val="20"/>
          <w:szCs w:val="20"/>
        </w:rPr>
      </w:pPr>
      <w:r w:rsidRPr="00CE64F5">
        <w:rPr>
          <w:rFonts w:ascii="Arial" w:eastAsia="Arial" w:hAnsi="Arial" w:cs="Times New Roman"/>
          <w:b/>
          <w:bCs/>
          <w:color w:val="000000"/>
          <w:sz w:val="20"/>
          <w:szCs w:val="20"/>
        </w:rPr>
        <w:t>TAKE NOTICE</w:t>
      </w:r>
      <w:r w:rsidRPr="00CE64F5">
        <w:rPr>
          <w:rFonts w:ascii="Arial" w:eastAsia="Arial" w:hAnsi="Arial" w:cs="Times New Roman"/>
          <w:color w:val="000000"/>
          <w:sz w:val="20"/>
          <w:szCs w:val="20"/>
        </w:rPr>
        <w:t xml:space="preserve"> that Allianz Australia General Insurance Limited ABN 99 003 719 319 (</w:t>
      </w:r>
      <w:r w:rsidRPr="00CE64F5">
        <w:rPr>
          <w:rFonts w:ascii="Arial" w:eastAsia="Arial" w:hAnsi="Arial" w:cs="Times New Roman"/>
          <w:b/>
          <w:bCs/>
          <w:color w:val="000000"/>
          <w:sz w:val="20"/>
          <w:szCs w:val="20"/>
        </w:rPr>
        <w:t>AAGIL</w:t>
      </w:r>
      <w:r w:rsidRPr="00CE64F5">
        <w:rPr>
          <w:rFonts w:ascii="Arial" w:eastAsia="Arial" w:hAnsi="Arial" w:cs="Times New Roman"/>
          <w:color w:val="000000"/>
          <w:sz w:val="20"/>
          <w:szCs w:val="20"/>
        </w:rPr>
        <w:t>) proposes to make an application to the Federal Court of Australia (</w:t>
      </w:r>
      <w:r w:rsidRPr="00CE64F5">
        <w:rPr>
          <w:rFonts w:ascii="Arial" w:eastAsia="Arial" w:hAnsi="Arial" w:cs="Times New Roman"/>
          <w:b/>
          <w:bCs/>
          <w:color w:val="000000"/>
          <w:sz w:val="20"/>
          <w:szCs w:val="20"/>
        </w:rPr>
        <w:t>Court</w:t>
      </w:r>
      <w:r w:rsidRPr="00CE64F5">
        <w:rPr>
          <w:rFonts w:ascii="Arial" w:eastAsia="Arial" w:hAnsi="Arial" w:cs="Times New Roman"/>
          <w:color w:val="000000"/>
          <w:sz w:val="20"/>
          <w:szCs w:val="20"/>
        </w:rPr>
        <w:t xml:space="preserve">) for an order confirming   a scheme under Division 3A of Part III of the </w:t>
      </w:r>
      <w:r w:rsidRPr="00CE64F5">
        <w:rPr>
          <w:rFonts w:ascii="Arial" w:eastAsia="Arial" w:hAnsi="Arial" w:cs="Times New Roman"/>
          <w:i/>
          <w:iCs/>
          <w:color w:val="000000"/>
          <w:sz w:val="20"/>
          <w:szCs w:val="20"/>
        </w:rPr>
        <w:t>Insurance Act 1973</w:t>
      </w:r>
      <w:r w:rsidRPr="00CE64F5">
        <w:rPr>
          <w:rFonts w:ascii="Arial" w:eastAsia="Arial" w:hAnsi="Arial" w:cs="Times New Roman"/>
          <w:color w:val="000000"/>
          <w:sz w:val="20"/>
          <w:szCs w:val="20"/>
        </w:rPr>
        <w:t xml:space="preserve"> (Cth) to transfer its insurance business (</w:t>
      </w:r>
      <w:r w:rsidRPr="00CE64F5">
        <w:rPr>
          <w:rFonts w:ascii="Arial" w:eastAsia="Arial" w:hAnsi="Arial" w:cs="Times New Roman"/>
          <w:b/>
          <w:color w:val="000000"/>
          <w:sz w:val="20"/>
          <w:szCs w:val="20"/>
        </w:rPr>
        <w:t>Insurance Business</w:t>
      </w:r>
      <w:r w:rsidRPr="00CE64F5">
        <w:rPr>
          <w:rFonts w:ascii="Arial" w:eastAsia="Arial" w:hAnsi="Arial" w:cs="Times New Roman"/>
          <w:color w:val="000000"/>
          <w:sz w:val="20"/>
          <w:szCs w:val="20"/>
        </w:rPr>
        <w:t>) to Allianz Australia Insurance Limited ABN 15 000 122 850 (</w:t>
      </w:r>
      <w:r w:rsidRPr="00CE64F5">
        <w:rPr>
          <w:rFonts w:ascii="Arial" w:eastAsia="Arial" w:hAnsi="Arial" w:cs="Times New Roman"/>
          <w:b/>
          <w:bCs/>
          <w:color w:val="000000"/>
          <w:sz w:val="20"/>
          <w:szCs w:val="20"/>
        </w:rPr>
        <w:t>AAIL</w:t>
      </w:r>
      <w:r w:rsidRPr="00CE64F5">
        <w:rPr>
          <w:rFonts w:ascii="Arial" w:eastAsia="Arial" w:hAnsi="Arial" w:cs="Times New Roman"/>
          <w:color w:val="000000"/>
          <w:sz w:val="20"/>
          <w:szCs w:val="20"/>
        </w:rPr>
        <w:t>) (</w:t>
      </w:r>
      <w:r w:rsidRPr="00CE64F5">
        <w:rPr>
          <w:rFonts w:ascii="Arial" w:eastAsia="Arial" w:hAnsi="Arial" w:cs="Times New Roman"/>
          <w:b/>
          <w:color w:val="000000"/>
          <w:sz w:val="20"/>
          <w:szCs w:val="20"/>
        </w:rPr>
        <w:t>Scheme</w:t>
      </w:r>
      <w:r w:rsidRPr="00CE64F5">
        <w:rPr>
          <w:rFonts w:ascii="Arial" w:eastAsia="Arial" w:hAnsi="Arial" w:cs="Times New Roman"/>
          <w:color w:val="000000"/>
          <w:sz w:val="20"/>
          <w:szCs w:val="20"/>
        </w:rPr>
        <w:t xml:space="preserve">). </w:t>
      </w:r>
    </w:p>
    <w:p w14:paraId="328C8846" w14:textId="77777777" w:rsidR="00CE64F5" w:rsidRPr="00CE64F5" w:rsidRDefault="00CE64F5" w:rsidP="00CE64F5">
      <w:pPr>
        <w:spacing w:after="240" w:line="250" w:lineRule="auto"/>
        <w:rPr>
          <w:rFonts w:ascii="Arial" w:eastAsia="Arial" w:hAnsi="Arial" w:cs="Times New Roman"/>
          <w:color w:val="000000"/>
          <w:sz w:val="20"/>
          <w:szCs w:val="20"/>
        </w:rPr>
      </w:pPr>
      <w:r w:rsidRPr="00CE64F5">
        <w:rPr>
          <w:rFonts w:ascii="Arial" w:eastAsia="Arial" w:hAnsi="Arial" w:cs="Times New Roman"/>
          <w:color w:val="000000"/>
          <w:sz w:val="20"/>
          <w:szCs w:val="20"/>
        </w:rPr>
        <w:t>AAGIL and AAIL are both part of the global Allianz Group of companies and the Scheme is being undertaken as part of an internal reorganisation of Allianz’s Australian business.</w:t>
      </w:r>
    </w:p>
    <w:p w14:paraId="5454A7F7" w14:textId="77777777" w:rsidR="00CE64F5" w:rsidRPr="00CE64F5" w:rsidRDefault="00CE64F5" w:rsidP="00CE64F5">
      <w:pPr>
        <w:spacing w:after="240" w:line="250" w:lineRule="auto"/>
        <w:rPr>
          <w:rFonts w:ascii="Arial" w:eastAsia="Arial" w:hAnsi="Arial" w:cs="Times New Roman"/>
          <w:color w:val="000000"/>
          <w:sz w:val="20"/>
          <w:szCs w:val="20"/>
        </w:rPr>
      </w:pPr>
      <w:r w:rsidRPr="00CE64F5">
        <w:rPr>
          <w:rFonts w:ascii="Arial" w:eastAsia="Arial" w:hAnsi="Arial" w:cs="Times New Roman"/>
          <w:b/>
          <w:bCs/>
          <w:color w:val="000000"/>
          <w:sz w:val="20"/>
          <w:szCs w:val="20"/>
        </w:rPr>
        <w:t>Should the Scheme be confirmed by the Court, the Insurance Business of AAGIL will be transferred to AAIL and AAIL will be substituted for AAGIL as the insurer under insurance policies issued by AAGIL on or about</w:t>
      </w:r>
      <w:r w:rsidRPr="00CE64F5">
        <w:rPr>
          <w:rFonts w:ascii="Arial" w:eastAsia="Arial" w:hAnsi="Arial" w:cs="Times New Roman"/>
          <w:color w:val="000000"/>
          <w:sz w:val="20"/>
          <w:szCs w:val="20"/>
        </w:rPr>
        <w:t xml:space="preserve"> </w:t>
      </w:r>
      <w:r w:rsidRPr="00CE64F5">
        <w:rPr>
          <w:rFonts w:ascii="Arial" w:eastAsia="Arial" w:hAnsi="Arial" w:cs="Times New Roman"/>
          <w:b/>
          <w:bCs/>
          <w:color w:val="000000"/>
          <w:sz w:val="20"/>
          <w:szCs w:val="20"/>
        </w:rPr>
        <w:t xml:space="preserve">1 September 2023. </w:t>
      </w:r>
      <w:r w:rsidRPr="00CE64F5">
        <w:rPr>
          <w:rFonts w:ascii="Arial" w:eastAsia="Arial" w:hAnsi="Arial" w:cs="Times New Roman"/>
          <w:b/>
          <w:color w:val="000000"/>
          <w:sz w:val="20"/>
          <w:szCs w:val="20"/>
        </w:rPr>
        <w:t>Persons affected by the Scheme may request to be heard by the Court.</w:t>
      </w:r>
    </w:p>
    <w:p w14:paraId="4EBC93F5" w14:textId="77777777" w:rsidR="00CE64F5" w:rsidRPr="00CE64F5" w:rsidRDefault="00CE64F5" w:rsidP="00CE64F5">
      <w:pPr>
        <w:spacing w:after="240" w:line="250" w:lineRule="auto"/>
        <w:rPr>
          <w:rFonts w:ascii="Arial" w:eastAsia="Arial" w:hAnsi="Arial" w:cs="Times New Roman"/>
          <w:color w:val="000000"/>
          <w:sz w:val="20"/>
          <w:szCs w:val="20"/>
        </w:rPr>
      </w:pPr>
      <w:r w:rsidRPr="00CE64F5">
        <w:rPr>
          <w:rFonts w:ascii="Arial" w:eastAsia="Arial" w:hAnsi="Arial" w:cs="Times New Roman"/>
          <w:color w:val="000000"/>
          <w:sz w:val="20"/>
          <w:szCs w:val="20"/>
        </w:rPr>
        <w:t>The hearing of the application will take place on 9.30am on 18 August 2023 (or on such later date that the Court orders) at the Law Courts Building, Queens Square, 184 Phillip Street, Sydney, New South Wales 2000.</w:t>
      </w:r>
    </w:p>
    <w:p w14:paraId="3385070E" w14:textId="77777777" w:rsidR="00CE64F5" w:rsidRPr="00CE64F5" w:rsidRDefault="00CE64F5" w:rsidP="00CE64F5">
      <w:pPr>
        <w:spacing w:after="240" w:line="250" w:lineRule="auto"/>
        <w:rPr>
          <w:rFonts w:ascii="Arial" w:eastAsia="Arial" w:hAnsi="Arial" w:cs="Times New Roman"/>
          <w:color w:val="000000"/>
          <w:sz w:val="20"/>
          <w:szCs w:val="20"/>
        </w:rPr>
      </w:pPr>
      <w:r w:rsidRPr="00CE64F5">
        <w:rPr>
          <w:rFonts w:ascii="Arial" w:eastAsia="Arial" w:hAnsi="Arial" w:cs="Times New Roman"/>
          <w:color w:val="000000"/>
          <w:sz w:val="20"/>
          <w:szCs w:val="20"/>
        </w:rPr>
        <w:t>Any person, who in the Court’s opinion may be affected by the Scheme (</w:t>
      </w:r>
      <w:r w:rsidRPr="00CE64F5">
        <w:rPr>
          <w:rFonts w:ascii="Arial" w:eastAsia="Arial" w:hAnsi="Arial" w:cs="Times New Roman"/>
          <w:b/>
          <w:bCs/>
          <w:color w:val="000000"/>
          <w:sz w:val="20"/>
          <w:szCs w:val="20"/>
        </w:rPr>
        <w:t>Affected Policyholder</w:t>
      </w:r>
      <w:r w:rsidRPr="00CE64F5">
        <w:rPr>
          <w:rFonts w:ascii="Arial" w:eastAsia="Arial" w:hAnsi="Arial" w:cs="Times New Roman"/>
          <w:color w:val="000000"/>
          <w:sz w:val="20"/>
          <w:szCs w:val="20"/>
        </w:rPr>
        <w:t>) has the right to attend the Court hearing and ask to be heard by the Court on the application for confirmation of the Scheme.</w:t>
      </w:r>
    </w:p>
    <w:p w14:paraId="116C70E4" w14:textId="77777777" w:rsidR="00CE64F5" w:rsidRPr="00CE64F5" w:rsidRDefault="00CE64F5" w:rsidP="00CE64F5">
      <w:pPr>
        <w:spacing w:after="0" w:line="250" w:lineRule="auto"/>
        <w:rPr>
          <w:rFonts w:ascii="Arial" w:eastAsia="Arial" w:hAnsi="Arial" w:cs="Times New Roman"/>
          <w:color w:val="000000"/>
          <w:sz w:val="20"/>
          <w:szCs w:val="20"/>
        </w:rPr>
      </w:pPr>
      <w:r w:rsidRPr="00CE64F5">
        <w:rPr>
          <w:rFonts w:ascii="Arial" w:eastAsia="Arial" w:hAnsi="Arial" w:cs="Times New Roman"/>
          <w:color w:val="000000"/>
          <w:sz w:val="20"/>
          <w:szCs w:val="20"/>
        </w:rPr>
        <w:t xml:space="preserve">If an Affected Policyholder wishes to be heard at the Court hearing on 18 August 2023 then please inform AAGIL and AAIL’s solicitors, Hall &amp; Wilcox, not less than three days beforehand. Their contact details are: </w:t>
      </w:r>
    </w:p>
    <w:p w14:paraId="08339547" w14:textId="77777777" w:rsidR="00CE64F5" w:rsidRPr="00CE64F5" w:rsidRDefault="00CE64F5" w:rsidP="00CE64F5">
      <w:pPr>
        <w:spacing w:after="0" w:line="250" w:lineRule="auto"/>
        <w:rPr>
          <w:rFonts w:ascii="Arial" w:eastAsia="Arial" w:hAnsi="Arial" w:cs="Times New Roman"/>
          <w:color w:val="000000"/>
          <w:sz w:val="20"/>
          <w:szCs w:val="20"/>
        </w:rPr>
      </w:pPr>
    </w:p>
    <w:p w14:paraId="3DF26BFB" w14:textId="77777777" w:rsidR="00CE64F5" w:rsidRPr="00CE64F5" w:rsidRDefault="00CE64F5" w:rsidP="00CE64F5">
      <w:pPr>
        <w:spacing w:after="0" w:line="250" w:lineRule="auto"/>
        <w:rPr>
          <w:rFonts w:ascii="Arial" w:eastAsia="Arial" w:hAnsi="Arial" w:cs="Times New Roman"/>
          <w:color w:val="000000"/>
          <w:sz w:val="20"/>
          <w:szCs w:val="20"/>
        </w:rPr>
      </w:pPr>
      <w:r w:rsidRPr="00CE64F5">
        <w:rPr>
          <w:rFonts w:ascii="Arial" w:eastAsia="Arial" w:hAnsi="Arial" w:cs="Times New Roman"/>
          <w:color w:val="000000"/>
          <w:sz w:val="20"/>
          <w:szCs w:val="20"/>
        </w:rPr>
        <w:t>Hall &amp; Wilcox (attention: Philip Hopley),</w:t>
      </w:r>
    </w:p>
    <w:p w14:paraId="182555F3" w14:textId="77777777" w:rsidR="00CE64F5" w:rsidRPr="00CE64F5" w:rsidRDefault="00CE64F5" w:rsidP="00CE64F5">
      <w:pPr>
        <w:spacing w:after="0" w:line="250" w:lineRule="auto"/>
        <w:rPr>
          <w:rFonts w:ascii="Arial" w:eastAsia="Arial" w:hAnsi="Arial" w:cs="Times New Roman"/>
          <w:color w:val="000000"/>
          <w:sz w:val="20"/>
          <w:szCs w:val="20"/>
        </w:rPr>
      </w:pPr>
      <w:r w:rsidRPr="00CE64F5">
        <w:rPr>
          <w:rFonts w:ascii="Arial" w:eastAsia="Arial" w:hAnsi="Arial" w:cs="Times New Roman"/>
          <w:color w:val="000000"/>
          <w:sz w:val="20"/>
          <w:szCs w:val="20"/>
        </w:rPr>
        <w:t xml:space="preserve">Level 18, 347 Kent Street, </w:t>
      </w:r>
    </w:p>
    <w:p w14:paraId="6B5F15FB" w14:textId="77777777" w:rsidR="00CE64F5" w:rsidRPr="00CE64F5" w:rsidRDefault="00CE64F5" w:rsidP="00CE64F5">
      <w:pPr>
        <w:spacing w:after="0" w:line="250" w:lineRule="auto"/>
        <w:rPr>
          <w:rFonts w:ascii="Arial" w:eastAsia="Arial" w:hAnsi="Arial" w:cs="Times New Roman"/>
          <w:color w:val="000000"/>
          <w:sz w:val="20"/>
          <w:szCs w:val="20"/>
        </w:rPr>
      </w:pPr>
      <w:r w:rsidRPr="00CE64F5">
        <w:rPr>
          <w:rFonts w:ascii="Arial" w:eastAsia="Arial" w:hAnsi="Arial" w:cs="Times New Roman"/>
          <w:color w:val="000000"/>
          <w:sz w:val="20"/>
          <w:szCs w:val="20"/>
        </w:rPr>
        <w:t>Sydney, NSW 2000</w:t>
      </w:r>
    </w:p>
    <w:p w14:paraId="39DB1BB2" w14:textId="77777777" w:rsidR="00CE64F5" w:rsidRPr="00CE64F5" w:rsidRDefault="00CE64F5" w:rsidP="00CE64F5">
      <w:pPr>
        <w:spacing w:after="0" w:line="250" w:lineRule="auto"/>
        <w:rPr>
          <w:rFonts w:ascii="Arial" w:eastAsia="Arial" w:hAnsi="Arial" w:cs="Times New Roman"/>
          <w:color w:val="000000"/>
          <w:sz w:val="20"/>
          <w:szCs w:val="20"/>
        </w:rPr>
      </w:pPr>
      <w:r w:rsidRPr="00CE64F5">
        <w:rPr>
          <w:rFonts w:ascii="Arial" w:eastAsia="Arial" w:hAnsi="Arial" w:cs="Times New Roman"/>
          <w:color w:val="000000"/>
          <w:sz w:val="20"/>
          <w:szCs w:val="20"/>
        </w:rPr>
        <w:t>Telephone: 02 8267 3800</w:t>
      </w:r>
    </w:p>
    <w:p w14:paraId="25C24984" w14:textId="14CF0717" w:rsidR="00CE64F5" w:rsidRPr="00CE64F5" w:rsidRDefault="00CE64F5" w:rsidP="00CE64F5">
      <w:pPr>
        <w:spacing w:after="0" w:line="250" w:lineRule="auto"/>
        <w:rPr>
          <w:rFonts w:ascii="Arial" w:eastAsia="Arial" w:hAnsi="Arial" w:cs="Times New Roman"/>
          <w:color w:val="000000"/>
          <w:sz w:val="20"/>
          <w:szCs w:val="20"/>
        </w:rPr>
      </w:pPr>
      <w:r w:rsidRPr="00CE64F5">
        <w:rPr>
          <w:rFonts w:ascii="Arial" w:eastAsia="Arial" w:hAnsi="Arial" w:cs="Times New Roman"/>
          <w:color w:val="000000"/>
          <w:sz w:val="20"/>
          <w:szCs w:val="20"/>
        </w:rPr>
        <w:t>Email: philip.hopley@hallandwilcox.com.au</w:t>
      </w:r>
    </w:p>
    <w:p w14:paraId="298B1C3B" w14:textId="77777777" w:rsidR="00CE64F5" w:rsidRPr="00CE64F5" w:rsidRDefault="00CE64F5" w:rsidP="00CE64F5">
      <w:pPr>
        <w:spacing w:after="0" w:line="250" w:lineRule="auto"/>
        <w:rPr>
          <w:rFonts w:ascii="Arial" w:eastAsia="Arial" w:hAnsi="Arial" w:cs="Times New Roman"/>
          <w:color w:val="000000"/>
          <w:sz w:val="20"/>
          <w:szCs w:val="20"/>
        </w:rPr>
      </w:pPr>
    </w:p>
    <w:p w14:paraId="58C6BDA7" w14:textId="77777777" w:rsidR="00CE64F5" w:rsidRPr="00CE64F5" w:rsidRDefault="00CE64F5" w:rsidP="00CE64F5">
      <w:pPr>
        <w:spacing w:after="240" w:line="250" w:lineRule="auto"/>
        <w:rPr>
          <w:rFonts w:ascii="Arial" w:eastAsia="Arial" w:hAnsi="Arial" w:cs="Times New Roman"/>
          <w:b/>
          <w:bCs/>
          <w:color w:val="000000"/>
          <w:sz w:val="20"/>
          <w:szCs w:val="20"/>
        </w:rPr>
      </w:pPr>
      <w:r w:rsidRPr="00CE64F5">
        <w:rPr>
          <w:rFonts w:ascii="Arial" w:eastAsia="Arial" w:hAnsi="Arial" w:cs="Times New Roman"/>
          <w:b/>
          <w:bCs/>
          <w:color w:val="000000"/>
          <w:sz w:val="20"/>
          <w:szCs w:val="20"/>
        </w:rPr>
        <w:t>Affected Policyholders  are not required to take any action if they  have no objection to the Scheme.</w:t>
      </w:r>
    </w:p>
    <w:p w14:paraId="5B668EAD" w14:textId="77777777" w:rsidR="00CE64F5" w:rsidRPr="00CE64F5" w:rsidRDefault="00CE64F5" w:rsidP="00CE64F5">
      <w:pPr>
        <w:spacing w:after="240" w:line="250" w:lineRule="auto"/>
        <w:rPr>
          <w:rFonts w:ascii="Arial" w:eastAsia="Arial" w:hAnsi="Arial" w:cs="Times New Roman"/>
          <w:color w:val="000000"/>
          <w:sz w:val="20"/>
          <w:szCs w:val="20"/>
        </w:rPr>
      </w:pPr>
      <w:r w:rsidRPr="00CE64F5">
        <w:rPr>
          <w:rFonts w:ascii="Arial" w:eastAsia="Arial" w:hAnsi="Arial" w:cs="Times New Roman"/>
          <w:color w:val="000000"/>
          <w:sz w:val="20"/>
          <w:szCs w:val="20"/>
        </w:rPr>
        <w:t>Copies of this Notice, the Scheme document, a summary of the Scheme approved by the Australian Prudential Regulation Authority (</w:t>
      </w:r>
      <w:r w:rsidRPr="00CE64F5">
        <w:rPr>
          <w:rFonts w:ascii="Arial" w:eastAsia="Arial" w:hAnsi="Arial" w:cs="Times New Roman"/>
          <w:b/>
          <w:color w:val="000000"/>
          <w:sz w:val="20"/>
          <w:szCs w:val="20"/>
        </w:rPr>
        <w:t>Scheme Summary</w:t>
      </w:r>
      <w:r w:rsidRPr="00CE64F5">
        <w:rPr>
          <w:rFonts w:ascii="Arial" w:eastAsia="Arial" w:hAnsi="Arial" w:cs="Times New Roman"/>
          <w:color w:val="000000"/>
          <w:sz w:val="20"/>
          <w:szCs w:val="20"/>
        </w:rPr>
        <w:t xml:space="preserve">) and the actuarial report prepared by Mr Geoff Atkins of Finity Consulting Pty Ltd dated June 2023 upon which the Scheme is based (collectively, the </w:t>
      </w:r>
      <w:r w:rsidRPr="00CE64F5">
        <w:rPr>
          <w:rFonts w:ascii="Arial" w:eastAsia="Arial" w:hAnsi="Arial" w:cs="Times New Roman"/>
          <w:b/>
          <w:bCs/>
          <w:color w:val="000000"/>
          <w:sz w:val="20"/>
          <w:szCs w:val="20"/>
        </w:rPr>
        <w:t>Scheme Documents</w:t>
      </w:r>
      <w:r w:rsidRPr="00CE64F5">
        <w:rPr>
          <w:rFonts w:ascii="Arial" w:eastAsia="Arial" w:hAnsi="Arial" w:cs="Times New Roman"/>
          <w:color w:val="000000"/>
          <w:sz w:val="20"/>
          <w:szCs w:val="20"/>
        </w:rPr>
        <w:t xml:space="preserve">) will be available on the website listed below from 11 July 2023 until the date of the hearing. </w:t>
      </w:r>
    </w:p>
    <w:p w14:paraId="087C68FB" w14:textId="77777777" w:rsidR="00CE64F5" w:rsidRPr="00CE64F5" w:rsidRDefault="00CE64F5" w:rsidP="00CE64F5">
      <w:pPr>
        <w:spacing w:after="0" w:line="240" w:lineRule="auto"/>
        <w:rPr>
          <w:rFonts w:ascii="Arial" w:eastAsia="Arial" w:hAnsi="Arial" w:cs="Times New Roman"/>
          <w:color w:val="000000"/>
          <w:sz w:val="20"/>
          <w:szCs w:val="20"/>
        </w:rPr>
      </w:pPr>
      <w:r w:rsidRPr="00CE64F5">
        <w:rPr>
          <w:rFonts w:ascii="Arial" w:hAnsi="Arial"/>
          <w:sz w:val="20"/>
          <w:szCs w:val="20"/>
        </w:rPr>
        <w:br w:type="page"/>
      </w:r>
    </w:p>
    <w:p w14:paraId="27D40867" w14:textId="77777777" w:rsidR="00CE64F5" w:rsidRPr="00CE64F5" w:rsidRDefault="00CE64F5" w:rsidP="00CE64F5">
      <w:pPr>
        <w:spacing w:after="240" w:line="250" w:lineRule="auto"/>
        <w:rPr>
          <w:rFonts w:ascii="Arial" w:eastAsia="Arial" w:hAnsi="Arial" w:cs="Arial"/>
          <w:color w:val="000000"/>
          <w:sz w:val="20"/>
          <w:szCs w:val="20"/>
        </w:rPr>
      </w:pPr>
      <w:r w:rsidRPr="00CE64F5">
        <w:rPr>
          <w:rFonts w:ascii="Arial" w:eastAsia="Arial" w:hAnsi="Arial" w:cs="Arial"/>
          <w:color w:val="000000"/>
          <w:sz w:val="20"/>
          <w:szCs w:val="20"/>
        </w:rPr>
        <w:lastRenderedPageBreak/>
        <w:t>Website</w:t>
      </w:r>
      <w:r w:rsidRPr="00CE64F5">
        <w:rPr>
          <w:rFonts w:ascii="Arial" w:eastAsia="Arial" w:hAnsi="Arial" w:cs="Arial"/>
          <w:sz w:val="20"/>
          <w:szCs w:val="20"/>
        </w:rPr>
        <w:t xml:space="preserve">:  </w:t>
      </w:r>
      <w:r w:rsidRPr="00CE64F5">
        <w:rPr>
          <w:rFonts w:ascii="Arial" w:eastAsia="Arial" w:hAnsi="Arial" w:cs="Arial"/>
          <w:kern w:val="24"/>
          <w:sz w:val="20"/>
          <w:szCs w:val="20"/>
        </w:rPr>
        <w:t>www.allianz.com.au/aagil-scheme-transfer.html</w:t>
      </w:r>
      <w:r w:rsidRPr="00CE64F5">
        <w:rPr>
          <w:rFonts w:ascii="Arial" w:eastAsia="Arial" w:hAnsi="Arial" w:cs="Arial"/>
          <w:color w:val="000000"/>
          <w:sz w:val="20"/>
          <w:szCs w:val="20"/>
        </w:rPr>
        <w:t xml:space="preserve"> </w:t>
      </w:r>
    </w:p>
    <w:p w14:paraId="0C531922" w14:textId="77777777" w:rsidR="00CE64F5" w:rsidRPr="00CE64F5" w:rsidRDefault="00CE64F5" w:rsidP="00CE64F5">
      <w:pPr>
        <w:spacing w:after="240" w:line="250" w:lineRule="auto"/>
        <w:rPr>
          <w:rFonts w:ascii="Arial" w:eastAsia="Arial" w:hAnsi="Arial" w:cs="Times New Roman"/>
          <w:color w:val="000000"/>
          <w:sz w:val="20"/>
          <w:szCs w:val="20"/>
        </w:rPr>
      </w:pPr>
      <w:r w:rsidRPr="00CE64F5">
        <w:rPr>
          <w:rFonts w:ascii="Arial" w:eastAsia="Arial" w:hAnsi="Arial" w:cs="Times New Roman"/>
          <w:color w:val="000000"/>
          <w:sz w:val="20"/>
          <w:szCs w:val="20"/>
        </w:rPr>
        <w:t xml:space="preserve">An Affected Policyholder may request a copy of the Scheme Documents to be provided (free of charge) by telephoning AAIL on </w:t>
      </w:r>
      <w:r w:rsidRPr="00CE64F5">
        <w:rPr>
          <w:rFonts w:ascii="Arial" w:eastAsia="Times New Roman" w:hAnsi="Arial" w:cs="Arial"/>
          <w:color w:val="0F1E32"/>
          <w:sz w:val="20"/>
          <w:szCs w:val="20"/>
        </w:rPr>
        <w:t>1300 051 575</w:t>
      </w:r>
      <w:r w:rsidRPr="00CE64F5">
        <w:rPr>
          <w:rFonts w:ascii="Arial" w:eastAsia="Arial" w:hAnsi="Arial" w:cs="Times New Roman"/>
          <w:color w:val="000000"/>
          <w:sz w:val="20"/>
          <w:szCs w:val="20"/>
        </w:rPr>
        <w:t xml:space="preserve"> between 9am and 5pm Australian Eastern Time, Monday to Friday, or by email to: AAGIL-Scheme-Transfer@allianz.com.au. </w:t>
      </w:r>
    </w:p>
    <w:p w14:paraId="6AF7EC4A" w14:textId="49DA559B" w:rsidR="00CE64F5" w:rsidRPr="00CE64F5" w:rsidRDefault="00CE64F5" w:rsidP="00CE64F5">
      <w:pPr>
        <w:spacing w:after="240" w:line="250" w:lineRule="auto"/>
        <w:rPr>
          <w:rFonts w:ascii="Arial" w:eastAsia="Arial" w:hAnsi="Arial" w:cs="Times New Roman"/>
          <w:color w:val="000000"/>
          <w:sz w:val="20"/>
          <w:szCs w:val="20"/>
        </w:rPr>
      </w:pPr>
      <w:r w:rsidRPr="00CE64F5">
        <w:rPr>
          <w:rFonts w:ascii="Arial" w:eastAsia="Arial" w:hAnsi="Arial" w:cs="Times New Roman"/>
          <w:color w:val="000000"/>
          <w:sz w:val="20"/>
          <w:szCs w:val="20"/>
        </w:rPr>
        <w:t xml:space="preserve">Affected Policyholders may also inspect a copy of the Scheme Documents or obtain copies (free of charge) from </w:t>
      </w:r>
      <w:r w:rsidR="005C3067" w:rsidRPr="005C3067">
        <w:rPr>
          <w:rFonts w:ascii="Arial" w:eastAsia="Arial" w:hAnsi="Arial" w:cs="Times New Roman"/>
          <w:color w:val="000000"/>
          <w:sz w:val="20"/>
          <w:szCs w:val="20"/>
        </w:rPr>
        <w:t>14</w:t>
      </w:r>
      <w:r w:rsidRPr="005C3067">
        <w:rPr>
          <w:rFonts w:ascii="Arial" w:eastAsia="Arial" w:hAnsi="Arial" w:cs="Times New Roman"/>
          <w:color w:val="000000"/>
          <w:sz w:val="20"/>
          <w:szCs w:val="20"/>
        </w:rPr>
        <w:t xml:space="preserve"> July 2023 to </w:t>
      </w:r>
      <w:r w:rsidR="005C3067" w:rsidRPr="005C3067">
        <w:rPr>
          <w:rFonts w:ascii="Arial" w:eastAsia="Arial" w:hAnsi="Arial" w:cs="Times New Roman"/>
          <w:color w:val="000000"/>
          <w:sz w:val="20"/>
          <w:szCs w:val="20"/>
        </w:rPr>
        <w:t>8</w:t>
      </w:r>
      <w:r w:rsidRPr="005C3067">
        <w:rPr>
          <w:rFonts w:ascii="Arial" w:eastAsia="Arial" w:hAnsi="Arial" w:cs="Times New Roman"/>
          <w:color w:val="000000"/>
          <w:sz w:val="20"/>
          <w:szCs w:val="20"/>
        </w:rPr>
        <w:t xml:space="preserve"> August 2023</w:t>
      </w:r>
      <w:r w:rsidRPr="00CE64F5">
        <w:rPr>
          <w:rFonts w:ascii="Arial" w:eastAsia="Arial" w:hAnsi="Arial" w:cs="Times New Roman"/>
          <w:color w:val="000000"/>
          <w:sz w:val="20"/>
          <w:szCs w:val="20"/>
        </w:rPr>
        <w:t xml:space="preserve"> on weekdays (not including public holidays) between 9am and 5pm, local time, at the following locations:</w:t>
      </w:r>
    </w:p>
    <w:tbl>
      <w:tblPr>
        <w:tblStyle w:val="TableGrid"/>
        <w:tblW w:w="82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3"/>
        <w:gridCol w:w="2006"/>
        <w:gridCol w:w="2008"/>
        <w:gridCol w:w="2190"/>
      </w:tblGrid>
      <w:tr w:rsidR="00CE64F5" w:rsidRPr="00CE64F5" w14:paraId="141A8693" w14:textId="77777777" w:rsidTr="005321E9">
        <w:tc>
          <w:tcPr>
            <w:tcW w:w="2013" w:type="dxa"/>
          </w:tcPr>
          <w:p w14:paraId="4430C2E7" w14:textId="77777777" w:rsidR="00CE64F5" w:rsidRPr="00CE64F5" w:rsidRDefault="00CE64F5" w:rsidP="00CE64F5">
            <w:pPr>
              <w:spacing w:after="240" w:line="250" w:lineRule="auto"/>
              <w:rPr>
                <w:b/>
                <w:bCs/>
                <w:color w:val="000000"/>
              </w:rPr>
            </w:pPr>
            <w:r w:rsidRPr="00CE64F5">
              <w:rPr>
                <w:b/>
                <w:bCs/>
                <w:color w:val="000000"/>
              </w:rPr>
              <w:t>Australian Capital Territory</w:t>
            </w:r>
          </w:p>
          <w:p w14:paraId="1DB1E0AD" w14:textId="77777777" w:rsidR="00CE64F5" w:rsidRPr="00CE64F5" w:rsidRDefault="00CE64F5" w:rsidP="00CE64F5">
            <w:pPr>
              <w:spacing w:line="250" w:lineRule="auto"/>
              <w:rPr>
                <w:color w:val="000000"/>
              </w:rPr>
            </w:pPr>
            <w:r w:rsidRPr="00CE64F5">
              <w:rPr>
                <w:color w:val="000000"/>
              </w:rPr>
              <w:t>Hall &amp; Wilcox</w:t>
            </w:r>
          </w:p>
          <w:p w14:paraId="4C050EA2" w14:textId="77777777" w:rsidR="00CE64F5" w:rsidRPr="00CE64F5" w:rsidRDefault="00CE64F5" w:rsidP="00CE64F5">
            <w:pPr>
              <w:spacing w:line="250" w:lineRule="auto"/>
              <w:rPr>
                <w:color w:val="000000"/>
              </w:rPr>
            </w:pPr>
            <w:r w:rsidRPr="00CE64F5">
              <w:rPr>
                <w:color w:val="000000"/>
              </w:rPr>
              <w:t>Level 4, 33 Ainslie Place, Canberra ACT 2601</w:t>
            </w:r>
          </w:p>
        </w:tc>
        <w:tc>
          <w:tcPr>
            <w:tcW w:w="2006" w:type="dxa"/>
          </w:tcPr>
          <w:p w14:paraId="790F491F" w14:textId="77777777" w:rsidR="00CE64F5" w:rsidRPr="00CE64F5" w:rsidRDefault="00CE64F5" w:rsidP="00CE64F5">
            <w:pPr>
              <w:spacing w:after="240" w:line="250" w:lineRule="auto"/>
              <w:rPr>
                <w:b/>
                <w:bCs/>
                <w:color w:val="000000"/>
              </w:rPr>
            </w:pPr>
            <w:r w:rsidRPr="00CE64F5">
              <w:rPr>
                <w:b/>
                <w:bCs/>
                <w:color w:val="000000"/>
              </w:rPr>
              <w:t>New South Wales</w:t>
            </w:r>
          </w:p>
          <w:p w14:paraId="5A751628" w14:textId="77777777" w:rsidR="00CE64F5" w:rsidRPr="00CE64F5" w:rsidRDefault="00CE64F5" w:rsidP="00CE64F5">
            <w:pPr>
              <w:spacing w:line="250" w:lineRule="auto"/>
              <w:rPr>
                <w:color w:val="000000"/>
              </w:rPr>
            </w:pPr>
          </w:p>
          <w:p w14:paraId="58DFEBF3" w14:textId="77777777" w:rsidR="00CE64F5" w:rsidRPr="00CE64F5" w:rsidRDefault="00CE64F5" w:rsidP="00CE64F5">
            <w:pPr>
              <w:spacing w:line="250" w:lineRule="auto"/>
              <w:rPr>
                <w:color w:val="000000"/>
              </w:rPr>
            </w:pPr>
            <w:r w:rsidRPr="00CE64F5">
              <w:rPr>
                <w:color w:val="000000"/>
              </w:rPr>
              <w:t>Hall &amp; Wilcox</w:t>
            </w:r>
          </w:p>
          <w:p w14:paraId="216BA6F1" w14:textId="77777777" w:rsidR="00CE64F5" w:rsidRPr="00CE64F5" w:rsidRDefault="00CE64F5" w:rsidP="00CE64F5">
            <w:pPr>
              <w:spacing w:line="250" w:lineRule="auto"/>
              <w:rPr>
                <w:color w:val="000000"/>
              </w:rPr>
            </w:pPr>
            <w:r w:rsidRPr="00CE64F5">
              <w:rPr>
                <w:color w:val="000000"/>
              </w:rPr>
              <w:t>Level 18, 347 Kent Street, Sydney NSW 2000</w:t>
            </w:r>
          </w:p>
        </w:tc>
        <w:tc>
          <w:tcPr>
            <w:tcW w:w="2008" w:type="dxa"/>
          </w:tcPr>
          <w:p w14:paraId="39F020FA" w14:textId="77777777" w:rsidR="00CE64F5" w:rsidRPr="00CE64F5" w:rsidRDefault="00CE64F5" w:rsidP="00CE64F5">
            <w:pPr>
              <w:spacing w:after="240" w:line="250" w:lineRule="auto"/>
              <w:rPr>
                <w:b/>
                <w:bCs/>
                <w:color w:val="000000"/>
              </w:rPr>
            </w:pPr>
            <w:r w:rsidRPr="00CE64F5">
              <w:rPr>
                <w:b/>
                <w:bCs/>
                <w:color w:val="000000"/>
              </w:rPr>
              <w:t>Northern Territory</w:t>
            </w:r>
          </w:p>
          <w:p w14:paraId="4C2DDDDA" w14:textId="77777777" w:rsidR="00CE64F5" w:rsidRPr="00CE64F5" w:rsidRDefault="00CE64F5" w:rsidP="00CE64F5">
            <w:pPr>
              <w:spacing w:line="250" w:lineRule="auto"/>
              <w:rPr>
                <w:color w:val="000000"/>
              </w:rPr>
            </w:pPr>
          </w:p>
          <w:p w14:paraId="16A4D588" w14:textId="77777777" w:rsidR="00CE64F5" w:rsidRPr="00CE64F5" w:rsidRDefault="00CE64F5" w:rsidP="00CE64F5">
            <w:pPr>
              <w:spacing w:line="250" w:lineRule="auto"/>
              <w:rPr>
                <w:color w:val="000000"/>
              </w:rPr>
            </w:pPr>
            <w:r w:rsidRPr="00CE64F5">
              <w:rPr>
                <w:color w:val="000000"/>
              </w:rPr>
              <w:t>Hall &amp; Wilcox</w:t>
            </w:r>
          </w:p>
          <w:p w14:paraId="4CA07402" w14:textId="77777777" w:rsidR="00CE64F5" w:rsidRPr="00CE64F5" w:rsidRDefault="00CE64F5" w:rsidP="00CE64F5">
            <w:pPr>
              <w:spacing w:line="250" w:lineRule="auto"/>
              <w:rPr>
                <w:color w:val="000000"/>
              </w:rPr>
            </w:pPr>
            <w:r w:rsidRPr="00CE64F5">
              <w:rPr>
                <w:color w:val="000000"/>
              </w:rPr>
              <w:t xml:space="preserve">Tenancy A, Ground Floor, 18 Smith Street, Darwin NT 0800 </w:t>
            </w:r>
          </w:p>
        </w:tc>
        <w:tc>
          <w:tcPr>
            <w:tcW w:w="2190" w:type="dxa"/>
          </w:tcPr>
          <w:p w14:paraId="428F5402" w14:textId="77777777" w:rsidR="00CE64F5" w:rsidRPr="00CE64F5" w:rsidRDefault="00CE64F5" w:rsidP="00CE64F5">
            <w:pPr>
              <w:spacing w:after="240" w:line="250" w:lineRule="auto"/>
              <w:rPr>
                <w:b/>
                <w:bCs/>
                <w:color w:val="000000"/>
              </w:rPr>
            </w:pPr>
            <w:r w:rsidRPr="00CE64F5">
              <w:rPr>
                <w:b/>
                <w:bCs/>
                <w:color w:val="000000"/>
              </w:rPr>
              <w:t>Queensland</w:t>
            </w:r>
          </w:p>
          <w:p w14:paraId="0F969E0E" w14:textId="77777777" w:rsidR="00CE64F5" w:rsidRPr="00CE64F5" w:rsidRDefault="00CE64F5" w:rsidP="00CE64F5">
            <w:pPr>
              <w:spacing w:line="250" w:lineRule="auto"/>
              <w:rPr>
                <w:color w:val="000000"/>
              </w:rPr>
            </w:pPr>
          </w:p>
          <w:p w14:paraId="203A43F3" w14:textId="77777777" w:rsidR="00CE64F5" w:rsidRPr="00CE64F5" w:rsidRDefault="00CE64F5" w:rsidP="00CE64F5">
            <w:pPr>
              <w:spacing w:line="250" w:lineRule="auto"/>
              <w:rPr>
                <w:color w:val="000000"/>
              </w:rPr>
            </w:pPr>
            <w:r w:rsidRPr="00CE64F5">
              <w:rPr>
                <w:color w:val="000000"/>
              </w:rPr>
              <w:t>Hall &amp; Wilcox</w:t>
            </w:r>
          </w:p>
          <w:p w14:paraId="764D71FA" w14:textId="77777777" w:rsidR="00CE64F5" w:rsidRPr="00CE64F5" w:rsidRDefault="00CE64F5" w:rsidP="00CE64F5">
            <w:pPr>
              <w:spacing w:line="250" w:lineRule="auto"/>
              <w:rPr>
                <w:color w:val="000000"/>
              </w:rPr>
            </w:pPr>
            <w:r w:rsidRPr="00CE64F5">
              <w:rPr>
                <w:color w:val="000000"/>
              </w:rPr>
              <w:t>Level 18, 240 Queen Street, Brisbane QLD 4000</w:t>
            </w:r>
          </w:p>
        </w:tc>
      </w:tr>
      <w:tr w:rsidR="00CE64F5" w:rsidRPr="00CE64F5" w14:paraId="7BF44950" w14:textId="77777777" w:rsidTr="005321E9">
        <w:tc>
          <w:tcPr>
            <w:tcW w:w="2013" w:type="dxa"/>
          </w:tcPr>
          <w:p w14:paraId="58A96787" w14:textId="77777777" w:rsidR="00CE64F5" w:rsidRPr="00CE64F5" w:rsidRDefault="00CE64F5" w:rsidP="00CE64F5">
            <w:pPr>
              <w:spacing w:after="240" w:line="250" w:lineRule="auto"/>
              <w:rPr>
                <w:b/>
                <w:bCs/>
                <w:color w:val="000000"/>
              </w:rPr>
            </w:pPr>
            <w:r w:rsidRPr="00CE64F5">
              <w:rPr>
                <w:b/>
                <w:bCs/>
                <w:color w:val="000000"/>
              </w:rPr>
              <w:t>South Australia</w:t>
            </w:r>
          </w:p>
          <w:p w14:paraId="75F593BC" w14:textId="77777777" w:rsidR="00CE64F5" w:rsidRPr="00CE64F5" w:rsidRDefault="00CE64F5" w:rsidP="00CE64F5">
            <w:pPr>
              <w:spacing w:line="250" w:lineRule="auto"/>
              <w:rPr>
                <w:color w:val="000000"/>
              </w:rPr>
            </w:pPr>
            <w:r w:rsidRPr="00CE64F5">
              <w:rPr>
                <w:color w:val="000000"/>
              </w:rPr>
              <w:t>Hall &amp; Wilcox</w:t>
            </w:r>
          </w:p>
          <w:p w14:paraId="69319080" w14:textId="77777777" w:rsidR="00CE64F5" w:rsidRPr="00CE64F5" w:rsidRDefault="00CE64F5" w:rsidP="00CE64F5">
            <w:pPr>
              <w:spacing w:line="250" w:lineRule="auto"/>
              <w:rPr>
                <w:color w:val="000000"/>
              </w:rPr>
            </w:pPr>
            <w:r w:rsidRPr="00CE64F5">
              <w:rPr>
                <w:color w:val="000000"/>
              </w:rPr>
              <w:t>Level 5, 19 Grenfell Street, Adelaide SA 5000</w:t>
            </w:r>
          </w:p>
        </w:tc>
        <w:tc>
          <w:tcPr>
            <w:tcW w:w="2006" w:type="dxa"/>
          </w:tcPr>
          <w:p w14:paraId="2D816C6C" w14:textId="77777777" w:rsidR="00CE64F5" w:rsidRPr="00CE64F5" w:rsidRDefault="00CE64F5" w:rsidP="00CE64F5">
            <w:pPr>
              <w:spacing w:after="240" w:line="250" w:lineRule="auto"/>
              <w:rPr>
                <w:color w:val="000000"/>
              </w:rPr>
            </w:pPr>
            <w:r w:rsidRPr="00CE64F5">
              <w:rPr>
                <w:b/>
                <w:bCs/>
                <w:color w:val="000000"/>
              </w:rPr>
              <w:t>Tasmania</w:t>
            </w:r>
          </w:p>
          <w:p w14:paraId="5929309E" w14:textId="77777777" w:rsidR="00CE64F5" w:rsidRPr="00CE64F5" w:rsidRDefault="00CE64F5" w:rsidP="00CE64F5">
            <w:pPr>
              <w:spacing w:line="250" w:lineRule="auto"/>
              <w:rPr>
                <w:color w:val="000000"/>
              </w:rPr>
            </w:pPr>
            <w:r w:rsidRPr="00CE64F5">
              <w:rPr>
                <w:color w:val="000000"/>
              </w:rPr>
              <w:t>Dobson Mitchell Allport</w:t>
            </w:r>
          </w:p>
          <w:p w14:paraId="1C3AFEE2" w14:textId="77777777" w:rsidR="00CE64F5" w:rsidRPr="00CE64F5" w:rsidRDefault="00CE64F5" w:rsidP="00CE64F5">
            <w:pPr>
              <w:spacing w:line="250" w:lineRule="auto"/>
              <w:rPr>
                <w:b/>
                <w:bCs/>
                <w:color w:val="000000"/>
              </w:rPr>
            </w:pPr>
            <w:r w:rsidRPr="00CE64F5">
              <w:rPr>
                <w:color w:val="000000"/>
              </w:rPr>
              <w:t>59 Harrington Street, Hobart TAS 7000</w:t>
            </w:r>
          </w:p>
        </w:tc>
        <w:tc>
          <w:tcPr>
            <w:tcW w:w="2008" w:type="dxa"/>
          </w:tcPr>
          <w:p w14:paraId="1E50E3A5" w14:textId="77777777" w:rsidR="00CE64F5" w:rsidRPr="00CE64F5" w:rsidRDefault="00CE64F5" w:rsidP="00CE64F5">
            <w:pPr>
              <w:spacing w:after="240" w:line="250" w:lineRule="auto"/>
              <w:rPr>
                <w:b/>
                <w:bCs/>
                <w:color w:val="000000"/>
              </w:rPr>
            </w:pPr>
            <w:r w:rsidRPr="00CE64F5">
              <w:rPr>
                <w:b/>
                <w:bCs/>
                <w:color w:val="000000"/>
              </w:rPr>
              <w:t>Victoria</w:t>
            </w:r>
          </w:p>
          <w:p w14:paraId="2039E59E" w14:textId="77777777" w:rsidR="00CE64F5" w:rsidRPr="00CE64F5" w:rsidRDefault="00CE64F5" w:rsidP="00CE64F5">
            <w:pPr>
              <w:spacing w:line="250" w:lineRule="auto"/>
              <w:rPr>
                <w:color w:val="000000"/>
              </w:rPr>
            </w:pPr>
            <w:r w:rsidRPr="00CE64F5">
              <w:rPr>
                <w:color w:val="000000"/>
              </w:rPr>
              <w:t>Hall &amp; Wilcox</w:t>
            </w:r>
          </w:p>
          <w:p w14:paraId="682AAC79" w14:textId="77777777" w:rsidR="00CE64F5" w:rsidRPr="00CE64F5" w:rsidRDefault="00CE64F5" w:rsidP="00CE64F5">
            <w:pPr>
              <w:spacing w:line="250" w:lineRule="auto"/>
              <w:rPr>
                <w:color w:val="000000"/>
              </w:rPr>
            </w:pPr>
            <w:r w:rsidRPr="00CE64F5">
              <w:rPr>
                <w:color w:val="000000"/>
              </w:rPr>
              <w:t>Level 11, Rialto South Tower, 525 Collins Street, Melbourne VIC 3000</w:t>
            </w:r>
          </w:p>
        </w:tc>
        <w:tc>
          <w:tcPr>
            <w:tcW w:w="2190" w:type="dxa"/>
          </w:tcPr>
          <w:p w14:paraId="48278223" w14:textId="77777777" w:rsidR="00CE64F5" w:rsidRPr="00CE64F5" w:rsidRDefault="00CE64F5" w:rsidP="00CE64F5">
            <w:pPr>
              <w:spacing w:after="240" w:line="250" w:lineRule="auto"/>
              <w:rPr>
                <w:b/>
                <w:bCs/>
                <w:color w:val="000000"/>
              </w:rPr>
            </w:pPr>
            <w:r w:rsidRPr="00CE64F5">
              <w:rPr>
                <w:b/>
                <w:bCs/>
                <w:color w:val="000000"/>
              </w:rPr>
              <w:t>Western Australia</w:t>
            </w:r>
          </w:p>
          <w:p w14:paraId="2EB84CF0" w14:textId="77777777" w:rsidR="00CE64F5" w:rsidRPr="00CE64F5" w:rsidRDefault="00CE64F5" w:rsidP="00CE64F5">
            <w:pPr>
              <w:spacing w:line="250" w:lineRule="auto"/>
              <w:rPr>
                <w:color w:val="000000"/>
              </w:rPr>
            </w:pPr>
            <w:r w:rsidRPr="00CE64F5">
              <w:rPr>
                <w:color w:val="000000"/>
              </w:rPr>
              <w:t>Hall &amp; Wilcox</w:t>
            </w:r>
          </w:p>
          <w:p w14:paraId="6F6C4CF4" w14:textId="77777777" w:rsidR="00CE64F5" w:rsidRPr="00CE64F5" w:rsidRDefault="00CE64F5" w:rsidP="00CE64F5">
            <w:pPr>
              <w:spacing w:line="250" w:lineRule="auto"/>
              <w:rPr>
                <w:color w:val="000000"/>
              </w:rPr>
            </w:pPr>
            <w:r w:rsidRPr="00CE64F5">
              <w:rPr>
                <w:color w:val="000000"/>
              </w:rPr>
              <w:t>Level 19, 108 St Georges Terrace, Perth WA 6000</w:t>
            </w:r>
          </w:p>
          <w:p w14:paraId="28D12E91" w14:textId="77777777" w:rsidR="00CE64F5" w:rsidRPr="00CE64F5" w:rsidRDefault="00CE64F5" w:rsidP="00CE64F5">
            <w:pPr>
              <w:spacing w:after="240" w:line="250" w:lineRule="auto"/>
              <w:rPr>
                <w:color w:val="000000"/>
              </w:rPr>
            </w:pPr>
          </w:p>
        </w:tc>
      </w:tr>
    </w:tbl>
    <w:p w14:paraId="65AD7DB1" w14:textId="77777777" w:rsidR="00CE64F5" w:rsidRPr="00CE64F5" w:rsidRDefault="00CE64F5" w:rsidP="00CE64F5">
      <w:pPr>
        <w:spacing w:after="240" w:line="250" w:lineRule="auto"/>
        <w:ind w:left="709"/>
        <w:rPr>
          <w:rFonts w:ascii="Arial" w:eastAsia="Arial" w:hAnsi="Arial" w:cs="Times New Roman"/>
          <w:color w:val="000000"/>
          <w:sz w:val="20"/>
          <w:szCs w:val="20"/>
        </w:rPr>
      </w:pPr>
    </w:p>
    <w:p w14:paraId="4BBBE46A" w14:textId="77777777" w:rsidR="00CE64F5" w:rsidRPr="00CE64F5" w:rsidRDefault="00CE64F5" w:rsidP="00CE64F5">
      <w:pPr>
        <w:spacing w:after="240" w:line="250" w:lineRule="auto"/>
        <w:rPr>
          <w:rFonts w:ascii="Arial" w:eastAsia="Arial" w:hAnsi="Arial" w:cs="Times New Roman"/>
          <w:color w:val="000000"/>
          <w:sz w:val="20"/>
          <w:szCs w:val="20"/>
        </w:rPr>
      </w:pPr>
      <w:r w:rsidRPr="00CE64F5">
        <w:rPr>
          <w:rFonts w:ascii="Arial" w:eastAsia="Arial" w:hAnsi="Arial" w:cs="Times New Roman"/>
          <w:color w:val="000000"/>
          <w:sz w:val="20"/>
          <w:szCs w:val="20"/>
        </w:rPr>
        <w:t xml:space="preserve">Should you require further information or have any questions or concerns about the proposed Scheme, please contact AAIL by telephone on </w:t>
      </w:r>
      <w:r w:rsidRPr="00CE64F5">
        <w:rPr>
          <w:rFonts w:ascii="Arial" w:eastAsia="Times New Roman" w:hAnsi="Arial" w:cs="Arial"/>
          <w:color w:val="0F1E32"/>
          <w:sz w:val="20"/>
          <w:szCs w:val="20"/>
        </w:rPr>
        <w:t>1300 051 575</w:t>
      </w:r>
      <w:r w:rsidRPr="00CE64F5">
        <w:rPr>
          <w:rFonts w:ascii="Arial" w:eastAsia="Times New Roman" w:hAnsi="Arial" w:cs="Arial"/>
          <w:color w:val="0F1E32"/>
          <w:sz w:val="24"/>
          <w:szCs w:val="24"/>
        </w:rPr>
        <w:t xml:space="preserve"> </w:t>
      </w:r>
      <w:r w:rsidRPr="00CE64F5">
        <w:rPr>
          <w:rFonts w:ascii="Arial" w:eastAsia="Arial" w:hAnsi="Arial" w:cs="Times New Roman"/>
          <w:color w:val="000000"/>
          <w:sz w:val="20"/>
          <w:szCs w:val="20"/>
        </w:rPr>
        <w:t>between 9am and 5pm Australian Eastern Time, Monday to Friday.</w:t>
      </w:r>
    </w:p>
    <w:p w14:paraId="02368CAE" w14:textId="77777777" w:rsidR="00CE64F5" w:rsidRPr="00CE64F5" w:rsidRDefault="00CE64F5" w:rsidP="00CE64F5">
      <w:pPr>
        <w:spacing w:after="240" w:line="250" w:lineRule="auto"/>
        <w:rPr>
          <w:rFonts w:ascii="Arial" w:eastAsia="Arial" w:hAnsi="Arial" w:cs="Times New Roman"/>
          <w:color w:val="000000"/>
          <w:sz w:val="20"/>
          <w:szCs w:val="20"/>
        </w:rPr>
      </w:pPr>
      <w:r w:rsidRPr="00CE64F5">
        <w:rPr>
          <w:rFonts w:ascii="Arial" w:eastAsia="Arial" w:hAnsi="Arial" w:cs="Times New Roman"/>
          <w:color w:val="000000"/>
          <w:sz w:val="20"/>
          <w:szCs w:val="20"/>
        </w:rPr>
        <w:t>It is recommended that each Affected Policyholder obtain and review a copy of the Scheme Documents to understand the impact of the Scheme on their rights and interests.</w:t>
      </w:r>
    </w:p>
    <w:p w14:paraId="4796865F" w14:textId="77777777" w:rsidR="004B2753" w:rsidRPr="00424B97" w:rsidRDefault="004B2753" w:rsidP="00424B97"/>
    <w:sectPr w:rsidR="004B2753" w:rsidRPr="00424B97" w:rsidSect="008E4F6C">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F879A" w14:textId="77777777" w:rsidR="00F95584" w:rsidRDefault="00F95584" w:rsidP="003A707F">
      <w:pPr>
        <w:spacing w:after="0" w:line="240" w:lineRule="auto"/>
      </w:pPr>
      <w:r>
        <w:separator/>
      </w:r>
    </w:p>
  </w:endnote>
  <w:endnote w:type="continuationSeparator" w:id="0">
    <w:p w14:paraId="0C26CFAE" w14:textId="77777777" w:rsidR="00F95584" w:rsidRDefault="00F95584"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5D40A" w14:textId="77777777" w:rsidR="00D30D7B" w:rsidRDefault="00D30D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FA299" w14:textId="77777777" w:rsidR="00D30D7B" w:rsidRDefault="00D30D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F1945" w14:textId="77777777" w:rsidR="00D30D7B" w:rsidRDefault="00D30D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5F1A7" w14:textId="77777777" w:rsidR="00F95584" w:rsidRDefault="00F95584" w:rsidP="003A707F">
      <w:pPr>
        <w:spacing w:after="0" w:line="240" w:lineRule="auto"/>
      </w:pPr>
      <w:r>
        <w:separator/>
      </w:r>
    </w:p>
  </w:footnote>
  <w:footnote w:type="continuationSeparator" w:id="0">
    <w:p w14:paraId="4C19D118" w14:textId="77777777" w:rsidR="00F95584" w:rsidRDefault="00F95584" w:rsidP="003A70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A4EB3" w14:textId="77777777" w:rsidR="00D30D7B" w:rsidRDefault="00D30D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21FFC" w14:textId="77777777" w:rsidR="00D30D7B" w:rsidRDefault="00D30D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14:paraId="3514ADB6" w14:textId="77777777"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14:paraId="54A645CF" w14:textId="77777777" w:rsidR="00F40885" w:rsidRPr="00CE796A" w:rsidRDefault="00F40885" w:rsidP="00840A06">
          <w:pPr>
            <w:spacing w:before="60" w:after="0"/>
            <w:ind w:left="-51"/>
            <w:rPr>
              <w:rFonts w:ascii="Arial" w:hAnsi="Arial"/>
              <w:sz w:val="12"/>
            </w:rPr>
          </w:pPr>
          <w:bookmarkStart w:id="0" w:name="OLE_LINK2"/>
          <w:r>
            <w:rPr>
              <w:rFonts w:ascii="Arial" w:hAnsi="Arial"/>
              <w:noProof/>
              <w:sz w:val="12"/>
              <w:lang w:eastAsia="en-AU"/>
            </w:rPr>
            <w:drawing>
              <wp:inline distT="0" distB="0" distL="0" distR="0" wp14:anchorId="19C158F0" wp14:editId="297DB40C">
                <wp:extent cx="702945" cy="544195"/>
                <wp:effectExtent l="0" t="0" r="0" b="8255"/>
                <wp:docPr id="1" name="Picture 1" title="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09D0EF5E" w14:textId="77777777"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14:paraId="2F7BA278" w14:textId="77777777"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14:paraId="09452C42" w14:textId="77777777"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7558E9F8" w14:textId="77777777" w:rsidR="00F40885" w:rsidRPr="00CE796A" w:rsidRDefault="00F40885" w:rsidP="00840A06">
          <w:pPr>
            <w:spacing w:after="0"/>
            <w:ind w:left="-51"/>
            <w:rPr>
              <w:rFonts w:ascii="Arial" w:hAnsi="Arial" w:cs="Arial"/>
              <w:sz w:val="14"/>
              <w:szCs w:val="14"/>
            </w:rPr>
          </w:pPr>
          <w:bookmarkStart w:id="1" w:name="GazNo"/>
          <w:bookmarkEnd w:id="1"/>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6F14BA8A" w14:textId="77777777"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0"/>
  </w:tbl>
  <w:p w14:paraId="3DBF97A6" w14:textId="77777777" w:rsidR="00F40885" w:rsidRPr="003A707F" w:rsidRDefault="00F40885" w:rsidP="00F40885">
    <w:pPr>
      <w:pStyle w:val="Header"/>
      <w:rPr>
        <w:sz w:val="2"/>
        <w:szCs w:val="2"/>
      </w:rPr>
    </w:pPr>
  </w:p>
  <w:p w14:paraId="7A299391" w14:textId="77777777" w:rsidR="00F40885" w:rsidRPr="00F40885" w:rsidRDefault="00F40885">
    <w:pPr>
      <w:pStyle w:val="Header"/>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embedTrueTypeFonts/>
  <w:saveSubsetFonts/>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4F6C"/>
    <w:rsid w:val="000D7322"/>
    <w:rsid w:val="000E1F2B"/>
    <w:rsid w:val="001C2AAD"/>
    <w:rsid w:val="001E3AD0"/>
    <w:rsid w:val="001F6E54"/>
    <w:rsid w:val="00280BCD"/>
    <w:rsid w:val="003A707F"/>
    <w:rsid w:val="003B0EC1"/>
    <w:rsid w:val="003B573B"/>
    <w:rsid w:val="003F2CBD"/>
    <w:rsid w:val="00424B97"/>
    <w:rsid w:val="004B2753"/>
    <w:rsid w:val="00520873"/>
    <w:rsid w:val="00573D44"/>
    <w:rsid w:val="005C3067"/>
    <w:rsid w:val="00840A06"/>
    <w:rsid w:val="008439B7"/>
    <w:rsid w:val="0087253F"/>
    <w:rsid w:val="008E4F6C"/>
    <w:rsid w:val="009539C7"/>
    <w:rsid w:val="00A00F21"/>
    <w:rsid w:val="00B84226"/>
    <w:rsid w:val="00BE7780"/>
    <w:rsid w:val="00C63C4E"/>
    <w:rsid w:val="00C72C30"/>
    <w:rsid w:val="00CE64F5"/>
    <w:rsid w:val="00D229E5"/>
    <w:rsid w:val="00D30D7B"/>
    <w:rsid w:val="00D77A88"/>
    <w:rsid w:val="00D8089A"/>
    <w:rsid w:val="00F03910"/>
    <w:rsid w:val="00F40885"/>
    <w:rsid w:val="00F95584"/>
    <w:rsid w:val="00FA25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36B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table" w:styleId="TableGrid">
    <w:name w:val="Table Grid"/>
    <w:basedOn w:val="TableNormal"/>
    <w:uiPriority w:val="59"/>
    <w:rsid w:val="00CE64F5"/>
    <w:pPr>
      <w:spacing w:after="0" w:line="240" w:lineRule="auto"/>
    </w:pPr>
    <w:rPr>
      <w:rFonts w:ascii="Arial" w:eastAsia="Arial" w:hAnsi="Arial" w:cs="Times New Roman"/>
      <w:sz w:val="20"/>
      <w:szCs w:val="20"/>
      <w:lang w:eastAsia="en-AU"/>
    </w:rPr>
    <w:tblPr>
      <w:tblCellMar>
        <w:top w:w="85" w:type="dxa"/>
        <w:left w:w="0" w:type="dxa"/>
        <w:bottom w:w="85" w:type="dxa"/>
        <w:right w:w="8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261E9-B8E9-4AD8-BF17-38844DBDE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603</Words>
  <Characters>3438</Characters>
  <Application>Microsoft Office Word</Application>
  <DocSecurity>0</DocSecurity>
  <PresentationFormat/>
  <Lines>28</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4033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2013-06-24T01:35:00Z</cp:lastPrinted>
  <dcterms:created xsi:type="dcterms:W3CDTF">2023-07-05T04:24:00Z</dcterms:created>
  <dcterms:modified xsi:type="dcterms:W3CDTF">2023-07-06T06:09:00Z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itle">
    <vt:lpwstr>Gazette [HW draft 05.07.2023]</vt:lpwstr>
  </property>
  <property fmtid="{D5CDD505-2E9C-101B-9397-08002B2CF9AE}" pid="3" name="iManDocNo">
    <vt:lpwstr>42239060_1</vt:lpwstr>
  </property>
</Properties>
</file>