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85852" w14:textId="77777777" w:rsidR="0017617C" w:rsidRPr="00A33743" w:rsidRDefault="0017617C" w:rsidP="00A33743">
      <w:pPr>
        <w:spacing w:before="360" w:after="360"/>
        <w:rPr>
          <w:rStyle w:val="Strong"/>
          <w:sz w:val="28"/>
          <w:szCs w:val="28"/>
        </w:rPr>
      </w:pPr>
      <w:r w:rsidRPr="00A33743">
        <w:rPr>
          <w:rStyle w:val="Strong"/>
          <w:sz w:val="28"/>
          <w:szCs w:val="28"/>
        </w:rPr>
        <w:t xml:space="preserve">HEAVY VEHICLE NATIONAL LAW </w:t>
      </w:r>
    </w:p>
    <w:p w14:paraId="707479A8" w14:textId="77777777" w:rsidR="0017617C" w:rsidRPr="00A33743" w:rsidRDefault="0017617C" w:rsidP="00A33743">
      <w:pPr>
        <w:spacing w:before="360" w:after="360"/>
        <w:rPr>
          <w:rStyle w:val="Strong"/>
          <w:sz w:val="28"/>
          <w:szCs w:val="28"/>
        </w:rPr>
      </w:pPr>
      <w:r w:rsidRPr="00A33743">
        <w:rPr>
          <w:rStyle w:val="Strong"/>
          <w:sz w:val="28"/>
          <w:szCs w:val="28"/>
        </w:rPr>
        <w:t>NATIONAL HEAVY VEHICLE STANDARDS (PARTIALLY COMPLETED VEHICLES) EXEMPTION NOTICE 2023 (NO. 1)</w:t>
      </w:r>
    </w:p>
    <w:p w14:paraId="6230BDAE" w14:textId="77777777" w:rsidR="0017617C" w:rsidRPr="00A33743" w:rsidRDefault="0017617C" w:rsidP="00A33743">
      <w:pPr>
        <w:pStyle w:val="Bullet1"/>
        <w:rPr>
          <w:sz w:val="24"/>
          <w:szCs w:val="24"/>
        </w:rPr>
      </w:pPr>
      <w:r w:rsidRPr="00A33743">
        <w:rPr>
          <w:sz w:val="24"/>
          <w:szCs w:val="24"/>
        </w:rPr>
        <w:t>Purpose</w:t>
      </w:r>
    </w:p>
    <w:p w14:paraId="02E9BA65" w14:textId="23794443" w:rsidR="0017617C" w:rsidRPr="00A33743" w:rsidRDefault="0017617C" w:rsidP="00390F59">
      <w:pPr>
        <w:rPr>
          <w:sz w:val="24"/>
          <w:szCs w:val="24"/>
        </w:rPr>
      </w:pPr>
      <w:r w:rsidRPr="00A33743">
        <w:rPr>
          <w:sz w:val="24"/>
          <w:szCs w:val="24"/>
        </w:rPr>
        <w:t xml:space="preserve">The purpose of this notice is to exempt partially completed and newly manufactured heavy vehicles that are used on roads prior to first registration for particular purposes from complying with certain specifications of the </w:t>
      </w:r>
      <w:r w:rsidRPr="00A33743">
        <w:rPr>
          <w:i/>
          <w:sz w:val="24"/>
          <w:szCs w:val="24"/>
        </w:rPr>
        <w:t xml:space="preserve">Heavy Vehicle (Vehicle Standards) National Regulation </w:t>
      </w:r>
      <w:r w:rsidRPr="00A33743">
        <w:rPr>
          <w:sz w:val="24"/>
          <w:szCs w:val="24"/>
        </w:rPr>
        <w:t>(the National Regulation).</w:t>
      </w:r>
    </w:p>
    <w:p w14:paraId="7E3C75DC" w14:textId="1A167CF6" w:rsidR="0017617C" w:rsidRPr="00A33743" w:rsidRDefault="0017617C" w:rsidP="00A33743">
      <w:pPr>
        <w:pStyle w:val="Bullet1"/>
        <w:rPr>
          <w:sz w:val="24"/>
          <w:szCs w:val="24"/>
        </w:rPr>
      </w:pPr>
      <w:r w:rsidRPr="00A33743">
        <w:rPr>
          <w:sz w:val="24"/>
          <w:szCs w:val="24"/>
        </w:rPr>
        <w:t>Authorising Provision</w:t>
      </w:r>
    </w:p>
    <w:p w14:paraId="72A7A648" w14:textId="77777777" w:rsidR="0017617C" w:rsidRPr="00A33743" w:rsidRDefault="0017617C" w:rsidP="00390F59">
      <w:pPr>
        <w:rPr>
          <w:sz w:val="24"/>
          <w:szCs w:val="24"/>
        </w:rPr>
      </w:pPr>
      <w:r w:rsidRPr="00A33743">
        <w:rPr>
          <w:sz w:val="24"/>
          <w:szCs w:val="24"/>
        </w:rPr>
        <w:t>This notice is made under section 61 of the Heavy Vehicle National Law (HVNL) as in force in each participating jurisdiction.</w:t>
      </w:r>
    </w:p>
    <w:p w14:paraId="6BC4A981" w14:textId="4D458CDE" w:rsidR="0017617C" w:rsidRPr="00A33743" w:rsidRDefault="0017617C" w:rsidP="00A33743">
      <w:pPr>
        <w:pStyle w:val="Bullet1"/>
        <w:rPr>
          <w:sz w:val="24"/>
          <w:szCs w:val="24"/>
        </w:rPr>
      </w:pPr>
      <w:r w:rsidRPr="00A33743">
        <w:rPr>
          <w:sz w:val="24"/>
          <w:szCs w:val="24"/>
        </w:rPr>
        <w:t>Commencement</w:t>
      </w:r>
    </w:p>
    <w:p w14:paraId="4BC419A6" w14:textId="77777777" w:rsidR="0017617C" w:rsidRPr="00A33743" w:rsidRDefault="0017617C" w:rsidP="00390F59">
      <w:pPr>
        <w:rPr>
          <w:b/>
          <w:sz w:val="24"/>
          <w:szCs w:val="24"/>
        </w:rPr>
      </w:pPr>
      <w:r w:rsidRPr="00A33743">
        <w:rPr>
          <w:sz w:val="24"/>
          <w:szCs w:val="24"/>
        </w:rPr>
        <w:t>This notice commences on 20 June 2023.</w:t>
      </w:r>
    </w:p>
    <w:p w14:paraId="0039FDA3" w14:textId="257B5504" w:rsidR="0017617C" w:rsidRPr="00A33743" w:rsidRDefault="0017617C" w:rsidP="00A33743">
      <w:pPr>
        <w:pStyle w:val="Bullet1"/>
        <w:rPr>
          <w:sz w:val="24"/>
          <w:szCs w:val="24"/>
        </w:rPr>
      </w:pPr>
      <w:r w:rsidRPr="00A33743">
        <w:rPr>
          <w:sz w:val="24"/>
          <w:szCs w:val="24"/>
        </w:rPr>
        <w:t>Expiry</w:t>
      </w:r>
    </w:p>
    <w:p w14:paraId="42792350" w14:textId="77777777" w:rsidR="0017617C" w:rsidRPr="00A33743" w:rsidRDefault="0017617C" w:rsidP="00390F59">
      <w:pPr>
        <w:rPr>
          <w:b/>
          <w:sz w:val="24"/>
          <w:szCs w:val="24"/>
        </w:rPr>
      </w:pPr>
      <w:r w:rsidRPr="00A33743">
        <w:rPr>
          <w:sz w:val="24"/>
          <w:szCs w:val="24"/>
        </w:rPr>
        <w:t>This notice expires 19 June 2028.</w:t>
      </w:r>
    </w:p>
    <w:p w14:paraId="0779417D" w14:textId="60CCE901" w:rsidR="0017617C" w:rsidRPr="00A33743" w:rsidRDefault="0017617C" w:rsidP="00A33743">
      <w:pPr>
        <w:pStyle w:val="Bullet1"/>
        <w:rPr>
          <w:sz w:val="24"/>
          <w:szCs w:val="24"/>
        </w:rPr>
      </w:pPr>
      <w:r w:rsidRPr="00A33743">
        <w:rPr>
          <w:sz w:val="24"/>
          <w:szCs w:val="24"/>
        </w:rPr>
        <w:t>Definitions and Interpretations</w:t>
      </w:r>
    </w:p>
    <w:p w14:paraId="6BDF9529" w14:textId="77777777" w:rsidR="0017617C" w:rsidRPr="00A33743" w:rsidRDefault="0017617C" w:rsidP="00A33743">
      <w:pPr>
        <w:pStyle w:val="List2"/>
        <w:rPr>
          <w:sz w:val="24"/>
          <w:szCs w:val="24"/>
        </w:rPr>
      </w:pPr>
      <w:r w:rsidRPr="00A33743">
        <w:rPr>
          <w:sz w:val="24"/>
          <w:szCs w:val="24"/>
        </w:rPr>
        <w:t>Unless otherwise stated, words and expressions used in this notice have the same meanings as those defined in the HVNL.</w:t>
      </w:r>
    </w:p>
    <w:p w14:paraId="4FE45045" w14:textId="77777777" w:rsidR="0017617C" w:rsidRPr="00A33743" w:rsidRDefault="0017617C" w:rsidP="00A33743">
      <w:pPr>
        <w:pStyle w:val="List2"/>
        <w:rPr>
          <w:sz w:val="24"/>
          <w:szCs w:val="24"/>
        </w:rPr>
      </w:pPr>
      <w:r w:rsidRPr="00A33743">
        <w:rPr>
          <w:sz w:val="24"/>
          <w:szCs w:val="24"/>
        </w:rPr>
        <w:t>In this notice—</w:t>
      </w:r>
    </w:p>
    <w:p w14:paraId="6F654326" w14:textId="77777777" w:rsidR="0017617C" w:rsidRPr="00A33743" w:rsidRDefault="0017617C" w:rsidP="00A33743">
      <w:pPr>
        <w:pStyle w:val="ListParagraph"/>
        <w:rPr>
          <w:sz w:val="24"/>
          <w:szCs w:val="24"/>
        </w:rPr>
      </w:pPr>
      <w:r w:rsidRPr="00A33743">
        <w:rPr>
          <w:b/>
          <w:bCs/>
          <w:sz w:val="24"/>
          <w:szCs w:val="24"/>
        </w:rPr>
        <w:t>Eligible journey</w:t>
      </w:r>
      <w:r w:rsidRPr="00A33743">
        <w:rPr>
          <w:sz w:val="24"/>
          <w:szCs w:val="24"/>
        </w:rPr>
        <w:t xml:space="preserve"> means travel on a public road:</w:t>
      </w:r>
    </w:p>
    <w:p w14:paraId="1ACE0723" w14:textId="77777777" w:rsidR="0017617C" w:rsidRPr="00A33743" w:rsidRDefault="0017617C" w:rsidP="00A33743">
      <w:pPr>
        <w:pStyle w:val="List3"/>
        <w:rPr>
          <w:sz w:val="24"/>
          <w:szCs w:val="24"/>
        </w:rPr>
      </w:pPr>
      <w:r w:rsidRPr="00A33743">
        <w:rPr>
          <w:sz w:val="24"/>
          <w:szCs w:val="24"/>
        </w:rPr>
        <w:t>within a 100 km radius of the place where the journey began; and</w:t>
      </w:r>
    </w:p>
    <w:p w14:paraId="6CF486C7" w14:textId="17174477" w:rsidR="0017617C" w:rsidRDefault="0017617C" w:rsidP="00A33743">
      <w:pPr>
        <w:pStyle w:val="List3"/>
        <w:rPr>
          <w:sz w:val="24"/>
          <w:szCs w:val="24"/>
        </w:rPr>
      </w:pPr>
      <w:r w:rsidRPr="00A33743">
        <w:rPr>
          <w:sz w:val="24"/>
          <w:szCs w:val="24"/>
        </w:rPr>
        <w:t>by the most direct route between any of the following places</w:t>
      </w:r>
      <w:r w:rsidR="009F65FC">
        <w:rPr>
          <w:sz w:val="24"/>
          <w:szCs w:val="24"/>
        </w:rPr>
        <w:t>:</w:t>
      </w:r>
    </w:p>
    <w:p w14:paraId="76D92054" w14:textId="77777777" w:rsidR="009F65FC" w:rsidRPr="009F65FC" w:rsidRDefault="009F65FC" w:rsidP="009F65FC">
      <w:pPr>
        <w:pStyle w:val="List3"/>
        <w:numPr>
          <w:ilvl w:val="2"/>
          <w:numId w:val="14"/>
        </w:numPr>
        <w:spacing w:before="0" w:after="0" w:line="240" w:lineRule="auto"/>
        <w:rPr>
          <w:sz w:val="24"/>
          <w:szCs w:val="24"/>
        </w:rPr>
      </w:pPr>
      <w:r w:rsidRPr="009F65FC">
        <w:rPr>
          <w:sz w:val="24"/>
          <w:szCs w:val="24"/>
        </w:rPr>
        <w:t>point of entry</w:t>
      </w:r>
    </w:p>
    <w:p w14:paraId="02BA3ED0" w14:textId="77777777" w:rsidR="009F65FC" w:rsidRPr="009F65FC" w:rsidRDefault="009F65FC" w:rsidP="009F65FC">
      <w:pPr>
        <w:pStyle w:val="List3"/>
        <w:numPr>
          <w:ilvl w:val="2"/>
          <w:numId w:val="14"/>
        </w:numPr>
        <w:spacing w:before="0" w:after="0" w:line="240" w:lineRule="auto"/>
        <w:rPr>
          <w:sz w:val="24"/>
          <w:szCs w:val="24"/>
        </w:rPr>
      </w:pPr>
      <w:r w:rsidRPr="009F65FC">
        <w:rPr>
          <w:sz w:val="24"/>
          <w:szCs w:val="24"/>
        </w:rPr>
        <w:t xml:space="preserve">a manufacturing facility operated by, or for, the vehicle </w:t>
      </w:r>
      <w:proofErr w:type="gramStart"/>
      <w:r w:rsidRPr="009F65FC">
        <w:rPr>
          <w:sz w:val="24"/>
          <w:szCs w:val="24"/>
        </w:rPr>
        <w:t>manufacturer</w:t>
      </w:r>
      <w:proofErr w:type="gramEnd"/>
    </w:p>
    <w:p w14:paraId="3E0874A0" w14:textId="77777777" w:rsidR="009F65FC" w:rsidRPr="009F65FC" w:rsidRDefault="009F65FC" w:rsidP="009F65FC">
      <w:pPr>
        <w:pStyle w:val="List3"/>
        <w:numPr>
          <w:ilvl w:val="2"/>
          <w:numId w:val="14"/>
        </w:numPr>
        <w:spacing w:before="0" w:after="0" w:line="240" w:lineRule="auto"/>
        <w:rPr>
          <w:sz w:val="24"/>
          <w:szCs w:val="24"/>
        </w:rPr>
      </w:pPr>
      <w:r w:rsidRPr="009F65FC">
        <w:rPr>
          <w:sz w:val="24"/>
          <w:szCs w:val="24"/>
        </w:rPr>
        <w:t>a vehicle storage facility</w:t>
      </w:r>
    </w:p>
    <w:p w14:paraId="08497908" w14:textId="762D4982" w:rsidR="009F65FC" w:rsidRPr="009F65FC" w:rsidRDefault="009F65FC" w:rsidP="009F65FC">
      <w:pPr>
        <w:pStyle w:val="List3"/>
        <w:numPr>
          <w:ilvl w:val="2"/>
          <w:numId w:val="14"/>
        </w:numPr>
        <w:spacing w:before="0" w:after="0" w:line="240" w:lineRule="auto"/>
        <w:rPr>
          <w:sz w:val="24"/>
          <w:szCs w:val="24"/>
        </w:rPr>
      </w:pPr>
      <w:r w:rsidRPr="009F65FC">
        <w:rPr>
          <w:sz w:val="24"/>
          <w:szCs w:val="24"/>
        </w:rPr>
        <w:t xml:space="preserve">a component manufacturer </w:t>
      </w:r>
      <w:proofErr w:type="gramStart"/>
      <w:r w:rsidRPr="009F65FC">
        <w:rPr>
          <w:sz w:val="24"/>
          <w:szCs w:val="24"/>
        </w:rPr>
        <w:t>in order to</w:t>
      </w:r>
      <w:proofErr w:type="gramEnd"/>
      <w:r w:rsidRPr="009F65FC">
        <w:rPr>
          <w:sz w:val="24"/>
          <w:szCs w:val="24"/>
        </w:rPr>
        <w:t xml:space="preserve"> complete construction of the vehicle; or</w:t>
      </w:r>
    </w:p>
    <w:p w14:paraId="77F255AF" w14:textId="148DE4E3" w:rsidR="0017617C" w:rsidRPr="00A33743" w:rsidRDefault="0017617C" w:rsidP="00A33743">
      <w:pPr>
        <w:pStyle w:val="List3"/>
        <w:rPr>
          <w:b/>
          <w:sz w:val="24"/>
          <w:szCs w:val="24"/>
        </w:rPr>
      </w:pPr>
      <w:r w:rsidRPr="00A33743">
        <w:rPr>
          <w:sz w:val="24"/>
          <w:szCs w:val="24"/>
        </w:rPr>
        <w:t>for the purpose of road testing the vehicle.</w:t>
      </w:r>
      <w:r w:rsidR="009F65FC">
        <w:rPr>
          <w:sz w:val="24"/>
          <w:szCs w:val="24"/>
        </w:rPr>
        <w:tab/>
      </w:r>
    </w:p>
    <w:p w14:paraId="79B2CBA4" w14:textId="77777777" w:rsidR="0017617C" w:rsidRPr="00A33743" w:rsidRDefault="0017617C" w:rsidP="00A33743">
      <w:pPr>
        <w:pStyle w:val="ListParagraph"/>
        <w:rPr>
          <w:sz w:val="24"/>
          <w:szCs w:val="24"/>
        </w:rPr>
      </w:pPr>
      <w:r w:rsidRPr="00A33743">
        <w:rPr>
          <w:b/>
          <w:bCs/>
          <w:sz w:val="24"/>
          <w:szCs w:val="24"/>
        </w:rPr>
        <w:lastRenderedPageBreak/>
        <w:t>Goods</w:t>
      </w:r>
      <w:r w:rsidRPr="00A33743">
        <w:rPr>
          <w:sz w:val="24"/>
          <w:szCs w:val="24"/>
        </w:rPr>
        <w:t>, for the purpose of this notice, does not include components carried on the vehicle that are intended to be fitted to the vehicle to complete its construction.</w:t>
      </w:r>
    </w:p>
    <w:p w14:paraId="47913EEA" w14:textId="77777777" w:rsidR="0017617C" w:rsidRPr="00A33743" w:rsidRDefault="0017617C" w:rsidP="00A33743">
      <w:pPr>
        <w:pStyle w:val="ListParagraph"/>
        <w:rPr>
          <w:b/>
          <w:sz w:val="24"/>
          <w:szCs w:val="24"/>
        </w:rPr>
      </w:pPr>
      <w:r w:rsidRPr="00A33743">
        <w:rPr>
          <w:b/>
          <w:sz w:val="24"/>
          <w:szCs w:val="24"/>
        </w:rPr>
        <w:t xml:space="preserve">Letter of Compliance </w:t>
      </w:r>
      <w:r w:rsidRPr="00A33743">
        <w:rPr>
          <w:sz w:val="24"/>
          <w:szCs w:val="24"/>
        </w:rPr>
        <w:t>means a letter issued by an appropriate representative of the vehicle manufacturer on the manufacturer’s letterhead that includes:</w:t>
      </w:r>
    </w:p>
    <w:p w14:paraId="7419C509" w14:textId="77777777" w:rsidR="0017617C" w:rsidRPr="00A33743" w:rsidRDefault="0017617C" w:rsidP="00A33743">
      <w:pPr>
        <w:pStyle w:val="List3"/>
        <w:numPr>
          <w:ilvl w:val="0"/>
          <w:numId w:val="19"/>
        </w:numPr>
        <w:ind w:left="1560" w:hanging="567"/>
        <w:rPr>
          <w:sz w:val="24"/>
          <w:szCs w:val="24"/>
        </w:rPr>
      </w:pPr>
      <w:r w:rsidRPr="00A33743">
        <w:rPr>
          <w:sz w:val="24"/>
          <w:szCs w:val="24"/>
        </w:rPr>
        <w:t>the vehicle identification number (VIN)</w:t>
      </w:r>
    </w:p>
    <w:p w14:paraId="1BA8D9D7" w14:textId="77777777" w:rsidR="0017617C" w:rsidRPr="00A33743" w:rsidRDefault="0017617C" w:rsidP="00A33743">
      <w:pPr>
        <w:pStyle w:val="List3"/>
        <w:rPr>
          <w:sz w:val="24"/>
          <w:szCs w:val="24"/>
        </w:rPr>
      </w:pPr>
      <w:r w:rsidRPr="00A33743">
        <w:rPr>
          <w:sz w:val="24"/>
          <w:szCs w:val="24"/>
        </w:rPr>
        <w:t>the RAV entry approval number applicable to the vehicle</w:t>
      </w:r>
    </w:p>
    <w:p w14:paraId="37B9D26A" w14:textId="77777777" w:rsidR="0017617C" w:rsidRPr="00A33743" w:rsidRDefault="0017617C" w:rsidP="00A33743">
      <w:pPr>
        <w:pStyle w:val="List3"/>
        <w:rPr>
          <w:sz w:val="24"/>
          <w:szCs w:val="24"/>
        </w:rPr>
      </w:pPr>
      <w:r w:rsidRPr="00A33743">
        <w:rPr>
          <w:sz w:val="24"/>
          <w:szCs w:val="24"/>
        </w:rPr>
        <w:t xml:space="preserve">a description of the vehicle, including the make and model. </w:t>
      </w:r>
    </w:p>
    <w:p w14:paraId="624069BC" w14:textId="209DCD78" w:rsidR="0017617C" w:rsidRPr="00A33743" w:rsidRDefault="0017617C" w:rsidP="00A33743">
      <w:pPr>
        <w:pStyle w:val="ListParagraph"/>
        <w:rPr>
          <w:sz w:val="24"/>
          <w:szCs w:val="24"/>
        </w:rPr>
      </w:pPr>
      <w:proofErr w:type="gramStart"/>
      <w:r w:rsidRPr="00A33743">
        <w:rPr>
          <w:b/>
          <w:bCs/>
          <w:sz w:val="24"/>
          <w:szCs w:val="24"/>
        </w:rPr>
        <w:t>New vehicle</w:t>
      </w:r>
      <w:r w:rsidR="00B712BB" w:rsidRPr="00A33743">
        <w:rPr>
          <w:b/>
          <w:bCs/>
          <w:sz w:val="24"/>
          <w:szCs w:val="24"/>
        </w:rPr>
        <w:t>,</w:t>
      </w:r>
      <w:proofErr w:type="gramEnd"/>
      <w:r w:rsidRPr="00A33743">
        <w:rPr>
          <w:b/>
          <w:bCs/>
          <w:sz w:val="24"/>
          <w:szCs w:val="24"/>
        </w:rPr>
        <w:t> </w:t>
      </w:r>
      <w:r w:rsidRPr="00A33743">
        <w:rPr>
          <w:sz w:val="24"/>
          <w:szCs w:val="24"/>
        </w:rPr>
        <w:t>has the meaning given by the Road Vehicle Standards Rules 2019 (</w:t>
      </w:r>
      <w:proofErr w:type="spellStart"/>
      <w:r w:rsidRPr="00A33743">
        <w:rPr>
          <w:sz w:val="24"/>
          <w:szCs w:val="24"/>
        </w:rPr>
        <w:t>Cth</w:t>
      </w:r>
      <w:proofErr w:type="spellEnd"/>
      <w:r w:rsidRPr="00A33743">
        <w:rPr>
          <w:sz w:val="24"/>
          <w:szCs w:val="24"/>
        </w:rPr>
        <w:t>).</w:t>
      </w:r>
    </w:p>
    <w:p w14:paraId="17047BBD" w14:textId="41241747" w:rsidR="0017617C" w:rsidRPr="00A33743" w:rsidRDefault="0017617C" w:rsidP="00A33743">
      <w:pPr>
        <w:pStyle w:val="ListParagraph"/>
        <w:rPr>
          <w:sz w:val="24"/>
          <w:szCs w:val="24"/>
        </w:rPr>
      </w:pPr>
      <w:r w:rsidRPr="00A33743">
        <w:rPr>
          <w:b/>
          <w:bCs/>
          <w:sz w:val="24"/>
          <w:szCs w:val="24"/>
        </w:rPr>
        <w:t>Partially completed vehicle</w:t>
      </w:r>
      <w:r w:rsidR="00B712BB" w:rsidRPr="00A33743">
        <w:rPr>
          <w:sz w:val="24"/>
          <w:szCs w:val="24"/>
        </w:rPr>
        <w:t>,</w:t>
      </w:r>
      <w:r w:rsidRPr="00A33743">
        <w:rPr>
          <w:sz w:val="24"/>
          <w:szCs w:val="24"/>
        </w:rPr>
        <w:t xml:space="preserve"> has the meaning given by the Vehicle Standard (Australian Design Rule—Definitions and Vehicle Categories) 2005 (</w:t>
      </w:r>
      <w:proofErr w:type="spellStart"/>
      <w:r w:rsidRPr="00A33743">
        <w:rPr>
          <w:sz w:val="24"/>
          <w:szCs w:val="24"/>
        </w:rPr>
        <w:t>Cth</w:t>
      </w:r>
      <w:proofErr w:type="spellEnd"/>
      <w:r w:rsidRPr="00A33743">
        <w:rPr>
          <w:sz w:val="24"/>
          <w:szCs w:val="24"/>
        </w:rPr>
        <w:t>), as amended from time to time.</w:t>
      </w:r>
    </w:p>
    <w:p w14:paraId="25F3BB74" w14:textId="583FC94B" w:rsidR="0017617C" w:rsidRPr="00A33743" w:rsidRDefault="0017617C" w:rsidP="00A33743">
      <w:pPr>
        <w:pStyle w:val="ListParagraph"/>
        <w:rPr>
          <w:sz w:val="24"/>
          <w:szCs w:val="24"/>
        </w:rPr>
      </w:pPr>
      <w:r w:rsidRPr="00A33743">
        <w:rPr>
          <w:b/>
          <w:bCs/>
          <w:sz w:val="24"/>
          <w:szCs w:val="24"/>
        </w:rPr>
        <w:t>Passenger</w:t>
      </w:r>
      <w:r w:rsidRPr="00A33743">
        <w:rPr>
          <w:sz w:val="24"/>
          <w:szCs w:val="24"/>
        </w:rPr>
        <w:t xml:space="preserve">, for the purpose of this notice, does not include a person being carried in a vehicle who is carrying out diagnostics, </w:t>
      </w:r>
      <w:proofErr w:type="gramStart"/>
      <w:r w:rsidRPr="00A33743">
        <w:rPr>
          <w:sz w:val="24"/>
          <w:szCs w:val="24"/>
        </w:rPr>
        <w:t>validation</w:t>
      </w:r>
      <w:proofErr w:type="gramEnd"/>
      <w:r w:rsidRPr="00A33743">
        <w:rPr>
          <w:sz w:val="24"/>
          <w:szCs w:val="24"/>
        </w:rPr>
        <w:t xml:space="preserve"> or evaluation of the vehicle’s performance.</w:t>
      </w:r>
    </w:p>
    <w:p w14:paraId="221A1CE9" w14:textId="6172AD1D" w:rsidR="00A33743" w:rsidRPr="00A33743" w:rsidRDefault="00A33743" w:rsidP="00A33743">
      <w:pPr>
        <w:pStyle w:val="ListParagraph"/>
        <w:rPr>
          <w:sz w:val="24"/>
          <w:szCs w:val="24"/>
        </w:rPr>
      </w:pPr>
      <w:proofErr w:type="gramStart"/>
      <w:r w:rsidRPr="00A33743">
        <w:rPr>
          <w:b/>
          <w:bCs/>
          <w:sz w:val="24"/>
          <w:szCs w:val="24"/>
        </w:rPr>
        <w:t>RAV entry approval,</w:t>
      </w:r>
      <w:proofErr w:type="gramEnd"/>
      <w:r w:rsidRPr="00A33743">
        <w:rPr>
          <w:b/>
          <w:bCs/>
          <w:sz w:val="24"/>
          <w:szCs w:val="24"/>
        </w:rPr>
        <w:t xml:space="preserve"> </w:t>
      </w:r>
      <w:r w:rsidRPr="00A33743">
        <w:rPr>
          <w:sz w:val="24"/>
          <w:szCs w:val="24"/>
        </w:rPr>
        <w:t>means an approval to enter the vehicle on the Register of Approved Vehicles (RAV) issued in accordance with the requirements of the Road Vehicle Standards Act 2018 (</w:t>
      </w:r>
      <w:proofErr w:type="spellStart"/>
      <w:r w:rsidRPr="00A33743">
        <w:rPr>
          <w:sz w:val="24"/>
          <w:szCs w:val="24"/>
        </w:rPr>
        <w:t>Cth</w:t>
      </w:r>
      <w:proofErr w:type="spellEnd"/>
      <w:r w:rsidRPr="00A33743">
        <w:rPr>
          <w:sz w:val="24"/>
          <w:szCs w:val="24"/>
        </w:rPr>
        <w:t xml:space="preserve">).  </w:t>
      </w:r>
    </w:p>
    <w:p w14:paraId="3240AE1C" w14:textId="4738E56B" w:rsidR="0017617C" w:rsidRPr="00A33743" w:rsidRDefault="00B712BB" w:rsidP="00A33743">
      <w:pPr>
        <w:pStyle w:val="List2"/>
        <w:rPr>
          <w:sz w:val="24"/>
          <w:szCs w:val="24"/>
        </w:rPr>
      </w:pPr>
      <w:r w:rsidRPr="00A33743">
        <w:rPr>
          <w:sz w:val="24"/>
          <w:szCs w:val="24"/>
        </w:rPr>
        <w:t>A reference to a clause of an ADR is a reference to:</w:t>
      </w:r>
    </w:p>
    <w:p w14:paraId="31A2750D" w14:textId="77777777" w:rsidR="00B712BB" w:rsidRPr="00A33743" w:rsidRDefault="00B712BB" w:rsidP="00A33743">
      <w:pPr>
        <w:pStyle w:val="List3"/>
        <w:numPr>
          <w:ilvl w:val="0"/>
          <w:numId w:val="24"/>
        </w:numPr>
        <w:ind w:left="1560" w:hanging="567"/>
        <w:rPr>
          <w:b/>
          <w:sz w:val="24"/>
          <w:szCs w:val="24"/>
        </w:rPr>
      </w:pPr>
      <w:r w:rsidRPr="00A33743">
        <w:rPr>
          <w:sz w:val="24"/>
          <w:szCs w:val="24"/>
        </w:rPr>
        <w:t>The version of the clause applying to the vehicle as a heavy vehicle standard; and</w:t>
      </w:r>
    </w:p>
    <w:p w14:paraId="40714C37" w14:textId="1BB7CDBB" w:rsidR="00B712BB" w:rsidRPr="00A33743" w:rsidRDefault="00B712BB" w:rsidP="00A33743">
      <w:pPr>
        <w:pStyle w:val="List3"/>
        <w:rPr>
          <w:b/>
          <w:sz w:val="24"/>
          <w:szCs w:val="24"/>
        </w:rPr>
      </w:pPr>
      <w:r w:rsidRPr="00A33743">
        <w:rPr>
          <w:sz w:val="24"/>
          <w:szCs w:val="24"/>
        </w:rPr>
        <w:t xml:space="preserve">If the clause is omitted and remade (with or without modification) or renumbered and a version of the clause as remade or renumbered applies to the heavy vehicle as a vehicle standard the version of the clause as remade or renumbered applying to the heavy vehicle as a vehicle standard. </w:t>
      </w:r>
    </w:p>
    <w:p w14:paraId="755C37BA" w14:textId="0BB554FE" w:rsidR="00B712BB" w:rsidRPr="00A33743" w:rsidRDefault="00B712BB" w:rsidP="00A33743">
      <w:pPr>
        <w:pStyle w:val="Bullet1"/>
        <w:rPr>
          <w:sz w:val="24"/>
          <w:szCs w:val="24"/>
        </w:rPr>
      </w:pPr>
      <w:r w:rsidRPr="00A33743">
        <w:rPr>
          <w:sz w:val="24"/>
          <w:szCs w:val="24"/>
        </w:rPr>
        <w:t>Title</w:t>
      </w:r>
    </w:p>
    <w:p w14:paraId="111D1327" w14:textId="77777777" w:rsidR="00B712BB" w:rsidRPr="00A33743" w:rsidRDefault="00B712BB" w:rsidP="00390F59">
      <w:pPr>
        <w:rPr>
          <w:sz w:val="24"/>
          <w:szCs w:val="24"/>
        </w:rPr>
      </w:pPr>
      <w:r w:rsidRPr="00A33743">
        <w:rPr>
          <w:sz w:val="24"/>
          <w:szCs w:val="24"/>
        </w:rPr>
        <w:t xml:space="preserve">This notice may be cited as the </w:t>
      </w:r>
      <w:r w:rsidRPr="00A33743">
        <w:rPr>
          <w:i/>
          <w:iCs/>
          <w:sz w:val="24"/>
          <w:szCs w:val="24"/>
        </w:rPr>
        <w:t>National Heavy Vehicle Standards (Partially Completed Vehicles) Exemption Notice 2023 (No. 1).</w:t>
      </w:r>
    </w:p>
    <w:p w14:paraId="468A45F3" w14:textId="5CCE5D02" w:rsidR="00B712BB" w:rsidRPr="00A33743" w:rsidRDefault="00390F59" w:rsidP="00A33743">
      <w:pPr>
        <w:pStyle w:val="Bullet1"/>
        <w:rPr>
          <w:sz w:val="24"/>
          <w:szCs w:val="24"/>
        </w:rPr>
      </w:pPr>
      <w:r w:rsidRPr="00A33743">
        <w:rPr>
          <w:sz w:val="24"/>
          <w:szCs w:val="24"/>
        </w:rPr>
        <w:t>Application</w:t>
      </w:r>
    </w:p>
    <w:p w14:paraId="7E7AC200" w14:textId="4219A80E" w:rsidR="00390F59" w:rsidRPr="00A33743" w:rsidRDefault="00390F59" w:rsidP="00390F59">
      <w:pPr>
        <w:rPr>
          <w:sz w:val="24"/>
          <w:szCs w:val="24"/>
        </w:rPr>
      </w:pPr>
      <w:r w:rsidRPr="00A33743">
        <w:rPr>
          <w:sz w:val="24"/>
          <w:szCs w:val="24"/>
        </w:rPr>
        <w:t>This notice applies to an eligible vehicle that is on an eligible journey, as defined in this notice.</w:t>
      </w:r>
    </w:p>
    <w:p w14:paraId="2B93B273" w14:textId="3CC88270" w:rsidR="00390F59" w:rsidRPr="00A33743" w:rsidRDefault="00390F59" w:rsidP="00390F59">
      <w:pPr>
        <w:rPr>
          <w:b/>
          <w:sz w:val="24"/>
          <w:szCs w:val="24"/>
        </w:rPr>
      </w:pPr>
      <w:r w:rsidRPr="00A33743">
        <w:rPr>
          <w:i/>
          <w:iCs/>
          <w:sz w:val="24"/>
          <w:szCs w:val="24"/>
        </w:rPr>
        <w:t>Note: this Notice does not apply to movements for the purposes of obtaining registration or any other purpose not detailed in this notice</w:t>
      </w:r>
      <w:r w:rsidRPr="00A33743">
        <w:rPr>
          <w:sz w:val="24"/>
          <w:szCs w:val="24"/>
        </w:rPr>
        <w:t>.</w:t>
      </w:r>
    </w:p>
    <w:p w14:paraId="7FEA13A5" w14:textId="77777777" w:rsidR="00390F59" w:rsidRPr="00A33743" w:rsidRDefault="00390F59" w:rsidP="00A33743">
      <w:pPr>
        <w:pStyle w:val="Bullet1"/>
        <w:rPr>
          <w:sz w:val="24"/>
          <w:szCs w:val="24"/>
        </w:rPr>
      </w:pPr>
      <w:r w:rsidRPr="00A33743">
        <w:rPr>
          <w:sz w:val="24"/>
          <w:szCs w:val="24"/>
        </w:rPr>
        <w:lastRenderedPageBreak/>
        <w:t>Exemption from Prescribed Vehicle Standards</w:t>
      </w:r>
    </w:p>
    <w:p w14:paraId="6CC62012" w14:textId="6A4AC731" w:rsidR="00B712BB" w:rsidRPr="00A33743" w:rsidRDefault="00390F59" w:rsidP="006D268B">
      <w:pPr>
        <w:pStyle w:val="List2"/>
        <w:numPr>
          <w:ilvl w:val="0"/>
          <w:numId w:val="21"/>
        </w:numPr>
        <w:ind w:hanging="577"/>
        <w:rPr>
          <w:sz w:val="24"/>
          <w:szCs w:val="24"/>
        </w:rPr>
      </w:pPr>
      <w:r w:rsidRPr="00A33743">
        <w:rPr>
          <w:sz w:val="24"/>
          <w:szCs w:val="24"/>
        </w:rPr>
        <w:t>Subject to subsection (2), an eligible vehicle is exempt from complying with Schedule 1 Section 2(1) of the National Regulation insofar as it requires compliance with an Australian Design Rule (ADR) for a component mentioned in Column 2 of Table 1, set out in the component ADR listed in Column 3 and to the extent listed in Column 4.</w:t>
      </w:r>
    </w:p>
    <w:p w14:paraId="53A5F87D" w14:textId="0671FB58" w:rsidR="00244D3F" w:rsidRPr="00A33743" w:rsidRDefault="00244D3F" w:rsidP="00A33743">
      <w:pPr>
        <w:pStyle w:val="List2"/>
        <w:numPr>
          <w:ilvl w:val="0"/>
          <w:numId w:val="0"/>
        </w:numPr>
        <w:spacing w:before="480" w:after="0"/>
        <w:contextualSpacing w:val="0"/>
        <w:rPr>
          <w:rStyle w:val="Strong"/>
          <w:sz w:val="24"/>
          <w:szCs w:val="24"/>
        </w:rPr>
      </w:pPr>
      <w:r w:rsidRPr="00A33743">
        <w:rPr>
          <w:rStyle w:val="Strong"/>
          <w:sz w:val="24"/>
          <w:szCs w:val="24"/>
        </w:rPr>
        <w:t>Table 1: Exemptions for Specific Components from Specific ADR Requirements</w:t>
      </w:r>
    </w:p>
    <w:tbl>
      <w:tblPr>
        <w:tblStyle w:val="TableGrid"/>
        <w:tblW w:w="0" w:type="auto"/>
        <w:tblInd w:w="108" w:type="dxa"/>
        <w:tblLook w:val="04A0" w:firstRow="1" w:lastRow="0" w:firstColumn="1" w:lastColumn="0" w:noHBand="0" w:noVBand="1"/>
        <w:tblCaption w:val="Table 1: Exemptions for Specific Components from Specific ADR Requirements"/>
        <w:tblDescription w:val="Table 1: Exemptions for Specific Components from Specific ADR Requirements"/>
      </w:tblPr>
      <w:tblGrid>
        <w:gridCol w:w="1593"/>
        <w:gridCol w:w="2235"/>
        <w:gridCol w:w="1559"/>
        <w:gridCol w:w="3544"/>
      </w:tblGrid>
      <w:tr w:rsidR="00244D3F" w:rsidRPr="00A33743" w14:paraId="589EDFDC" w14:textId="77777777" w:rsidTr="006D268B">
        <w:trPr>
          <w:cantSplit/>
          <w:tblHeader/>
        </w:trPr>
        <w:tc>
          <w:tcPr>
            <w:tcW w:w="1593" w:type="dxa"/>
            <w:shd w:val="clear" w:color="auto" w:fill="D9D9D9" w:themeFill="background1" w:themeFillShade="D9"/>
          </w:tcPr>
          <w:p w14:paraId="1D21DF69" w14:textId="77777777" w:rsidR="00244D3F" w:rsidRPr="00A33743" w:rsidRDefault="00244D3F" w:rsidP="00244D3F">
            <w:pPr>
              <w:pStyle w:val="TableofFigures"/>
              <w:rPr>
                <w:sz w:val="24"/>
                <w:szCs w:val="24"/>
              </w:rPr>
            </w:pPr>
            <w:r w:rsidRPr="00A33743">
              <w:rPr>
                <w:sz w:val="24"/>
                <w:szCs w:val="24"/>
              </w:rPr>
              <w:t>Column 1</w:t>
            </w:r>
          </w:p>
        </w:tc>
        <w:tc>
          <w:tcPr>
            <w:tcW w:w="2235" w:type="dxa"/>
            <w:shd w:val="clear" w:color="auto" w:fill="D9D9D9" w:themeFill="background1" w:themeFillShade="D9"/>
          </w:tcPr>
          <w:p w14:paraId="37848FD8" w14:textId="77777777" w:rsidR="00244D3F" w:rsidRPr="00A33743" w:rsidRDefault="00244D3F" w:rsidP="00244D3F">
            <w:pPr>
              <w:pStyle w:val="TableofFigures"/>
              <w:rPr>
                <w:rFonts w:cs="Arial"/>
                <w:sz w:val="24"/>
                <w:szCs w:val="24"/>
              </w:rPr>
            </w:pPr>
            <w:r w:rsidRPr="00A33743">
              <w:rPr>
                <w:rFonts w:cs="Arial"/>
                <w:sz w:val="24"/>
                <w:szCs w:val="24"/>
              </w:rPr>
              <w:t>Column 2</w:t>
            </w:r>
          </w:p>
        </w:tc>
        <w:tc>
          <w:tcPr>
            <w:tcW w:w="1559" w:type="dxa"/>
            <w:shd w:val="clear" w:color="auto" w:fill="D9D9D9" w:themeFill="background1" w:themeFillShade="D9"/>
          </w:tcPr>
          <w:p w14:paraId="738F1CFE" w14:textId="77777777" w:rsidR="00244D3F" w:rsidRPr="00A33743" w:rsidRDefault="00244D3F" w:rsidP="00244D3F">
            <w:pPr>
              <w:pStyle w:val="TableofFigures"/>
              <w:rPr>
                <w:rFonts w:cs="Arial"/>
                <w:sz w:val="24"/>
                <w:szCs w:val="24"/>
              </w:rPr>
            </w:pPr>
            <w:r w:rsidRPr="00A33743">
              <w:rPr>
                <w:rFonts w:cs="Arial"/>
                <w:sz w:val="24"/>
                <w:szCs w:val="24"/>
              </w:rPr>
              <w:t>Column 3</w:t>
            </w:r>
          </w:p>
        </w:tc>
        <w:tc>
          <w:tcPr>
            <w:tcW w:w="3544" w:type="dxa"/>
            <w:shd w:val="clear" w:color="auto" w:fill="D9D9D9" w:themeFill="background1" w:themeFillShade="D9"/>
          </w:tcPr>
          <w:p w14:paraId="54584012" w14:textId="77777777" w:rsidR="00244D3F" w:rsidRPr="00A33743" w:rsidRDefault="00244D3F" w:rsidP="00244D3F">
            <w:pPr>
              <w:pStyle w:val="TableofFigures"/>
              <w:rPr>
                <w:rFonts w:cs="Arial"/>
                <w:sz w:val="24"/>
                <w:szCs w:val="24"/>
              </w:rPr>
            </w:pPr>
            <w:r w:rsidRPr="00A33743">
              <w:rPr>
                <w:rFonts w:cs="Arial"/>
                <w:sz w:val="24"/>
                <w:szCs w:val="24"/>
              </w:rPr>
              <w:t>Column 4</w:t>
            </w:r>
          </w:p>
        </w:tc>
      </w:tr>
      <w:tr w:rsidR="00244D3F" w:rsidRPr="00A33743" w14:paraId="19405A8F" w14:textId="77777777" w:rsidTr="006D268B">
        <w:trPr>
          <w:cantSplit/>
          <w:tblHeader/>
        </w:trPr>
        <w:tc>
          <w:tcPr>
            <w:tcW w:w="1593" w:type="dxa"/>
            <w:shd w:val="clear" w:color="auto" w:fill="D9D9D9" w:themeFill="background1" w:themeFillShade="D9"/>
          </w:tcPr>
          <w:p w14:paraId="61FED549" w14:textId="77777777" w:rsidR="00244D3F" w:rsidRPr="00A33743" w:rsidRDefault="00244D3F" w:rsidP="00244D3F">
            <w:pPr>
              <w:pStyle w:val="TableofFigures"/>
              <w:rPr>
                <w:sz w:val="24"/>
                <w:szCs w:val="24"/>
              </w:rPr>
            </w:pPr>
            <w:r w:rsidRPr="00A33743">
              <w:rPr>
                <w:sz w:val="24"/>
                <w:szCs w:val="24"/>
              </w:rPr>
              <w:t>Item number</w:t>
            </w:r>
          </w:p>
        </w:tc>
        <w:tc>
          <w:tcPr>
            <w:tcW w:w="2235" w:type="dxa"/>
            <w:shd w:val="clear" w:color="auto" w:fill="D9D9D9" w:themeFill="background1" w:themeFillShade="D9"/>
          </w:tcPr>
          <w:p w14:paraId="08492D9C" w14:textId="77777777" w:rsidR="00244D3F" w:rsidRPr="00A33743" w:rsidRDefault="00244D3F" w:rsidP="00244D3F">
            <w:pPr>
              <w:pStyle w:val="TableofFigures"/>
              <w:rPr>
                <w:rFonts w:cs="Arial"/>
                <w:sz w:val="24"/>
                <w:szCs w:val="24"/>
              </w:rPr>
            </w:pPr>
            <w:r w:rsidRPr="00A33743">
              <w:rPr>
                <w:rFonts w:cs="Arial"/>
                <w:sz w:val="24"/>
                <w:szCs w:val="24"/>
              </w:rPr>
              <w:t>Component</w:t>
            </w:r>
          </w:p>
        </w:tc>
        <w:tc>
          <w:tcPr>
            <w:tcW w:w="1559" w:type="dxa"/>
            <w:shd w:val="clear" w:color="auto" w:fill="D9D9D9" w:themeFill="background1" w:themeFillShade="D9"/>
          </w:tcPr>
          <w:p w14:paraId="7A677636" w14:textId="77777777" w:rsidR="00244D3F" w:rsidRPr="00A33743" w:rsidRDefault="00244D3F" w:rsidP="00244D3F">
            <w:pPr>
              <w:pStyle w:val="TableofFigures"/>
              <w:rPr>
                <w:rFonts w:cs="Arial"/>
                <w:sz w:val="24"/>
                <w:szCs w:val="24"/>
              </w:rPr>
            </w:pPr>
            <w:r w:rsidRPr="00A33743">
              <w:rPr>
                <w:rFonts w:cs="Arial"/>
                <w:sz w:val="24"/>
                <w:szCs w:val="24"/>
              </w:rPr>
              <w:t>Component ADR</w:t>
            </w:r>
          </w:p>
        </w:tc>
        <w:tc>
          <w:tcPr>
            <w:tcW w:w="3544" w:type="dxa"/>
            <w:shd w:val="clear" w:color="auto" w:fill="D9D9D9" w:themeFill="background1" w:themeFillShade="D9"/>
          </w:tcPr>
          <w:p w14:paraId="6E2EECD3" w14:textId="77777777" w:rsidR="00244D3F" w:rsidRPr="00A33743" w:rsidRDefault="00244D3F" w:rsidP="00244D3F">
            <w:pPr>
              <w:pStyle w:val="TableofFigures"/>
              <w:rPr>
                <w:rFonts w:cs="Arial"/>
                <w:sz w:val="24"/>
                <w:szCs w:val="24"/>
              </w:rPr>
            </w:pPr>
            <w:r w:rsidRPr="00A33743">
              <w:rPr>
                <w:rFonts w:cs="Arial"/>
                <w:sz w:val="24"/>
                <w:szCs w:val="24"/>
              </w:rPr>
              <w:t>Requirement exempted</w:t>
            </w:r>
          </w:p>
        </w:tc>
      </w:tr>
      <w:tr w:rsidR="00244D3F" w:rsidRPr="00A33743" w14:paraId="418AB17F" w14:textId="77777777" w:rsidTr="006D268B">
        <w:trPr>
          <w:cantSplit/>
        </w:trPr>
        <w:tc>
          <w:tcPr>
            <w:tcW w:w="1593" w:type="dxa"/>
          </w:tcPr>
          <w:p w14:paraId="54DED5D2" w14:textId="77777777" w:rsidR="00244D3F" w:rsidRPr="00A33743" w:rsidRDefault="00244D3F" w:rsidP="00244D3F">
            <w:pPr>
              <w:pStyle w:val="TableofFigures"/>
              <w:rPr>
                <w:sz w:val="24"/>
                <w:szCs w:val="24"/>
              </w:rPr>
            </w:pPr>
            <w:bookmarkStart w:id="0" w:name="_Hlk135720174"/>
            <w:r w:rsidRPr="00A33743">
              <w:rPr>
                <w:sz w:val="24"/>
                <w:szCs w:val="24"/>
              </w:rPr>
              <w:t>1</w:t>
            </w:r>
          </w:p>
        </w:tc>
        <w:tc>
          <w:tcPr>
            <w:tcW w:w="2235" w:type="dxa"/>
          </w:tcPr>
          <w:p w14:paraId="03BDCA23" w14:textId="77777777" w:rsidR="00244D3F" w:rsidRPr="00A33743" w:rsidRDefault="00244D3F" w:rsidP="00244D3F">
            <w:pPr>
              <w:pStyle w:val="TableofFigures"/>
              <w:rPr>
                <w:rFonts w:cs="Arial"/>
                <w:b/>
                <w:sz w:val="24"/>
                <w:szCs w:val="24"/>
              </w:rPr>
            </w:pPr>
            <w:r w:rsidRPr="00A33743">
              <w:rPr>
                <w:rFonts w:asciiTheme="minorHAnsi" w:hAnsiTheme="minorHAnsi"/>
                <w:sz w:val="24"/>
                <w:szCs w:val="24"/>
              </w:rPr>
              <w:t>Reversing lamp</w:t>
            </w:r>
          </w:p>
        </w:tc>
        <w:tc>
          <w:tcPr>
            <w:tcW w:w="1559" w:type="dxa"/>
          </w:tcPr>
          <w:p w14:paraId="230042F6" w14:textId="77777777" w:rsidR="00244D3F" w:rsidRPr="00A33743" w:rsidRDefault="00244D3F" w:rsidP="00244D3F">
            <w:pPr>
              <w:pStyle w:val="TableofFigures"/>
              <w:rPr>
                <w:rFonts w:cs="Arial"/>
                <w:b/>
                <w:sz w:val="24"/>
                <w:szCs w:val="24"/>
              </w:rPr>
            </w:pPr>
            <w:r w:rsidRPr="00A33743">
              <w:rPr>
                <w:rFonts w:asciiTheme="minorHAnsi" w:hAnsiTheme="minorHAnsi"/>
                <w:sz w:val="24"/>
                <w:szCs w:val="24"/>
              </w:rPr>
              <w:t>ADR13/00</w:t>
            </w:r>
          </w:p>
        </w:tc>
        <w:tc>
          <w:tcPr>
            <w:tcW w:w="3544" w:type="dxa"/>
          </w:tcPr>
          <w:p w14:paraId="5C158B37" w14:textId="77777777" w:rsidR="00244D3F" w:rsidRPr="00A33743" w:rsidRDefault="00244D3F" w:rsidP="00244D3F">
            <w:pPr>
              <w:pStyle w:val="TableofFigures"/>
              <w:rPr>
                <w:rFonts w:cs="Arial"/>
                <w:b/>
                <w:sz w:val="24"/>
                <w:szCs w:val="24"/>
              </w:rPr>
            </w:pPr>
            <w:r w:rsidRPr="00A33743">
              <w:rPr>
                <w:rFonts w:asciiTheme="minorHAnsi" w:hAnsiTheme="minorHAnsi"/>
                <w:sz w:val="24"/>
                <w:szCs w:val="24"/>
              </w:rPr>
              <w:t xml:space="preserve">Position in accordance with clause 6.4.4 </w:t>
            </w:r>
            <w:r w:rsidRPr="00A33743">
              <w:rPr>
                <w:rFonts w:cs="Arial"/>
                <w:sz w:val="24"/>
                <w:szCs w:val="24"/>
              </w:rPr>
              <w:t>of Appendix A</w:t>
            </w:r>
          </w:p>
        </w:tc>
      </w:tr>
      <w:tr w:rsidR="00244D3F" w:rsidRPr="00A33743" w14:paraId="56161442" w14:textId="77777777" w:rsidTr="006D268B">
        <w:trPr>
          <w:cantSplit/>
        </w:trPr>
        <w:tc>
          <w:tcPr>
            <w:tcW w:w="1593" w:type="dxa"/>
          </w:tcPr>
          <w:p w14:paraId="00C819ED" w14:textId="77777777" w:rsidR="00244D3F" w:rsidRPr="00A33743" w:rsidRDefault="00244D3F" w:rsidP="00244D3F">
            <w:pPr>
              <w:pStyle w:val="TableofFigures"/>
              <w:rPr>
                <w:sz w:val="24"/>
                <w:szCs w:val="24"/>
              </w:rPr>
            </w:pPr>
            <w:bookmarkStart w:id="1" w:name="_Hlk135720193"/>
            <w:bookmarkEnd w:id="0"/>
            <w:r w:rsidRPr="00A33743">
              <w:rPr>
                <w:sz w:val="24"/>
                <w:szCs w:val="24"/>
              </w:rPr>
              <w:t>2</w:t>
            </w:r>
          </w:p>
        </w:tc>
        <w:tc>
          <w:tcPr>
            <w:tcW w:w="2235" w:type="dxa"/>
          </w:tcPr>
          <w:p w14:paraId="179742D6"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Rear direction-indicator lamps</w:t>
            </w:r>
          </w:p>
        </w:tc>
        <w:tc>
          <w:tcPr>
            <w:tcW w:w="1559" w:type="dxa"/>
          </w:tcPr>
          <w:p w14:paraId="20EBC5E4"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ADR13/00</w:t>
            </w:r>
          </w:p>
        </w:tc>
        <w:tc>
          <w:tcPr>
            <w:tcW w:w="3544" w:type="dxa"/>
          </w:tcPr>
          <w:p w14:paraId="10137903"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 xml:space="preserve">Position in accordance with clause 6.5.4 </w:t>
            </w:r>
            <w:r w:rsidRPr="00A33743">
              <w:rPr>
                <w:rFonts w:cs="Arial"/>
                <w:sz w:val="24"/>
                <w:szCs w:val="24"/>
              </w:rPr>
              <w:t>of Appendix A</w:t>
            </w:r>
          </w:p>
        </w:tc>
      </w:tr>
      <w:tr w:rsidR="00244D3F" w:rsidRPr="00A33743" w14:paraId="0853A2F8" w14:textId="77777777" w:rsidTr="006D268B">
        <w:trPr>
          <w:cantSplit/>
        </w:trPr>
        <w:tc>
          <w:tcPr>
            <w:tcW w:w="1593" w:type="dxa"/>
          </w:tcPr>
          <w:p w14:paraId="281417F5" w14:textId="77777777" w:rsidR="00244D3F" w:rsidRPr="00A33743" w:rsidRDefault="00244D3F" w:rsidP="00244D3F">
            <w:pPr>
              <w:pStyle w:val="TableofFigures"/>
              <w:rPr>
                <w:sz w:val="24"/>
                <w:szCs w:val="24"/>
              </w:rPr>
            </w:pPr>
            <w:bookmarkStart w:id="2" w:name="_Hlk135720323"/>
            <w:bookmarkEnd w:id="1"/>
            <w:r w:rsidRPr="00A33743">
              <w:rPr>
                <w:sz w:val="24"/>
                <w:szCs w:val="24"/>
              </w:rPr>
              <w:t>3</w:t>
            </w:r>
          </w:p>
        </w:tc>
        <w:tc>
          <w:tcPr>
            <w:tcW w:w="2235" w:type="dxa"/>
          </w:tcPr>
          <w:p w14:paraId="25E7EA6C"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Stop lamps</w:t>
            </w:r>
          </w:p>
        </w:tc>
        <w:tc>
          <w:tcPr>
            <w:tcW w:w="1559" w:type="dxa"/>
          </w:tcPr>
          <w:p w14:paraId="4D18F199"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ADR13/00</w:t>
            </w:r>
          </w:p>
        </w:tc>
        <w:tc>
          <w:tcPr>
            <w:tcW w:w="3544" w:type="dxa"/>
          </w:tcPr>
          <w:p w14:paraId="50F9558B"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 xml:space="preserve">Position in accordance with clause 6.7.4 </w:t>
            </w:r>
            <w:r w:rsidRPr="00A33743">
              <w:rPr>
                <w:rFonts w:cs="Arial"/>
                <w:sz w:val="24"/>
                <w:szCs w:val="24"/>
              </w:rPr>
              <w:t>of Appendix A</w:t>
            </w:r>
          </w:p>
        </w:tc>
      </w:tr>
      <w:tr w:rsidR="00244D3F" w:rsidRPr="00A33743" w14:paraId="4B17491C" w14:textId="77777777" w:rsidTr="006D268B">
        <w:trPr>
          <w:cantSplit/>
        </w:trPr>
        <w:tc>
          <w:tcPr>
            <w:tcW w:w="1593" w:type="dxa"/>
          </w:tcPr>
          <w:p w14:paraId="0B9FC609" w14:textId="77777777" w:rsidR="00244D3F" w:rsidRPr="00A33743" w:rsidRDefault="00244D3F" w:rsidP="00244D3F">
            <w:pPr>
              <w:pStyle w:val="TableofFigures"/>
              <w:rPr>
                <w:sz w:val="24"/>
                <w:szCs w:val="24"/>
              </w:rPr>
            </w:pPr>
            <w:bookmarkStart w:id="3" w:name="_Hlk135720741"/>
            <w:bookmarkEnd w:id="2"/>
            <w:r w:rsidRPr="00A33743">
              <w:rPr>
                <w:sz w:val="24"/>
                <w:szCs w:val="24"/>
              </w:rPr>
              <w:t>4</w:t>
            </w:r>
          </w:p>
        </w:tc>
        <w:tc>
          <w:tcPr>
            <w:tcW w:w="2235" w:type="dxa"/>
          </w:tcPr>
          <w:p w14:paraId="0B7CF4C1"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Rear registration plate lamp</w:t>
            </w:r>
          </w:p>
        </w:tc>
        <w:tc>
          <w:tcPr>
            <w:tcW w:w="1559" w:type="dxa"/>
          </w:tcPr>
          <w:p w14:paraId="53C64D67"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ADR13/00</w:t>
            </w:r>
          </w:p>
        </w:tc>
        <w:tc>
          <w:tcPr>
            <w:tcW w:w="3544" w:type="dxa"/>
          </w:tcPr>
          <w:p w14:paraId="79945895"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 xml:space="preserve">Position in accordance with clause 6.8.4 </w:t>
            </w:r>
            <w:r w:rsidRPr="00A33743">
              <w:rPr>
                <w:rFonts w:cs="Arial"/>
                <w:sz w:val="24"/>
                <w:szCs w:val="24"/>
              </w:rPr>
              <w:t>of Appendix A</w:t>
            </w:r>
          </w:p>
        </w:tc>
      </w:tr>
      <w:tr w:rsidR="00244D3F" w:rsidRPr="00A33743" w14:paraId="4B94CEB8" w14:textId="77777777" w:rsidTr="006D268B">
        <w:trPr>
          <w:cantSplit/>
        </w:trPr>
        <w:tc>
          <w:tcPr>
            <w:tcW w:w="1593" w:type="dxa"/>
          </w:tcPr>
          <w:p w14:paraId="575C901C" w14:textId="77777777" w:rsidR="00244D3F" w:rsidRPr="00A33743" w:rsidRDefault="00244D3F" w:rsidP="00244D3F">
            <w:pPr>
              <w:pStyle w:val="TableofFigures"/>
              <w:rPr>
                <w:sz w:val="24"/>
                <w:szCs w:val="24"/>
              </w:rPr>
            </w:pPr>
            <w:bookmarkStart w:id="4" w:name="_Hlk135720800"/>
            <w:bookmarkEnd w:id="3"/>
            <w:r w:rsidRPr="00A33743">
              <w:rPr>
                <w:sz w:val="24"/>
                <w:szCs w:val="24"/>
              </w:rPr>
              <w:t>5</w:t>
            </w:r>
          </w:p>
        </w:tc>
        <w:tc>
          <w:tcPr>
            <w:tcW w:w="2235" w:type="dxa"/>
          </w:tcPr>
          <w:p w14:paraId="15117351"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Rear position lamps</w:t>
            </w:r>
          </w:p>
        </w:tc>
        <w:tc>
          <w:tcPr>
            <w:tcW w:w="1559" w:type="dxa"/>
          </w:tcPr>
          <w:p w14:paraId="5981A88A"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ADR13/00</w:t>
            </w:r>
          </w:p>
        </w:tc>
        <w:tc>
          <w:tcPr>
            <w:tcW w:w="3544" w:type="dxa"/>
          </w:tcPr>
          <w:p w14:paraId="5E2BA639"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 xml:space="preserve">Position in accordance with clause 6.10.4 </w:t>
            </w:r>
            <w:r w:rsidRPr="00A33743">
              <w:rPr>
                <w:rFonts w:cs="Arial"/>
                <w:sz w:val="24"/>
                <w:szCs w:val="24"/>
              </w:rPr>
              <w:t>of Appendix A</w:t>
            </w:r>
          </w:p>
        </w:tc>
      </w:tr>
      <w:tr w:rsidR="00244D3F" w:rsidRPr="00A33743" w14:paraId="467E5570" w14:textId="77777777" w:rsidTr="006D268B">
        <w:trPr>
          <w:cantSplit/>
        </w:trPr>
        <w:tc>
          <w:tcPr>
            <w:tcW w:w="1593" w:type="dxa"/>
          </w:tcPr>
          <w:p w14:paraId="26CB45E8" w14:textId="77777777" w:rsidR="00244D3F" w:rsidRPr="00A33743" w:rsidRDefault="00244D3F" w:rsidP="00244D3F">
            <w:pPr>
              <w:pStyle w:val="TableofFigures"/>
              <w:rPr>
                <w:sz w:val="24"/>
                <w:szCs w:val="24"/>
              </w:rPr>
            </w:pPr>
            <w:bookmarkStart w:id="5" w:name="_Hlk135720888"/>
            <w:bookmarkEnd w:id="4"/>
            <w:r w:rsidRPr="00A33743">
              <w:rPr>
                <w:sz w:val="24"/>
                <w:szCs w:val="24"/>
              </w:rPr>
              <w:t>6</w:t>
            </w:r>
          </w:p>
        </w:tc>
        <w:tc>
          <w:tcPr>
            <w:tcW w:w="2235" w:type="dxa"/>
          </w:tcPr>
          <w:p w14:paraId="5F459FAF"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 xml:space="preserve">Rear </w:t>
            </w:r>
            <w:proofErr w:type="gramStart"/>
            <w:r w:rsidRPr="00A33743">
              <w:rPr>
                <w:rFonts w:asciiTheme="minorHAnsi" w:hAnsiTheme="minorHAnsi"/>
                <w:sz w:val="24"/>
                <w:szCs w:val="24"/>
              </w:rPr>
              <w:t>retro-reflectors</w:t>
            </w:r>
            <w:proofErr w:type="gramEnd"/>
          </w:p>
        </w:tc>
        <w:tc>
          <w:tcPr>
            <w:tcW w:w="1559" w:type="dxa"/>
          </w:tcPr>
          <w:p w14:paraId="0D0BE494"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ADR13/00</w:t>
            </w:r>
          </w:p>
        </w:tc>
        <w:tc>
          <w:tcPr>
            <w:tcW w:w="3544" w:type="dxa"/>
          </w:tcPr>
          <w:p w14:paraId="1C4CB9BD" w14:textId="77777777" w:rsidR="00244D3F" w:rsidRPr="00A33743" w:rsidRDefault="00244D3F" w:rsidP="00244D3F">
            <w:pPr>
              <w:pStyle w:val="TableofFigures"/>
              <w:rPr>
                <w:rFonts w:cs="Arial"/>
                <w:b/>
                <w:sz w:val="24"/>
                <w:szCs w:val="24"/>
              </w:rPr>
            </w:pPr>
            <w:r w:rsidRPr="00A33743">
              <w:rPr>
                <w:rFonts w:asciiTheme="minorHAnsi" w:hAnsiTheme="minorHAnsi"/>
                <w:sz w:val="24"/>
                <w:szCs w:val="24"/>
              </w:rPr>
              <w:t xml:space="preserve">Position in accordance with clause 6.14.4 </w:t>
            </w:r>
            <w:r w:rsidRPr="00A33743">
              <w:rPr>
                <w:rFonts w:cs="Arial"/>
                <w:sz w:val="24"/>
                <w:szCs w:val="24"/>
              </w:rPr>
              <w:t>of Appendix A</w:t>
            </w:r>
          </w:p>
        </w:tc>
      </w:tr>
      <w:tr w:rsidR="00244D3F" w:rsidRPr="00A33743" w14:paraId="2CA62492" w14:textId="77777777" w:rsidTr="006D268B">
        <w:trPr>
          <w:cantSplit/>
        </w:trPr>
        <w:tc>
          <w:tcPr>
            <w:tcW w:w="1593" w:type="dxa"/>
          </w:tcPr>
          <w:p w14:paraId="77A071FD" w14:textId="77777777" w:rsidR="00244D3F" w:rsidRPr="00A33743" w:rsidRDefault="00244D3F" w:rsidP="00244D3F">
            <w:pPr>
              <w:pStyle w:val="TableofFigures"/>
              <w:rPr>
                <w:sz w:val="24"/>
                <w:szCs w:val="24"/>
              </w:rPr>
            </w:pPr>
            <w:bookmarkStart w:id="6" w:name="_Hlk135721004"/>
            <w:bookmarkEnd w:id="5"/>
            <w:r w:rsidRPr="00A33743">
              <w:rPr>
                <w:sz w:val="24"/>
                <w:szCs w:val="24"/>
              </w:rPr>
              <w:t>7</w:t>
            </w:r>
          </w:p>
        </w:tc>
        <w:tc>
          <w:tcPr>
            <w:tcW w:w="2235" w:type="dxa"/>
          </w:tcPr>
          <w:p w14:paraId="614201FA" w14:textId="77777777" w:rsidR="00244D3F" w:rsidRPr="00A33743" w:rsidRDefault="00244D3F" w:rsidP="00244D3F">
            <w:pPr>
              <w:pStyle w:val="TableofFigures"/>
              <w:rPr>
                <w:rFonts w:asciiTheme="minorHAnsi" w:hAnsiTheme="minorHAnsi"/>
                <w:b/>
                <w:sz w:val="24"/>
                <w:szCs w:val="24"/>
              </w:rPr>
            </w:pPr>
            <w:r w:rsidRPr="00A33743">
              <w:rPr>
                <w:rFonts w:cs="Arial"/>
                <w:sz w:val="24"/>
                <w:szCs w:val="24"/>
              </w:rPr>
              <w:t xml:space="preserve">Side </w:t>
            </w:r>
            <w:proofErr w:type="gramStart"/>
            <w:r w:rsidRPr="00A33743">
              <w:rPr>
                <w:rFonts w:cs="Arial"/>
                <w:sz w:val="24"/>
                <w:szCs w:val="24"/>
              </w:rPr>
              <w:t>retro-reflectors</w:t>
            </w:r>
            <w:proofErr w:type="gramEnd"/>
          </w:p>
        </w:tc>
        <w:tc>
          <w:tcPr>
            <w:tcW w:w="1559" w:type="dxa"/>
          </w:tcPr>
          <w:p w14:paraId="3C52B275"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ADR13/00</w:t>
            </w:r>
          </w:p>
        </w:tc>
        <w:tc>
          <w:tcPr>
            <w:tcW w:w="3544" w:type="dxa"/>
          </w:tcPr>
          <w:p w14:paraId="4B94F5CA" w14:textId="77777777" w:rsidR="00244D3F" w:rsidRPr="00A33743" w:rsidRDefault="00244D3F" w:rsidP="00244D3F">
            <w:pPr>
              <w:pStyle w:val="TableofFigures"/>
              <w:rPr>
                <w:rFonts w:cs="Arial"/>
                <w:b/>
                <w:sz w:val="24"/>
                <w:szCs w:val="24"/>
              </w:rPr>
            </w:pPr>
            <w:r w:rsidRPr="00A33743">
              <w:rPr>
                <w:rFonts w:asciiTheme="minorHAnsi" w:hAnsiTheme="minorHAnsi"/>
                <w:sz w:val="24"/>
                <w:szCs w:val="24"/>
              </w:rPr>
              <w:t xml:space="preserve">Fitment as required by clause 6.17 </w:t>
            </w:r>
            <w:r w:rsidRPr="00A33743">
              <w:rPr>
                <w:rFonts w:cs="Arial"/>
                <w:sz w:val="24"/>
                <w:szCs w:val="24"/>
              </w:rPr>
              <w:t>of Appendix A</w:t>
            </w:r>
          </w:p>
        </w:tc>
      </w:tr>
      <w:tr w:rsidR="00244D3F" w:rsidRPr="00A33743" w14:paraId="68013863" w14:textId="77777777" w:rsidTr="006D268B">
        <w:trPr>
          <w:cantSplit/>
        </w:trPr>
        <w:tc>
          <w:tcPr>
            <w:tcW w:w="1593" w:type="dxa"/>
          </w:tcPr>
          <w:p w14:paraId="7CD5B4E0" w14:textId="77777777" w:rsidR="00244D3F" w:rsidRPr="00A33743" w:rsidRDefault="00244D3F" w:rsidP="00244D3F">
            <w:pPr>
              <w:pStyle w:val="TableofFigures"/>
              <w:rPr>
                <w:sz w:val="24"/>
                <w:szCs w:val="24"/>
              </w:rPr>
            </w:pPr>
            <w:bookmarkStart w:id="7" w:name="_Hlk135721117"/>
            <w:bookmarkEnd w:id="6"/>
            <w:r w:rsidRPr="00A33743">
              <w:rPr>
                <w:sz w:val="24"/>
                <w:szCs w:val="24"/>
              </w:rPr>
              <w:t>8</w:t>
            </w:r>
          </w:p>
        </w:tc>
        <w:tc>
          <w:tcPr>
            <w:tcW w:w="2235" w:type="dxa"/>
          </w:tcPr>
          <w:p w14:paraId="2D88EC4A"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Exhaust outlet</w:t>
            </w:r>
          </w:p>
        </w:tc>
        <w:tc>
          <w:tcPr>
            <w:tcW w:w="1559" w:type="dxa"/>
          </w:tcPr>
          <w:p w14:paraId="78DD908C"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ADR42/05</w:t>
            </w:r>
          </w:p>
        </w:tc>
        <w:tc>
          <w:tcPr>
            <w:tcW w:w="3544" w:type="dxa"/>
          </w:tcPr>
          <w:p w14:paraId="66FF3781" w14:textId="77777777" w:rsidR="00244D3F" w:rsidRPr="00A33743" w:rsidRDefault="00244D3F" w:rsidP="00244D3F">
            <w:pPr>
              <w:pStyle w:val="TableofFigures"/>
              <w:rPr>
                <w:rFonts w:asciiTheme="minorHAnsi" w:hAnsiTheme="minorHAnsi"/>
                <w:b/>
                <w:sz w:val="24"/>
                <w:szCs w:val="24"/>
              </w:rPr>
            </w:pPr>
            <w:r w:rsidRPr="00A33743">
              <w:rPr>
                <w:rFonts w:asciiTheme="minorHAnsi" w:hAnsiTheme="minorHAnsi"/>
                <w:sz w:val="24"/>
                <w:szCs w:val="24"/>
              </w:rPr>
              <w:t>Vertical position of the outlet as required by clause 24.4.2</w:t>
            </w:r>
          </w:p>
        </w:tc>
      </w:tr>
      <w:tr w:rsidR="00244D3F" w:rsidRPr="00A33743" w14:paraId="7BB2FA4E" w14:textId="77777777" w:rsidTr="006D268B">
        <w:trPr>
          <w:cantSplit/>
        </w:trPr>
        <w:tc>
          <w:tcPr>
            <w:tcW w:w="1593" w:type="dxa"/>
          </w:tcPr>
          <w:p w14:paraId="11DD16B8" w14:textId="77777777" w:rsidR="00244D3F" w:rsidRPr="00A33743" w:rsidRDefault="00244D3F" w:rsidP="00244D3F">
            <w:pPr>
              <w:pStyle w:val="TableofFigures"/>
              <w:rPr>
                <w:sz w:val="24"/>
                <w:szCs w:val="24"/>
              </w:rPr>
            </w:pPr>
            <w:bookmarkStart w:id="8" w:name="_Hlk135721744"/>
            <w:bookmarkEnd w:id="7"/>
            <w:r w:rsidRPr="00A33743">
              <w:rPr>
                <w:sz w:val="24"/>
                <w:szCs w:val="24"/>
              </w:rPr>
              <w:t>9</w:t>
            </w:r>
          </w:p>
        </w:tc>
        <w:tc>
          <w:tcPr>
            <w:tcW w:w="2235" w:type="dxa"/>
          </w:tcPr>
          <w:p w14:paraId="69BD41C5" w14:textId="77777777" w:rsidR="00244D3F" w:rsidRPr="00A33743" w:rsidRDefault="00244D3F" w:rsidP="00244D3F">
            <w:pPr>
              <w:pStyle w:val="TableofFigures"/>
              <w:rPr>
                <w:sz w:val="24"/>
                <w:szCs w:val="24"/>
              </w:rPr>
            </w:pPr>
            <w:r w:rsidRPr="00A33743">
              <w:rPr>
                <w:sz w:val="24"/>
                <w:szCs w:val="24"/>
              </w:rPr>
              <w:t>Wheel guards (mudguards)</w:t>
            </w:r>
          </w:p>
        </w:tc>
        <w:tc>
          <w:tcPr>
            <w:tcW w:w="1559" w:type="dxa"/>
          </w:tcPr>
          <w:p w14:paraId="1C9113DC" w14:textId="77777777" w:rsidR="00244D3F" w:rsidRPr="00A33743" w:rsidRDefault="00244D3F" w:rsidP="00244D3F">
            <w:pPr>
              <w:pStyle w:val="TableofFigures"/>
              <w:rPr>
                <w:sz w:val="24"/>
                <w:szCs w:val="24"/>
              </w:rPr>
            </w:pPr>
            <w:r w:rsidRPr="00A33743">
              <w:rPr>
                <w:sz w:val="24"/>
                <w:szCs w:val="24"/>
              </w:rPr>
              <w:t>ADR42/05</w:t>
            </w:r>
          </w:p>
        </w:tc>
        <w:tc>
          <w:tcPr>
            <w:tcW w:w="3544" w:type="dxa"/>
          </w:tcPr>
          <w:p w14:paraId="04B3AAFA" w14:textId="77777777" w:rsidR="00244D3F" w:rsidRPr="00A33743" w:rsidRDefault="00244D3F" w:rsidP="00244D3F">
            <w:pPr>
              <w:pStyle w:val="TableofFigures"/>
              <w:rPr>
                <w:sz w:val="24"/>
                <w:szCs w:val="24"/>
              </w:rPr>
            </w:pPr>
            <w:r w:rsidRPr="00A33743">
              <w:rPr>
                <w:sz w:val="24"/>
                <w:szCs w:val="24"/>
              </w:rPr>
              <w:t>Fitment to the rearmost wheels, as required by clause 17.2.3</w:t>
            </w:r>
          </w:p>
        </w:tc>
      </w:tr>
      <w:tr w:rsidR="00244D3F" w:rsidRPr="00A33743" w14:paraId="2562972B" w14:textId="77777777" w:rsidTr="006D268B">
        <w:trPr>
          <w:cantSplit/>
        </w:trPr>
        <w:tc>
          <w:tcPr>
            <w:tcW w:w="1593" w:type="dxa"/>
          </w:tcPr>
          <w:p w14:paraId="1C39791A" w14:textId="77777777" w:rsidR="00244D3F" w:rsidRPr="00A33743" w:rsidRDefault="00244D3F" w:rsidP="00244D3F">
            <w:pPr>
              <w:pStyle w:val="TableofFigures"/>
              <w:rPr>
                <w:b/>
                <w:sz w:val="24"/>
                <w:szCs w:val="24"/>
              </w:rPr>
            </w:pPr>
            <w:bookmarkStart w:id="9" w:name="_Hlk135722589"/>
            <w:bookmarkEnd w:id="8"/>
            <w:r w:rsidRPr="00A33743">
              <w:rPr>
                <w:sz w:val="24"/>
                <w:szCs w:val="24"/>
              </w:rPr>
              <w:t>10</w:t>
            </w:r>
          </w:p>
        </w:tc>
        <w:tc>
          <w:tcPr>
            <w:tcW w:w="2235" w:type="dxa"/>
          </w:tcPr>
          <w:p w14:paraId="63E78A2C" w14:textId="77777777" w:rsidR="00244D3F" w:rsidRPr="00A33743" w:rsidRDefault="00244D3F" w:rsidP="00244D3F">
            <w:pPr>
              <w:pStyle w:val="TableofFigures"/>
              <w:rPr>
                <w:b/>
                <w:sz w:val="24"/>
                <w:szCs w:val="24"/>
              </w:rPr>
            </w:pPr>
            <w:r w:rsidRPr="00A33743">
              <w:rPr>
                <w:sz w:val="24"/>
                <w:szCs w:val="24"/>
              </w:rPr>
              <w:t>Vehicle plate</w:t>
            </w:r>
          </w:p>
        </w:tc>
        <w:tc>
          <w:tcPr>
            <w:tcW w:w="1559" w:type="dxa"/>
          </w:tcPr>
          <w:p w14:paraId="44ACAEDF" w14:textId="77777777" w:rsidR="00244D3F" w:rsidRPr="00A33743" w:rsidRDefault="00244D3F" w:rsidP="00244D3F">
            <w:pPr>
              <w:pStyle w:val="TableofFigures"/>
              <w:rPr>
                <w:b/>
                <w:sz w:val="24"/>
                <w:szCs w:val="24"/>
              </w:rPr>
            </w:pPr>
            <w:r w:rsidRPr="00A33743">
              <w:rPr>
                <w:sz w:val="24"/>
                <w:szCs w:val="24"/>
              </w:rPr>
              <w:t>ADR61/03</w:t>
            </w:r>
          </w:p>
        </w:tc>
        <w:tc>
          <w:tcPr>
            <w:tcW w:w="3544" w:type="dxa"/>
          </w:tcPr>
          <w:p w14:paraId="2FBD88A4" w14:textId="77777777" w:rsidR="00244D3F" w:rsidRPr="00A33743" w:rsidRDefault="00244D3F" w:rsidP="00244D3F">
            <w:pPr>
              <w:pStyle w:val="TableofFigures"/>
              <w:rPr>
                <w:b/>
                <w:sz w:val="24"/>
                <w:szCs w:val="24"/>
              </w:rPr>
            </w:pPr>
            <w:r w:rsidRPr="00A33743">
              <w:rPr>
                <w:sz w:val="24"/>
                <w:szCs w:val="24"/>
              </w:rPr>
              <w:t>Fitment of ‘</w:t>
            </w:r>
            <w:r w:rsidRPr="00A33743">
              <w:rPr>
                <w:i/>
                <w:iCs/>
                <w:sz w:val="24"/>
                <w:szCs w:val="24"/>
              </w:rPr>
              <w:t>secure vehicle identification marking</w:t>
            </w:r>
            <w:r w:rsidRPr="00A33743">
              <w:rPr>
                <w:sz w:val="24"/>
                <w:szCs w:val="24"/>
              </w:rPr>
              <w:t>’ as required by clause 6.3</w:t>
            </w:r>
          </w:p>
          <w:p w14:paraId="152FB713" w14:textId="77777777" w:rsidR="00244D3F" w:rsidRPr="00A33743" w:rsidRDefault="00244D3F" w:rsidP="00244D3F">
            <w:pPr>
              <w:pStyle w:val="TableofFigures"/>
              <w:rPr>
                <w:b/>
                <w:sz w:val="24"/>
                <w:szCs w:val="24"/>
              </w:rPr>
            </w:pPr>
            <w:r w:rsidRPr="00A33743">
              <w:rPr>
                <w:sz w:val="24"/>
                <w:szCs w:val="24"/>
              </w:rPr>
              <w:t>Fitment of a ‘</w:t>
            </w:r>
            <w:r w:rsidRPr="00A33743">
              <w:rPr>
                <w:i/>
                <w:iCs/>
                <w:sz w:val="24"/>
                <w:szCs w:val="24"/>
              </w:rPr>
              <w:t>vehicle plate</w:t>
            </w:r>
            <w:r w:rsidRPr="00A33743">
              <w:rPr>
                <w:sz w:val="24"/>
                <w:szCs w:val="24"/>
              </w:rPr>
              <w:t>’ in accordance with clause 7.1.1</w:t>
            </w:r>
          </w:p>
          <w:p w14:paraId="628F0FEB" w14:textId="77777777" w:rsidR="00244D3F" w:rsidRPr="00A33743" w:rsidRDefault="00244D3F" w:rsidP="00244D3F">
            <w:pPr>
              <w:pStyle w:val="TableofFigures"/>
              <w:rPr>
                <w:b/>
                <w:sz w:val="24"/>
                <w:szCs w:val="24"/>
              </w:rPr>
            </w:pPr>
            <w:r w:rsidRPr="00A33743">
              <w:rPr>
                <w:sz w:val="24"/>
                <w:szCs w:val="24"/>
              </w:rPr>
              <w:t>Fitment of a ‘</w:t>
            </w:r>
            <w:r w:rsidRPr="00A33743">
              <w:rPr>
                <w:i/>
                <w:iCs/>
                <w:sz w:val="24"/>
                <w:szCs w:val="24"/>
              </w:rPr>
              <w:t>vehicle plate</w:t>
            </w:r>
            <w:r w:rsidRPr="00A33743">
              <w:rPr>
                <w:sz w:val="24"/>
                <w:szCs w:val="24"/>
              </w:rPr>
              <w:t xml:space="preserve">’ in accordance with clause 7.3.1 </w:t>
            </w:r>
          </w:p>
        </w:tc>
      </w:tr>
      <w:tr w:rsidR="00244D3F" w:rsidRPr="00A33743" w14:paraId="396DB899" w14:textId="77777777" w:rsidTr="006D268B">
        <w:trPr>
          <w:cantSplit/>
        </w:trPr>
        <w:tc>
          <w:tcPr>
            <w:tcW w:w="1593" w:type="dxa"/>
          </w:tcPr>
          <w:p w14:paraId="524E1C92" w14:textId="77777777" w:rsidR="00244D3F" w:rsidRPr="00A33743" w:rsidRDefault="00244D3F" w:rsidP="00244D3F">
            <w:pPr>
              <w:pStyle w:val="TableofFigures"/>
              <w:rPr>
                <w:b/>
                <w:sz w:val="24"/>
                <w:szCs w:val="24"/>
              </w:rPr>
            </w:pPr>
            <w:bookmarkStart w:id="10" w:name="_Hlk135722971"/>
            <w:bookmarkEnd w:id="9"/>
            <w:r w:rsidRPr="00A33743">
              <w:rPr>
                <w:sz w:val="24"/>
                <w:szCs w:val="24"/>
              </w:rPr>
              <w:t>11</w:t>
            </w:r>
          </w:p>
        </w:tc>
        <w:tc>
          <w:tcPr>
            <w:tcW w:w="2235" w:type="dxa"/>
          </w:tcPr>
          <w:p w14:paraId="19AADF9D" w14:textId="77777777" w:rsidR="00244D3F" w:rsidRPr="00A33743" w:rsidRDefault="00244D3F" w:rsidP="00244D3F">
            <w:pPr>
              <w:pStyle w:val="TableofFigures"/>
              <w:rPr>
                <w:b/>
                <w:sz w:val="24"/>
                <w:szCs w:val="24"/>
              </w:rPr>
            </w:pPr>
            <w:r w:rsidRPr="00A33743">
              <w:rPr>
                <w:sz w:val="24"/>
                <w:szCs w:val="24"/>
              </w:rPr>
              <w:t>Provision for number plates</w:t>
            </w:r>
          </w:p>
          <w:p w14:paraId="4B5143F4" w14:textId="77777777" w:rsidR="00244D3F" w:rsidRPr="00A33743" w:rsidRDefault="00244D3F" w:rsidP="00244D3F">
            <w:pPr>
              <w:pStyle w:val="TableofFigures"/>
              <w:rPr>
                <w:sz w:val="24"/>
                <w:szCs w:val="24"/>
                <w:lang w:val="en-GB" w:eastAsia="en-US"/>
              </w:rPr>
            </w:pPr>
          </w:p>
        </w:tc>
        <w:tc>
          <w:tcPr>
            <w:tcW w:w="1559" w:type="dxa"/>
          </w:tcPr>
          <w:p w14:paraId="07A8D125" w14:textId="77777777" w:rsidR="00244D3F" w:rsidRPr="00A33743" w:rsidRDefault="00244D3F" w:rsidP="00244D3F">
            <w:pPr>
              <w:pStyle w:val="TableofFigures"/>
              <w:rPr>
                <w:b/>
                <w:sz w:val="24"/>
                <w:szCs w:val="24"/>
              </w:rPr>
            </w:pPr>
            <w:r w:rsidRPr="00A33743">
              <w:rPr>
                <w:sz w:val="24"/>
                <w:szCs w:val="24"/>
              </w:rPr>
              <w:t>ADR61/03</w:t>
            </w:r>
          </w:p>
        </w:tc>
        <w:tc>
          <w:tcPr>
            <w:tcW w:w="3544" w:type="dxa"/>
          </w:tcPr>
          <w:p w14:paraId="726C2253" w14:textId="77777777" w:rsidR="00244D3F" w:rsidRPr="00A33743" w:rsidRDefault="00244D3F" w:rsidP="00244D3F">
            <w:pPr>
              <w:pStyle w:val="TableofFigures"/>
              <w:rPr>
                <w:b/>
                <w:sz w:val="24"/>
                <w:szCs w:val="24"/>
              </w:rPr>
            </w:pPr>
            <w:r w:rsidRPr="00A33743">
              <w:rPr>
                <w:sz w:val="24"/>
                <w:szCs w:val="24"/>
              </w:rPr>
              <w:t>Providing a mounting for front and/or rear number plates as required by clause 9.1.1</w:t>
            </w:r>
          </w:p>
        </w:tc>
      </w:tr>
      <w:tr w:rsidR="00244D3F" w:rsidRPr="00A33743" w14:paraId="540ADD29" w14:textId="77777777" w:rsidTr="006D268B">
        <w:trPr>
          <w:cantSplit/>
        </w:trPr>
        <w:tc>
          <w:tcPr>
            <w:tcW w:w="1593" w:type="dxa"/>
          </w:tcPr>
          <w:p w14:paraId="414F9588" w14:textId="77777777" w:rsidR="00244D3F" w:rsidRPr="00A33743" w:rsidRDefault="00244D3F" w:rsidP="00244D3F">
            <w:pPr>
              <w:pStyle w:val="TableofFigures"/>
              <w:rPr>
                <w:b/>
                <w:sz w:val="24"/>
                <w:szCs w:val="24"/>
              </w:rPr>
            </w:pPr>
            <w:bookmarkStart w:id="11" w:name="_Hlk135723118"/>
            <w:bookmarkEnd w:id="10"/>
            <w:r w:rsidRPr="00A33743">
              <w:rPr>
                <w:sz w:val="24"/>
                <w:szCs w:val="24"/>
              </w:rPr>
              <w:t>12</w:t>
            </w:r>
          </w:p>
        </w:tc>
        <w:tc>
          <w:tcPr>
            <w:tcW w:w="2235" w:type="dxa"/>
          </w:tcPr>
          <w:p w14:paraId="252854FB" w14:textId="77777777" w:rsidR="00244D3F" w:rsidRPr="00A33743" w:rsidRDefault="00244D3F" w:rsidP="00244D3F">
            <w:pPr>
              <w:pStyle w:val="TableofFigures"/>
              <w:rPr>
                <w:b/>
                <w:sz w:val="24"/>
                <w:szCs w:val="24"/>
              </w:rPr>
            </w:pPr>
            <w:r w:rsidRPr="00A33743">
              <w:rPr>
                <w:sz w:val="24"/>
                <w:szCs w:val="24"/>
              </w:rPr>
              <w:t>Front underrun protection</w:t>
            </w:r>
          </w:p>
        </w:tc>
        <w:tc>
          <w:tcPr>
            <w:tcW w:w="1559" w:type="dxa"/>
          </w:tcPr>
          <w:p w14:paraId="1750DB1B" w14:textId="77777777" w:rsidR="00244D3F" w:rsidRPr="00A33743" w:rsidRDefault="00244D3F" w:rsidP="00244D3F">
            <w:pPr>
              <w:pStyle w:val="TableofFigures"/>
              <w:rPr>
                <w:b/>
                <w:sz w:val="24"/>
                <w:szCs w:val="24"/>
              </w:rPr>
            </w:pPr>
            <w:r w:rsidRPr="00A33743">
              <w:rPr>
                <w:sz w:val="24"/>
                <w:szCs w:val="24"/>
              </w:rPr>
              <w:t>ADR84/00</w:t>
            </w:r>
          </w:p>
        </w:tc>
        <w:tc>
          <w:tcPr>
            <w:tcW w:w="3544" w:type="dxa"/>
          </w:tcPr>
          <w:p w14:paraId="13F25DF3" w14:textId="77777777" w:rsidR="00244D3F" w:rsidRPr="00A33743" w:rsidRDefault="00244D3F" w:rsidP="00244D3F">
            <w:pPr>
              <w:pStyle w:val="TableofFigures"/>
              <w:rPr>
                <w:b/>
                <w:sz w:val="24"/>
                <w:szCs w:val="24"/>
              </w:rPr>
            </w:pPr>
            <w:r w:rsidRPr="00A33743">
              <w:rPr>
                <w:sz w:val="24"/>
                <w:szCs w:val="24"/>
              </w:rPr>
              <w:t>Fitment of front underrun protection</w:t>
            </w:r>
          </w:p>
        </w:tc>
      </w:tr>
    </w:tbl>
    <w:bookmarkEnd w:id="11"/>
    <w:p w14:paraId="0394D467" w14:textId="77777777" w:rsidR="00244D3F" w:rsidRPr="00A33743" w:rsidRDefault="00244D3F" w:rsidP="006D268B">
      <w:pPr>
        <w:pStyle w:val="List2"/>
        <w:numPr>
          <w:ilvl w:val="0"/>
          <w:numId w:val="21"/>
        </w:numPr>
        <w:ind w:hanging="577"/>
        <w:rPr>
          <w:sz w:val="24"/>
          <w:szCs w:val="24"/>
        </w:rPr>
      </w:pPr>
      <w:r w:rsidRPr="00A33743">
        <w:rPr>
          <w:sz w:val="24"/>
          <w:szCs w:val="24"/>
        </w:rPr>
        <w:lastRenderedPageBreak/>
        <w:t>An eligible vehicle that is being moved for the purpose of road testing is not exempt from the heavy vehicle standard listed in item 8 of Table 1.</w:t>
      </w:r>
    </w:p>
    <w:p w14:paraId="5DC419A3" w14:textId="0B3771BF" w:rsidR="00244D3F" w:rsidRPr="00A33743" w:rsidRDefault="00244D3F" w:rsidP="00A33743">
      <w:pPr>
        <w:pStyle w:val="Bullet1"/>
        <w:rPr>
          <w:rStyle w:val="Strong"/>
          <w:rFonts w:asciiTheme="minorHAnsi" w:hAnsiTheme="minorHAnsi"/>
          <w:b/>
          <w:sz w:val="24"/>
          <w:szCs w:val="24"/>
        </w:rPr>
      </w:pPr>
      <w:r w:rsidRPr="00A33743">
        <w:rPr>
          <w:rStyle w:val="Strong"/>
          <w:rFonts w:asciiTheme="minorHAnsi" w:hAnsiTheme="minorHAnsi"/>
          <w:b/>
          <w:sz w:val="24"/>
          <w:szCs w:val="24"/>
        </w:rPr>
        <w:t xml:space="preserve">Conditions </w:t>
      </w:r>
    </w:p>
    <w:p w14:paraId="5A80E440" w14:textId="77777777" w:rsidR="00244D3F" w:rsidRPr="00A33743" w:rsidRDefault="00244D3F" w:rsidP="006D268B">
      <w:pPr>
        <w:pStyle w:val="List2"/>
        <w:numPr>
          <w:ilvl w:val="0"/>
          <w:numId w:val="25"/>
        </w:numPr>
        <w:ind w:hanging="577"/>
        <w:rPr>
          <w:b/>
          <w:sz w:val="24"/>
          <w:szCs w:val="24"/>
        </w:rPr>
      </w:pPr>
      <w:r w:rsidRPr="00A33743">
        <w:rPr>
          <w:sz w:val="24"/>
          <w:szCs w:val="24"/>
        </w:rPr>
        <w:t>The vehicle must be manufactured or modified to comply with all applicable ADRs and the National Regulations other than those exempted by this notice.</w:t>
      </w:r>
    </w:p>
    <w:p w14:paraId="1DC15D71" w14:textId="77777777" w:rsidR="00244D3F" w:rsidRPr="00A33743" w:rsidRDefault="00244D3F" w:rsidP="006D268B">
      <w:pPr>
        <w:pStyle w:val="List2"/>
        <w:rPr>
          <w:b/>
          <w:sz w:val="24"/>
          <w:szCs w:val="24"/>
        </w:rPr>
      </w:pPr>
      <w:r w:rsidRPr="00A33743">
        <w:rPr>
          <w:sz w:val="24"/>
          <w:szCs w:val="24"/>
        </w:rPr>
        <w:t>For a vehicle covered by item 10 of Table 1, the driver must keep a copy of a Letter of Compliance that is issued within 12 months of the date of travel.</w:t>
      </w:r>
    </w:p>
    <w:p w14:paraId="1E2A8B00" w14:textId="77777777" w:rsidR="00244D3F" w:rsidRPr="00A33743" w:rsidRDefault="00244D3F" w:rsidP="006D268B">
      <w:pPr>
        <w:pStyle w:val="List2"/>
        <w:rPr>
          <w:b/>
          <w:sz w:val="24"/>
          <w:szCs w:val="24"/>
        </w:rPr>
      </w:pPr>
      <w:r w:rsidRPr="00A33743">
        <w:rPr>
          <w:sz w:val="24"/>
          <w:szCs w:val="24"/>
        </w:rPr>
        <w:t>The vehicle must only be driven under the direction of the vehicle manufacturer.</w:t>
      </w:r>
    </w:p>
    <w:p w14:paraId="61233565" w14:textId="77777777" w:rsidR="00244D3F" w:rsidRPr="00A33743" w:rsidRDefault="00244D3F" w:rsidP="006D268B">
      <w:pPr>
        <w:pStyle w:val="List2"/>
        <w:rPr>
          <w:sz w:val="24"/>
          <w:szCs w:val="24"/>
        </w:rPr>
      </w:pPr>
      <w:r w:rsidRPr="00A33743">
        <w:rPr>
          <w:sz w:val="24"/>
          <w:szCs w:val="24"/>
        </w:rPr>
        <w:t>The vehicle must only be used on a road on an eligible journey.</w:t>
      </w:r>
      <w:r w:rsidRPr="00A33743">
        <w:rPr>
          <w:sz w:val="24"/>
          <w:szCs w:val="24"/>
        </w:rPr>
        <w:tab/>
      </w:r>
    </w:p>
    <w:p w14:paraId="1EC45EF3" w14:textId="77777777" w:rsidR="00244D3F" w:rsidRPr="00A33743" w:rsidRDefault="00244D3F" w:rsidP="006D268B">
      <w:pPr>
        <w:pStyle w:val="List2"/>
        <w:rPr>
          <w:sz w:val="24"/>
          <w:szCs w:val="24"/>
        </w:rPr>
      </w:pPr>
      <w:r w:rsidRPr="00A33743">
        <w:rPr>
          <w:sz w:val="24"/>
          <w:szCs w:val="24"/>
        </w:rPr>
        <w:t>The vehicle must not carry any goods or passengers.</w:t>
      </w:r>
    </w:p>
    <w:p w14:paraId="6E7B6265" w14:textId="5B6EB497" w:rsidR="00244D3F" w:rsidRPr="00A33743" w:rsidRDefault="00244D3F" w:rsidP="006D268B">
      <w:pPr>
        <w:pStyle w:val="List2"/>
        <w:rPr>
          <w:b/>
          <w:sz w:val="24"/>
          <w:szCs w:val="24"/>
        </w:rPr>
      </w:pPr>
      <w:r w:rsidRPr="00A33743">
        <w:rPr>
          <w:sz w:val="24"/>
          <w:szCs w:val="24"/>
        </w:rPr>
        <w:t>The manufacturer must, so far as is reasonably practicable, eliminate safety risks and, to the extent it is not reasonably practicable to eliminate safety risks, minimise the safety risks</w:t>
      </w:r>
    </w:p>
    <w:p w14:paraId="51C8955E" w14:textId="0E7ABFE5" w:rsidR="00244D3F" w:rsidRPr="00A33743" w:rsidRDefault="00244D3F" w:rsidP="00A33743">
      <w:pPr>
        <w:pStyle w:val="List3"/>
        <w:numPr>
          <w:ilvl w:val="0"/>
          <w:numId w:val="26"/>
        </w:numPr>
        <w:spacing w:before="0"/>
        <w:ind w:left="1560" w:hanging="567"/>
        <w:rPr>
          <w:sz w:val="24"/>
          <w:szCs w:val="24"/>
        </w:rPr>
      </w:pPr>
      <w:r w:rsidRPr="00A33743">
        <w:rPr>
          <w:sz w:val="24"/>
          <w:szCs w:val="24"/>
        </w:rPr>
        <w:t>Risk mitigations and conditions imposed by the manufacturer must be documented and carried in the vehicle when operating under this notice</w:t>
      </w:r>
    </w:p>
    <w:sectPr w:rsidR="00244D3F" w:rsidRPr="00A33743" w:rsidSect="009F65FC">
      <w:headerReference w:type="default" r:id="rId9"/>
      <w:footerReference w:type="default" r:id="rId10"/>
      <w:headerReference w:type="first" r:id="rId11"/>
      <w:footerReference w:type="first" r:id="rId12"/>
      <w:pgSz w:w="11906" w:h="16838"/>
      <w:pgMar w:top="15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051CD" w14:textId="77777777" w:rsidR="002C219E" w:rsidRDefault="002C219E" w:rsidP="00A33743">
      <w:pPr>
        <w:spacing w:before="0" w:after="0"/>
      </w:pPr>
      <w:r>
        <w:separator/>
      </w:r>
    </w:p>
  </w:endnote>
  <w:endnote w:type="continuationSeparator" w:id="0">
    <w:p w14:paraId="07020B16" w14:textId="77777777" w:rsidR="002C219E" w:rsidRDefault="002C219E" w:rsidP="00A337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F963" w14:textId="5EFB0322" w:rsidR="00A33743" w:rsidRPr="00D94F34" w:rsidRDefault="00A33743" w:rsidP="006D268B">
    <w:pPr>
      <w:ind w:left="851"/>
      <w:jc w:val="right"/>
    </w:pPr>
    <w:r w:rsidRPr="00D94F34">
      <w:t>National Heavy Vehicle Standards (Partially Completed Vehicles) Exemption Notice 20</w:t>
    </w:r>
    <w:r>
      <w:t>23</w:t>
    </w:r>
  </w:p>
  <w:p w14:paraId="00C6221C" w14:textId="77777777" w:rsidR="00A33743" w:rsidRPr="00D94F34" w:rsidRDefault="00A33743" w:rsidP="00A33743">
    <w:pPr>
      <w:jc w:val="right"/>
    </w:pPr>
    <w:r w:rsidRPr="00D94F34">
      <w:t xml:space="preserve">Page </w:t>
    </w:r>
    <w:r w:rsidRPr="00D94F34">
      <w:fldChar w:fldCharType="begin"/>
    </w:r>
    <w:r w:rsidRPr="00D94F34">
      <w:instrText xml:space="preserve"> PAGE </w:instrText>
    </w:r>
    <w:r w:rsidRPr="00D94F34">
      <w:fldChar w:fldCharType="separate"/>
    </w:r>
    <w:r>
      <w:t>4</w:t>
    </w:r>
    <w:r w:rsidRPr="00D94F34">
      <w:fldChar w:fldCharType="end"/>
    </w:r>
    <w:r w:rsidRPr="00D94F34">
      <w:t xml:space="preserve"> of </w:t>
    </w:r>
    <w:fldSimple w:instr=" NUMPAGES ">
      <w:r>
        <w:t>4</w:t>
      </w:r>
    </w:fldSimple>
  </w:p>
  <w:p w14:paraId="4CEBEB22" w14:textId="77777777" w:rsidR="00A33743" w:rsidRDefault="00A33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4E01" w14:textId="77777777" w:rsidR="009F65FC" w:rsidRDefault="009F65FC" w:rsidP="009F65FC">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8217D" w14:textId="77777777" w:rsidR="002C219E" w:rsidRDefault="002C219E" w:rsidP="00A33743">
      <w:pPr>
        <w:spacing w:before="0" w:after="0"/>
      </w:pPr>
      <w:r>
        <w:separator/>
      </w:r>
    </w:p>
  </w:footnote>
  <w:footnote w:type="continuationSeparator" w:id="0">
    <w:p w14:paraId="4223CD29" w14:textId="77777777" w:rsidR="002C219E" w:rsidRDefault="002C219E" w:rsidP="00A3374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E207" w14:textId="0714E3EF" w:rsidR="00463B82" w:rsidRDefault="00463B82" w:rsidP="009F65FC">
    <w:pPr>
      <w:pStyle w:val="Header"/>
      <w:tabs>
        <w:tab w:val="clear" w:pos="4513"/>
        <w:tab w:val="clear" w:pos="9026"/>
        <w:tab w:val="left" w:pos="461"/>
      </w:tabs>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9F65FC" w:rsidRPr="009F65FC" w14:paraId="71C35377" w14:textId="77777777" w:rsidTr="003B09F5">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5FCC6C8F" w14:textId="77777777" w:rsidR="009F65FC" w:rsidRPr="009F65FC" w:rsidRDefault="009F65FC" w:rsidP="009F65FC">
          <w:pPr>
            <w:spacing w:before="60" w:after="0" w:line="276" w:lineRule="auto"/>
            <w:ind w:left="-51"/>
            <w:rPr>
              <w:rFonts w:ascii="Arial" w:eastAsia="Calibri" w:hAnsi="Arial" w:cs="Times New Roman"/>
              <w:sz w:val="12"/>
              <w:lang w:eastAsia="en-US"/>
            </w:rPr>
          </w:pPr>
          <w:r w:rsidRPr="009F65FC">
            <w:rPr>
              <w:rFonts w:ascii="Arial" w:eastAsia="Calibri" w:hAnsi="Arial" w:cs="Times New Roman"/>
              <w:noProof/>
              <w:sz w:val="12"/>
            </w:rPr>
            <w:drawing>
              <wp:inline distT="0" distB="0" distL="0" distR="0" wp14:anchorId="10D9B6F6" wp14:editId="0B4CC4F3">
                <wp:extent cx="702945" cy="544195"/>
                <wp:effectExtent l="0" t="0" r="0" b="8255"/>
                <wp:docPr id="2" name="Picture 2"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06D964C" w14:textId="77777777" w:rsidR="009F65FC" w:rsidRPr="009F65FC" w:rsidRDefault="009F65FC" w:rsidP="009F65FC">
          <w:pPr>
            <w:spacing w:before="60" w:after="0" w:line="460" w:lineRule="exact"/>
            <w:ind w:left="0"/>
            <w:rPr>
              <w:rFonts w:ascii="Arial" w:eastAsia="Calibri" w:hAnsi="Arial" w:cs="Arial"/>
              <w:b/>
              <w:spacing w:val="-2"/>
              <w:sz w:val="44"/>
              <w:szCs w:val="44"/>
              <w:lang w:eastAsia="en-US"/>
            </w:rPr>
          </w:pPr>
          <w:r w:rsidRPr="009F65FC">
            <w:rPr>
              <w:rFonts w:ascii="Arial" w:eastAsia="Calibri" w:hAnsi="Arial" w:cs="Arial"/>
              <w:b/>
              <w:spacing w:val="-2"/>
              <w:sz w:val="44"/>
              <w:szCs w:val="44"/>
              <w:lang w:eastAsia="en-US"/>
            </w:rPr>
            <w:t>Commonwealth</w:t>
          </w:r>
          <w:r w:rsidRPr="009F65FC">
            <w:rPr>
              <w:rFonts w:ascii="Arial" w:eastAsia="Calibri" w:hAnsi="Arial" w:cs="Arial"/>
              <w:b/>
              <w:spacing w:val="-2"/>
              <w:sz w:val="44"/>
              <w:szCs w:val="44"/>
              <w:lang w:eastAsia="en-US"/>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472BAE1C" w14:textId="77777777" w:rsidR="009F65FC" w:rsidRPr="009F65FC" w:rsidRDefault="009F65FC" w:rsidP="009F65FC">
          <w:pPr>
            <w:spacing w:before="180" w:after="0" w:line="800" w:lineRule="exact"/>
            <w:ind w:left="0"/>
            <w:jc w:val="right"/>
            <w:rPr>
              <w:rFonts w:ascii="Arial" w:eastAsia="Calibri" w:hAnsi="Arial" w:cs="Arial"/>
              <w:b/>
              <w:sz w:val="100"/>
              <w:szCs w:val="100"/>
              <w:lang w:eastAsia="en-US"/>
            </w:rPr>
          </w:pPr>
          <w:r w:rsidRPr="009F65FC">
            <w:rPr>
              <w:rFonts w:ascii="Arial" w:eastAsia="Calibri" w:hAnsi="Arial" w:cs="Arial"/>
              <w:b/>
              <w:sz w:val="100"/>
              <w:szCs w:val="100"/>
              <w:lang w:eastAsia="en-US"/>
            </w:rPr>
            <w:t>Gazette</w:t>
          </w:r>
        </w:p>
      </w:tc>
    </w:tr>
    <w:tr w:rsidR="009F65FC" w:rsidRPr="009F65FC" w14:paraId="2780BCDA" w14:textId="77777777" w:rsidTr="003B09F5">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D6600A0" w14:textId="77777777" w:rsidR="009F65FC" w:rsidRPr="009F65FC" w:rsidRDefault="009F65FC" w:rsidP="009F65FC">
          <w:pPr>
            <w:spacing w:before="0" w:after="0" w:line="276" w:lineRule="auto"/>
            <w:ind w:left="-51"/>
            <w:rPr>
              <w:rFonts w:ascii="Arial" w:eastAsia="Calibri" w:hAnsi="Arial" w:cs="Arial"/>
              <w:sz w:val="14"/>
              <w:szCs w:val="14"/>
              <w:lang w:eastAsia="en-US"/>
            </w:rPr>
          </w:pPr>
          <w:r w:rsidRPr="009F65FC">
            <w:rPr>
              <w:rFonts w:ascii="Arial" w:eastAsia="Calibri" w:hAnsi="Arial" w:cs="Arial"/>
              <w:sz w:val="14"/>
              <w:szCs w:val="14"/>
              <w:lang w:eastAsia="en-US"/>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7D32F8D3" w14:textId="77777777" w:rsidR="009F65FC" w:rsidRPr="009F65FC" w:rsidRDefault="009F65FC" w:rsidP="009F65FC">
          <w:pPr>
            <w:spacing w:before="0" w:after="0" w:line="276" w:lineRule="auto"/>
            <w:ind w:left="0"/>
            <w:jc w:val="right"/>
            <w:rPr>
              <w:rFonts w:ascii="Arial" w:eastAsia="Calibri" w:hAnsi="Arial" w:cs="Arial"/>
              <w:b/>
              <w:sz w:val="24"/>
              <w:szCs w:val="24"/>
              <w:lang w:eastAsia="en-US"/>
            </w:rPr>
          </w:pPr>
          <w:r w:rsidRPr="009F65FC">
            <w:rPr>
              <w:rFonts w:ascii="Arial" w:eastAsia="Calibri" w:hAnsi="Arial" w:cs="Arial"/>
              <w:b/>
              <w:sz w:val="24"/>
              <w:szCs w:val="24"/>
              <w:lang w:eastAsia="en-US"/>
            </w:rPr>
            <w:t>GOVERNMENT NOTICES</w:t>
          </w:r>
        </w:p>
      </w:tc>
    </w:tr>
  </w:tbl>
  <w:p w14:paraId="5B058DF8" w14:textId="77777777" w:rsidR="009F65FC" w:rsidRDefault="009F6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B0F3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6210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204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DC73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D42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20B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FE1B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CA6C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12C6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02E7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35A29"/>
    <w:multiLevelType w:val="hybridMultilevel"/>
    <w:tmpl w:val="9334CB80"/>
    <w:lvl w:ilvl="0" w:tplc="8C44999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A322A7"/>
    <w:multiLevelType w:val="hybridMultilevel"/>
    <w:tmpl w:val="1E68CA56"/>
    <w:lvl w:ilvl="0" w:tplc="EF28726E">
      <w:start w:val="1"/>
      <w:numFmt w:val="lowerLetter"/>
      <w:pStyle w:val="List3"/>
      <w:lvlText w:val="(%1)"/>
      <w:lvlJc w:val="left"/>
      <w:pPr>
        <w:ind w:left="1286" w:hanging="360"/>
      </w:pPr>
      <w:rPr>
        <w:rFonts w:ascii="Calibri" w:hAnsi="Calibri" w:hint="default"/>
        <w:b w:val="0"/>
        <w:i w:val="0"/>
        <w:sz w:val="22"/>
      </w:rPr>
    </w:lvl>
    <w:lvl w:ilvl="1" w:tplc="0C090019">
      <w:start w:val="1"/>
      <w:numFmt w:val="lowerLetter"/>
      <w:lvlText w:val="%2."/>
      <w:lvlJc w:val="left"/>
      <w:pPr>
        <w:ind w:left="2006" w:hanging="360"/>
      </w:pPr>
    </w:lvl>
    <w:lvl w:ilvl="2" w:tplc="0C09001B">
      <w:start w:val="1"/>
      <w:numFmt w:val="lowerRoman"/>
      <w:lvlText w:val="%3."/>
      <w:lvlJc w:val="right"/>
      <w:pPr>
        <w:ind w:left="2726" w:hanging="180"/>
      </w:pPr>
    </w:lvl>
    <w:lvl w:ilvl="3" w:tplc="0C09000F" w:tentative="1">
      <w:start w:val="1"/>
      <w:numFmt w:val="decimal"/>
      <w:lvlText w:val="%4."/>
      <w:lvlJc w:val="left"/>
      <w:pPr>
        <w:ind w:left="3446" w:hanging="360"/>
      </w:pPr>
    </w:lvl>
    <w:lvl w:ilvl="4" w:tplc="0C090019" w:tentative="1">
      <w:start w:val="1"/>
      <w:numFmt w:val="lowerLetter"/>
      <w:lvlText w:val="%5."/>
      <w:lvlJc w:val="left"/>
      <w:pPr>
        <w:ind w:left="4166" w:hanging="360"/>
      </w:pPr>
    </w:lvl>
    <w:lvl w:ilvl="5" w:tplc="0C09001B" w:tentative="1">
      <w:start w:val="1"/>
      <w:numFmt w:val="lowerRoman"/>
      <w:lvlText w:val="%6."/>
      <w:lvlJc w:val="right"/>
      <w:pPr>
        <w:ind w:left="4886" w:hanging="180"/>
      </w:pPr>
    </w:lvl>
    <w:lvl w:ilvl="6" w:tplc="0C09000F" w:tentative="1">
      <w:start w:val="1"/>
      <w:numFmt w:val="decimal"/>
      <w:lvlText w:val="%7."/>
      <w:lvlJc w:val="left"/>
      <w:pPr>
        <w:ind w:left="5606" w:hanging="360"/>
      </w:pPr>
    </w:lvl>
    <w:lvl w:ilvl="7" w:tplc="0C090019" w:tentative="1">
      <w:start w:val="1"/>
      <w:numFmt w:val="lowerLetter"/>
      <w:lvlText w:val="%8."/>
      <w:lvlJc w:val="left"/>
      <w:pPr>
        <w:ind w:left="6326" w:hanging="360"/>
      </w:pPr>
    </w:lvl>
    <w:lvl w:ilvl="8" w:tplc="0C09001B" w:tentative="1">
      <w:start w:val="1"/>
      <w:numFmt w:val="lowerRoman"/>
      <w:lvlText w:val="%9."/>
      <w:lvlJc w:val="right"/>
      <w:pPr>
        <w:ind w:left="7046" w:hanging="180"/>
      </w:pPr>
    </w:lvl>
  </w:abstractNum>
  <w:abstractNum w:abstractNumId="12" w15:restartNumberingAfterBreak="0">
    <w:nsid w:val="28A505F2"/>
    <w:multiLevelType w:val="hybridMultilevel"/>
    <w:tmpl w:val="F1EA4A14"/>
    <w:lvl w:ilvl="0" w:tplc="17DA6C6A">
      <w:start w:val="1"/>
      <w:numFmt w:val="decimal"/>
      <w:lvlText w:val="(%1)"/>
      <w:lvlJc w:val="left"/>
      <w:pPr>
        <w:ind w:left="720" w:hanging="360"/>
      </w:pPr>
      <w:rPr>
        <w:rFonts w:hint="default"/>
      </w:rPr>
    </w:lvl>
    <w:lvl w:ilvl="1" w:tplc="5F469D66">
      <w:start w:val="1"/>
      <w:numFmt w:val="lowerRoman"/>
      <w:lvlText w:val="(%2)"/>
      <w:lvlJc w:val="right"/>
      <w:pPr>
        <w:ind w:left="1440" w:hanging="360"/>
      </w:pPr>
      <w:rPr>
        <w:rFonts w:hint="default"/>
        <w:b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DF7202"/>
    <w:multiLevelType w:val="hybridMultilevel"/>
    <w:tmpl w:val="20F6EB3A"/>
    <w:lvl w:ilvl="0" w:tplc="915A98CC">
      <w:start w:val="1"/>
      <w:numFmt w:val="decimal"/>
      <w:pStyle w:val="List2"/>
      <w:lvlText w:val="(%1)"/>
      <w:lvlJc w:val="left"/>
      <w:pPr>
        <w:ind w:left="1003" w:hanging="360"/>
      </w:pPr>
      <w:rPr>
        <w:rFonts w:hint="default"/>
        <w:b w:val="0"/>
      </w:r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14" w15:restartNumberingAfterBreak="0">
    <w:nsid w:val="59F3769F"/>
    <w:multiLevelType w:val="hybridMultilevel"/>
    <w:tmpl w:val="D9BA5FE2"/>
    <w:lvl w:ilvl="0" w:tplc="C3B0D272">
      <w:start w:val="1"/>
      <w:numFmt w:val="lowerLetter"/>
      <w:lvlText w:val="(%1)"/>
      <w:lvlJc w:val="left"/>
      <w:pPr>
        <w:ind w:left="786" w:hanging="360"/>
      </w:pPr>
      <w:rPr>
        <w:rFonts w:ascii="Calibri" w:hAnsi="Calibri" w:hint="default"/>
        <w:b w:val="0"/>
        <w:i w:val="0"/>
        <w:sz w:val="22"/>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5" w15:restartNumberingAfterBreak="0">
    <w:nsid w:val="6517772B"/>
    <w:multiLevelType w:val="hybridMultilevel"/>
    <w:tmpl w:val="980C88B6"/>
    <w:lvl w:ilvl="0" w:tplc="433E09F6">
      <w:start w:val="1"/>
      <w:numFmt w:val="decimal"/>
      <w:pStyle w:val="Bullet1"/>
      <w:lvlText w:val="%1."/>
      <w:lvlJc w:val="left"/>
      <w:pPr>
        <w:ind w:left="360" w:hanging="360"/>
      </w:pPr>
      <w:rPr>
        <w:b/>
      </w:rPr>
    </w:lvl>
    <w:lvl w:ilvl="1" w:tplc="39827BBA">
      <w:start w:val="1"/>
      <w:numFmt w:val="decimal"/>
      <w:lvlText w:val="(%2)"/>
      <w:lvlJc w:val="left"/>
      <w:pPr>
        <w:ind w:left="1080" w:hanging="360"/>
      </w:pPr>
      <w:rPr>
        <w:rFonts w:hint="default"/>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9F10B8D"/>
    <w:multiLevelType w:val="hybridMultilevel"/>
    <w:tmpl w:val="133C4A68"/>
    <w:lvl w:ilvl="0" w:tplc="94E6CD18">
      <w:start w:val="1"/>
      <w:numFmt w:val="lowerLetter"/>
      <w:lvlText w:val="(%1)"/>
      <w:lvlJc w:val="left"/>
      <w:pPr>
        <w:ind w:left="720" w:hanging="360"/>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AD1F28"/>
    <w:multiLevelType w:val="hybridMultilevel"/>
    <w:tmpl w:val="D4266BFA"/>
    <w:lvl w:ilvl="0" w:tplc="70E2FC56">
      <w:start w:val="1"/>
      <w:numFmt w:val="decimal"/>
      <w:lvlText w:val="(%1)"/>
      <w:lvlJc w:val="left"/>
      <w:pPr>
        <w:ind w:left="644" w:hanging="360"/>
      </w:pPr>
      <w:rPr>
        <w:rFonts w:hint="default"/>
        <w:b w:val="0"/>
      </w:rPr>
    </w:lvl>
    <w:lvl w:ilvl="1" w:tplc="C7B29950">
      <w:start w:val="1"/>
      <w:numFmt w:val="lowerLetter"/>
      <w:lvlText w:val="(%2)"/>
      <w:lvlJc w:val="left"/>
      <w:pPr>
        <w:ind w:left="1778" w:hanging="360"/>
      </w:pPr>
      <w:rPr>
        <w:rFonts w:hint="default"/>
        <w:b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0B1BBD"/>
    <w:multiLevelType w:val="hybridMultilevel"/>
    <w:tmpl w:val="64B4A468"/>
    <w:lvl w:ilvl="0" w:tplc="CB565158">
      <w:start w:val="1"/>
      <w:numFmt w:val="lowerRoman"/>
      <w:pStyle w:val="List4"/>
      <w:lvlText w:val="(%1)"/>
      <w:lvlJc w:val="right"/>
      <w:pPr>
        <w:ind w:left="1833" w:hanging="360"/>
      </w:pPr>
      <w:rPr>
        <w:rFonts w:hint="default"/>
        <w:b w:val="0"/>
      </w:rPr>
    </w:lvl>
    <w:lvl w:ilvl="1" w:tplc="0C090019" w:tentative="1">
      <w:start w:val="1"/>
      <w:numFmt w:val="lowerLetter"/>
      <w:lvlText w:val="%2."/>
      <w:lvlJc w:val="left"/>
      <w:pPr>
        <w:ind w:left="2553" w:hanging="360"/>
      </w:pPr>
    </w:lvl>
    <w:lvl w:ilvl="2" w:tplc="0C09001B" w:tentative="1">
      <w:start w:val="1"/>
      <w:numFmt w:val="lowerRoman"/>
      <w:lvlText w:val="%3."/>
      <w:lvlJc w:val="right"/>
      <w:pPr>
        <w:ind w:left="3273" w:hanging="180"/>
      </w:pPr>
    </w:lvl>
    <w:lvl w:ilvl="3" w:tplc="0C09000F" w:tentative="1">
      <w:start w:val="1"/>
      <w:numFmt w:val="decimal"/>
      <w:lvlText w:val="%4."/>
      <w:lvlJc w:val="left"/>
      <w:pPr>
        <w:ind w:left="3993" w:hanging="360"/>
      </w:pPr>
    </w:lvl>
    <w:lvl w:ilvl="4" w:tplc="0C090019" w:tentative="1">
      <w:start w:val="1"/>
      <w:numFmt w:val="lowerLetter"/>
      <w:lvlText w:val="%5."/>
      <w:lvlJc w:val="left"/>
      <w:pPr>
        <w:ind w:left="4713" w:hanging="360"/>
      </w:pPr>
    </w:lvl>
    <w:lvl w:ilvl="5" w:tplc="0C09001B" w:tentative="1">
      <w:start w:val="1"/>
      <w:numFmt w:val="lowerRoman"/>
      <w:lvlText w:val="%6."/>
      <w:lvlJc w:val="right"/>
      <w:pPr>
        <w:ind w:left="5433" w:hanging="180"/>
      </w:pPr>
    </w:lvl>
    <w:lvl w:ilvl="6" w:tplc="0C09000F" w:tentative="1">
      <w:start w:val="1"/>
      <w:numFmt w:val="decimal"/>
      <w:lvlText w:val="%7."/>
      <w:lvlJc w:val="left"/>
      <w:pPr>
        <w:ind w:left="6153" w:hanging="360"/>
      </w:pPr>
    </w:lvl>
    <w:lvl w:ilvl="7" w:tplc="0C090019" w:tentative="1">
      <w:start w:val="1"/>
      <w:numFmt w:val="lowerLetter"/>
      <w:lvlText w:val="%8."/>
      <w:lvlJc w:val="left"/>
      <w:pPr>
        <w:ind w:left="6873" w:hanging="360"/>
      </w:pPr>
    </w:lvl>
    <w:lvl w:ilvl="8" w:tplc="0C09001B" w:tentative="1">
      <w:start w:val="1"/>
      <w:numFmt w:val="lowerRoman"/>
      <w:lvlText w:val="%9."/>
      <w:lvlJc w:val="right"/>
      <w:pPr>
        <w:ind w:left="7593" w:hanging="180"/>
      </w:pPr>
    </w:lvl>
  </w:abstractNum>
  <w:num w:numId="1" w16cid:durableId="1537159964">
    <w:abstractNumId w:val="15"/>
  </w:num>
  <w:num w:numId="2" w16cid:durableId="190152000">
    <w:abstractNumId w:val="9"/>
  </w:num>
  <w:num w:numId="3" w16cid:durableId="756290550">
    <w:abstractNumId w:val="7"/>
  </w:num>
  <w:num w:numId="4" w16cid:durableId="423838265">
    <w:abstractNumId w:val="6"/>
  </w:num>
  <w:num w:numId="5" w16cid:durableId="436406866">
    <w:abstractNumId w:val="5"/>
  </w:num>
  <w:num w:numId="6" w16cid:durableId="2068458524">
    <w:abstractNumId w:val="4"/>
  </w:num>
  <w:num w:numId="7" w16cid:durableId="1384405207">
    <w:abstractNumId w:val="8"/>
  </w:num>
  <w:num w:numId="8" w16cid:durableId="1916354771">
    <w:abstractNumId w:val="3"/>
  </w:num>
  <w:num w:numId="9" w16cid:durableId="795298489">
    <w:abstractNumId w:val="2"/>
  </w:num>
  <w:num w:numId="10" w16cid:durableId="1760372881">
    <w:abstractNumId w:val="1"/>
  </w:num>
  <w:num w:numId="11" w16cid:durableId="1102913816">
    <w:abstractNumId w:val="0"/>
  </w:num>
  <w:num w:numId="12" w16cid:durableId="2142069697">
    <w:abstractNumId w:val="13"/>
  </w:num>
  <w:num w:numId="13" w16cid:durableId="1163592504">
    <w:abstractNumId w:val="14"/>
  </w:num>
  <w:num w:numId="14" w16cid:durableId="413818616">
    <w:abstractNumId w:val="11"/>
  </w:num>
  <w:num w:numId="15" w16cid:durableId="337271607">
    <w:abstractNumId w:val="12"/>
  </w:num>
  <w:num w:numId="16" w16cid:durableId="393936930">
    <w:abstractNumId w:val="17"/>
  </w:num>
  <w:num w:numId="17" w16cid:durableId="1410230425">
    <w:abstractNumId w:val="18"/>
  </w:num>
  <w:num w:numId="18" w16cid:durableId="1041437378">
    <w:abstractNumId w:val="16"/>
  </w:num>
  <w:num w:numId="19" w16cid:durableId="30152826">
    <w:abstractNumId w:val="11"/>
    <w:lvlOverride w:ilvl="0">
      <w:startOverride w:val="1"/>
    </w:lvlOverride>
  </w:num>
  <w:num w:numId="20" w16cid:durableId="2109887572">
    <w:abstractNumId w:val="13"/>
    <w:lvlOverride w:ilvl="0">
      <w:startOverride w:val="1"/>
    </w:lvlOverride>
  </w:num>
  <w:num w:numId="21" w16cid:durableId="819075978">
    <w:abstractNumId w:val="13"/>
    <w:lvlOverride w:ilvl="0">
      <w:startOverride w:val="1"/>
    </w:lvlOverride>
  </w:num>
  <w:num w:numId="22" w16cid:durableId="325593341">
    <w:abstractNumId w:val="10"/>
  </w:num>
  <w:num w:numId="23" w16cid:durableId="904148871">
    <w:abstractNumId w:val="13"/>
  </w:num>
  <w:num w:numId="24" w16cid:durableId="325019595">
    <w:abstractNumId w:val="11"/>
    <w:lvlOverride w:ilvl="0">
      <w:startOverride w:val="1"/>
    </w:lvlOverride>
  </w:num>
  <w:num w:numId="25" w16cid:durableId="934022185">
    <w:abstractNumId w:val="13"/>
    <w:lvlOverride w:ilvl="0">
      <w:startOverride w:val="1"/>
    </w:lvlOverride>
  </w:num>
  <w:num w:numId="26" w16cid:durableId="190388176">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C"/>
    <w:rsid w:val="0006496A"/>
    <w:rsid w:val="00136C77"/>
    <w:rsid w:val="0017617C"/>
    <w:rsid w:val="00244D3F"/>
    <w:rsid w:val="002C219E"/>
    <w:rsid w:val="0032116A"/>
    <w:rsid w:val="00390F59"/>
    <w:rsid w:val="00463B82"/>
    <w:rsid w:val="004D3800"/>
    <w:rsid w:val="006D19FC"/>
    <w:rsid w:val="006D268B"/>
    <w:rsid w:val="006E6818"/>
    <w:rsid w:val="00913424"/>
    <w:rsid w:val="009F65FC"/>
    <w:rsid w:val="00A12EA8"/>
    <w:rsid w:val="00A33743"/>
    <w:rsid w:val="00B16F4A"/>
    <w:rsid w:val="00B712BB"/>
    <w:rsid w:val="00D546C2"/>
    <w:rsid w:val="00DC0589"/>
    <w:rsid w:val="00F006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A1F3F"/>
  <w15:chartTrackingRefBased/>
  <w15:docId w15:val="{4C4B1726-5652-4073-8648-B1D7BE01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F59"/>
    <w:pPr>
      <w:spacing w:before="120" w:after="120" w:line="240" w:lineRule="auto"/>
      <w:ind w:left="426"/>
    </w:pPr>
    <w:rPr>
      <w:rFonts w:eastAsia="Times New Roman" w:cstheme="minorHAnsi"/>
      <w:lang w:eastAsia="en-AU"/>
    </w:rPr>
  </w:style>
  <w:style w:type="paragraph" w:styleId="Heading1">
    <w:name w:val="heading 1"/>
    <w:next w:val="Normal"/>
    <w:link w:val="Heading1Char"/>
    <w:uiPriority w:val="9"/>
    <w:qFormat/>
    <w:rsid w:val="006E6818"/>
    <w:pPr>
      <w:keepNext/>
      <w:keepLines/>
      <w:spacing w:after="213" w:line="248" w:lineRule="auto"/>
      <w:ind w:left="10" w:hanging="10"/>
      <w:outlineLvl w:val="0"/>
    </w:pPr>
    <w:rPr>
      <w:rFonts w:ascii="Calibri" w:eastAsia="Calibri" w:hAnsi="Calibri" w:cs="Calibri"/>
      <w:b/>
      <w:color w:val="2C2E43"/>
      <w:sz w:val="30"/>
      <w:lang w:eastAsia="en-AU"/>
    </w:rPr>
  </w:style>
  <w:style w:type="paragraph" w:styleId="Heading2">
    <w:name w:val="heading 2"/>
    <w:next w:val="Normal"/>
    <w:link w:val="Heading2Char"/>
    <w:uiPriority w:val="9"/>
    <w:unhideWhenUsed/>
    <w:qFormat/>
    <w:rsid w:val="006E6818"/>
    <w:pPr>
      <w:keepNext/>
      <w:keepLines/>
      <w:spacing w:after="0"/>
      <w:ind w:left="10" w:hanging="10"/>
      <w:outlineLvl w:val="1"/>
    </w:pPr>
    <w:rPr>
      <w:rFonts w:ascii="Calibri" w:eastAsia="Calibri" w:hAnsi="Calibri" w:cs="Calibri"/>
      <w:b/>
      <w:color w:val="2C2E43"/>
      <w:sz w:val="28"/>
      <w:lang w:eastAsia="en-AU"/>
    </w:rPr>
  </w:style>
  <w:style w:type="paragraph" w:styleId="Heading3">
    <w:name w:val="heading 3"/>
    <w:next w:val="Normal"/>
    <w:link w:val="Heading3Char"/>
    <w:uiPriority w:val="9"/>
    <w:unhideWhenUsed/>
    <w:qFormat/>
    <w:rsid w:val="006E6818"/>
    <w:pPr>
      <w:keepNext/>
      <w:keepLines/>
      <w:spacing w:after="55" w:line="248" w:lineRule="auto"/>
      <w:ind w:left="10" w:hanging="10"/>
      <w:outlineLvl w:val="2"/>
    </w:pPr>
    <w:rPr>
      <w:rFonts w:ascii="Calibri" w:eastAsia="Calibri" w:hAnsi="Calibri" w:cs="Calibri"/>
      <w:b/>
      <w:color w:val="2C2E43"/>
      <w:sz w:val="24"/>
      <w:lang w:eastAsia="en-AU"/>
    </w:rPr>
  </w:style>
  <w:style w:type="paragraph" w:styleId="Heading4">
    <w:name w:val="heading 4"/>
    <w:next w:val="Normal"/>
    <w:link w:val="Heading4Char"/>
    <w:uiPriority w:val="9"/>
    <w:unhideWhenUsed/>
    <w:qFormat/>
    <w:rsid w:val="006E6818"/>
    <w:pPr>
      <w:keepNext/>
      <w:keepLines/>
      <w:spacing w:after="0"/>
      <w:ind w:left="10" w:hanging="10"/>
      <w:outlineLvl w:val="3"/>
    </w:pPr>
    <w:rPr>
      <w:rFonts w:ascii="Calibri" w:eastAsia="Calibri" w:hAnsi="Calibri" w:cs="Calibri"/>
      <w:b/>
      <w:color w:val="0E999A"/>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Bullet 2"/>
    <w:basedOn w:val="Normal"/>
    <w:next w:val="BodyText"/>
    <w:link w:val="TitleChar"/>
    <w:uiPriority w:val="99"/>
    <w:qFormat/>
    <w:rsid w:val="006D19FC"/>
    <w:rPr>
      <w:rFonts w:ascii="Calibri" w:hAnsi="Calibri" w:cs="Times New Roman"/>
      <w:color w:val="44546A" w:themeColor="text2"/>
      <w:sz w:val="52"/>
      <w:szCs w:val="52"/>
      <w:lang w:val="en-GB"/>
    </w:rPr>
  </w:style>
  <w:style w:type="character" w:customStyle="1" w:styleId="TitleChar">
    <w:name w:val="Title Char"/>
    <w:aliases w:val="Bullet 2 Char"/>
    <w:basedOn w:val="DefaultParagraphFont"/>
    <w:link w:val="Title"/>
    <w:uiPriority w:val="99"/>
    <w:rsid w:val="006D19FC"/>
    <w:rPr>
      <w:rFonts w:ascii="Calibri" w:eastAsia="Times New Roman" w:hAnsi="Calibri" w:cs="Times New Roman"/>
      <w:color w:val="44546A" w:themeColor="text2"/>
      <w:sz w:val="52"/>
      <w:szCs w:val="52"/>
      <w:lang w:val="en-GB"/>
    </w:rPr>
  </w:style>
  <w:style w:type="paragraph" w:styleId="BodyText">
    <w:name w:val="Body Text"/>
    <w:basedOn w:val="Normal"/>
    <w:link w:val="BodyTextChar"/>
    <w:uiPriority w:val="99"/>
    <w:semiHidden/>
    <w:unhideWhenUsed/>
    <w:rsid w:val="004D3800"/>
  </w:style>
  <w:style w:type="character" w:customStyle="1" w:styleId="BodyTextChar">
    <w:name w:val="Body Text Char"/>
    <w:basedOn w:val="DefaultParagraphFont"/>
    <w:link w:val="BodyText"/>
    <w:uiPriority w:val="99"/>
    <w:semiHidden/>
    <w:rsid w:val="004D3800"/>
  </w:style>
  <w:style w:type="character" w:customStyle="1" w:styleId="Heading1Char">
    <w:name w:val="Heading 1 Char"/>
    <w:link w:val="Heading1"/>
    <w:uiPriority w:val="9"/>
    <w:rsid w:val="006E6818"/>
    <w:rPr>
      <w:rFonts w:ascii="Calibri" w:eastAsia="Calibri" w:hAnsi="Calibri" w:cs="Calibri"/>
      <w:b/>
      <w:color w:val="2C2E43"/>
      <w:sz w:val="30"/>
      <w:lang w:eastAsia="en-AU"/>
    </w:rPr>
  </w:style>
  <w:style w:type="character" w:customStyle="1" w:styleId="Heading2Char">
    <w:name w:val="Heading 2 Char"/>
    <w:link w:val="Heading2"/>
    <w:uiPriority w:val="9"/>
    <w:rsid w:val="006E6818"/>
    <w:rPr>
      <w:rFonts w:ascii="Calibri" w:eastAsia="Calibri" w:hAnsi="Calibri" w:cs="Calibri"/>
      <w:b/>
      <w:color w:val="2C2E43"/>
      <w:sz w:val="28"/>
      <w:lang w:eastAsia="en-AU"/>
    </w:rPr>
  </w:style>
  <w:style w:type="character" w:customStyle="1" w:styleId="Heading3Char">
    <w:name w:val="Heading 3 Char"/>
    <w:link w:val="Heading3"/>
    <w:uiPriority w:val="9"/>
    <w:rsid w:val="006E6818"/>
    <w:rPr>
      <w:rFonts w:ascii="Calibri" w:eastAsia="Calibri" w:hAnsi="Calibri" w:cs="Calibri"/>
      <w:b/>
      <w:color w:val="2C2E43"/>
      <w:sz w:val="24"/>
      <w:lang w:eastAsia="en-AU"/>
    </w:rPr>
  </w:style>
  <w:style w:type="character" w:customStyle="1" w:styleId="Heading4Char">
    <w:name w:val="Heading 4 Char"/>
    <w:link w:val="Heading4"/>
    <w:uiPriority w:val="9"/>
    <w:rsid w:val="006E6818"/>
    <w:rPr>
      <w:rFonts w:ascii="Calibri" w:eastAsia="Calibri" w:hAnsi="Calibri" w:cs="Calibri"/>
      <w:b/>
      <w:color w:val="0E999A"/>
      <w:sz w:val="20"/>
      <w:lang w:eastAsia="en-AU"/>
    </w:rPr>
  </w:style>
  <w:style w:type="character" w:styleId="Strong">
    <w:name w:val="Strong"/>
    <w:uiPriority w:val="22"/>
    <w:qFormat/>
    <w:rsid w:val="00244D3F"/>
    <w:rPr>
      <w:rFonts w:ascii="Calibri" w:hAnsi="Calibri"/>
      <w:b/>
    </w:rPr>
  </w:style>
  <w:style w:type="paragraph" w:customStyle="1" w:styleId="Bullet1">
    <w:name w:val="Bullet1"/>
    <w:basedOn w:val="ListParagraph"/>
    <w:link w:val="Bullet1Char"/>
    <w:uiPriority w:val="99"/>
    <w:qFormat/>
    <w:rsid w:val="00A33743"/>
    <w:pPr>
      <w:numPr>
        <w:numId w:val="1"/>
      </w:numPr>
      <w:spacing w:before="240" w:after="240"/>
      <w:ind w:left="426" w:hanging="426"/>
    </w:pPr>
    <w:rPr>
      <w:b/>
      <w:i w:val="0"/>
      <w:iCs w:val="0"/>
    </w:rPr>
  </w:style>
  <w:style w:type="character" w:customStyle="1" w:styleId="Bullet1Char">
    <w:name w:val="Bullet1 Char"/>
    <w:link w:val="Bullet1"/>
    <w:uiPriority w:val="99"/>
    <w:rsid w:val="00A33743"/>
    <w:rPr>
      <w:rFonts w:eastAsia="Times New Roman" w:cstheme="minorHAnsi"/>
      <w:b/>
      <w:color w:val="000000"/>
      <w:shd w:val="clear" w:color="auto" w:fill="FFFFFF"/>
      <w:lang w:eastAsia="en-AU"/>
    </w:rPr>
  </w:style>
  <w:style w:type="paragraph" w:styleId="NoSpacing">
    <w:name w:val="No Spacing"/>
    <w:uiPriority w:val="1"/>
    <w:qFormat/>
    <w:rsid w:val="0017617C"/>
    <w:pPr>
      <w:spacing w:before="120" w:after="120" w:line="240" w:lineRule="auto"/>
      <w:ind w:left="426"/>
    </w:pPr>
    <w:rPr>
      <w:rFonts w:ascii="Times New Roman" w:eastAsia="Times New Roman" w:hAnsi="Times New Roman" w:cs="Times New Roman"/>
      <w:sz w:val="24"/>
      <w:szCs w:val="24"/>
      <w:lang w:eastAsia="en-AU"/>
    </w:rPr>
  </w:style>
  <w:style w:type="paragraph" w:styleId="ListParagraph">
    <w:name w:val="List Paragraph"/>
    <w:basedOn w:val="definition"/>
    <w:uiPriority w:val="34"/>
    <w:qFormat/>
    <w:rsid w:val="00A33743"/>
    <w:pPr>
      <w:shd w:val="clear" w:color="auto" w:fill="FFFFFF"/>
      <w:spacing w:before="180" w:beforeAutospacing="0" w:after="120" w:afterAutospacing="0" w:line="276" w:lineRule="auto"/>
      <w:ind w:left="709"/>
    </w:pPr>
    <w:rPr>
      <w:i/>
      <w:iCs/>
      <w:color w:val="000000"/>
    </w:rPr>
  </w:style>
  <w:style w:type="paragraph" w:styleId="List2">
    <w:name w:val="List 2"/>
    <w:basedOn w:val="Normal"/>
    <w:uiPriority w:val="99"/>
    <w:unhideWhenUsed/>
    <w:qFormat/>
    <w:rsid w:val="00A33743"/>
    <w:pPr>
      <w:numPr>
        <w:numId w:val="12"/>
      </w:numPr>
      <w:spacing w:after="240" w:line="276" w:lineRule="auto"/>
      <w:ind w:hanging="577"/>
      <w:contextualSpacing/>
    </w:pPr>
  </w:style>
  <w:style w:type="paragraph" w:styleId="List3">
    <w:name w:val="List 3"/>
    <w:basedOn w:val="Normal"/>
    <w:uiPriority w:val="99"/>
    <w:unhideWhenUsed/>
    <w:qFormat/>
    <w:rsid w:val="00A33743"/>
    <w:pPr>
      <w:numPr>
        <w:numId w:val="14"/>
      </w:numPr>
      <w:spacing w:before="60" w:after="60" w:line="276" w:lineRule="auto"/>
      <w:ind w:left="1560" w:hanging="567"/>
    </w:pPr>
  </w:style>
  <w:style w:type="paragraph" w:styleId="List4">
    <w:name w:val="List 4"/>
    <w:basedOn w:val="Normal"/>
    <w:uiPriority w:val="99"/>
    <w:unhideWhenUsed/>
    <w:qFormat/>
    <w:rsid w:val="00A33743"/>
    <w:pPr>
      <w:numPr>
        <w:numId w:val="17"/>
      </w:numPr>
      <w:spacing w:before="0" w:after="0"/>
      <w:ind w:left="1843" w:hanging="425"/>
    </w:pPr>
  </w:style>
  <w:style w:type="paragraph" w:customStyle="1" w:styleId="definition">
    <w:name w:val="definition"/>
    <w:basedOn w:val="Normal"/>
    <w:rsid w:val="0017617C"/>
    <w:pPr>
      <w:spacing w:before="100" w:beforeAutospacing="1" w:after="100" w:afterAutospacing="1"/>
      <w:ind w:left="0"/>
    </w:pPr>
  </w:style>
  <w:style w:type="character" w:styleId="BookTitle">
    <w:name w:val="Book Title"/>
    <w:aliases w:val="List dot 2"/>
    <w:uiPriority w:val="33"/>
    <w:qFormat/>
    <w:rsid w:val="0017617C"/>
  </w:style>
  <w:style w:type="table" w:styleId="TableGrid">
    <w:name w:val="Table Grid"/>
    <w:basedOn w:val="TableNormal"/>
    <w:uiPriority w:val="99"/>
    <w:rsid w:val="00244D3F"/>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244D3F"/>
    <w:pPr>
      <w:spacing w:before="0" w:after="0"/>
      <w:ind w:left="0"/>
    </w:pPr>
    <w:rPr>
      <w:rFonts w:ascii="Calibri" w:hAnsi="Calibri"/>
      <w:sz w:val="20"/>
      <w:szCs w:val="20"/>
    </w:rPr>
  </w:style>
  <w:style w:type="character" w:styleId="CommentReference">
    <w:name w:val="annotation reference"/>
    <w:basedOn w:val="DefaultParagraphFont"/>
    <w:uiPriority w:val="99"/>
    <w:semiHidden/>
    <w:rsid w:val="00244D3F"/>
    <w:rPr>
      <w:rFonts w:cs="Times New Roman"/>
      <w:sz w:val="16"/>
      <w:szCs w:val="16"/>
    </w:rPr>
  </w:style>
  <w:style w:type="paragraph" w:styleId="CommentText">
    <w:name w:val="annotation text"/>
    <w:basedOn w:val="Normal"/>
    <w:link w:val="CommentTextChar"/>
    <w:uiPriority w:val="99"/>
    <w:semiHidden/>
    <w:rsid w:val="00244D3F"/>
    <w:pPr>
      <w:spacing w:before="0" w:after="0"/>
      <w:ind w:left="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44D3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244D3F"/>
    <w:rPr>
      <w:b/>
      <w:bCs/>
    </w:rPr>
  </w:style>
  <w:style w:type="character" w:customStyle="1" w:styleId="CommentSubjectChar">
    <w:name w:val="Comment Subject Char"/>
    <w:basedOn w:val="CommentTextChar"/>
    <w:link w:val="CommentSubject"/>
    <w:uiPriority w:val="99"/>
    <w:semiHidden/>
    <w:rsid w:val="00244D3F"/>
    <w:rPr>
      <w:rFonts w:ascii="Times New Roman" w:eastAsia="Times New Roman" w:hAnsi="Times New Roman" w:cs="Times New Roman"/>
      <w:b/>
      <w:bCs/>
      <w:sz w:val="20"/>
      <w:szCs w:val="20"/>
      <w:lang w:eastAsia="en-AU"/>
    </w:rPr>
  </w:style>
  <w:style w:type="paragraph" w:styleId="Header">
    <w:name w:val="header"/>
    <w:basedOn w:val="Normal"/>
    <w:link w:val="HeaderChar"/>
    <w:uiPriority w:val="99"/>
    <w:unhideWhenUsed/>
    <w:rsid w:val="00A33743"/>
    <w:pPr>
      <w:tabs>
        <w:tab w:val="center" w:pos="4513"/>
        <w:tab w:val="right" w:pos="9026"/>
      </w:tabs>
      <w:spacing w:before="0" w:after="0"/>
    </w:pPr>
  </w:style>
  <w:style w:type="character" w:customStyle="1" w:styleId="HeaderChar">
    <w:name w:val="Header Char"/>
    <w:basedOn w:val="DefaultParagraphFont"/>
    <w:link w:val="Header"/>
    <w:uiPriority w:val="99"/>
    <w:rsid w:val="00A33743"/>
    <w:rPr>
      <w:rFonts w:eastAsia="Times New Roman" w:cstheme="minorHAnsi"/>
      <w:lang w:eastAsia="en-AU"/>
    </w:rPr>
  </w:style>
  <w:style w:type="paragraph" w:styleId="Footer">
    <w:name w:val="footer"/>
    <w:basedOn w:val="Normal"/>
    <w:link w:val="FooterChar"/>
    <w:uiPriority w:val="99"/>
    <w:unhideWhenUsed/>
    <w:rsid w:val="00A33743"/>
    <w:pPr>
      <w:tabs>
        <w:tab w:val="center" w:pos="4513"/>
        <w:tab w:val="right" w:pos="9026"/>
      </w:tabs>
      <w:spacing w:before="0" w:after="0"/>
    </w:pPr>
  </w:style>
  <w:style w:type="character" w:customStyle="1" w:styleId="FooterChar">
    <w:name w:val="Footer Char"/>
    <w:basedOn w:val="DefaultParagraphFont"/>
    <w:link w:val="Footer"/>
    <w:uiPriority w:val="99"/>
    <w:rsid w:val="00A33743"/>
    <w:rPr>
      <w:rFonts w:eastAsia="Times New Roman" w:cs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74763-FA09-47DE-BDA1-78BBB72B58F4}">
  <ds:schemaRefs>
    <ds:schemaRef ds:uri="http://www.w3.org/2001/XMLSchema"/>
  </ds:schemaRefs>
</ds:datastoreItem>
</file>

<file path=customXml/itemProps2.xml><?xml version="1.0" encoding="utf-8"?>
<ds:datastoreItem xmlns:ds="http://schemas.openxmlformats.org/officeDocument/2006/customXml" ds:itemID="{68E89D33-86DF-448E-B46B-1D101A24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Nash</dc:creator>
  <cp:keywords/>
  <dc:description/>
  <cp:lastModifiedBy>Roneel Ram</cp:lastModifiedBy>
  <cp:revision>2</cp:revision>
  <dcterms:created xsi:type="dcterms:W3CDTF">2023-06-08T04:49:00Z</dcterms:created>
  <dcterms:modified xsi:type="dcterms:W3CDTF">2023-06-08T04:49:00Z</dcterms:modified>
</cp:coreProperties>
</file>