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6574369"/>
    <w:p w14:paraId="1DD93818" w14:textId="5BB3697E" w:rsidR="00300B75" w:rsidRDefault="00300B75" w:rsidP="00300B75">
      <w:r>
        <w:object w:dxaOrig="2146" w:dyaOrig="1561" w14:anchorId="7C827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38073199" r:id="rId8"/>
        </w:object>
      </w:r>
    </w:p>
    <w:p w14:paraId="5CE2EAB9" w14:textId="77777777" w:rsidR="00300B75" w:rsidRDefault="00300B75" w:rsidP="00300B75"/>
    <w:p w14:paraId="4A5EE701" w14:textId="77777777" w:rsidR="00300B75" w:rsidRDefault="00300B75" w:rsidP="00300B75"/>
    <w:p w14:paraId="08451CFE" w14:textId="77777777" w:rsidR="00300B75" w:rsidRDefault="00300B75" w:rsidP="00300B75"/>
    <w:p w14:paraId="0CD30C66" w14:textId="77777777" w:rsidR="00300B75" w:rsidRDefault="00300B75" w:rsidP="00300B75"/>
    <w:p w14:paraId="2EA35EB7" w14:textId="77777777" w:rsidR="00300B75" w:rsidRDefault="00300B75" w:rsidP="00300B75"/>
    <w:p w14:paraId="14C6AA70" w14:textId="77777777" w:rsidR="00300B75" w:rsidRDefault="00300B75" w:rsidP="00300B75"/>
    <w:p w14:paraId="62F76381" w14:textId="47E09C4A" w:rsidR="0048364F" w:rsidRPr="00802DDB" w:rsidRDefault="00300B75" w:rsidP="0048364F">
      <w:pPr>
        <w:pStyle w:val="ShortT"/>
      </w:pPr>
      <w:r>
        <w:t>Migration Amendment (Aggregate Sentences) Act 2023</w:t>
      </w:r>
    </w:p>
    <w:bookmarkEnd w:id="0"/>
    <w:p w14:paraId="47B140FA" w14:textId="77777777" w:rsidR="0048364F" w:rsidRPr="00802DDB" w:rsidRDefault="0048364F" w:rsidP="0048364F"/>
    <w:p w14:paraId="76168CFC" w14:textId="1A0C92E2" w:rsidR="0048364F" w:rsidRPr="00802DDB" w:rsidRDefault="00C164CA" w:rsidP="00300B75">
      <w:pPr>
        <w:pStyle w:val="Actno"/>
        <w:spacing w:before="400"/>
      </w:pPr>
      <w:r w:rsidRPr="00802DDB">
        <w:t>No.</w:t>
      </w:r>
      <w:r w:rsidR="006933EE">
        <w:t xml:space="preserve"> 1</w:t>
      </w:r>
      <w:r w:rsidRPr="00802DDB">
        <w:t xml:space="preserve">, </w:t>
      </w:r>
      <w:r w:rsidR="00005D25" w:rsidRPr="00802DDB">
        <w:t>2023</w:t>
      </w:r>
    </w:p>
    <w:p w14:paraId="5A2B9B67" w14:textId="77777777" w:rsidR="0048364F" w:rsidRPr="00802DDB" w:rsidRDefault="0048364F" w:rsidP="0048364F"/>
    <w:p w14:paraId="62243C09" w14:textId="77777777" w:rsidR="004C4B4C" w:rsidRDefault="004C4B4C" w:rsidP="004C4B4C">
      <w:pPr>
        <w:rPr>
          <w:lang w:eastAsia="en-AU"/>
        </w:rPr>
      </w:pPr>
    </w:p>
    <w:p w14:paraId="4B549CD6" w14:textId="04984F3B" w:rsidR="0048364F" w:rsidRPr="00802DDB" w:rsidRDefault="0048364F" w:rsidP="0048364F"/>
    <w:p w14:paraId="0811987C" w14:textId="77777777" w:rsidR="0048364F" w:rsidRPr="00802DDB" w:rsidRDefault="0048364F" w:rsidP="0048364F"/>
    <w:p w14:paraId="26137F40" w14:textId="77777777" w:rsidR="0048364F" w:rsidRPr="00802DDB" w:rsidRDefault="0048364F" w:rsidP="0048364F"/>
    <w:p w14:paraId="428C56E8" w14:textId="77777777" w:rsidR="00300B75" w:rsidRDefault="00300B75" w:rsidP="00300B75">
      <w:pPr>
        <w:pStyle w:val="LongT"/>
      </w:pPr>
      <w:r>
        <w:t xml:space="preserve">An Act to amend the </w:t>
      </w:r>
      <w:r w:rsidRPr="00300B75">
        <w:rPr>
          <w:i/>
        </w:rPr>
        <w:t>Migration Act 1958</w:t>
      </w:r>
      <w:r>
        <w:t xml:space="preserve"> to provide for the treatment of aggregate sentences, and for related purposes</w:t>
      </w:r>
    </w:p>
    <w:p w14:paraId="50545BF1" w14:textId="7904A71F" w:rsidR="0048364F" w:rsidRPr="00D779AD" w:rsidRDefault="0048364F" w:rsidP="0048364F">
      <w:pPr>
        <w:pStyle w:val="Header"/>
        <w:tabs>
          <w:tab w:val="clear" w:pos="4150"/>
          <w:tab w:val="clear" w:pos="8307"/>
        </w:tabs>
      </w:pPr>
      <w:r w:rsidRPr="00D779AD">
        <w:rPr>
          <w:rStyle w:val="CharAmSchNo"/>
        </w:rPr>
        <w:t xml:space="preserve"> </w:t>
      </w:r>
      <w:r w:rsidRPr="00D779AD">
        <w:rPr>
          <w:rStyle w:val="CharAmSchText"/>
        </w:rPr>
        <w:t xml:space="preserve"> </w:t>
      </w:r>
    </w:p>
    <w:p w14:paraId="4F581AC5" w14:textId="77777777" w:rsidR="0048364F" w:rsidRPr="00D779AD" w:rsidRDefault="0048364F" w:rsidP="0048364F">
      <w:pPr>
        <w:pStyle w:val="Header"/>
        <w:tabs>
          <w:tab w:val="clear" w:pos="4150"/>
          <w:tab w:val="clear" w:pos="8307"/>
        </w:tabs>
      </w:pPr>
      <w:r w:rsidRPr="00D779AD">
        <w:rPr>
          <w:rStyle w:val="CharAmPartNo"/>
        </w:rPr>
        <w:t xml:space="preserve"> </w:t>
      </w:r>
      <w:r w:rsidRPr="00D779AD">
        <w:rPr>
          <w:rStyle w:val="CharAmPartText"/>
        </w:rPr>
        <w:t xml:space="preserve"> </w:t>
      </w:r>
    </w:p>
    <w:p w14:paraId="0207D8D4" w14:textId="77777777" w:rsidR="0048364F" w:rsidRPr="00802DDB" w:rsidRDefault="0048364F" w:rsidP="0048364F">
      <w:pPr>
        <w:sectPr w:rsidR="0048364F" w:rsidRPr="00802DDB" w:rsidSect="00300B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0215E7A7" w14:textId="77777777" w:rsidR="0048364F" w:rsidRPr="00802DDB" w:rsidRDefault="0048364F" w:rsidP="0048364F">
      <w:pPr>
        <w:outlineLvl w:val="0"/>
        <w:rPr>
          <w:sz w:val="36"/>
        </w:rPr>
      </w:pPr>
      <w:r w:rsidRPr="00802DDB">
        <w:rPr>
          <w:sz w:val="36"/>
        </w:rPr>
        <w:lastRenderedPageBreak/>
        <w:t>Contents</w:t>
      </w:r>
    </w:p>
    <w:p w14:paraId="2BECE6DF" w14:textId="038564CC" w:rsidR="006933EE" w:rsidRDefault="006933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6933EE">
        <w:rPr>
          <w:noProof/>
        </w:rPr>
        <w:tab/>
      </w:r>
      <w:r w:rsidRPr="006933EE">
        <w:rPr>
          <w:noProof/>
        </w:rPr>
        <w:fldChar w:fldCharType="begin"/>
      </w:r>
      <w:r w:rsidRPr="006933EE">
        <w:rPr>
          <w:noProof/>
        </w:rPr>
        <w:instrText xml:space="preserve"> PAGEREF _Toc127460132 \h </w:instrText>
      </w:r>
      <w:r w:rsidRPr="006933EE">
        <w:rPr>
          <w:noProof/>
        </w:rPr>
      </w:r>
      <w:r w:rsidRPr="006933EE">
        <w:rPr>
          <w:noProof/>
        </w:rPr>
        <w:fldChar w:fldCharType="separate"/>
      </w:r>
      <w:r w:rsidR="00083931">
        <w:rPr>
          <w:noProof/>
        </w:rPr>
        <w:t>1</w:t>
      </w:r>
      <w:r w:rsidRPr="006933EE">
        <w:rPr>
          <w:noProof/>
        </w:rPr>
        <w:fldChar w:fldCharType="end"/>
      </w:r>
    </w:p>
    <w:p w14:paraId="3A61B362" w14:textId="3E9DB8B4" w:rsidR="006933EE" w:rsidRDefault="006933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933EE">
        <w:rPr>
          <w:noProof/>
        </w:rPr>
        <w:tab/>
      </w:r>
      <w:r w:rsidRPr="006933EE">
        <w:rPr>
          <w:noProof/>
        </w:rPr>
        <w:fldChar w:fldCharType="begin"/>
      </w:r>
      <w:r w:rsidRPr="006933EE">
        <w:rPr>
          <w:noProof/>
        </w:rPr>
        <w:instrText xml:space="preserve"> PAGEREF _Toc127460133 \h </w:instrText>
      </w:r>
      <w:r w:rsidRPr="006933EE">
        <w:rPr>
          <w:noProof/>
        </w:rPr>
      </w:r>
      <w:r w:rsidRPr="006933EE">
        <w:rPr>
          <w:noProof/>
        </w:rPr>
        <w:fldChar w:fldCharType="separate"/>
      </w:r>
      <w:r w:rsidR="00083931">
        <w:rPr>
          <w:noProof/>
        </w:rPr>
        <w:t>2</w:t>
      </w:r>
      <w:r w:rsidRPr="006933EE">
        <w:rPr>
          <w:noProof/>
        </w:rPr>
        <w:fldChar w:fldCharType="end"/>
      </w:r>
    </w:p>
    <w:p w14:paraId="512B7D2F" w14:textId="41E666A0" w:rsidR="006933EE" w:rsidRDefault="006933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6933EE">
        <w:rPr>
          <w:noProof/>
        </w:rPr>
        <w:tab/>
      </w:r>
      <w:r w:rsidRPr="006933EE">
        <w:rPr>
          <w:noProof/>
        </w:rPr>
        <w:fldChar w:fldCharType="begin"/>
      </w:r>
      <w:r w:rsidRPr="006933EE">
        <w:rPr>
          <w:noProof/>
        </w:rPr>
        <w:instrText xml:space="preserve"> PAGEREF _Toc127460134 \h </w:instrText>
      </w:r>
      <w:r w:rsidRPr="006933EE">
        <w:rPr>
          <w:noProof/>
        </w:rPr>
      </w:r>
      <w:r w:rsidRPr="006933EE">
        <w:rPr>
          <w:noProof/>
        </w:rPr>
        <w:fldChar w:fldCharType="separate"/>
      </w:r>
      <w:r w:rsidR="00083931">
        <w:rPr>
          <w:noProof/>
        </w:rPr>
        <w:t>2</w:t>
      </w:r>
      <w:r w:rsidRPr="006933EE">
        <w:rPr>
          <w:noProof/>
        </w:rPr>
        <w:fldChar w:fldCharType="end"/>
      </w:r>
    </w:p>
    <w:p w14:paraId="0C6E51F6" w14:textId="620CBBE6" w:rsidR="006933EE" w:rsidRDefault="006933E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1—Aggregate sentences</w:t>
      </w:r>
      <w:r w:rsidRPr="006933EE">
        <w:rPr>
          <w:b w:val="0"/>
          <w:noProof/>
          <w:sz w:val="18"/>
        </w:rPr>
        <w:tab/>
      </w:r>
      <w:r w:rsidRPr="006933EE">
        <w:rPr>
          <w:b w:val="0"/>
          <w:noProof/>
          <w:sz w:val="18"/>
        </w:rPr>
        <w:fldChar w:fldCharType="begin"/>
      </w:r>
      <w:r w:rsidRPr="006933EE">
        <w:rPr>
          <w:b w:val="0"/>
          <w:noProof/>
          <w:sz w:val="18"/>
        </w:rPr>
        <w:instrText xml:space="preserve"> PAGEREF _Toc127460135 \h </w:instrText>
      </w:r>
      <w:r w:rsidRPr="006933EE">
        <w:rPr>
          <w:b w:val="0"/>
          <w:noProof/>
          <w:sz w:val="18"/>
        </w:rPr>
      </w:r>
      <w:r w:rsidRPr="006933EE">
        <w:rPr>
          <w:b w:val="0"/>
          <w:noProof/>
          <w:sz w:val="18"/>
        </w:rPr>
        <w:fldChar w:fldCharType="separate"/>
      </w:r>
      <w:r w:rsidR="00083931">
        <w:rPr>
          <w:b w:val="0"/>
          <w:noProof/>
          <w:sz w:val="18"/>
        </w:rPr>
        <w:t>3</w:t>
      </w:r>
      <w:r w:rsidRPr="006933EE">
        <w:rPr>
          <w:b w:val="0"/>
          <w:noProof/>
          <w:sz w:val="18"/>
        </w:rPr>
        <w:fldChar w:fldCharType="end"/>
      </w:r>
    </w:p>
    <w:p w14:paraId="7F4B14B1" w14:textId="6A1520B4" w:rsidR="006933EE" w:rsidRDefault="006933E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6933EE">
        <w:rPr>
          <w:noProof/>
          <w:sz w:val="18"/>
        </w:rPr>
        <w:tab/>
      </w:r>
      <w:r w:rsidRPr="006933EE">
        <w:rPr>
          <w:noProof/>
          <w:sz w:val="18"/>
        </w:rPr>
        <w:fldChar w:fldCharType="begin"/>
      </w:r>
      <w:r w:rsidRPr="006933EE">
        <w:rPr>
          <w:noProof/>
          <w:sz w:val="18"/>
        </w:rPr>
        <w:instrText xml:space="preserve"> PAGEREF _Toc127460136 \h </w:instrText>
      </w:r>
      <w:r w:rsidRPr="006933EE">
        <w:rPr>
          <w:noProof/>
          <w:sz w:val="18"/>
        </w:rPr>
      </w:r>
      <w:r w:rsidRPr="006933EE">
        <w:rPr>
          <w:noProof/>
          <w:sz w:val="18"/>
        </w:rPr>
        <w:fldChar w:fldCharType="separate"/>
      </w:r>
      <w:r w:rsidR="00083931">
        <w:rPr>
          <w:noProof/>
          <w:sz w:val="18"/>
        </w:rPr>
        <w:t>3</w:t>
      </w:r>
      <w:r w:rsidRPr="006933EE">
        <w:rPr>
          <w:noProof/>
          <w:sz w:val="18"/>
        </w:rPr>
        <w:fldChar w:fldCharType="end"/>
      </w:r>
    </w:p>
    <w:p w14:paraId="7E65D1B1" w14:textId="28E10465" w:rsidR="006933EE" w:rsidRDefault="006933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Act 1958</w:t>
      </w:r>
      <w:r w:rsidRPr="006933EE">
        <w:rPr>
          <w:i w:val="0"/>
          <w:noProof/>
          <w:sz w:val="18"/>
        </w:rPr>
        <w:tab/>
      </w:r>
      <w:r w:rsidRPr="006933EE">
        <w:rPr>
          <w:i w:val="0"/>
          <w:noProof/>
          <w:sz w:val="18"/>
        </w:rPr>
        <w:fldChar w:fldCharType="begin"/>
      </w:r>
      <w:r w:rsidRPr="006933EE">
        <w:rPr>
          <w:i w:val="0"/>
          <w:noProof/>
          <w:sz w:val="18"/>
        </w:rPr>
        <w:instrText xml:space="preserve"> PAGEREF _Toc127460137 \h </w:instrText>
      </w:r>
      <w:r w:rsidRPr="006933EE">
        <w:rPr>
          <w:i w:val="0"/>
          <w:noProof/>
          <w:sz w:val="18"/>
        </w:rPr>
      </w:r>
      <w:r w:rsidRPr="006933EE">
        <w:rPr>
          <w:i w:val="0"/>
          <w:noProof/>
          <w:sz w:val="18"/>
        </w:rPr>
        <w:fldChar w:fldCharType="separate"/>
      </w:r>
      <w:r w:rsidR="00083931">
        <w:rPr>
          <w:i w:val="0"/>
          <w:noProof/>
          <w:sz w:val="18"/>
        </w:rPr>
        <w:t>3</w:t>
      </w:r>
      <w:r w:rsidRPr="006933EE">
        <w:rPr>
          <w:i w:val="0"/>
          <w:noProof/>
          <w:sz w:val="18"/>
        </w:rPr>
        <w:fldChar w:fldCharType="end"/>
      </w:r>
    </w:p>
    <w:p w14:paraId="2FEB5E9C" w14:textId="4E7C7849" w:rsidR="006933EE" w:rsidRDefault="006933E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of amendments and validation of certain things done</w:t>
      </w:r>
      <w:r w:rsidRPr="006933EE">
        <w:rPr>
          <w:noProof/>
          <w:sz w:val="18"/>
        </w:rPr>
        <w:tab/>
      </w:r>
      <w:r w:rsidRPr="006933EE">
        <w:rPr>
          <w:noProof/>
          <w:sz w:val="18"/>
        </w:rPr>
        <w:fldChar w:fldCharType="begin"/>
      </w:r>
      <w:r w:rsidRPr="006933EE">
        <w:rPr>
          <w:noProof/>
          <w:sz w:val="18"/>
        </w:rPr>
        <w:instrText xml:space="preserve"> PAGEREF _Toc127460139 \h </w:instrText>
      </w:r>
      <w:r w:rsidRPr="006933EE">
        <w:rPr>
          <w:noProof/>
          <w:sz w:val="18"/>
        </w:rPr>
      </w:r>
      <w:r w:rsidRPr="006933EE">
        <w:rPr>
          <w:noProof/>
          <w:sz w:val="18"/>
        </w:rPr>
        <w:fldChar w:fldCharType="separate"/>
      </w:r>
      <w:r w:rsidR="00083931">
        <w:rPr>
          <w:noProof/>
          <w:sz w:val="18"/>
        </w:rPr>
        <w:t>4</w:t>
      </w:r>
      <w:r w:rsidRPr="006933EE">
        <w:rPr>
          <w:noProof/>
          <w:sz w:val="18"/>
        </w:rPr>
        <w:fldChar w:fldCharType="end"/>
      </w:r>
    </w:p>
    <w:p w14:paraId="35D38CC0" w14:textId="693CE4A3" w:rsidR="00060FF9" w:rsidRPr="00802DDB" w:rsidRDefault="006933EE" w:rsidP="0048364F">
      <w:r>
        <w:fldChar w:fldCharType="end"/>
      </w:r>
    </w:p>
    <w:p w14:paraId="0FCB7E84" w14:textId="77777777" w:rsidR="00FE7F93" w:rsidRPr="00802DDB" w:rsidRDefault="00FE7F93" w:rsidP="0048364F">
      <w:pPr>
        <w:sectPr w:rsidR="00FE7F93" w:rsidRPr="00802DDB" w:rsidSect="00300B7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bookmarkStart w:id="1" w:name="opcCurrentPosition"/>
    <w:bookmarkEnd w:id="1"/>
    <w:p w14:paraId="0E317AF3" w14:textId="77777777" w:rsidR="00300B75" w:rsidRDefault="00300B75">
      <w:r>
        <w:object w:dxaOrig="2146" w:dyaOrig="1561" w14:anchorId="1B5104CA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38073200" r:id="rId20"/>
        </w:object>
      </w:r>
    </w:p>
    <w:p w14:paraId="1B466D48" w14:textId="77777777" w:rsidR="00300B75" w:rsidRDefault="00300B75"/>
    <w:p w14:paraId="77DB350D" w14:textId="77777777" w:rsidR="00300B75" w:rsidRDefault="00300B75" w:rsidP="000178F8">
      <w:pPr>
        <w:spacing w:line="240" w:lineRule="auto"/>
      </w:pPr>
    </w:p>
    <w:p w14:paraId="2F8F2205" w14:textId="0A884D02" w:rsidR="00300B75" w:rsidRDefault="00083931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Migration Amendment (Aggregate Sentences) Act 2023</w:t>
      </w:r>
      <w:r>
        <w:rPr>
          <w:noProof/>
        </w:rPr>
        <w:fldChar w:fldCharType="end"/>
      </w:r>
    </w:p>
    <w:p w14:paraId="2118DBAE" w14:textId="33DF2641" w:rsidR="00300B75" w:rsidRDefault="00083931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1, 2023</w:t>
      </w:r>
      <w:r>
        <w:rPr>
          <w:noProof/>
        </w:rPr>
        <w:fldChar w:fldCharType="end"/>
      </w:r>
    </w:p>
    <w:p w14:paraId="51B06F16" w14:textId="77777777" w:rsidR="00300B75" w:rsidRPr="009A0728" w:rsidRDefault="00300B7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78A286C4" w14:textId="77777777" w:rsidR="00300B75" w:rsidRPr="009A0728" w:rsidRDefault="00300B75" w:rsidP="009A0728">
      <w:pPr>
        <w:spacing w:line="40" w:lineRule="exact"/>
        <w:rPr>
          <w:rFonts w:eastAsia="Calibri"/>
          <w:b/>
          <w:sz w:val="28"/>
        </w:rPr>
      </w:pPr>
    </w:p>
    <w:p w14:paraId="0E18FD00" w14:textId="77777777" w:rsidR="00300B75" w:rsidRPr="009A0728" w:rsidRDefault="00300B7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1EB04F6B" w14:textId="77777777" w:rsidR="00300B75" w:rsidRDefault="00300B75" w:rsidP="00300B75">
      <w:pPr>
        <w:pStyle w:val="Page1"/>
        <w:spacing w:before="400"/>
      </w:pPr>
      <w:r>
        <w:t xml:space="preserve">An Act to amend the </w:t>
      </w:r>
      <w:r w:rsidRPr="00300B75">
        <w:rPr>
          <w:i/>
        </w:rPr>
        <w:t>Migration Act 1958</w:t>
      </w:r>
      <w:r>
        <w:t xml:space="preserve"> to provide for the treatment of aggregate sentences, and for related purposes</w:t>
      </w:r>
    </w:p>
    <w:p w14:paraId="471F4E2C" w14:textId="6B612627" w:rsidR="006933EE" w:rsidRDefault="006933E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16 February 2023</w:t>
      </w:r>
      <w:r>
        <w:rPr>
          <w:sz w:val="24"/>
        </w:rPr>
        <w:t>]</w:t>
      </w:r>
    </w:p>
    <w:p w14:paraId="6C3A332A" w14:textId="20AA7A37" w:rsidR="0048364F" w:rsidRPr="00802DDB" w:rsidRDefault="0048364F" w:rsidP="00802DDB">
      <w:pPr>
        <w:spacing w:before="240" w:line="240" w:lineRule="auto"/>
        <w:rPr>
          <w:sz w:val="32"/>
        </w:rPr>
      </w:pPr>
      <w:r w:rsidRPr="00802DDB">
        <w:rPr>
          <w:sz w:val="32"/>
        </w:rPr>
        <w:t>The Parliament of Australia enacts:</w:t>
      </w:r>
    </w:p>
    <w:p w14:paraId="0FC9D576" w14:textId="77777777" w:rsidR="0048364F" w:rsidRPr="00802DDB" w:rsidRDefault="0048364F" w:rsidP="00802DDB">
      <w:pPr>
        <w:pStyle w:val="ActHead5"/>
      </w:pPr>
      <w:bookmarkStart w:id="2" w:name="_Toc127460132"/>
      <w:r w:rsidRPr="00D779AD">
        <w:rPr>
          <w:rStyle w:val="CharSectno"/>
        </w:rPr>
        <w:t>1</w:t>
      </w:r>
      <w:r w:rsidRPr="00802DDB">
        <w:t xml:space="preserve">  Short title</w:t>
      </w:r>
      <w:bookmarkEnd w:id="2"/>
    </w:p>
    <w:p w14:paraId="4D0EC571" w14:textId="77777777" w:rsidR="0048364F" w:rsidRPr="00802DDB" w:rsidRDefault="0048364F" w:rsidP="00802DDB">
      <w:pPr>
        <w:pStyle w:val="subsection"/>
      </w:pPr>
      <w:r w:rsidRPr="00802DDB">
        <w:tab/>
      </w:r>
      <w:r w:rsidRPr="00802DDB">
        <w:tab/>
        <w:t xml:space="preserve">This Act </w:t>
      </w:r>
      <w:r w:rsidR="00275197" w:rsidRPr="00802DDB">
        <w:t xml:space="preserve">is </w:t>
      </w:r>
      <w:r w:rsidRPr="00802DDB">
        <w:t xml:space="preserve">the </w:t>
      </w:r>
      <w:r w:rsidR="000170CB" w:rsidRPr="00802DDB">
        <w:rPr>
          <w:i/>
        </w:rPr>
        <w:t>Migration Amendment (</w:t>
      </w:r>
      <w:r w:rsidR="00452CE4" w:rsidRPr="00802DDB">
        <w:rPr>
          <w:i/>
        </w:rPr>
        <w:t>Aggregate Sentences</w:t>
      </w:r>
      <w:r w:rsidR="000170CB" w:rsidRPr="00802DDB">
        <w:rPr>
          <w:i/>
        </w:rPr>
        <w:t>)</w:t>
      </w:r>
      <w:r w:rsidR="000170CB" w:rsidRPr="00802DDB">
        <w:t xml:space="preserve"> </w:t>
      </w:r>
      <w:r w:rsidR="00EE3E36" w:rsidRPr="00802DDB">
        <w:rPr>
          <w:i/>
        </w:rPr>
        <w:t xml:space="preserve">Act </w:t>
      </w:r>
      <w:r w:rsidR="00005D25" w:rsidRPr="00802DDB">
        <w:rPr>
          <w:i/>
        </w:rPr>
        <w:t>2023</w:t>
      </w:r>
      <w:r w:rsidRPr="00802DDB">
        <w:t>.</w:t>
      </w:r>
    </w:p>
    <w:p w14:paraId="4AB95505" w14:textId="77777777" w:rsidR="00961D11" w:rsidRPr="00802DDB" w:rsidRDefault="00961D11" w:rsidP="00802DDB">
      <w:pPr>
        <w:pStyle w:val="ActHead5"/>
      </w:pPr>
      <w:bookmarkStart w:id="3" w:name="_Toc127460133"/>
      <w:r w:rsidRPr="00D779AD">
        <w:rPr>
          <w:rStyle w:val="CharSectno"/>
        </w:rPr>
        <w:lastRenderedPageBreak/>
        <w:t>2</w:t>
      </w:r>
      <w:r w:rsidRPr="00802DDB">
        <w:t xml:space="preserve">  Commencement</w:t>
      </w:r>
      <w:bookmarkEnd w:id="3"/>
    </w:p>
    <w:p w14:paraId="42FF79E8" w14:textId="77777777" w:rsidR="00961D11" w:rsidRPr="00802DDB" w:rsidRDefault="00961D11" w:rsidP="00802DDB">
      <w:pPr>
        <w:pStyle w:val="subsection"/>
      </w:pPr>
      <w:r w:rsidRPr="00802DDB">
        <w:tab/>
        <w:t>(1)</w:t>
      </w:r>
      <w:r w:rsidRPr="00802DD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5DF491FF" w14:textId="77777777" w:rsidR="00961D11" w:rsidRPr="00802DDB" w:rsidRDefault="00961D11" w:rsidP="00802DD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46"/>
        <w:gridCol w:w="3931"/>
        <w:gridCol w:w="1624"/>
      </w:tblGrid>
      <w:tr w:rsidR="00961D11" w:rsidRPr="00802DDB" w14:paraId="147ABEDB" w14:textId="77777777" w:rsidTr="00FA71A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A91BFE1" w14:textId="77777777" w:rsidR="00961D11" w:rsidRPr="00802DDB" w:rsidRDefault="00961D11" w:rsidP="00802DDB">
            <w:pPr>
              <w:pStyle w:val="TableHeading"/>
            </w:pPr>
            <w:r w:rsidRPr="00802DDB">
              <w:t>Commencement information</w:t>
            </w:r>
          </w:p>
        </w:tc>
      </w:tr>
      <w:tr w:rsidR="00961D11" w:rsidRPr="00802DDB" w14:paraId="7D2253F4" w14:textId="77777777" w:rsidTr="00FA71A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3F8A02A" w14:textId="77777777" w:rsidR="00961D11" w:rsidRPr="00802DDB" w:rsidRDefault="00961D11" w:rsidP="00802DDB">
            <w:pPr>
              <w:pStyle w:val="TableHeading"/>
            </w:pPr>
            <w:r w:rsidRPr="00802DD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4254579" w14:textId="77777777" w:rsidR="00961D11" w:rsidRPr="00802DDB" w:rsidRDefault="00961D11" w:rsidP="00802DDB">
            <w:pPr>
              <w:pStyle w:val="TableHeading"/>
            </w:pPr>
            <w:r w:rsidRPr="00802DD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4E7011C" w14:textId="77777777" w:rsidR="00961D11" w:rsidRPr="00802DDB" w:rsidRDefault="00961D11" w:rsidP="00802DDB">
            <w:pPr>
              <w:pStyle w:val="TableHeading"/>
            </w:pPr>
            <w:r w:rsidRPr="00802DDB">
              <w:t>Column 3</w:t>
            </w:r>
          </w:p>
        </w:tc>
      </w:tr>
      <w:tr w:rsidR="00961D11" w:rsidRPr="00802DDB" w14:paraId="3346425A" w14:textId="77777777" w:rsidTr="00FA71A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8FBAE1B" w14:textId="77777777" w:rsidR="00961D11" w:rsidRPr="00802DDB" w:rsidRDefault="00961D11" w:rsidP="00802DDB">
            <w:pPr>
              <w:pStyle w:val="TableHeading"/>
            </w:pPr>
            <w:r w:rsidRPr="00802DD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A52FC07" w14:textId="77777777" w:rsidR="00961D11" w:rsidRPr="00802DDB" w:rsidRDefault="00961D11" w:rsidP="00802DDB">
            <w:pPr>
              <w:pStyle w:val="TableHeading"/>
            </w:pPr>
            <w:r w:rsidRPr="00802DD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C9B778D" w14:textId="77777777" w:rsidR="00961D11" w:rsidRPr="00802DDB" w:rsidRDefault="00961D11" w:rsidP="00802DDB">
            <w:pPr>
              <w:pStyle w:val="TableHeading"/>
            </w:pPr>
            <w:r w:rsidRPr="00802DDB">
              <w:t>Date/Details</w:t>
            </w:r>
          </w:p>
        </w:tc>
      </w:tr>
      <w:tr w:rsidR="00961D11" w:rsidRPr="00802DDB" w14:paraId="4570DA47" w14:textId="77777777" w:rsidTr="00FA71A7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96C4047" w14:textId="77777777" w:rsidR="00961D11" w:rsidRPr="00802DDB" w:rsidRDefault="00961D11" w:rsidP="00802DDB">
            <w:pPr>
              <w:pStyle w:val="Tabletext"/>
            </w:pPr>
            <w:r w:rsidRPr="00802DDB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EAA581" w14:textId="77777777" w:rsidR="00961D11" w:rsidRPr="00802DDB" w:rsidRDefault="00961D11" w:rsidP="00802DDB">
            <w:pPr>
              <w:pStyle w:val="Tabletext"/>
            </w:pPr>
            <w:r w:rsidRPr="00802DDB">
              <w:t>The day after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DC2B2B" w14:textId="40F800B5" w:rsidR="00961D11" w:rsidRPr="00802DDB" w:rsidRDefault="006933EE" w:rsidP="00802DDB">
            <w:pPr>
              <w:pStyle w:val="Tabletext"/>
            </w:pPr>
            <w:r>
              <w:t>17 February 2023</w:t>
            </w:r>
          </w:p>
        </w:tc>
      </w:tr>
    </w:tbl>
    <w:p w14:paraId="15729E7A" w14:textId="77777777" w:rsidR="00961D11" w:rsidRPr="00802DDB" w:rsidRDefault="00961D11" w:rsidP="00802DDB">
      <w:pPr>
        <w:pStyle w:val="notetext"/>
      </w:pPr>
      <w:r w:rsidRPr="00802DDB">
        <w:rPr>
          <w:snapToGrid w:val="0"/>
          <w:lang w:eastAsia="en-US"/>
        </w:rPr>
        <w:t>Note:</w:t>
      </w:r>
      <w:r w:rsidRPr="00802DDB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69366923" w14:textId="77777777" w:rsidR="00961D11" w:rsidRPr="00802DDB" w:rsidRDefault="00961D11" w:rsidP="00802DDB">
      <w:pPr>
        <w:pStyle w:val="subsection"/>
      </w:pPr>
      <w:r w:rsidRPr="00802DDB">
        <w:tab/>
        <w:t>(2)</w:t>
      </w:r>
      <w:r w:rsidRPr="00802DDB">
        <w:tab/>
        <w:t>Any information in column 3 of the table is not part of this Act. Information may be inserted in this column, or information in it may be edited, in any published version of this Act.</w:t>
      </w:r>
    </w:p>
    <w:p w14:paraId="676C541B" w14:textId="77777777" w:rsidR="0048364F" w:rsidRPr="00802DDB" w:rsidRDefault="0048364F" w:rsidP="00802DDB">
      <w:pPr>
        <w:pStyle w:val="ActHead5"/>
      </w:pPr>
      <w:bookmarkStart w:id="4" w:name="_Toc127460134"/>
      <w:r w:rsidRPr="00D779AD">
        <w:rPr>
          <w:rStyle w:val="CharSectno"/>
        </w:rPr>
        <w:t>3</w:t>
      </w:r>
      <w:r w:rsidRPr="00802DDB">
        <w:t xml:space="preserve">  Schedules</w:t>
      </w:r>
      <w:bookmarkEnd w:id="4"/>
    </w:p>
    <w:p w14:paraId="41E37B55" w14:textId="77777777" w:rsidR="0048364F" w:rsidRPr="00802DDB" w:rsidRDefault="0048364F" w:rsidP="00802DDB">
      <w:pPr>
        <w:pStyle w:val="subsection"/>
      </w:pPr>
      <w:r w:rsidRPr="00802DDB">
        <w:tab/>
      </w:r>
      <w:r w:rsidRPr="00802DDB">
        <w:tab/>
      </w:r>
      <w:r w:rsidR="00202618" w:rsidRPr="00802DDB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4EFF3874" w14:textId="77777777" w:rsidR="008D3E94" w:rsidRPr="00802DDB" w:rsidRDefault="00FA7A71" w:rsidP="00802DDB">
      <w:pPr>
        <w:pStyle w:val="ActHead6"/>
        <w:pageBreakBefore/>
      </w:pPr>
      <w:bookmarkStart w:id="5" w:name="opcAmSched"/>
      <w:bookmarkStart w:id="6" w:name="opcCurrentFind"/>
      <w:bookmarkStart w:id="7" w:name="_Toc127460135"/>
      <w:r w:rsidRPr="00D779AD">
        <w:rPr>
          <w:rStyle w:val="CharAmSchNo"/>
        </w:rPr>
        <w:lastRenderedPageBreak/>
        <w:t>Schedule 1</w:t>
      </w:r>
      <w:r w:rsidR="0048364F" w:rsidRPr="00802DDB">
        <w:t>—</w:t>
      </w:r>
      <w:r w:rsidR="00452CE4" w:rsidRPr="00D779AD">
        <w:rPr>
          <w:rStyle w:val="CharAmSchText"/>
        </w:rPr>
        <w:t>Aggregate sentences</w:t>
      </w:r>
      <w:bookmarkEnd w:id="7"/>
    </w:p>
    <w:p w14:paraId="3025AC68" w14:textId="77777777" w:rsidR="008D3E94" w:rsidRPr="00802DDB" w:rsidRDefault="00EC0DFD" w:rsidP="00802DDB">
      <w:pPr>
        <w:pStyle w:val="ActHead7"/>
      </w:pPr>
      <w:bookmarkStart w:id="8" w:name="_Toc127460136"/>
      <w:bookmarkEnd w:id="5"/>
      <w:bookmarkEnd w:id="6"/>
      <w:r w:rsidRPr="00D779AD">
        <w:rPr>
          <w:rStyle w:val="CharAmPartNo"/>
        </w:rPr>
        <w:t>Part 1</w:t>
      </w:r>
      <w:r w:rsidR="000170CB" w:rsidRPr="00802DDB">
        <w:t>—</w:t>
      </w:r>
      <w:r w:rsidR="000170CB" w:rsidRPr="00D779AD">
        <w:rPr>
          <w:rStyle w:val="CharAmPartText"/>
        </w:rPr>
        <w:t>Amendments</w:t>
      </w:r>
      <w:bookmarkEnd w:id="8"/>
    </w:p>
    <w:p w14:paraId="3053EBB2" w14:textId="77777777" w:rsidR="000170CB" w:rsidRPr="00802DDB" w:rsidRDefault="000170CB" w:rsidP="00802DDB">
      <w:pPr>
        <w:pStyle w:val="ActHead9"/>
        <w:rPr>
          <w:i w:val="0"/>
        </w:rPr>
      </w:pPr>
      <w:bookmarkStart w:id="9" w:name="_Toc127460137"/>
      <w:r w:rsidRPr="00802DDB">
        <w:t>Migration Act 1958</w:t>
      </w:r>
      <w:bookmarkEnd w:id="9"/>
    </w:p>
    <w:p w14:paraId="1E85E44E" w14:textId="77777777" w:rsidR="008E271E" w:rsidRPr="00802DDB" w:rsidRDefault="008E271E" w:rsidP="00802DDB">
      <w:pPr>
        <w:pStyle w:val="ItemHead"/>
      </w:pPr>
      <w:r w:rsidRPr="00802DDB">
        <w:t xml:space="preserve">1  After </w:t>
      </w:r>
      <w:r w:rsidR="003B63D0" w:rsidRPr="00802DDB">
        <w:t>section 5</w:t>
      </w:r>
      <w:r w:rsidRPr="00802DDB">
        <w:t>AA</w:t>
      </w:r>
    </w:p>
    <w:p w14:paraId="1194599C" w14:textId="77777777" w:rsidR="008E271E" w:rsidRPr="00802DDB" w:rsidRDefault="008E271E" w:rsidP="00802DDB">
      <w:pPr>
        <w:pStyle w:val="Item"/>
      </w:pPr>
      <w:r w:rsidRPr="00802DDB">
        <w:t>Insert:</w:t>
      </w:r>
    </w:p>
    <w:p w14:paraId="033E5DEA" w14:textId="77777777" w:rsidR="008E271E" w:rsidRPr="00802DDB" w:rsidRDefault="008E271E" w:rsidP="00802DDB">
      <w:pPr>
        <w:pStyle w:val="ActHead5"/>
      </w:pPr>
      <w:bookmarkStart w:id="10" w:name="_Toc127460138"/>
      <w:r w:rsidRPr="00D779AD">
        <w:rPr>
          <w:rStyle w:val="CharSectno"/>
        </w:rPr>
        <w:t>5AB</w:t>
      </w:r>
      <w:r w:rsidRPr="00802DDB">
        <w:t xml:space="preserve">  Sentencing for offences</w:t>
      </w:r>
      <w:bookmarkEnd w:id="10"/>
    </w:p>
    <w:p w14:paraId="0AA57BE1" w14:textId="77777777" w:rsidR="0097478F" w:rsidRPr="00802DDB" w:rsidRDefault="0097478F" w:rsidP="00802DDB">
      <w:pPr>
        <w:pStyle w:val="subsection"/>
      </w:pPr>
      <w:r w:rsidRPr="00802DDB">
        <w:tab/>
      </w:r>
      <w:r w:rsidRPr="00802DDB">
        <w:tab/>
        <w:t>The provisions of this Act and</w:t>
      </w:r>
      <w:r w:rsidR="00B1008A" w:rsidRPr="00802DDB">
        <w:t xml:space="preserve"> the regulations </w:t>
      </w:r>
      <w:r w:rsidRPr="00802DDB">
        <w:t xml:space="preserve">apply no differently in relation to a </w:t>
      </w:r>
      <w:r w:rsidR="00FA29E3" w:rsidRPr="00802DDB">
        <w:t xml:space="preserve">single sentence imposed by </w:t>
      </w:r>
      <w:r w:rsidR="005453DF" w:rsidRPr="00802DDB">
        <w:t xml:space="preserve">a </w:t>
      </w:r>
      <w:r w:rsidR="00FA29E3" w:rsidRPr="00802DDB">
        <w:t xml:space="preserve">court </w:t>
      </w:r>
      <w:r w:rsidR="00C670A2" w:rsidRPr="00802DDB">
        <w:t xml:space="preserve">in respect of </w:t>
      </w:r>
      <w:r w:rsidRPr="00802DDB">
        <w:t>2 or more offences to the way in which th</w:t>
      </w:r>
      <w:r w:rsidR="00C670A2" w:rsidRPr="00802DDB">
        <w:t xml:space="preserve">ose provisions </w:t>
      </w:r>
      <w:r w:rsidRPr="00802DDB">
        <w:t>apply in relation to a</w:t>
      </w:r>
      <w:r w:rsidR="00FA29E3" w:rsidRPr="00802DDB">
        <w:t xml:space="preserve"> sentence imposed by a court </w:t>
      </w:r>
      <w:r w:rsidRPr="00802DDB">
        <w:t>in respect of a single offence.</w:t>
      </w:r>
    </w:p>
    <w:p w14:paraId="098E1E1E" w14:textId="77777777" w:rsidR="003C20BC" w:rsidRPr="00802DDB" w:rsidRDefault="00B233E1" w:rsidP="00802DDB">
      <w:pPr>
        <w:pStyle w:val="notetext"/>
      </w:pPr>
      <w:r w:rsidRPr="00802DDB">
        <w:t>Example</w:t>
      </w:r>
      <w:r w:rsidR="0097478F" w:rsidRPr="00802DDB">
        <w:t>:</w:t>
      </w:r>
      <w:r w:rsidR="0097478F" w:rsidRPr="00802DDB">
        <w:tab/>
      </w:r>
      <w:r w:rsidR="003B63D0" w:rsidRPr="00802DDB">
        <w:t>Paragraph 5</w:t>
      </w:r>
      <w:r w:rsidR="00A35F83" w:rsidRPr="00802DDB">
        <w:t xml:space="preserve">01(7)(c) </w:t>
      </w:r>
      <w:r w:rsidRPr="00802DDB">
        <w:t>applies in relation to a person sentenced to a term of imprisonment</w:t>
      </w:r>
      <w:r w:rsidR="00A97D2A" w:rsidRPr="00802DDB">
        <w:t xml:space="preserve"> of 12 months or more</w:t>
      </w:r>
      <w:r w:rsidRPr="00802DDB">
        <w:t>. Because of this section, th</w:t>
      </w:r>
      <w:r w:rsidR="00A35F83" w:rsidRPr="00802DDB">
        <w:t>at paragraph</w:t>
      </w:r>
      <w:r w:rsidRPr="00802DDB">
        <w:t xml:space="preserve"> applies </w:t>
      </w:r>
      <w:r w:rsidR="00BF344B" w:rsidRPr="00802DDB">
        <w:t>i</w:t>
      </w:r>
      <w:r w:rsidRPr="00802DDB">
        <w:t>n</w:t>
      </w:r>
      <w:r w:rsidR="00BF344B" w:rsidRPr="00802DDB">
        <w:t xml:space="preserve"> relation to</w:t>
      </w:r>
      <w:r w:rsidR="00A97D2A" w:rsidRPr="00802DDB">
        <w:t xml:space="preserve"> a person sentenced to such a term, whether the sentence is </w:t>
      </w:r>
      <w:r w:rsidR="003C20BC" w:rsidRPr="00802DDB">
        <w:t xml:space="preserve">imposed for a single offence or </w:t>
      </w:r>
      <w:r w:rsidR="008C4C18" w:rsidRPr="00802DDB">
        <w:t>for</w:t>
      </w:r>
      <w:r w:rsidR="003C20BC" w:rsidRPr="00802DDB">
        <w:t xml:space="preserve"> 2 or more offences.</w:t>
      </w:r>
    </w:p>
    <w:p w14:paraId="2C2611EC" w14:textId="77777777" w:rsidR="00336C6E" w:rsidRPr="00802DDB" w:rsidRDefault="003B63D0" w:rsidP="00802DDB">
      <w:pPr>
        <w:pStyle w:val="ActHead7"/>
        <w:pageBreakBefore/>
      </w:pPr>
      <w:bookmarkStart w:id="11" w:name="_Toc127460139"/>
      <w:r w:rsidRPr="00D779AD">
        <w:rPr>
          <w:rStyle w:val="CharAmPartNo"/>
        </w:rPr>
        <w:lastRenderedPageBreak/>
        <w:t>Part 2</w:t>
      </w:r>
      <w:r w:rsidR="00336C6E" w:rsidRPr="00802DDB">
        <w:t>—</w:t>
      </w:r>
      <w:r w:rsidR="00336C6E" w:rsidRPr="00D779AD">
        <w:rPr>
          <w:rStyle w:val="CharAmPartText"/>
        </w:rPr>
        <w:t>Application of amendments and validation of certain things done</w:t>
      </w:r>
      <w:bookmarkEnd w:id="11"/>
    </w:p>
    <w:p w14:paraId="4B8A5BAF" w14:textId="77777777" w:rsidR="0085365F" w:rsidRPr="00802DDB" w:rsidRDefault="0085365F" w:rsidP="00802DDB">
      <w:pPr>
        <w:pStyle w:val="Transitional"/>
      </w:pPr>
      <w:r w:rsidRPr="00802DDB">
        <w:t xml:space="preserve">2  </w:t>
      </w:r>
      <w:r w:rsidR="00E77643" w:rsidRPr="00802DDB">
        <w:t>Definitions</w:t>
      </w:r>
    </w:p>
    <w:p w14:paraId="15EC306D" w14:textId="77777777" w:rsidR="00D71197" w:rsidRPr="00802DDB" w:rsidRDefault="00E77643" w:rsidP="00802DDB">
      <w:pPr>
        <w:pStyle w:val="Item"/>
      </w:pPr>
      <w:r w:rsidRPr="00802DDB">
        <w:t xml:space="preserve">In this </w:t>
      </w:r>
      <w:r w:rsidR="0085365F" w:rsidRPr="00802DDB">
        <w:t>Part</w:t>
      </w:r>
      <w:r w:rsidR="00D71197" w:rsidRPr="00802DDB">
        <w:t>:</w:t>
      </w:r>
    </w:p>
    <w:p w14:paraId="210A95FF" w14:textId="77777777" w:rsidR="00E77643" w:rsidRPr="00802DDB" w:rsidRDefault="00E77643" w:rsidP="00802DDB">
      <w:pPr>
        <w:pStyle w:val="Item"/>
      </w:pPr>
      <w:r w:rsidRPr="00802DDB">
        <w:rPr>
          <w:b/>
          <w:i/>
        </w:rPr>
        <w:t>commencement</w:t>
      </w:r>
      <w:r w:rsidRPr="00802DDB">
        <w:t xml:space="preserve"> means the commencement of this Part.</w:t>
      </w:r>
    </w:p>
    <w:p w14:paraId="2E292DA8" w14:textId="77777777" w:rsidR="0085365F" w:rsidRPr="00802DDB" w:rsidRDefault="0085365F" w:rsidP="00802DDB">
      <w:pPr>
        <w:pStyle w:val="Item"/>
      </w:pPr>
      <w:r w:rsidRPr="00802DDB">
        <w:rPr>
          <w:b/>
          <w:i/>
        </w:rPr>
        <w:t>do a thing</w:t>
      </w:r>
      <w:r w:rsidRPr="00802DDB">
        <w:t xml:space="preserve"> includes:</w:t>
      </w:r>
    </w:p>
    <w:p w14:paraId="7CC94D96" w14:textId="77777777" w:rsidR="0085365F" w:rsidRPr="00802DDB" w:rsidRDefault="0085365F" w:rsidP="00802DDB">
      <w:pPr>
        <w:pStyle w:val="paragraph"/>
      </w:pPr>
      <w:r w:rsidRPr="00802DDB">
        <w:tab/>
        <w:t>(</w:t>
      </w:r>
      <w:r w:rsidR="00E77643" w:rsidRPr="00802DDB">
        <w:t>a</w:t>
      </w:r>
      <w:r w:rsidRPr="00802DDB">
        <w:t>)</w:t>
      </w:r>
      <w:r w:rsidRPr="00802DDB">
        <w:tab/>
        <w:t>mak</w:t>
      </w:r>
      <w:r w:rsidR="0017490B" w:rsidRPr="00802DDB">
        <w:t>e</w:t>
      </w:r>
      <w:r w:rsidRPr="00802DDB">
        <w:t xml:space="preserve"> </w:t>
      </w:r>
      <w:r w:rsidR="00D71197" w:rsidRPr="00802DDB">
        <w:t>a decision</w:t>
      </w:r>
      <w:r w:rsidR="008C317A" w:rsidRPr="00802DDB">
        <w:t xml:space="preserve"> (however desc</w:t>
      </w:r>
      <w:r w:rsidR="00D90B86" w:rsidRPr="00802DDB">
        <w:t>r</w:t>
      </w:r>
      <w:r w:rsidR="008C317A" w:rsidRPr="00802DDB">
        <w:t>ibed)</w:t>
      </w:r>
      <w:r w:rsidR="00D71197" w:rsidRPr="00802DDB">
        <w:t>; and</w:t>
      </w:r>
    </w:p>
    <w:p w14:paraId="51B25F3D" w14:textId="77777777" w:rsidR="00D71197" w:rsidRPr="00802DDB" w:rsidRDefault="00D71197" w:rsidP="00802DDB">
      <w:pPr>
        <w:pStyle w:val="paragraph"/>
      </w:pPr>
      <w:r w:rsidRPr="00802DDB">
        <w:tab/>
        <w:t>(</w:t>
      </w:r>
      <w:r w:rsidR="00E77643" w:rsidRPr="00802DDB">
        <w:t>b</w:t>
      </w:r>
      <w:r w:rsidRPr="00802DDB">
        <w:t>)</w:t>
      </w:r>
      <w:r w:rsidRPr="00802DDB">
        <w:tab/>
        <w:t>exercis</w:t>
      </w:r>
      <w:r w:rsidR="0017490B" w:rsidRPr="00802DDB">
        <w:t>e</w:t>
      </w:r>
      <w:r w:rsidRPr="00802DDB">
        <w:t xml:space="preserve"> a power, </w:t>
      </w:r>
      <w:r w:rsidR="00A97D2A" w:rsidRPr="00802DDB">
        <w:t xml:space="preserve">perform a function, </w:t>
      </w:r>
      <w:r w:rsidRPr="00802DDB">
        <w:t>comply with an obligation or discharg</w:t>
      </w:r>
      <w:r w:rsidR="0017490B" w:rsidRPr="00802DDB">
        <w:t>e</w:t>
      </w:r>
      <w:r w:rsidRPr="00802DDB">
        <w:t xml:space="preserve"> a duty; and</w:t>
      </w:r>
    </w:p>
    <w:p w14:paraId="42FC88CB" w14:textId="77777777" w:rsidR="00D71197" w:rsidRPr="00802DDB" w:rsidRDefault="00D71197" w:rsidP="00802DDB">
      <w:pPr>
        <w:pStyle w:val="paragraph"/>
      </w:pPr>
      <w:r w:rsidRPr="00802DDB">
        <w:tab/>
        <w:t>(</w:t>
      </w:r>
      <w:r w:rsidR="00E77643" w:rsidRPr="00802DDB">
        <w:t>c</w:t>
      </w:r>
      <w:r w:rsidRPr="00802DDB">
        <w:t>)</w:t>
      </w:r>
      <w:r w:rsidRPr="00802DDB">
        <w:tab/>
        <w:t>do anything else;</w:t>
      </w:r>
    </w:p>
    <w:p w14:paraId="6D18A138" w14:textId="77777777" w:rsidR="00D71197" w:rsidRPr="00802DDB" w:rsidRDefault="00E77643" w:rsidP="00802DDB">
      <w:pPr>
        <w:pStyle w:val="Item"/>
      </w:pPr>
      <w:r w:rsidRPr="00802DDB">
        <w:t xml:space="preserve">and </w:t>
      </w:r>
      <w:r w:rsidR="00D71197" w:rsidRPr="00802DDB">
        <w:rPr>
          <w:b/>
          <w:i/>
        </w:rPr>
        <w:t>purport</w:t>
      </w:r>
      <w:r w:rsidR="002C25E8" w:rsidRPr="00802DDB">
        <w:rPr>
          <w:b/>
          <w:i/>
        </w:rPr>
        <w:t xml:space="preserve"> to do </w:t>
      </w:r>
      <w:r w:rsidR="00D71197" w:rsidRPr="00802DDB">
        <w:rPr>
          <w:b/>
          <w:i/>
        </w:rPr>
        <w:t>a thing</w:t>
      </w:r>
      <w:r w:rsidR="00D71197" w:rsidRPr="00802DDB">
        <w:t xml:space="preserve"> has a corresponding meaning.</w:t>
      </w:r>
    </w:p>
    <w:p w14:paraId="64EDDA80" w14:textId="77777777" w:rsidR="00336C6E" w:rsidRPr="00802DDB" w:rsidRDefault="0085365F" w:rsidP="00802DDB">
      <w:pPr>
        <w:pStyle w:val="Transitional"/>
      </w:pPr>
      <w:r w:rsidRPr="00802DDB">
        <w:t>3</w:t>
      </w:r>
      <w:r w:rsidR="00336C6E" w:rsidRPr="00802DDB">
        <w:t xml:space="preserve">  Application of amendments</w:t>
      </w:r>
    </w:p>
    <w:p w14:paraId="13E455C4" w14:textId="77777777" w:rsidR="00336C6E" w:rsidRPr="00802DDB" w:rsidRDefault="003B63D0" w:rsidP="00802DDB">
      <w:pPr>
        <w:pStyle w:val="Item"/>
      </w:pPr>
      <w:r w:rsidRPr="00802DDB">
        <w:t>Section 5</w:t>
      </w:r>
      <w:r w:rsidR="00B90C5D" w:rsidRPr="00802DDB">
        <w:t>AB</w:t>
      </w:r>
      <w:r w:rsidR="00F71F54" w:rsidRPr="00802DDB">
        <w:t xml:space="preserve"> </w:t>
      </w:r>
      <w:r w:rsidR="00336C6E" w:rsidRPr="00802DDB">
        <w:t xml:space="preserve">of the </w:t>
      </w:r>
      <w:r w:rsidR="00336C6E" w:rsidRPr="00802DDB">
        <w:rPr>
          <w:i/>
        </w:rPr>
        <w:t>Migration Act 1958</w:t>
      </w:r>
      <w:r w:rsidR="00336C6E" w:rsidRPr="00802DDB">
        <w:t xml:space="preserve">, as in force on and after </w:t>
      </w:r>
      <w:r w:rsidR="00E77643" w:rsidRPr="00802DDB">
        <w:t>commencement</w:t>
      </w:r>
      <w:r w:rsidR="00336C6E" w:rsidRPr="00802DDB">
        <w:t>, applies in relation to the doing of a thing</w:t>
      </w:r>
      <w:r w:rsidR="00F71F54" w:rsidRPr="00802DDB">
        <w:t xml:space="preserve"> </w:t>
      </w:r>
      <w:r w:rsidR="00336C6E" w:rsidRPr="00802DDB">
        <w:t>on or after commencement:</w:t>
      </w:r>
    </w:p>
    <w:p w14:paraId="39BAFDF2" w14:textId="77777777" w:rsidR="00336C6E" w:rsidRPr="00802DDB" w:rsidRDefault="00336C6E" w:rsidP="00802DDB">
      <w:pPr>
        <w:pStyle w:val="paragraph"/>
      </w:pPr>
      <w:r w:rsidRPr="00802DDB">
        <w:tab/>
        <w:t>(a)</w:t>
      </w:r>
      <w:r w:rsidRPr="00802DDB">
        <w:tab/>
        <w:t xml:space="preserve">whether the thing is done in relation </w:t>
      </w:r>
      <w:r w:rsidR="0085365F" w:rsidRPr="00802DDB">
        <w:t xml:space="preserve">to something else </w:t>
      </w:r>
      <w:r w:rsidR="00F71F54" w:rsidRPr="00802DDB">
        <w:t xml:space="preserve">that comes into existence or is obtained </w:t>
      </w:r>
      <w:r w:rsidRPr="00802DDB">
        <w:t>before, on or after commencement</w:t>
      </w:r>
      <w:r w:rsidR="004B3D5A" w:rsidRPr="00802DDB">
        <w:t xml:space="preserve"> (subject to </w:t>
      </w:r>
      <w:r w:rsidR="00B511B3" w:rsidRPr="00802DDB">
        <w:t>paragraph (</w:t>
      </w:r>
      <w:r w:rsidR="004B3D5A" w:rsidRPr="00802DDB">
        <w:t>c))</w:t>
      </w:r>
      <w:r w:rsidRPr="00802DDB">
        <w:t>; and</w:t>
      </w:r>
    </w:p>
    <w:p w14:paraId="55ACFA2A" w14:textId="77777777" w:rsidR="00336C6E" w:rsidRPr="00802DDB" w:rsidRDefault="00336C6E" w:rsidP="00802DDB">
      <w:pPr>
        <w:pStyle w:val="paragraph"/>
      </w:pPr>
      <w:r w:rsidRPr="00802DDB">
        <w:tab/>
        <w:t>(b)</w:t>
      </w:r>
      <w:r w:rsidRPr="00802DDB">
        <w:tab/>
      </w:r>
      <w:r w:rsidR="00F71F54" w:rsidRPr="00802DDB">
        <w:t>if the thing is done in relation to a particular person—</w:t>
      </w:r>
      <w:r w:rsidRPr="00802DDB">
        <w:t>whether the person committed, or was convicted of or sentenced for, one or more offences before, on or after commencement</w:t>
      </w:r>
      <w:r w:rsidR="00F71F54" w:rsidRPr="00802DDB">
        <w:t>; and</w:t>
      </w:r>
    </w:p>
    <w:p w14:paraId="68060182" w14:textId="77777777" w:rsidR="00F71F54" w:rsidRPr="00802DDB" w:rsidRDefault="00F71F54" w:rsidP="00802DDB">
      <w:pPr>
        <w:pStyle w:val="paragraph"/>
      </w:pPr>
      <w:r w:rsidRPr="00802DDB">
        <w:tab/>
        <w:t>(c)</w:t>
      </w:r>
      <w:r w:rsidRPr="00802DDB">
        <w:tab/>
        <w:t xml:space="preserve">if the doing of </w:t>
      </w:r>
      <w:r w:rsidRPr="00802DDB">
        <w:rPr>
          <w:lang w:eastAsia="en-US"/>
        </w:rPr>
        <w:t>the</w:t>
      </w:r>
      <w:r w:rsidRPr="00802DDB">
        <w:t xml:space="preserve"> thing </w:t>
      </w:r>
      <w:r w:rsidR="00B2755D" w:rsidRPr="00802DDB">
        <w:t>depends</w:t>
      </w:r>
      <w:r w:rsidRPr="00802DDB">
        <w:t xml:space="preserve"> on the making of an application by or on behalf of </w:t>
      </w:r>
      <w:r w:rsidR="0085365F" w:rsidRPr="00802DDB">
        <w:t xml:space="preserve">a </w:t>
      </w:r>
      <w:r w:rsidRPr="00802DDB">
        <w:t>person—even if the application was made before commencement, provided the application had not been finally determined as at commencement.</w:t>
      </w:r>
    </w:p>
    <w:p w14:paraId="4974D9C7" w14:textId="77777777" w:rsidR="00F71F54" w:rsidRPr="00802DDB" w:rsidRDefault="0085365F" w:rsidP="00802DDB">
      <w:pPr>
        <w:pStyle w:val="Transitional"/>
      </w:pPr>
      <w:r w:rsidRPr="00802DDB">
        <w:t>4</w:t>
      </w:r>
      <w:r w:rsidR="00F71F54" w:rsidRPr="00802DDB">
        <w:t xml:space="preserve">  Validation of things done before commencement</w:t>
      </w:r>
    </w:p>
    <w:p w14:paraId="22D3834F" w14:textId="77777777" w:rsidR="00452CE4" w:rsidRPr="00802DDB" w:rsidRDefault="00452CE4" w:rsidP="00802DDB">
      <w:pPr>
        <w:pStyle w:val="Subitem"/>
      </w:pPr>
      <w:r w:rsidRPr="00802DDB">
        <w:t>(1)</w:t>
      </w:r>
      <w:r w:rsidRPr="00802DDB">
        <w:tab/>
        <w:t>This item applies if a thing done, or purportedly done, before</w:t>
      </w:r>
      <w:r w:rsidR="00312BF4" w:rsidRPr="00802DDB">
        <w:t xml:space="preserve"> </w:t>
      </w:r>
      <w:r w:rsidRPr="00802DDB">
        <w:t>commencement</w:t>
      </w:r>
      <w:r w:rsidR="00312BF4" w:rsidRPr="00802DDB">
        <w:t xml:space="preserve"> </w:t>
      </w:r>
      <w:r w:rsidRPr="00802DDB">
        <w:t>under</w:t>
      </w:r>
      <w:r w:rsidR="007A6B80" w:rsidRPr="00802DDB">
        <w:t xml:space="preserve"> a law, or provision of a law, covered by </w:t>
      </w:r>
      <w:r w:rsidR="00B511B3" w:rsidRPr="00802DDB">
        <w:t>subitem (</w:t>
      </w:r>
      <w:r w:rsidR="007A6B80" w:rsidRPr="00802DDB">
        <w:t>2)</w:t>
      </w:r>
      <w:r w:rsidRPr="00802DDB">
        <w:t xml:space="preserve"> would, apart from this item, be wholly or partly invalid only because a sentence</w:t>
      </w:r>
      <w:r w:rsidR="003D5426" w:rsidRPr="00802DDB">
        <w:t>,</w:t>
      </w:r>
      <w:r w:rsidRPr="00802DDB">
        <w:t xml:space="preserve"> taken into account in doing, or purporting to do, the thing</w:t>
      </w:r>
      <w:r w:rsidR="003D5426" w:rsidRPr="00802DDB">
        <w:t>,</w:t>
      </w:r>
      <w:r w:rsidRPr="00802DDB">
        <w:t xml:space="preserve"> was imposed in respect of 2 or more offences.</w:t>
      </w:r>
    </w:p>
    <w:p w14:paraId="27612346" w14:textId="77777777" w:rsidR="007A6B80" w:rsidRPr="00802DDB" w:rsidRDefault="007A6B80" w:rsidP="00802DDB">
      <w:pPr>
        <w:pStyle w:val="Subitem"/>
      </w:pPr>
      <w:r w:rsidRPr="00802DDB">
        <w:lastRenderedPageBreak/>
        <w:t>(2)</w:t>
      </w:r>
      <w:r w:rsidRPr="00802DDB">
        <w:tab/>
        <w:t>The laws and provisions are as follows:</w:t>
      </w:r>
    </w:p>
    <w:p w14:paraId="54930966" w14:textId="77777777" w:rsidR="007A6B80" w:rsidRPr="00802DDB" w:rsidRDefault="007A6B80" w:rsidP="00802DDB">
      <w:pPr>
        <w:pStyle w:val="paragraph"/>
      </w:pPr>
      <w:r w:rsidRPr="00802DDB">
        <w:tab/>
        <w:t>(a)</w:t>
      </w:r>
      <w:r w:rsidRPr="00802DDB">
        <w:tab/>
        <w:t xml:space="preserve">the </w:t>
      </w:r>
      <w:r w:rsidRPr="00802DDB">
        <w:rPr>
          <w:i/>
        </w:rPr>
        <w:t>Migration Act 1958</w:t>
      </w:r>
      <w:r w:rsidRPr="00802DDB">
        <w:t>;</w:t>
      </w:r>
    </w:p>
    <w:p w14:paraId="27DC6725" w14:textId="77777777" w:rsidR="007A6B80" w:rsidRPr="00802DDB" w:rsidRDefault="007A6B80" w:rsidP="00802DDB">
      <w:pPr>
        <w:pStyle w:val="paragraph"/>
      </w:pPr>
      <w:r w:rsidRPr="00802DDB">
        <w:tab/>
        <w:t>(b)</w:t>
      </w:r>
      <w:r w:rsidRPr="00802DDB">
        <w:tab/>
        <w:t>any legislative instrument made under that Act;</w:t>
      </w:r>
    </w:p>
    <w:p w14:paraId="4D6DCF28" w14:textId="77777777" w:rsidR="007A6B80" w:rsidRPr="00802DDB" w:rsidRDefault="007A6B80" w:rsidP="00802DDB">
      <w:pPr>
        <w:pStyle w:val="paragraph"/>
      </w:pPr>
      <w:r w:rsidRPr="00802DDB">
        <w:tab/>
        <w:t>(c)</w:t>
      </w:r>
      <w:r w:rsidRPr="00802DDB">
        <w:tab/>
        <w:t xml:space="preserve">clauses 51 and 53 of Schedule 1 to the </w:t>
      </w:r>
      <w:r w:rsidRPr="00802DDB">
        <w:rPr>
          <w:i/>
        </w:rPr>
        <w:t>Environment Protection and Biodiversity Conservation Act 1999</w:t>
      </w:r>
      <w:r w:rsidRPr="00802DDB">
        <w:t>;</w:t>
      </w:r>
    </w:p>
    <w:p w14:paraId="08B10DC6" w14:textId="77777777" w:rsidR="007A6B80" w:rsidRPr="00802DDB" w:rsidRDefault="007A6B80" w:rsidP="00802DDB">
      <w:pPr>
        <w:pStyle w:val="paragraph"/>
      </w:pPr>
      <w:r w:rsidRPr="00802DDB">
        <w:tab/>
        <w:t>(d)</w:t>
      </w:r>
      <w:r w:rsidRPr="00802DDB">
        <w:tab/>
        <w:t xml:space="preserve">clauses 51 and 53 of Schedule 1A to the </w:t>
      </w:r>
      <w:r w:rsidRPr="00802DDB">
        <w:rPr>
          <w:i/>
        </w:rPr>
        <w:t>Fisheries Management Act 1991</w:t>
      </w:r>
      <w:r w:rsidRPr="00802DDB">
        <w:t>;</w:t>
      </w:r>
    </w:p>
    <w:p w14:paraId="0B6A090C" w14:textId="77777777" w:rsidR="007A6B80" w:rsidRPr="00802DDB" w:rsidRDefault="007A6B80" w:rsidP="00802DDB">
      <w:pPr>
        <w:pStyle w:val="paragraph"/>
      </w:pPr>
      <w:r w:rsidRPr="00802DDB">
        <w:tab/>
        <w:t>(e)</w:t>
      </w:r>
      <w:r w:rsidRPr="00802DDB">
        <w:tab/>
        <w:t xml:space="preserve">clauses 51 and 53 of Schedule 2 to the </w:t>
      </w:r>
      <w:r w:rsidRPr="00802DDB">
        <w:rPr>
          <w:i/>
        </w:rPr>
        <w:t>Torres Strait Fisheries Act 1984</w:t>
      </w:r>
      <w:r w:rsidRPr="00802DDB">
        <w:t>.</w:t>
      </w:r>
    </w:p>
    <w:p w14:paraId="7DE9D9F6" w14:textId="77777777" w:rsidR="000100A0" w:rsidRPr="00802DDB" w:rsidRDefault="000100A0" w:rsidP="00802DDB">
      <w:pPr>
        <w:pStyle w:val="notemargin"/>
      </w:pPr>
      <w:r w:rsidRPr="00802DDB">
        <w:t>Note:</w:t>
      </w:r>
      <w:r w:rsidRPr="00802DDB">
        <w:tab/>
        <w:t xml:space="preserve">The things referred to in </w:t>
      </w:r>
      <w:r w:rsidR="00B511B3" w:rsidRPr="00802DDB">
        <w:t>subitem (</w:t>
      </w:r>
      <w:r w:rsidRPr="00802DDB">
        <w:t>1) include (for example)</w:t>
      </w:r>
      <w:r w:rsidR="00145226" w:rsidRPr="00802DDB">
        <w:t xml:space="preserve"> the following</w:t>
      </w:r>
      <w:r w:rsidRPr="00802DDB">
        <w:t>:</w:t>
      </w:r>
    </w:p>
    <w:p w14:paraId="0F5BB2F3" w14:textId="77777777" w:rsidR="000100A0" w:rsidRPr="00802DDB" w:rsidRDefault="000100A0" w:rsidP="00802DDB">
      <w:pPr>
        <w:pStyle w:val="notepara"/>
        <w:ind w:left="1089"/>
      </w:pPr>
      <w:r w:rsidRPr="00802DDB">
        <w:t>(a)</w:t>
      </w:r>
      <w:r w:rsidRPr="00802DDB">
        <w:tab/>
        <w:t>deciding under</w:t>
      </w:r>
      <w:r w:rsidR="004E7692" w:rsidRPr="00802DDB">
        <w:t xml:space="preserve"> </w:t>
      </w:r>
      <w:r w:rsidR="003B63D0" w:rsidRPr="00802DDB">
        <w:t>section 5</w:t>
      </w:r>
      <w:r w:rsidRPr="00802DDB">
        <w:t xml:space="preserve">01, 501A, 501B or 501BA of the </w:t>
      </w:r>
      <w:r w:rsidRPr="00802DDB">
        <w:rPr>
          <w:i/>
        </w:rPr>
        <w:t>Migration Act 1958</w:t>
      </w:r>
      <w:r w:rsidRPr="00802DDB">
        <w:t xml:space="preserve"> to refuse to grant a visa to a person</w:t>
      </w:r>
      <w:r w:rsidR="003D5426" w:rsidRPr="00802DDB">
        <w:t>,</w:t>
      </w:r>
      <w:r w:rsidRPr="00802DDB">
        <w:t xml:space="preserve"> or to cancel a visa granted to a person;</w:t>
      </w:r>
    </w:p>
    <w:p w14:paraId="4BECBC10" w14:textId="77777777" w:rsidR="00357A3D" w:rsidRPr="00802DDB" w:rsidRDefault="00357A3D" w:rsidP="00802DDB">
      <w:pPr>
        <w:pStyle w:val="notepara"/>
        <w:ind w:left="1089"/>
      </w:pPr>
      <w:r w:rsidRPr="00802DDB">
        <w:t>(</w:t>
      </w:r>
      <w:r w:rsidR="009B26F9" w:rsidRPr="00802DDB">
        <w:t>b</w:t>
      </w:r>
      <w:r w:rsidRPr="00802DDB">
        <w:t>)</w:t>
      </w:r>
      <w:r w:rsidRPr="00802DDB">
        <w:tab/>
      </w:r>
      <w:r w:rsidR="0017490B" w:rsidRPr="00802DDB">
        <w:t xml:space="preserve">accessing </w:t>
      </w:r>
      <w:r w:rsidRPr="00802DDB">
        <w:t xml:space="preserve">information under </w:t>
      </w:r>
      <w:r w:rsidR="003B63D0" w:rsidRPr="00802DDB">
        <w:t>Division 2</w:t>
      </w:r>
      <w:r w:rsidR="0017490B" w:rsidRPr="00802DDB">
        <w:t xml:space="preserve"> of </w:t>
      </w:r>
      <w:r w:rsidR="003B63D0" w:rsidRPr="00802DDB">
        <w:t>Part 4</w:t>
      </w:r>
      <w:r w:rsidR="0017490B" w:rsidRPr="00802DDB">
        <w:t xml:space="preserve">A of that Act, or disclosing information under </w:t>
      </w:r>
      <w:r w:rsidR="003B63D0" w:rsidRPr="00802DDB">
        <w:t>Division 3</w:t>
      </w:r>
      <w:r w:rsidR="0017490B" w:rsidRPr="00802DDB">
        <w:t xml:space="preserve"> of that Part;</w:t>
      </w:r>
    </w:p>
    <w:p w14:paraId="53F79CF6" w14:textId="77777777" w:rsidR="000100A0" w:rsidRPr="00802DDB" w:rsidRDefault="000100A0" w:rsidP="00802DDB">
      <w:pPr>
        <w:pStyle w:val="notepara"/>
        <w:ind w:left="1089"/>
      </w:pPr>
      <w:r w:rsidRPr="00802DDB">
        <w:t>(c)</w:t>
      </w:r>
      <w:r w:rsidRPr="00802DDB">
        <w:tab/>
        <w:t xml:space="preserve">giving a notice under </w:t>
      </w:r>
      <w:r w:rsidR="003B63D0" w:rsidRPr="00802DDB">
        <w:t>subsection 5</w:t>
      </w:r>
      <w:r w:rsidRPr="00802DDB">
        <w:t>01L(1) of that Act;</w:t>
      </w:r>
    </w:p>
    <w:p w14:paraId="5D4D5977" w14:textId="77777777" w:rsidR="000100A0" w:rsidRPr="00802DDB" w:rsidRDefault="000100A0" w:rsidP="00802DDB">
      <w:pPr>
        <w:pStyle w:val="notepara"/>
        <w:ind w:left="1089"/>
      </w:pPr>
      <w:r w:rsidRPr="00802DDB">
        <w:t>(d)</w:t>
      </w:r>
      <w:r w:rsidRPr="00802DDB">
        <w:tab/>
        <w:t>divulging or communicating information as mentioned in subparagraph 503A(1)(a)(ii) or (b)(ii) of that Act.</w:t>
      </w:r>
    </w:p>
    <w:p w14:paraId="7B6E0ABC" w14:textId="77777777" w:rsidR="00EC587F" w:rsidRPr="00802DDB" w:rsidRDefault="0087039B" w:rsidP="00802DDB">
      <w:pPr>
        <w:pStyle w:val="Subitem"/>
      </w:pPr>
      <w:r w:rsidRPr="00802DDB">
        <w:t>(3)</w:t>
      </w:r>
      <w:r w:rsidRPr="00802DDB">
        <w:tab/>
        <w:t xml:space="preserve">The thing done, or purportedly done, is </w:t>
      </w:r>
      <w:r w:rsidR="00EC587F" w:rsidRPr="00802DDB">
        <w:t>taken for all purposes to be valid and to have always been valid</w:t>
      </w:r>
      <w:r w:rsidR="00316FC4" w:rsidRPr="00802DDB">
        <w:t>.</w:t>
      </w:r>
    </w:p>
    <w:p w14:paraId="479ECCB3" w14:textId="77777777" w:rsidR="00477340" w:rsidRPr="00802DDB" w:rsidRDefault="0087039B" w:rsidP="00802DDB">
      <w:pPr>
        <w:pStyle w:val="Subitem"/>
      </w:pPr>
      <w:r w:rsidRPr="00802DDB">
        <w:t>(4)</w:t>
      </w:r>
      <w:r w:rsidRPr="00802DDB">
        <w:tab/>
      </w:r>
      <w:r w:rsidR="00316FC4" w:rsidRPr="00802DDB">
        <w:t>T</w:t>
      </w:r>
      <w:r w:rsidRPr="00802DDB">
        <w:t>o avoid doubt</w:t>
      </w:r>
      <w:r w:rsidR="00477340" w:rsidRPr="00802DDB">
        <w:t xml:space="preserve">, </w:t>
      </w:r>
      <w:r w:rsidRPr="00802DDB">
        <w:t xml:space="preserve">anything done or purported to have been done by a person that would have been invalid except for </w:t>
      </w:r>
      <w:r w:rsidR="00B511B3" w:rsidRPr="00802DDB">
        <w:t>subitem (</w:t>
      </w:r>
      <w:r w:rsidRPr="00802DDB">
        <w:t>3)</w:t>
      </w:r>
      <w:r w:rsidR="00477340" w:rsidRPr="00802DDB">
        <w:t xml:space="preserve"> is taken for all purposes to be valid and to have always been valid</w:t>
      </w:r>
      <w:r w:rsidRPr="00802DDB">
        <w:t>, despite any effect that may have on the accrued rights of any person</w:t>
      </w:r>
      <w:r w:rsidR="00477340" w:rsidRPr="00802DDB">
        <w:t>.</w:t>
      </w:r>
    </w:p>
    <w:p w14:paraId="321FD95A" w14:textId="77777777" w:rsidR="00477340" w:rsidRPr="00802DDB" w:rsidRDefault="00477340" w:rsidP="00802DDB">
      <w:pPr>
        <w:pStyle w:val="Subitem"/>
      </w:pPr>
      <w:r w:rsidRPr="00802DDB">
        <w:t>(5)</w:t>
      </w:r>
      <w:r w:rsidRPr="00802DDB">
        <w:tab/>
      </w:r>
      <w:r w:rsidR="00316FC4" w:rsidRPr="00802DDB">
        <w:t>For the purposes of applying this item in relation to civil or criminal proceedings, t</w:t>
      </w:r>
      <w:r w:rsidRPr="00802DDB">
        <w:t>his item applies in relation to:</w:t>
      </w:r>
    </w:p>
    <w:p w14:paraId="0AE221DF" w14:textId="77777777" w:rsidR="00477340" w:rsidRPr="00802DDB" w:rsidRDefault="00477340" w:rsidP="00802DDB">
      <w:pPr>
        <w:pStyle w:val="paragraph"/>
      </w:pPr>
      <w:r w:rsidRPr="00802DDB">
        <w:tab/>
        <w:t>(a)</w:t>
      </w:r>
      <w:r w:rsidRPr="00802DDB">
        <w:tab/>
        <w:t>civil and criminal proceedings instituted on or after commencement</w:t>
      </w:r>
      <w:r w:rsidR="00312BF4" w:rsidRPr="00802DDB">
        <w:t>;</w:t>
      </w:r>
      <w:r w:rsidRPr="00802DDB">
        <w:t xml:space="preserve"> and</w:t>
      </w:r>
    </w:p>
    <w:p w14:paraId="203A2920" w14:textId="77777777" w:rsidR="00285A49" w:rsidRPr="00802DDB" w:rsidRDefault="00477340" w:rsidP="00802DDB">
      <w:pPr>
        <w:pStyle w:val="paragraph"/>
      </w:pPr>
      <w:r w:rsidRPr="00802DDB">
        <w:tab/>
        <w:t>(b)</w:t>
      </w:r>
      <w:r w:rsidRPr="00802DDB">
        <w:tab/>
        <w:t xml:space="preserve">civil and criminal proceedings instituted before commencement, </w:t>
      </w:r>
      <w:r w:rsidR="00285A49" w:rsidRPr="00802DDB">
        <w:t>being proceedings that are concluded:</w:t>
      </w:r>
    </w:p>
    <w:p w14:paraId="7248848B" w14:textId="77777777" w:rsidR="00285A49" w:rsidRPr="00802DDB" w:rsidRDefault="00285A49" w:rsidP="00802DDB">
      <w:pPr>
        <w:pStyle w:val="paragraphsub"/>
      </w:pPr>
      <w:r w:rsidRPr="00802DDB">
        <w:tab/>
        <w:t>(</w:t>
      </w:r>
      <w:proofErr w:type="spellStart"/>
      <w:r w:rsidRPr="00802DDB">
        <w:t>i</w:t>
      </w:r>
      <w:proofErr w:type="spellEnd"/>
      <w:r w:rsidRPr="00802DDB">
        <w:t>)</w:t>
      </w:r>
      <w:r w:rsidRPr="00802DDB">
        <w:tab/>
        <w:t>before commencement; or</w:t>
      </w:r>
    </w:p>
    <w:p w14:paraId="6311B31E" w14:textId="77777777" w:rsidR="00285A49" w:rsidRPr="00802DDB" w:rsidRDefault="00285A49" w:rsidP="00802DDB">
      <w:pPr>
        <w:pStyle w:val="paragraphsub"/>
      </w:pPr>
      <w:r w:rsidRPr="00802DDB">
        <w:tab/>
        <w:t>(ii)</w:t>
      </w:r>
      <w:r w:rsidRPr="00802DDB">
        <w:tab/>
        <w:t>on or after commencement.</w:t>
      </w:r>
    </w:p>
    <w:p w14:paraId="39117205" w14:textId="77777777" w:rsidR="00FC28C7" w:rsidRPr="00802DDB" w:rsidRDefault="00204A07" w:rsidP="00802DDB">
      <w:pPr>
        <w:pStyle w:val="Transitional"/>
      </w:pPr>
      <w:r w:rsidRPr="00802DDB">
        <w:t>5  Effect of validation on review and appeal rights</w:t>
      </w:r>
    </w:p>
    <w:p w14:paraId="6D5007C6" w14:textId="77777777" w:rsidR="00EC618A" w:rsidRPr="00802DDB" w:rsidRDefault="00EC618A" w:rsidP="00802DDB">
      <w:pPr>
        <w:pStyle w:val="SubitemHead"/>
      </w:pPr>
      <w:r w:rsidRPr="00802DDB">
        <w:t>Taking action after commencement where no action taken before commencement</w:t>
      </w:r>
    </w:p>
    <w:p w14:paraId="32472E97" w14:textId="77777777" w:rsidR="00025B99" w:rsidRPr="00802DDB" w:rsidRDefault="008E07C7" w:rsidP="00802DDB">
      <w:pPr>
        <w:pStyle w:val="Subitem"/>
      </w:pPr>
      <w:r w:rsidRPr="00802DDB">
        <w:t>(</w:t>
      </w:r>
      <w:r w:rsidR="0090787D" w:rsidRPr="00802DDB">
        <w:t>1</w:t>
      </w:r>
      <w:r w:rsidRPr="00802DDB">
        <w:t>)</w:t>
      </w:r>
      <w:r w:rsidRPr="00802DDB">
        <w:tab/>
        <w:t>If</w:t>
      </w:r>
      <w:r w:rsidR="00025B99" w:rsidRPr="00802DDB">
        <w:t>:</w:t>
      </w:r>
    </w:p>
    <w:p w14:paraId="6FD333D7" w14:textId="77777777" w:rsidR="00483247" w:rsidRPr="00802DDB" w:rsidRDefault="00025B99" w:rsidP="00802DDB">
      <w:pPr>
        <w:pStyle w:val="paragraph"/>
      </w:pPr>
      <w:r w:rsidRPr="00802DDB">
        <w:lastRenderedPageBreak/>
        <w:tab/>
        <w:t>(a)</w:t>
      </w:r>
      <w:r w:rsidRPr="00802DDB">
        <w:tab/>
      </w:r>
      <w:r w:rsidR="00312BF4" w:rsidRPr="00802DDB">
        <w:t>o</w:t>
      </w:r>
      <w:r w:rsidR="00F767C5" w:rsidRPr="00802DDB">
        <w:t>ne or more p</w:t>
      </w:r>
      <w:r w:rsidR="00A56016" w:rsidRPr="00802DDB">
        <w:t>rovision</w:t>
      </w:r>
      <w:r w:rsidR="00F767C5" w:rsidRPr="00802DDB">
        <w:t>s</w:t>
      </w:r>
      <w:r w:rsidR="00A56016" w:rsidRPr="00802DDB">
        <w:t xml:space="preserve"> of </w:t>
      </w:r>
      <w:r w:rsidR="008E07C7" w:rsidRPr="00802DDB">
        <w:t xml:space="preserve">the </w:t>
      </w:r>
      <w:r w:rsidR="008E07C7" w:rsidRPr="00802DDB">
        <w:rPr>
          <w:i/>
        </w:rPr>
        <w:t>Migration Act 1958</w:t>
      </w:r>
      <w:r w:rsidR="008E07C7" w:rsidRPr="00802DDB">
        <w:t xml:space="preserve"> </w:t>
      </w:r>
      <w:r w:rsidR="00646CDE" w:rsidRPr="00802DDB">
        <w:t xml:space="preserve">or </w:t>
      </w:r>
      <w:r w:rsidR="00311C5C" w:rsidRPr="00802DDB">
        <w:t xml:space="preserve">the </w:t>
      </w:r>
      <w:r w:rsidR="00311C5C" w:rsidRPr="00802DDB">
        <w:rPr>
          <w:i/>
        </w:rPr>
        <w:t xml:space="preserve">Migration </w:t>
      </w:r>
      <w:r w:rsidR="00B511B3" w:rsidRPr="00802DDB">
        <w:rPr>
          <w:i/>
        </w:rPr>
        <w:t>Regulations 1</w:t>
      </w:r>
      <w:r w:rsidR="00311C5C" w:rsidRPr="00802DDB">
        <w:rPr>
          <w:i/>
        </w:rPr>
        <w:t>994</w:t>
      </w:r>
      <w:r w:rsidR="00311C5C" w:rsidRPr="00802DDB">
        <w:t xml:space="preserve"> </w:t>
      </w:r>
      <w:r w:rsidR="00F767C5" w:rsidRPr="00802DDB">
        <w:t xml:space="preserve">have the effect that </w:t>
      </w:r>
      <w:r w:rsidR="00B96A46" w:rsidRPr="00802DDB">
        <w:t xml:space="preserve">a person </w:t>
      </w:r>
      <w:r w:rsidR="00312BF4" w:rsidRPr="00802DDB">
        <w:t xml:space="preserve">is able to </w:t>
      </w:r>
      <w:r w:rsidR="00B96A46" w:rsidRPr="00802DDB">
        <w:t xml:space="preserve">take </w:t>
      </w:r>
      <w:r w:rsidR="00F56192" w:rsidRPr="00802DDB">
        <w:t xml:space="preserve">any of </w:t>
      </w:r>
      <w:r w:rsidR="00B96A46" w:rsidRPr="00802DDB">
        <w:t>the following action</w:t>
      </w:r>
      <w:r w:rsidR="00A97D2A" w:rsidRPr="00802DDB">
        <w:t>s</w:t>
      </w:r>
      <w:r w:rsidR="00B96A46" w:rsidRPr="00802DDB">
        <w:t xml:space="preserve"> in relation to a validated decision only </w:t>
      </w:r>
      <w:r w:rsidR="00075129" w:rsidRPr="00802DDB">
        <w:t>during</w:t>
      </w:r>
      <w:r w:rsidR="00F767C5" w:rsidRPr="00802DDB">
        <w:t xml:space="preserve"> a particular period</w:t>
      </w:r>
      <w:r w:rsidR="00F56192" w:rsidRPr="00802DDB">
        <w:t xml:space="preserve"> (the </w:t>
      </w:r>
      <w:r w:rsidR="00F56192" w:rsidRPr="00802DDB">
        <w:rPr>
          <w:b/>
          <w:i/>
        </w:rPr>
        <w:t>original period</w:t>
      </w:r>
      <w:r w:rsidR="00F56192" w:rsidRPr="00802DDB">
        <w:t>)</w:t>
      </w:r>
      <w:r w:rsidR="00312BF4" w:rsidRPr="00802DDB">
        <w:t>:</w:t>
      </w:r>
    </w:p>
    <w:p w14:paraId="1478A8E8" w14:textId="77777777" w:rsidR="00311C5C" w:rsidRPr="00802DDB" w:rsidRDefault="00311C5C" w:rsidP="00802DDB">
      <w:pPr>
        <w:pStyle w:val="paragraphsub"/>
      </w:pPr>
      <w:r w:rsidRPr="00802DDB">
        <w:tab/>
        <w:t>(</w:t>
      </w:r>
      <w:proofErr w:type="spellStart"/>
      <w:r w:rsidRPr="00802DDB">
        <w:t>i</w:t>
      </w:r>
      <w:proofErr w:type="spellEnd"/>
      <w:r w:rsidRPr="00802DDB">
        <w:t>)</w:t>
      </w:r>
      <w:r w:rsidRPr="00802DDB">
        <w:tab/>
        <w:t>mak</w:t>
      </w:r>
      <w:r w:rsidR="00F767C5" w:rsidRPr="00802DDB">
        <w:t>ing</w:t>
      </w:r>
      <w:r w:rsidRPr="00802DDB">
        <w:t xml:space="preserve"> representations</w:t>
      </w:r>
      <w:r w:rsidR="00F767C5" w:rsidRPr="00802DDB">
        <w:t xml:space="preserve"> about the revocation of the decision;</w:t>
      </w:r>
    </w:p>
    <w:p w14:paraId="73F49209" w14:textId="77777777" w:rsidR="00483247" w:rsidRPr="00802DDB" w:rsidRDefault="00483247" w:rsidP="00802DDB">
      <w:pPr>
        <w:pStyle w:val="paragraphsub"/>
      </w:pPr>
      <w:r w:rsidRPr="00802DDB">
        <w:tab/>
        <w:t>(i</w:t>
      </w:r>
      <w:r w:rsidR="00F767C5" w:rsidRPr="00802DDB">
        <w:t>i</w:t>
      </w:r>
      <w:r w:rsidRPr="00802DDB">
        <w:t>)</w:t>
      </w:r>
      <w:r w:rsidRPr="00802DDB">
        <w:tab/>
      </w:r>
      <w:r w:rsidR="00B03556" w:rsidRPr="00802DDB">
        <w:t>apply</w:t>
      </w:r>
      <w:r w:rsidR="00060DC7" w:rsidRPr="00802DDB">
        <w:t>ing</w:t>
      </w:r>
      <w:r w:rsidR="00B03556" w:rsidRPr="00802DDB">
        <w:t xml:space="preserve"> for the revocation or review of</w:t>
      </w:r>
      <w:r w:rsidR="00F767C5" w:rsidRPr="00802DDB">
        <w:t xml:space="preserve"> the</w:t>
      </w:r>
      <w:r w:rsidRPr="00802DDB">
        <w:t xml:space="preserve"> decision;</w:t>
      </w:r>
    </w:p>
    <w:p w14:paraId="08936799" w14:textId="77777777" w:rsidR="0090787D" w:rsidRPr="00802DDB" w:rsidRDefault="00483247" w:rsidP="00802DDB">
      <w:pPr>
        <w:pStyle w:val="paragraphsub"/>
      </w:pPr>
      <w:r w:rsidRPr="00802DDB">
        <w:tab/>
        <w:t>(ii</w:t>
      </w:r>
      <w:r w:rsidR="00060DC7" w:rsidRPr="00802DDB">
        <w:t>i</w:t>
      </w:r>
      <w:r w:rsidRPr="00802DDB">
        <w:t>)</w:t>
      </w:r>
      <w:r w:rsidRPr="00802DDB">
        <w:tab/>
      </w:r>
      <w:r w:rsidR="00060DC7" w:rsidRPr="00802DDB">
        <w:t>bringing</w:t>
      </w:r>
      <w:r w:rsidR="008E07C7" w:rsidRPr="00802DDB">
        <w:t xml:space="preserve"> an appeal against </w:t>
      </w:r>
      <w:r w:rsidR="00B96A46" w:rsidRPr="00802DDB">
        <w:t>the</w:t>
      </w:r>
      <w:r w:rsidR="0090787D" w:rsidRPr="00802DDB">
        <w:t xml:space="preserve"> </w:t>
      </w:r>
      <w:r w:rsidR="008E07C7" w:rsidRPr="00802DDB">
        <w:t>decision</w:t>
      </w:r>
      <w:r w:rsidR="0090787D" w:rsidRPr="00802DDB">
        <w:t>;</w:t>
      </w:r>
    </w:p>
    <w:p w14:paraId="19FA03AB" w14:textId="77777777" w:rsidR="00060DC7" w:rsidRPr="00802DDB" w:rsidRDefault="00060DC7" w:rsidP="00802DDB">
      <w:pPr>
        <w:pStyle w:val="paragraphsub"/>
      </w:pPr>
      <w:r w:rsidRPr="00802DDB">
        <w:tab/>
        <w:t>(iv)</w:t>
      </w:r>
      <w:r w:rsidRPr="00802DDB">
        <w:tab/>
      </w:r>
      <w:r w:rsidR="001B6EEA" w:rsidRPr="00802DDB">
        <w:t>applying to a court for a remedy in relation to the decision;</w:t>
      </w:r>
    </w:p>
    <w:p w14:paraId="276B7B9B" w14:textId="77777777" w:rsidR="001B6EEA" w:rsidRPr="00802DDB" w:rsidRDefault="001B6EEA" w:rsidP="00802DDB">
      <w:pPr>
        <w:pStyle w:val="paragraphsub"/>
      </w:pPr>
      <w:r w:rsidRPr="00802DDB">
        <w:tab/>
        <w:t>(v)</w:t>
      </w:r>
      <w:r w:rsidRPr="00802DDB">
        <w:tab/>
        <w:t>taking any other action for the purpose of having the decision varied, revoked, quashed or set aside; and</w:t>
      </w:r>
    </w:p>
    <w:p w14:paraId="6171C3E5" w14:textId="77777777" w:rsidR="00025B99" w:rsidRPr="00802DDB" w:rsidRDefault="00025B99" w:rsidP="00802DDB">
      <w:pPr>
        <w:pStyle w:val="paragraph"/>
      </w:pPr>
      <w:r w:rsidRPr="00802DDB">
        <w:tab/>
        <w:t>(b)</w:t>
      </w:r>
      <w:r w:rsidRPr="00802DDB">
        <w:tab/>
        <w:t xml:space="preserve">the </w:t>
      </w:r>
      <w:r w:rsidR="00F56192" w:rsidRPr="00802DDB">
        <w:t xml:space="preserve">original </w:t>
      </w:r>
      <w:r w:rsidRPr="00802DDB">
        <w:t>period</w:t>
      </w:r>
      <w:r w:rsidR="00715518" w:rsidRPr="00802DDB">
        <w:t xml:space="preserve"> </w:t>
      </w:r>
      <w:r w:rsidR="00F56192" w:rsidRPr="00802DDB">
        <w:t>start</w:t>
      </w:r>
      <w:r w:rsidR="008C317A" w:rsidRPr="00802DDB">
        <w:t>ed</w:t>
      </w:r>
      <w:r w:rsidR="00F56192" w:rsidRPr="00802DDB">
        <w:t xml:space="preserve"> before commencement and did not end </w:t>
      </w:r>
      <w:r w:rsidR="00FC3E5E" w:rsidRPr="00802DDB">
        <w:t xml:space="preserve">before </w:t>
      </w:r>
      <w:r w:rsidR="00B511B3" w:rsidRPr="00802DDB">
        <w:t>22 December</w:t>
      </w:r>
      <w:r w:rsidRPr="00802DDB">
        <w:t xml:space="preserve"> 2022;</w:t>
      </w:r>
      <w:r w:rsidR="00D43506" w:rsidRPr="00802DDB">
        <w:t xml:space="preserve"> and</w:t>
      </w:r>
    </w:p>
    <w:p w14:paraId="6475192E" w14:textId="77777777" w:rsidR="00B350D8" w:rsidRPr="00802DDB" w:rsidRDefault="00D43506" w:rsidP="00802DDB">
      <w:pPr>
        <w:pStyle w:val="paragraph"/>
      </w:pPr>
      <w:r w:rsidRPr="00802DDB">
        <w:tab/>
        <w:t>(c)</w:t>
      </w:r>
      <w:r w:rsidRPr="00802DDB">
        <w:tab/>
      </w:r>
      <w:r w:rsidR="00715518" w:rsidRPr="00802DDB">
        <w:t xml:space="preserve">the person </w:t>
      </w:r>
      <w:r w:rsidR="00F56192" w:rsidRPr="00802DDB">
        <w:t>did not</w:t>
      </w:r>
      <w:r w:rsidR="00B350D8" w:rsidRPr="00802DDB">
        <w:t xml:space="preserve"> take the action before commencement;</w:t>
      </w:r>
    </w:p>
    <w:p w14:paraId="7B53F69D" w14:textId="77777777" w:rsidR="00B96A46" w:rsidRPr="00802DDB" w:rsidRDefault="00025B99" w:rsidP="00802DDB">
      <w:pPr>
        <w:pStyle w:val="Item"/>
      </w:pPr>
      <w:r w:rsidRPr="00802DDB">
        <w:t xml:space="preserve">then </w:t>
      </w:r>
      <w:r w:rsidR="00B03556" w:rsidRPr="00802DDB">
        <w:t>th</w:t>
      </w:r>
      <w:r w:rsidR="0015319D" w:rsidRPr="00802DDB">
        <w:t xml:space="preserve">e person may take the action </w:t>
      </w:r>
      <w:r w:rsidR="00B350D8" w:rsidRPr="00802DDB">
        <w:t xml:space="preserve">on </w:t>
      </w:r>
      <w:r w:rsidR="0015319D" w:rsidRPr="00802DDB">
        <w:t>or</w:t>
      </w:r>
      <w:r w:rsidR="00274A43" w:rsidRPr="00802DDB">
        <w:t xml:space="preserve"> after commencement</w:t>
      </w:r>
      <w:r w:rsidR="00312BF4" w:rsidRPr="00802DDB">
        <w:t xml:space="preserve"> </w:t>
      </w:r>
      <w:r w:rsidR="00274A43" w:rsidRPr="00802DDB">
        <w:t>as if th</w:t>
      </w:r>
      <w:r w:rsidR="00B96A46" w:rsidRPr="00802DDB">
        <w:t>e period for taking the action:</w:t>
      </w:r>
    </w:p>
    <w:p w14:paraId="5F28DD5E" w14:textId="77777777" w:rsidR="00B96A46" w:rsidRPr="00802DDB" w:rsidRDefault="00B96A46" w:rsidP="00802DDB">
      <w:pPr>
        <w:pStyle w:val="paragraph"/>
      </w:pPr>
      <w:r w:rsidRPr="00802DDB">
        <w:tab/>
        <w:t>(d)</w:t>
      </w:r>
      <w:r w:rsidRPr="00802DDB">
        <w:tab/>
      </w:r>
      <w:r w:rsidR="00274A43" w:rsidRPr="00802DDB">
        <w:t xml:space="preserve">started </w:t>
      </w:r>
      <w:r w:rsidR="001B6EEA" w:rsidRPr="00802DDB">
        <w:t>on commencement</w:t>
      </w:r>
      <w:r w:rsidRPr="00802DDB">
        <w:t>;</w:t>
      </w:r>
      <w:r w:rsidR="00274A43" w:rsidRPr="00802DDB">
        <w:t xml:space="preserve"> and</w:t>
      </w:r>
    </w:p>
    <w:p w14:paraId="3DC15490" w14:textId="77777777" w:rsidR="00F56192" w:rsidRPr="00802DDB" w:rsidRDefault="00B96A46" w:rsidP="00802DDB">
      <w:pPr>
        <w:pStyle w:val="paragraph"/>
      </w:pPr>
      <w:r w:rsidRPr="00802DDB">
        <w:tab/>
        <w:t>(e)</w:t>
      </w:r>
      <w:r w:rsidRPr="00802DDB">
        <w:tab/>
      </w:r>
      <w:r w:rsidR="00274A43" w:rsidRPr="00802DDB">
        <w:t xml:space="preserve">were the </w:t>
      </w:r>
      <w:r w:rsidRPr="00802DDB">
        <w:t xml:space="preserve">same length as </w:t>
      </w:r>
      <w:r w:rsidR="00FC3E5E" w:rsidRPr="00802DDB">
        <w:t xml:space="preserve">the </w:t>
      </w:r>
      <w:r w:rsidR="00F56192" w:rsidRPr="00802DDB">
        <w:t>original period.</w:t>
      </w:r>
    </w:p>
    <w:p w14:paraId="3CD5E3FE" w14:textId="77777777" w:rsidR="006F1541" w:rsidRPr="00802DDB" w:rsidRDefault="006F1541" w:rsidP="00802DDB">
      <w:pPr>
        <w:pStyle w:val="notemargin"/>
      </w:pPr>
      <w:r w:rsidRPr="00802DDB">
        <w:t>Note:</w:t>
      </w:r>
      <w:r w:rsidRPr="00802DDB">
        <w:tab/>
      </w:r>
      <w:r w:rsidR="00B511B3" w:rsidRPr="00802DDB">
        <w:t>22 December</w:t>
      </w:r>
      <w:r w:rsidRPr="00802DDB">
        <w:t xml:space="preserve"> 2022 is the day the Full Court of the Federal Court of Australia gave judgment in</w:t>
      </w:r>
      <w:r w:rsidRPr="00802DDB">
        <w:rPr>
          <w:i/>
        </w:rPr>
        <w:t xml:space="preserve"> Pearson v Minister for Home Affairs</w:t>
      </w:r>
      <w:r w:rsidRPr="00802DDB">
        <w:t xml:space="preserve"> [2022] FCAFC 203.</w:t>
      </w:r>
    </w:p>
    <w:p w14:paraId="74984C48" w14:textId="77777777" w:rsidR="00EC618A" w:rsidRPr="00802DDB" w:rsidRDefault="00EC618A" w:rsidP="00802DDB">
      <w:pPr>
        <w:pStyle w:val="SubitemHead"/>
      </w:pPr>
      <w:r w:rsidRPr="00802DDB">
        <w:t xml:space="preserve">Opportunity to take fresh action after commencement where action of the same kind </w:t>
      </w:r>
      <w:r w:rsidR="00B353EE" w:rsidRPr="00802DDB">
        <w:t>discontinued</w:t>
      </w:r>
      <w:r w:rsidR="00A80083" w:rsidRPr="00802DDB">
        <w:t xml:space="preserve"> etc.</w:t>
      </w:r>
      <w:r w:rsidR="00B353EE" w:rsidRPr="00802DDB">
        <w:t xml:space="preserve"> before commencement</w:t>
      </w:r>
    </w:p>
    <w:p w14:paraId="11B34B2A" w14:textId="77777777" w:rsidR="006F1541" w:rsidRPr="00802DDB" w:rsidRDefault="006F1541" w:rsidP="00802DDB">
      <w:pPr>
        <w:pStyle w:val="Subitem"/>
      </w:pPr>
      <w:r w:rsidRPr="00802DDB">
        <w:t>(</w:t>
      </w:r>
      <w:r w:rsidR="00A97D2A" w:rsidRPr="00802DDB">
        <w:t>2</w:t>
      </w:r>
      <w:r w:rsidRPr="00802DDB">
        <w:t>)</w:t>
      </w:r>
      <w:r w:rsidRPr="00802DDB">
        <w:tab/>
        <w:t>If:</w:t>
      </w:r>
    </w:p>
    <w:p w14:paraId="2657380A" w14:textId="77777777" w:rsidR="003E2DF6" w:rsidRPr="00802DDB" w:rsidRDefault="006F1541" w:rsidP="00802DDB">
      <w:pPr>
        <w:pStyle w:val="paragraph"/>
      </w:pPr>
      <w:r w:rsidRPr="00802DDB">
        <w:tab/>
        <w:t>(a)</w:t>
      </w:r>
      <w:r w:rsidRPr="00802DDB">
        <w:tab/>
        <w:t>before commencement</w:t>
      </w:r>
      <w:r w:rsidR="00B350D8" w:rsidRPr="00802DDB">
        <w:t>,</w:t>
      </w:r>
      <w:r w:rsidRPr="00802DDB">
        <w:t xml:space="preserve"> a person</w:t>
      </w:r>
      <w:r w:rsidR="003E2DF6" w:rsidRPr="00802DDB">
        <w:t xml:space="preserve"> took any of the following </w:t>
      </w:r>
      <w:r w:rsidR="00FC28C7" w:rsidRPr="00802DDB">
        <w:t xml:space="preserve">kinds of </w:t>
      </w:r>
      <w:r w:rsidR="003E2DF6" w:rsidRPr="00802DDB">
        <w:t>action</w:t>
      </w:r>
      <w:r w:rsidR="00B350D8" w:rsidRPr="00802DDB">
        <w:t xml:space="preserve"> (the </w:t>
      </w:r>
      <w:r w:rsidR="00B350D8" w:rsidRPr="00802DDB">
        <w:rPr>
          <w:b/>
          <w:i/>
        </w:rPr>
        <w:t>pre</w:t>
      </w:r>
      <w:r w:rsidR="00802DDB">
        <w:rPr>
          <w:b/>
          <w:i/>
        </w:rPr>
        <w:noBreakHyphen/>
      </w:r>
      <w:r w:rsidR="00B350D8" w:rsidRPr="00802DDB">
        <w:rPr>
          <w:b/>
          <w:i/>
        </w:rPr>
        <w:t>commencement action</w:t>
      </w:r>
      <w:r w:rsidR="00B350D8" w:rsidRPr="00802DDB">
        <w:t>)</w:t>
      </w:r>
      <w:r w:rsidR="003E2DF6" w:rsidRPr="00802DDB">
        <w:t xml:space="preserve"> in relation to a validated decision:</w:t>
      </w:r>
    </w:p>
    <w:p w14:paraId="7B0DB0CB" w14:textId="77777777" w:rsidR="0070388A" w:rsidRPr="00802DDB" w:rsidRDefault="0070388A" w:rsidP="00802DDB">
      <w:pPr>
        <w:pStyle w:val="paragraphsub"/>
      </w:pPr>
      <w:r w:rsidRPr="00802DDB">
        <w:tab/>
        <w:t>(</w:t>
      </w:r>
      <w:proofErr w:type="spellStart"/>
      <w:r w:rsidRPr="00802DDB">
        <w:t>i</w:t>
      </w:r>
      <w:proofErr w:type="spellEnd"/>
      <w:r w:rsidRPr="00802DDB">
        <w:t>)</w:t>
      </w:r>
      <w:r w:rsidRPr="00802DDB">
        <w:tab/>
        <w:t>making representations about the revocation of the decision;</w:t>
      </w:r>
    </w:p>
    <w:p w14:paraId="574461CB" w14:textId="77777777" w:rsidR="003E2DF6" w:rsidRPr="00802DDB" w:rsidRDefault="003E2DF6" w:rsidP="00802DDB">
      <w:pPr>
        <w:pStyle w:val="paragraphsub"/>
      </w:pPr>
      <w:r w:rsidRPr="00802DDB">
        <w:tab/>
        <w:t>(i</w:t>
      </w:r>
      <w:r w:rsidR="0070388A" w:rsidRPr="00802DDB">
        <w:t>i</w:t>
      </w:r>
      <w:r w:rsidRPr="00802DDB">
        <w:t>)</w:t>
      </w:r>
      <w:r w:rsidRPr="00802DDB">
        <w:tab/>
        <w:t>applying for the revocation or review of the decision;</w:t>
      </w:r>
    </w:p>
    <w:p w14:paraId="756880EF" w14:textId="77777777" w:rsidR="003E2DF6" w:rsidRPr="00802DDB" w:rsidRDefault="003E2DF6" w:rsidP="00802DDB">
      <w:pPr>
        <w:pStyle w:val="paragraphsub"/>
      </w:pPr>
      <w:r w:rsidRPr="00802DDB">
        <w:tab/>
        <w:t>(ii</w:t>
      </w:r>
      <w:r w:rsidR="0070388A" w:rsidRPr="00802DDB">
        <w:t>i</w:t>
      </w:r>
      <w:r w:rsidRPr="00802DDB">
        <w:t>)</w:t>
      </w:r>
      <w:r w:rsidRPr="00802DDB">
        <w:tab/>
        <w:t>bringing an appeal against the decision;</w:t>
      </w:r>
    </w:p>
    <w:p w14:paraId="45274902" w14:textId="77777777" w:rsidR="003E2DF6" w:rsidRPr="00802DDB" w:rsidRDefault="003E2DF6" w:rsidP="00802DDB">
      <w:pPr>
        <w:pStyle w:val="paragraphsub"/>
      </w:pPr>
      <w:r w:rsidRPr="00802DDB">
        <w:tab/>
        <w:t>(i</w:t>
      </w:r>
      <w:r w:rsidR="0070388A" w:rsidRPr="00802DDB">
        <w:t>v</w:t>
      </w:r>
      <w:r w:rsidRPr="00802DDB">
        <w:t>)</w:t>
      </w:r>
      <w:r w:rsidRPr="00802DDB">
        <w:tab/>
        <w:t>applying to a court for a remedy in relation to the decision;</w:t>
      </w:r>
    </w:p>
    <w:p w14:paraId="0F28B90E" w14:textId="77777777" w:rsidR="003E2DF6" w:rsidRPr="00802DDB" w:rsidRDefault="003E2DF6" w:rsidP="00802DDB">
      <w:pPr>
        <w:pStyle w:val="paragraphsub"/>
      </w:pPr>
      <w:r w:rsidRPr="00802DDB">
        <w:tab/>
        <w:t>(v)</w:t>
      </w:r>
      <w:r w:rsidRPr="00802DDB">
        <w:tab/>
        <w:t>taking any other action for the purpose of having the decision varied, revoked, quashed or set aside; and</w:t>
      </w:r>
    </w:p>
    <w:p w14:paraId="28501412" w14:textId="77777777" w:rsidR="0070388A" w:rsidRPr="00802DDB" w:rsidRDefault="006F1541" w:rsidP="00802DDB">
      <w:pPr>
        <w:pStyle w:val="paragraph"/>
      </w:pPr>
      <w:r w:rsidRPr="00802DDB">
        <w:lastRenderedPageBreak/>
        <w:tab/>
        <w:t>(b)</w:t>
      </w:r>
      <w:r w:rsidRPr="00802DDB">
        <w:tab/>
      </w:r>
      <w:r w:rsidR="0070388A" w:rsidRPr="00802DDB">
        <w:t>any of the following events occurred during the period starting on 22 December 2022 and ending at commencement:</w:t>
      </w:r>
    </w:p>
    <w:p w14:paraId="231EC30B" w14:textId="77777777" w:rsidR="0070388A" w:rsidRPr="00802DDB" w:rsidRDefault="0070388A" w:rsidP="00802DDB">
      <w:pPr>
        <w:pStyle w:val="paragraphsub"/>
      </w:pPr>
      <w:r w:rsidRPr="00802DDB">
        <w:tab/>
        <w:t>(</w:t>
      </w:r>
      <w:proofErr w:type="spellStart"/>
      <w:r w:rsidRPr="00802DDB">
        <w:t>i</w:t>
      </w:r>
      <w:proofErr w:type="spellEnd"/>
      <w:r w:rsidRPr="00802DDB">
        <w:t>)</w:t>
      </w:r>
      <w:r w:rsidRPr="00802DDB">
        <w:tab/>
        <w:t xml:space="preserve">the representations were, or the </w:t>
      </w:r>
      <w:r w:rsidR="006F1541" w:rsidRPr="00802DDB">
        <w:t>application</w:t>
      </w:r>
      <w:r w:rsidR="003E2DF6" w:rsidRPr="00802DDB">
        <w:t>,</w:t>
      </w:r>
      <w:r w:rsidR="006F1541" w:rsidRPr="00802DDB">
        <w:t xml:space="preserve"> appeal </w:t>
      </w:r>
      <w:r w:rsidR="003E2DF6" w:rsidRPr="00802DDB">
        <w:t xml:space="preserve">or other action </w:t>
      </w:r>
      <w:r w:rsidR="006F1541" w:rsidRPr="00802DDB">
        <w:t>was</w:t>
      </w:r>
      <w:r w:rsidRPr="00802DDB">
        <w:t>, withdrawn or otherwise discontinued by the person;</w:t>
      </w:r>
    </w:p>
    <w:p w14:paraId="6E2D41ED" w14:textId="77777777" w:rsidR="0070388A" w:rsidRPr="00802DDB" w:rsidRDefault="0070388A" w:rsidP="00802DDB">
      <w:pPr>
        <w:pStyle w:val="paragraphsub"/>
      </w:pPr>
      <w:r w:rsidRPr="00802DDB">
        <w:tab/>
        <w:t>(ii)</w:t>
      </w:r>
      <w:r w:rsidRPr="00802DDB">
        <w:tab/>
        <w:t>the representations were, or the application, appeal or other action was, dismissed</w:t>
      </w:r>
      <w:r w:rsidR="00F00F07" w:rsidRPr="00802DDB">
        <w:t>,</w:t>
      </w:r>
      <w:r w:rsidRPr="00802DDB">
        <w:t xml:space="preserve"> refused </w:t>
      </w:r>
      <w:r w:rsidR="00F00F07" w:rsidRPr="00802DDB">
        <w:t xml:space="preserve">or not considered </w:t>
      </w:r>
      <w:r w:rsidRPr="00802DDB">
        <w:t>for the reason (or for reasons that include) that the validated decision was invalid;</w:t>
      </w:r>
    </w:p>
    <w:p w14:paraId="5947257F" w14:textId="77777777" w:rsidR="00140EA0" w:rsidRPr="00802DDB" w:rsidRDefault="00140EA0" w:rsidP="00802DDB">
      <w:pPr>
        <w:pStyle w:val="Item"/>
      </w:pPr>
      <w:r w:rsidRPr="00802DDB">
        <w:t>then the following paragraphs have effect:</w:t>
      </w:r>
    </w:p>
    <w:p w14:paraId="1976517B" w14:textId="77777777" w:rsidR="00B350D8" w:rsidRPr="00802DDB" w:rsidRDefault="00140EA0" w:rsidP="00802DDB">
      <w:pPr>
        <w:pStyle w:val="paragraph"/>
      </w:pPr>
      <w:r w:rsidRPr="00802DDB">
        <w:tab/>
        <w:t>(c)</w:t>
      </w:r>
      <w:r w:rsidRPr="00802DDB">
        <w:tab/>
        <w:t xml:space="preserve">the </w:t>
      </w:r>
      <w:r w:rsidR="00B350D8" w:rsidRPr="00802DDB">
        <w:t>person may</w:t>
      </w:r>
      <w:r w:rsidR="00FC28C7" w:rsidRPr="00802DDB">
        <w:t>, on or after commencement,</w:t>
      </w:r>
      <w:r w:rsidR="00B350D8" w:rsidRPr="00802DDB">
        <w:t xml:space="preserve"> take fresh action of </w:t>
      </w:r>
      <w:r w:rsidR="00CA4815" w:rsidRPr="00802DDB">
        <w:t>the same</w:t>
      </w:r>
      <w:r w:rsidR="00B350D8" w:rsidRPr="00802DDB">
        <w:t xml:space="preserve"> kind in relation to the validated decision, despite the </w:t>
      </w:r>
      <w:r w:rsidR="003E2DF6" w:rsidRPr="00802DDB">
        <w:t xml:space="preserve">taking of the </w:t>
      </w:r>
      <w:r w:rsidR="00B350D8" w:rsidRPr="00802DDB">
        <w:t>pre</w:t>
      </w:r>
      <w:r w:rsidR="00802DDB">
        <w:noBreakHyphen/>
      </w:r>
      <w:r w:rsidR="00B350D8" w:rsidRPr="00802DDB">
        <w:t xml:space="preserve">commencement action and the event mentioned in </w:t>
      </w:r>
      <w:r w:rsidR="00B511B3" w:rsidRPr="00802DDB">
        <w:t>paragraph (</w:t>
      </w:r>
      <w:r w:rsidR="00B350D8" w:rsidRPr="00802DDB">
        <w:t>b);</w:t>
      </w:r>
    </w:p>
    <w:p w14:paraId="6B209514" w14:textId="77777777" w:rsidR="00E77643" w:rsidRPr="00802DDB" w:rsidRDefault="00140EA0" w:rsidP="00802DDB">
      <w:pPr>
        <w:pStyle w:val="paragraph"/>
      </w:pPr>
      <w:r w:rsidRPr="00802DDB">
        <w:tab/>
        <w:t>(d)</w:t>
      </w:r>
      <w:r w:rsidRPr="00802DDB">
        <w:tab/>
        <w:t>if</w:t>
      </w:r>
      <w:r w:rsidR="00E77643" w:rsidRPr="00802DDB">
        <w:t xml:space="preserve"> one or more provisions of the </w:t>
      </w:r>
      <w:r w:rsidR="00E77643" w:rsidRPr="00802DDB">
        <w:rPr>
          <w:i/>
        </w:rPr>
        <w:t>Migration Act 1958</w:t>
      </w:r>
      <w:r w:rsidR="00E77643" w:rsidRPr="00802DDB">
        <w:t xml:space="preserve"> or the </w:t>
      </w:r>
      <w:r w:rsidR="00E77643" w:rsidRPr="00802DDB">
        <w:rPr>
          <w:i/>
        </w:rPr>
        <w:t xml:space="preserve">Migration </w:t>
      </w:r>
      <w:r w:rsidR="00B511B3" w:rsidRPr="00802DDB">
        <w:rPr>
          <w:i/>
        </w:rPr>
        <w:t>Regulations 1</w:t>
      </w:r>
      <w:r w:rsidR="00E77643" w:rsidRPr="00802DDB">
        <w:rPr>
          <w:i/>
        </w:rPr>
        <w:t>994</w:t>
      </w:r>
      <w:r w:rsidR="00E77643" w:rsidRPr="00802DDB">
        <w:t xml:space="preserve"> have the effect that the person </w:t>
      </w:r>
      <w:r w:rsidR="000B4B29" w:rsidRPr="00802DDB">
        <w:t xml:space="preserve">is able to </w:t>
      </w:r>
      <w:r w:rsidR="00E77643" w:rsidRPr="00802DDB">
        <w:t xml:space="preserve">take action </w:t>
      </w:r>
      <w:r w:rsidR="006B0A3F" w:rsidRPr="00802DDB">
        <w:t xml:space="preserve">of that kind in relation to the validated decision </w:t>
      </w:r>
      <w:r w:rsidR="00E77643" w:rsidRPr="00802DDB">
        <w:t xml:space="preserve">only during a particular period </w:t>
      </w:r>
      <w:r w:rsidR="00FC28C7" w:rsidRPr="00802DDB">
        <w:t xml:space="preserve">(the </w:t>
      </w:r>
      <w:r w:rsidR="00FC28C7" w:rsidRPr="00802DDB">
        <w:rPr>
          <w:b/>
          <w:i/>
        </w:rPr>
        <w:t>original period</w:t>
      </w:r>
      <w:r w:rsidR="00FC28C7" w:rsidRPr="00802DDB">
        <w:t xml:space="preserve">) </w:t>
      </w:r>
      <w:r w:rsidR="00E77643" w:rsidRPr="00802DDB">
        <w:t xml:space="preserve">starting before commencement—the person may take the </w:t>
      </w:r>
      <w:r w:rsidR="006B0A3F" w:rsidRPr="00802DDB">
        <w:t xml:space="preserve">fresh </w:t>
      </w:r>
      <w:r w:rsidR="00E77643" w:rsidRPr="00802DDB">
        <w:t xml:space="preserve">action on or after commencement as if the period for taking the </w:t>
      </w:r>
      <w:r w:rsidR="006B0A3F" w:rsidRPr="00802DDB">
        <w:t xml:space="preserve">fresh </w:t>
      </w:r>
      <w:r w:rsidR="00E77643" w:rsidRPr="00802DDB">
        <w:t>action:</w:t>
      </w:r>
    </w:p>
    <w:p w14:paraId="5C03FF59" w14:textId="77777777" w:rsidR="00E77643" w:rsidRPr="00802DDB" w:rsidRDefault="00E77643" w:rsidP="00802DDB">
      <w:pPr>
        <w:pStyle w:val="paragraphsub"/>
      </w:pPr>
      <w:r w:rsidRPr="00802DDB">
        <w:tab/>
        <w:t>(</w:t>
      </w:r>
      <w:proofErr w:type="spellStart"/>
      <w:r w:rsidRPr="00802DDB">
        <w:t>i</w:t>
      </w:r>
      <w:proofErr w:type="spellEnd"/>
      <w:r w:rsidRPr="00802DDB">
        <w:t>)</w:t>
      </w:r>
      <w:r w:rsidRPr="00802DDB">
        <w:tab/>
        <w:t>started at commencement; and</w:t>
      </w:r>
    </w:p>
    <w:p w14:paraId="2067E681" w14:textId="77777777" w:rsidR="00FC28C7" w:rsidRPr="00802DDB" w:rsidRDefault="00E77643" w:rsidP="00802DDB">
      <w:pPr>
        <w:pStyle w:val="paragraphsub"/>
      </w:pPr>
      <w:r w:rsidRPr="00802DDB">
        <w:tab/>
        <w:t>(ii)</w:t>
      </w:r>
      <w:r w:rsidRPr="00802DDB">
        <w:tab/>
        <w:t>were the same length as the</w:t>
      </w:r>
      <w:r w:rsidR="00FC28C7" w:rsidRPr="00802DDB">
        <w:t xml:space="preserve"> original </w:t>
      </w:r>
      <w:r w:rsidRPr="00802DDB">
        <w:t>period</w:t>
      </w:r>
      <w:r w:rsidR="00FC28C7" w:rsidRPr="00802DDB">
        <w:t>.</w:t>
      </w:r>
    </w:p>
    <w:p w14:paraId="4D02AF4A" w14:textId="77777777" w:rsidR="00025B99" w:rsidRPr="00802DDB" w:rsidRDefault="00025B99" w:rsidP="00802DDB">
      <w:pPr>
        <w:pStyle w:val="notemargin"/>
      </w:pPr>
      <w:r w:rsidRPr="00802DDB">
        <w:t>Note:</w:t>
      </w:r>
      <w:r w:rsidRPr="00802DDB">
        <w:tab/>
      </w:r>
      <w:r w:rsidR="00B511B3" w:rsidRPr="00802DDB">
        <w:t>22 December</w:t>
      </w:r>
      <w:r w:rsidRPr="00802DDB">
        <w:t xml:space="preserve"> 2022 is the day the Full Court of the Federal Court of Australia gave</w:t>
      </w:r>
      <w:r w:rsidR="00376677" w:rsidRPr="00802DDB">
        <w:t xml:space="preserve"> </w:t>
      </w:r>
      <w:r w:rsidRPr="00802DDB">
        <w:t xml:space="preserve">judgment in </w:t>
      </w:r>
      <w:r w:rsidR="00376677" w:rsidRPr="00802DDB">
        <w:rPr>
          <w:i/>
        </w:rPr>
        <w:t>Pearson v Minister for Home Affairs</w:t>
      </w:r>
      <w:r w:rsidR="00376677" w:rsidRPr="00802DDB">
        <w:t xml:space="preserve"> [2022] FCAFC 203.</w:t>
      </w:r>
    </w:p>
    <w:p w14:paraId="7B0B8E35" w14:textId="77777777" w:rsidR="00A97D2A" w:rsidRPr="00802DDB" w:rsidRDefault="00A97D2A" w:rsidP="00802DDB">
      <w:pPr>
        <w:pStyle w:val="SubitemHead"/>
      </w:pPr>
      <w:r w:rsidRPr="00802DDB">
        <w:t>Extensions to be disregarded</w:t>
      </w:r>
    </w:p>
    <w:p w14:paraId="055B8FC7" w14:textId="77777777" w:rsidR="00A97D2A" w:rsidRPr="00802DDB" w:rsidRDefault="00A97D2A" w:rsidP="00802DDB">
      <w:pPr>
        <w:pStyle w:val="Subitem"/>
      </w:pPr>
      <w:r w:rsidRPr="00802DDB">
        <w:t>(3)</w:t>
      </w:r>
      <w:r w:rsidRPr="00802DDB">
        <w:tab/>
        <w:t>For the purposes of subitem (1) or (2), disregard the fact that it may have been possible to extend the original period mentioned in that subitem.</w:t>
      </w:r>
    </w:p>
    <w:p w14:paraId="24A776F9" w14:textId="77777777" w:rsidR="00B353EE" w:rsidRPr="00802DDB" w:rsidRDefault="00B353EE" w:rsidP="00802DDB">
      <w:pPr>
        <w:pStyle w:val="SubitemHead"/>
      </w:pPr>
      <w:r w:rsidRPr="00802DDB">
        <w:t>Definition</w:t>
      </w:r>
      <w:r w:rsidR="00AD5A2A" w:rsidRPr="00802DDB">
        <w:t>s</w:t>
      </w:r>
    </w:p>
    <w:p w14:paraId="478BF258" w14:textId="77777777" w:rsidR="0090787D" w:rsidRPr="00802DDB" w:rsidRDefault="0090787D" w:rsidP="00802DDB">
      <w:pPr>
        <w:pStyle w:val="Subitem"/>
      </w:pPr>
      <w:r w:rsidRPr="00802DDB">
        <w:t>(</w:t>
      </w:r>
      <w:r w:rsidR="00A97D2A" w:rsidRPr="00802DDB">
        <w:t>4</w:t>
      </w:r>
      <w:r w:rsidRPr="00802DDB">
        <w:t>)</w:t>
      </w:r>
      <w:r w:rsidRPr="00802DDB">
        <w:tab/>
        <w:t>In this item:</w:t>
      </w:r>
    </w:p>
    <w:p w14:paraId="5EDCE32C" w14:textId="57A5BAA6" w:rsidR="0090787D" w:rsidRDefault="0090787D" w:rsidP="00802DDB">
      <w:pPr>
        <w:pStyle w:val="Item"/>
      </w:pPr>
      <w:r w:rsidRPr="00802DDB">
        <w:rPr>
          <w:b/>
          <w:i/>
        </w:rPr>
        <w:t>validated decision</w:t>
      </w:r>
      <w:r w:rsidRPr="00802DDB">
        <w:t xml:space="preserve"> means a decision (however described) that would have been invalid except for </w:t>
      </w:r>
      <w:r w:rsidR="00513FB4" w:rsidRPr="00802DDB">
        <w:t>item 4</w:t>
      </w:r>
      <w:r w:rsidRPr="00802DDB">
        <w:t>.</w:t>
      </w:r>
    </w:p>
    <w:p w14:paraId="2C7B4F57" w14:textId="7FD9B254" w:rsidR="004C4B4C" w:rsidRDefault="004C4B4C" w:rsidP="00BD03D4">
      <w:pPr>
        <w:suppressLineNumbers/>
      </w:pPr>
    </w:p>
    <w:p w14:paraId="5CC11786" w14:textId="77777777" w:rsidR="00300B75" w:rsidRDefault="00300B75" w:rsidP="00300B75">
      <w:pPr>
        <w:pBdr>
          <w:bottom w:val="single" w:sz="4" w:space="1" w:color="auto"/>
        </w:pBdr>
        <w:sectPr w:rsidR="00300B75" w:rsidSect="00300B7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421213B8" w14:textId="77777777" w:rsidR="006933EE" w:rsidRDefault="006933EE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14:paraId="4A8B5CAD" w14:textId="27074379" w:rsidR="006933EE" w:rsidRDefault="006933EE" w:rsidP="000C5962">
      <w:pPr>
        <w:pStyle w:val="2ndRd"/>
        <w:keepNext/>
        <w:spacing w:line="260" w:lineRule="atLeast"/>
      </w:pPr>
      <w:r>
        <w:rPr>
          <w:i/>
        </w:rPr>
        <w:t>Senate on 7 February 2023</w:t>
      </w:r>
    </w:p>
    <w:p w14:paraId="5F6F22BA" w14:textId="0E9D9F93" w:rsidR="006933EE" w:rsidRDefault="006933E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February 2023</w:t>
      </w:r>
      <w:r>
        <w:t>]</w:t>
      </w:r>
    </w:p>
    <w:p w14:paraId="45941728" w14:textId="326A1C24" w:rsidR="006933EE" w:rsidRDefault="006933EE" w:rsidP="006933EE">
      <w:pPr>
        <w:framePr w:hSpace="181" w:wrap="around" w:vAnchor="page" w:hAnchor="page" w:x="2399" w:y="12362"/>
      </w:pPr>
      <w:r>
        <w:t>(6/23)</w:t>
      </w:r>
    </w:p>
    <w:p w14:paraId="129327CA" w14:textId="77777777" w:rsidR="006933EE" w:rsidRDefault="006933EE">
      <w:bookmarkStart w:id="12" w:name="_GoBack"/>
      <w:bookmarkEnd w:id="12"/>
    </w:p>
    <w:sectPr w:rsidR="006933EE" w:rsidSect="00300B75">
      <w:headerReference w:type="even" r:id="rId27"/>
      <w:headerReference w:type="default" r:id="rId28"/>
      <w:headerReference w:type="first" r:id="rId29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B652C" w14:textId="77777777" w:rsidR="00316FC4" w:rsidRDefault="00316FC4" w:rsidP="0048364F">
      <w:pPr>
        <w:spacing w:line="240" w:lineRule="auto"/>
      </w:pPr>
      <w:r>
        <w:separator/>
      </w:r>
    </w:p>
  </w:endnote>
  <w:endnote w:type="continuationSeparator" w:id="0">
    <w:p w14:paraId="3B90F2CA" w14:textId="77777777" w:rsidR="00316FC4" w:rsidRDefault="00316FC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015CB" w14:textId="77777777" w:rsidR="00316FC4" w:rsidRPr="005F1388" w:rsidRDefault="00316FC4" w:rsidP="00802D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EF582" w14:textId="71B19BE7" w:rsidR="006933EE" w:rsidRDefault="006933E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614D6892" w14:textId="77777777" w:rsidR="006933EE" w:rsidRDefault="006933EE" w:rsidP="00CD12A5"/>
  <w:p w14:paraId="0198661F" w14:textId="1AE525FC" w:rsidR="00316FC4" w:rsidRDefault="00316FC4" w:rsidP="00802DDB">
    <w:pPr>
      <w:pStyle w:val="Footer"/>
      <w:spacing w:before="120"/>
    </w:pPr>
  </w:p>
  <w:p w14:paraId="4E9273B3" w14:textId="77777777" w:rsidR="00316FC4" w:rsidRPr="005F1388" w:rsidRDefault="00316FC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70E41" w14:textId="77777777" w:rsidR="00316FC4" w:rsidRPr="00ED79B6" w:rsidRDefault="00316FC4" w:rsidP="00802D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08189" w14:textId="77777777" w:rsidR="00316FC4" w:rsidRDefault="00316FC4" w:rsidP="00802DD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16FC4" w14:paraId="2BD05229" w14:textId="77777777" w:rsidTr="00E07268">
      <w:tc>
        <w:tcPr>
          <w:tcW w:w="646" w:type="dxa"/>
        </w:tcPr>
        <w:p w14:paraId="26462BF4" w14:textId="77777777" w:rsidR="00316FC4" w:rsidRDefault="00316FC4" w:rsidP="00E0726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D10F88B" w14:textId="1633A0B5" w:rsidR="00316FC4" w:rsidRDefault="00316FC4" w:rsidP="00E0726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83931">
            <w:rPr>
              <w:i/>
              <w:sz w:val="18"/>
            </w:rPr>
            <w:t>Migration Amendment (Aggregate Sentences)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3F1BE295" w14:textId="4E7F24FC" w:rsidR="00316FC4" w:rsidRDefault="00316FC4" w:rsidP="00E0726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83931">
            <w:rPr>
              <w:i/>
              <w:sz w:val="18"/>
            </w:rPr>
            <w:t>No. 1,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ECB52D" w14:textId="77777777" w:rsidR="00316FC4" w:rsidRDefault="00316FC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FF19" w14:textId="77777777" w:rsidR="00316FC4" w:rsidRDefault="00316FC4" w:rsidP="00802DD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16FC4" w14:paraId="53333188" w14:textId="77777777" w:rsidTr="00E07268">
      <w:tc>
        <w:tcPr>
          <w:tcW w:w="1247" w:type="dxa"/>
        </w:tcPr>
        <w:p w14:paraId="72C92238" w14:textId="59C40530" w:rsidR="00316FC4" w:rsidRDefault="00316FC4" w:rsidP="00E07268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83931">
            <w:rPr>
              <w:i/>
              <w:sz w:val="18"/>
            </w:rPr>
            <w:t>No. 1,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932AAC4" w14:textId="5CDEB052" w:rsidR="00316FC4" w:rsidRDefault="00316FC4" w:rsidP="00E07268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83931">
            <w:rPr>
              <w:i/>
              <w:sz w:val="18"/>
            </w:rPr>
            <w:t>Migration Amendment (Aggregate Sentences)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7CDF4C0" w14:textId="77777777" w:rsidR="00316FC4" w:rsidRDefault="00316FC4" w:rsidP="00E0726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0008B1" w14:textId="77777777" w:rsidR="00316FC4" w:rsidRPr="00ED79B6" w:rsidRDefault="00316FC4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38C03" w14:textId="77777777" w:rsidR="00316FC4" w:rsidRPr="00A961C4" w:rsidRDefault="00316FC4" w:rsidP="00802DD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16FC4" w14:paraId="135672B8" w14:textId="77777777" w:rsidTr="00D779AD">
      <w:tc>
        <w:tcPr>
          <w:tcW w:w="646" w:type="dxa"/>
        </w:tcPr>
        <w:p w14:paraId="7E1EFD8B" w14:textId="77777777" w:rsidR="00316FC4" w:rsidRDefault="00316FC4" w:rsidP="00E0726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5F1AF04" w14:textId="7B150A8A" w:rsidR="00316FC4" w:rsidRDefault="00316FC4" w:rsidP="00E0726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83931">
            <w:rPr>
              <w:i/>
              <w:sz w:val="18"/>
            </w:rPr>
            <w:t>Migration Amendment (Aggregate Sentences)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3D3E720" w14:textId="18A91E10" w:rsidR="00316FC4" w:rsidRDefault="00316FC4" w:rsidP="00E0726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83931">
            <w:rPr>
              <w:i/>
              <w:sz w:val="18"/>
            </w:rPr>
            <w:t>No. 1,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67BCA3E" w14:textId="77777777" w:rsidR="00316FC4" w:rsidRPr="00A961C4" w:rsidRDefault="00316FC4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A56D" w14:textId="77777777" w:rsidR="00316FC4" w:rsidRPr="00A961C4" w:rsidRDefault="00316FC4" w:rsidP="00802DD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16FC4" w14:paraId="09CF95B3" w14:textId="77777777" w:rsidTr="00D779AD">
      <w:tc>
        <w:tcPr>
          <w:tcW w:w="1247" w:type="dxa"/>
        </w:tcPr>
        <w:p w14:paraId="6912235B" w14:textId="48ED77E6" w:rsidR="00316FC4" w:rsidRDefault="00316FC4" w:rsidP="00E0726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83931">
            <w:rPr>
              <w:i/>
              <w:sz w:val="18"/>
            </w:rPr>
            <w:t>No. 1,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7E35550" w14:textId="5BABA6DD" w:rsidR="00316FC4" w:rsidRDefault="00316FC4" w:rsidP="00E0726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83931">
            <w:rPr>
              <w:i/>
              <w:sz w:val="18"/>
            </w:rPr>
            <w:t>Migration Amendment (Aggregate Sentences)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74CD68C" w14:textId="77777777" w:rsidR="00316FC4" w:rsidRDefault="00316FC4" w:rsidP="00E0726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BAEA986" w14:textId="77777777" w:rsidR="00316FC4" w:rsidRPr="00055B5C" w:rsidRDefault="00316FC4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FF6BE" w14:textId="77777777" w:rsidR="00316FC4" w:rsidRPr="00A961C4" w:rsidRDefault="00316FC4" w:rsidP="00802DD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16FC4" w14:paraId="38DB6268" w14:textId="77777777" w:rsidTr="00D779AD">
      <w:tc>
        <w:tcPr>
          <w:tcW w:w="1247" w:type="dxa"/>
        </w:tcPr>
        <w:p w14:paraId="5019A300" w14:textId="5ED05E4A" w:rsidR="00316FC4" w:rsidRDefault="00316FC4" w:rsidP="00E0726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83931">
            <w:rPr>
              <w:i/>
              <w:sz w:val="18"/>
            </w:rPr>
            <w:t>No. 1,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28F17E3" w14:textId="6CF5A0C9" w:rsidR="00316FC4" w:rsidRDefault="00316FC4" w:rsidP="00E0726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83931">
            <w:rPr>
              <w:i/>
              <w:sz w:val="18"/>
            </w:rPr>
            <w:t>Migration Amendment (Aggregate Sentences)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6940D9F" w14:textId="77777777" w:rsidR="00316FC4" w:rsidRDefault="00316FC4" w:rsidP="00E0726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35B11DD" w14:textId="77777777" w:rsidR="00316FC4" w:rsidRPr="00A961C4" w:rsidRDefault="00316FC4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0F9AD" w14:textId="77777777" w:rsidR="00316FC4" w:rsidRDefault="00316FC4" w:rsidP="0048364F">
      <w:pPr>
        <w:spacing w:line="240" w:lineRule="auto"/>
      </w:pPr>
      <w:r>
        <w:separator/>
      </w:r>
    </w:p>
  </w:footnote>
  <w:footnote w:type="continuationSeparator" w:id="0">
    <w:p w14:paraId="02B4DFC8" w14:textId="77777777" w:rsidR="00316FC4" w:rsidRDefault="00316FC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5C6A0" w14:textId="77777777" w:rsidR="00316FC4" w:rsidRPr="005F1388" w:rsidRDefault="00316FC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FB67" w14:textId="0DF0290C" w:rsidR="00300B75" w:rsidRPr="00A961C4" w:rsidRDefault="00300B75" w:rsidP="0048364F">
    <w:pPr>
      <w:rPr>
        <w:b/>
        <w:sz w:val="20"/>
      </w:rPr>
    </w:pPr>
  </w:p>
  <w:p w14:paraId="5C447C87" w14:textId="12EDB1F7" w:rsidR="00300B75" w:rsidRPr="00A961C4" w:rsidRDefault="00300B75" w:rsidP="0048364F">
    <w:pPr>
      <w:rPr>
        <w:b/>
        <w:sz w:val="20"/>
      </w:rPr>
    </w:pPr>
  </w:p>
  <w:p w14:paraId="4A6A2647" w14:textId="77777777" w:rsidR="00300B75" w:rsidRPr="00A961C4" w:rsidRDefault="00300B75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86104" w14:textId="1CE0492A" w:rsidR="00300B75" w:rsidRPr="00A961C4" w:rsidRDefault="00300B7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083931">
      <w:rPr>
        <w:noProof/>
        <w:sz w:val="20"/>
      </w:rPr>
      <w:t>Aggregate sentences</w:t>
    </w:r>
    <w:r w:rsidRPr="00A961C4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8393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15EA5CE" w14:textId="175EA0B1" w:rsidR="00300B75" w:rsidRPr="00A961C4" w:rsidRDefault="00300B7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separate"/>
    </w:r>
    <w:r w:rsidR="00083931">
      <w:rPr>
        <w:noProof/>
        <w:sz w:val="20"/>
      </w:rPr>
      <w:t>Application of amendments and validation of certain things done</w: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separate"/>
    </w:r>
    <w:r w:rsidR="00083931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470B9106" w14:textId="77777777" w:rsidR="00300B75" w:rsidRPr="00A961C4" w:rsidRDefault="00300B75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CA87F" w14:textId="77777777" w:rsidR="00300B75" w:rsidRPr="00A961C4" w:rsidRDefault="00300B75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DB750" w14:textId="77777777" w:rsidR="00316FC4" w:rsidRPr="005F1388" w:rsidRDefault="00316FC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95AD0" w14:textId="77777777" w:rsidR="00316FC4" w:rsidRPr="005F1388" w:rsidRDefault="00316FC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D06D0" w14:textId="77777777" w:rsidR="00316FC4" w:rsidRPr="00ED79B6" w:rsidRDefault="00316FC4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E7E76" w14:textId="77777777" w:rsidR="00316FC4" w:rsidRPr="00ED79B6" w:rsidRDefault="00316FC4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04AF" w14:textId="77777777" w:rsidR="00316FC4" w:rsidRPr="00ED79B6" w:rsidRDefault="00316FC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6F59" w14:textId="653CC330" w:rsidR="00316FC4" w:rsidRPr="00A961C4" w:rsidRDefault="00316FC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83931">
      <w:rPr>
        <w:b/>
        <w:sz w:val="20"/>
      </w:rPr>
      <w:fldChar w:fldCharType="separate"/>
    </w:r>
    <w:r w:rsidR="0008393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83931">
      <w:rPr>
        <w:sz w:val="20"/>
      </w:rPr>
      <w:fldChar w:fldCharType="separate"/>
    </w:r>
    <w:r w:rsidR="00083931">
      <w:rPr>
        <w:noProof/>
        <w:sz w:val="20"/>
      </w:rPr>
      <w:t>Aggregate sentences</w:t>
    </w:r>
    <w:r>
      <w:rPr>
        <w:sz w:val="20"/>
      </w:rPr>
      <w:fldChar w:fldCharType="end"/>
    </w:r>
  </w:p>
  <w:p w14:paraId="05A96CC5" w14:textId="1A12EDA5" w:rsidR="00316FC4" w:rsidRPr="00A961C4" w:rsidRDefault="00316FC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083931">
      <w:rPr>
        <w:b/>
        <w:sz w:val="20"/>
      </w:rPr>
      <w:fldChar w:fldCharType="separate"/>
    </w:r>
    <w:r w:rsidR="00083931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083931">
      <w:rPr>
        <w:sz w:val="20"/>
      </w:rPr>
      <w:fldChar w:fldCharType="separate"/>
    </w:r>
    <w:r w:rsidR="00083931">
      <w:rPr>
        <w:noProof/>
        <w:sz w:val="20"/>
      </w:rPr>
      <w:t>Application of amendments and validation of certain things done</w:t>
    </w:r>
    <w:r>
      <w:rPr>
        <w:sz w:val="20"/>
      </w:rPr>
      <w:fldChar w:fldCharType="end"/>
    </w:r>
  </w:p>
  <w:p w14:paraId="4FBE8753" w14:textId="77777777" w:rsidR="00316FC4" w:rsidRPr="00A961C4" w:rsidRDefault="00316FC4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97ED5" w14:textId="1C86AFAD" w:rsidR="00316FC4" w:rsidRPr="00A961C4" w:rsidRDefault="00316FC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83931">
      <w:rPr>
        <w:sz w:val="20"/>
      </w:rPr>
      <w:fldChar w:fldCharType="separate"/>
    </w:r>
    <w:r w:rsidR="00083931">
      <w:rPr>
        <w:noProof/>
        <w:sz w:val="20"/>
      </w:rPr>
      <w:t>Aggregate sentences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83931">
      <w:rPr>
        <w:b/>
        <w:sz w:val="20"/>
      </w:rPr>
      <w:fldChar w:fldCharType="separate"/>
    </w:r>
    <w:r w:rsidR="0008393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1238E4A" w14:textId="32987093" w:rsidR="00316FC4" w:rsidRPr="00A961C4" w:rsidRDefault="00316FC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083931">
      <w:rPr>
        <w:sz w:val="20"/>
      </w:rPr>
      <w:fldChar w:fldCharType="separate"/>
    </w:r>
    <w:r w:rsidR="00083931">
      <w:rPr>
        <w:noProof/>
        <w:sz w:val="20"/>
      </w:rPr>
      <w:t>Application of amendments and validation of certain things done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083931">
      <w:rPr>
        <w:b/>
        <w:sz w:val="20"/>
      </w:rPr>
      <w:fldChar w:fldCharType="separate"/>
    </w:r>
    <w:r w:rsidR="00083931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5C168FB6" w14:textId="77777777" w:rsidR="00316FC4" w:rsidRPr="00A961C4" w:rsidRDefault="00316FC4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C7949" w14:textId="77777777" w:rsidR="00316FC4" w:rsidRPr="00A961C4" w:rsidRDefault="00316FC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6151"/>
    <w:rsid w:val="000004AA"/>
    <w:rsid w:val="00002AC9"/>
    <w:rsid w:val="00005D25"/>
    <w:rsid w:val="000100A0"/>
    <w:rsid w:val="000113BC"/>
    <w:rsid w:val="000136AF"/>
    <w:rsid w:val="00016812"/>
    <w:rsid w:val="000170CB"/>
    <w:rsid w:val="000220FA"/>
    <w:rsid w:val="00025B99"/>
    <w:rsid w:val="000417C9"/>
    <w:rsid w:val="00055B5C"/>
    <w:rsid w:val="00056391"/>
    <w:rsid w:val="00060DC7"/>
    <w:rsid w:val="00060FF9"/>
    <w:rsid w:val="000614BF"/>
    <w:rsid w:val="000745AF"/>
    <w:rsid w:val="00075129"/>
    <w:rsid w:val="00083931"/>
    <w:rsid w:val="000A1BFD"/>
    <w:rsid w:val="000B1FD2"/>
    <w:rsid w:val="000B4B29"/>
    <w:rsid w:val="000B704F"/>
    <w:rsid w:val="000B79B8"/>
    <w:rsid w:val="000D05EF"/>
    <w:rsid w:val="000F21C1"/>
    <w:rsid w:val="000F316E"/>
    <w:rsid w:val="00101D90"/>
    <w:rsid w:val="00105AB4"/>
    <w:rsid w:val="0010745C"/>
    <w:rsid w:val="00113BD1"/>
    <w:rsid w:val="0012135C"/>
    <w:rsid w:val="0012148A"/>
    <w:rsid w:val="00122206"/>
    <w:rsid w:val="00140EA0"/>
    <w:rsid w:val="00141E91"/>
    <w:rsid w:val="00145226"/>
    <w:rsid w:val="00146406"/>
    <w:rsid w:val="00147D98"/>
    <w:rsid w:val="0015319D"/>
    <w:rsid w:val="0015646E"/>
    <w:rsid w:val="001643C9"/>
    <w:rsid w:val="00165568"/>
    <w:rsid w:val="00166C2F"/>
    <w:rsid w:val="001675A5"/>
    <w:rsid w:val="001716C9"/>
    <w:rsid w:val="00173363"/>
    <w:rsid w:val="00173B94"/>
    <w:rsid w:val="0017490B"/>
    <w:rsid w:val="001854B4"/>
    <w:rsid w:val="001939E1"/>
    <w:rsid w:val="00195382"/>
    <w:rsid w:val="001A2FD0"/>
    <w:rsid w:val="001A3658"/>
    <w:rsid w:val="001A759A"/>
    <w:rsid w:val="001B633C"/>
    <w:rsid w:val="001B6EEA"/>
    <w:rsid w:val="001B7A5D"/>
    <w:rsid w:val="001C2418"/>
    <w:rsid w:val="001C69C4"/>
    <w:rsid w:val="001D18CF"/>
    <w:rsid w:val="001E3590"/>
    <w:rsid w:val="001E450B"/>
    <w:rsid w:val="001E7407"/>
    <w:rsid w:val="00201D27"/>
    <w:rsid w:val="00202618"/>
    <w:rsid w:val="00204A07"/>
    <w:rsid w:val="00211880"/>
    <w:rsid w:val="00214F9F"/>
    <w:rsid w:val="00215A02"/>
    <w:rsid w:val="00216CE1"/>
    <w:rsid w:val="0022322D"/>
    <w:rsid w:val="0022652F"/>
    <w:rsid w:val="00240749"/>
    <w:rsid w:val="0024580F"/>
    <w:rsid w:val="0025038D"/>
    <w:rsid w:val="00252389"/>
    <w:rsid w:val="00263820"/>
    <w:rsid w:val="002654CE"/>
    <w:rsid w:val="00274A43"/>
    <w:rsid w:val="00275197"/>
    <w:rsid w:val="00285A49"/>
    <w:rsid w:val="00286BD4"/>
    <w:rsid w:val="00293B89"/>
    <w:rsid w:val="00297ECB"/>
    <w:rsid w:val="002B5A30"/>
    <w:rsid w:val="002B6A4D"/>
    <w:rsid w:val="002C25E8"/>
    <w:rsid w:val="002D043A"/>
    <w:rsid w:val="002D395A"/>
    <w:rsid w:val="002D68F9"/>
    <w:rsid w:val="002E064F"/>
    <w:rsid w:val="002E22FD"/>
    <w:rsid w:val="002E29C7"/>
    <w:rsid w:val="002F5A80"/>
    <w:rsid w:val="003009F6"/>
    <w:rsid w:val="00300B75"/>
    <w:rsid w:val="00311C5C"/>
    <w:rsid w:val="00312BF4"/>
    <w:rsid w:val="00316FC4"/>
    <w:rsid w:val="0032648A"/>
    <w:rsid w:val="00327B84"/>
    <w:rsid w:val="00333FFC"/>
    <w:rsid w:val="0033633E"/>
    <w:rsid w:val="00336C6E"/>
    <w:rsid w:val="003415D3"/>
    <w:rsid w:val="0035027A"/>
    <w:rsid w:val="00350417"/>
    <w:rsid w:val="00352B0F"/>
    <w:rsid w:val="00355CEC"/>
    <w:rsid w:val="00357A3D"/>
    <w:rsid w:val="00363444"/>
    <w:rsid w:val="00367242"/>
    <w:rsid w:val="00372809"/>
    <w:rsid w:val="00373874"/>
    <w:rsid w:val="00375C6C"/>
    <w:rsid w:val="00376677"/>
    <w:rsid w:val="00377316"/>
    <w:rsid w:val="00395F81"/>
    <w:rsid w:val="003A7B3C"/>
    <w:rsid w:val="003B4E3D"/>
    <w:rsid w:val="003B5806"/>
    <w:rsid w:val="003B63D0"/>
    <w:rsid w:val="003C20BC"/>
    <w:rsid w:val="003C5F2B"/>
    <w:rsid w:val="003D0BFE"/>
    <w:rsid w:val="003D5426"/>
    <w:rsid w:val="003D5700"/>
    <w:rsid w:val="003E2DF6"/>
    <w:rsid w:val="003E52C0"/>
    <w:rsid w:val="003F2FD7"/>
    <w:rsid w:val="003F7226"/>
    <w:rsid w:val="00400F6B"/>
    <w:rsid w:val="00405579"/>
    <w:rsid w:val="00410B8E"/>
    <w:rsid w:val="004116CD"/>
    <w:rsid w:val="00421F74"/>
    <w:rsid w:val="00421FC1"/>
    <w:rsid w:val="004229C7"/>
    <w:rsid w:val="00424CA9"/>
    <w:rsid w:val="0042524D"/>
    <w:rsid w:val="00436785"/>
    <w:rsid w:val="00436BD5"/>
    <w:rsid w:val="00437E4B"/>
    <w:rsid w:val="0044291A"/>
    <w:rsid w:val="00452CE4"/>
    <w:rsid w:val="004535E5"/>
    <w:rsid w:val="004650DC"/>
    <w:rsid w:val="00474BD0"/>
    <w:rsid w:val="00477340"/>
    <w:rsid w:val="0048196B"/>
    <w:rsid w:val="00483247"/>
    <w:rsid w:val="0048364F"/>
    <w:rsid w:val="00486D05"/>
    <w:rsid w:val="00496F97"/>
    <w:rsid w:val="004B3A1E"/>
    <w:rsid w:val="004B3D5A"/>
    <w:rsid w:val="004C4B4C"/>
    <w:rsid w:val="004C7C8C"/>
    <w:rsid w:val="004E1B6D"/>
    <w:rsid w:val="004E2A4A"/>
    <w:rsid w:val="004E7692"/>
    <w:rsid w:val="004F0D23"/>
    <w:rsid w:val="004F1FAC"/>
    <w:rsid w:val="004F6F00"/>
    <w:rsid w:val="00501ADF"/>
    <w:rsid w:val="00513FB4"/>
    <w:rsid w:val="00515F2C"/>
    <w:rsid w:val="00516B8D"/>
    <w:rsid w:val="0052193E"/>
    <w:rsid w:val="00523A10"/>
    <w:rsid w:val="00537FBC"/>
    <w:rsid w:val="00543469"/>
    <w:rsid w:val="005453DF"/>
    <w:rsid w:val="00545D52"/>
    <w:rsid w:val="00551B54"/>
    <w:rsid w:val="00552B31"/>
    <w:rsid w:val="00553E24"/>
    <w:rsid w:val="00576B87"/>
    <w:rsid w:val="00584811"/>
    <w:rsid w:val="00591C2F"/>
    <w:rsid w:val="00593AA6"/>
    <w:rsid w:val="00594161"/>
    <w:rsid w:val="00594749"/>
    <w:rsid w:val="00597D0C"/>
    <w:rsid w:val="005A0D92"/>
    <w:rsid w:val="005A101A"/>
    <w:rsid w:val="005A54DC"/>
    <w:rsid w:val="005B1A92"/>
    <w:rsid w:val="005B4067"/>
    <w:rsid w:val="005C3F41"/>
    <w:rsid w:val="005E152A"/>
    <w:rsid w:val="005E6151"/>
    <w:rsid w:val="005F11B1"/>
    <w:rsid w:val="005F4467"/>
    <w:rsid w:val="005F6401"/>
    <w:rsid w:val="00600219"/>
    <w:rsid w:val="006167FD"/>
    <w:rsid w:val="00624892"/>
    <w:rsid w:val="0063092E"/>
    <w:rsid w:val="0063460E"/>
    <w:rsid w:val="00641DE5"/>
    <w:rsid w:val="0064243E"/>
    <w:rsid w:val="00646CDE"/>
    <w:rsid w:val="0065175C"/>
    <w:rsid w:val="00656F0C"/>
    <w:rsid w:val="00663B93"/>
    <w:rsid w:val="0067362C"/>
    <w:rsid w:val="00677CC2"/>
    <w:rsid w:val="00681F92"/>
    <w:rsid w:val="006842C2"/>
    <w:rsid w:val="00685F42"/>
    <w:rsid w:val="0069207B"/>
    <w:rsid w:val="006933EE"/>
    <w:rsid w:val="00694CED"/>
    <w:rsid w:val="006A1EF6"/>
    <w:rsid w:val="006A4B23"/>
    <w:rsid w:val="006A5622"/>
    <w:rsid w:val="006A7F3F"/>
    <w:rsid w:val="006B0A3F"/>
    <w:rsid w:val="006C2874"/>
    <w:rsid w:val="006C377D"/>
    <w:rsid w:val="006C7F8C"/>
    <w:rsid w:val="006D380D"/>
    <w:rsid w:val="006E0135"/>
    <w:rsid w:val="006E303A"/>
    <w:rsid w:val="006E6BA0"/>
    <w:rsid w:val="006F1541"/>
    <w:rsid w:val="006F35BA"/>
    <w:rsid w:val="006F7E19"/>
    <w:rsid w:val="00700B2C"/>
    <w:rsid w:val="00701CAF"/>
    <w:rsid w:val="00702B70"/>
    <w:rsid w:val="0070388A"/>
    <w:rsid w:val="00703B40"/>
    <w:rsid w:val="00712D8D"/>
    <w:rsid w:val="00713084"/>
    <w:rsid w:val="00714B26"/>
    <w:rsid w:val="00715518"/>
    <w:rsid w:val="00731E00"/>
    <w:rsid w:val="00743495"/>
    <w:rsid w:val="007440B7"/>
    <w:rsid w:val="007634AD"/>
    <w:rsid w:val="007639F7"/>
    <w:rsid w:val="007715C9"/>
    <w:rsid w:val="00774EDD"/>
    <w:rsid w:val="007757EC"/>
    <w:rsid w:val="007A6B80"/>
    <w:rsid w:val="007B30AA"/>
    <w:rsid w:val="007B5262"/>
    <w:rsid w:val="007C73AF"/>
    <w:rsid w:val="007E7D4A"/>
    <w:rsid w:val="008000F9"/>
    <w:rsid w:val="008006CC"/>
    <w:rsid w:val="00802DDB"/>
    <w:rsid w:val="00807F18"/>
    <w:rsid w:val="00817FF6"/>
    <w:rsid w:val="00831E8D"/>
    <w:rsid w:val="00837071"/>
    <w:rsid w:val="0084336E"/>
    <w:rsid w:val="00844C11"/>
    <w:rsid w:val="00850AFF"/>
    <w:rsid w:val="0085365F"/>
    <w:rsid w:val="00856A31"/>
    <w:rsid w:val="00857D6B"/>
    <w:rsid w:val="00866F95"/>
    <w:rsid w:val="0087039B"/>
    <w:rsid w:val="00872D48"/>
    <w:rsid w:val="00874660"/>
    <w:rsid w:val="008754D0"/>
    <w:rsid w:val="00876322"/>
    <w:rsid w:val="00877D48"/>
    <w:rsid w:val="00880D16"/>
    <w:rsid w:val="0088277F"/>
    <w:rsid w:val="00883579"/>
    <w:rsid w:val="00883781"/>
    <w:rsid w:val="00885156"/>
    <w:rsid w:val="00885570"/>
    <w:rsid w:val="00893958"/>
    <w:rsid w:val="008A2E77"/>
    <w:rsid w:val="008A3F81"/>
    <w:rsid w:val="008B4377"/>
    <w:rsid w:val="008C2D0C"/>
    <w:rsid w:val="008C317A"/>
    <w:rsid w:val="008C4C18"/>
    <w:rsid w:val="008C6F6F"/>
    <w:rsid w:val="008D0EE0"/>
    <w:rsid w:val="008D3E94"/>
    <w:rsid w:val="008D60A3"/>
    <w:rsid w:val="008E07C7"/>
    <w:rsid w:val="008E271E"/>
    <w:rsid w:val="008F4F1C"/>
    <w:rsid w:val="008F77C4"/>
    <w:rsid w:val="0090787D"/>
    <w:rsid w:val="009103F3"/>
    <w:rsid w:val="00910993"/>
    <w:rsid w:val="00925C73"/>
    <w:rsid w:val="00932377"/>
    <w:rsid w:val="00943221"/>
    <w:rsid w:val="009525BE"/>
    <w:rsid w:val="009534B5"/>
    <w:rsid w:val="009572D5"/>
    <w:rsid w:val="00960A31"/>
    <w:rsid w:val="00961D11"/>
    <w:rsid w:val="00963B7C"/>
    <w:rsid w:val="00967042"/>
    <w:rsid w:val="0097478F"/>
    <w:rsid w:val="009804B3"/>
    <w:rsid w:val="00980E80"/>
    <w:rsid w:val="0098255A"/>
    <w:rsid w:val="009845BE"/>
    <w:rsid w:val="009969C9"/>
    <w:rsid w:val="009A2909"/>
    <w:rsid w:val="009B26F9"/>
    <w:rsid w:val="009C17FF"/>
    <w:rsid w:val="009D152C"/>
    <w:rsid w:val="009E186E"/>
    <w:rsid w:val="009F7BD0"/>
    <w:rsid w:val="00A048FF"/>
    <w:rsid w:val="00A10775"/>
    <w:rsid w:val="00A16F0D"/>
    <w:rsid w:val="00A20750"/>
    <w:rsid w:val="00A231E2"/>
    <w:rsid w:val="00A235F9"/>
    <w:rsid w:val="00A35F83"/>
    <w:rsid w:val="00A36C48"/>
    <w:rsid w:val="00A41E0B"/>
    <w:rsid w:val="00A51510"/>
    <w:rsid w:val="00A55631"/>
    <w:rsid w:val="00A56016"/>
    <w:rsid w:val="00A570F4"/>
    <w:rsid w:val="00A60A60"/>
    <w:rsid w:val="00A64912"/>
    <w:rsid w:val="00A70A74"/>
    <w:rsid w:val="00A80083"/>
    <w:rsid w:val="00A82093"/>
    <w:rsid w:val="00A97D2A"/>
    <w:rsid w:val="00AA3795"/>
    <w:rsid w:val="00AB7354"/>
    <w:rsid w:val="00AC1E75"/>
    <w:rsid w:val="00AC2B72"/>
    <w:rsid w:val="00AD3945"/>
    <w:rsid w:val="00AD5641"/>
    <w:rsid w:val="00AD5A2A"/>
    <w:rsid w:val="00AD5E86"/>
    <w:rsid w:val="00AE1088"/>
    <w:rsid w:val="00AE1463"/>
    <w:rsid w:val="00AF1BA4"/>
    <w:rsid w:val="00AF5D41"/>
    <w:rsid w:val="00B00D98"/>
    <w:rsid w:val="00B032D8"/>
    <w:rsid w:val="00B03556"/>
    <w:rsid w:val="00B1008A"/>
    <w:rsid w:val="00B233E1"/>
    <w:rsid w:val="00B24C7B"/>
    <w:rsid w:val="00B2755D"/>
    <w:rsid w:val="00B32BE2"/>
    <w:rsid w:val="00B33B3C"/>
    <w:rsid w:val="00B3502B"/>
    <w:rsid w:val="00B350D8"/>
    <w:rsid w:val="00B353EE"/>
    <w:rsid w:val="00B42F44"/>
    <w:rsid w:val="00B511B3"/>
    <w:rsid w:val="00B6382D"/>
    <w:rsid w:val="00B90C5D"/>
    <w:rsid w:val="00B96A46"/>
    <w:rsid w:val="00BA2584"/>
    <w:rsid w:val="00BA4CA6"/>
    <w:rsid w:val="00BA5026"/>
    <w:rsid w:val="00BB3B3C"/>
    <w:rsid w:val="00BB40BF"/>
    <w:rsid w:val="00BC0CD1"/>
    <w:rsid w:val="00BD02E1"/>
    <w:rsid w:val="00BD03D4"/>
    <w:rsid w:val="00BE719A"/>
    <w:rsid w:val="00BE720A"/>
    <w:rsid w:val="00BF0461"/>
    <w:rsid w:val="00BF344B"/>
    <w:rsid w:val="00BF4944"/>
    <w:rsid w:val="00BF56D4"/>
    <w:rsid w:val="00C04409"/>
    <w:rsid w:val="00C067E5"/>
    <w:rsid w:val="00C06919"/>
    <w:rsid w:val="00C12B4C"/>
    <w:rsid w:val="00C164CA"/>
    <w:rsid w:val="00C176CF"/>
    <w:rsid w:val="00C2273B"/>
    <w:rsid w:val="00C24EE9"/>
    <w:rsid w:val="00C26BFF"/>
    <w:rsid w:val="00C42BF8"/>
    <w:rsid w:val="00C460AE"/>
    <w:rsid w:val="00C50043"/>
    <w:rsid w:val="00C54E84"/>
    <w:rsid w:val="00C57730"/>
    <w:rsid w:val="00C64BCF"/>
    <w:rsid w:val="00C670A2"/>
    <w:rsid w:val="00C7573B"/>
    <w:rsid w:val="00C76CF3"/>
    <w:rsid w:val="00C95896"/>
    <w:rsid w:val="00CA4815"/>
    <w:rsid w:val="00CB6248"/>
    <w:rsid w:val="00CE1E31"/>
    <w:rsid w:val="00CE314C"/>
    <w:rsid w:val="00CF05BC"/>
    <w:rsid w:val="00CF0BB2"/>
    <w:rsid w:val="00CF2A7A"/>
    <w:rsid w:val="00CF38D9"/>
    <w:rsid w:val="00D00EAA"/>
    <w:rsid w:val="00D13441"/>
    <w:rsid w:val="00D164CE"/>
    <w:rsid w:val="00D1759E"/>
    <w:rsid w:val="00D243A3"/>
    <w:rsid w:val="00D43506"/>
    <w:rsid w:val="00D477C3"/>
    <w:rsid w:val="00D52EFE"/>
    <w:rsid w:val="00D63EF6"/>
    <w:rsid w:val="00D70DFB"/>
    <w:rsid w:val="00D71197"/>
    <w:rsid w:val="00D72CEE"/>
    <w:rsid w:val="00D73029"/>
    <w:rsid w:val="00D766DF"/>
    <w:rsid w:val="00D779AD"/>
    <w:rsid w:val="00D821E3"/>
    <w:rsid w:val="00D90B86"/>
    <w:rsid w:val="00D95870"/>
    <w:rsid w:val="00D95D78"/>
    <w:rsid w:val="00DA19E7"/>
    <w:rsid w:val="00DD1B76"/>
    <w:rsid w:val="00DE2002"/>
    <w:rsid w:val="00DE45DA"/>
    <w:rsid w:val="00DE5B47"/>
    <w:rsid w:val="00DE60E0"/>
    <w:rsid w:val="00DE64E7"/>
    <w:rsid w:val="00DF0D1F"/>
    <w:rsid w:val="00DF7AE9"/>
    <w:rsid w:val="00E003F7"/>
    <w:rsid w:val="00E05704"/>
    <w:rsid w:val="00E07268"/>
    <w:rsid w:val="00E07FD4"/>
    <w:rsid w:val="00E13634"/>
    <w:rsid w:val="00E24D66"/>
    <w:rsid w:val="00E333EF"/>
    <w:rsid w:val="00E35446"/>
    <w:rsid w:val="00E36099"/>
    <w:rsid w:val="00E37252"/>
    <w:rsid w:val="00E37760"/>
    <w:rsid w:val="00E454B5"/>
    <w:rsid w:val="00E54292"/>
    <w:rsid w:val="00E618C8"/>
    <w:rsid w:val="00E643CB"/>
    <w:rsid w:val="00E73020"/>
    <w:rsid w:val="00E74DC7"/>
    <w:rsid w:val="00E77643"/>
    <w:rsid w:val="00E84ECA"/>
    <w:rsid w:val="00E87699"/>
    <w:rsid w:val="00E947C6"/>
    <w:rsid w:val="00EA2F20"/>
    <w:rsid w:val="00EB4ED6"/>
    <w:rsid w:val="00EB510C"/>
    <w:rsid w:val="00EB7008"/>
    <w:rsid w:val="00EC0DFD"/>
    <w:rsid w:val="00EC587F"/>
    <w:rsid w:val="00EC618A"/>
    <w:rsid w:val="00ED3700"/>
    <w:rsid w:val="00ED492F"/>
    <w:rsid w:val="00ED6F5F"/>
    <w:rsid w:val="00ED774E"/>
    <w:rsid w:val="00EE3E36"/>
    <w:rsid w:val="00EE4591"/>
    <w:rsid w:val="00EF0861"/>
    <w:rsid w:val="00EF2E3A"/>
    <w:rsid w:val="00F00F07"/>
    <w:rsid w:val="00F012B0"/>
    <w:rsid w:val="00F047E2"/>
    <w:rsid w:val="00F078DC"/>
    <w:rsid w:val="00F13E86"/>
    <w:rsid w:val="00F153E5"/>
    <w:rsid w:val="00F17B00"/>
    <w:rsid w:val="00F312F1"/>
    <w:rsid w:val="00F56192"/>
    <w:rsid w:val="00F677A9"/>
    <w:rsid w:val="00F707CF"/>
    <w:rsid w:val="00F71F54"/>
    <w:rsid w:val="00F72354"/>
    <w:rsid w:val="00F7481C"/>
    <w:rsid w:val="00F767C5"/>
    <w:rsid w:val="00F84CF5"/>
    <w:rsid w:val="00F92D35"/>
    <w:rsid w:val="00FA29E3"/>
    <w:rsid w:val="00FA420B"/>
    <w:rsid w:val="00FA4F8E"/>
    <w:rsid w:val="00FA71A7"/>
    <w:rsid w:val="00FA7A71"/>
    <w:rsid w:val="00FC28C7"/>
    <w:rsid w:val="00FC3E5E"/>
    <w:rsid w:val="00FD1E13"/>
    <w:rsid w:val="00FD7EB1"/>
    <w:rsid w:val="00FE07BF"/>
    <w:rsid w:val="00FE41C9"/>
    <w:rsid w:val="00FE55D1"/>
    <w:rsid w:val="00FE7F9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7101B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02DD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D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D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D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subsection"/>
    <w:link w:val="Heading5Char"/>
    <w:qFormat/>
    <w:rsid w:val="00961D1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D1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D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D1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D1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02DDB"/>
  </w:style>
  <w:style w:type="paragraph" w:customStyle="1" w:styleId="OPCParaBase">
    <w:name w:val="OPCParaBase"/>
    <w:qFormat/>
    <w:rsid w:val="00802DD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02DD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02DD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02DD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02DD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02DD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02DD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02DD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02DD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02DD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02DD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02DDB"/>
  </w:style>
  <w:style w:type="paragraph" w:customStyle="1" w:styleId="Blocks">
    <w:name w:val="Blocks"/>
    <w:aliases w:val="bb"/>
    <w:basedOn w:val="OPCParaBase"/>
    <w:qFormat/>
    <w:rsid w:val="00802DD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02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02DD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02DDB"/>
    <w:rPr>
      <w:i/>
    </w:rPr>
  </w:style>
  <w:style w:type="paragraph" w:customStyle="1" w:styleId="BoxList">
    <w:name w:val="BoxList"/>
    <w:aliases w:val="bl"/>
    <w:basedOn w:val="BoxText"/>
    <w:qFormat/>
    <w:rsid w:val="00802DD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02DD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02DD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02DDB"/>
    <w:pPr>
      <w:ind w:left="1985" w:hanging="851"/>
    </w:pPr>
  </w:style>
  <w:style w:type="character" w:customStyle="1" w:styleId="CharAmPartNo">
    <w:name w:val="CharAmPartNo"/>
    <w:basedOn w:val="OPCCharBase"/>
    <w:qFormat/>
    <w:rsid w:val="00802DDB"/>
  </w:style>
  <w:style w:type="character" w:customStyle="1" w:styleId="CharAmPartText">
    <w:name w:val="CharAmPartText"/>
    <w:basedOn w:val="OPCCharBase"/>
    <w:qFormat/>
    <w:rsid w:val="00802DDB"/>
  </w:style>
  <w:style w:type="character" w:customStyle="1" w:styleId="CharAmSchNo">
    <w:name w:val="CharAmSchNo"/>
    <w:basedOn w:val="OPCCharBase"/>
    <w:qFormat/>
    <w:rsid w:val="00802DDB"/>
  </w:style>
  <w:style w:type="character" w:customStyle="1" w:styleId="CharAmSchText">
    <w:name w:val="CharAmSchText"/>
    <w:basedOn w:val="OPCCharBase"/>
    <w:qFormat/>
    <w:rsid w:val="00802DDB"/>
  </w:style>
  <w:style w:type="character" w:customStyle="1" w:styleId="CharBoldItalic">
    <w:name w:val="CharBoldItalic"/>
    <w:basedOn w:val="OPCCharBase"/>
    <w:uiPriority w:val="1"/>
    <w:qFormat/>
    <w:rsid w:val="00802DDB"/>
    <w:rPr>
      <w:b/>
      <w:i/>
    </w:rPr>
  </w:style>
  <w:style w:type="character" w:customStyle="1" w:styleId="CharChapNo">
    <w:name w:val="CharChapNo"/>
    <w:basedOn w:val="OPCCharBase"/>
    <w:uiPriority w:val="1"/>
    <w:qFormat/>
    <w:rsid w:val="00802DDB"/>
  </w:style>
  <w:style w:type="character" w:customStyle="1" w:styleId="CharChapText">
    <w:name w:val="CharChapText"/>
    <w:basedOn w:val="OPCCharBase"/>
    <w:uiPriority w:val="1"/>
    <w:qFormat/>
    <w:rsid w:val="00802DDB"/>
  </w:style>
  <w:style w:type="character" w:customStyle="1" w:styleId="CharDivNo">
    <w:name w:val="CharDivNo"/>
    <w:basedOn w:val="OPCCharBase"/>
    <w:uiPriority w:val="1"/>
    <w:qFormat/>
    <w:rsid w:val="00802DDB"/>
  </w:style>
  <w:style w:type="character" w:customStyle="1" w:styleId="CharDivText">
    <w:name w:val="CharDivText"/>
    <w:basedOn w:val="OPCCharBase"/>
    <w:uiPriority w:val="1"/>
    <w:qFormat/>
    <w:rsid w:val="00802DDB"/>
  </w:style>
  <w:style w:type="character" w:customStyle="1" w:styleId="CharItalic">
    <w:name w:val="CharItalic"/>
    <w:basedOn w:val="OPCCharBase"/>
    <w:uiPriority w:val="1"/>
    <w:qFormat/>
    <w:rsid w:val="00802DDB"/>
    <w:rPr>
      <w:i/>
    </w:rPr>
  </w:style>
  <w:style w:type="character" w:customStyle="1" w:styleId="CharPartNo">
    <w:name w:val="CharPartNo"/>
    <w:basedOn w:val="OPCCharBase"/>
    <w:uiPriority w:val="1"/>
    <w:qFormat/>
    <w:rsid w:val="00802DDB"/>
  </w:style>
  <w:style w:type="character" w:customStyle="1" w:styleId="CharPartText">
    <w:name w:val="CharPartText"/>
    <w:basedOn w:val="OPCCharBase"/>
    <w:uiPriority w:val="1"/>
    <w:qFormat/>
    <w:rsid w:val="00802DDB"/>
  </w:style>
  <w:style w:type="character" w:customStyle="1" w:styleId="CharSectno">
    <w:name w:val="CharSectno"/>
    <w:basedOn w:val="OPCCharBase"/>
    <w:qFormat/>
    <w:rsid w:val="00802DDB"/>
  </w:style>
  <w:style w:type="character" w:customStyle="1" w:styleId="CharSubdNo">
    <w:name w:val="CharSubdNo"/>
    <w:basedOn w:val="OPCCharBase"/>
    <w:uiPriority w:val="1"/>
    <w:qFormat/>
    <w:rsid w:val="00802DDB"/>
  </w:style>
  <w:style w:type="character" w:customStyle="1" w:styleId="CharSubdText">
    <w:name w:val="CharSubdText"/>
    <w:basedOn w:val="OPCCharBase"/>
    <w:uiPriority w:val="1"/>
    <w:qFormat/>
    <w:rsid w:val="00802DDB"/>
  </w:style>
  <w:style w:type="paragraph" w:customStyle="1" w:styleId="CTA--">
    <w:name w:val="CTA --"/>
    <w:basedOn w:val="OPCParaBase"/>
    <w:next w:val="Normal"/>
    <w:rsid w:val="00802DD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02DD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02DD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02DD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02DD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02DD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02DD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02DD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02DD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02DD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02DD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02DD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02DD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02DD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02DD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02DD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02DD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02DD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02DD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02DD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02DD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02DD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02DD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02DD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02DD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02DD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02DD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02DD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02DD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02DD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02DD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02DD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02DD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02DD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02DD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02DD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02DD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02DD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02DD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02DD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02DD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02DD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02DD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02DD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02DD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02DD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02DD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02DD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02DD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02DD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02DD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02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02DD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02DD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02DD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02DD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02DD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02DD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02DD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02DD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02DD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02DD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02DD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02DD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02DD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02DD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02DD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02DD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02DD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02DD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02DD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02DD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02DDB"/>
    <w:rPr>
      <w:sz w:val="16"/>
    </w:rPr>
  </w:style>
  <w:style w:type="table" w:customStyle="1" w:styleId="CFlag">
    <w:name w:val="CFlag"/>
    <w:basedOn w:val="TableNormal"/>
    <w:uiPriority w:val="99"/>
    <w:rsid w:val="00802DD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02DD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02DD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02DD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02DD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02DD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02DD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02DD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02DD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02DD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02DDB"/>
    <w:pPr>
      <w:spacing w:before="120"/>
    </w:pPr>
  </w:style>
  <w:style w:type="paragraph" w:customStyle="1" w:styleId="TableTextEndNotes">
    <w:name w:val="TableTextEndNotes"/>
    <w:aliases w:val="Tten"/>
    <w:basedOn w:val="Normal"/>
    <w:rsid w:val="00802DD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02DD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02DD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02DD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02DD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02DD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02DD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02DD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02DD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02DD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02DD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02DD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02DDB"/>
  </w:style>
  <w:style w:type="character" w:customStyle="1" w:styleId="CharSubPartNoCASA">
    <w:name w:val="CharSubPartNo(CASA)"/>
    <w:basedOn w:val="OPCCharBase"/>
    <w:uiPriority w:val="1"/>
    <w:rsid w:val="00802DDB"/>
  </w:style>
  <w:style w:type="paragraph" w:customStyle="1" w:styleId="ENoteTTIndentHeadingSub">
    <w:name w:val="ENoteTTIndentHeadingSub"/>
    <w:aliases w:val="enTTHis"/>
    <w:basedOn w:val="OPCParaBase"/>
    <w:rsid w:val="00802DD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02DD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02DD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02DD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0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802DD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02DD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02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02DDB"/>
    <w:rPr>
      <w:sz w:val="22"/>
    </w:rPr>
  </w:style>
  <w:style w:type="paragraph" w:customStyle="1" w:styleId="SOTextNote">
    <w:name w:val="SO TextNote"/>
    <w:aliases w:val="sont"/>
    <w:basedOn w:val="SOText"/>
    <w:qFormat/>
    <w:rsid w:val="00802DD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02DD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02DDB"/>
    <w:rPr>
      <w:sz w:val="22"/>
    </w:rPr>
  </w:style>
  <w:style w:type="paragraph" w:customStyle="1" w:styleId="FileName">
    <w:name w:val="FileName"/>
    <w:basedOn w:val="Normal"/>
    <w:rsid w:val="00802DD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02DD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02DD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02DD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02DD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02DD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02DD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02DD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02DD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02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02DDB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02DDB"/>
  </w:style>
  <w:style w:type="character" w:customStyle="1" w:styleId="Heading5Char">
    <w:name w:val="Heading 5 Char"/>
    <w:basedOn w:val="DefaultParagraphFont"/>
    <w:link w:val="Heading5"/>
    <w:rsid w:val="00961D11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61D1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61D1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61D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D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D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D11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D1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D1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D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D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81"/>
    <w:rPr>
      <w:rFonts w:ascii="Segoe UI" w:hAnsi="Segoe UI" w:cs="Segoe UI"/>
      <w:sz w:val="18"/>
      <w:szCs w:val="18"/>
    </w:rPr>
  </w:style>
  <w:style w:type="paragraph" w:customStyle="1" w:styleId="ShortTP1">
    <w:name w:val="ShortTP1"/>
    <w:basedOn w:val="ShortT"/>
    <w:link w:val="ShortTP1Char"/>
    <w:rsid w:val="00300B75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300B7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00B75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300B75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300B7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933E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933E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933E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12</Pages>
  <Words>1630</Words>
  <Characters>7959</Characters>
  <Application>Microsoft Office Word</Application>
  <DocSecurity>0</DocSecurity>
  <PresentationFormat/>
  <Lines>256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2023-01-31T03:21:00Z</cp:lastPrinted>
  <dcterms:created xsi:type="dcterms:W3CDTF">2023-02-07T04:22:00Z</dcterms:created>
  <dcterms:modified xsi:type="dcterms:W3CDTF">2023-02-16T06:19:00Z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Migration Amendment (Aggregate Sentences) Act 2023</vt:lpwstr>
  </property>
  <property fmtid="{D5CDD505-2E9C-101B-9397-08002B2CF9AE}" pid="3" name="ActNo">
    <vt:lpwstr>No. 1,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OPC8243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