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99FA" w14:textId="36A7D8A7" w:rsidR="00EC5D17" w:rsidRDefault="00372E4C" w:rsidP="00D854E3">
      <w:pPr>
        <w:pStyle w:val="Heading2"/>
        <w:ind w:left="850"/>
      </w:pPr>
      <w:r>
        <w:t xml:space="preserve">Arrangement between the Commonwealth and Tasmania in </w:t>
      </w:r>
      <w:r w:rsidR="00A53B05">
        <w:t xml:space="preserve">relation to marine farming </w:t>
      </w:r>
      <w:r w:rsidR="00A77B88">
        <w:t xml:space="preserve">research </w:t>
      </w:r>
      <w:r w:rsidR="00A53B05">
        <w:t>activities in the Australian Fishing Zone</w:t>
      </w:r>
    </w:p>
    <w:p w14:paraId="5836D9AB" w14:textId="77777777" w:rsidR="00EC5D17" w:rsidRDefault="00EC5D17" w:rsidP="00D854E3">
      <w:pPr>
        <w:pStyle w:val="Heading2"/>
        <w:ind w:left="850"/>
      </w:pPr>
      <w:r>
        <w:t>Definitions</w:t>
      </w:r>
    </w:p>
    <w:p w14:paraId="4B496AC2" w14:textId="77777777" w:rsidR="00EC5D17" w:rsidRDefault="00EC5D17" w:rsidP="00D854E3">
      <w:pPr>
        <w:pStyle w:val="NumberLevel1"/>
        <w:tabs>
          <w:tab w:val="clear" w:pos="709"/>
          <w:tab w:val="num" w:pos="1559"/>
        </w:tabs>
        <w:ind w:left="850"/>
      </w:pPr>
      <w:r>
        <w:t>In this instrument:</w:t>
      </w:r>
    </w:p>
    <w:p w14:paraId="5A91750F" w14:textId="77777777" w:rsidR="00EC5D17" w:rsidRDefault="00EC5D17" w:rsidP="00D854E3">
      <w:pPr>
        <w:pStyle w:val="NumberedLista1"/>
        <w:tabs>
          <w:tab w:val="clear" w:pos="850"/>
          <w:tab w:val="num" w:pos="1275"/>
        </w:tabs>
        <w:ind w:left="1700"/>
      </w:pPr>
      <w:r>
        <w:rPr>
          <w:b/>
          <w:i/>
        </w:rPr>
        <w:t xml:space="preserve">Commonwealth Act </w:t>
      </w:r>
      <w:r>
        <w:t xml:space="preserve">means the </w:t>
      </w:r>
      <w:r>
        <w:rPr>
          <w:i/>
        </w:rPr>
        <w:t xml:space="preserve">Fisheries Management Act 1991 </w:t>
      </w:r>
      <w:r>
        <w:t>(Cth)</w:t>
      </w:r>
      <w:r w:rsidR="00AF02CF">
        <w:t>.</w:t>
      </w:r>
      <w:r>
        <w:t xml:space="preserve"> </w:t>
      </w:r>
    </w:p>
    <w:p w14:paraId="739DAD2F" w14:textId="7062B4AA" w:rsidR="00EC5D17" w:rsidRDefault="00EC5D17" w:rsidP="00D854E3">
      <w:pPr>
        <w:pStyle w:val="NumberedLista1"/>
        <w:tabs>
          <w:tab w:val="clear" w:pos="850"/>
          <w:tab w:val="num" w:pos="1275"/>
        </w:tabs>
        <w:ind w:left="1700"/>
      </w:pPr>
      <w:r>
        <w:rPr>
          <w:b/>
          <w:i/>
        </w:rPr>
        <w:t xml:space="preserve">relevant waters </w:t>
      </w:r>
      <w:r>
        <w:t xml:space="preserve">means waters on the seaward side of the coastal waters of Tasmania </w:t>
      </w:r>
      <w:r w:rsidR="00AF02CF">
        <w:t xml:space="preserve">that are </w:t>
      </w:r>
      <w:r w:rsidR="00A53B05">
        <w:t>to be managed in accordance with</w:t>
      </w:r>
      <w:r w:rsidR="00AF02CF">
        <w:t xml:space="preserve"> this arrangement</w:t>
      </w:r>
      <w:r w:rsidR="001D3339">
        <w:t xml:space="preserve">, being </w:t>
      </w:r>
      <w:r w:rsidR="000923BC">
        <w:t xml:space="preserve">the area </w:t>
      </w:r>
      <w:r w:rsidR="005E1A84">
        <w:t>enclosed by</w:t>
      </w:r>
      <w:r w:rsidR="00D4130A">
        <w:t>:</w:t>
      </w:r>
    </w:p>
    <w:tbl>
      <w:tblPr>
        <w:tblStyle w:val="TableGrid"/>
        <w:tblW w:w="0" w:type="auto"/>
        <w:tblInd w:w="1275" w:type="dxa"/>
        <w:tblLook w:val="04A0" w:firstRow="1" w:lastRow="0" w:firstColumn="1" w:lastColumn="0" w:noHBand="0" w:noVBand="1"/>
      </w:tblPr>
      <w:tblGrid>
        <w:gridCol w:w="1560"/>
        <w:gridCol w:w="5103"/>
      </w:tblGrid>
      <w:tr w:rsidR="006F7FCD" w14:paraId="4BC7F40F" w14:textId="77777777" w:rsidTr="003154BD">
        <w:tc>
          <w:tcPr>
            <w:tcW w:w="1560" w:type="dxa"/>
          </w:tcPr>
          <w:p w14:paraId="2770E950" w14:textId="14C2118D" w:rsidR="006F7FCD" w:rsidRPr="00AD50F0" w:rsidRDefault="006F7FCD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 w:rsidRPr="00AD50F0">
              <w:t xml:space="preserve">NW corner: </w:t>
            </w:r>
          </w:p>
        </w:tc>
        <w:tc>
          <w:tcPr>
            <w:tcW w:w="5103" w:type="dxa"/>
          </w:tcPr>
          <w:p w14:paraId="31B36F77" w14:textId="253E64AC" w:rsidR="006F7FCD" w:rsidRDefault="005E1A84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>
              <w:t>145° 55’ 11.86061’’E       40° 55’ 34.99345’’S</w:t>
            </w:r>
          </w:p>
        </w:tc>
      </w:tr>
      <w:tr w:rsidR="006F7FCD" w14:paraId="36CAC009" w14:textId="77777777" w:rsidTr="003154BD">
        <w:tc>
          <w:tcPr>
            <w:tcW w:w="1560" w:type="dxa"/>
          </w:tcPr>
          <w:p w14:paraId="50EAB665" w14:textId="1BBF8A7F" w:rsidR="006F7FCD" w:rsidRPr="00AD50F0" w:rsidRDefault="006F7FCD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 w:rsidRPr="00AD50F0">
              <w:t>NE</w:t>
            </w:r>
            <w:r w:rsidR="005E1A84" w:rsidRPr="00AD50F0">
              <w:t xml:space="preserve"> corner</w:t>
            </w:r>
            <w:r w:rsidRPr="00AD50F0">
              <w:t xml:space="preserve">: </w:t>
            </w:r>
          </w:p>
        </w:tc>
        <w:tc>
          <w:tcPr>
            <w:tcW w:w="5103" w:type="dxa"/>
          </w:tcPr>
          <w:p w14:paraId="57641D74" w14:textId="5AE29854" w:rsidR="006F7FCD" w:rsidRDefault="005E1A84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 w:rsidRPr="005E1A84">
              <w:t>145° 56’ 46.03965’’E       40° 55’ 34.99345’’S</w:t>
            </w:r>
          </w:p>
        </w:tc>
      </w:tr>
      <w:tr w:rsidR="005E1A84" w14:paraId="13D984B8" w14:textId="77777777" w:rsidTr="003154BD">
        <w:tc>
          <w:tcPr>
            <w:tcW w:w="6663" w:type="dxa"/>
            <w:gridSpan w:val="2"/>
          </w:tcPr>
          <w:p w14:paraId="2AD4690C" w14:textId="77777777" w:rsidR="005E1A84" w:rsidRPr="00AD50F0" w:rsidRDefault="005E1A84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 w:rsidRPr="00AD50F0">
              <w:t>The point due south of the NW corner that intersects the Tasmanian coastal waters boundary</w:t>
            </w:r>
          </w:p>
          <w:p w14:paraId="4433D75B" w14:textId="5B33E1EA" w:rsidR="005E1A84" w:rsidRPr="00AD50F0" w:rsidRDefault="005E1A84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 w:rsidRPr="00AD50F0">
              <w:t>the Tasmanian coastal waters boundary; and</w:t>
            </w:r>
          </w:p>
        </w:tc>
      </w:tr>
      <w:tr w:rsidR="005E1A84" w14:paraId="62336CDD" w14:textId="77777777" w:rsidTr="003154BD">
        <w:tc>
          <w:tcPr>
            <w:tcW w:w="6663" w:type="dxa"/>
            <w:gridSpan w:val="2"/>
          </w:tcPr>
          <w:p w14:paraId="17102A4C" w14:textId="1B159E1B" w:rsidR="005E1A84" w:rsidRPr="00AD50F0" w:rsidRDefault="005E1A84" w:rsidP="00D854E3">
            <w:pPr>
              <w:pStyle w:val="NumberedLista1"/>
              <w:numPr>
                <w:ilvl w:val="0"/>
                <w:numId w:val="0"/>
              </w:numPr>
              <w:ind w:left="425"/>
            </w:pPr>
            <w:r w:rsidRPr="00AD50F0">
              <w:t xml:space="preserve">the point due south of the NE corner that intersects with the Tasmanian coastal waters boundary. </w:t>
            </w:r>
          </w:p>
        </w:tc>
      </w:tr>
    </w:tbl>
    <w:p w14:paraId="2B95FFFD" w14:textId="2D400874" w:rsidR="00AF02CF" w:rsidRPr="001D3339" w:rsidRDefault="001D3339" w:rsidP="00D854E3">
      <w:pPr>
        <w:pStyle w:val="NumberedLista1"/>
        <w:tabs>
          <w:tab w:val="clear" w:pos="850"/>
          <w:tab w:val="num" w:pos="1275"/>
        </w:tabs>
        <w:spacing w:before="120"/>
        <w:ind w:left="1700"/>
      </w:pPr>
      <w:r>
        <w:rPr>
          <w:b/>
          <w:i/>
        </w:rPr>
        <w:t xml:space="preserve">Tasmanian Act </w:t>
      </w:r>
      <w:r>
        <w:t xml:space="preserve">means the </w:t>
      </w:r>
      <w:r w:rsidRPr="00587D51">
        <w:rPr>
          <w:i/>
        </w:rPr>
        <w:t>Living Marine Resources Management Act 1995</w:t>
      </w:r>
      <w:r w:rsidRPr="00587D51">
        <w:t xml:space="preserve"> (Tas)</w:t>
      </w:r>
      <w:r>
        <w:t>.</w:t>
      </w:r>
    </w:p>
    <w:p w14:paraId="348A6448" w14:textId="77777777" w:rsidR="001A4464" w:rsidRDefault="00CB36CC" w:rsidP="00D854E3">
      <w:pPr>
        <w:pStyle w:val="Heading2"/>
        <w:ind w:left="850"/>
      </w:pPr>
      <w:r>
        <w:t>The A</w:t>
      </w:r>
      <w:r w:rsidR="001A4464">
        <w:t>rrangement</w:t>
      </w:r>
    </w:p>
    <w:p w14:paraId="3C35E0B1" w14:textId="4C1E51AB" w:rsidR="00EC5D17" w:rsidRDefault="00587D51" w:rsidP="00D854E3">
      <w:pPr>
        <w:pStyle w:val="NumberLevel1"/>
        <w:tabs>
          <w:tab w:val="clear" w:pos="709"/>
          <w:tab w:val="num" w:pos="1134"/>
        </w:tabs>
        <w:ind w:left="850"/>
      </w:pPr>
      <w:r>
        <w:t>This arrangement is entered into by the Commonwe</w:t>
      </w:r>
      <w:r w:rsidR="001A4464">
        <w:t xml:space="preserve">alth and Tasmania in accordance with s 72 of </w:t>
      </w:r>
      <w:r w:rsidRPr="001A4464">
        <w:t>the Commonwealth Act</w:t>
      </w:r>
      <w:r>
        <w:t xml:space="preserve"> and s 161 of </w:t>
      </w:r>
      <w:r w:rsidR="001A4464">
        <w:t xml:space="preserve">the </w:t>
      </w:r>
      <w:r w:rsidRPr="001A4464">
        <w:t>Tasmanian Act.</w:t>
      </w:r>
      <w:r>
        <w:t xml:space="preserve"> </w:t>
      </w:r>
      <w:r>
        <w:rPr>
          <w:i/>
        </w:rPr>
        <w:t xml:space="preserve"> </w:t>
      </w:r>
      <w:r w:rsidR="00372E4C">
        <w:t xml:space="preserve"> </w:t>
      </w:r>
      <w:bookmarkStart w:id="0" w:name="_Ref91000210"/>
    </w:p>
    <w:p w14:paraId="307C8621" w14:textId="202C1512" w:rsidR="00E24EEA" w:rsidRDefault="00587D51" w:rsidP="00D854E3">
      <w:pPr>
        <w:pStyle w:val="NumberLevel1"/>
        <w:tabs>
          <w:tab w:val="clear" w:pos="709"/>
          <w:tab w:val="num" w:pos="1134"/>
        </w:tabs>
        <w:ind w:left="850"/>
      </w:pPr>
      <w:bookmarkStart w:id="1" w:name="_Ref97205446"/>
      <w:bookmarkStart w:id="2" w:name="_Ref91073272"/>
      <w:r>
        <w:t xml:space="preserve">The Commonwealth and Tasmania intend that </w:t>
      </w:r>
      <w:r w:rsidR="00CB36CC">
        <w:t xml:space="preserve">activities with respect to </w:t>
      </w:r>
      <w:r w:rsidR="00D23217">
        <w:t xml:space="preserve">the </w:t>
      </w:r>
      <w:r w:rsidR="00CB36CC">
        <w:t>marin</w:t>
      </w:r>
      <w:r w:rsidR="00D23217">
        <w:t>e</w:t>
      </w:r>
      <w:r w:rsidR="00CB36CC">
        <w:t xml:space="preserve"> farm</w:t>
      </w:r>
      <w:r w:rsidR="00D23217">
        <w:t xml:space="preserve">ing of fish for research purposes </w:t>
      </w:r>
      <w:r w:rsidR="00A814F6">
        <w:t xml:space="preserve">carried out in </w:t>
      </w:r>
      <w:r w:rsidR="00CB36CC">
        <w:t xml:space="preserve">relevant </w:t>
      </w:r>
      <w:r w:rsidR="00A814F6">
        <w:t>waters</w:t>
      </w:r>
      <w:r w:rsidR="008A666A">
        <w:t xml:space="preserve"> are to be </w:t>
      </w:r>
      <w:r w:rsidR="00A814F6">
        <w:t>managed</w:t>
      </w:r>
      <w:r w:rsidR="008A666A">
        <w:t xml:space="preserve"> in accordance with the laws of Tasmania</w:t>
      </w:r>
      <w:r w:rsidR="00E24EEA">
        <w:t>.</w:t>
      </w:r>
      <w:bookmarkEnd w:id="1"/>
    </w:p>
    <w:p w14:paraId="79F9CB87" w14:textId="77DA3DB1" w:rsidR="00A814F6" w:rsidRDefault="00E24EEA" w:rsidP="00D854E3">
      <w:pPr>
        <w:pStyle w:val="NumberLevel1"/>
        <w:tabs>
          <w:tab w:val="clear" w:pos="709"/>
          <w:tab w:val="num" w:pos="1134"/>
        </w:tabs>
        <w:ind w:left="850"/>
      </w:pPr>
      <w:bookmarkStart w:id="3" w:name="_Ref97205810"/>
      <w:r>
        <w:t xml:space="preserve">This arrangement applies </w:t>
      </w:r>
      <w:r w:rsidR="00D23217">
        <w:t>to the extent that</w:t>
      </w:r>
      <w:r>
        <w:t xml:space="preserve"> the activities described in paragraph </w:t>
      </w:r>
      <w:r>
        <w:fldChar w:fldCharType="begin"/>
      </w:r>
      <w:r>
        <w:instrText xml:space="preserve"> REF _Ref97205446 \r \h </w:instrText>
      </w:r>
      <w:r>
        <w:fldChar w:fldCharType="separate"/>
      </w:r>
      <w:r w:rsidR="003A290F">
        <w:t>3</w:t>
      </w:r>
      <w:r>
        <w:fldChar w:fldCharType="end"/>
      </w:r>
      <w:r>
        <w:t xml:space="preserve"> amount to</w:t>
      </w:r>
      <w:r w:rsidR="00D23217">
        <w:t>:</w:t>
      </w:r>
      <w:bookmarkEnd w:id="0"/>
      <w:bookmarkEnd w:id="2"/>
      <w:bookmarkEnd w:id="3"/>
    </w:p>
    <w:p w14:paraId="40EC18CB" w14:textId="30DC7D8D" w:rsidR="00D23217" w:rsidRDefault="00D23217" w:rsidP="00D854E3">
      <w:pPr>
        <w:pStyle w:val="NumberedLista1"/>
        <w:numPr>
          <w:ilvl w:val="1"/>
          <w:numId w:val="30"/>
        </w:numPr>
        <w:tabs>
          <w:tab w:val="clear" w:pos="992"/>
          <w:tab w:val="num" w:pos="1417"/>
        </w:tabs>
        <w:ind w:left="1842"/>
      </w:pPr>
      <w:bookmarkStart w:id="4" w:name="_Ref91000190"/>
      <w:r>
        <w:t xml:space="preserve">the marine farming of fish </w:t>
      </w:r>
      <w:r w:rsidR="00E24EEA">
        <w:t>for research purposes in accordance with s 161(6) of the Tasmanian Act, and</w:t>
      </w:r>
    </w:p>
    <w:p w14:paraId="64EC54FF" w14:textId="20CD0248" w:rsidR="00E24EEA" w:rsidRDefault="00E24EEA" w:rsidP="00D854E3">
      <w:pPr>
        <w:pStyle w:val="NumberedLista1"/>
        <w:numPr>
          <w:ilvl w:val="1"/>
          <w:numId w:val="30"/>
        </w:numPr>
        <w:tabs>
          <w:tab w:val="clear" w:pos="992"/>
          <w:tab w:val="num" w:pos="1417"/>
        </w:tabs>
        <w:ind w:left="1842"/>
      </w:pPr>
      <w:bookmarkStart w:id="5" w:name="_Ref97205811"/>
      <w:r>
        <w:t>a class of activities by way of</w:t>
      </w:r>
      <w:r w:rsidR="004115B3">
        <w:t xml:space="preserve"> fishing for the purpose of </w:t>
      </w:r>
      <w:r>
        <w:t>the Commonwealth Act</w:t>
      </w:r>
      <w:r w:rsidR="001F425A">
        <w:t xml:space="preserve">, </w:t>
      </w:r>
      <w:r>
        <w:t>including:</w:t>
      </w:r>
      <w:bookmarkEnd w:id="5"/>
    </w:p>
    <w:p w14:paraId="7F01E317" w14:textId="1499532B" w:rsidR="00183982" w:rsidRDefault="00E24EEA" w:rsidP="00D854E3">
      <w:pPr>
        <w:pStyle w:val="NumberedLista1"/>
        <w:numPr>
          <w:ilvl w:val="0"/>
          <w:numId w:val="31"/>
        </w:numPr>
        <w:ind w:left="2562"/>
      </w:pPr>
      <w:bookmarkStart w:id="6" w:name="_Ref97205813"/>
      <w:r>
        <w:t>t</w:t>
      </w:r>
      <w:r w:rsidR="00CA4648">
        <w:t>he taking of fish</w:t>
      </w:r>
      <w:r w:rsidR="00487254">
        <w:t xml:space="preserve"> </w:t>
      </w:r>
      <w:r w:rsidR="000740A9">
        <w:t>in relevant waters</w:t>
      </w:r>
      <w:r w:rsidR="0024514A">
        <w:t xml:space="preserve"> </w:t>
      </w:r>
      <w:bookmarkEnd w:id="4"/>
      <w:bookmarkEnd w:id="6"/>
    </w:p>
    <w:p w14:paraId="0671DCAD" w14:textId="704E99E1" w:rsidR="00EE011E" w:rsidRDefault="00E24EEA" w:rsidP="00D854E3">
      <w:pPr>
        <w:pStyle w:val="NumberedLista2"/>
        <w:numPr>
          <w:ilvl w:val="0"/>
          <w:numId w:val="31"/>
        </w:numPr>
        <w:ind w:left="2562"/>
      </w:pPr>
      <w:bookmarkStart w:id="7" w:name="_Ref97205832"/>
      <w:bookmarkStart w:id="8" w:name="_Ref91000198"/>
      <w:r>
        <w:t>a</w:t>
      </w:r>
      <w:r w:rsidR="00D95541">
        <w:t xml:space="preserve">ny activities performed </w:t>
      </w:r>
      <w:r w:rsidR="001F425A">
        <w:t>i</w:t>
      </w:r>
      <w:r w:rsidR="00D95541">
        <w:t xml:space="preserve">n </w:t>
      </w:r>
      <w:r w:rsidR="000740A9">
        <w:t>relevant waters</w:t>
      </w:r>
      <w:r w:rsidR="004310E1">
        <w:t xml:space="preserve"> which could reasonably be expected to result in the taking of fish</w:t>
      </w:r>
      <w:r>
        <w:t>, or</w:t>
      </w:r>
      <w:bookmarkEnd w:id="7"/>
      <w:bookmarkEnd w:id="8"/>
      <w:r w:rsidR="00EE011E" w:rsidRPr="00EE011E">
        <w:t xml:space="preserve"> </w:t>
      </w:r>
    </w:p>
    <w:p w14:paraId="74183BD3" w14:textId="2E6F60D4" w:rsidR="00EE011E" w:rsidRDefault="00E24EEA" w:rsidP="00D854E3">
      <w:pPr>
        <w:pStyle w:val="NumberedLista2"/>
        <w:numPr>
          <w:ilvl w:val="0"/>
          <w:numId w:val="32"/>
        </w:numPr>
        <w:ind w:left="2562"/>
      </w:pPr>
      <w:bookmarkStart w:id="9" w:name="_Ref92358281"/>
      <w:r>
        <w:lastRenderedPageBreak/>
        <w:t>a</w:t>
      </w:r>
      <w:r w:rsidR="004310E1">
        <w:t xml:space="preserve">ny operations in </w:t>
      </w:r>
      <w:r w:rsidR="000740A9">
        <w:t>relevant waters</w:t>
      </w:r>
      <w:r w:rsidR="004310E1">
        <w:t xml:space="preserve"> that are directly in support of, or in preparation for</w:t>
      </w:r>
      <w:r w:rsidR="004115B3">
        <w:t xml:space="preserve"> either of the </w:t>
      </w:r>
      <w:r w:rsidR="004310E1">
        <w:t>activit</w:t>
      </w:r>
      <w:r w:rsidR="004115B3">
        <w:t>ies</w:t>
      </w:r>
      <w:r w:rsidR="004310E1">
        <w:t xml:space="preserve"> described </w:t>
      </w:r>
      <w:r w:rsidR="004115B3">
        <w:t>above at cl </w:t>
      </w:r>
      <w:r w:rsidR="004115B3">
        <w:fldChar w:fldCharType="begin"/>
      </w:r>
      <w:r w:rsidR="004115B3">
        <w:instrText xml:space="preserve"> REF _Ref97205810 \r \h </w:instrText>
      </w:r>
      <w:r w:rsidR="004115B3">
        <w:fldChar w:fldCharType="separate"/>
      </w:r>
      <w:r w:rsidR="003A290F">
        <w:t>4</w:t>
      </w:r>
      <w:r w:rsidR="004115B3">
        <w:fldChar w:fldCharType="end"/>
      </w:r>
      <w:r w:rsidR="008C48BA">
        <w:t>(</w:t>
      </w:r>
      <w:r w:rsidR="004115B3">
        <w:fldChar w:fldCharType="begin"/>
      </w:r>
      <w:r w:rsidR="004115B3">
        <w:instrText xml:space="preserve"> REF _Ref97205811 \r \h </w:instrText>
      </w:r>
      <w:r w:rsidR="004115B3">
        <w:fldChar w:fldCharType="separate"/>
      </w:r>
      <w:r w:rsidR="003A290F">
        <w:t>b)</w:t>
      </w:r>
      <w:r w:rsidR="004115B3">
        <w:fldChar w:fldCharType="end"/>
      </w:r>
      <w:r w:rsidR="004115B3">
        <w:fldChar w:fldCharType="begin"/>
      </w:r>
      <w:r w:rsidR="004115B3">
        <w:instrText xml:space="preserve"> REF _Ref97205813 \r \h </w:instrText>
      </w:r>
      <w:r w:rsidR="004115B3">
        <w:fldChar w:fldCharType="separate"/>
      </w:r>
      <w:r w:rsidR="003A290F">
        <w:t>(i)</w:t>
      </w:r>
      <w:r w:rsidR="004115B3">
        <w:fldChar w:fldCharType="end"/>
      </w:r>
      <w:r w:rsidR="004115B3">
        <w:t xml:space="preserve"> or cl </w:t>
      </w:r>
      <w:r w:rsidR="004115B3">
        <w:fldChar w:fldCharType="begin"/>
      </w:r>
      <w:r w:rsidR="004115B3">
        <w:instrText xml:space="preserve"> REF _Ref97205810 \r \h </w:instrText>
      </w:r>
      <w:r w:rsidR="004115B3">
        <w:fldChar w:fldCharType="separate"/>
      </w:r>
      <w:r w:rsidR="003A290F">
        <w:t>4</w:t>
      </w:r>
      <w:r w:rsidR="004115B3">
        <w:fldChar w:fldCharType="end"/>
      </w:r>
      <w:r w:rsidR="008C48BA">
        <w:t>(</w:t>
      </w:r>
      <w:r w:rsidR="004115B3">
        <w:fldChar w:fldCharType="begin"/>
      </w:r>
      <w:r w:rsidR="004115B3">
        <w:instrText xml:space="preserve"> REF _Ref97205811 \r \h </w:instrText>
      </w:r>
      <w:r w:rsidR="004115B3">
        <w:fldChar w:fldCharType="separate"/>
      </w:r>
      <w:r w:rsidR="003A290F">
        <w:t>b)</w:t>
      </w:r>
      <w:r w:rsidR="004115B3">
        <w:fldChar w:fldCharType="end"/>
      </w:r>
      <w:r w:rsidR="004115B3">
        <w:fldChar w:fldCharType="begin"/>
      </w:r>
      <w:r w:rsidR="004115B3">
        <w:instrText xml:space="preserve"> REF _Ref97205832 \r \h </w:instrText>
      </w:r>
      <w:r w:rsidR="004115B3">
        <w:fldChar w:fldCharType="separate"/>
      </w:r>
      <w:r w:rsidR="003A290F">
        <w:t>(ii)</w:t>
      </w:r>
      <w:r w:rsidR="004115B3">
        <w:fldChar w:fldCharType="end"/>
      </w:r>
      <w:r w:rsidR="004310E1">
        <w:t>.</w:t>
      </w:r>
      <w:bookmarkEnd w:id="9"/>
      <w:r w:rsidR="00EE011E" w:rsidRPr="00EE011E">
        <w:t xml:space="preserve"> </w:t>
      </w:r>
    </w:p>
    <w:p w14:paraId="3429BEFC" w14:textId="2AE4E56D" w:rsidR="00C94D12" w:rsidRDefault="00BA4007" w:rsidP="00D854E3">
      <w:pPr>
        <w:pStyle w:val="LegislativeNote"/>
        <w:ind w:left="2977"/>
      </w:pPr>
      <w:r>
        <w:t>Note</w:t>
      </w:r>
      <w:r w:rsidR="00087695">
        <w:t xml:space="preserve">: </w:t>
      </w:r>
      <w:r w:rsidR="00087695">
        <w:tab/>
        <w:t>Section 72 of the Commonwealth Act allow</w:t>
      </w:r>
      <w:r w:rsidR="004115B3">
        <w:t>s</w:t>
      </w:r>
      <w:r w:rsidR="00087695">
        <w:t xml:space="preserve"> the Commonwealth and Tasmania to enter into an arrangement in relation to the management of a ‘fishery’ within the meaning of </w:t>
      </w:r>
      <w:r w:rsidR="004115B3">
        <w:t xml:space="preserve">s 4 of the Commonwealth </w:t>
      </w:r>
      <w:r w:rsidR="00087695">
        <w:t xml:space="preserve">Act. A ‘fishery’ is defined in </w:t>
      </w:r>
      <w:r w:rsidR="004115B3">
        <w:t xml:space="preserve">the Commonwealth </w:t>
      </w:r>
      <w:r w:rsidR="00C94D12">
        <w:t xml:space="preserve">Act by reference to activities that amount to ‘fishing’, including the activities described above in </w:t>
      </w:r>
      <w:r w:rsidR="004115B3">
        <w:t xml:space="preserve">clauses </w:t>
      </w:r>
      <w:r w:rsidR="004115B3">
        <w:fldChar w:fldCharType="begin"/>
      </w:r>
      <w:r w:rsidR="004115B3">
        <w:instrText xml:space="preserve"> REF _Ref97205810 \r \h </w:instrText>
      </w:r>
      <w:r w:rsidR="004115B3">
        <w:fldChar w:fldCharType="separate"/>
      </w:r>
      <w:r w:rsidR="003A290F">
        <w:t>4</w:t>
      </w:r>
      <w:r w:rsidR="004115B3">
        <w:fldChar w:fldCharType="end"/>
      </w:r>
      <w:r w:rsidR="004115B3">
        <w:fldChar w:fldCharType="begin"/>
      </w:r>
      <w:r w:rsidR="004115B3">
        <w:instrText xml:space="preserve"> REF _Ref97205811 \r \h </w:instrText>
      </w:r>
      <w:r w:rsidR="004115B3">
        <w:fldChar w:fldCharType="separate"/>
      </w:r>
      <w:r w:rsidR="003A290F">
        <w:t>b)</w:t>
      </w:r>
      <w:r w:rsidR="004115B3">
        <w:fldChar w:fldCharType="end"/>
      </w:r>
      <w:r w:rsidR="004115B3">
        <w:fldChar w:fldCharType="begin"/>
      </w:r>
      <w:r w:rsidR="004115B3">
        <w:instrText xml:space="preserve"> REF _Ref97205813 \r \h </w:instrText>
      </w:r>
      <w:r w:rsidR="004115B3">
        <w:fldChar w:fldCharType="separate"/>
      </w:r>
      <w:r w:rsidR="003A290F">
        <w:t>(i)</w:t>
      </w:r>
      <w:r w:rsidR="004115B3">
        <w:fldChar w:fldCharType="end"/>
      </w:r>
      <w:r w:rsidR="00C94D12">
        <w:t xml:space="preserve"> to </w:t>
      </w:r>
      <w:r w:rsidR="00C94D12">
        <w:fldChar w:fldCharType="begin"/>
      </w:r>
      <w:r w:rsidR="00C94D12">
        <w:instrText xml:space="preserve"> REF _Ref92358281 \r \h </w:instrText>
      </w:r>
      <w:r w:rsidR="00C94D12">
        <w:fldChar w:fldCharType="separate"/>
      </w:r>
      <w:r w:rsidR="003A290F">
        <w:t>(iii)</w:t>
      </w:r>
      <w:r w:rsidR="00C94D12">
        <w:fldChar w:fldCharType="end"/>
      </w:r>
      <w:r w:rsidR="00C94D12">
        <w:t xml:space="preserve">. </w:t>
      </w:r>
      <w:r w:rsidR="00087695">
        <w:t xml:space="preserve"> </w:t>
      </w:r>
    </w:p>
    <w:p w14:paraId="3A673FD1" w14:textId="244A00F3" w:rsidR="004115B3" w:rsidRDefault="004115B3" w:rsidP="00D854E3">
      <w:pPr>
        <w:pStyle w:val="LegislativeNote"/>
        <w:ind w:left="2977"/>
      </w:pPr>
      <w:r>
        <w:tab/>
        <w:t xml:space="preserve">Section 161(1) of the Tasmanian Act allows Tasmania to enter into an arrangement with the Commonwealth in relation to the management of a particular fishery within State waters. Section 161(6) of the Tasmanian Act expressly provides that the marine farming of fish for research purposes is a fishery to which an arrangement under s 161 may apply. </w:t>
      </w:r>
    </w:p>
    <w:p w14:paraId="28E82242" w14:textId="77777777" w:rsidR="000740A9" w:rsidRDefault="000740A9" w:rsidP="00D854E3">
      <w:pPr>
        <w:pStyle w:val="Heading2"/>
        <w:ind w:left="850"/>
      </w:pPr>
      <w:r>
        <w:t xml:space="preserve">Severance </w:t>
      </w:r>
    </w:p>
    <w:p w14:paraId="6C76F5B9" w14:textId="6E90DF25" w:rsidR="000740A9" w:rsidRDefault="004310E1" w:rsidP="00D854E3">
      <w:pPr>
        <w:pStyle w:val="NumberLevel1"/>
        <w:tabs>
          <w:tab w:val="clear" w:pos="709"/>
          <w:tab w:val="num" w:pos="1559"/>
        </w:tabs>
        <w:ind w:left="850"/>
      </w:pPr>
      <w:r>
        <w:t xml:space="preserve">It is the intention of </w:t>
      </w:r>
      <w:r w:rsidR="000740A9">
        <w:t>both the Commonwealth and Tasmania</w:t>
      </w:r>
      <w:r>
        <w:t xml:space="preserve"> that</w:t>
      </w:r>
      <w:r w:rsidR="003C3F21">
        <w:t xml:space="preserve"> </w:t>
      </w:r>
      <w:r w:rsidR="0072604C">
        <w:t>the</w:t>
      </w:r>
      <w:r w:rsidR="0072604C" w:rsidRPr="003C3F21">
        <w:t xml:space="preserve"> </w:t>
      </w:r>
      <w:r w:rsidR="003C3F21" w:rsidRPr="003C3F21">
        <w:t>arrangement entered into in accordance with this instrument has effect only to the extent that it is supported by both the Commonw</w:t>
      </w:r>
      <w:r w:rsidR="003C3F21">
        <w:t>ealth Act and the Tasmanian Act</w:t>
      </w:r>
      <w:r w:rsidR="000740A9">
        <w:t>.</w:t>
      </w:r>
    </w:p>
    <w:p w14:paraId="2ABD9971" w14:textId="77777777" w:rsidR="003C3F21" w:rsidRDefault="000740A9" w:rsidP="00D854E3">
      <w:pPr>
        <w:pStyle w:val="NumberLevel1"/>
        <w:tabs>
          <w:tab w:val="clear" w:pos="709"/>
          <w:tab w:val="num" w:pos="1134"/>
        </w:tabs>
        <w:ind w:left="850"/>
      </w:pPr>
      <w:r>
        <w:t>I</w:t>
      </w:r>
      <w:r w:rsidR="003C3F21" w:rsidRPr="003C3F21">
        <w:t xml:space="preserve">f any </w:t>
      </w:r>
      <w:r w:rsidR="00164FAB">
        <w:t>aspect of</w:t>
      </w:r>
      <w:r w:rsidR="003C3F21" w:rsidRPr="003C3F21">
        <w:t xml:space="preserve"> this arrangement is found to be invalid or unenforceable</w:t>
      </w:r>
      <w:r w:rsidR="00164FAB">
        <w:t xml:space="preserve"> for any reason</w:t>
      </w:r>
      <w:r w:rsidR="003C3F21" w:rsidRPr="003C3F21">
        <w:t>,</w:t>
      </w:r>
      <w:r w:rsidR="003C3F21">
        <w:t xml:space="preserve"> </w:t>
      </w:r>
      <w:r>
        <w:t xml:space="preserve">it is the intention of both the Commonwealth and Tasmania that </w:t>
      </w:r>
      <w:r w:rsidR="00164FAB">
        <w:t xml:space="preserve">only the invalid or unenforceable </w:t>
      </w:r>
      <w:r w:rsidR="00F32A2B">
        <w:t>aspect</w:t>
      </w:r>
      <w:r w:rsidR="00164FAB">
        <w:t xml:space="preserve"> is to be of no effect and every other aspect of the</w:t>
      </w:r>
      <w:r w:rsidR="003C3F21">
        <w:t xml:space="preserve"> arrangement</w:t>
      </w:r>
      <w:r w:rsidR="00322C09">
        <w:t xml:space="preserve"> is to continue to have effect </w:t>
      </w:r>
      <w:r w:rsidR="00F32A2B">
        <w:t>according to</w:t>
      </w:r>
      <w:r w:rsidR="00661C01">
        <w:t xml:space="preserve"> its</w:t>
      </w:r>
      <w:r w:rsidR="00322C09">
        <w:t xml:space="preserve"> terms. </w:t>
      </w:r>
    </w:p>
    <w:p w14:paraId="1C8D8A39" w14:textId="5CFE30F1" w:rsidR="00326C4D" w:rsidRDefault="00326C4D" w:rsidP="00D854E3">
      <w:pPr>
        <w:pStyle w:val="AdviceHeading2"/>
        <w:ind w:left="850"/>
      </w:pPr>
      <w:r>
        <w:t>Termination</w:t>
      </w:r>
      <w:r w:rsidR="0072604C">
        <w:t xml:space="preserve"> of the arrangement</w:t>
      </w:r>
    </w:p>
    <w:p w14:paraId="3BAA1F7E" w14:textId="630C9E68" w:rsidR="0072604C" w:rsidRDefault="00F3669E" w:rsidP="00D854E3">
      <w:pPr>
        <w:pStyle w:val="AdviceNumLevel1"/>
        <w:tabs>
          <w:tab w:val="clear" w:pos="709"/>
          <w:tab w:val="num" w:pos="1134"/>
        </w:tabs>
        <w:ind w:left="850"/>
      </w:pPr>
      <w:r w:rsidRPr="008C48BA">
        <w:t>It is the intention of both the Commonwealth and Tasmania that t</w:t>
      </w:r>
      <w:r w:rsidR="00B25ED5" w:rsidRPr="008C48BA">
        <w:t xml:space="preserve">his arrangement </w:t>
      </w:r>
      <w:r w:rsidR="00D8603F" w:rsidRPr="008C48BA">
        <w:t>will</w:t>
      </w:r>
      <w:r w:rsidR="00B25ED5" w:rsidRPr="008C48BA">
        <w:t xml:space="preserve"> </w:t>
      </w:r>
      <w:r w:rsidRPr="008C48BA">
        <w:t xml:space="preserve">be </w:t>
      </w:r>
      <w:r w:rsidR="00B25ED5" w:rsidRPr="008C48BA">
        <w:t>t</w:t>
      </w:r>
      <w:r w:rsidR="00D8603F" w:rsidRPr="008C48BA">
        <w:t>erminate</w:t>
      </w:r>
      <w:r w:rsidRPr="008C48BA">
        <w:t>d</w:t>
      </w:r>
      <w:r w:rsidR="00B25ED5">
        <w:t xml:space="preserve"> in accordance with s 75 of the Commonwealth Act and s 161 of the Tasmanian Act</w:t>
      </w:r>
      <w:r w:rsidR="00A43DB8">
        <w:t xml:space="preserve">. </w:t>
      </w:r>
      <w:r w:rsidR="00D8603F">
        <w:t xml:space="preserve"> </w:t>
      </w:r>
    </w:p>
    <w:p w14:paraId="192BEAA3" w14:textId="77777777" w:rsidR="000923BC" w:rsidRDefault="000923BC" w:rsidP="00D854E3">
      <w:pPr>
        <w:ind w:left="850"/>
        <w:rPr>
          <w:b/>
        </w:rPr>
      </w:pPr>
      <w:r>
        <w:br w:type="page"/>
      </w:r>
    </w:p>
    <w:p w14:paraId="4F88EBFB" w14:textId="3CB57A91" w:rsidR="00EE1E49" w:rsidRDefault="00EE1E49" w:rsidP="00D854E3">
      <w:pPr>
        <w:pStyle w:val="AdviceHeading2"/>
        <w:ind w:left="850"/>
      </w:pPr>
      <w:r>
        <w:lastRenderedPageBreak/>
        <w:t>Execution</w:t>
      </w:r>
    </w:p>
    <w:p w14:paraId="591D5E0E" w14:textId="77197925" w:rsidR="00EE1E49" w:rsidRDefault="00EE1E49" w:rsidP="00D854E3">
      <w:pPr>
        <w:pStyle w:val="AdviceNumLevel1"/>
        <w:keepNext/>
        <w:tabs>
          <w:tab w:val="clear" w:pos="709"/>
          <w:tab w:val="num" w:pos="1559"/>
        </w:tabs>
        <w:ind w:left="850"/>
      </w:pPr>
      <w:r>
        <w:t>This instrument is made by the Commonwealth and Tasmania by:</w:t>
      </w:r>
    </w:p>
    <w:tbl>
      <w:tblPr>
        <w:tblpPr w:leftFromText="180" w:rightFromText="180" w:vertAnchor="text" w:tblpY="1"/>
        <w:tblOverlap w:val="never"/>
        <w:tblW w:w="5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119"/>
        <w:gridCol w:w="709"/>
        <w:gridCol w:w="141"/>
        <w:gridCol w:w="709"/>
      </w:tblGrid>
      <w:tr w:rsidR="000923BC" w:rsidRPr="000923BC" w14:paraId="546D7CAA" w14:textId="77777777" w:rsidTr="00D854E3">
        <w:trPr>
          <w:gridAfter w:val="2"/>
          <w:wAfter w:w="850" w:type="dxa"/>
        </w:trPr>
        <w:tc>
          <w:tcPr>
            <w:tcW w:w="3969" w:type="dxa"/>
            <w:gridSpan w:val="2"/>
          </w:tcPr>
          <w:p w14:paraId="4E68F706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20"/>
                <w:lang w:eastAsia="zh-CN" w:bidi="th-TH"/>
              </w:rPr>
            </w:pPr>
          </w:p>
        </w:tc>
        <w:tc>
          <w:tcPr>
            <w:tcW w:w="709" w:type="dxa"/>
          </w:tcPr>
          <w:p w14:paraId="2BD98FC7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20"/>
                <w:lang w:eastAsia="zh-CN" w:bidi="th-TH"/>
              </w:rPr>
            </w:pPr>
          </w:p>
        </w:tc>
      </w:tr>
      <w:tr w:rsidR="000923BC" w:rsidRPr="000923BC" w14:paraId="7489C9FD" w14:textId="77777777" w:rsidTr="00D854E3">
        <w:trPr>
          <w:gridBefore w:val="1"/>
          <w:wBefore w:w="850" w:type="dxa"/>
          <w:trHeight w:hRule="exact" w:val="714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7546884" w14:textId="4472B972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20"/>
                <w:lang w:eastAsia="zh-CN" w:bidi="th-TH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zh-CN" w:bidi="th-TH"/>
              </w:rPr>
              <w:t>SIGNED f</w:t>
            </w:r>
            <w:r w:rsidRPr="000923B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zh-CN" w:bidi="th-TH"/>
              </w:rPr>
              <w:t>or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zh-CN" w:bidi="th-TH"/>
              </w:rPr>
              <w:t xml:space="preserve"> and on behalf of t</w:t>
            </w:r>
            <w:r w:rsidRPr="000923B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zh-CN" w:bidi="th-TH"/>
              </w:rPr>
              <w:t xml:space="preserve">he Commonwealth of Australia </w:t>
            </w:r>
            <w:r w:rsidRPr="000923B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zh-CN" w:bidi="th-TH"/>
              </w:rPr>
              <w:tab/>
            </w:r>
          </w:p>
        </w:tc>
        <w:tc>
          <w:tcPr>
            <w:tcW w:w="709" w:type="dxa"/>
            <w:vAlign w:val="bottom"/>
          </w:tcPr>
          <w:p w14:paraId="4C3A52DD" w14:textId="77777777" w:rsidR="000923BC" w:rsidRPr="000923BC" w:rsidRDefault="000923BC" w:rsidP="000923BC">
            <w:pPr>
              <w:keepNext/>
              <w:spacing w:after="140" w:line="280" w:lineRule="atLeast"/>
              <w:jc w:val="center"/>
              <w:rPr>
                <w:rFonts w:cs="Angsana New"/>
                <w:sz w:val="32"/>
                <w:lang w:eastAsia="zh-CN" w:bidi="th-TH"/>
              </w:rPr>
            </w:pPr>
          </w:p>
        </w:tc>
      </w:tr>
      <w:tr w:rsidR="000923BC" w:rsidRPr="000923BC" w14:paraId="3271EE03" w14:textId="77777777" w:rsidTr="00D854E3">
        <w:trPr>
          <w:gridBefore w:val="1"/>
          <w:wBefore w:w="850" w:type="dxa"/>
          <w:trHeight w:hRule="exact" w:val="670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6516E9B7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3B110698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1736CB64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2C256A76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4AC7DB7A" w14:textId="77777777" w:rsidTr="00D854E3">
        <w:trPr>
          <w:gridBefore w:val="1"/>
          <w:wBefore w:w="850" w:type="dxa"/>
          <w:trHeight w:hRule="exact" w:val="998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57C4A4F5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2DF929DD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69A6A8D6" w14:textId="77777777" w:rsidTr="00D854E3">
        <w:trPr>
          <w:gridBefore w:val="1"/>
          <w:wBefore w:w="850" w:type="dxa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74AA3865" w14:textId="77777777" w:rsidR="003A290F" w:rsidRDefault="000923BC" w:rsidP="000923BC">
            <w:pPr>
              <w:keepNext/>
              <w:spacing w:after="140" w:line="28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zh-CN" w:bidi="th-TH"/>
              </w:rPr>
            </w:pPr>
            <w:r w:rsidRPr="000923BC">
              <w:rPr>
                <w:rFonts w:ascii="Helvetica" w:hAnsi="Helvetica" w:cs="Helvetica"/>
                <w:color w:val="333333"/>
                <w:sz w:val="21"/>
                <w:szCs w:val="21"/>
                <w:lang w:eastAsia="zh-CN" w:bidi="th-TH"/>
              </w:rPr>
              <w:t>Senator, the Honourable Jonathon Duniam</w:t>
            </w:r>
          </w:p>
          <w:p w14:paraId="703BA924" w14:textId="6C7EAAC7" w:rsidR="000923BC" w:rsidRPr="000923BC" w:rsidRDefault="000923BC" w:rsidP="003A290F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  <w:r w:rsidRPr="000923BC">
              <w:rPr>
                <w:rFonts w:ascii="Helvetica" w:hAnsi="Helvetica" w:cs="Helvetica"/>
                <w:color w:val="333333"/>
                <w:sz w:val="21"/>
                <w:szCs w:val="21"/>
                <w:lang w:eastAsia="zh-CN" w:bidi="th-TH"/>
              </w:rPr>
              <w:t>Assistant Minister for Forestry and Fisheries</w:t>
            </w:r>
          </w:p>
        </w:tc>
        <w:tc>
          <w:tcPr>
            <w:tcW w:w="709" w:type="dxa"/>
          </w:tcPr>
          <w:p w14:paraId="3BD4B168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50EC0462" w14:textId="77777777" w:rsidTr="00D854E3">
        <w:trPr>
          <w:gridBefore w:val="1"/>
          <w:wBefore w:w="850" w:type="dxa"/>
          <w:trHeight w:val="1876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39A81394" w14:textId="4A14847C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  <w:r w:rsidRPr="000923BC">
              <w:rPr>
                <w:rFonts w:cs="Angsana New"/>
                <w:sz w:val="16"/>
                <w:lang w:eastAsia="zh-CN" w:bidi="th-TH"/>
              </w:rPr>
              <w:t>Date</w:t>
            </w:r>
            <w:r w:rsidR="00663850">
              <w:rPr>
                <w:rFonts w:cs="Angsana New"/>
                <w:sz w:val="16"/>
                <w:lang w:eastAsia="zh-CN" w:bidi="th-TH"/>
              </w:rPr>
              <w:t xml:space="preserve"> 1 April 2022</w:t>
            </w:r>
          </w:p>
          <w:p w14:paraId="0003D595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2E256D2D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6CDA2C17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08DA66BB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3DA3D340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15E7F86F" w14:textId="77777777" w:rsidTr="00D854E3">
        <w:trPr>
          <w:gridBefore w:val="1"/>
          <w:wBefore w:w="850" w:type="dxa"/>
          <w:trHeight w:hRule="exact" w:val="767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970FE0B" w14:textId="3C45D2F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  <w:r w:rsidRPr="000923B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zh-CN" w:bidi="th-TH"/>
              </w:rPr>
              <w:t xml:space="preserve">SIGNED for and on behalf of the Crown in right of Tasmania </w:t>
            </w:r>
          </w:p>
          <w:p w14:paraId="4ECEA8B0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692A46B8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762299AA" w14:textId="77777777" w:rsidTr="00D854E3">
        <w:trPr>
          <w:gridBefore w:val="1"/>
          <w:wBefore w:w="850" w:type="dxa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7F3269E6" w14:textId="329CBFBD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4C15A9DE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6CAB7870" w14:textId="77777777" w:rsidTr="00D854E3">
        <w:trPr>
          <w:gridBefore w:val="1"/>
          <w:wBefore w:w="850" w:type="dxa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286DFDCE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1EAE82CF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  <w:p w14:paraId="27DCF0CE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620ECBC0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  <w:tr w:rsidR="000923BC" w:rsidRPr="000923BC" w14:paraId="20EE44B0" w14:textId="77777777" w:rsidTr="00D854E3">
        <w:trPr>
          <w:gridBefore w:val="1"/>
          <w:wBefore w:w="850" w:type="dxa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4FC500C9" w14:textId="77777777" w:rsidR="000923BC" w:rsidRPr="000923BC" w:rsidRDefault="000923BC" w:rsidP="000923BC">
            <w:pPr>
              <w:spacing w:after="140" w:line="280" w:lineRule="atLeast"/>
              <w:rPr>
                <w:rFonts w:ascii="Times New Roman" w:hAnsi="Times New Roman" w:cs="Angsana New"/>
                <w:lang w:eastAsia="zh-CN" w:bidi="th-TH"/>
              </w:rPr>
            </w:pPr>
            <w:r w:rsidRPr="000923BC">
              <w:rPr>
                <w:rFonts w:ascii="Helvetica" w:hAnsi="Helvetica" w:cs="Helvetica"/>
                <w:color w:val="333333"/>
                <w:sz w:val="21"/>
                <w:szCs w:val="21"/>
                <w:lang w:eastAsia="zh-CN" w:bidi="th-TH"/>
              </w:rPr>
              <w:t>The Honourable Guy Barnett MP</w:t>
            </w:r>
          </w:p>
          <w:tbl>
            <w:tblPr>
              <w:tblW w:w="4678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</w:tblGrid>
            <w:tr w:rsidR="000923BC" w:rsidRPr="000923BC" w14:paraId="0837E5BA" w14:textId="77777777" w:rsidTr="00A43DB8">
              <w:trPr>
                <w:trHeight w:hRule="exact" w:val="454"/>
              </w:trPr>
              <w:tc>
                <w:tcPr>
                  <w:tcW w:w="4678" w:type="dxa"/>
                </w:tcPr>
                <w:p w14:paraId="6EB3F12B" w14:textId="5DF21C54" w:rsidR="000923BC" w:rsidRPr="000923BC" w:rsidRDefault="000923BC" w:rsidP="009A6835">
                  <w:pPr>
                    <w:keepNext/>
                    <w:framePr w:hSpace="180" w:wrap="around" w:vAnchor="text" w:hAnchor="text" w:y="1"/>
                    <w:spacing w:after="140" w:line="280" w:lineRule="atLeast"/>
                    <w:suppressOverlap/>
                    <w:rPr>
                      <w:rFonts w:cs="Angsana New"/>
                      <w:sz w:val="16"/>
                      <w:lang w:eastAsia="zh-CN" w:bidi="th-TH"/>
                    </w:rPr>
                  </w:pPr>
                  <w:r w:rsidRPr="000923BC"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zh-CN" w:bidi="th-TH"/>
                    </w:rPr>
                    <w:t xml:space="preserve">Minister for Primary Industries and Water </w:t>
                  </w:r>
                </w:p>
              </w:tc>
            </w:tr>
            <w:tr w:rsidR="000923BC" w:rsidRPr="000923BC" w14:paraId="1135D62C" w14:textId="77777777" w:rsidTr="00A43DB8">
              <w:trPr>
                <w:trHeight w:val="55"/>
              </w:trPr>
              <w:tc>
                <w:tcPr>
                  <w:tcW w:w="4678" w:type="dxa"/>
                </w:tcPr>
                <w:p w14:paraId="6374C1A6" w14:textId="4703B08A" w:rsidR="000923BC" w:rsidRPr="000923BC" w:rsidRDefault="000923BC" w:rsidP="009A6835">
                  <w:pPr>
                    <w:keepNext/>
                    <w:framePr w:hSpace="180" w:wrap="around" w:vAnchor="text" w:hAnchor="text" w:y="1"/>
                    <w:spacing w:after="140" w:line="280" w:lineRule="atLeast"/>
                    <w:suppressOverlap/>
                    <w:rPr>
                      <w:rFonts w:cs="Angsana New"/>
                      <w:sz w:val="16"/>
                      <w:lang w:eastAsia="zh-CN" w:bidi="th-TH"/>
                    </w:rPr>
                  </w:pPr>
                  <w:r w:rsidRPr="000923BC">
                    <w:rPr>
                      <w:rFonts w:cs="Angsana New"/>
                      <w:sz w:val="16"/>
                      <w:lang w:eastAsia="zh-CN" w:bidi="th-TH"/>
                    </w:rPr>
                    <w:t>Date</w:t>
                  </w:r>
                  <w:r w:rsidR="00663850">
                    <w:rPr>
                      <w:rFonts w:cs="Angsana New"/>
                      <w:sz w:val="16"/>
                      <w:lang w:eastAsia="zh-CN" w:bidi="th-TH"/>
                    </w:rPr>
                    <w:t xml:space="preserve"> 1 April 2022</w:t>
                  </w:r>
                </w:p>
              </w:tc>
            </w:tr>
          </w:tbl>
          <w:p w14:paraId="596619CB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  <w:tc>
          <w:tcPr>
            <w:tcW w:w="709" w:type="dxa"/>
          </w:tcPr>
          <w:p w14:paraId="3CF86959" w14:textId="77777777" w:rsidR="000923BC" w:rsidRPr="000923BC" w:rsidRDefault="000923BC" w:rsidP="000923BC">
            <w:pPr>
              <w:keepNext/>
              <w:spacing w:after="140" w:line="280" w:lineRule="atLeast"/>
              <w:rPr>
                <w:rFonts w:cs="Angsana New"/>
                <w:sz w:val="16"/>
                <w:lang w:eastAsia="zh-CN" w:bidi="th-TH"/>
              </w:rPr>
            </w:pPr>
          </w:p>
        </w:tc>
      </w:tr>
    </w:tbl>
    <w:p w14:paraId="274980B8" w14:textId="77777777" w:rsidR="000923BC" w:rsidRDefault="000923BC" w:rsidP="00D854E3">
      <w:pPr>
        <w:pStyle w:val="AdviceNumLevel1"/>
        <w:numPr>
          <w:ilvl w:val="0"/>
          <w:numId w:val="0"/>
        </w:numPr>
        <w:ind w:left="1275"/>
      </w:pPr>
    </w:p>
    <w:p w14:paraId="46B458CB" w14:textId="77777777" w:rsidR="004310E1" w:rsidRPr="00372E4C" w:rsidRDefault="003C3F21" w:rsidP="00D854E3">
      <w:pPr>
        <w:pStyle w:val="NumberLevel1"/>
        <w:numPr>
          <w:ilvl w:val="0"/>
          <w:numId w:val="0"/>
        </w:numPr>
        <w:ind w:left="1275"/>
      </w:pPr>
      <w:r>
        <w:t xml:space="preserve"> </w:t>
      </w:r>
      <w:r w:rsidR="004310E1">
        <w:t xml:space="preserve"> </w:t>
      </w:r>
    </w:p>
    <w:sectPr w:rsidR="004310E1" w:rsidRPr="00372E4C" w:rsidSect="003154BD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00B7" w14:textId="77777777" w:rsidR="001F5F65" w:rsidRDefault="001F5F65">
      <w:r>
        <w:separator/>
      </w:r>
    </w:p>
  </w:endnote>
  <w:endnote w:type="continuationSeparator" w:id="0">
    <w:p w14:paraId="35E6AA83" w14:textId="77777777" w:rsidR="001F5F65" w:rsidRDefault="001F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9168" w14:textId="77777777" w:rsidR="009A4C41" w:rsidRDefault="009A4C41">
    <w:pPr>
      <w:pStyle w:val="Footer"/>
    </w:pPr>
  </w:p>
  <w:p w14:paraId="1ACD13B5" w14:textId="77777777" w:rsidR="009A4C41" w:rsidRDefault="00D854E3" w:rsidP="009A4C41">
    <w:pPr>
      <w:pStyle w:val="ClassificationDLMfooter"/>
    </w:pPr>
    <w:sdt>
      <w:sdtPr>
        <w:alias w:val="DLMClassification"/>
        <w:tag w:val="ctDLMClassification"/>
        <w:id w:val="-998113564"/>
        <w:text/>
      </w:sdtPr>
      <w:sdtEndPr/>
      <w:sdtContent>
        <w:r w:rsidR="009A4C41">
          <w:t>Legal-Privilege</w:t>
        </w:r>
      </w:sdtContent>
    </w:sdt>
  </w:p>
  <w:sdt>
    <w:sdtPr>
      <w:alias w:val="SecurityClassification"/>
      <w:tag w:val="ctSecurityClassification"/>
      <w:id w:val="-1417703575"/>
      <w:text/>
    </w:sdtPr>
    <w:sdtEndPr/>
    <w:sdtContent>
      <w:p w14:paraId="4879C0D3" w14:textId="77777777" w:rsidR="009A4C41" w:rsidRDefault="009A4C41" w:rsidP="009A4C41">
        <w:pPr>
          <w:pStyle w:val="Classificationsecurityheader"/>
        </w:pPr>
        <w:r>
          <w:t>​OFFICIAL: Sensitive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BA94" w14:textId="77777777" w:rsidR="009A4C41" w:rsidRDefault="009A4C41">
    <w:pPr>
      <w:pStyle w:val="Footer"/>
    </w:pPr>
  </w:p>
  <w:p w14:paraId="3EE88899" w14:textId="77777777" w:rsidR="009A4C41" w:rsidRDefault="009A4C41" w:rsidP="009A4C41">
    <w:pPr>
      <w:pStyle w:val="Classificationsecurityheader"/>
    </w:pPr>
  </w:p>
  <w:p w14:paraId="79CD3556" w14:textId="322DDE7A" w:rsidR="00322C09" w:rsidRPr="00322C09" w:rsidRDefault="00CF1ADC" w:rsidP="00322C09">
    <w:pPr>
      <w:pStyle w:val="Footer"/>
    </w:pPr>
    <w:fldSimple w:instr=" DOCPROPERTY  WSFooter  \* MERGEFORMAT 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6578" w14:textId="77777777" w:rsidR="001F5F65" w:rsidRDefault="001F5F65">
      <w:r>
        <w:separator/>
      </w:r>
    </w:p>
  </w:footnote>
  <w:footnote w:type="continuationSeparator" w:id="0">
    <w:p w14:paraId="65E3A7E4" w14:textId="77777777" w:rsidR="001F5F65" w:rsidRDefault="001F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SecurityClassification"/>
      <w:tag w:val="ctSecurityClassification"/>
      <w:id w:val="-1018691434"/>
      <w:text/>
    </w:sdtPr>
    <w:sdtEndPr/>
    <w:sdtContent>
      <w:p w14:paraId="3FFDF66D" w14:textId="77777777" w:rsidR="009A4C41" w:rsidRDefault="009A4C41" w:rsidP="009A4C41">
        <w:pPr>
          <w:pStyle w:val="Classificationsecurityheader"/>
        </w:pPr>
        <w:r>
          <w:t>​OFFICIAL: Sensitive</w:t>
        </w:r>
      </w:p>
    </w:sdtContent>
  </w:sdt>
  <w:p w14:paraId="0CE38B44" w14:textId="77777777" w:rsidR="009A4C41" w:rsidRDefault="00D854E3" w:rsidP="009A4C41">
    <w:pPr>
      <w:pStyle w:val="ClassificationDLMheader"/>
    </w:pPr>
    <w:sdt>
      <w:sdtPr>
        <w:alias w:val="DLMClassification"/>
        <w:tag w:val="ctDLMClassification"/>
        <w:id w:val="263431300"/>
        <w:text/>
      </w:sdtPr>
      <w:sdtEndPr/>
      <w:sdtContent>
        <w:r w:rsidR="009A4C41">
          <w:t>Legal-Privilege</w:t>
        </w:r>
      </w:sdtContent>
    </w:sdt>
  </w:p>
  <w:p w14:paraId="1062771D" w14:textId="77777777" w:rsidR="009A4C41" w:rsidRDefault="009A4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27B73" w:rsidRPr="00CE796A" w14:paraId="11C46CF7" w14:textId="77777777" w:rsidTr="00F43B9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206C3D9" w14:textId="77777777" w:rsidR="00927B73" w:rsidRPr="00CE796A" w:rsidRDefault="00927B73" w:rsidP="00927B73">
          <w:pPr>
            <w:spacing w:before="60"/>
            <w:ind w:left="-51"/>
            <w:rPr>
              <w:sz w:val="12"/>
            </w:rPr>
          </w:pPr>
          <w:bookmarkStart w:id="10" w:name="OLE_LINK2"/>
          <w:r>
            <w:rPr>
              <w:noProof/>
              <w:sz w:val="12"/>
            </w:rPr>
            <w:drawing>
              <wp:inline distT="0" distB="0" distL="0" distR="0" wp14:anchorId="4BE42C8E" wp14:editId="0B8E3435">
                <wp:extent cx="702945" cy="544195"/>
                <wp:effectExtent l="0" t="0" r="0" b="8255"/>
                <wp:docPr id="3" name="Picture 3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894294F" w14:textId="77777777" w:rsidR="00927B73" w:rsidRPr="00CE796A" w:rsidRDefault="00927B73" w:rsidP="00927B73">
          <w:pPr>
            <w:spacing w:before="60" w:line="460" w:lineRule="exact"/>
            <w:rPr>
              <w:b/>
              <w:spacing w:val="-2"/>
              <w:sz w:val="44"/>
              <w:szCs w:val="44"/>
            </w:rPr>
          </w:pPr>
          <w:r w:rsidRPr="00CE796A">
            <w:rPr>
              <w:b/>
              <w:spacing w:val="-2"/>
              <w:sz w:val="44"/>
              <w:szCs w:val="44"/>
            </w:rPr>
            <w:t>Commonwealth</w:t>
          </w:r>
          <w:r w:rsidRPr="00CE796A">
            <w:rPr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7018E7E" w14:textId="77777777" w:rsidR="00927B73" w:rsidRPr="00CE796A" w:rsidRDefault="00927B73" w:rsidP="00927B73">
          <w:pPr>
            <w:spacing w:before="180" w:line="800" w:lineRule="exact"/>
            <w:jc w:val="right"/>
            <w:rPr>
              <w:b/>
              <w:sz w:val="100"/>
              <w:szCs w:val="100"/>
            </w:rPr>
          </w:pPr>
          <w:r w:rsidRPr="00CE796A">
            <w:rPr>
              <w:b/>
              <w:sz w:val="100"/>
              <w:szCs w:val="100"/>
            </w:rPr>
            <w:t>Gazette</w:t>
          </w:r>
        </w:p>
      </w:tc>
    </w:tr>
    <w:tr w:rsidR="00927B73" w:rsidRPr="00CE796A" w14:paraId="62FAD5AD" w14:textId="77777777" w:rsidTr="00F43B9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794F681" w14:textId="77777777" w:rsidR="00927B73" w:rsidRPr="00CE796A" w:rsidRDefault="00927B73" w:rsidP="00927B73">
          <w:pPr>
            <w:ind w:left="-51"/>
            <w:rPr>
              <w:sz w:val="14"/>
              <w:szCs w:val="14"/>
            </w:rPr>
          </w:pPr>
          <w:bookmarkStart w:id="11" w:name="GazNo"/>
          <w:bookmarkEnd w:id="11"/>
          <w:r w:rsidRPr="00CE796A">
            <w:rPr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8C1843C" w14:textId="77777777" w:rsidR="00927B73" w:rsidRPr="00840A06" w:rsidRDefault="00927B73" w:rsidP="00927B73">
          <w:pPr>
            <w:jc w:val="right"/>
            <w:rPr>
              <w:b/>
              <w:sz w:val="24"/>
              <w:szCs w:val="24"/>
            </w:rPr>
          </w:pPr>
          <w:r w:rsidRPr="00840A06">
            <w:rPr>
              <w:b/>
              <w:sz w:val="24"/>
              <w:szCs w:val="24"/>
            </w:rPr>
            <w:t>GOVERNMENT NOTICES</w:t>
          </w:r>
        </w:p>
      </w:tc>
    </w:tr>
    <w:bookmarkEnd w:id="10"/>
  </w:tbl>
  <w:p w14:paraId="5C5559E9" w14:textId="77777777" w:rsidR="009A4C41" w:rsidRDefault="009A4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7A3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E2A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F8BE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B2C0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68CB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56A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DC62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4B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EC4E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3EF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 w15:restartNumberingAfterBreak="0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3" w15:restartNumberingAfterBreak="0">
    <w:nsid w:val="0C8C7A96"/>
    <w:multiLevelType w:val="hybridMultilevel"/>
    <w:tmpl w:val="793099D2"/>
    <w:lvl w:ilvl="0" w:tplc="ED74429A">
      <w:start w:val="3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5" w15:restartNumberingAfterBreak="0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6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7" w15:restartNumberingAfterBreak="0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8" w15:restartNumberingAfterBreak="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9" w15:restartNumberingAfterBreak="0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0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1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2" w15:restartNumberingAfterBreak="0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992"/>
        </w:tabs>
        <w:ind w:left="992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4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3C7069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820522E"/>
    <w:multiLevelType w:val="multilevel"/>
    <w:tmpl w:val="5806498E"/>
    <w:name w:val="AGSQuote"/>
    <w:lvl w:ilvl="0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pStyle w:val="DashEN1forOutlook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8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4BC31F3"/>
    <w:multiLevelType w:val="hybridMultilevel"/>
    <w:tmpl w:val="977CD8FA"/>
    <w:lvl w:ilvl="0" w:tplc="A0F69116">
      <w:start w:val="1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pStyle w:val="Dot1forOutlook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AA7E86"/>
    <w:multiLevelType w:val="multilevel"/>
    <w:tmpl w:val="A72A9A72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41" w15:restartNumberingAfterBreak="0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17"/>
  </w:num>
  <w:num w:numId="5">
    <w:abstractNumId w:val="12"/>
  </w:num>
  <w:num w:numId="6">
    <w:abstractNumId w:val="38"/>
  </w:num>
  <w:num w:numId="7">
    <w:abstractNumId w:val="41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7"/>
  </w:num>
  <w:num w:numId="20">
    <w:abstractNumId w:val="21"/>
  </w:num>
  <w:num w:numId="21">
    <w:abstractNumId w:val="34"/>
  </w:num>
  <w:num w:numId="22">
    <w:abstractNumId w:val="18"/>
  </w:num>
  <w:num w:numId="23">
    <w:abstractNumId w:val="40"/>
  </w:num>
  <w:num w:numId="24">
    <w:abstractNumId w:val="15"/>
  </w:num>
  <w:num w:numId="25">
    <w:abstractNumId w:val="23"/>
  </w:num>
  <w:num w:numId="26">
    <w:abstractNumId w:val="10"/>
  </w:num>
  <w:num w:numId="27">
    <w:abstractNumId w:val="19"/>
  </w:num>
  <w:num w:numId="28">
    <w:abstractNumId w:val="20"/>
  </w:num>
  <w:num w:numId="29">
    <w:abstractNumId w:val="1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WS" w:val="bWSLetter"/>
  </w:docVars>
  <w:rsids>
    <w:rsidRoot w:val="00372E4C"/>
    <w:rsid w:val="0000305A"/>
    <w:rsid w:val="0002756B"/>
    <w:rsid w:val="00035967"/>
    <w:rsid w:val="000545DF"/>
    <w:rsid w:val="00062C2A"/>
    <w:rsid w:val="000740A9"/>
    <w:rsid w:val="00084481"/>
    <w:rsid w:val="00087695"/>
    <w:rsid w:val="000923BC"/>
    <w:rsid w:val="000928CD"/>
    <w:rsid w:val="00092999"/>
    <w:rsid w:val="00094670"/>
    <w:rsid w:val="000A5DFE"/>
    <w:rsid w:val="0011343D"/>
    <w:rsid w:val="00124DEA"/>
    <w:rsid w:val="00130198"/>
    <w:rsid w:val="00137A06"/>
    <w:rsid w:val="001636A2"/>
    <w:rsid w:val="00164FAB"/>
    <w:rsid w:val="00183982"/>
    <w:rsid w:val="00195069"/>
    <w:rsid w:val="001A4464"/>
    <w:rsid w:val="001A6DE1"/>
    <w:rsid w:val="001C0047"/>
    <w:rsid w:val="001C0768"/>
    <w:rsid w:val="001D0122"/>
    <w:rsid w:val="001D3339"/>
    <w:rsid w:val="001D4C8E"/>
    <w:rsid w:val="001F425A"/>
    <w:rsid w:val="001F5F65"/>
    <w:rsid w:val="001F7F4F"/>
    <w:rsid w:val="00227F6D"/>
    <w:rsid w:val="0024514A"/>
    <w:rsid w:val="00262059"/>
    <w:rsid w:val="002633C2"/>
    <w:rsid w:val="00264918"/>
    <w:rsid w:val="00266D4C"/>
    <w:rsid w:val="002A6F8E"/>
    <w:rsid w:val="002B63B5"/>
    <w:rsid w:val="002D3C63"/>
    <w:rsid w:val="002E2B47"/>
    <w:rsid w:val="002F10AB"/>
    <w:rsid w:val="002F61A6"/>
    <w:rsid w:val="00301CA9"/>
    <w:rsid w:val="003079C3"/>
    <w:rsid w:val="003121EF"/>
    <w:rsid w:val="003154BD"/>
    <w:rsid w:val="00322C09"/>
    <w:rsid w:val="00326C4D"/>
    <w:rsid w:val="003440B2"/>
    <w:rsid w:val="00354E4F"/>
    <w:rsid w:val="00372E4C"/>
    <w:rsid w:val="00376A01"/>
    <w:rsid w:val="003804D7"/>
    <w:rsid w:val="00382276"/>
    <w:rsid w:val="00391780"/>
    <w:rsid w:val="00395E20"/>
    <w:rsid w:val="00396078"/>
    <w:rsid w:val="003973B7"/>
    <w:rsid w:val="0039749E"/>
    <w:rsid w:val="003A2445"/>
    <w:rsid w:val="003A290F"/>
    <w:rsid w:val="003A2976"/>
    <w:rsid w:val="003B3027"/>
    <w:rsid w:val="003C3F21"/>
    <w:rsid w:val="003C452F"/>
    <w:rsid w:val="003F3358"/>
    <w:rsid w:val="0040665C"/>
    <w:rsid w:val="004115B3"/>
    <w:rsid w:val="00415E6F"/>
    <w:rsid w:val="00427ADE"/>
    <w:rsid w:val="004310E1"/>
    <w:rsid w:val="00432B85"/>
    <w:rsid w:val="00442B3A"/>
    <w:rsid w:val="00473C63"/>
    <w:rsid w:val="00487254"/>
    <w:rsid w:val="004B197C"/>
    <w:rsid w:val="004F783F"/>
    <w:rsid w:val="005024D7"/>
    <w:rsid w:val="005342BF"/>
    <w:rsid w:val="00540465"/>
    <w:rsid w:val="00562634"/>
    <w:rsid w:val="00584FB8"/>
    <w:rsid w:val="00587D51"/>
    <w:rsid w:val="00596D35"/>
    <w:rsid w:val="005A456D"/>
    <w:rsid w:val="005B2010"/>
    <w:rsid w:val="005D5B26"/>
    <w:rsid w:val="005E10D7"/>
    <w:rsid w:val="005E1A84"/>
    <w:rsid w:val="00614651"/>
    <w:rsid w:val="00620BD4"/>
    <w:rsid w:val="0062724E"/>
    <w:rsid w:val="00634272"/>
    <w:rsid w:val="00643D2C"/>
    <w:rsid w:val="00644AFD"/>
    <w:rsid w:val="0064667D"/>
    <w:rsid w:val="00661C01"/>
    <w:rsid w:val="006626D5"/>
    <w:rsid w:val="00663850"/>
    <w:rsid w:val="006A1E31"/>
    <w:rsid w:val="006A6ED2"/>
    <w:rsid w:val="006A790C"/>
    <w:rsid w:val="006B73B2"/>
    <w:rsid w:val="006D4039"/>
    <w:rsid w:val="006F36FB"/>
    <w:rsid w:val="006F7FCD"/>
    <w:rsid w:val="0072604C"/>
    <w:rsid w:val="00737F0E"/>
    <w:rsid w:val="007662AA"/>
    <w:rsid w:val="0077065D"/>
    <w:rsid w:val="00770F69"/>
    <w:rsid w:val="00790209"/>
    <w:rsid w:val="007A2B63"/>
    <w:rsid w:val="007D729A"/>
    <w:rsid w:val="007E2C4E"/>
    <w:rsid w:val="007F5262"/>
    <w:rsid w:val="00806867"/>
    <w:rsid w:val="00814096"/>
    <w:rsid w:val="00841E34"/>
    <w:rsid w:val="0085644C"/>
    <w:rsid w:val="008679D0"/>
    <w:rsid w:val="0088611F"/>
    <w:rsid w:val="00896C07"/>
    <w:rsid w:val="008A3BC4"/>
    <w:rsid w:val="008A666A"/>
    <w:rsid w:val="008B3176"/>
    <w:rsid w:val="008C48BA"/>
    <w:rsid w:val="008D3B2B"/>
    <w:rsid w:val="008D7C22"/>
    <w:rsid w:val="008F3A94"/>
    <w:rsid w:val="008F6B5D"/>
    <w:rsid w:val="00904115"/>
    <w:rsid w:val="00904836"/>
    <w:rsid w:val="00912B95"/>
    <w:rsid w:val="0091674D"/>
    <w:rsid w:val="00927B73"/>
    <w:rsid w:val="0093199E"/>
    <w:rsid w:val="009319D5"/>
    <w:rsid w:val="009354D5"/>
    <w:rsid w:val="00935658"/>
    <w:rsid w:val="00982D68"/>
    <w:rsid w:val="009876E5"/>
    <w:rsid w:val="009910A9"/>
    <w:rsid w:val="00992FE6"/>
    <w:rsid w:val="009A4C41"/>
    <w:rsid w:val="009A5C70"/>
    <w:rsid w:val="009A6835"/>
    <w:rsid w:val="009C2D65"/>
    <w:rsid w:val="009D048A"/>
    <w:rsid w:val="009D36AC"/>
    <w:rsid w:val="009F5012"/>
    <w:rsid w:val="00A22752"/>
    <w:rsid w:val="00A42666"/>
    <w:rsid w:val="00A43DB8"/>
    <w:rsid w:val="00A53B05"/>
    <w:rsid w:val="00A654AB"/>
    <w:rsid w:val="00A77B88"/>
    <w:rsid w:val="00A814F6"/>
    <w:rsid w:val="00A81AF0"/>
    <w:rsid w:val="00A8535D"/>
    <w:rsid w:val="00A85441"/>
    <w:rsid w:val="00AA7A5B"/>
    <w:rsid w:val="00AB6123"/>
    <w:rsid w:val="00AB7A1B"/>
    <w:rsid w:val="00AD169B"/>
    <w:rsid w:val="00AD4350"/>
    <w:rsid w:val="00AD50F0"/>
    <w:rsid w:val="00AF02CF"/>
    <w:rsid w:val="00AF1FE5"/>
    <w:rsid w:val="00B02F0C"/>
    <w:rsid w:val="00B15887"/>
    <w:rsid w:val="00B1730F"/>
    <w:rsid w:val="00B25ED5"/>
    <w:rsid w:val="00B5048F"/>
    <w:rsid w:val="00B92AF0"/>
    <w:rsid w:val="00B95BF4"/>
    <w:rsid w:val="00BA4007"/>
    <w:rsid w:val="00BA7A66"/>
    <w:rsid w:val="00BC2DDF"/>
    <w:rsid w:val="00BC5541"/>
    <w:rsid w:val="00BD3E5E"/>
    <w:rsid w:val="00BF5E87"/>
    <w:rsid w:val="00BF5FA5"/>
    <w:rsid w:val="00C24D46"/>
    <w:rsid w:val="00C44779"/>
    <w:rsid w:val="00C4557E"/>
    <w:rsid w:val="00C4589F"/>
    <w:rsid w:val="00C53AF7"/>
    <w:rsid w:val="00C666EA"/>
    <w:rsid w:val="00C75FF1"/>
    <w:rsid w:val="00C86E30"/>
    <w:rsid w:val="00C9301A"/>
    <w:rsid w:val="00C94D12"/>
    <w:rsid w:val="00CA4648"/>
    <w:rsid w:val="00CB36CC"/>
    <w:rsid w:val="00CC13E5"/>
    <w:rsid w:val="00CC5A7F"/>
    <w:rsid w:val="00CD41FC"/>
    <w:rsid w:val="00CE4770"/>
    <w:rsid w:val="00CF1ADC"/>
    <w:rsid w:val="00CF48E0"/>
    <w:rsid w:val="00CF568D"/>
    <w:rsid w:val="00D23217"/>
    <w:rsid w:val="00D275B1"/>
    <w:rsid w:val="00D4130A"/>
    <w:rsid w:val="00D7186D"/>
    <w:rsid w:val="00D73EBE"/>
    <w:rsid w:val="00D854E3"/>
    <w:rsid w:val="00D8603F"/>
    <w:rsid w:val="00D95541"/>
    <w:rsid w:val="00DA45F9"/>
    <w:rsid w:val="00DC2509"/>
    <w:rsid w:val="00DC2C66"/>
    <w:rsid w:val="00DD2247"/>
    <w:rsid w:val="00DE23C4"/>
    <w:rsid w:val="00E05CDC"/>
    <w:rsid w:val="00E24EEA"/>
    <w:rsid w:val="00E26710"/>
    <w:rsid w:val="00E27B45"/>
    <w:rsid w:val="00E3004D"/>
    <w:rsid w:val="00E34591"/>
    <w:rsid w:val="00E70AB2"/>
    <w:rsid w:val="00E80F21"/>
    <w:rsid w:val="00E905B5"/>
    <w:rsid w:val="00E91F1E"/>
    <w:rsid w:val="00E93060"/>
    <w:rsid w:val="00E95A42"/>
    <w:rsid w:val="00EB1BF7"/>
    <w:rsid w:val="00EC5D17"/>
    <w:rsid w:val="00EE011E"/>
    <w:rsid w:val="00EE1E49"/>
    <w:rsid w:val="00F24A53"/>
    <w:rsid w:val="00F31F8A"/>
    <w:rsid w:val="00F32A2B"/>
    <w:rsid w:val="00F33528"/>
    <w:rsid w:val="00F3669E"/>
    <w:rsid w:val="00F52A80"/>
    <w:rsid w:val="00F53CC3"/>
    <w:rsid w:val="00F6181B"/>
    <w:rsid w:val="00F71245"/>
    <w:rsid w:val="00F75E3A"/>
    <w:rsid w:val="00F76C83"/>
    <w:rsid w:val="00F930BE"/>
    <w:rsid w:val="00FA5BB2"/>
    <w:rsid w:val="00FD21DE"/>
    <w:rsid w:val="00FD5843"/>
    <w:rsid w:val="00FE005B"/>
    <w:rsid w:val="00FF41DE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162E9"/>
  <w15:chartTrackingRefBased/>
  <w15:docId w15:val="{20459321-FCA5-41A9-A8E1-C198E45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8"/>
    <w:lsdException w:name="heading 1" w:uiPriority="24" w:qFormat="1"/>
    <w:lsdException w:name="heading 2" w:uiPriority="24" w:qFormat="1"/>
    <w:lsdException w:name="heading 3" w:uiPriority="24" w:qFormat="1"/>
    <w:lsdException w:name="heading 4" w:uiPriority="24" w:qFormat="1"/>
    <w:lsdException w:name="heading 5" w:uiPriority="24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8" w:unhideWhenUsed="1"/>
    <w:lsdException w:name="toc 2" w:semiHidden="1" w:uiPriority="98" w:unhideWhenUsed="1"/>
    <w:lsdException w:name="toc 3" w:semiHidden="1" w:uiPriority="98" w:unhideWhenUsed="1"/>
    <w:lsdException w:name="toc 4" w:semiHidden="1" w:uiPriority="98" w:unhideWhenUsed="1"/>
    <w:lsdException w:name="toc 5" w:semiHidden="1" w:uiPriority="9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8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8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/>
    <w:lsdException w:name="Intense Emphasis" w:uiPriority="98"/>
    <w:lsdException w:name="Subtle Reference" w:semiHidden="1" w:uiPriority="98"/>
    <w:lsdException w:name="Intense Reference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rsid w:val="009A4C41"/>
    <w:rPr>
      <w:rFonts w:ascii="Arial" w:hAnsi="Arial" w:cs="Arial"/>
      <w:sz w:val="22"/>
      <w:szCs w:val="22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AA7A5B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AA7A5B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AA7A5B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AA7A5B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AA7A5B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uiPriority w:val="4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uiPriority w:val="4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uiPriority w:val="4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4"/>
    <w:semiHidden/>
    <w:unhideWhenUsed/>
    <w:rsid w:val="008F3A9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37"/>
    <w:semiHidden/>
    <w:rsid w:val="008F3A94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HeadingBase">
    <w:name w:val="Heading Base"/>
    <w:uiPriority w:val="98"/>
    <w:semiHidden/>
    <w:rsid w:val="008F3A94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8F3A94"/>
  </w:style>
  <w:style w:type="paragraph" w:customStyle="1" w:styleId="HeaderBase">
    <w:name w:val="Header Base"/>
    <w:next w:val="Header"/>
    <w:uiPriority w:val="37"/>
    <w:semiHidden/>
    <w:rsid w:val="008F3A94"/>
    <w:pPr>
      <w:spacing w:line="200" w:lineRule="atLeast"/>
    </w:pPr>
    <w:rPr>
      <w:rFonts w:ascii="Arial" w:hAnsi="Arial" w:cs="Arial"/>
      <w:szCs w:val="22"/>
    </w:rPr>
  </w:style>
  <w:style w:type="paragraph" w:customStyle="1" w:styleId="FooterBase">
    <w:name w:val="Footer Base"/>
    <w:next w:val="Footer"/>
    <w:uiPriority w:val="37"/>
    <w:semiHidden/>
    <w:rsid w:val="008F3A94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1Reference">
    <w:name w:val="1. Reference"/>
    <w:basedOn w:val="PlainParagraph"/>
    <w:uiPriority w:val="19"/>
    <w:rsid w:val="008F3A94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8F3A94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8F3A94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8F3A94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AA7A5B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9A4C41"/>
    <w:pPr>
      <w:spacing w:before="420" w:after="0"/>
      <w:jc w:val="center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9A4C41"/>
    <w:pPr>
      <w:spacing w:before="0" w:after="0" w:line="200" w:lineRule="atLeast"/>
      <w:jc w:val="center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9A4C41"/>
    <w:pPr>
      <w:spacing w:before="0" w:after="0"/>
      <w:jc w:val="center"/>
    </w:pPr>
    <w:rPr>
      <w:b/>
      <w:caps/>
      <w:color w:val="FF0000"/>
    </w:rPr>
  </w:style>
  <w:style w:type="paragraph" w:customStyle="1" w:styleId="Classificationsecurityfooter">
    <w:name w:val="Classification security: footer"/>
    <w:basedOn w:val="Classificationsecurityheader"/>
    <w:uiPriority w:val="20"/>
    <w:semiHidden/>
    <w:rsid w:val="009A4C41"/>
  </w:style>
  <w:style w:type="paragraph" w:styleId="Footer">
    <w:name w:val="footer"/>
    <w:basedOn w:val="FooterBase"/>
    <w:uiPriority w:val="29"/>
    <w:rsid w:val="008F3A94"/>
    <w:pPr>
      <w:tabs>
        <w:tab w:val="right" w:pos="8220"/>
      </w:tabs>
    </w:pPr>
  </w:style>
  <w:style w:type="paragraph" w:customStyle="1" w:styleId="FooterSubject">
    <w:name w:val="Footer Subject"/>
    <w:basedOn w:val="FooterBase"/>
    <w:uiPriority w:val="37"/>
    <w:semiHidden/>
    <w:rsid w:val="008F3A94"/>
    <w:pPr>
      <w:ind w:right="1417"/>
    </w:pPr>
  </w:style>
  <w:style w:type="paragraph" w:customStyle="1" w:styleId="FooterLandscape">
    <w:name w:val="Footer Landscape"/>
    <w:basedOn w:val="FooterBase"/>
    <w:uiPriority w:val="37"/>
    <w:semiHidden/>
    <w:rsid w:val="008F3A94"/>
    <w:pPr>
      <w:tabs>
        <w:tab w:val="right" w:pos="13175"/>
      </w:tabs>
    </w:pPr>
  </w:style>
  <w:style w:type="paragraph" w:styleId="Header">
    <w:name w:val="header"/>
    <w:basedOn w:val="HeaderBase"/>
    <w:uiPriority w:val="29"/>
    <w:rsid w:val="008F3A94"/>
    <w:pPr>
      <w:tabs>
        <w:tab w:val="right" w:pos="8220"/>
      </w:tabs>
    </w:pPr>
  </w:style>
  <w:style w:type="paragraph" w:customStyle="1" w:styleId="HeaderLandscape">
    <w:name w:val="Header Landscape"/>
    <w:basedOn w:val="HeaderBase"/>
    <w:uiPriority w:val="27"/>
    <w:semiHidden/>
    <w:rsid w:val="008F3A94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8F3A94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8F3A94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8F3A94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8F3A94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8F3A94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8F3A94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AA7A5B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8F3A94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10"/>
    <w:rsid w:val="008F3A94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AA7A5B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AA7A5B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AA7A5B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AA7A5B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AA7A5B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AA7A5B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8F3A94"/>
    <w:pPr>
      <w:numPr>
        <w:numId w:val="28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AA7A5B"/>
    <w:pPr>
      <w:numPr>
        <w:ilvl w:val="1"/>
        <w:numId w:val="28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8F3A94"/>
    <w:pPr>
      <w:numPr>
        <w:ilvl w:val="2"/>
        <w:numId w:val="28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8F3A94"/>
    <w:pPr>
      <w:numPr>
        <w:ilvl w:val="3"/>
        <w:numId w:val="28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8F3A94"/>
    <w:pPr>
      <w:numPr>
        <w:ilvl w:val="4"/>
        <w:numId w:val="28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8F3A94"/>
    <w:pPr>
      <w:numPr>
        <w:ilvl w:val="5"/>
        <w:numId w:val="28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8F3A94"/>
    <w:pPr>
      <w:numPr>
        <w:ilvl w:val="6"/>
        <w:numId w:val="28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8F3A94"/>
    <w:pPr>
      <w:numPr>
        <w:ilvl w:val="7"/>
        <w:numId w:val="28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8F3A94"/>
    <w:pPr>
      <w:numPr>
        <w:ilvl w:val="8"/>
        <w:numId w:val="28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AA7A5B"/>
    <w:pPr>
      <w:numPr>
        <w:numId w:val="29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AA7A5B"/>
    <w:pPr>
      <w:numPr>
        <w:ilvl w:val="1"/>
        <w:numId w:val="29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AA7A5B"/>
    <w:pPr>
      <w:numPr>
        <w:ilvl w:val="2"/>
        <w:numId w:val="29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AA7A5B"/>
    <w:pPr>
      <w:numPr>
        <w:ilvl w:val="3"/>
        <w:numId w:val="29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AA7A5B"/>
    <w:pPr>
      <w:numPr>
        <w:ilvl w:val="4"/>
        <w:numId w:val="29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AA7A5B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AA7A5B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AA7A5B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AA7A5B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AA7A5B"/>
    <w:pPr>
      <w:numPr>
        <w:ilvl w:val="1"/>
        <w:numId w:val="23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AA7A5B"/>
    <w:pPr>
      <w:numPr>
        <w:numId w:val="23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FF425C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8F3A94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8F3A94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8F3A94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8F3A94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8F3A94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8F3A94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AA7A5B"/>
    <w:pPr>
      <w:numPr>
        <w:numId w:val="27"/>
      </w:numPr>
      <w:spacing w:before="0"/>
    </w:pPr>
  </w:style>
  <w:style w:type="paragraph" w:customStyle="1" w:styleId="IndentHanging1">
    <w:name w:val="Indent: Hanging 1"/>
    <w:basedOn w:val="IndentHanging"/>
    <w:uiPriority w:val="4"/>
    <w:semiHidden/>
    <w:rsid w:val="008F3A94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4"/>
    <w:semiHidden/>
    <w:rsid w:val="008F3A94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4"/>
    <w:semiHidden/>
    <w:rsid w:val="008F3A94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4"/>
    <w:semiHidden/>
    <w:rsid w:val="008F3A94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4"/>
    <w:semiHidden/>
    <w:rsid w:val="008F3A94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4"/>
    <w:semiHidden/>
    <w:rsid w:val="008F3A94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4"/>
    <w:semiHidden/>
    <w:rsid w:val="008F3A94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4"/>
    <w:semiHidden/>
    <w:rsid w:val="008F3A94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AA7A5B"/>
    <w:pPr>
      <w:numPr>
        <w:numId w:val="26"/>
      </w:numPr>
      <w:spacing w:before="0"/>
    </w:pPr>
  </w:style>
  <w:style w:type="paragraph" w:customStyle="1" w:styleId="IndentFull1">
    <w:name w:val="Indent: Full 1"/>
    <w:basedOn w:val="IndentFull"/>
    <w:uiPriority w:val="4"/>
    <w:semiHidden/>
    <w:rsid w:val="008F3A94"/>
    <w:pPr>
      <w:numPr>
        <w:ilvl w:val="1"/>
      </w:numPr>
    </w:pPr>
  </w:style>
  <w:style w:type="paragraph" w:customStyle="1" w:styleId="IndentFull2">
    <w:name w:val="Indent: Full 2"/>
    <w:basedOn w:val="IndentFull1"/>
    <w:uiPriority w:val="4"/>
    <w:semiHidden/>
    <w:rsid w:val="008F3A94"/>
    <w:pPr>
      <w:numPr>
        <w:ilvl w:val="2"/>
      </w:numPr>
    </w:pPr>
  </w:style>
  <w:style w:type="paragraph" w:customStyle="1" w:styleId="IndentFull3">
    <w:name w:val="Indent: Full 3"/>
    <w:basedOn w:val="IndentFull2"/>
    <w:uiPriority w:val="4"/>
    <w:semiHidden/>
    <w:rsid w:val="008F3A94"/>
    <w:pPr>
      <w:numPr>
        <w:ilvl w:val="3"/>
      </w:numPr>
    </w:pPr>
  </w:style>
  <w:style w:type="paragraph" w:customStyle="1" w:styleId="IndentFull4">
    <w:name w:val="Indent: Full 4"/>
    <w:basedOn w:val="IndentFull3"/>
    <w:uiPriority w:val="4"/>
    <w:semiHidden/>
    <w:rsid w:val="008F3A94"/>
    <w:pPr>
      <w:numPr>
        <w:ilvl w:val="4"/>
      </w:numPr>
    </w:pPr>
  </w:style>
  <w:style w:type="paragraph" w:customStyle="1" w:styleId="IndentFull5">
    <w:name w:val="Indent: Full 5"/>
    <w:basedOn w:val="IndentFull4"/>
    <w:uiPriority w:val="4"/>
    <w:semiHidden/>
    <w:rsid w:val="008F3A94"/>
    <w:pPr>
      <w:numPr>
        <w:ilvl w:val="5"/>
      </w:numPr>
    </w:pPr>
  </w:style>
  <w:style w:type="paragraph" w:customStyle="1" w:styleId="IndentFull6">
    <w:name w:val="Indent: Full 6"/>
    <w:basedOn w:val="IndentFull5"/>
    <w:uiPriority w:val="4"/>
    <w:semiHidden/>
    <w:rsid w:val="008F3A94"/>
    <w:pPr>
      <w:numPr>
        <w:ilvl w:val="6"/>
      </w:numPr>
    </w:pPr>
  </w:style>
  <w:style w:type="paragraph" w:customStyle="1" w:styleId="IndentFull7">
    <w:name w:val="Indent: Full 7"/>
    <w:basedOn w:val="IndentFull6"/>
    <w:uiPriority w:val="4"/>
    <w:semiHidden/>
    <w:rsid w:val="008F3A94"/>
    <w:pPr>
      <w:numPr>
        <w:ilvl w:val="7"/>
      </w:numPr>
    </w:pPr>
  </w:style>
  <w:style w:type="paragraph" w:customStyle="1" w:styleId="IndentFull8">
    <w:name w:val="Indent: Full 8"/>
    <w:basedOn w:val="IndentFull7"/>
    <w:uiPriority w:val="4"/>
    <w:semiHidden/>
    <w:rsid w:val="008F3A94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4"/>
    <w:semiHidden/>
    <w:rsid w:val="003079C3"/>
    <w:pPr>
      <w:numPr>
        <w:numId w:val="24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AA7A5B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4"/>
    <w:semiHidden/>
    <w:rsid w:val="003079C3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4"/>
    <w:semiHidden/>
    <w:rsid w:val="003079C3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4"/>
    <w:semiHidden/>
    <w:rsid w:val="003079C3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4"/>
    <w:semiHidden/>
    <w:rsid w:val="003079C3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4"/>
    <w:semiHidden/>
    <w:rsid w:val="003079C3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4"/>
    <w:semiHidden/>
    <w:rsid w:val="003079C3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4"/>
    <w:semiHidden/>
    <w:rsid w:val="003079C3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4"/>
    <w:semiHidden/>
    <w:rsid w:val="003079C3"/>
    <w:pPr>
      <w:numPr>
        <w:numId w:val="25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AA7A5B"/>
    <w:pPr>
      <w:numPr>
        <w:ilvl w:val="1"/>
      </w:numPr>
      <w:tabs>
        <w:tab w:val="clear" w:pos="992"/>
        <w:tab w:val="num" w:pos="850"/>
      </w:tabs>
      <w:ind w:left="850"/>
    </w:pPr>
  </w:style>
  <w:style w:type="paragraph" w:customStyle="1" w:styleId="NumberedLista2">
    <w:name w:val="Numbered List: a) 2"/>
    <w:basedOn w:val="NumberedLista1"/>
    <w:uiPriority w:val="4"/>
    <w:semiHidden/>
    <w:rsid w:val="003079C3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4"/>
    <w:semiHidden/>
    <w:rsid w:val="003079C3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4"/>
    <w:semiHidden/>
    <w:rsid w:val="003079C3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4"/>
    <w:semiHidden/>
    <w:rsid w:val="003079C3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4"/>
    <w:semiHidden/>
    <w:rsid w:val="003079C3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4"/>
    <w:semiHidden/>
    <w:rsid w:val="003079C3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4"/>
    <w:semiHidden/>
    <w:rsid w:val="003079C3"/>
    <w:pPr>
      <w:numPr>
        <w:ilvl w:val="8"/>
      </w:numPr>
    </w:pPr>
  </w:style>
  <w:style w:type="paragraph" w:styleId="FootnoteText">
    <w:name w:val="footnote text"/>
    <w:basedOn w:val="PlainParagraph"/>
    <w:uiPriority w:val="31"/>
    <w:rsid w:val="008F3A94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uiPriority w:val="31"/>
    <w:rsid w:val="008F3A94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31"/>
    <w:rsid w:val="008F3A94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uiPriority w:val="31"/>
    <w:rsid w:val="008F3A94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uiPriority w:val="34"/>
    <w:semiHidden/>
    <w:rsid w:val="008F3A94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uiPriority w:val="37"/>
    <w:semiHidden/>
    <w:rsid w:val="008F3A94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uiPriority w:val="35"/>
    <w:rsid w:val="008F3A94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line="280" w:lineRule="atLeast"/>
    </w:pPr>
    <w:rPr>
      <w:rFonts w:ascii="Arial" w:hAnsi="Arial" w:cs="Arial"/>
      <w:b/>
      <w:szCs w:val="22"/>
    </w:rPr>
  </w:style>
  <w:style w:type="paragraph" w:styleId="TOC2">
    <w:name w:val="toc 2"/>
    <w:basedOn w:val="TOC1"/>
    <w:next w:val="Normal"/>
    <w:autoRedefine/>
    <w:uiPriority w:val="35"/>
    <w:rsid w:val="008F3A94"/>
    <w:pPr>
      <w:pBdr>
        <w:bottom w:val="none" w:sz="0" w:space="0" w:color="auto"/>
      </w:pBdr>
      <w:spacing w:before="60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8F3A94"/>
    <w:pPr>
      <w:ind w:left="425" w:hanging="425"/>
    </w:pPr>
  </w:style>
  <w:style w:type="paragraph" w:customStyle="1" w:styleId="Notes-client">
    <w:name w:val="Notes - client"/>
    <w:aliases w:val="N Client"/>
    <w:basedOn w:val="PlainParagraph"/>
    <w:uiPriority w:val="6"/>
    <w:qFormat/>
    <w:rsid w:val="008F3A94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8F3A94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37"/>
    <w:semiHidden/>
    <w:rsid w:val="008F3A94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8F3A94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8F3A94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8F3A94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8F3A94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8F3A94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8F3A94"/>
    <w:pPr>
      <w:numPr>
        <w:numId w:val="1"/>
      </w:numPr>
    </w:pPr>
  </w:style>
  <w:style w:type="paragraph" w:customStyle="1" w:styleId="TableNumberLevel2">
    <w:name w:val="Table: Number Level 2"/>
    <w:basedOn w:val="TablePlainParagraph"/>
    <w:uiPriority w:val="12"/>
    <w:rsid w:val="008F3A94"/>
    <w:pPr>
      <w:numPr>
        <w:ilvl w:val="1"/>
        <w:numId w:val="1"/>
      </w:numPr>
    </w:pPr>
  </w:style>
  <w:style w:type="paragraph" w:customStyle="1" w:styleId="TableNumberLevel3">
    <w:name w:val="Table: Number Level 3"/>
    <w:basedOn w:val="TablePlainParagraph"/>
    <w:uiPriority w:val="12"/>
    <w:rsid w:val="008F3A94"/>
    <w:pPr>
      <w:numPr>
        <w:ilvl w:val="2"/>
        <w:numId w:val="1"/>
      </w:numPr>
    </w:pPr>
  </w:style>
  <w:style w:type="paragraph" w:customStyle="1" w:styleId="TableNumberLevel4">
    <w:name w:val="Table: Number Level 4"/>
    <w:basedOn w:val="TablePlainParagraph"/>
    <w:uiPriority w:val="12"/>
    <w:rsid w:val="008F3A94"/>
    <w:pPr>
      <w:numPr>
        <w:ilvl w:val="3"/>
        <w:numId w:val="1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8F3A94"/>
    <w:pPr>
      <w:numPr>
        <w:ilvl w:val="4"/>
        <w:numId w:val="1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8F3A94"/>
    <w:pPr>
      <w:numPr>
        <w:ilvl w:val="5"/>
        <w:numId w:val="1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8F3A94"/>
    <w:pPr>
      <w:numPr>
        <w:ilvl w:val="6"/>
        <w:numId w:val="1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8F3A94"/>
    <w:pPr>
      <w:numPr>
        <w:ilvl w:val="7"/>
        <w:numId w:val="1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8F3A94"/>
    <w:pPr>
      <w:numPr>
        <w:ilvl w:val="8"/>
        <w:numId w:val="1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8F3A94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8F3A94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8F3A94"/>
    <w:pPr>
      <w:numPr>
        <w:ilvl w:val="2"/>
        <w:numId w:val="22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8F3A94"/>
    <w:pPr>
      <w:numPr>
        <w:ilvl w:val="3"/>
        <w:numId w:val="22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8F3A94"/>
    <w:pPr>
      <w:numPr>
        <w:ilvl w:val="4"/>
        <w:numId w:val="22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8F3A94"/>
    <w:pPr>
      <w:numPr>
        <w:ilvl w:val="5"/>
        <w:numId w:val="22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8F3A94"/>
    <w:pPr>
      <w:numPr>
        <w:ilvl w:val="6"/>
        <w:numId w:val="22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8F3A94"/>
    <w:pPr>
      <w:numPr>
        <w:ilvl w:val="7"/>
        <w:numId w:val="22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8F3A94"/>
    <w:pPr>
      <w:numPr>
        <w:ilvl w:val="8"/>
        <w:numId w:val="22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8F3A94"/>
    <w:pPr>
      <w:numPr>
        <w:numId w:val="2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8F3A94"/>
    <w:pPr>
      <w:numPr>
        <w:ilvl w:val="1"/>
        <w:numId w:val="2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8F3A94"/>
    <w:pPr>
      <w:numPr>
        <w:ilvl w:val="2"/>
        <w:numId w:val="2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8F3A94"/>
    <w:pPr>
      <w:numPr>
        <w:ilvl w:val="3"/>
        <w:numId w:val="2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8F3A94"/>
    <w:pPr>
      <w:numPr>
        <w:ilvl w:val="4"/>
        <w:numId w:val="2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8F3A94"/>
    <w:pPr>
      <w:numPr>
        <w:ilvl w:val="5"/>
        <w:numId w:val="2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8F3A94"/>
    <w:pPr>
      <w:numPr>
        <w:ilvl w:val="6"/>
        <w:numId w:val="2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8F3A94"/>
    <w:pPr>
      <w:numPr>
        <w:ilvl w:val="7"/>
        <w:numId w:val="2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8F3A94"/>
    <w:pPr>
      <w:numPr>
        <w:ilvl w:val="8"/>
        <w:numId w:val="2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8F3A94"/>
    <w:pPr>
      <w:numPr>
        <w:numId w:val="3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8F3A94"/>
    <w:pPr>
      <w:numPr>
        <w:ilvl w:val="1"/>
        <w:numId w:val="3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8F3A94"/>
    <w:pPr>
      <w:numPr>
        <w:ilvl w:val="2"/>
        <w:numId w:val="3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8F3A94"/>
    <w:pPr>
      <w:numPr>
        <w:ilvl w:val="3"/>
        <w:numId w:val="3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8F3A94"/>
    <w:pPr>
      <w:numPr>
        <w:ilvl w:val="4"/>
        <w:numId w:val="3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8F3A94"/>
    <w:pPr>
      <w:numPr>
        <w:ilvl w:val="5"/>
        <w:numId w:val="3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8F3A94"/>
    <w:pPr>
      <w:numPr>
        <w:ilvl w:val="6"/>
        <w:numId w:val="3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8F3A94"/>
    <w:pPr>
      <w:numPr>
        <w:ilvl w:val="7"/>
        <w:numId w:val="3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8F3A94"/>
    <w:pPr>
      <w:numPr>
        <w:ilvl w:val="8"/>
        <w:numId w:val="3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8F3A94"/>
    <w:pPr>
      <w:numPr>
        <w:numId w:val="4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8F3A94"/>
    <w:pPr>
      <w:numPr>
        <w:ilvl w:val="1"/>
        <w:numId w:val="4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8F3A94"/>
    <w:pPr>
      <w:numPr>
        <w:ilvl w:val="2"/>
        <w:numId w:val="4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8F3A94"/>
    <w:pPr>
      <w:numPr>
        <w:ilvl w:val="3"/>
        <w:numId w:val="4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8F3A94"/>
    <w:pPr>
      <w:numPr>
        <w:ilvl w:val="4"/>
        <w:numId w:val="4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8F3A94"/>
    <w:pPr>
      <w:numPr>
        <w:ilvl w:val="5"/>
        <w:numId w:val="4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8F3A94"/>
    <w:pPr>
      <w:numPr>
        <w:ilvl w:val="6"/>
        <w:numId w:val="4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8F3A94"/>
    <w:pPr>
      <w:numPr>
        <w:ilvl w:val="7"/>
        <w:numId w:val="4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8F3A94"/>
    <w:pPr>
      <w:numPr>
        <w:ilvl w:val="8"/>
        <w:numId w:val="4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8F3A94"/>
    <w:pPr>
      <w:numPr>
        <w:numId w:val="5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8F3A94"/>
    <w:pPr>
      <w:numPr>
        <w:ilvl w:val="1"/>
        <w:numId w:val="5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8F3A94"/>
    <w:pPr>
      <w:numPr>
        <w:ilvl w:val="2"/>
        <w:numId w:val="5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8F3A94"/>
    <w:pPr>
      <w:numPr>
        <w:ilvl w:val="3"/>
        <w:numId w:val="5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8F3A94"/>
    <w:pPr>
      <w:numPr>
        <w:ilvl w:val="4"/>
        <w:numId w:val="5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8F3A94"/>
    <w:pPr>
      <w:numPr>
        <w:ilvl w:val="5"/>
        <w:numId w:val="5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8F3A94"/>
    <w:pPr>
      <w:numPr>
        <w:ilvl w:val="6"/>
        <w:numId w:val="5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8F3A94"/>
    <w:pPr>
      <w:numPr>
        <w:ilvl w:val="7"/>
        <w:numId w:val="5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8F3A94"/>
    <w:pPr>
      <w:numPr>
        <w:ilvl w:val="8"/>
        <w:numId w:val="5"/>
      </w:numPr>
      <w:spacing w:before="0"/>
    </w:pPr>
  </w:style>
  <w:style w:type="paragraph" w:customStyle="1" w:styleId="Subrand">
    <w:name w:val="Subrand"/>
    <w:semiHidden/>
    <w:rsid w:val="008F3A94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table" w:styleId="TableGrid">
    <w:name w:val="Table Grid"/>
    <w:basedOn w:val="TableNormal"/>
    <w:rsid w:val="00442B3A"/>
    <w:rPr>
      <w:rFonts w:ascii="Arial" w:hAnsi="Arial"/>
    </w:rPr>
    <w:tblPr/>
    <w:tcPr>
      <w:vAlign w:val="center"/>
    </w:tcPr>
  </w:style>
  <w:style w:type="paragraph" w:styleId="TOC4">
    <w:name w:val="toc 4"/>
    <w:basedOn w:val="Normal"/>
    <w:next w:val="Normal"/>
    <w:autoRedefine/>
    <w:uiPriority w:val="35"/>
    <w:semiHidden/>
    <w:rsid w:val="008F3A94"/>
    <w:pPr>
      <w:ind w:left="660"/>
    </w:pPr>
  </w:style>
  <w:style w:type="paragraph" w:styleId="TOC5">
    <w:name w:val="toc 5"/>
    <w:basedOn w:val="Normal"/>
    <w:next w:val="Normal"/>
    <w:autoRedefine/>
    <w:uiPriority w:val="35"/>
    <w:semiHidden/>
    <w:rsid w:val="008F3A94"/>
    <w:pPr>
      <w:ind w:left="880"/>
    </w:pPr>
  </w:style>
  <w:style w:type="numbering" w:styleId="111111">
    <w:name w:val="Outline List 2"/>
    <w:basedOn w:val="NoList"/>
    <w:uiPriority w:val="99"/>
    <w:semiHidden/>
    <w:unhideWhenUsed/>
    <w:rsid w:val="008F3A94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8F3A94"/>
    <w:pPr>
      <w:numPr>
        <w:numId w:val="7"/>
      </w:numPr>
    </w:pPr>
  </w:style>
  <w:style w:type="numbering" w:styleId="ArticleSection">
    <w:name w:val="Outline List 3"/>
    <w:basedOn w:val="NoList"/>
    <w:uiPriority w:val="99"/>
    <w:semiHidden/>
    <w:unhideWhenUsed/>
    <w:rsid w:val="008F3A94"/>
    <w:pPr>
      <w:numPr>
        <w:numId w:val="8"/>
      </w:numPr>
    </w:pPr>
  </w:style>
  <w:style w:type="paragraph" w:styleId="BalloonText">
    <w:name w:val="Balloon Text"/>
    <w:basedOn w:val="Normal"/>
    <w:uiPriority w:val="99"/>
    <w:semiHidden/>
    <w:unhideWhenUsed/>
    <w:rsid w:val="008F3A9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3A94"/>
  </w:style>
  <w:style w:type="paragraph" w:styleId="BlockText">
    <w:name w:val="Block Text"/>
    <w:basedOn w:val="Normal"/>
    <w:uiPriority w:val="99"/>
    <w:semiHidden/>
    <w:unhideWhenUsed/>
    <w:rsid w:val="008F3A94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8F3A94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8F3A94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8F3A9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8F3A94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8F3A94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unhideWhenUsed/>
    <w:rsid w:val="008F3A94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8F3A94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unhideWhenUsed/>
    <w:rsid w:val="008F3A9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8F3A94"/>
    <w:rPr>
      <w:b/>
      <w:bCs/>
      <w:sz w:val="20"/>
      <w:szCs w:val="20"/>
    </w:rPr>
  </w:style>
  <w:style w:type="paragraph" w:styleId="Closing">
    <w:name w:val="Closing"/>
    <w:basedOn w:val="Normal"/>
    <w:uiPriority w:val="99"/>
    <w:semiHidden/>
    <w:unhideWhenUsed/>
    <w:rsid w:val="008F3A94"/>
    <w:pPr>
      <w:ind w:left="4252"/>
    </w:pPr>
  </w:style>
  <w:style w:type="table" w:styleId="ColorfulGrid">
    <w:name w:val="Colorful Grid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3A94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8F3A94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8F3A94"/>
    <w:rPr>
      <w:b/>
      <w:bCs/>
    </w:rPr>
  </w:style>
  <w:style w:type="table" w:styleId="DarkList">
    <w:name w:val="Dark List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uiPriority w:val="99"/>
    <w:semiHidden/>
    <w:rsid w:val="008F3A94"/>
  </w:style>
  <w:style w:type="paragraph" w:styleId="DocumentMap">
    <w:name w:val="Document Map"/>
    <w:basedOn w:val="Normal"/>
    <w:uiPriority w:val="99"/>
    <w:semiHidden/>
    <w:unhideWhenUsed/>
    <w:rsid w:val="008F3A9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rsid w:val="008F3A94"/>
  </w:style>
  <w:style w:type="character" w:styleId="Emphasis">
    <w:name w:val="Emphasis"/>
    <w:basedOn w:val="DefaultParagraphFont"/>
    <w:uiPriority w:val="98"/>
    <w:semiHidden/>
    <w:rsid w:val="008F3A94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F3A9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F3A9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3A94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F3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F3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8F3A94"/>
  </w:style>
  <w:style w:type="paragraph" w:styleId="HTMLAddress">
    <w:name w:val="HTML Address"/>
    <w:basedOn w:val="Normal"/>
    <w:uiPriority w:val="99"/>
    <w:semiHidden/>
    <w:unhideWhenUsed/>
    <w:rsid w:val="008F3A9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F3A9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F3A9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F3A9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F3A9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F3A9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F3A9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F3A9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F3A9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F3A9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F3A9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F3A9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F3A9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F3A9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F3A9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8F3A94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uiPriority w:val="98"/>
    <w:semiHidden/>
    <w:rsid w:val="008F3A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semiHidden/>
    <w:rsid w:val="008F3A94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F3A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F3A94"/>
  </w:style>
  <w:style w:type="paragraph" w:styleId="List">
    <w:name w:val="List"/>
    <w:basedOn w:val="Normal"/>
    <w:uiPriority w:val="99"/>
    <w:semiHidden/>
    <w:unhideWhenUsed/>
    <w:rsid w:val="008F3A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F3A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F3A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F3A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F3A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F3A94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F3A94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F3A94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F3A94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F3A94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F3A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F3A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F3A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F3A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F3A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8F3A94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8"/>
    <w:semiHidden/>
    <w:rsid w:val="008F3A94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8"/>
    <w:semiHidden/>
    <w:rsid w:val="008F3A94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8"/>
    <w:semiHidden/>
    <w:rsid w:val="008F3A94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8"/>
    <w:semiHidden/>
    <w:rsid w:val="008F3A94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98"/>
    <w:semiHidden/>
    <w:rsid w:val="008F3A94"/>
    <w:pPr>
      <w:ind w:left="720"/>
    </w:pPr>
  </w:style>
  <w:style w:type="table" w:styleId="ListTable1Light">
    <w:name w:val="List Table 1 Light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F3A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F3A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F3A9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F3A9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F3A9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F3A9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F3A9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F3A9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semiHidden/>
    <w:unhideWhenUsed/>
    <w:rsid w:val="008F3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table" w:styleId="MediumGrid1">
    <w:name w:val="Medium Grid 1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uiPriority w:val="99"/>
    <w:semiHidden/>
    <w:unhideWhenUsed/>
    <w:rsid w:val="008F3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semiHidden/>
    <w:rsid w:val="008F3A94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F3A9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F3A94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8F3A94"/>
  </w:style>
  <w:style w:type="character" w:styleId="PlaceholderText">
    <w:name w:val="Placeholder Text"/>
    <w:basedOn w:val="DefaultParagraphFont"/>
    <w:uiPriority w:val="99"/>
    <w:semiHidden/>
    <w:rsid w:val="008F3A94"/>
    <w:rPr>
      <w:color w:val="808080"/>
    </w:rPr>
  </w:style>
  <w:style w:type="table" w:styleId="PlainTable1">
    <w:name w:val="Plain Table 1"/>
    <w:basedOn w:val="TableNormal"/>
    <w:uiPriority w:val="41"/>
    <w:rsid w:val="008F3A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3A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3A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3A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3A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uiPriority w:val="98"/>
    <w:semiHidden/>
    <w:rsid w:val="008F3A94"/>
    <w:rPr>
      <w:i/>
      <w:iCs/>
      <w:color w:val="000000" w:themeColor="text1"/>
    </w:rPr>
  </w:style>
  <w:style w:type="paragraph" w:styleId="Salutation">
    <w:name w:val="Salutation"/>
    <w:basedOn w:val="Normal"/>
    <w:next w:val="Normal"/>
    <w:uiPriority w:val="99"/>
    <w:semiHidden/>
    <w:rsid w:val="008F3A94"/>
  </w:style>
  <w:style w:type="paragraph" w:styleId="Signature">
    <w:name w:val="Signature"/>
    <w:basedOn w:val="Normal"/>
    <w:uiPriority w:val="99"/>
    <w:semiHidden/>
    <w:unhideWhenUsed/>
    <w:rsid w:val="008F3A94"/>
    <w:pPr>
      <w:ind w:left="4252"/>
    </w:pPr>
  </w:style>
  <w:style w:type="character" w:styleId="Strong">
    <w:name w:val="Strong"/>
    <w:basedOn w:val="DefaultParagraphFont"/>
    <w:uiPriority w:val="98"/>
    <w:semiHidden/>
    <w:rsid w:val="008F3A94"/>
    <w:rPr>
      <w:b/>
      <w:bCs/>
    </w:rPr>
  </w:style>
  <w:style w:type="paragraph" w:styleId="Subtitle">
    <w:name w:val="Subtitle"/>
    <w:basedOn w:val="Normal"/>
    <w:next w:val="Normal"/>
    <w:uiPriority w:val="98"/>
    <w:semiHidden/>
    <w:rsid w:val="008F3A9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8F3A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3A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3A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3A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3A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3A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3A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3A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3A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3A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3A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3A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3A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3A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3A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3A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3A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3A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3A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3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F3A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3A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3A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3A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3A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3A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3A9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3A94"/>
  </w:style>
  <w:style w:type="table" w:styleId="TableProfessional">
    <w:name w:val="Table Professional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3A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3A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3A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3A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3A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3A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3A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uiPriority w:val="98"/>
    <w:semiHidden/>
    <w:rsid w:val="008F3A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8F3A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5"/>
    <w:semiHidden/>
    <w:unhideWhenUsed/>
    <w:rsid w:val="008F3A94"/>
    <w:pPr>
      <w:ind w:left="1100"/>
    </w:pPr>
  </w:style>
  <w:style w:type="paragraph" w:styleId="TOC7">
    <w:name w:val="toc 7"/>
    <w:basedOn w:val="Normal"/>
    <w:next w:val="Normal"/>
    <w:autoRedefine/>
    <w:uiPriority w:val="35"/>
    <w:semiHidden/>
    <w:unhideWhenUsed/>
    <w:rsid w:val="008F3A94"/>
    <w:pPr>
      <w:ind w:left="1320"/>
    </w:pPr>
  </w:style>
  <w:style w:type="paragraph" w:styleId="TOC8">
    <w:name w:val="toc 8"/>
    <w:basedOn w:val="Normal"/>
    <w:next w:val="Normal"/>
    <w:autoRedefine/>
    <w:uiPriority w:val="35"/>
    <w:semiHidden/>
    <w:unhideWhenUsed/>
    <w:rsid w:val="008F3A94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unhideWhenUsed/>
    <w:rsid w:val="008F3A94"/>
    <w:pPr>
      <w:ind w:left="1760"/>
    </w:pPr>
  </w:style>
  <w:style w:type="paragraph" w:styleId="TOCHeading">
    <w:name w:val="TOC Heading"/>
    <w:basedOn w:val="Heading1"/>
    <w:next w:val="Normal"/>
    <w:uiPriority w:val="35"/>
    <w:semiHidden/>
    <w:unhideWhenUsed/>
    <w:rsid w:val="008F3A94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2E2B47"/>
    <w:rPr>
      <w:rFonts w:ascii="Arial" w:hAnsi="Arial" w:cs="Arial"/>
      <w:b/>
      <w:bCs/>
      <w:caps/>
      <w:kern w:val="32"/>
      <w:szCs w:val="32"/>
    </w:rPr>
  </w:style>
  <w:style w:type="paragraph" w:customStyle="1" w:styleId="TableTitle">
    <w:name w:val="Table Title"/>
    <w:uiPriority w:val="98"/>
    <w:semiHidden/>
    <w:rsid w:val="008F3A94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8F3A94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8F3A94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8F3A94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NumberLevel1-NoIndent">
    <w:name w:val="Number Level 1 - No Indent"/>
    <w:basedOn w:val="TableNumberLevel1"/>
    <w:uiPriority w:val="1"/>
    <w:semiHidden/>
    <w:rsid w:val="008F3A94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8F3A94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545DF"/>
    <w:rPr>
      <w:rFonts w:ascii="Arial" w:hAnsi="Arial" w:cs="Arial"/>
      <w:szCs w:val="22"/>
    </w:rPr>
  </w:style>
  <w:style w:type="paragraph" w:customStyle="1" w:styleId="NumberLevel3-NoIndent">
    <w:name w:val="Number Level 3 - No Indent"/>
    <w:basedOn w:val="TableNumberLevel3"/>
    <w:uiPriority w:val="1"/>
    <w:semiHidden/>
    <w:rsid w:val="008F3A94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8F3A94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8F3A94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8F3A94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8F3A94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8F3A94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8F3A94"/>
    <w:rPr>
      <w:sz w:val="22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2E2B47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2E2B47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2E2B47"/>
    <w:rPr>
      <w:rFonts w:ascii="Arial" w:hAnsi="Arial" w:cs="Arial"/>
      <w:bCs/>
      <w:i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2E2B47"/>
    <w:rPr>
      <w:rFonts w:ascii="Arial" w:hAnsi="Arial" w:cs="Arial"/>
      <w:b/>
      <w:bCs/>
      <w:iCs/>
      <w:sz w:val="18"/>
      <w:szCs w:val="26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8F3A94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AA7A5B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AA7A5B"/>
    <w:pPr>
      <w:keepNext/>
      <w:widowControl w:val="0"/>
      <w:ind w:left="425"/>
    </w:pPr>
    <w:rPr>
      <w:i/>
    </w:rPr>
  </w:style>
  <w:style w:type="paragraph" w:customStyle="1" w:styleId="Subbrand">
    <w:name w:val="Subbrand"/>
    <w:uiPriority w:val="98"/>
    <w:semiHidden/>
    <w:rsid w:val="008F3A94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DashEM1outlook">
    <w:name w:val="Dash: EM 1 outlook"/>
    <w:basedOn w:val="DashEm1"/>
    <w:uiPriority w:val="98"/>
    <w:semiHidden/>
    <w:rsid w:val="008F3A94"/>
    <w:pPr>
      <w:ind w:left="850"/>
    </w:pPr>
  </w:style>
  <w:style w:type="paragraph" w:customStyle="1" w:styleId="Dashen1outlook">
    <w:name w:val="Dash: en 1 outlook"/>
    <w:basedOn w:val="DashEn1"/>
    <w:uiPriority w:val="98"/>
    <w:semiHidden/>
    <w:rsid w:val="008F3A94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F930BE"/>
    <w:rPr>
      <w:rFonts w:ascii="Arial" w:hAnsi="Arial" w:cs="Arial"/>
      <w:sz w:val="22"/>
      <w:szCs w:val="22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3973B7"/>
    <w:rPr>
      <w:rFonts w:ascii="Arial" w:hAnsi="Arial" w:cs="Arial"/>
      <w:sz w:val="22"/>
      <w:szCs w:val="22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F930BE"/>
    <w:rPr>
      <w:rFonts w:ascii="Arial" w:hAnsi="Arial" w:cs="Arial"/>
      <w:sz w:val="22"/>
      <w:szCs w:val="22"/>
    </w:rPr>
  </w:style>
  <w:style w:type="paragraph" w:customStyle="1" w:styleId="DashEM1forOutlook">
    <w:name w:val="Dash EM1 for Outlook"/>
    <w:basedOn w:val="DashEm1"/>
    <w:uiPriority w:val="98"/>
    <w:semiHidden/>
    <w:rsid w:val="008F3A94"/>
    <w:pPr>
      <w:numPr>
        <w:numId w:val="19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98"/>
    <w:semiHidden/>
    <w:rsid w:val="008F3A94"/>
    <w:pPr>
      <w:numPr>
        <w:numId w:val="19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9A4C41"/>
  </w:style>
  <w:style w:type="paragraph" w:customStyle="1" w:styleId="ClassificationDLMfooter">
    <w:name w:val="Classification DLM: footer"/>
    <w:basedOn w:val="Normal"/>
    <w:uiPriority w:val="20"/>
    <w:semiHidden/>
    <w:rsid w:val="009A4C41"/>
    <w:pPr>
      <w:widowControl w:val="0"/>
      <w:spacing w:line="280" w:lineRule="atLeast"/>
      <w:jc w:val="center"/>
    </w:pPr>
    <w:rPr>
      <w:color w:val="FF0000"/>
      <w:sz w:val="24"/>
    </w:rPr>
  </w:style>
  <w:style w:type="paragraph" w:customStyle="1" w:styleId="Leg7SubParaA">
    <w:name w:val="Leg7 SubPara: (A)"/>
    <w:aliases w:val="L7"/>
    <w:basedOn w:val="Leg6SubParai"/>
    <w:uiPriority w:val="5"/>
    <w:qFormat/>
    <w:rsid w:val="00395E20"/>
    <w:pPr>
      <w:ind w:left="3060" w:hanging="65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AA7A5B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64667D"/>
    <w:pPr>
      <w:numPr>
        <w:ilvl w:val="1"/>
        <w:numId w:val="20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442B3A"/>
    <w:rPr>
      <w:rFonts w:ascii="Arial" w:hAnsi="Arial" w:cs="Arial"/>
      <w:sz w:val="22"/>
      <w:szCs w:val="22"/>
    </w:rPr>
  </w:style>
  <w:style w:type="paragraph" w:customStyle="1" w:styleId="Dot">
    <w:name w:val="Dot"/>
    <w:basedOn w:val="Dot1"/>
    <w:uiPriority w:val="2"/>
    <w:semiHidden/>
    <w:rsid w:val="0064667D"/>
    <w:pPr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Dot1forOutlook">
    <w:name w:val="Dot1 for Outlook"/>
    <w:basedOn w:val="DashEM1forOutlook"/>
    <w:uiPriority w:val="98"/>
    <w:semiHidden/>
    <w:rsid w:val="0064667D"/>
    <w:pPr>
      <w:numPr>
        <w:numId w:val="21"/>
      </w:numPr>
    </w:pPr>
  </w:style>
  <w:style w:type="character" w:customStyle="1" w:styleId="OGCSubbrand">
    <w:name w:val="OGCSubbrand"/>
    <w:basedOn w:val="DefaultParagraphFont"/>
    <w:uiPriority w:val="9"/>
    <w:semiHidden/>
    <w:rsid w:val="00F930BE"/>
    <w:rPr>
      <w:rFonts w:ascii="Arial" w:hAnsi="Arial" w:cs="Arial"/>
      <w:b/>
      <w:i/>
      <w:sz w:val="20"/>
      <w:szCs w:val="22"/>
    </w:rPr>
  </w:style>
  <w:style w:type="paragraph" w:customStyle="1" w:styleId="TableDot">
    <w:name w:val="Table: Dot"/>
    <w:basedOn w:val="TableDashEm1"/>
    <w:uiPriority w:val="12"/>
    <w:semiHidden/>
    <w:rsid w:val="00AB6123"/>
    <w:pPr>
      <w:numPr>
        <w:numId w:val="22"/>
      </w:numPr>
    </w:pPr>
  </w:style>
  <w:style w:type="paragraph" w:customStyle="1" w:styleId="TableDot1">
    <w:name w:val="Table: Dot1"/>
    <w:basedOn w:val="TableDot"/>
    <w:uiPriority w:val="12"/>
    <w:rsid w:val="00AB6123"/>
    <w:pPr>
      <w:numPr>
        <w:ilvl w:val="1"/>
      </w:numPr>
    </w:pPr>
  </w:style>
  <w:style w:type="paragraph" w:customStyle="1" w:styleId="AdvicePreparedFor">
    <w:name w:val="AdvicePreparedFor"/>
    <w:basedOn w:val="PlainParagraph"/>
    <w:link w:val="AdvicePreparedForChar"/>
    <w:rsid w:val="00814096"/>
    <w:pPr>
      <w:spacing w:before="0" w:after="0"/>
    </w:pPr>
    <w:rPr>
      <w:b/>
    </w:rPr>
  </w:style>
  <w:style w:type="character" w:customStyle="1" w:styleId="AdvicePreparedForChar">
    <w:name w:val="AdvicePreparedFor Char"/>
    <w:basedOn w:val="PlainParagraphChar"/>
    <w:link w:val="AdvicePreparedFor"/>
    <w:rsid w:val="0000305A"/>
    <w:rPr>
      <w:rFonts w:ascii="Arial" w:hAnsi="Arial" w:cs="Arial"/>
      <w:b/>
      <w:sz w:val="22"/>
      <w:szCs w:val="22"/>
    </w:rPr>
  </w:style>
  <w:style w:type="paragraph" w:customStyle="1" w:styleId="AdviceDate">
    <w:name w:val="AdviceDate"/>
    <w:basedOn w:val="PlainParagraph"/>
    <w:rsid w:val="009A5C70"/>
    <w:pPr>
      <w:pBdr>
        <w:bottom w:val="single" w:sz="4" w:space="3" w:color="auto"/>
      </w:pBdr>
      <w:spacing w:before="0" w:after="240"/>
    </w:pPr>
    <w:rPr>
      <w:szCs w:val="20"/>
    </w:rPr>
  </w:style>
  <w:style w:type="paragraph" w:customStyle="1" w:styleId="AdviceQuestionNumbered">
    <w:name w:val="AdviceQuestionNumbered"/>
    <w:basedOn w:val="AdviceQuestion"/>
    <w:link w:val="AdviceQuestionNumberedChar"/>
    <w:rsid w:val="00CC5A7F"/>
    <w:pPr>
      <w:ind w:left="425" w:hanging="425"/>
    </w:pPr>
  </w:style>
  <w:style w:type="paragraph" w:customStyle="1" w:styleId="AdviceNumLevel1">
    <w:name w:val="AdviceNumLevel1"/>
    <w:basedOn w:val="NumberLevel1"/>
    <w:rsid w:val="002D3C63"/>
  </w:style>
  <w:style w:type="paragraph" w:customStyle="1" w:styleId="AdviceSummary">
    <w:name w:val="AdviceSummary"/>
    <w:basedOn w:val="Normal"/>
    <w:next w:val="PartSubHeading"/>
    <w:link w:val="AdviceSummaryChar"/>
    <w:rsid w:val="00A654AB"/>
    <w:pPr>
      <w:keepNext/>
      <w:keepLines/>
      <w:pBdr>
        <w:top w:val="single" w:sz="18" w:space="1" w:color="204558"/>
      </w:pBdr>
      <w:shd w:val="clear" w:color="365F91" w:themeColor="accent1" w:themeShade="BF" w:fill="auto"/>
      <w:spacing w:before="360" w:after="120" w:line="240" w:lineRule="atLeast"/>
      <w:outlineLvl w:val="0"/>
    </w:pPr>
    <w:rPr>
      <w:b/>
      <w:bCs/>
      <w:color w:val="000000" w:themeColor="text1"/>
      <w:kern w:val="32"/>
      <w:sz w:val="30"/>
      <w:szCs w:val="30"/>
    </w:rPr>
  </w:style>
  <w:style w:type="character" w:customStyle="1" w:styleId="AdviceSummaryChar">
    <w:name w:val="AdviceSummary Char"/>
    <w:basedOn w:val="DefaultParagraphFont"/>
    <w:link w:val="AdviceSummary"/>
    <w:rsid w:val="003121EF"/>
    <w:rPr>
      <w:rFonts w:ascii="Arial" w:hAnsi="Arial" w:cs="Arial"/>
      <w:b/>
      <w:bCs/>
      <w:color w:val="000000" w:themeColor="text1"/>
      <w:kern w:val="32"/>
      <w:sz w:val="30"/>
      <w:szCs w:val="30"/>
      <w:shd w:val="clear" w:color="365F91" w:themeColor="accent1" w:themeShade="BF" w:fill="auto"/>
    </w:rPr>
  </w:style>
  <w:style w:type="paragraph" w:customStyle="1" w:styleId="AdviceQruleabove">
    <w:name w:val="AdviceQ rule above"/>
    <w:basedOn w:val="AdviceSummary"/>
    <w:next w:val="AdviceQuestion"/>
    <w:link w:val="AdviceQruleaboveChar"/>
    <w:rsid w:val="00CC5A7F"/>
    <w:pPr>
      <w:pBdr>
        <w:top w:val="single" w:sz="12" w:space="1" w:color="C4DDEA"/>
      </w:pBdr>
      <w:spacing w:after="0"/>
    </w:pPr>
    <w:rPr>
      <w:sz w:val="26"/>
      <w:szCs w:val="26"/>
    </w:rPr>
  </w:style>
  <w:style w:type="character" w:customStyle="1" w:styleId="AdviceQruleaboveChar">
    <w:name w:val="AdviceQ rule above Char"/>
    <w:basedOn w:val="AdviceSummaryChar"/>
    <w:link w:val="AdviceQruleabove"/>
    <w:rsid w:val="00CC5A7F"/>
    <w:rPr>
      <w:rFonts w:ascii="Arial" w:hAnsi="Arial" w:cs="Arial"/>
      <w:b/>
      <w:bCs/>
      <w:color w:val="000000" w:themeColor="text1"/>
      <w:kern w:val="32"/>
      <w:sz w:val="26"/>
      <w:szCs w:val="26"/>
      <w:shd w:val="clear" w:color="365F91" w:themeColor="accent1" w:themeShade="BF" w:fill="auto"/>
    </w:rPr>
  </w:style>
  <w:style w:type="paragraph" w:customStyle="1" w:styleId="AdviceQuestion">
    <w:name w:val="AdviceQuestion"/>
    <w:basedOn w:val="Heading2"/>
    <w:next w:val="NumberLevel1"/>
    <w:link w:val="AdviceQuestionChar"/>
    <w:rsid w:val="00CC5A7F"/>
    <w:pPr>
      <w:keepLines w:val="0"/>
      <w:shd w:val="clear" w:color="auto" w:fill="C4DDEA"/>
      <w:spacing w:before="0" w:after="120"/>
    </w:pPr>
    <w:rPr>
      <w:b w:val="0"/>
    </w:rPr>
  </w:style>
  <w:style w:type="character" w:customStyle="1" w:styleId="AdviceQuestionChar">
    <w:name w:val="AdviceQuestion Char"/>
    <w:basedOn w:val="Heading2Char"/>
    <w:link w:val="AdviceQuestion"/>
    <w:rsid w:val="00CC5A7F"/>
    <w:rPr>
      <w:rFonts w:ascii="Arial" w:hAnsi="Arial" w:cs="Arial"/>
      <w:b w:val="0"/>
      <w:bCs/>
      <w:iCs/>
      <w:sz w:val="22"/>
      <w:szCs w:val="28"/>
      <w:shd w:val="clear" w:color="auto" w:fill="C4DDEA"/>
    </w:rPr>
  </w:style>
  <w:style w:type="paragraph" w:customStyle="1" w:styleId="AdviceTitlePara">
    <w:name w:val="AdviceTitlePara"/>
    <w:basedOn w:val="PlainParagraph"/>
    <w:next w:val="AdviceNumLevel1"/>
    <w:rsid w:val="00814096"/>
    <w:rPr>
      <w:b/>
      <w:bCs/>
      <w:color w:val="204558"/>
      <w:kern w:val="32"/>
      <w:sz w:val="30"/>
      <w:szCs w:val="30"/>
    </w:rPr>
  </w:style>
  <w:style w:type="paragraph" w:customStyle="1" w:styleId="AdviceNumLevel2">
    <w:name w:val="AdviceNumLevel2"/>
    <w:basedOn w:val="NumberLevel2"/>
    <w:rsid w:val="002D3C63"/>
    <w:pPr>
      <w:ind w:left="709"/>
    </w:pPr>
  </w:style>
  <w:style w:type="paragraph" w:customStyle="1" w:styleId="AdviceRef">
    <w:name w:val="AdviceRef"/>
    <w:basedOn w:val="AdviceDate"/>
    <w:rsid w:val="003121EF"/>
    <w:pPr>
      <w:pBdr>
        <w:bottom w:val="none" w:sz="0" w:space="0" w:color="auto"/>
      </w:pBdr>
      <w:spacing w:after="0" w:line="240" w:lineRule="auto"/>
    </w:pPr>
  </w:style>
  <w:style w:type="character" w:customStyle="1" w:styleId="AdviceQuestionNumberedChar">
    <w:name w:val="AdviceQuestionNumbered Char"/>
    <w:basedOn w:val="AdviceQuestionChar"/>
    <w:link w:val="AdviceQuestionNumbered"/>
    <w:rsid w:val="00CC5A7F"/>
    <w:rPr>
      <w:rFonts w:ascii="Arial" w:hAnsi="Arial" w:cs="Arial"/>
      <w:b w:val="0"/>
      <w:bCs/>
      <w:iCs/>
      <w:sz w:val="22"/>
      <w:szCs w:val="28"/>
      <w:shd w:val="clear" w:color="auto" w:fill="C4DDEA"/>
    </w:rPr>
  </w:style>
  <w:style w:type="paragraph" w:customStyle="1" w:styleId="AdviceHeading3">
    <w:name w:val="AdviceHeading3"/>
    <w:basedOn w:val="Normal"/>
    <w:next w:val="AdviceNumLevel1"/>
    <w:link w:val="AdviceHeading3Char"/>
    <w:rsid w:val="00CC5A7F"/>
    <w:pPr>
      <w:keepNext/>
      <w:keepLines/>
      <w:spacing w:before="200" w:line="280" w:lineRule="atLeast"/>
      <w:outlineLvl w:val="1"/>
    </w:pPr>
    <w:rPr>
      <w:b/>
      <w:bCs/>
      <w:color w:val="204558"/>
      <w:kern w:val="32"/>
      <w:sz w:val="20"/>
    </w:rPr>
  </w:style>
  <w:style w:type="paragraph" w:customStyle="1" w:styleId="AdviceHeading2">
    <w:name w:val="AdviceHeading2"/>
    <w:basedOn w:val="Normal"/>
    <w:next w:val="AdviceNumLevel1"/>
    <w:link w:val="AdviceHeading2Char"/>
    <w:rsid w:val="00CC5A7F"/>
    <w:pPr>
      <w:keepNext/>
      <w:keepLines/>
      <w:spacing w:before="200"/>
      <w:outlineLvl w:val="0"/>
    </w:pPr>
    <w:rPr>
      <w:b/>
    </w:rPr>
  </w:style>
  <w:style w:type="character" w:customStyle="1" w:styleId="AdviceHeading2Char">
    <w:name w:val="AdviceHeading2 Char"/>
    <w:basedOn w:val="DefaultParagraphFont"/>
    <w:link w:val="AdviceHeading2"/>
    <w:rsid w:val="00CC5A7F"/>
    <w:rPr>
      <w:rFonts w:ascii="Arial" w:hAnsi="Arial" w:cs="Arial"/>
      <w:b/>
      <w:sz w:val="22"/>
      <w:szCs w:val="22"/>
    </w:rPr>
  </w:style>
  <w:style w:type="character" w:customStyle="1" w:styleId="AdviceHeading3Char">
    <w:name w:val="AdviceHeading3 Char"/>
    <w:basedOn w:val="DefaultParagraphFont"/>
    <w:link w:val="AdviceHeading3"/>
    <w:rsid w:val="00CC5A7F"/>
    <w:rPr>
      <w:rFonts w:ascii="Arial" w:hAnsi="Arial" w:cs="Arial"/>
      <w:b/>
      <w:bCs/>
      <w:color w:val="204558"/>
      <w:kern w:val="32"/>
      <w:szCs w:val="22"/>
    </w:rPr>
  </w:style>
  <w:style w:type="paragraph" w:styleId="Revision">
    <w:name w:val="Revision"/>
    <w:hidden/>
    <w:uiPriority w:val="99"/>
    <w:semiHidden/>
    <w:rsid w:val="00912B9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 D O C U M E N T S ! 4 4 1 1 7 0 0 9 . 1 < / d o c u m e n t i d >  
     < s e n d e r i d > O M R A N F < / s e n d e r i d >  
     < s e n d e r e m a i l > F E L I S A . O M R A N @ A G S . G O V . A U < / s e n d e r e m a i l >  
     < l a s t m o d i f i e d > 2 0 2 2 - 0 3 - 2 2 T 1 3 : 2 9 : 0 0 . 0 0 0 0 0 0 0 + 1 1 : 0 0 < / l a s t m o d i f i e d >  
     < d a t a b a s e > D O C U M E N T S 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99D9B82-B935-4EC4-B9BE-664E84979CF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DE70B8DE5BDB54EBB6C47CBEB12ACC1" ma:contentTypeVersion="" ma:contentTypeDescription="PDMS Document Site Content Type" ma:contentTypeScope="" ma:versionID="ae53add9bb2d0f3acde406c9753fa077">
  <xsd:schema xmlns:xsd="http://www.w3.org/2001/XMLSchema" xmlns:xs="http://www.w3.org/2001/XMLSchema" xmlns:p="http://schemas.microsoft.com/office/2006/metadata/properties" xmlns:ns2="099D9B82-B935-4EC4-B9BE-664E84979CF1" targetNamespace="http://schemas.microsoft.com/office/2006/metadata/properties" ma:root="true" ma:fieldsID="f00821d9df2b844e08d2ce0d0fe63657" ns2:_="">
    <xsd:import namespace="099D9B82-B935-4EC4-B9BE-664E84979C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9B82-B935-4EC4-B9BE-664E84979C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7CEA3-4889-4433-9111-CF39FAFAB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5D391-2D38-492D-92E4-27242AA7B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C56A-4779-4454-B35C-730FAAE51EE6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BE6AE70A-B07C-4AEE-AB59-5DC33234C261}">
  <ds:schemaRefs>
    <ds:schemaRef ds:uri="http://purl.org/dc/dcmitype/"/>
    <ds:schemaRef ds:uri="http://schemas.microsoft.com/office/infopath/2007/PartnerControls"/>
    <ds:schemaRef ds:uri="099D9B82-B935-4EC4-B9BE-664E84979C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574BF9E-628E-4211-8035-C5BA45AD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9B82-B935-4EC4-B9BE-664E8497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617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Attorney-General's Department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Chenoweth, Jack</dc:creator>
  <cp:keywords/>
  <dc:description/>
  <cp:lastModifiedBy>Kwan, Kelvin</cp:lastModifiedBy>
  <cp:revision>11</cp:revision>
  <cp:lastPrinted>2021-12-22T03:51:00Z</cp:lastPrinted>
  <dcterms:created xsi:type="dcterms:W3CDTF">2022-04-03T00:20:00Z</dcterms:created>
  <dcterms:modified xsi:type="dcterms:W3CDTF">2022-04-03T00:39:00Z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WSFooter">
    <vt:lpwstr>44006343</vt:lpwstr>
  </property>
  <property fmtid="{D5CDD505-2E9C-101B-9397-08002B2CF9AE}" pid="8" name="DocSelectorDone">
    <vt:lpwstr>yes</vt:lpwstr>
  </property>
  <property fmtid="{D5CDD505-2E9C-101B-9397-08002B2CF9AE}" pid="9" name="ContentTypeId">
    <vt:lpwstr>0x010100266966F133664895A6EE3632470D45F5001DE70B8DE5BDB54EBB6C47CBEB12ACC1</vt:lpwstr>
  </property>
</Properties>
</file>