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163D5" w14:textId="3938E5AA" w:rsidR="00497B7F" w:rsidRDefault="00497B7F" w:rsidP="00497B7F">
      <w:r>
        <w:object w:dxaOrig="2146" w:dyaOrig="1561" w14:anchorId="27AEA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32433966" r:id="rId9"/>
        </w:object>
      </w:r>
    </w:p>
    <w:p w14:paraId="78862191" w14:textId="77777777" w:rsidR="00497B7F" w:rsidRDefault="00497B7F" w:rsidP="00497B7F"/>
    <w:p w14:paraId="21F5B341" w14:textId="77777777" w:rsidR="00497B7F" w:rsidRDefault="00497B7F" w:rsidP="00497B7F"/>
    <w:p w14:paraId="03B9CEAA" w14:textId="77777777" w:rsidR="00497B7F" w:rsidRDefault="00497B7F" w:rsidP="00497B7F"/>
    <w:p w14:paraId="2E06594A" w14:textId="77777777" w:rsidR="00497B7F" w:rsidRDefault="00497B7F" w:rsidP="00497B7F"/>
    <w:p w14:paraId="43D18C71" w14:textId="77777777" w:rsidR="00497B7F" w:rsidRDefault="00497B7F" w:rsidP="00497B7F"/>
    <w:p w14:paraId="2E0ED491" w14:textId="77777777" w:rsidR="00497B7F" w:rsidRDefault="00497B7F" w:rsidP="00497B7F"/>
    <w:p w14:paraId="0D59306F" w14:textId="26C55A61" w:rsidR="007E53C4" w:rsidRPr="007B4A47" w:rsidRDefault="00497B7F" w:rsidP="007E53C4">
      <w:pPr>
        <w:pStyle w:val="ShortT"/>
      </w:pPr>
      <w:r>
        <w:t>Privacy Legislation Amendment (Enforcement and Other Measures) Act 2022</w:t>
      </w:r>
    </w:p>
    <w:p w14:paraId="31A3B8D7" w14:textId="77777777" w:rsidR="007E53C4" w:rsidRPr="007B4A47" w:rsidRDefault="007E53C4" w:rsidP="007E53C4">
      <w:pPr>
        <w:rPr>
          <w:lang w:eastAsia="en-AU"/>
        </w:rPr>
      </w:pPr>
    </w:p>
    <w:p w14:paraId="70F6D184" w14:textId="77777777" w:rsidR="007E53C4" w:rsidRPr="007B4A47" w:rsidRDefault="007E53C4" w:rsidP="007E53C4"/>
    <w:p w14:paraId="47D0A4BF" w14:textId="2FFA7B7D" w:rsidR="007E53C4" w:rsidRPr="007B4A47" w:rsidRDefault="007E53C4" w:rsidP="00497B7F">
      <w:pPr>
        <w:pStyle w:val="Actno"/>
        <w:spacing w:before="400"/>
      </w:pPr>
      <w:r w:rsidRPr="007B4A47">
        <w:t>No.</w:t>
      </w:r>
      <w:r w:rsidR="00A12ACF">
        <w:t xml:space="preserve"> 83</w:t>
      </w:r>
      <w:r w:rsidRPr="007B4A47">
        <w:t>, 2022</w:t>
      </w:r>
    </w:p>
    <w:p w14:paraId="2A4D0D87" w14:textId="77777777" w:rsidR="007E53C4" w:rsidRPr="007B4A47" w:rsidRDefault="007E53C4" w:rsidP="007E53C4"/>
    <w:p w14:paraId="23391FC6" w14:textId="77777777" w:rsidR="00A5357D" w:rsidRDefault="00A5357D" w:rsidP="00A5357D">
      <w:pPr>
        <w:rPr>
          <w:lang w:eastAsia="en-AU"/>
        </w:rPr>
      </w:pPr>
    </w:p>
    <w:p w14:paraId="287768FA" w14:textId="5AA5BC64" w:rsidR="007E53C4" w:rsidRPr="007B4A47" w:rsidRDefault="007E53C4" w:rsidP="007E53C4"/>
    <w:p w14:paraId="08030E8C" w14:textId="77777777" w:rsidR="007E53C4" w:rsidRPr="007B4A47" w:rsidRDefault="007E53C4" w:rsidP="007E53C4"/>
    <w:p w14:paraId="7851CE86" w14:textId="77777777" w:rsidR="007E53C4" w:rsidRPr="007B4A47" w:rsidRDefault="007E53C4" w:rsidP="007E53C4"/>
    <w:p w14:paraId="43728F83" w14:textId="77777777" w:rsidR="00497B7F" w:rsidRDefault="00497B7F" w:rsidP="00497B7F">
      <w:pPr>
        <w:pStyle w:val="LongT"/>
      </w:pPr>
      <w:r>
        <w:t>An Act to amend the law in relation to privacy, and for other purposes</w:t>
      </w:r>
    </w:p>
    <w:p w14:paraId="6B8D73AD" w14:textId="2AB02B1C" w:rsidR="0048364F" w:rsidRPr="00A046C3" w:rsidRDefault="0048364F" w:rsidP="0048364F">
      <w:pPr>
        <w:pStyle w:val="Header"/>
        <w:tabs>
          <w:tab w:val="clear" w:pos="4150"/>
          <w:tab w:val="clear" w:pos="8307"/>
        </w:tabs>
      </w:pPr>
      <w:r w:rsidRPr="00A046C3">
        <w:rPr>
          <w:rStyle w:val="CharAmSchNo"/>
        </w:rPr>
        <w:t xml:space="preserve"> </w:t>
      </w:r>
      <w:r w:rsidRPr="00A046C3">
        <w:rPr>
          <w:rStyle w:val="CharAmSchText"/>
        </w:rPr>
        <w:t xml:space="preserve"> </w:t>
      </w:r>
    </w:p>
    <w:p w14:paraId="2C9B9CAD" w14:textId="77777777" w:rsidR="0048364F" w:rsidRPr="00A046C3" w:rsidRDefault="0048364F" w:rsidP="0048364F">
      <w:pPr>
        <w:pStyle w:val="Header"/>
        <w:tabs>
          <w:tab w:val="clear" w:pos="4150"/>
          <w:tab w:val="clear" w:pos="8307"/>
        </w:tabs>
      </w:pPr>
      <w:r w:rsidRPr="00A046C3">
        <w:rPr>
          <w:rStyle w:val="CharAmPartNo"/>
        </w:rPr>
        <w:t xml:space="preserve"> </w:t>
      </w:r>
      <w:r w:rsidRPr="00A046C3">
        <w:rPr>
          <w:rStyle w:val="CharAmPartText"/>
        </w:rPr>
        <w:t xml:space="preserve"> </w:t>
      </w:r>
    </w:p>
    <w:p w14:paraId="68D650D1" w14:textId="77777777" w:rsidR="0048364F" w:rsidRDefault="0048364F" w:rsidP="0048364F">
      <w:pPr>
        <w:sectPr w:rsidR="0048364F" w:rsidSect="00497B7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00E75612" w14:textId="77777777" w:rsidR="0048364F" w:rsidRPr="007A1328" w:rsidRDefault="0048364F" w:rsidP="0048364F">
      <w:pPr>
        <w:outlineLvl w:val="0"/>
        <w:rPr>
          <w:sz w:val="36"/>
        </w:rPr>
      </w:pPr>
      <w:r w:rsidRPr="007A1328">
        <w:rPr>
          <w:sz w:val="36"/>
        </w:rPr>
        <w:lastRenderedPageBreak/>
        <w:t>Contents</w:t>
      </w:r>
    </w:p>
    <w:p w14:paraId="76E3168A" w14:textId="4F60EA56" w:rsidR="00497B7F" w:rsidRDefault="0023562C">
      <w:pPr>
        <w:pStyle w:val="TOC5"/>
        <w:rPr>
          <w:rFonts w:asciiTheme="minorHAnsi" w:eastAsiaTheme="minorEastAsia" w:hAnsiTheme="minorHAnsi" w:cstheme="minorBidi"/>
          <w:noProof/>
          <w:kern w:val="0"/>
          <w:sz w:val="22"/>
          <w:szCs w:val="22"/>
        </w:rPr>
      </w:pPr>
      <w:r w:rsidRPr="00497B7F">
        <w:fldChar w:fldCharType="begin"/>
      </w:r>
      <w:r>
        <w:instrText xml:space="preserve"> TOC \o "1-9" </w:instrText>
      </w:r>
      <w:r w:rsidRPr="00497B7F">
        <w:fldChar w:fldCharType="separate"/>
      </w:r>
      <w:r w:rsidR="00497B7F">
        <w:rPr>
          <w:noProof/>
        </w:rPr>
        <w:t>1</w:t>
      </w:r>
      <w:r w:rsidR="00497B7F">
        <w:rPr>
          <w:noProof/>
        </w:rPr>
        <w:tab/>
        <w:t>Short title</w:t>
      </w:r>
      <w:r w:rsidR="00497B7F" w:rsidRPr="00497B7F">
        <w:rPr>
          <w:noProof/>
        </w:rPr>
        <w:tab/>
      </w:r>
      <w:r w:rsidR="00497B7F" w:rsidRPr="00497B7F">
        <w:rPr>
          <w:noProof/>
        </w:rPr>
        <w:fldChar w:fldCharType="begin"/>
      </w:r>
      <w:r w:rsidR="00497B7F" w:rsidRPr="00497B7F">
        <w:rPr>
          <w:noProof/>
        </w:rPr>
        <w:instrText xml:space="preserve"> PAGEREF _Toc120630491 \h </w:instrText>
      </w:r>
      <w:r w:rsidR="00497B7F" w:rsidRPr="00497B7F">
        <w:rPr>
          <w:noProof/>
        </w:rPr>
      </w:r>
      <w:r w:rsidR="00497B7F" w:rsidRPr="00497B7F">
        <w:rPr>
          <w:noProof/>
        </w:rPr>
        <w:fldChar w:fldCharType="separate"/>
      </w:r>
      <w:r w:rsidR="00A12ACF">
        <w:rPr>
          <w:noProof/>
        </w:rPr>
        <w:t>1</w:t>
      </w:r>
      <w:r w:rsidR="00497B7F" w:rsidRPr="00497B7F">
        <w:rPr>
          <w:noProof/>
        </w:rPr>
        <w:fldChar w:fldCharType="end"/>
      </w:r>
    </w:p>
    <w:p w14:paraId="00E49EB4" w14:textId="3D1A65BD" w:rsidR="00497B7F" w:rsidRDefault="00497B7F">
      <w:pPr>
        <w:pStyle w:val="TOC5"/>
        <w:rPr>
          <w:rFonts w:asciiTheme="minorHAnsi" w:eastAsiaTheme="minorEastAsia" w:hAnsiTheme="minorHAnsi" w:cstheme="minorBidi"/>
          <w:noProof/>
          <w:kern w:val="0"/>
          <w:sz w:val="22"/>
          <w:szCs w:val="22"/>
        </w:rPr>
      </w:pPr>
      <w:r>
        <w:rPr>
          <w:noProof/>
        </w:rPr>
        <w:t>2</w:t>
      </w:r>
      <w:r>
        <w:rPr>
          <w:noProof/>
        </w:rPr>
        <w:tab/>
        <w:t>Commencement</w:t>
      </w:r>
      <w:r w:rsidRPr="00497B7F">
        <w:rPr>
          <w:noProof/>
        </w:rPr>
        <w:tab/>
      </w:r>
      <w:r w:rsidRPr="00497B7F">
        <w:rPr>
          <w:noProof/>
        </w:rPr>
        <w:fldChar w:fldCharType="begin"/>
      </w:r>
      <w:r w:rsidRPr="00497B7F">
        <w:rPr>
          <w:noProof/>
        </w:rPr>
        <w:instrText xml:space="preserve"> PAGEREF _Toc120630492 \h </w:instrText>
      </w:r>
      <w:r w:rsidRPr="00497B7F">
        <w:rPr>
          <w:noProof/>
        </w:rPr>
      </w:r>
      <w:r w:rsidRPr="00497B7F">
        <w:rPr>
          <w:noProof/>
        </w:rPr>
        <w:fldChar w:fldCharType="separate"/>
      </w:r>
      <w:r w:rsidR="00A12ACF">
        <w:rPr>
          <w:noProof/>
        </w:rPr>
        <w:t>2</w:t>
      </w:r>
      <w:r w:rsidRPr="00497B7F">
        <w:rPr>
          <w:noProof/>
        </w:rPr>
        <w:fldChar w:fldCharType="end"/>
      </w:r>
    </w:p>
    <w:p w14:paraId="5DA90886" w14:textId="66602F40" w:rsidR="00497B7F" w:rsidRDefault="00497B7F">
      <w:pPr>
        <w:pStyle w:val="TOC5"/>
        <w:rPr>
          <w:rFonts w:asciiTheme="minorHAnsi" w:eastAsiaTheme="minorEastAsia" w:hAnsiTheme="minorHAnsi" w:cstheme="minorBidi"/>
          <w:noProof/>
          <w:kern w:val="0"/>
          <w:sz w:val="22"/>
          <w:szCs w:val="22"/>
        </w:rPr>
      </w:pPr>
      <w:r>
        <w:rPr>
          <w:noProof/>
        </w:rPr>
        <w:t>3</w:t>
      </w:r>
      <w:r>
        <w:rPr>
          <w:noProof/>
        </w:rPr>
        <w:tab/>
        <w:t>Schedules</w:t>
      </w:r>
      <w:r w:rsidRPr="00497B7F">
        <w:rPr>
          <w:noProof/>
        </w:rPr>
        <w:tab/>
      </w:r>
      <w:r w:rsidRPr="00497B7F">
        <w:rPr>
          <w:noProof/>
        </w:rPr>
        <w:fldChar w:fldCharType="begin"/>
      </w:r>
      <w:r w:rsidRPr="00497B7F">
        <w:rPr>
          <w:noProof/>
        </w:rPr>
        <w:instrText xml:space="preserve"> PAGEREF _Toc120630493 \h </w:instrText>
      </w:r>
      <w:r w:rsidRPr="00497B7F">
        <w:rPr>
          <w:noProof/>
        </w:rPr>
      </w:r>
      <w:r w:rsidRPr="00497B7F">
        <w:rPr>
          <w:noProof/>
        </w:rPr>
        <w:fldChar w:fldCharType="separate"/>
      </w:r>
      <w:r w:rsidR="00A12ACF">
        <w:rPr>
          <w:noProof/>
        </w:rPr>
        <w:t>2</w:t>
      </w:r>
      <w:r w:rsidRPr="00497B7F">
        <w:rPr>
          <w:noProof/>
        </w:rPr>
        <w:fldChar w:fldCharType="end"/>
      </w:r>
    </w:p>
    <w:p w14:paraId="38B8F22B" w14:textId="3C6BD592" w:rsidR="00497B7F" w:rsidRDefault="00497B7F">
      <w:pPr>
        <w:pStyle w:val="TOC6"/>
        <w:rPr>
          <w:rFonts w:asciiTheme="minorHAnsi" w:eastAsiaTheme="minorEastAsia" w:hAnsiTheme="minorHAnsi" w:cstheme="minorBidi"/>
          <w:b w:val="0"/>
          <w:noProof/>
          <w:kern w:val="0"/>
          <w:sz w:val="22"/>
          <w:szCs w:val="22"/>
        </w:rPr>
      </w:pPr>
      <w:r>
        <w:rPr>
          <w:noProof/>
        </w:rPr>
        <w:t>Schedule 1—Amendments</w:t>
      </w:r>
      <w:r w:rsidRPr="00497B7F">
        <w:rPr>
          <w:b w:val="0"/>
          <w:noProof/>
          <w:sz w:val="18"/>
        </w:rPr>
        <w:tab/>
      </w:r>
      <w:r w:rsidRPr="00497B7F">
        <w:rPr>
          <w:b w:val="0"/>
          <w:noProof/>
          <w:sz w:val="18"/>
        </w:rPr>
        <w:fldChar w:fldCharType="begin"/>
      </w:r>
      <w:r w:rsidRPr="00497B7F">
        <w:rPr>
          <w:b w:val="0"/>
          <w:noProof/>
          <w:sz w:val="18"/>
        </w:rPr>
        <w:instrText xml:space="preserve"> PAGEREF _Toc120630494 \h </w:instrText>
      </w:r>
      <w:r w:rsidRPr="00497B7F">
        <w:rPr>
          <w:b w:val="0"/>
          <w:noProof/>
          <w:sz w:val="18"/>
        </w:rPr>
      </w:r>
      <w:r w:rsidRPr="00497B7F">
        <w:rPr>
          <w:b w:val="0"/>
          <w:noProof/>
          <w:sz w:val="18"/>
        </w:rPr>
        <w:fldChar w:fldCharType="separate"/>
      </w:r>
      <w:r w:rsidR="00A12ACF">
        <w:rPr>
          <w:b w:val="0"/>
          <w:noProof/>
          <w:sz w:val="18"/>
        </w:rPr>
        <w:t>3</w:t>
      </w:r>
      <w:r w:rsidRPr="00497B7F">
        <w:rPr>
          <w:b w:val="0"/>
          <w:noProof/>
          <w:sz w:val="18"/>
        </w:rPr>
        <w:fldChar w:fldCharType="end"/>
      </w:r>
    </w:p>
    <w:p w14:paraId="2A2F39BC" w14:textId="1605BBE8" w:rsidR="00497B7F" w:rsidRDefault="00497B7F">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497B7F">
        <w:rPr>
          <w:i w:val="0"/>
          <w:noProof/>
          <w:sz w:val="18"/>
        </w:rPr>
        <w:tab/>
      </w:r>
      <w:r w:rsidRPr="00497B7F">
        <w:rPr>
          <w:i w:val="0"/>
          <w:noProof/>
          <w:sz w:val="18"/>
        </w:rPr>
        <w:fldChar w:fldCharType="begin"/>
      </w:r>
      <w:r w:rsidRPr="00497B7F">
        <w:rPr>
          <w:i w:val="0"/>
          <w:noProof/>
          <w:sz w:val="18"/>
        </w:rPr>
        <w:instrText xml:space="preserve"> PAGEREF _Toc120630495 \h </w:instrText>
      </w:r>
      <w:r w:rsidRPr="00497B7F">
        <w:rPr>
          <w:i w:val="0"/>
          <w:noProof/>
          <w:sz w:val="18"/>
        </w:rPr>
      </w:r>
      <w:r w:rsidRPr="00497B7F">
        <w:rPr>
          <w:i w:val="0"/>
          <w:noProof/>
          <w:sz w:val="18"/>
        </w:rPr>
        <w:fldChar w:fldCharType="separate"/>
      </w:r>
      <w:r w:rsidR="00A12ACF">
        <w:rPr>
          <w:i w:val="0"/>
          <w:noProof/>
          <w:sz w:val="18"/>
        </w:rPr>
        <w:t>3</w:t>
      </w:r>
      <w:r w:rsidRPr="00497B7F">
        <w:rPr>
          <w:i w:val="0"/>
          <w:noProof/>
          <w:sz w:val="18"/>
        </w:rPr>
        <w:fldChar w:fldCharType="end"/>
      </w:r>
    </w:p>
    <w:p w14:paraId="70C69A2A" w14:textId="10FD1986" w:rsidR="00497B7F" w:rsidRDefault="00497B7F">
      <w:pPr>
        <w:pStyle w:val="TOC9"/>
        <w:rPr>
          <w:rFonts w:asciiTheme="minorHAnsi" w:eastAsiaTheme="minorEastAsia" w:hAnsiTheme="minorHAnsi" w:cstheme="minorBidi"/>
          <w:i w:val="0"/>
          <w:noProof/>
          <w:kern w:val="0"/>
          <w:sz w:val="22"/>
          <w:szCs w:val="22"/>
        </w:rPr>
      </w:pPr>
      <w:r>
        <w:rPr>
          <w:noProof/>
        </w:rPr>
        <w:t>Australian Information Commissioner Act 2010</w:t>
      </w:r>
      <w:r w:rsidRPr="00497B7F">
        <w:rPr>
          <w:i w:val="0"/>
          <w:noProof/>
          <w:sz w:val="18"/>
        </w:rPr>
        <w:tab/>
      </w:r>
      <w:r w:rsidRPr="00497B7F">
        <w:rPr>
          <w:i w:val="0"/>
          <w:noProof/>
          <w:sz w:val="18"/>
        </w:rPr>
        <w:fldChar w:fldCharType="begin"/>
      </w:r>
      <w:r w:rsidRPr="00497B7F">
        <w:rPr>
          <w:i w:val="0"/>
          <w:noProof/>
          <w:sz w:val="18"/>
        </w:rPr>
        <w:instrText xml:space="preserve"> PAGEREF _Toc120630496 \h </w:instrText>
      </w:r>
      <w:r w:rsidRPr="00497B7F">
        <w:rPr>
          <w:i w:val="0"/>
          <w:noProof/>
          <w:sz w:val="18"/>
        </w:rPr>
      </w:r>
      <w:r w:rsidRPr="00497B7F">
        <w:rPr>
          <w:i w:val="0"/>
          <w:noProof/>
          <w:sz w:val="18"/>
        </w:rPr>
        <w:fldChar w:fldCharType="separate"/>
      </w:r>
      <w:r w:rsidR="00A12ACF">
        <w:rPr>
          <w:i w:val="0"/>
          <w:noProof/>
          <w:sz w:val="18"/>
        </w:rPr>
        <w:t>3</w:t>
      </w:r>
      <w:r w:rsidRPr="00497B7F">
        <w:rPr>
          <w:i w:val="0"/>
          <w:noProof/>
          <w:sz w:val="18"/>
        </w:rPr>
        <w:fldChar w:fldCharType="end"/>
      </w:r>
    </w:p>
    <w:p w14:paraId="0E15384B" w14:textId="2D7FD1B4" w:rsidR="00497B7F" w:rsidRDefault="00497B7F">
      <w:pPr>
        <w:pStyle w:val="TOC9"/>
        <w:rPr>
          <w:rFonts w:asciiTheme="minorHAnsi" w:eastAsiaTheme="minorEastAsia" w:hAnsiTheme="minorHAnsi" w:cstheme="minorBidi"/>
          <w:i w:val="0"/>
          <w:noProof/>
          <w:kern w:val="0"/>
          <w:sz w:val="22"/>
          <w:szCs w:val="22"/>
        </w:rPr>
      </w:pPr>
      <w:r>
        <w:rPr>
          <w:noProof/>
        </w:rPr>
        <w:t>Privacy Act 1988</w:t>
      </w:r>
      <w:r w:rsidRPr="00497B7F">
        <w:rPr>
          <w:i w:val="0"/>
          <w:noProof/>
          <w:sz w:val="18"/>
        </w:rPr>
        <w:tab/>
      </w:r>
      <w:r w:rsidRPr="00497B7F">
        <w:rPr>
          <w:i w:val="0"/>
          <w:noProof/>
          <w:sz w:val="18"/>
        </w:rPr>
        <w:fldChar w:fldCharType="begin"/>
      </w:r>
      <w:r w:rsidRPr="00497B7F">
        <w:rPr>
          <w:i w:val="0"/>
          <w:noProof/>
          <w:sz w:val="18"/>
        </w:rPr>
        <w:instrText xml:space="preserve"> PAGEREF _Toc120630497 \h </w:instrText>
      </w:r>
      <w:r w:rsidRPr="00497B7F">
        <w:rPr>
          <w:i w:val="0"/>
          <w:noProof/>
          <w:sz w:val="18"/>
        </w:rPr>
      </w:r>
      <w:r w:rsidRPr="00497B7F">
        <w:rPr>
          <w:i w:val="0"/>
          <w:noProof/>
          <w:sz w:val="18"/>
        </w:rPr>
        <w:fldChar w:fldCharType="separate"/>
      </w:r>
      <w:r w:rsidR="00A12ACF">
        <w:rPr>
          <w:i w:val="0"/>
          <w:noProof/>
          <w:sz w:val="18"/>
        </w:rPr>
        <w:t>5</w:t>
      </w:r>
      <w:r w:rsidRPr="00497B7F">
        <w:rPr>
          <w:i w:val="0"/>
          <w:noProof/>
          <w:sz w:val="18"/>
        </w:rPr>
        <w:fldChar w:fldCharType="end"/>
      </w:r>
    </w:p>
    <w:p w14:paraId="3353ED40" w14:textId="52041D98" w:rsidR="00060FF9" w:rsidRDefault="0023562C" w:rsidP="0048364F">
      <w:r w:rsidRPr="00497B7F">
        <w:rPr>
          <w:rFonts w:cs="Times New Roman"/>
          <w:sz w:val="18"/>
        </w:rPr>
        <w:fldChar w:fldCharType="end"/>
      </w:r>
    </w:p>
    <w:p w14:paraId="35C17F86" w14:textId="77777777" w:rsidR="00FE7F93" w:rsidRDefault="00FE7F93" w:rsidP="0048364F">
      <w:pPr>
        <w:sectPr w:rsidR="00FE7F93" w:rsidSect="00497B7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4B4F1E7E" w14:textId="77777777" w:rsidR="00497B7F" w:rsidRDefault="00497B7F">
      <w:r>
        <w:object w:dxaOrig="2146" w:dyaOrig="1561" w14:anchorId="6B6636BF">
          <v:shape id="_x0000_i1027" type="#_x0000_t75" alt="Commonwealth Coat of Arms of Australia" style="width:110.25pt;height:80.25pt" o:ole="" fillcolor="window">
            <v:imagedata r:id="rId8" o:title=""/>
          </v:shape>
          <o:OLEObject Type="Embed" ProgID="Word.Picture.8" ShapeID="_x0000_i1027" DrawAspect="Content" ObjectID="_1732433967" r:id="rId21"/>
        </w:object>
      </w:r>
    </w:p>
    <w:p w14:paraId="3551B133" w14:textId="77777777" w:rsidR="00497B7F" w:rsidRDefault="00497B7F"/>
    <w:p w14:paraId="1A07BACF" w14:textId="77777777" w:rsidR="00497B7F" w:rsidRDefault="00497B7F" w:rsidP="000178F8">
      <w:pPr>
        <w:spacing w:line="240" w:lineRule="auto"/>
      </w:pPr>
    </w:p>
    <w:p w14:paraId="35966367" w14:textId="6622F924" w:rsidR="00497B7F" w:rsidRDefault="00787C75" w:rsidP="000178F8">
      <w:pPr>
        <w:pStyle w:val="ShortTP1"/>
      </w:pPr>
      <w:fldSimple w:instr=" STYLEREF ShortT ">
        <w:r w:rsidR="00A12ACF">
          <w:rPr>
            <w:noProof/>
          </w:rPr>
          <w:t>Privacy Legislation Amendment (Enforcement and Other Measures) Act 2022</w:t>
        </w:r>
      </w:fldSimple>
    </w:p>
    <w:p w14:paraId="657035D7" w14:textId="72153B9B" w:rsidR="00497B7F" w:rsidRDefault="00787C75" w:rsidP="000178F8">
      <w:pPr>
        <w:pStyle w:val="ActNoP1"/>
      </w:pPr>
      <w:fldSimple w:instr=" STYLEREF Actno ">
        <w:r w:rsidR="00A12ACF">
          <w:rPr>
            <w:noProof/>
          </w:rPr>
          <w:t>No. 83, 2022</w:t>
        </w:r>
      </w:fldSimple>
    </w:p>
    <w:p w14:paraId="1CCE67A1" w14:textId="77777777" w:rsidR="00497B7F" w:rsidRPr="009A0728" w:rsidRDefault="00497B7F" w:rsidP="009A0728">
      <w:pPr>
        <w:pBdr>
          <w:bottom w:val="single" w:sz="6" w:space="0" w:color="auto"/>
        </w:pBdr>
        <w:spacing w:before="400" w:line="240" w:lineRule="auto"/>
        <w:rPr>
          <w:rFonts w:eastAsia="Times New Roman"/>
          <w:b/>
          <w:sz w:val="28"/>
        </w:rPr>
      </w:pPr>
    </w:p>
    <w:p w14:paraId="356A3BE5" w14:textId="77777777" w:rsidR="00497B7F" w:rsidRPr="009A0728" w:rsidRDefault="00497B7F" w:rsidP="009A0728">
      <w:pPr>
        <w:spacing w:line="40" w:lineRule="exact"/>
        <w:rPr>
          <w:rFonts w:eastAsia="Calibri"/>
          <w:b/>
          <w:sz w:val="28"/>
        </w:rPr>
      </w:pPr>
    </w:p>
    <w:p w14:paraId="478880B4" w14:textId="77777777" w:rsidR="00497B7F" w:rsidRPr="009A0728" w:rsidRDefault="00497B7F" w:rsidP="009A0728">
      <w:pPr>
        <w:pBdr>
          <w:top w:val="single" w:sz="12" w:space="0" w:color="auto"/>
        </w:pBdr>
        <w:spacing w:line="240" w:lineRule="auto"/>
        <w:rPr>
          <w:rFonts w:eastAsia="Times New Roman"/>
          <w:b/>
          <w:sz w:val="28"/>
        </w:rPr>
      </w:pPr>
    </w:p>
    <w:p w14:paraId="04882044" w14:textId="77777777" w:rsidR="00497B7F" w:rsidRDefault="00497B7F" w:rsidP="00497B7F">
      <w:pPr>
        <w:pStyle w:val="Page1"/>
        <w:spacing w:before="400"/>
      </w:pPr>
      <w:r>
        <w:t>An Act to amend the law in relation to privacy, and for other purposes</w:t>
      </w:r>
    </w:p>
    <w:p w14:paraId="35A3E4C9" w14:textId="4C6F2146" w:rsidR="00A12ACF" w:rsidRDefault="00A12ACF" w:rsidP="000C5962">
      <w:pPr>
        <w:pStyle w:val="AssentDt"/>
        <w:spacing w:before="240"/>
        <w:rPr>
          <w:sz w:val="24"/>
        </w:rPr>
      </w:pPr>
      <w:r>
        <w:rPr>
          <w:sz w:val="24"/>
        </w:rPr>
        <w:t>[</w:t>
      </w:r>
      <w:r>
        <w:rPr>
          <w:i/>
          <w:sz w:val="24"/>
        </w:rPr>
        <w:t>Assented to 12 December 2022</w:t>
      </w:r>
      <w:r>
        <w:rPr>
          <w:sz w:val="24"/>
        </w:rPr>
        <w:t>]</w:t>
      </w:r>
    </w:p>
    <w:p w14:paraId="2B1DA15A" w14:textId="29CCECC4" w:rsidR="0048364F" w:rsidRDefault="0048364F" w:rsidP="003265FF">
      <w:pPr>
        <w:spacing w:before="240" w:line="240" w:lineRule="auto"/>
        <w:rPr>
          <w:sz w:val="32"/>
        </w:rPr>
      </w:pPr>
      <w:r>
        <w:rPr>
          <w:sz w:val="32"/>
        </w:rPr>
        <w:t>The Parliament of Australia enacts:</w:t>
      </w:r>
    </w:p>
    <w:p w14:paraId="2AC3B976" w14:textId="77777777" w:rsidR="0048364F" w:rsidRDefault="0048364F" w:rsidP="003265FF">
      <w:pPr>
        <w:pStyle w:val="ActHead5"/>
      </w:pPr>
      <w:bookmarkStart w:id="0" w:name="_Toc120608728"/>
      <w:bookmarkStart w:id="1" w:name="_Toc120630491"/>
      <w:r w:rsidRPr="00A046C3">
        <w:rPr>
          <w:rStyle w:val="CharSectno"/>
        </w:rPr>
        <w:t>1</w:t>
      </w:r>
      <w:r>
        <w:t xml:space="preserve">  Short title</w:t>
      </w:r>
      <w:bookmarkEnd w:id="0"/>
      <w:bookmarkEnd w:id="1"/>
    </w:p>
    <w:p w14:paraId="31AEAD73" w14:textId="77777777" w:rsidR="0048364F" w:rsidRDefault="0048364F" w:rsidP="003265FF">
      <w:pPr>
        <w:pStyle w:val="subsection"/>
      </w:pPr>
      <w:r>
        <w:tab/>
      </w:r>
      <w:r>
        <w:tab/>
        <w:t xml:space="preserve">This Act </w:t>
      </w:r>
      <w:r w:rsidR="00275197">
        <w:t xml:space="preserve">is </w:t>
      </w:r>
      <w:r>
        <w:t xml:space="preserve">the </w:t>
      </w:r>
      <w:r w:rsidR="007E53C4" w:rsidRPr="007E53C4">
        <w:rPr>
          <w:i/>
        </w:rPr>
        <w:t>Privacy Legislation Amendment (Enforcement and Other Measures)</w:t>
      </w:r>
      <w:r w:rsidR="00EE3E36" w:rsidRPr="007E53C4">
        <w:rPr>
          <w:i/>
        </w:rPr>
        <w:t xml:space="preserve"> Act 20</w:t>
      </w:r>
      <w:r w:rsidR="009E186E" w:rsidRPr="007E53C4">
        <w:rPr>
          <w:i/>
        </w:rPr>
        <w:t>2</w:t>
      </w:r>
      <w:r w:rsidR="00545D52">
        <w:rPr>
          <w:i/>
        </w:rPr>
        <w:t>2</w:t>
      </w:r>
      <w:r>
        <w:t>.</w:t>
      </w:r>
    </w:p>
    <w:p w14:paraId="1540D67E" w14:textId="77777777" w:rsidR="0048364F" w:rsidRDefault="0048364F" w:rsidP="003265FF">
      <w:pPr>
        <w:pStyle w:val="ActHead5"/>
      </w:pPr>
      <w:bookmarkStart w:id="2" w:name="_Toc120608729"/>
      <w:bookmarkStart w:id="3" w:name="_Toc120630492"/>
      <w:r w:rsidRPr="00A046C3">
        <w:rPr>
          <w:rStyle w:val="CharSectno"/>
        </w:rPr>
        <w:lastRenderedPageBreak/>
        <w:t>2</w:t>
      </w:r>
      <w:r>
        <w:t xml:space="preserve">  Commencement</w:t>
      </w:r>
      <w:bookmarkEnd w:id="2"/>
      <w:bookmarkEnd w:id="3"/>
    </w:p>
    <w:p w14:paraId="73715EB6" w14:textId="77777777" w:rsidR="00985B29" w:rsidRDefault="00985B29" w:rsidP="003265FF">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5F4B5C22" w14:textId="77777777" w:rsidR="00985B29" w:rsidRDefault="00985B29" w:rsidP="003265F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695"/>
        <w:gridCol w:w="3816"/>
        <w:gridCol w:w="1576"/>
      </w:tblGrid>
      <w:tr w:rsidR="00985B29" w14:paraId="36CCAABF" w14:textId="77777777" w:rsidTr="00985B29">
        <w:trPr>
          <w:tblHeader/>
        </w:trPr>
        <w:tc>
          <w:tcPr>
            <w:tcW w:w="5000" w:type="pct"/>
            <w:gridSpan w:val="3"/>
            <w:tcBorders>
              <w:top w:val="single" w:sz="12" w:space="0" w:color="auto"/>
              <w:bottom w:val="single" w:sz="2" w:space="0" w:color="auto"/>
            </w:tcBorders>
            <w:shd w:val="clear" w:color="auto" w:fill="auto"/>
            <w:hideMark/>
          </w:tcPr>
          <w:p w14:paraId="691A7378" w14:textId="77777777" w:rsidR="00985B29" w:rsidRPr="00416235" w:rsidRDefault="00985B29" w:rsidP="003265FF">
            <w:pPr>
              <w:pStyle w:val="TableHeading"/>
            </w:pPr>
            <w:r w:rsidRPr="00416235">
              <w:t>Commencement information</w:t>
            </w:r>
          </w:p>
        </w:tc>
      </w:tr>
      <w:tr w:rsidR="00985B29" w:rsidRPr="00416235" w14:paraId="4FB15DCC" w14:textId="77777777" w:rsidTr="00985B29">
        <w:trPr>
          <w:tblHeader/>
        </w:trPr>
        <w:tc>
          <w:tcPr>
            <w:tcW w:w="1196" w:type="pct"/>
            <w:tcBorders>
              <w:top w:val="single" w:sz="2" w:space="0" w:color="auto"/>
              <w:bottom w:val="single" w:sz="2" w:space="0" w:color="auto"/>
            </w:tcBorders>
            <w:shd w:val="clear" w:color="auto" w:fill="auto"/>
            <w:hideMark/>
          </w:tcPr>
          <w:p w14:paraId="64BF274B" w14:textId="77777777" w:rsidR="00985B29" w:rsidRPr="00416235" w:rsidRDefault="00985B29" w:rsidP="003265FF">
            <w:pPr>
              <w:pStyle w:val="TableHeading"/>
            </w:pPr>
            <w:r w:rsidRPr="00416235">
              <w:t>Column 1</w:t>
            </w:r>
          </w:p>
        </w:tc>
        <w:tc>
          <w:tcPr>
            <w:tcW w:w="2692" w:type="pct"/>
            <w:tcBorders>
              <w:top w:val="single" w:sz="2" w:space="0" w:color="auto"/>
              <w:bottom w:val="single" w:sz="2" w:space="0" w:color="auto"/>
            </w:tcBorders>
            <w:shd w:val="clear" w:color="auto" w:fill="auto"/>
            <w:hideMark/>
          </w:tcPr>
          <w:p w14:paraId="14535425" w14:textId="77777777" w:rsidR="00985B29" w:rsidRPr="00416235" w:rsidRDefault="00985B29" w:rsidP="003265FF">
            <w:pPr>
              <w:pStyle w:val="TableHeading"/>
            </w:pPr>
            <w:r w:rsidRPr="00416235">
              <w:t>Column 2</w:t>
            </w:r>
          </w:p>
        </w:tc>
        <w:tc>
          <w:tcPr>
            <w:tcW w:w="1112" w:type="pct"/>
            <w:tcBorders>
              <w:top w:val="single" w:sz="2" w:space="0" w:color="auto"/>
              <w:bottom w:val="single" w:sz="2" w:space="0" w:color="auto"/>
            </w:tcBorders>
            <w:shd w:val="clear" w:color="auto" w:fill="auto"/>
            <w:hideMark/>
          </w:tcPr>
          <w:p w14:paraId="5BCFD87F" w14:textId="77777777" w:rsidR="00985B29" w:rsidRPr="00416235" w:rsidRDefault="00985B29" w:rsidP="003265FF">
            <w:pPr>
              <w:pStyle w:val="TableHeading"/>
            </w:pPr>
            <w:r w:rsidRPr="00416235">
              <w:t>Column 3</w:t>
            </w:r>
          </w:p>
        </w:tc>
      </w:tr>
      <w:tr w:rsidR="00985B29" w14:paraId="099D419F" w14:textId="77777777" w:rsidTr="00985B29">
        <w:trPr>
          <w:tblHeader/>
        </w:trPr>
        <w:tc>
          <w:tcPr>
            <w:tcW w:w="1196" w:type="pct"/>
            <w:tcBorders>
              <w:top w:val="single" w:sz="2" w:space="0" w:color="auto"/>
              <w:bottom w:val="single" w:sz="12" w:space="0" w:color="auto"/>
            </w:tcBorders>
            <w:shd w:val="clear" w:color="auto" w:fill="auto"/>
            <w:hideMark/>
          </w:tcPr>
          <w:p w14:paraId="626836E5" w14:textId="77777777" w:rsidR="00985B29" w:rsidRPr="00416235" w:rsidRDefault="00985B29" w:rsidP="003265FF">
            <w:pPr>
              <w:pStyle w:val="TableHeading"/>
            </w:pPr>
            <w:r w:rsidRPr="00416235">
              <w:t>Provisions</w:t>
            </w:r>
          </w:p>
        </w:tc>
        <w:tc>
          <w:tcPr>
            <w:tcW w:w="2692" w:type="pct"/>
            <w:tcBorders>
              <w:top w:val="single" w:sz="2" w:space="0" w:color="auto"/>
              <w:bottom w:val="single" w:sz="12" w:space="0" w:color="auto"/>
            </w:tcBorders>
            <w:shd w:val="clear" w:color="auto" w:fill="auto"/>
            <w:hideMark/>
          </w:tcPr>
          <w:p w14:paraId="530EDC96" w14:textId="77777777" w:rsidR="00985B29" w:rsidRPr="00416235" w:rsidRDefault="00985B29" w:rsidP="003265FF">
            <w:pPr>
              <w:pStyle w:val="TableHeading"/>
            </w:pPr>
            <w:r w:rsidRPr="00416235">
              <w:t>Commencement</w:t>
            </w:r>
          </w:p>
        </w:tc>
        <w:tc>
          <w:tcPr>
            <w:tcW w:w="1112" w:type="pct"/>
            <w:tcBorders>
              <w:top w:val="single" w:sz="2" w:space="0" w:color="auto"/>
              <w:bottom w:val="single" w:sz="12" w:space="0" w:color="auto"/>
            </w:tcBorders>
            <w:shd w:val="clear" w:color="auto" w:fill="auto"/>
            <w:hideMark/>
          </w:tcPr>
          <w:p w14:paraId="7C3147D2" w14:textId="77777777" w:rsidR="00985B29" w:rsidRPr="00416235" w:rsidRDefault="00985B29" w:rsidP="003265FF">
            <w:pPr>
              <w:pStyle w:val="TableHeading"/>
            </w:pPr>
            <w:r w:rsidRPr="00416235">
              <w:t>Date/Details</w:t>
            </w:r>
          </w:p>
        </w:tc>
      </w:tr>
      <w:tr w:rsidR="00985B29" w14:paraId="1F89727D" w14:textId="77777777" w:rsidTr="00985B29">
        <w:tc>
          <w:tcPr>
            <w:tcW w:w="1196" w:type="pct"/>
            <w:tcBorders>
              <w:top w:val="single" w:sz="12" w:space="0" w:color="auto"/>
              <w:bottom w:val="single" w:sz="12" w:space="0" w:color="auto"/>
            </w:tcBorders>
            <w:shd w:val="clear" w:color="auto" w:fill="auto"/>
            <w:hideMark/>
          </w:tcPr>
          <w:p w14:paraId="70EB2DD3" w14:textId="77777777" w:rsidR="00985B29" w:rsidRDefault="00985B29" w:rsidP="003265FF">
            <w:pPr>
              <w:pStyle w:val="Tabletext"/>
            </w:pPr>
            <w:r>
              <w:t>1.  The whole of this Act</w:t>
            </w:r>
          </w:p>
        </w:tc>
        <w:tc>
          <w:tcPr>
            <w:tcW w:w="2692" w:type="pct"/>
            <w:tcBorders>
              <w:top w:val="single" w:sz="12" w:space="0" w:color="auto"/>
              <w:bottom w:val="single" w:sz="12" w:space="0" w:color="auto"/>
            </w:tcBorders>
            <w:shd w:val="clear" w:color="auto" w:fill="auto"/>
            <w:hideMark/>
          </w:tcPr>
          <w:p w14:paraId="0949F948" w14:textId="77777777" w:rsidR="00985B29" w:rsidRDefault="00985B29" w:rsidP="003265FF">
            <w:pPr>
              <w:pStyle w:val="Tabletext"/>
            </w:pPr>
            <w:r>
              <w:t>The day after this Act receives the Royal Assent.</w:t>
            </w:r>
          </w:p>
        </w:tc>
        <w:tc>
          <w:tcPr>
            <w:tcW w:w="1112" w:type="pct"/>
            <w:tcBorders>
              <w:top w:val="single" w:sz="12" w:space="0" w:color="auto"/>
              <w:bottom w:val="single" w:sz="12" w:space="0" w:color="auto"/>
            </w:tcBorders>
            <w:shd w:val="clear" w:color="auto" w:fill="auto"/>
          </w:tcPr>
          <w:p w14:paraId="75ECFBEC" w14:textId="7730B75D" w:rsidR="00985B29" w:rsidRDefault="001B19B6" w:rsidP="003265FF">
            <w:pPr>
              <w:pStyle w:val="Tabletext"/>
            </w:pPr>
            <w:r>
              <w:t>13 December 2022</w:t>
            </w:r>
            <w:bookmarkStart w:id="4" w:name="_GoBack"/>
            <w:bookmarkEnd w:id="4"/>
          </w:p>
        </w:tc>
      </w:tr>
    </w:tbl>
    <w:p w14:paraId="76F9F2A8" w14:textId="77777777" w:rsidR="00985B29" w:rsidRPr="001E6DD6" w:rsidRDefault="00985B29" w:rsidP="003265FF">
      <w:pPr>
        <w:pStyle w:val="notetext"/>
      </w:pPr>
      <w:r w:rsidRPr="005F477A">
        <w:rPr>
          <w:snapToGrid w:val="0"/>
          <w:lang w:eastAsia="en-US"/>
        </w:rPr>
        <w:t>Note:</w:t>
      </w:r>
      <w:r w:rsidRPr="005F477A">
        <w:rPr>
          <w:snapToGrid w:val="0"/>
          <w:lang w:eastAsia="en-US"/>
        </w:rPr>
        <w:tab/>
        <w:t>This table relates only to the provisions of this Act as originally enacted. It will not be amended to deal with any later amendments of this Act.</w:t>
      </w:r>
    </w:p>
    <w:p w14:paraId="6DDF21A5" w14:textId="77777777" w:rsidR="00985B29" w:rsidRDefault="00985B29" w:rsidP="003265FF">
      <w:pPr>
        <w:pStyle w:val="subsection"/>
      </w:pPr>
      <w:r>
        <w:tab/>
        <w:t>(2)</w:t>
      </w:r>
      <w:r>
        <w:tab/>
      </w:r>
      <w:r w:rsidRPr="005F477A">
        <w:t xml:space="preserve">Any information in </w:t>
      </w:r>
      <w:r>
        <w:t>c</w:t>
      </w:r>
      <w:r w:rsidRPr="005F477A">
        <w:t>olumn 3 of the table is not part of this Act. Information may be inserted in this column, or information in it may be edited, in any published version of this Act.</w:t>
      </w:r>
    </w:p>
    <w:p w14:paraId="241AB8A5" w14:textId="77777777" w:rsidR="0048364F" w:rsidRDefault="0048364F" w:rsidP="003265FF">
      <w:pPr>
        <w:pStyle w:val="ActHead5"/>
      </w:pPr>
      <w:bookmarkStart w:id="5" w:name="_Toc120608730"/>
      <w:bookmarkStart w:id="6" w:name="_Toc120630493"/>
      <w:r w:rsidRPr="00A046C3">
        <w:rPr>
          <w:rStyle w:val="CharSectno"/>
        </w:rPr>
        <w:t>3</w:t>
      </w:r>
      <w:r>
        <w:t xml:space="preserve">  Schedules</w:t>
      </w:r>
      <w:bookmarkEnd w:id="5"/>
      <w:bookmarkEnd w:id="6"/>
    </w:p>
    <w:p w14:paraId="302A559A" w14:textId="77777777" w:rsidR="0048364F" w:rsidRDefault="0048364F" w:rsidP="003265FF">
      <w:pPr>
        <w:pStyle w:val="subsection"/>
      </w:pPr>
      <w:r>
        <w:tab/>
      </w:r>
      <w:r>
        <w:tab/>
      </w:r>
      <w:r w:rsidR="00202618">
        <w:t>Legislation that is specified in a Schedule to this Act is amended or repealed as set out in the applicable items in the Schedule concerned, and any other item in a Schedule to this Act has effect according to its terms.</w:t>
      </w:r>
    </w:p>
    <w:p w14:paraId="6322CF9B" w14:textId="77777777" w:rsidR="007E53C4" w:rsidRPr="007B4A47" w:rsidRDefault="007E53C4" w:rsidP="003265FF">
      <w:pPr>
        <w:pStyle w:val="ActHead6"/>
        <w:pageBreakBefore/>
      </w:pPr>
      <w:bookmarkStart w:id="7" w:name="_Toc120608731"/>
      <w:bookmarkStart w:id="8" w:name="_Toc120630494"/>
      <w:r w:rsidRPr="00A046C3">
        <w:rPr>
          <w:rStyle w:val="CharAmSchNo"/>
        </w:rPr>
        <w:lastRenderedPageBreak/>
        <w:t>Schedule </w:t>
      </w:r>
      <w:r w:rsidR="00E66EF4" w:rsidRPr="00A046C3">
        <w:rPr>
          <w:rStyle w:val="CharAmSchNo"/>
        </w:rPr>
        <w:t>1</w:t>
      </w:r>
      <w:r w:rsidRPr="007B4A47">
        <w:t>—</w:t>
      </w:r>
      <w:r w:rsidR="0026567C" w:rsidRPr="00A046C3">
        <w:rPr>
          <w:rStyle w:val="CharAmSchText"/>
        </w:rPr>
        <w:t>Amendments</w:t>
      </w:r>
      <w:bookmarkEnd w:id="7"/>
      <w:bookmarkEnd w:id="8"/>
    </w:p>
    <w:p w14:paraId="49836545" w14:textId="77777777" w:rsidR="0026567C" w:rsidRPr="00A046C3" w:rsidRDefault="0026567C" w:rsidP="003265FF">
      <w:pPr>
        <w:pStyle w:val="Header"/>
      </w:pPr>
      <w:r w:rsidRPr="00A046C3">
        <w:rPr>
          <w:rStyle w:val="CharAmPartNo"/>
        </w:rPr>
        <w:t xml:space="preserve"> </w:t>
      </w:r>
      <w:r w:rsidRPr="00A046C3">
        <w:rPr>
          <w:rStyle w:val="CharAmPartText"/>
        </w:rPr>
        <w:t xml:space="preserve"> </w:t>
      </w:r>
    </w:p>
    <w:p w14:paraId="50D0DA7D" w14:textId="77777777" w:rsidR="00D415F3" w:rsidRDefault="00D415F3" w:rsidP="003265FF">
      <w:pPr>
        <w:pStyle w:val="ActHead9"/>
      </w:pPr>
      <w:bookmarkStart w:id="9" w:name="_Toc120608732"/>
      <w:bookmarkStart w:id="10" w:name="_Toc120630495"/>
      <w:r>
        <w:t>Australian Communications and Media Authority Act 2005</w:t>
      </w:r>
      <w:bookmarkEnd w:id="9"/>
      <w:bookmarkEnd w:id="10"/>
    </w:p>
    <w:p w14:paraId="775ABFC1" w14:textId="77777777" w:rsidR="00D415F3" w:rsidRDefault="00AF783B" w:rsidP="003265FF">
      <w:pPr>
        <w:pStyle w:val="ItemHead"/>
      </w:pPr>
      <w:r>
        <w:t>1</w:t>
      </w:r>
      <w:r w:rsidR="00D415F3">
        <w:t xml:space="preserve">  </w:t>
      </w:r>
      <w:r w:rsidR="00AF6A5F">
        <w:t xml:space="preserve">At the end of </w:t>
      </w:r>
      <w:r>
        <w:t>subsection 5</w:t>
      </w:r>
      <w:r w:rsidR="00AF6A5F">
        <w:t>9D(1)</w:t>
      </w:r>
    </w:p>
    <w:p w14:paraId="6F7B40DA" w14:textId="77777777" w:rsidR="00AF6A5F" w:rsidRDefault="00AF6A5F" w:rsidP="003265FF">
      <w:pPr>
        <w:pStyle w:val="Item"/>
      </w:pPr>
      <w:r>
        <w:t>Add:</w:t>
      </w:r>
    </w:p>
    <w:p w14:paraId="6673E135" w14:textId="77777777" w:rsidR="00BB579C" w:rsidRDefault="00AF6A5F" w:rsidP="003265FF">
      <w:pPr>
        <w:pStyle w:val="paragraph"/>
      </w:pPr>
      <w:r>
        <w:tab/>
        <w:t>; (q)</w:t>
      </w:r>
      <w:r>
        <w:tab/>
      </w:r>
      <w:r w:rsidR="008D4C40">
        <w:t>a</w:t>
      </w:r>
      <w:r w:rsidR="008D4C40" w:rsidRPr="008D4C40">
        <w:t xml:space="preserve"> non</w:t>
      </w:r>
      <w:r w:rsidR="003265FF">
        <w:noBreakHyphen/>
      </w:r>
      <w:r w:rsidR="008D4C40" w:rsidRPr="008D4C40">
        <w:t xml:space="preserve">corporate Commonwealth entity </w:t>
      </w:r>
      <w:r w:rsidR="00BB579C">
        <w:t>(</w:t>
      </w:r>
      <w:r w:rsidR="008D4C40" w:rsidRPr="008D4C40">
        <w:t xml:space="preserve">within the meaning of the </w:t>
      </w:r>
      <w:r w:rsidR="008D4C40" w:rsidRPr="00BB579C">
        <w:rPr>
          <w:i/>
        </w:rPr>
        <w:t>Public Governance, Performance and Accountability Act 2013</w:t>
      </w:r>
      <w:r w:rsidR="00BB579C">
        <w:t xml:space="preserve">) not otherwise covered by this subsection that is responsible for </w:t>
      </w:r>
      <w:r>
        <w:t xml:space="preserve">enforcing one or more laws </w:t>
      </w:r>
      <w:r w:rsidR="00BB579C">
        <w:t>of the Commonwealth.</w:t>
      </w:r>
    </w:p>
    <w:p w14:paraId="06938B65" w14:textId="77777777" w:rsidR="0026567C" w:rsidRDefault="0026567C" w:rsidP="003265FF">
      <w:pPr>
        <w:pStyle w:val="ActHead9"/>
      </w:pPr>
      <w:bookmarkStart w:id="11" w:name="_Toc120608733"/>
      <w:bookmarkStart w:id="12" w:name="_Toc120630496"/>
      <w:r w:rsidRPr="007B4A47">
        <w:t>Australian Information Commissioner Act 2010</w:t>
      </w:r>
      <w:bookmarkEnd w:id="11"/>
      <w:bookmarkEnd w:id="12"/>
    </w:p>
    <w:p w14:paraId="65574CB3" w14:textId="77777777" w:rsidR="00111FD0" w:rsidRDefault="00AF783B" w:rsidP="003265FF">
      <w:pPr>
        <w:pStyle w:val="ItemHead"/>
      </w:pPr>
      <w:r>
        <w:t>2</w:t>
      </w:r>
      <w:r w:rsidR="00111FD0">
        <w:t xml:space="preserve">  </w:t>
      </w:r>
      <w:r>
        <w:t>Section 2</w:t>
      </w:r>
      <w:r w:rsidR="00D82110">
        <w:t>5</w:t>
      </w:r>
    </w:p>
    <w:p w14:paraId="612652E8" w14:textId="77777777" w:rsidR="00111FD0" w:rsidRDefault="00111FD0" w:rsidP="003265FF">
      <w:pPr>
        <w:pStyle w:val="Item"/>
      </w:pPr>
      <w:r>
        <w:t>Omit “The”, substitute “(1)</w:t>
      </w:r>
      <w:r w:rsidR="007F09C3">
        <w:t xml:space="preserve"> </w:t>
      </w:r>
      <w:r>
        <w:t xml:space="preserve">Subject to </w:t>
      </w:r>
      <w:r w:rsidR="00AF783B">
        <w:t>subsection (</w:t>
      </w:r>
      <w:r>
        <w:t>2), the”.</w:t>
      </w:r>
    </w:p>
    <w:p w14:paraId="16476CFE" w14:textId="77777777" w:rsidR="0026567C" w:rsidRPr="008A4508" w:rsidRDefault="00AF783B" w:rsidP="003265FF">
      <w:pPr>
        <w:pStyle w:val="ItemHead"/>
      </w:pPr>
      <w:r>
        <w:t>3</w:t>
      </w:r>
      <w:r w:rsidR="0026567C" w:rsidRPr="008A4508">
        <w:t xml:space="preserve">  Paragraphs 25(e), (g) and (h)</w:t>
      </w:r>
    </w:p>
    <w:p w14:paraId="4D2D1687" w14:textId="77777777" w:rsidR="0026567C" w:rsidRPr="008A4508" w:rsidRDefault="0026567C" w:rsidP="003265FF">
      <w:pPr>
        <w:pStyle w:val="Item"/>
      </w:pPr>
      <w:r w:rsidRPr="008A4508">
        <w:t>Repeal the paragraphs.</w:t>
      </w:r>
    </w:p>
    <w:p w14:paraId="55C6131B" w14:textId="77777777" w:rsidR="0026567C" w:rsidRPr="008A4508" w:rsidRDefault="00AF783B" w:rsidP="003265FF">
      <w:pPr>
        <w:pStyle w:val="ItemHead"/>
      </w:pPr>
      <w:r>
        <w:t>4</w:t>
      </w:r>
      <w:r w:rsidR="0026567C" w:rsidRPr="008A4508">
        <w:t xml:space="preserve">  </w:t>
      </w:r>
      <w:r w:rsidR="0026567C">
        <w:t>Paragraph 2</w:t>
      </w:r>
      <w:r w:rsidR="0026567C" w:rsidRPr="008A4508">
        <w:t>5(k)</w:t>
      </w:r>
    </w:p>
    <w:p w14:paraId="2AD7D963" w14:textId="77777777" w:rsidR="0026567C" w:rsidRPr="008A4508" w:rsidRDefault="0026567C" w:rsidP="003265FF">
      <w:pPr>
        <w:pStyle w:val="Item"/>
      </w:pPr>
      <w:r w:rsidRPr="008A4508">
        <w:t>Omit “</w:t>
      </w:r>
      <w:r w:rsidRPr="008A4508">
        <w:rPr>
          <w:i/>
        </w:rPr>
        <w:t>1988</w:t>
      </w:r>
      <w:r w:rsidRPr="008A4508">
        <w:t>;”, substitute “</w:t>
      </w:r>
      <w:r w:rsidRPr="008A4508">
        <w:rPr>
          <w:i/>
        </w:rPr>
        <w:t>1988</w:t>
      </w:r>
      <w:r w:rsidRPr="008A4508">
        <w:t>.”.</w:t>
      </w:r>
    </w:p>
    <w:p w14:paraId="35BB77FE" w14:textId="77777777" w:rsidR="0026567C" w:rsidRPr="008A4508" w:rsidRDefault="00AF783B" w:rsidP="003265FF">
      <w:pPr>
        <w:pStyle w:val="ItemHead"/>
      </w:pPr>
      <w:r>
        <w:t>5</w:t>
      </w:r>
      <w:r w:rsidR="0026567C" w:rsidRPr="008A4508">
        <w:t xml:space="preserve">  </w:t>
      </w:r>
      <w:r w:rsidR="0026567C">
        <w:t>Paragraph 2</w:t>
      </w:r>
      <w:r w:rsidR="0026567C" w:rsidRPr="008A4508">
        <w:t>5(l)</w:t>
      </w:r>
    </w:p>
    <w:p w14:paraId="73F71A9F" w14:textId="77777777" w:rsidR="0026567C" w:rsidRDefault="0026567C" w:rsidP="003265FF">
      <w:pPr>
        <w:pStyle w:val="Item"/>
      </w:pPr>
      <w:r w:rsidRPr="008A4508">
        <w:t>Repeal the paragraph.</w:t>
      </w:r>
    </w:p>
    <w:p w14:paraId="69C52D4F" w14:textId="77777777" w:rsidR="00111FD0" w:rsidRDefault="00AF783B" w:rsidP="003265FF">
      <w:pPr>
        <w:pStyle w:val="ItemHead"/>
      </w:pPr>
      <w:r>
        <w:t>6</w:t>
      </w:r>
      <w:r w:rsidR="00111FD0">
        <w:t xml:space="preserve">  At the end of </w:t>
      </w:r>
      <w:r>
        <w:t>section 2</w:t>
      </w:r>
      <w:r w:rsidR="00111FD0">
        <w:t>5</w:t>
      </w:r>
    </w:p>
    <w:p w14:paraId="4C68311A" w14:textId="77777777" w:rsidR="00111FD0" w:rsidRDefault="00111FD0" w:rsidP="003265FF">
      <w:pPr>
        <w:pStyle w:val="Item"/>
      </w:pPr>
      <w:r>
        <w:t>Add:</w:t>
      </w:r>
    </w:p>
    <w:p w14:paraId="54308085" w14:textId="77777777" w:rsidR="002A027F" w:rsidRDefault="00111FD0" w:rsidP="003265FF">
      <w:pPr>
        <w:pStyle w:val="subsection"/>
      </w:pPr>
      <w:r>
        <w:tab/>
        <w:t>(2)</w:t>
      </w:r>
      <w:r>
        <w:tab/>
      </w:r>
      <w:r w:rsidRPr="00111FD0">
        <w:t xml:space="preserve">The Information Commissioner may </w:t>
      </w:r>
      <w:r>
        <w:t xml:space="preserve">only </w:t>
      </w:r>
      <w:r w:rsidRPr="00111FD0">
        <w:t>delegate</w:t>
      </w:r>
      <w:r>
        <w:t xml:space="preserve"> the following </w:t>
      </w:r>
      <w:r w:rsidRPr="00111FD0">
        <w:t xml:space="preserve">functions or powers </w:t>
      </w:r>
      <w:r>
        <w:t>t</w:t>
      </w:r>
      <w:r w:rsidRPr="00111FD0">
        <w:t>o a member of staff of the Office of the Australian Information Commissioner</w:t>
      </w:r>
      <w:r>
        <w:t xml:space="preserve"> wh</w:t>
      </w:r>
      <w:r w:rsidRPr="00111FD0">
        <w:t>o is an SES</w:t>
      </w:r>
      <w:r w:rsidR="002A027F">
        <w:t xml:space="preserve"> employee</w:t>
      </w:r>
      <w:r w:rsidRPr="00111FD0">
        <w:t xml:space="preserve">, or </w:t>
      </w:r>
      <w:r w:rsidR="002A027F">
        <w:t xml:space="preserve">an </w:t>
      </w:r>
      <w:r w:rsidRPr="00111FD0">
        <w:t>acting SES employee</w:t>
      </w:r>
      <w:r w:rsidR="002A027F">
        <w:t>, or who holds, or is acting in, a position that is equivalent to, or higher than, a position occupied by an SES employee:</w:t>
      </w:r>
    </w:p>
    <w:p w14:paraId="63BF527E" w14:textId="77777777" w:rsidR="00111FD0" w:rsidRDefault="00111FD0" w:rsidP="003265FF">
      <w:pPr>
        <w:pStyle w:val="paragraph"/>
      </w:pPr>
      <w:r>
        <w:tab/>
        <w:t>(a)</w:t>
      </w:r>
      <w:r>
        <w:tab/>
      </w:r>
      <w:r w:rsidRPr="00111FD0">
        <w:t xml:space="preserve">the function conferred by section 55K of the </w:t>
      </w:r>
      <w:r w:rsidRPr="00111FD0">
        <w:rPr>
          <w:i/>
        </w:rPr>
        <w:t xml:space="preserve">Freedom of Information Act 1982 </w:t>
      </w:r>
      <w:r w:rsidRPr="00111FD0">
        <w:t>(making a decision on an IC review);</w:t>
      </w:r>
    </w:p>
    <w:p w14:paraId="3DCCA65B" w14:textId="77777777" w:rsidR="00111FD0" w:rsidRDefault="00111FD0" w:rsidP="003265FF">
      <w:pPr>
        <w:pStyle w:val="paragraph"/>
      </w:pPr>
      <w:r>
        <w:lastRenderedPageBreak/>
        <w:tab/>
        <w:t>(b)</w:t>
      </w:r>
      <w:r>
        <w:tab/>
      </w:r>
      <w:r w:rsidRPr="00111FD0">
        <w:t>the function conferred by section </w:t>
      </w:r>
      <w:r>
        <w:t>7</w:t>
      </w:r>
      <w:r w:rsidR="002A027F">
        <w:t>3</w:t>
      </w:r>
      <w:r w:rsidRPr="00111FD0">
        <w:t xml:space="preserve"> of the </w:t>
      </w:r>
      <w:r w:rsidRPr="002A027F">
        <w:rPr>
          <w:i/>
        </w:rPr>
        <w:t>Freedom of Information Act 1982</w:t>
      </w:r>
      <w:r w:rsidRPr="00111FD0">
        <w:t xml:space="preserve"> (</w:t>
      </w:r>
      <w:r w:rsidR="002A027F" w:rsidRPr="002A027F">
        <w:t>discretion not to investigate a complaint</w:t>
      </w:r>
      <w:r w:rsidRPr="00111FD0">
        <w:t>);</w:t>
      </w:r>
    </w:p>
    <w:p w14:paraId="6F16D130" w14:textId="77777777" w:rsidR="00111FD0" w:rsidRDefault="00111FD0" w:rsidP="003265FF">
      <w:pPr>
        <w:pStyle w:val="paragraph"/>
      </w:pPr>
      <w:r>
        <w:tab/>
        <w:t>(c)</w:t>
      </w:r>
      <w:r>
        <w:tab/>
      </w:r>
      <w:r w:rsidRPr="00111FD0">
        <w:t>the function conferred by section </w:t>
      </w:r>
      <w:r>
        <w:t>86</w:t>
      </w:r>
      <w:r w:rsidRPr="00111FD0">
        <w:t xml:space="preserve"> of the </w:t>
      </w:r>
      <w:r w:rsidRPr="002A027F">
        <w:rPr>
          <w:i/>
        </w:rPr>
        <w:t>Freedom of Information Act 1982</w:t>
      </w:r>
      <w:r w:rsidRPr="00111FD0">
        <w:t xml:space="preserve"> (obligation to notify on completion of investigation);</w:t>
      </w:r>
    </w:p>
    <w:p w14:paraId="5964205D" w14:textId="77777777" w:rsidR="00111FD0" w:rsidRDefault="00111FD0" w:rsidP="003265FF">
      <w:pPr>
        <w:pStyle w:val="paragraph"/>
      </w:pPr>
      <w:r>
        <w:tab/>
        <w:t>(d)</w:t>
      </w:r>
      <w:r>
        <w:tab/>
      </w:r>
      <w:r w:rsidRPr="00111FD0">
        <w:t xml:space="preserve">making determinations for the purposes of section 52 of the </w:t>
      </w:r>
      <w:r w:rsidRPr="00111FD0">
        <w:rPr>
          <w:i/>
        </w:rPr>
        <w:t>Privacy Act 1988</w:t>
      </w:r>
      <w:r w:rsidRPr="00111FD0">
        <w:t>.</w:t>
      </w:r>
    </w:p>
    <w:p w14:paraId="713A686C" w14:textId="77777777" w:rsidR="0026567C" w:rsidRPr="007B4A47" w:rsidRDefault="00AF783B" w:rsidP="003265FF">
      <w:pPr>
        <w:pStyle w:val="ItemHead"/>
      </w:pPr>
      <w:r>
        <w:t>7</w:t>
      </w:r>
      <w:r w:rsidR="0026567C" w:rsidRPr="007B4A47">
        <w:t xml:space="preserve">  </w:t>
      </w:r>
      <w:r w:rsidR="0026567C">
        <w:t>Paragraph 2</w:t>
      </w:r>
      <w:r w:rsidR="0026567C" w:rsidRPr="007B4A47">
        <w:t>9(2)(a)</w:t>
      </w:r>
    </w:p>
    <w:p w14:paraId="68C4F2DD" w14:textId="77777777" w:rsidR="0026567C" w:rsidRPr="007B4A47" w:rsidRDefault="0026567C" w:rsidP="003265FF">
      <w:pPr>
        <w:pStyle w:val="Item"/>
      </w:pPr>
      <w:r w:rsidRPr="007B4A47">
        <w:t>Repeal the paragraph, substitute:</w:t>
      </w:r>
    </w:p>
    <w:p w14:paraId="66A5FD65" w14:textId="77777777" w:rsidR="0026567C" w:rsidRPr="007B4A47" w:rsidRDefault="0026567C" w:rsidP="003265FF">
      <w:pPr>
        <w:pStyle w:val="paragraph"/>
      </w:pPr>
      <w:r w:rsidRPr="007B4A47">
        <w:tab/>
        <w:t>(a)</w:t>
      </w:r>
      <w:r w:rsidRPr="007B4A47">
        <w:tab/>
        <w:t>both of the following apply:</w:t>
      </w:r>
    </w:p>
    <w:p w14:paraId="08F7083A" w14:textId="77777777" w:rsidR="0026567C" w:rsidRPr="007B4A47" w:rsidRDefault="0026567C" w:rsidP="003265FF">
      <w:pPr>
        <w:pStyle w:val="paragraphsub"/>
      </w:pPr>
      <w:r w:rsidRPr="007B4A47">
        <w:tab/>
        <w:t>(i)</w:t>
      </w:r>
      <w:r w:rsidRPr="007B4A47">
        <w:tab/>
        <w:t>the information was acquired by the person in the course of performing an information commissioner function or exercising a related power;</w:t>
      </w:r>
    </w:p>
    <w:p w14:paraId="08034834" w14:textId="77777777" w:rsidR="0026567C" w:rsidRPr="007B4A47" w:rsidRDefault="0026567C" w:rsidP="003265FF">
      <w:pPr>
        <w:pStyle w:val="paragraphsub"/>
      </w:pPr>
      <w:r w:rsidRPr="007B4A47">
        <w:tab/>
        <w:t>(ii)</w:t>
      </w:r>
      <w:r w:rsidRPr="007B4A47">
        <w:tab/>
        <w:t>the person records, discloses or otherwise uses the information in the course of performing an information commissioner function or exercising a related power; or</w:t>
      </w:r>
    </w:p>
    <w:p w14:paraId="00F5B009" w14:textId="77777777" w:rsidR="0026567C" w:rsidRPr="007B4A47" w:rsidRDefault="0026567C" w:rsidP="003265FF">
      <w:pPr>
        <w:pStyle w:val="paragraph"/>
      </w:pPr>
      <w:r w:rsidRPr="007B4A47">
        <w:tab/>
        <w:t>(aa)</w:t>
      </w:r>
      <w:r w:rsidRPr="007B4A47">
        <w:tab/>
        <w:t>both of the following apply:</w:t>
      </w:r>
    </w:p>
    <w:p w14:paraId="6C6F0523" w14:textId="77777777" w:rsidR="0026567C" w:rsidRPr="007B4A47" w:rsidRDefault="0026567C" w:rsidP="003265FF">
      <w:pPr>
        <w:pStyle w:val="paragraphsub"/>
      </w:pPr>
      <w:r w:rsidRPr="007B4A47">
        <w:tab/>
        <w:t>(i)</w:t>
      </w:r>
      <w:r w:rsidRPr="007B4A47">
        <w:tab/>
        <w:t>the information was acquired by the person in the course of performing a freedom of information function or exercising a related power;</w:t>
      </w:r>
    </w:p>
    <w:p w14:paraId="7A24EE92" w14:textId="77777777" w:rsidR="0026567C" w:rsidRPr="007B4A47" w:rsidRDefault="0026567C" w:rsidP="003265FF">
      <w:pPr>
        <w:pStyle w:val="paragraphsub"/>
      </w:pPr>
      <w:r w:rsidRPr="007B4A47">
        <w:tab/>
        <w:t>(ii)</w:t>
      </w:r>
      <w:r w:rsidRPr="007B4A47">
        <w:tab/>
        <w:t>the person records, discloses or otherwise uses the information in the course of performing a freedom of information function or exercising a related power; or</w:t>
      </w:r>
    </w:p>
    <w:p w14:paraId="75E16121" w14:textId="77777777" w:rsidR="0026567C" w:rsidRPr="007B4A47" w:rsidRDefault="0026567C" w:rsidP="003265FF">
      <w:pPr>
        <w:pStyle w:val="paragraph"/>
      </w:pPr>
      <w:r w:rsidRPr="007B4A47">
        <w:tab/>
        <w:t>(ab)</w:t>
      </w:r>
      <w:r w:rsidRPr="007B4A47">
        <w:tab/>
        <w:t>both of the following apply:</w:t>
      </w:r>
    </w:p>
    <w:p w14:paraId="62582633" w14:textId="77777777" w:rsidR="0026567C" w:rsidRPr="007B4A47" w:rsidRDefault="0026567C" w:rsidP="003265FF">
      <w:pPr>
        <w:pStyle w:val="paragraphsub"/>
      </w:pPr>
      <w:r w:rsidRPr="007B4A47">
        <w:tab/>
        <w:t>(i)</w:t>
      </w:r>
      <w:r w:rsidRPr="007B4A47">
        <w:tab/>
        <w:t>the information was acquired by the person in the course of performing a privacy function or exercising a related power;</w:t>
      </w:r>
    </w:p>
    <w:p w14:paraId="6ABE4C10" w14:textId="77777777" w:rsidR="0026567C" w:rsidRPr="007B4A47" w:rsidRDefault="0026567C" w:rsidP="003265FF">
      <w:pPr>
        <w:pStyle w:val="paragraphsub"/>
      </w:pPr>
      <w:r w:rsidRPr="007B4A47">
        <w:tab/>
        <w:t>(ii)</w:t>
      </w:r>
      <w:r w:rsidRPr="007B4A47">
        <w:tab/>
        <w:t>the person records, discloses or otherwise uses the information in the course of performing a privacy function or exercising a related power; or</w:t>
      </w:r>
    </w:p>
    <w:p w14:paraId="21790457" w14:textId="77777777" w:rsidR="0026567C" w:rsidRPr="007B4A47" w:rsidRDefault="00AF783B" w:rsidP="003265FF">
      <w:pPr>
        <w:pStyle w:val="ItemHead"/>
      </w:pPr>
      <w:r>
        <w:t>8</w:t>
      </w:r>
      <w:r w:rsidR="0026567C" w:rsidRPr="007B4A47">
        <w:t xml:space="preserve">  </w:t>
      </w:r>
      <w:r w:rsidR="0026567C">
        <w:t>Paragraph 2</w:t>
      </w:r>
      <w:r w:rsidR="0026567C" w:rsidRPr="007B4A47">
        <w:t>9(2)(aa)</w:t>
      </w:r>
    </w:p>
    <w:p w14:paraId="3AA8411E" w14:textId="77777777" w:rsidR="0026567C" w:rsidRPr="007B4A47" w:rsidRDefault="0026567C" w:rsidP="003265FF">
      <w:pPr>
        <w:pStyle w:val="Item"/>
      </w:pPr>
      <w:proofErr w:type="spellStart"/>
      <w:r w:rsidRPr="007B4A47">
        <w:t>Reletter</w:t>
      </w:r>
      <w:proofErr w:type="spellEnd"/>
      <w:r w:rsidRPr="007B4A47">
        <w:t xml:space="preserve"> as paragraph (ac).</w:t>
      </w:r>
    </w:p>
    <w:p w14:paraId="63D6E8A0" w14:textId="77777777" w:rsidR="0026567C" w:rsidRPr="007B4A47" w:rsidRDefault="0026567C" w:rsidP="003265FF">
      <w:pPr>
        <w:pStyle w:val="ActHead9"/>
        <w:rPr>
          <w:i w:val="0"/>
        </w:rPr>
      </w:pPr>
      <w:bookmarkStart w:id="13" w:name="_Toc120608734"/>
      <w:bookmarkStart w:id="14" w:name="_Toc120630497"/>
      <w:r w:rsidRPr="007B4A47">
        <w:lastRenderedPageBreak/>
        <w:t>Privacy Act 1988</w:t>
      </w:r>
      <w:bookmarkEnd w:id="13"/>
      <w:bookmarkEnd w:id="14"/>
    </w:p>
    <w:p w14:paraId="46A71BF7" w14:textId="77777777" w:rsidR="002E5E1E" w:rsidRDefault="00AF783B" w:rsidP="003265FF">
      <w:pPr>
        <w:pStyle w:val="ItemHead"/>
      </w:pPr>
      <w:r>
        <w:t>9</w:t>
      </w:r>
      <w:r w:rsidR="002E5E1E">
        <w:t xml:space="preserve">  </w:t>
      </w:r>
      <w:r>
        <w:t>Paragraph 5</w:t>
      </w:r>
      <w:r w:rsidR="002E5E1E">
        <w:t>B(3)(b)</w:t>
      </w:r>
    </w:p>
    <w:p w14:paraId="13E8A468" w14:textId="77777777" w:rsidR="002E5E1E" w:rsidRDefault="002E5E1E" w:rsidP="003265FF">
      <w:pPr>
        <w:pStyle w:val="Item"/>
      </w:pPr>
      <w:r>
        <w:t>Omit “</w:t>
      </w:r>
      <w:r w:rsidRPr="002E5E1E">
        <w:t>Territory;</w:t>
      </w:r>
      <w:r>
        <w:t>”, substitute “Territory.”.</w:t>
      </w:r>
    </w:p>
    <w:p w14:paraId="5EF7DCCE" w14:textId="77777777" w:rsidR="007E53C4" w:rsidRPr="007B4A47" w:rsidRDefault="00AF783B" w:rsidP="003265FF">
      <w:pPr>
        <w:pStyle w:val="ItemHead"/>
      </w:pPr>
      <w:r>
        <w:t>10</w:t>
      </w:r>
      <w:r w:rsidR="007E53C4" w:rsidRPr="007B4A47">
        <w:t xml:space="preserve">  </w:t>
      </w:r>
      <w:r>
        <w:t>Paragraph 5</w:t>
      </w:r>
      <w:r w:rsidR="007E53C4" w:rsidRPr="007B4A47">
        <w:t>B(3)(c)</w:t>
      </w:r>
    </w:p>
    <w:p w14:paraId="65DEBF6C" w14:textId="77777777" w:rsidR="007E53C4" w:rsidRPr="007B4A47" w:rsidRDefault="007E53C4" w:rsidP="003265FF">
      <w:pPr>
        <w:pStyle w:val="Item"/>
      </w:pPr>
      <w:r w:rsidRPr="007B4A47">
        <w:t>Repeal the paragraph.</w:t>
      </w:r>
    </w:p>
    <w:p w14:paraId="2D62845A" w14:textId="77777777" w:rsidR="007E53C4" w:rsidRPr="007B4A47" w:rsidRDefault="00AF783B" w:rsidP="003265FF">
      <w:pPr>
        <w:pStyle w:val="ItemHead"/>
      </w:pPr>
      <w:r>
        <w:t>11</w:t>
      </w:r>
      <w:r w:rsidR="007E53C4" w:rsidRPr="007B4A47">
        <w:t xml:space="preserve">  Subsection 6(1)</w:t>
      </w:r>
    </w:p>
    <w:p w14:paraId="377C3CAC" w14:textId="77777777" w:rsidR="007E53C4" w:rsidRPr="007B4A47" w:rsidRDefault="007E53C4" w:rsidP="003265FF">
      <w:pPr>
        <w:pStyle w:val="Item"/>
      </w:pPr>
      <w:r w:rsidRPr="007B4A47">
        <w:t>Insert:</w:t>
      </w:r>
    </w:p>
    <w:p w14:paraId="3430735E" w14:textId="77777777" w:rsidR="0026567C" w:rsidRDefault="0026567C" w:rsidP="003265FF">
      <w:pPr>
        <w:pStyle w:val="Definition"/>
      </w:pPr>
      <w:r w:rsidRPr="007B4A47">
        <w:rPr>
          <w:b/>
          <w:i/>
        </w:rPr>
        <w:t>alternative complaint body</w:t>
      </w:r>
      <w:r w:rsidRPr="007B4A47">
        <w:t xml:space="preserve"> has the meaning given by </w:t>
      </w:r>
      <w:r w:rsidR="00AF783B">
        <w:t>subsection 5</w:t>
      </w:r>
      <w:r w:rsidRPr="007B4A47">
        <w:t>0(1).</w:t>
      </w:r>
    </w:p>
    <w:p w14:paraId="41C6B1AB" w14:textId="77777777" w:rsidR="007E53C4" w:rsidRDefault="007E53C4" w:rsidP="003265FF">
      <w:pPr>
        <w:pStyle w:val="Definition"/>
      </w:pPr>
      <w:r w:rsidRPr="007B4A47">
        <w:rPr>
          <w:b/>
          <w:i/>
        </w:rPr>
        <w:t>related body corporate</w:t>
      </w:r>
      <w:r w:rsidRPr="007B4A47">
        <w:t xml:space="preserve">: see </w:t>
      </w:r>
      <w:r w:rsidR="00AF783B">
        <w:t>subsection (</w:t>
      </w:r>
      <w:r w:rsidRPr="007B4A47">
        <w:t>8).</w:t>
      </w:r>
    </w:p>
    <w:p w14:paraId="7E9AC2C3" w14:textId="77777777" w:rsidR="007E53C4" w:rsidRPr="007B4A47" w:rsidRDefault="00AF783B" w:rsidP="003265FF">
      <w:pPr>
        <w:pStyle w:val="ItemHead"/>
      </w:pPr>
      <w:r>
        <w:t>12</w:t>
      </w:r>
      <w:r w:rsidR="007E53C4" w:rsidRPr="007B4A47">
        <w:t xml:space="preserve">  Section 13G</w:t>
      </w:r>
    </w:p>
    <w:p w14:paraId="122EA449" w14:textId="77777777" w:rsidR="007E53C4" w:rsidRPr="007B4A47" w:rsidRDefault="00D64F2A" w:rsidP="003265FF">
      <w:pPr>
        <w:pStyle w:val="Item"/>
      </w:pPr>
      <w:r>
        <w:t xml:space="preserve">Before </w:t>
      </w:r>
      <w:r w:rsidR="007E53C4" w:rsidRPr="007B4A47">
        <w:t xml:space="preserve">“An”, </w:t>
      </w:r>
      <w:r>
        <w:t xml:space="preserve">insert </w:t>
      </w:r>
      <w:r w:rsidR="007E53C4" w:rsidRPr="007B4A47">
        <w:t>“(1)”.</w:t>
      </w:r>
    </w:p>
    <w:p w14:paraId="2261384C" w14:textId="77777777" w:rsidR="007E53C4" w:rsidRPr="007B4A47" w:rsidRDefault="00AF783B" w:rsidP="003265FF">
      <w:pPr>
        <w:pStyle w:val="ItemHead"/>
      </w:pPr>
      <w:r>
        <w:t>13</w:t>
      </w:r>
      <w:r w:rsidR="007E53C4" w:rsidRPr="007B4A47">
        <w:t xml:space="preserve">  Section 13G (penalty)</w:t>
      </w:r>
    </w:p>
    <w:p w14:paraId="06B982CC" w14:textId="77777777" w:rsidR="007E53C4" w:rsidRPr="007B4A47" w:rsidRDefault="007E53C4" w:rsidP="003265FF">
      <w:pPr>
        <w:pStyle w:val="Item"/>
      </w:pPr>
      <w:r w:rsidRPr="007B4A47">
        <w:t>Repeal the penalty</w:t>
      </w:r>
      <w:r w:rsidR="00634D55">
        <w:t>.</w:t>
      </w:r>
    </w:p>
    <w:p w14:paraId="15DB6EA7" w14:textId="77777777" w:rsidR="007E53C4" w:rsidRPr="007B4A47" w:rsidRDefault="00AF783B" w:rsidP="003265FF">
      <w:pPr>
        <w:pStyle w:val="ItemHead"/>
      </w:pPr>
      <w:r>
        <w:t>14</w:t>
      </w:r>
      <w:r w:rsidR="007E53C4" w:rsidRPr="007B4A47">
        <w:t xml:space="preserve">  At the end of section 13G</w:t>
      </w:r>
    </w:p>
    <w:p w14:paraId="1E30CC65" w14:textId="77777777" w:rsidR="007E53C4" w:rsidRPr="007B4A47" w:rsidRDefault="007E53C4" w:rsidP="003265FF">
      <w:pPr>
        <w:pStyle w:val="Item"/>
      </w:pPr>
      <w:r w:rsidRPr="007B4A47">
        <w:t>Add:</w:t>
      </w:r>
    </w:p>
    <w:p w14:paraId="5226DC39" w14:textId="77777777" w:rsidR="001F6048" w:rsidRDefault="001F6048" w:rsidP="001F6048">
      <w:pPr>
        <w:pStyle w:val="subsection"/>
      </w:pPr>
      <w:r>
        <w:tab/>
        <w:t>(1A)</w:t>
      </w:r>
      <w:r>
        <w:tab/>
        <w:t>Subsection (1) is a civil penalty provision.</w:t>
      </w:r>
    </w:p>
    <w:p w14:paraId="37DB47A1" w14:textId="77777777" w:rsidR="001F6048" w:rsidRDefault="001F6048" w:rsidP="001F6048">
      <w:pPr>
        <w:pStyle w:val="notetext"/>
      </w:pPr>
      <w:r>
        <w:t>Note:</w:t>
      </w:r>
      <w:r>
        <w:tab/>
        <w:t>Section 80U deals with civil penalty provisions in this Act.</w:t>
      </w:r>
    </w:p>
    <w:p w14:paraId="511DFC5B" w14:textId="77777777" w:rsidR="00517543" w:rsidRDefault="00517543" w:rsidP="003265FF">
      <w:pPr>
        <w:pStyle w:val="subsection"/>
      </w:pPr>
      <w:r>
        <w:tab/>
      </w:r>
      <w:r w:rsidRPr="00517543">
        <w:t>(</w:t>
      </w:r>
      <w:r>
        <w:t>2</w:t>
      </w:r>
      <w:r w:rsidRPr="00517543">
        <w:t>)</w:t>
      </w:r>
      <w:r w:rsidRPr="00517543">
        <w:tab/>
      </w:r>
      <w:r w:rsidRPr="007B4A47">
        <w:t xml:space="preserve">The amount of the penalty for a contravention of </w:t>
      </w:r>
      <w:r w:rsidR="00AF783B">
        <w:t>subsection (</w:t>
      </w:r>
      <w:r w:rsidRPr="007B4A47">
        <w:t>1)</w:t>
      </w:r>
      <w:r>
        <w:t xml:space="preserve"> by</w:t>
      </w:r>
      <w:r w:rsidRPr="00517543">
        <w:t xml:space="preserve"> a person other than a body corporate is </w:t>
      </w:r>
      <w:r w:rsidRPr="007B4A47">
        <w:t>an amount not more tha</w:t>
      </w:r>
      <w:r>
        <w:t xml:space="preserve">n </w:t>
      </w:r>
      <w:r w:rsidRPr="00517543">
        <w:t>$</w:t>
      </w:r>
      <w:r>
        <w:t>2,</w:t>
      </w:r>
      <w:r w:rsidRPr="00517543">
        <w:t>500,000.</w:t>
      </w:r>
    </w:p>
    <w:p w14:paraId="06671BB5" w14:textId="77777777" w:rsidR="007E53C4" w:rsidRPr="007B4A47" w:rsidRDefault="00517543" w:rsidP="003265FF">
      <w:pPr>
        <w:pStyle w:val="subsection"/>
      </w:pPr>
      <w:r>
        <w:tab/>
      </w:r>
      <w:r w:rsidR="007E53C4" w:rsidRPr="007B4A47">
        <w:t>(</w:t>
      </w:r>
      <w:r>
        <w:t>3</w:t>
      </w:r>
      <w:r w:rsidR="007E53C4" w:rsidRPr="007B4A47">
        <w:t>)</w:t>
      </w:r>
      <w:r w:rsidR="007E53C4" w:rsidRPr="007B4A47">
        <w:tab/>
        <w:t xml:space="preserve">The amount of the penalty for a contravention of </w:t>
      </w:r>
      <w:r w:rsidR="00AF783B">
        <w:t>subsection (</w:t>
      </w:r>
      <w:r w:rsidR="007E53C4" w:rsidRPr="007B4A47">
        <w:t>1) by a body corporate is an amount not more than the greater of the following:</w:t>
      </w:r>
    </w:p>
    <w:p w14:paraId="3C9EB0C4" w14:textId="77777777" w:rsidR="007E53C4" w:rsidRPr="007B4A47" w:rsidRDefault="007E53C4" w:rsidP="003265FF">
      <w:pPr>
        <w:pStyle w:val="paragraph"/>
      </w:pPr>
      <w:r w:rsidRPr="007B4A47">
        <w:tab/>
        <w:t>(a)</w:t>
      </w:r>
      <w:r w:rsidRPr="007B4A47">
        <w:tab/>
        <w:t>$</w:t>
      </w:r>
      <w:r w:rsidR="00650971">
        <w:t>5</w:t>
      </w:r>
      <w:r w:rsidRPr="007B4A47">
        <w:t>0,000,000;</w:t>
      </w:r>
    </w:p>
    <w:p w14:paraId="2EF02A05" w14:textId="77777777" w:rsidR="007E53C4" w:rsidRPr="007B4A47" w:rsidRDefault="007E53C4" w:rsidP="003265FF">
      <w:pPr>
        <w:pStyle w:val="paragraph"/>
      </w:pPr>
      <w:r w:rsidRPr="007B4A47">
        <w:tab/>
        <w:t>(b)</w:t>
      </w:r>
      <w:r w:rsidRPr="007B4A47">
        <w:tab/>
        <w:t xml:space="preserve">if the court can determine the value of the benefit that the body corporate, and any related body corporate, have obtained directly or indirectly and that is reasonably </w:t>
      </w:r>
      <w:r w:rsidRPr="007B4A47">
        <w:lastRenderedPageBreak/>
        <w:t>attributable to the conduct constituting the contravention—3 times the value of that benefit;</w:t>
      </w:r>
    </w:p>
    <w:p w14:paraId="4E88BAFC" w14:textId="77777777" w:rsidR="007E53C4" w:rsidRPr="007B4A47" w:rsidRDefault="007E53C4" w:rsidP="003265FF">
      <w:pPr>
        <w:pStyle w:val="paragraph"/>
      </w:pPr>
      <w:r w:rsidRPr="007B4A47">
        <w:tab/>
        <w:t>(c)</w:t>
      </w:r>
      <w:r w:rsidRPr="007B4A47">
        <w:tab/>
        <w:t>if the court cannot determine the value of that benefit—</w:t>
      </w:r>
      <w:r w:rsidR="00650971">
        <w:t>3</w:t>
      </w:r>
      <w:r w:rsidRPr="007B4A47">
        <w:t xml:space="preserve">0% of the </w:t>
      </w:r>
      <w:r w:rsidR="00650971">
        <w:t>adjusted</w:t>
      </w:r>
      <w:r w:rsidR="00E66EF4">
        <w:t xml:space="preserve"> </w:t>
      </w:r>
      <w:r w:rsidRPr="007B4A47">
        <w:t>turnover</w:t>
      </w:r>
      <w:r w:rsidRPr="007B4A47">
        <w:rPr>
          <w:i/>
        </w:rPr>
        <w:t xml:space="preserve"> </w:t>
      </w:r>
      <w:r w:rsidRPr="007B4A47">
        <w:t xml:space="preserve">of the body corporate during the </w:t>
      </w:r>
      <w:r w:rsidR="00650971">
        <w:t xml:space="preserve">breach turnover </w:t>
      </w:r>
      <w:r w:rsidRPr="007B4A47">
        <w:t>period</w:t>
      </w:r>
      <w:r w:rsidR="00517543">
        <w:t xml:space="preserve"> for the c</w:t>
      </w:r>
      <w:r w:rsidR="00650971">
        <w:t>ontravention</w:t>
      </w:r>
      <w:r w:rsidRPr="007B4A47">
        <w:t>.</w:t>
      </w:r>
    </w:p>
    <w:p w14:paraId="6E7A4616" w14:textId="77777777" w:rsidR="007E53C4" w:rsidRPr="007B4A47" w:rsidRDefault="007E53C4" w:rsidP="003265FF">
      <w:pPr>
        <w:pStyle w:val="subsection"/>
      </w:pPr>
      <w:r w:rsidRPr="007B4A47">
        <w:tab/>
        <w:t>(</w:t>
      </w:r>
      <w:r w:rsidR="00517543">
        <w:t>4</w:t>
      </w:r>
      <w:r w:rsidRPr="007B4A47">
        <w:t>)</w:t>
      </w:r>
      <w:r w:rsidRPr="007B4A47">
        <w:tab/>
      </w:r>
      <w:r w:rsidR="00503CA0">
        <w:t>Subsection (</w:t>
      </w:r>
      <w:r w:rsidR="00517543">
        <w:t>3</w:t>
      </w:r>
      <w:r w:rsidRPr="007B4A47">
        <w:t>) applies despite paragraph 82(5)(a) of the Regulatory Powers Act.</w:t>
      </w:r>
    </w:p>
    <w:p w14:paraId="63DFB373" w14:textId="77777777" w:rsidR="007E53C4" w:rsidRPr="007B4A47" w:rsidRDefault="007E53C4" w:rsidP="003265FF">
      <w:pPr>
        <w:pStyle w:val="subsection"/>
      </w:pPr>
      <w:r w:rsidRPr="007B4A47">
        <w:tab/>
        <w:t>(</w:t>
      </w:r>
      <w:r w:rsidR="00517543">
        <w:t>5</w:t>
      </w:r>
      <w:r w:rsidRPr="007B4A47">
        <w:t>)</w:t>
      </w:r>
      <w:r w:rsidRPr="007B4A47">
        <w:tab/>
        <w:t>For the purposes of paragraph (</w:t>
      </w:r>
      <w:r w:rsidR="00517543">
        <w:t>3</w:t>
      </w:r>
      <w:r w:rsidRPr="007B4A47">
        <w:t xml:space="preserve">)(c), the </w:t>
      </w:r>
      <w:r w:rsidR="00650971">
        <w:rPr>
          <w:b/>
          <w:i/>
        </w:rPr>
        <w:t>adjusted</w:t>
      </w:r>
      <w:r w:rsidRPr="007B4A47">
        <w:rPr>
          <w:b/>
          <w:i/>
        </w:rPr>
        <w:t xml:space="preserve"> turnover</w:t>
      </w:r>
      <w:r w:rsidR="00517543">
        <w:t xml:space="preserve"> </w:t>
      </w:r>
      <w:r w:rsidRPr="007B4A47">
        <w:t>of a body corporate during a period is the sum of the values of all the supplies that the body corporate, and any related body corporate, have made, or are likely to make, during the period, other than:</w:t>
      </w:r>
    </w:p>
    <w:p w14:paraId="17F42D8E" w14:textId="77777777" w:rsidR="007E53C4" w:rsidRPr="007B4A47" w:rsidRDefault="007E53C4" w:rsidP="003265FF">
      <w:pPr>
        <w:pStyle w:val="paragraph"/>
      </w:pPr>
      <w:r w:rsidRPr="007B4A47">
        <w:tab/>
        <w:t>(a)</w:t>
      </w:r>
      <w:r w:rsidRPr="007B4A47">
        <w:tab/>
        <w:t>supplies made from any of those bodies corporate to any other of those bodies corporate; or</w:t>
      </w:r>
    </w:p>
    <w:p w14:paraId="0D844DD9" w14:textId="77777777" w:rsidR="007E53C4" w:rsidRPr="007B4A47" w:rsidRDefault="007E53C4" w:rsidP="003265FF">
      <w:pPr>
        <w:pStyle w:val="paragraph"/>
      </w:pPr>
      <w:r w:rsidRPr="007B4A47">
        <w:tab/>
        <w:t>(b)</w:t>
      </w:r>
      <w:r w:rsidRPr="007B4A47">
        <w:tab/>
        <w:t>supplies that are input taxed; or</w:t>
      </w:r>
    </w:p>
    <w:p w14:paraId="27AB2638" w14:textId="77777777" w:rsidR="007E53C4" w:rsidRPr="007B4A47" w:rsidRDefault="007E53C4" w:rsidP="003265FF">
      <w:pPr>
        <w:pStyle w:val="paragraph"/>
      </w:pPr>
      <w:r w:rsidRPr="007B4A47">
        <w:tab/>
        <w:t>(c)</w:t>
      </w:r>
      <w:r w:rsidRPr="007B4A47">
        <w:tab/>
        <w:t>supplies that are not for consideration (and are not taxable supplies under section 72</w:t>
      </w:r>
      <w:r w:rsidR="003265FF">
        <w:noBreakHyphen/>
      </w:r>
      <w:r w:rsidRPr="007B4A47">
        <w:t xml:space="preserve">5 of the </w:t>
      </w:r>
      <w:r w:rsidRPr="007B4A47">
        <w:rPr>
          <w:i/>
        </w:rPr>
        <w:t>A New Tax System (Goods and Services Tax) Act 1999</w:t>
      </w:r>
      <w:r w:rsidRPr="007B4A47">
        <w:t>); or</w:t>
      </w:r>
    </w:p>
    <w:p w14:paraId="6BE60882" w14:textId="77777777" w:rsidR="007E53C4" w:rsidRPr="007B4A47" w:rsidRDefault="007E53C4" w:rsidP="003265FF">
      <w:pPr>
        <w:pStyle w:val="paragraph"/>
      </w:pPr>
      <w:r w:rsidRPr="007B4A47">
        <w:tab/>
        <w:t>(d)</w:t>
      </w:r>
      <w:r w:rsidRPr="007B4A47">
        <w:tab/>
        <w:t>supplies that are not made in connection with an enterprise that the body corporate carries on; or</w:t>
      </w:r>
    </w:p>
    <w:p w14:paraId="72E15F15" w14:textId="77777777" w:rsidR="007E53C4" w:rsidRPr="007B4A47" w:rsidRDefault="007E53C4" w:rsidP="003265FF">
      <w:pPr>
        <w:pStyle w:val="paragraph"/>
      </w:pPr>
      <w:r w:rsidRPr="007B4A47">
        <w:tab/>
        <w:t>(e)</w:t>
      </w:r>
      <w:r w:rsidRPr="007B4A47">
        <w:tab/>
        <w:t xml:space="preserve">supplies that are not connected with </w:t>
      </w:r>
      <w:r w:rsidR="008D4C40">
        <w:t>the indirect tax zone</w:t>
      </w:r>
      <w:r w:rsidRPr="007B4A47">
        <w:t>.</w:t>
      </w:r>
    </w:p>
    <w:p w14:paraId="4B098C35" w14:textId="77777777" w:rsidR="007E53C4" w:rsidRDefault="007E53C4" w:rsidP="003265FF">
      <w:pPr>
        <w:pStyle w:val="subsection"/>
      </w:pPr>
      <w:r w:rsidRPr="007B4A47">
        <w:tab/>
        <w:t>(</w:t>
      </w:r>
      <w:r w:rsidR="00517543">
        <w:t>6</w:t>
      </w:r>
      <w:r w:rsidRPr="007B4A47">
        <w:t>)</w:t>
      </w:r>
      <w:r w:rsidRPr="007B4A47">
        <w:tab/>
        <w:t xml:space="preserve">Expressions used in </w:t>
      </w:r>
      <w:r w:rsidR="00AF783B">
        <w:t>subsection (</w:t>
      </w:r>
      <w:r w:rsidR="00517543">
        <w:t>5</w:t>
      </w:r>
      <w:r w:rsidRPr="007B4A47">
        <w:t xml:space="preserve">) that are also used in the </w:t>
      </w:r>
      <w:r w:rsidRPr="007B4A47">
        <w:rPr>
          <w:i/>
        </w:rPr>
        <w:t>A New Tax System (Goods and Services Tax) Act 1999</w:t>
      </w:r>
      <w:r w:rsidRPr="007B4A47">
        <w:t xml:space="preserve"> have the same meaning as in that Act.</w:t>
      </w:r>
    </w:p>
    <w:p w14:paraId="4854B687" w14:textId="77777777" w:rsidR="00650971" w:rsidRDefault="00650971" w:rsidP="003265FF">
      <w:pPr>
        <w:pStyle w:val="subsection"/>
      </w:pPr>
      <w:r>
        <w:tab/>
        <w:t>(</w:t>
      </w:r>
      <w:r w:rsidR="00517543">
        <w:t>7</w:t>
      </w:r>
      <w:r>
        <w:t>)</w:t>
      </w:r>
      <w:r>
        <w:tab/>
      </w:r>
      <w:r w:rsidRPr="007B4A47">
        <w:t>For the purposes of paragraph (</w:t>
      </w:r>
      <w:r w:rsidR="00517543">
        <w:t>3</w:t>
      </w:r>
      <w:r w:rsidRPr="007B4A47">
        <w:t>)(c), the</w:t>
      </w:r>
      <w:r>
        <w:t xml:space="preserve"> </w:t>
      </w:r>
      <w:r w:rsidRPr="00650971">
        <w:rPr>
          <w:b/>
          <w:i/>
        </w:rPr>
        <w:t>breach turnover period</w:t>
      </w:r>
      <w:r>
        <w:t xml:space="preserve"> </w:t>
      </w:r>
      <w:r w:rsidR="00517543">
        <w:t>f</w:t>
      </w:r>
      <w:r>
        <w:t>or a contravention means the longer of the following periods:</w:t>
      </w:r>
    </w:p>
    <w:p w14:paraId="74EB3ABF" w14:textId="77777777" w:rsidR="00650971" w:rsidRDefault="00650971" w:rsidP="003265FF">
      <w:pPr>
        <w:pStyle w:val="paragraph"/>
      </w:pPr>
      <w:r>
        <w:tab/>
        <w:t>(a)</w:t>
      </w:r>
      <w:r>
        <w:tab/>
        <w:t>the period of 12 months ending at the end of the month in which</w:t>
      </w:r>
      <w:r w:rsidR="00517543">
        <w:t xml:space="preserve"> </w:t>
      </w:r>
      <w:r w:rsidRPr="00650971">
        <w:t>the contravention ceased, or proceedings in relation to the contravention were instituted (whichever is earlier);</w:t>
      </w:r>
    </w:p>
    <w:p w14:paraId="7F39AC31" w14:textId="77777777" w:rsidR="000336F9" w:rsidRDefault="00650971" w:rsidP="003265FF">
      <w:pPr>
        <w:pStyle w:val="paragraph"/>
      </w:pPr>
      <w:r>
        <w:tab/>
        <w:t>(b)</w:t>
      </w:r>
      <w:r>
        <w:tab/>
        <w:t>the period</w:t>
      </w:r>
      <w:r w:rsidR="000336F9">
        <w:t>:</w:t>
      </w:r>
    </w:p>
    <w:p w14:paraId="628FC8E9" w14:textId="77777777" w:rsidR="000336F9" w:rsidRDefault="000336F9" w:rsidP="003265FF">
      <w:pPr>
        <w:pStyle w:val="paragraphsub"/>
      </w:pPr>
      <w:r>
        <w:tab/>
        <w:t>(i)</w:t>
      </w:r>
      <w:r>
        <w:tab/>
        <w:t>starting at</w:t>
      </w:r>
      <w:r w:rsidRPr="00650971">
        <w:t xml:space="preserve"> the beginning of the month in which the contravention occurred or began occurring</w:t>
      </w:r>
      <w:r>
        <w:t>; and</w:t>
      </w:r>
    </w:p>
    <w:p w14:paraId="411B8F40" w14:textId="77777777" w:rsidR="00650971" w:rsidRDefault="000336F9" w:rsidP="003265FF">
      <w:pPr>
        <w:pStyle w:val="paragraphsub"/>
      </w:pPr>
      <w:r>
        <w:tab/>
        <w:t>(ii)</w:t>
      </w:r>
      <w:r>
        <w:tab/>
      </w:r>
      <w:r w:rsidR="00650971">
        <w:t>ending at the same time as the period determined under paragraph (a)</w:t>
      </w:r>
      <w:r>
        <w:t>.</w:t>
      </w:r>
    </w:p>
    <w:p w14:paraId="595366B6" w14:textId="77777777" w:rsidR="00D04B9D" w:rsidRPr="007B4A47" w:rsidRDefault="00AF783B" w:rsidP="003265FF">
      <w:pPr>
        <w:pStyle w:val="ItemHead"/>
      </w:pPr>
      <w:r>
        <w:t>15</w:t>
      </w:r>
      <w:r w:rsidR="00D04B9D" w:rsidRPr="007B4A47">
        <w:t xml:space="preserve">  Subparagraphs 25(1)(a)(i) and 25A(1)(a)(i)</w:t>
      </w:r>
    </w:p>
    <w:p w14:paraId="6F983380" w14:textId="77777777" w:rsidR="00D04B9D" w:rsidRPr="007B4A47" w:rsidRDefault="00D04B9D" w:rsidP="003265FF">
      <w:pPr>
        <w:pStyle w:val="Item"/>
      </w:pPr>
      <w:r w:rsidRPr="007B4A47">
        <w:t>Omit “this Act (other than section 13G)”, substitute “this Part”.</w:t>
      </w:r>
    </w:p>
    <w:p w14:paraId="3CFC981B" w14:textId="77777777" w:rsidR="002B0372" w:rsidRDefault="00AF783B" w:rsidP="003265FF">
      <w:pPr>
        <w:pStyle w:val="ItemHead"/>
      </w:pPr>
      <w:r>
        <w:lastRenderedPageBreak/>
        <w:t>16</w:t>
      </w:r>
      <w:r w:rsidR="002B0372">
        <w:t xml:space="preserve">  At the end of </w:t>
      </w:r>
      <w:r>
        <w:t>section 2</w:t>
      </w:r>
      <w:r w:rsidR="002B0372">
        <w:t>6WA</w:t>
      </w:r>
    </w:p>
    <w:p w14:paraId="41641F25" w14:textId="77777777" w:rsidR="002B0372" w:rsidRDefault="002B0372" w:rsidP="003265FF">
      <w:pPr>
        <w:pStyle w:val="Item"/>
      </w:pPr>
      <w:r>
        <w:t>Add:</w:t>
      </w:r>
    </w:p>
    <w:p w14:paraId="390BB864" w14:textId="77777777" w:rsidR="002B0372" w:rsidRPr="002B0372" w:rsidRDefault="002B0372" w:rsidP="003265FF">
      <w:pPr>
        <w:pStyle w:val="SOBullet"/>
      </w:pPr>
      <w:r>
        <w:t>•</w:t>
      </w:r>
      <w:r>
        <w:tab/>
        <w:t>The Commissioner may obtain information or documents in relation to actual or suspected eligible data breaches.</w:t>
      </w:r>
    </w:p>
    <w:p w14:paraId="11ADA807" w14:textId="77777777" w:rsidR="001928F0" w:rsidRDefault="00AF783B" w:rsidP="003265FF">
      <w:pPr>
        <w:pStyle w:val="ItemHead"/>
      </w:pPr>
      <w:r>
        <w:t>17</w:t>
      </w:r>
      <w:r w:rsidR="001928F0">
        <w:t xml:space="preserve">  Paragraphs 2</w:t>
      </w:r>
      <w:r w:rsidR="0026567C">
        <w:t>6WK(3)(c)</w:t>
      </w:r>
      <w:r w:rsidR="001928F0">
        <w:t xml:space="preserve"> and 26WR(4)(c)</w:t>
      </w:r>
    </w:p>
    <w:p w14:paraId="4E13C3E6" w14:textId="77777777" w:rsidR="001928F0" w:rsidRDefault="001928F0" w:rsidP="003265FF">
      <w:pPr>
        <w:pStyle w:val="Item"/>
      </w:pPr>
      <w:r>
        <w:t>After “the”, insert “particular”.</w:t>
      </w:r>
    </w:p>
    <w:p w14:paraId="674F2099" w14:textId="77777777" w:rsidR="0026567C" w:rsidRDefault="00AF783B" w:rsidP="003265FF">
      <w:pPr>
        <w:pStyle w:val="ItemHead"/>
      </w:pPr>
      <w:r>
        <w:t>18</w:t>
      </w:r>
      <w:r w:rsidR="0026567C">
        <w:t xml:space="preserve">  At the end of </w:t>
      </w:r>
      <w:r w:rsidR="00503CA0">
        <w:t>Part I</w:t>
      </w:r>
      <w:r w:rsidR="0026567C">
        <w:t>IIC</w:t>
      </w:r>
    </w:p>
    <w:p w14:paraId="61A289D0" w14:textId="77777777" w:rsidR="0026567C" w:rsidRDefault="0026567C" w:rsidP="003265FF">
      <w:pPr>
        <w:pStyle w:val="Item"/>
      </w:pPr>
      <w:r>
        <w:t>Add:</w:t>
      </w:r>
    </w:p>
    <w:p w14:paraId="338DD08C" w14:textId="77777777" w:rsidR="0026567C" w:rsidRPr="00F121B3" w:rsidRDefault="0026567C" w:rsidP="003265FF">
      <w:pPr>
        <w:pStyle w:val="ActHead3"/>
      </w:pPr>
      <w:bookmarkStart w:id="15" w:name="_Toc116644201"/>
      <w:bookmarkStart w:id="16" w:name="_Toc120608735"/>
      <w:bookmarkStart w:id="17" w:name="_Toc120630498"/>
      <w:r w:rsidRPr="00A046C3">
        <w:rPr>
          <w:rStyle w:val="CharDivNo"/>
        </w:rPr>
        <w:t>Division 4</w:t>
      </w:r>
      <w:r>
        <w:t>—</w:t>
      </w:r>
      <w:r w:rsidRPr="00A046C3">
        <w:rPr>
          <w:rStyle w:val="CharDivText"/>
        </w:rPr>
        <w:t>Commissioner’s powers to obtain information or documents relating to eligible data breaches</w:t>
      </w:r>
      <w:bookmarkEnd w:id="15"/>
      <w:bookmarkEnd w:id="16"/>
      <w:bookmarkEnd w:id="17"/>
    </w:p>
    <w:p w14:paraId="6286587C" w14:textId="77777777" w:rsidR="0026567C" w:rsidRDefault="0026567C" w:rsidP="003265FF">
      <w:pPr>
        <w:pStyle w:val="ActHead5"/>
      </w:pPr>
      <w:bookmarkStart w:id="18" w:name="_Toc116644202"/>
      <w:bookmarkStart w:id="19" w:name="_Toc120608736"/>
      <w:bookmarkStart w:id="20" w:name="_Toc120630499"/>
      <w:r w:rsidRPr="00A046C3">
        <w:rPr>
          <w:rStyle w:val="CharSectno"/>
        </w:rPr>
        <w:t>26WU</w:t>
      </w:r>
      <w:r>
        <w:t xml:space="preserve">  Power to obtain information and documents</w:t>
      </w:r>
      <w:r w:rsidR="003F3B27">
        <w:t xml:space="preserve"> relating to eligible data breaches</w:t>
      </w:r>
      <w:bookmarkEnd w:id="18"/>
      <w:bookmarkEnd w:id="19"/>
      <w:bookmarkEnd w:id="20"/>
    </w:p>
    <w:p w14:paraId="56FD6DC7" w14:textId="77777777" w:rsidR="0026567C" w:rsidRDefault="0026567C" w:rsidP="003265FF">
      <w:pPr>
        <w:pStyle w:val="subsection"/>
      </w:pPr>
      <w:r>
        <w:tab/>
        <w:t>(1)</w:t>
      </w:r>
      <w:r>
        <w:tab/>
        <w:t xml:space="preserve">This section applies if the Commissioner has reason to believe that a person or entity </w:t>
      </w:r>
      <w:r w:rsidRPr="003312AA">
        <w:t>has information or documents</w:t>
      </w:r>
      <w:r w:rsidR="003F3B27">
        <w:t>, or can answer questions, that are</w:t>
      </w:r>
      <w:r w:rsidRPr="003312AA">
        <w:t xml:space="preserve"> relevant to </w:t>
      </w:r>
      <w:r w:rsidR="00505717">
        <w:t xml:space="preserve">either or both </w:t>
      </w:r>
      <w:r w:rsidRPr="003312AA">
        <w:t>of the following matters</w:t>
      </w:r>
      <w:r w:rsidR="00505717">
        <w:t xml:space="preserve"> (the </w:t>
      </w:r>
      <w:r w:rsidR="00505717" w:rsidRPr="00505717">
        <w:rPr>
          <w:b/>
          <w:i/>
        </w:rPr>
        <w:t>relevant matters</w:t>
      </w:r>
      <w:r w:rsidR="00505717">
        <w:t>)</w:t>
      </w:r>
      <w:r w:rsidRPr="003312AA">
        <w:t>:</w:t>
      </w:r>
    </w:p>
    <w:p w14:paraId="5369583D" w14:textId="77777777" w:rsidR="0026567C" w:rsidRDefault="0026567C" w:rsidP="003265FF">
      <w:pPr>
        <w:pStyle w:val="paragraph"/>
      </w:pPr>
      <w:r>
        <w:tab/>
        <w:t>(a)</w:t>
      </w:r>
      <w:r>
        <w:tab/>
        <w:t>an actual or suspected eligible data breach of an entity;</w:t>
      </w:r>
    </w:p>
    <w:p w14:paraId="0B6AFA0D" w14:textId="77777777" w:rsidR="00505717" w:rsidRDefault="0026567C" w:rsidP="003265FF">
      <w:pPr>
        <w:pStyle w:val="paragraph"/>
      </w:pPr>
      <w:r>
        <w:tab/>
        <w:t>(b)</w:t>
      </w:r>
      <w:r>
        <w:tab/>
      </w:r>
      <w:r w:rsidR="00505717">
        <w:t xml:space="preserve">an entity’s </w:t>
      </w:r>
      <w:r>
        <w:t xml:space="preserve">compliance with the requirements in </w:t>
      </w:r>
      <w:r w:rsidR="00503CA0">
        <w:t>Division 3</w:t>
      </w:r>
      <w:r w:rsidR="00505717">
        <w:t xml:space="preserve"> of this Part.</w:t>
      </w:r>
    </w:p>
    <w:p w14:paraId="220768B1" w14:textId="77777777" w:rsidR="00505717" w:rsidRDefault="00505717" w:rsidP="003265FF">
      <w:pPr>
        <w:pStyle w:val="subsection"/>
      </w:pPr>
      <w:r>
        <w:tab/>
        <w:t>(2)</w:t>
      </w:r>
      <w:r>
        <w:tab/>
        <w:t xml:space="preserve">Without limiting </w:t>
      </w:r>
      <w:r w:rsidR="00AF783B">
        <w:t>subsection (</w:t>
      </w:r>
      <w:r>
        <w:t>1), the relevant matters may relate to</w:t>
      </w:r>
      <w:r w:rsidR="002E5E1E">
        <w:t xml:space="preserve"> </w:t>
      </w:r>
      <w:r w:rsidR="00D64F2A">
        <w:t xml:space="preserve">one or more of </w:t>
      </w:r>
      <w:r w:rsidR="002E5E1E">
        <w:t>the following</w:t>
      </w:r>
      <w:r>
        <w:t>:</w:t>
      </w:r>
    </w:p>
    <w:p w14:paraId="114808F9" w14:textId="77777777" w:rsidR="00505717" w:rsidRPr="00505717" w:rsidRDefault="00505717" w:rsidP="003265FF">
      <w:pPr>
        <w:pStyle w:val="paragraph"/>
      </w:pPr>
      <w:r>
        <w:tab/>
        <w:t>(</w:t>
      </w:r>
      <w:r w:rsidR="001928F0">
        <w:t>a</w:t>
      </w:r>
      <w:r>
        <w:t>)</w:t>
      </w:r>
      <w:r>
        <w:tab/>
        <w:t>whe</w:t>
      </w:r>
      <w:r w:rsidRPr="00505717">
        <w:t xml:space="preserve">ther the entity is required to comply with one </w:t>
      </w:r>
      <w:r w:rsidR="00D64F2A">
        <w:t xml:space="preserve">or </w:t>
      </w:r>
      <w:r w:rsidRPr="00505717">
        <w:t>more of those requirements;</w:t>
      </w:r>
    </w:p>
    <w:p w14:paraId="138CF48D" w14:textId="77777777" w:rsidR="00505717" w:rsidRPr="00505717" w:rsidRDefault="00505717" w:rsidP="003265FF">
      <w:pPr>
        <w:pStyle w:val="paragraph"/>
      </w:pPr>
      <w:r w:rsidRPr="00505717">
        <w:tab/>
        <w:t>(</w:t>
      </w:r>
      <w:r w:rsidR="001928F0">
        <w:t>b</w:t>
      </w:r>
      <w:r w:rsidRPr="00505717">
        <w:t>)</w:t>
      </w:r>
      <w:r w:rsidRPr="00505717">
        <w:tab/>
        <w:t>the conduct or events that led to, or may have led to, the application of one or more of those requirements to the entity;</w:t>
      </w:r>
    </w:p>
    <w:p w14:paraId="218E92A0" w14:textId="77777777" w:rsidR="00505717" w:rsidRDefault="00505717" w:rsidP="003265FF">
      <w:pPr>
        <w:pStyle w:val="paragraph"/>
      </w:pPr>
      <w:r w:rsidRPr="00505717">
        <w:tab/>
        <w:t>(</w:t>
      </w:r>
      <w:r w:rsidR="001928F0">
        <w:t>c</w:t>
      </w:r>
      <w:r w:rsidRPr="00505717">
        <w:t>)</w:t>
      </w:r>
      <w:r w:rsidRPr="00505717">
        <w:tab/>
        <w:t>the actions</w:t>
      </w:r>
      <w:r>
        <w:t xml:space="preserve"> taken by the entity to comply with one or more of those requirements</w:t>
      </w:r>
      <w:r w:rsidR="001928F0">
        <w:t>;</w:t>
      </w:r>
    </w:p>
    <w:p w14:paraId="759BCFF3" w14:textId="77777777" w:rsidR="001928F0" w:rsidRDefault="001928F0" w:rsidP="003265FF">
      <w:pPr>
        <w:pStyle w:val="paragraph"/>
      </w:pPr>
      <w:r>
        <w:tab/>
        <w:t>(d)</w:t>
      </w:r>
      <w:r>
        <w:tab/>
        <w:t>the actual or suspected eligible data breach that has, or may have, happened;</w:t>
      </w:r>
    </w:p>
    <w:p w14:paraId="75859695" w14:textId="77777777" w:rsidR="001928F0" w:rsidRDefault="001928F0" w:rsidP="003265FF">
      <w:pPr>
        <w:pStyle w:val="paragraph"/>
      </w:pPr>
      <w:r>
        <w:lastRenderedPageBreak/>
        <w:tab/>
        <w:t>(e)</w:t>
      </w:r>
      <w:r>
        <w:tab/>
      </w:r>
      <w:r w:rsidRPr="001928F0">
        <w:t xml:space="preserve">the </w:t>
      </w:r>
      <w:r>
        <w:t>particular k</w:t>
      </w:r>
      <w:r w:rsidRPr="001928F0">
        <w:t>ind or kinds of information</w:t>
      </w:r>
      <w:r>
        <w:t xml:space="preserve"> involved in the actual or suspected eligible data breach</w:t>
      </w:r>
      <w:r w:rsidRPr="001928F0">
        <w:t>;</w:t>
      </w:r>
    </w:p>
    <w:p w14:paraId="20EED555" w14:textId="77777777" w:rsidR="001928F0" w:rsidRDefault="001928F0" w:rsidP="003265FF">
      <w:pPr>
        <w:pStyle w:val="paragraph"/>
      </w:pPr>
      <w:r>
        <w:tab/>
        <w:t>(f)</w:t>
      </w:r>
      <w:r>
        <w:tab/>
        <w:t>the steps taken to notify individuals affected by the actual or suspected eligible data breach.</w:t>
      </w:r>
    </w:p>
    <w:p w14:paraId="057AD375" w14:textId="77777777" w:rsidR="0026567C" w:rsidRDefault="0026567C" w:rsidP="003265FF">
      <w:pPr>
        <w:pStyle w:val="subsection"/>
      </w:pPr>
      <w:r>
        <w:tab/>
        <w:t>(</w:t>
      </w:r>
      <w:r w:rsidR="001928F0">
        <w:t>3</w:t>
      </w:r>
      <w:r>
        <w:t>)</w:t>
      </w:r>
      <w:r>
        <w:tab/>
        <w:t>The Commissioner may give to the person or entity a written notice requiring the person or entity:</w:t>
      </w:r>
    </w:p>
    <w:p w14:paraId="540EDE1C" w14:textId="77777777" w:rsidR="0026567C" w:rsidRDefault="0026567C" w:rsidP="003265FF">
      <w:pPr>
        <w:pStyle w:val="paragraph"/>
      </w:pPr>
      <w:r>
        <w:tab/>
        <w:t>(a)</w:t>
      </w:r>
      <w:r>
        <w:tab/>
        <w:t>to</w:t>
      </w:r>
      <w:r w:rsidRPr="00F121B3">
        <w:t xml:space="preserve"> give </w:t>
      </w:r>
      <w:r>
        <w:t>information of the kind specified in the notice to the Commissioner that relates to the matter; or</w:t>
      </w:r>
    </w:p>
    <w:p w14:paraId="596BB143" w14:textId="77777777" w:rsidR="0026567C" w:rsidRDefault="0026567C" w:rsidP="003265FF">
      <w:pPr>
        <w:pStyle w:val="paragraph"/>
      </w:pPr>
      <w:r w:rsidRPr="00F121B3">
        <w:tab/>
        <w:t>(b)</w:t>
      </w:r>
      <w:r w:rsidRPr="00F121B3">
        <w:tab/>
        <w:t>to pr</w:t>
      </w:r>
      <w:r>
        <w:t>oduce documents of the kind specified in the notice to the Commissioner that relate to the matter</w:t>
      </w:r>
      <w:r w:rsidR="003F3B27">
        <w:t>; or</w:t>
      </w:r>
    </w:p>
    <w:p w14:paraId="137C300F" w14:textId="77777777" w:rsidR="003F3B27" w:rsidRDefault="003F3B27" w:rsidP="003265FF">
      <w:pPr>
        <w:pStyle w:val="paragraph"/>
      </w:pPr>
      <w:r>
        <w:tab/>
        <w:t>(c)</w:t>
      </w:r>
      <w:r>
        <w:tab/>
        <w:t>answer questions of the kind specified in the notice to the Commissioner that relate to the matter.</w:t>
      </w:r>
    </w:p>
    <w:p w14:paraId="1E4C6553" w14:textId="77777777" w:rsidR="000E6974" w:rsidRPr="007B4A47" w:rsidRDefault="000E6974" w:rsidP="003265FF">
      <w:pPr>
        <w:pStyle w:val="notetext"/>
      </w:pPr>
      <w:r w:rsidRPr="007B4A47">
        <w:t>Note:</w:t>
      </w:r>
      <w:r w:rsidRPr="007B4A47">
        <w:tab/>
        <w:t>For a failure to give information etc., see section 66.</w:t>
      </w:r>
    </w:p>
    <w:p w14:paraId="73D7EBA1" w14:textId="77777777" w:rsidR="0026567C" w:rsidRDefault="0026567C" w:rsidP="003265FF">
      <w:pPr>
        <w:pStyle w:val="subsection"/>
      </w:pPr>
      <w:r>
        <w:tab/>
        <w:t>(</w:t>
      </w:r>
      <w:r w:rsidR="001928F0">
        <w:t>4</w:t>
      </w:r>
      <w:r>
        <w:t>)</w:t>
      </w:r>
      <w:r>
        <w:tab/>
        <w:t xml:space="preserve">A notice given by the Commissioner under </w:t>
      </w:r>
      <w:r w:rsidR="00AF783B">
        <w:t>subsection (</w:t>
      </w:r>
      <w:r w:rsidR="001928F0">
        <w:t>3</w:t>
      </w:r>
      <w:r>
        <w:t>) must state:</w:t>
      </w:r>
    </w:p>
    <w:p w14:paraId="3D776E75" w14:textId="77777777" w:rsidR="0026567C" w:rsidRPr="00F121B3" w:rsidRDefault="0026567C" w:rsidP="003265FF">
      <w:pPr>
        <w:pStyle w:val="paragraph"/>
      </w:pPr>
      <w:r>
        <w:tab/>
        <w:t>(a)</w:t>
      </w:r>
      <w:r>
        <w:tab/>
        <w:t>the pl</w:t>
      </w:r>
      <w:r w:rsidRPr="00F121B3">
        <w:t>ace at</w:t>
      </w:r>
      <w:r w:rsidR="003F3B27">
        <w:t xml:space="preserve">, or manner in </w:t>
      </w:r>
      <w:r w:rsidRPr="00F121B3">
        <w:t>which</w:t>
      </w:r>
      <w:r w:rsidR="003F3B27">
        <w:t>,</w:t>
      </w:r>
      <w:r w:rsidRPr="00F121B3">
        <w:t xml:space="preserve"> the information or document is to be given or produced</w:t>
      </w:r>
      <w:r w:rsidR="003F3B27">
        <w:t xml:space="preserve"> or the questions are to be answered</w:t>
      </w:r>
      <w:r w:rsidRPr="00F121B3">
        <w:t>; and</w:t>
      </w:r>
    </w:p>
    <w:p w14:paraId="29D558CB" w14:textId="77777777" w:rsidR="0026567C" w:rsidRDefault="0026567C" w:rsidP="003265FF">
      <w:pPr>
        <w:pStyle w:val="paragraph"/>
      </w:pPr>
      <w:r w:rsidRPr="00F121B3">
        <w:tab/>
        <w:t>(b)</w:t>
      </w:r>
      <w:r w:rsidRPr="00F121B3">
        <w:tab/>
        <w:t>the tim</w:t>
      </w:r>
      <w:r>
        <w:t>e at which, or the period within which, the information or document is to be given or produced</w:t>
      </w:r>
      <w:r w:rsidR="003F3B27">
        <w:t xml:space="preserve"> or the questions are to be answered.</w:t>
      </w:r>
    </w:p>
    <w:p w14:paraId="78BC38DD" w14:textId="77777777" w:rsidR="0026567C" w:rsidRDefault="0026567C" w:rsidP="003265FF">
      <w:pPr>
        <w:pStyle w:val="subsection"/>
      </w:pPr>
      <w:r>
        <w:tab/>
        <w:t>(</w:t>
      </w:r>
      <w:r w:rsidR="001928F0">
        <w:t>5</w:t>
      </w:r>
      <w:r>
        <w:t>)</w:t>
      </w:r>
      <w:r>
        <w:tab/>
        <w:t>If docu</w:t>
      </w:r>
      <w:r w:rsidRPr="00F121B3">
        <w:rPr>
          <w:lang w:eastAsia="en-US"/>
        </w:rPr>
        <w:t>m</w:t>
      </w:r>
      <w:r>
        <w:t xml:space="preserve">ents are produced to the Commissioner in accordance with a requirement under </w:t>
      </w:r>
      <w:r w:rsidR="00AF783B">
        <w:t>subsection (</w:t>
      </w:r>
      <w:r w:rsidR="001928F0">
        <w:t>3</w:t>
      </w:r>
      <w:r>
        <w:t>), the Commissioner:</w:t>
      </w:r>
    </w:p>
    <w:p w14:paraId="67DE5D4F" w14:textId="77777777" w:rsidR="0026567C" w:rsidRPr="00F121B3" w:rsidRDefault="0026567C" w:rsidP="003265FF">
      <w:pPr>
        <w:pStyle w:val="paragraph"/>
      </w:pPr>
      <w:r>
        <w:tab/>
        <w:t>(a)</w:t>
      </w:r>
      <w:r>
        <w:tab/>
        <w:t>may tak</w:t>
      </w:r>
      <w:r w:rsidRPr="00F121B3">
        <w:t>e possession of, and may make copies of, or take extracts from, the documents; and</w:t>
      </w:r>
    </w:p>
    <w:p w14:paraId="58AE969C" w14:textId="77777777" w:rsidR="0026567C" w:rsidRPr="00F121B3" w:rsidRDefault="0026567C" w:rsidP="003265FF">
      <w:pPr>
        <w:pStyle w:val="paragraph"/>
      </w:pPr>
      <w:r w:rsidRPr="00F121B3">
        <w:tab/>
        <w:t>(b)</w:t>
      </w:r>
      <w:r w:rsidRPr="00F121B3">
        <w:tab/>
        <w:t xml:space="preserve">may retain possession of the documents for any period that </w:t>
      </w:r>
      <w:r w:rsidR="001928F0">
        <w:t>i</w:t>
      </w:r>
      <w:r w:rsidRPr="00F121B3">
        <w:t xml:space="preserve">s necessary for the purposes of </w:t>
      </w:r>
      <w:r w:rsidR="001928F0">
        <w:t xml:space="preserve">assessing an entity’s compliance with </w:t>
      </w:r>
      <w:r w:rsidR="00D64F2A">
        <w:t xml:space="preserve">this </w:t>
      </w:r>
      <w:r w:rsidR="00503CA0">
        <w:t>Part</w:t>
      </w:r>
      <w:r w:rsidRPr="00F121B3">
        <w:t>; and</w:t>
      </w:r>
    </w:p>
    <w:p w14:paraId="3CD4C2A0" w14:textId="77777777" w:rsidR="0026567C" w:rsidRDefault="0026567C" w:rsidP="003265FF">
      <w:pPr>
        <w:pStyle w:val="paragraph"/>
      </w:pPr>
      <w:r w:rsidRPr="00F121B3">
        <w:tab/>
        <w:t>(c)</w:t>
      </w:r>
      <w:r w:rsidRPr="00F121B3">
        <w:tab/>
        <w:t xml:space="preserve">during that period must permit a person who would be entitled to inspect any one or more of the documents if they were not in the Commissioner’s possession to inspect at all reasonable times any of the documents that the </w:t>
      </w:r>
      <w:r>
        <w:t>person would be so entitled to inspect.</w:t>
      </w:r>
    </w:p>
    <w:p w14:paraId="493B59CD" w14:textId="77777777" w:rsidR="0026567C" w:rsidRPr="00F121B3" w:rsidRDefault="0026567C" w:rsidP="003265FF">
      <w:pPr>
        <w:pStyle w:val="subsection"/>
      </w:pPr>
      <w:r>
        <w:tab/>
        <w:t>(</w:t>
      </w:r>
      <w:r w:rsidR="001928F0">
        <w:t>6</w:t>
      </w:r>
      <w:r>
        <w:t>)</w:t>
      </w:r>
      <w:r>
        <w:tab/>
        <w:t>This se</w:t>
      </w:r>
      <w:r w:rsidRPr="00F121B3">
        <w:t>ction is subject to section 70 but it has effect regardless of any other Commonwealth law.</w:t>
      </w:r>
    </w:p>
    <w:p w14:paraId="04F0F9F9" w14:textId="77777777" w:rsidR="0026567C" w:rsidRDefault="0026567C" w:rsidP="003265FF">
      <w:pPr>
        <w:pStyle w:val="subsection"/>
      </w:pPr>
      <w:r w:rsidRPr="00F121B3">
        <w:lastRenderedPageBreak/>
        <w:tab/>
        <w:t>(</w:t>
      </w:r>
      <w:r w:rsidR="001928F0">
        <w:t>7</w:t>
      </w:r>
      <w:r w:rsidRPr="00F121B3">
        <w:t>)</w:t>
      </w:r>
      <w:r w:rsidRPr="00F121B3">
        <w:tab/>
        <w:t xml:space="preserve">A person </w:t>
      </w:r>
      <w:r>
        <w:t xml:space="preserve">or entity </w:t>
      </w:r>
      <w:r w:rsidRPr="00F121B3">
        <w:t>is not liable to a penalty under the provisions of any other Commonw</w:t>
      </w:r>
      <w:r>
        <w:t>ealth law because the person or entity gives information</w:t>
      </w:r>
      <w:r w:rsidR="003F3B27">
        <w:t>,</w:t>
      </w:r>
      <w:r>
        <w:t xml:space="preserve"> produces a document </w:t>
      </w:r>
      <w:r w:rsidR="003F3B27">
        <w:t xml:space="preserve">or answers a question </w:t>
      </w:r>
      <w:r>
        <w:t>when required to do so under this section.</w:t>
      </w:r>
    </w:p>
    <w:p w14:paraId="2BB27989" w14:textId="77777777" w:rsidR="0026567C" w:rsidRPr="007B4A47" w:rsidRDefault="00AF783B" w:rsidP="003265FF">
      <w:pPr>
        <w:pStyle w:val="ItemHead"/>
      </w:pPr>
      <w:r>
        <w:t>19</w:t>
      </w:r>
      <w:r w:rsidR="0026567C" w:rsidRPr="007B4A47">
        <w:t xml:space="preserve">  </w:t>
      </w:r>
      <w:r w:rsidR="00503CA0">
        <w:t>Division 3</w:t>
      </w:r>
      <w:r w:rsidR="0026567C" w:rsidRPr="007B4A47">
        <w:t xml:space="preserve"> of </w:t>
      </w:r>
      <w:r w:rsidR="00503CA0">
        <w:t>Part I</w:t>
      </w:r>
      <w:r w:rsidR="0026567C" w:rsidRPr="007B4A47">
        <w:t>V (heading)</w:t>
      </w:r>
    </w:p>
    <w:p w14:paraId="78ED3975" w14:textId="77777777" w:rsidR="0026567C" w:rsidRPr="007B4A47" w:rsidRDefault="0026567C" w:rsidP="003265FF">
      <w:pPr>
        <w:pStyle w:val="Item"/>
      </w:pPr>
      <w:r w:rsidRPr="007B4A47">
        <w:t>Repeal the heading, substitute:</w:t>
      </w:r>
    </w:p>
    <w:p w14:paraId="3FC242A7" w14:textId="77777777" w:rsidR="0026567C" w:rsidRPr="007B4A47" w:rsidRDefault="00503CA0" w:rsidP="003265FF">
      <w:pPr>
        <w:pStyle w:val="ActHead3"/>
      </w:pPr>
      <w:bookmarkStart w:id="21" w:name="_Toc116644203"/>
      <w:bookmarkStart w:id="22" w:name="_Toc120608737"/>
      <w:bookmarkStart w:id="23" w:name="_Toc120630500"/>
      <w:r w:rsidRPr="00A046C3">
        <w:rPr>
          <w:rStyle w:val="CharDivNo"/>
        </w:rPr>
        <w:t>Division 3</w:t>
      </w:r>
      <w:r w:rsidR="0026567C" w:rsidRPr="007B4A47">
        <w:t>—</w:t>
      </w:r>
      <w:r w:rsidR="0026567C" w:rsidRPr="00A046C3">
        <w:rPr>
          <w:rStyle w:val="CharDivText"/>
        </w:rPr>
        <w:t>Reports and information sharing by Commissioner</w:t>
      </w:r>
      <w:bookmarkEnd w:id="21"/>
      <w:bookmarkEnd w:id="22"/>
      <w:bookmarkEnd w:id="23"/>
    </w:p>
    <w:p w14:paraId="1A83D1F8" w14:textId="77777777" w:rsidR="0026567C" w:rsidRPr="007B4A47" w:rsidRDefault="00AF783B" w:rsidP="003265FF">
      <w:pPr>
        <w:pStyle w:val="ItemHead"/>
      </w:pPr>
      <w:r>
        <w:t>20</w:t>
      </w:r>
      <w:r w:rsidR="0026567C" w:rsidRPr="007B4A47">
        <w:t xml:space="preserve">  At the end of </w:t>
      </w:r>
      <w:r w:rsidR="00503CA0">
        <w:t>Division 3</w:t>
      </w:r>
      <w:r w:rsidR="0026567C" w:rsidRPr="007B4A47">
        <w:t xml:space="preserve"> of </w:t>
      </w:r>
      <w:r w:rsidR="00503CA0">
        <w:t>Part I</w:t>
      </w:r>
      <w:r w:rsidR="0026567C" w:rsidRPr="007B4A47">
        <w:t>V</w:t>
      </w:r>
    </w:p>
    <w:p w14:paraId="4E1ACDA4" w14:textId="77777777" w:rsidR="0026567C" w:rsidRPr="007B4A47" w:rsidRDefault="0026567C" w:rsidP="003265FF">
      <w:pPr>
        <w:pStyle w:val="Item"/>
      </w:pPr>
      <w:r w:rsidRPr="007B4A47">
        <w:t>Add:</w:t>
      </w:r>
    </w:p>
    <w:p w14:paraId="754FEF68" w14:textId="77777777" w:rsidR="0026567C" w:rsidRPr="007B4A47" w:rsidRDefault="0026567C" w:rsidP="003265FF">
      <w:pPr>
        <w:pStyle w:val="ActHead5"/>
      </w:pPr>
      <w:bookmarkStart w:id="24" w:name="_Toc116644204"/>
      <w:bookmarkStart w:id="25" w:name="_Toc120608738"/>
      <w:bookmarkStart w:id="26" w:name="_Toc120630501"/>
      <w:r w:rsidRPr="00A046C3">
        <w:rPr>
          <w:rStyle w:val="CharSectno"/>
        </w:rPr>
        <w:t>33A</w:t>
      </w:r>
      <w:r w:rsidRPr="007B4A47">
        <w:t xml:space="preserve">  Commissioner may share information with other authorities</w:t>
      </w:r>
      <w:bookmarkEnd w:id="24"/>
      <w:bookmarkEnd w:id="25"/>
      <w:bookmarkEnd w:id="26"/>
    </w:p>
    <w:p w14:paraId="16A05907" w14:textId="77777777" w:rsidR="0026567C" w:rsidRPr="00C7148E" w:rsidRDefault="0026567C" w:rsidP="003265FF">
      <w:pPr>
        <w:pStyle w:val="subsection"/>
      </w:pPr>
      <w:r w:rsidRPr="007B4A47">
        <w:tab/>
        <w:t>(1)</w:t>
      </w:r>
      <w:r w:rsidRPr="007B4A47">
        <w:tab/>
        <w:t xml:space="preserve">Subject to subsections (3) and (4), the Commissioner may share information or documents with a body covered by </w:t>
      </w:r>
      <w:r w:rsidR="00AF783B">
        <w:t>subsection (</w:t>
      </w:r>
      <w:r w:rsidRPr="007B4A47">
        <w:t>2)</w:t>
      </w:r>
      <w:r w:rsidR="002B0372">
        <w:t xml:space="preserve"> </w:t>
      </w:r>
      <w:r w:rsidRPr="007B4A47">
        <w:t xml:space="preserve">(a </w:t>
      </w:r>
      <w:r w:rsidRPr="007B4A47">
        <w:rPr>
          <w:b/>
          <w:i/>
        </w:rPr>
        <w:t>receiving body</w:t>
      </w:r>
      <w:r w:rsidRPr="007B4A47">
        <w:t>):</w:t>
      </w:r>
    </w:p>
    <w:p w14:paraId="208418EB" w14:textId="77777777" w:rsidR="0026567C" w:rsidRPr="007B4A47" w:rsidRDefault="0026567C" w:rsidP="003265FF">
      <w:pPr>
        <w:pStyle w:val="paragraph"/>
      </w:pPr>
      <w:r w:rsidRPr="007B4A47">
        <w:tab/>
        <w:t>(a)</w:t>
      </w:r>
      <w:r w:rsidRPr="007B4A47">
        <w:tab/>
        <w:t>for the purpose of the Commissioner exercising powers, or performing functions or duties, under this Act; or</w:t>
      </w:r>
    </w:p>
    <w:p w14:paraId="06BCABC4" w14:textId="77777777" w:rsidR="0026567C" w:rsidRPr="007B4A47" w:rsidRDefault="0026567C" w:rsidP="003265FF">
      <w:pPr>
        <w:pStyle w:val="paragraph"/>
      </w:pPr>
      <w:r w:rsidRPr="007B4A47">
        <w:tab/>
        <w:t>(b)</w:t>
      </w:r>
      <w:r w:rsidRPr="007B4A47">
        <w:tab/>
        <w:t>for the purpose of the receiving body exercising its powers, or performing its functions or duties.</w:t>
      </w:r>
    </w:p>
    <w:p w14:paraId="0F16411E" w14:textId="77777777" w:rsidR="0026567C" w:rsidRPr="007B4A47" w:rsidRDefault="0026567C" w:rsidP="003265FF">
      <w:pPr>
        <w:pStyle w:val="subsection"/>
      </w:pPr>
      <w:r w:rsidRPr="007B4A47">
        <w:tab/>
        <w:t>(2)</w:t>
      </w:r>
      <w:r w:rsidRPr="007B4A47">
        <w:tab/>
        <w:t>The following bodies are covered by this subsection:</w:t>
      </w:r>
    </w:p>
    <w:p w14:paraId="63CCD73D" w14:textId="77777777" w:rsidR="0026567C" w:rsidRPr="007B4A47" w:rsidRDefault="0026567C" w:rsidP="003265FF">
      <w:pPr>
        <w:pStyle w:val="paragraph"/>
      </w:pPr>
      <w:r w:rsidRPr="007B4A47">
        <w:tab/>
        <w:t>(a)</w:t>
      </w:r>
      <w:r w:rsidRPr="007B4A47">
        <w:tab/>
        <w:t>an enforcement body;</w:t>
      </w:r>
    </w:p>
    <w:p w14:paraId="446A39F8" w14:textId="77777777" w:rsidR="0026567C" w:rsidRPr="007B4A47" w:rsidRDefault="0026567C" w:rsidP="003265FF">
      <w:pPr>
        <w:pStyle w:val="paragraph"/>
      </w:pPr>
      <w:r w:rsidRPr="007B4A47">
        <w:tab/>
        <w:t>(b)</w:t>
      </w:r>
      <w:r w:rsidRPr="007B4A47">
        <w:tab/>
        <w:t>an alternative complaint body;</w:t>
      </w:r>
    </w:p>
    <w:p w14:paraId="3A3EADC5" w14:textId="77777777" w:rsidR="0026567C" w:rsidRPr="007B4A47" w:rsidRDefault="0026567C" w:rsidP="003265FF">
      <w:pPr>
        <w:pStyle w:val="paragraph"/>
      </w:pPr>
      <w:r w:rsidRPr="007B4A47">
        <w:tab/>
        <w:t>(c)</w:t>
      </w:r>
      <w:r w:rsidRPr="007B4A47">
        <w:tab/>
        <w:t>a State or Territory authority, or an authority of the government of a foreign country, that has functions to protect the privacy of individuals (whether or not the authority has other functions).</w:t>
      </w:r>
    </w:p>
    <w:p w14:paraId="119D2DC5" w14:textId="77777777" w:rsidR="0026567C" w:rsidRPr="007B4A47" w:rsidRDefault="0026567C" w:rsidP="003265FF">
      <w:pPr>
        <w:pStyle w:val="subsection"/>
      </w:pPr>
      <w:r w:rsidRPr="007B4A47">
        <w:tab/>
        <w:t>(3)</w:t>
      </w:r>
      <w:r w:rsidRPr="007B4A47">
        <w:tab/>
        <w:t>The Commissioner may only share information or documents with a receiving body under this section if:</w:t>
      </w:r>
    </w:p>
    <w:p w14:paraId="55F191D1" w14:textId="77777777" w:rsidR="0026567C" w:rsidRPr="007B4A47" w:rsidRDefault="0026567C" w:rsidP="003265FF">
      <w:pPr>
        <w:pStyle w:val="paragraph"/>
      </w:pPr>
      <w:r w:rsidRPr="007B4A47">
        <w:tab/>
        <w:t>(a)</w:t>
      </w:r>
      <w:r w:rsidRPr="007B4A47">
        <w:tab/>
        <w:t>the information or documents were acquired by the Commissioner in the course of exercising powers, or performing functions or duties, under this Act; and</w:t>
      </w:r>
    </w:p>
    <w:p w14:paraId="2F73E20F" w14:textId="77777777" w:rsidR="0026567C" w:rsidRPr="007B4A47" w:rsidRDefault="0026567C" w:rsidP="003265FF">
      <w:pPr>
        <w:pStyle w:val="paragraph"/>
      </w:pPr>
      <w:r w:rsidRPr="007B4A47">
        <w:lastRenderedPageBreak/>
        <w:tab/>
        <w:t>(b)</w:t>
      </w:r>
      <w:r w:rsidRPr="007B4A47">
        <w:tab/>
        <w:t>the Commissioner is satisfied on reasonable grounds that the receiving body has satisfactory arrangements in place for protecting the information or documents.</w:t>
      </w:r>
    </w:p>
    <w:p w14:paraId="0BB418D8" w14:textId="77777777" w:rsidR="0026567C" w:rsidRPr="007B4A47" w:rsidRDefault="0026567C" w:rsidP="003265FF">
      <w:pPr>
        <w:pStyle w:val="subsection"/>
      </w:pPr>
      <w:r w:rsidRPr="007B4A47">
        <w:tab/>
        <w:t>(4)</w:t>
      </w:r>
      <w:r w:rsidRPr="007B4A47">
        <w:tab/>
        <w:t>If the Commissioner acquired the information or documents from an agency, the Commissioner may only share the information or documents with a receiving body under this section if the receiving body is an agency.</w:t>
      </w:r>
    </w:p>
    <w:p w14:paraId="1729BD36" w14:textId="77777777" w:rsidR="0026567C" w:rsidRPr="007B4A47" w:rsidRDefault="0026567C" w:rsidP="003265FF">
      <w:pPr>
        <w:pStyle w:val="subsection"/>
      </w:pPr>
      <w:r w:rsidRPr="007B4A47">
        <w:tab/>
        <w:t>(5)</w:t>
      </w:r>
      <w:r w:rsidRPr="007B4A47">
        <w:tab/>
        <w:t>If information is shared with a receiving body under this section, the receiving body may use the information only for the purposes for which it was shared.</w:t>
      </w:r>
    </w:p>
    <w:p w14:paraId="374C7092" w14:textId="77777777" w:rsidR="0026567C" w:rsidRPr="007B4A47" w:rsidRDefault="0026567C" w:rsidP="003265FF">
      <w:pPr>
        <w:pStyle w:val="subsection"/>
      </w:pPr>
      <w:r w:rsidRPr="007B4A47">
        <w:tab/>
        <w:t>(6)</w:t>
      </w:r>
      <w:r w:rsidRPr="007B4A47">
        <w:tab/>
        <w:t>To avoid doubt, the Commissioner may share information or documents with a receiving body under this section whether or not the Commissioner is transferring a complaint or part of a complaint to the body.</w:t>
      </w:r>
    </w:p>
    <w:p w14:paraId="0A877479" w14:textId="77777777" w:rsidR="0026567C" w:rsidRPr="007B4A47" w:rsidRDefault="0026567C" w:rsidP="003265FF">
      <w:pPr>
        <w:pStyle w:val="ActHead5"/>
      </w:pPr>
      <w:bookmarkStart w:id="27" w:name="_Toc116644205"/>
      <w:bookmarkStart w:id="28" w:name="_Toc120608739"/>
      <w:bookmarkStart w:id="29" w:name="_Toc120630502"/>
      <w:r w:rsidRPr="00A046C3">
        <w:rPr>
          <w:rStyle w:val="CharSectno"/>
        </w:rPr>
        <w:t>33B</w:t>
      </w:r>
      <w:r w:rsidRPr="007B4A47">
        <w:t xml:space="preserve">  Commissioner may disclose certain information if in the public interest etc.</w:t>
      </w:r>
      <w:bookmarkEnd w:id="27"/>
      <w:bookmarkEnd w:id="28"/>
      <w:bookmarkEnd w:id="29"/>
    </w:p>
    <w:p w14:paraId="098BFADC" w14:textId="77777777" w:rsidR="0026567C" w:rsidRPr="007B4A47" w:rsidRDefault="0026567C" w:rsidP="003265FF">
      <w:pPr>
        <w:pStyle w:val="SubsectionHead"/>
      </w:pPr>
      <w:r w:rsidRPr="007B4A47">
        <w:t>Information may generally be disclosed if in the public interest</w:t>
      </w:r>
    </w:p>
    <w:p w14:paraId="5A23868A" w14:textId="77777777" w:rsidR="0026567C" w:rsidRDefault="0026567C" w:rsidP="003265FF">
      <w:pPr>
        <w:pStyle w:val="subsection"/>
      </w:pPr>
      <w:r w:rsidRPr="007B4A47">
        <w:tab/>
        <w:t>(1)</w:t>
      </w:r>
      <w:r w:rsidRPr="007B4A47">
        <w:tab/>
        <w:t>The Commissioner may disclose information acquired by the Commissioner in the course of exercising powers or performing functions or duties under this Act if the Commissioner is satisfied that it is in the public interest to do so.</w:t>
      </w:r>
    </w:p>
    <w:p w14:paraId="1FED33F3" w14:textId="77777777" w:rsidR="0026567C" w:rsidRPr="007B4A47" w:rsidRDefault="0026567C" w:rsidP="003265FF">
      <w:pPr>
        <w:pStyle w:val="SubsectionHead"/>
      </w:pPr>
      <w:r w:rsidRPr="007B4A47">
        <w:t>Public interest considerations</w:t>
      </w:r>
    </w:p>
    <w:p w14:paraId="69EEC69E" w14:textId="77777777" w:rsidR="0026567C" w:rsidRPr="007B4A47" w:rsidRDefault="0026567C" w:rsidP="003265FF">
      <w:pPr>
        <w:pStyle w:val="subsection"/>
      </w:pPr>
      <w:r w:rsidRPr="007B4A47">
        <w:tab/>
        <w:t>(</w:t>
      </w:r>
      <w:r>
        <w:t>2</w:t>
      </w:r>
      <w:r w:rsidRPr="007B4A47">
        <w:t>)</w:t>
      </w:r>
      <w:r w:rsidRPr="007B4A47">
        <w:tab/>
        <w:t xml:space="preserve">In determining under </w:t>
      </w:r>
      <w:r w:rsidR="00AF783B">
        <w:t>subsection (</w:t>
      </w:r>
      <w:r w:rsidRPr="007B4A47">
        <w:t>1) whether the Commissioner is satisfied that a disclosure is in the public interest, the Commissioner:</w:t>
      </w:r>
    </w:p>
    <w:p w14:paraId="08469755" w14:textId="77777777" w:rsidR="0026567C" w:rsidRPr="007B4A47" w:rsidRDefault="0026567C" w:rsidP="003265FF">
      <w:pPr>
        <w:pStyle w:val="paragraph"/>
      </w:pPr>
      <w:r w:rsidRPr="007B4A47">
        <w:tab/>
        <w:t>(a)</w:t>
      </w:r>
      <w:r w:rsidRPr="007B4A47">
        <w:tab/>
        <w:t>must have regard to the following:</w:t>
      </w:r>
    </w:p>
    <w:p w14:paraId="17285BFE" w14:textId="77777777" w:rsidR="0026567C" w:rsidRPr="007B4A47" w:rsidRDefault="0026567C" w:rsidP="003265FF">
      <w:pPr>
        <w:pStyle w:val="paragraphsub"/>
      </w:pPr>
      <w:r w:rsidRPr="007B4A47">
        <w:tab/>
        <w:t>(i)</w:t>
      </w:r>
      <w:r w:rsidRPr="007B4A47">
        <w:tab/>
        <w:t>the rights and interests of any complainant or respondent;</w:t>
      </w:r>
    </w:p>
    <w:p w14:paraId="025DD706" w14:textId="77777777" w:rsidR="0026567C" w:rsidRPr="007B4A47" w:rsidRDefault="0026567C" w:rsidP="003265FF">
      <w:pPr>
        <w:pStyle w:val="paragraphsub"/>
      </w:pPr>
      <w:r w:rsidRPr="007B4A47">
        <w:tab/>
        <w:t>(ii)</w:t>
      </w:r>
      <w:r w:rsidRPr="007B4A47">
        <w:tab/>
        <w:t>whether the disclosure will</w:t>
      </w:r>
      <w:r w:rsidR="00D64F2A">
        <w:t>,</w:t>
      </w:r>
      <w:r w:rsidRPr="007B4A47">
        <w:t xml:space="preserve"> or is likely to</w:t>
      </w:r>
      <w:r w:rsidR="00D64F2A">
        <w:t>,</w:t>
      </w:r>
      <w:r w:rsidRPr="007B4A47">
        <w:t xml:space="preserve"> prejudice any investigation the Commissioner is undertaking;</w:t>
      </w:r>
    </w:p>
    <w:p w14:paraId="650EBA0C" w14:textId="77777777" w:rsidR="0026567C" w:rsidRPr="007B4A47" w:rsidRDefault="0026567C" w:rsidP="003265FF">
      <w:pPr>
        <w:pStyle w:val="paragraphsub"/>
      </w:pPr>
      <w:r w:rsidRPr="007B4A47">
        <w:tab/>
        <w:t>(iii)</w:t>
      </w:r>
      <w:r w:rsidRPr="007B4A47">
        <w:tab/>
        <w:t>whether the disclosure will</w:t>
      </w:r>
      <w:r w:rsidR="00D64F2A">
        <w:t>,</w:t>
      </w:r>
      <w:r w:rsidRPr="007B4A47">
        <w:t xml:space="preserve"> or is likely to</w:t>
      </w:r>
      <w:r w:rsidR="00D64F2A">
        <w:t>,</w:t>
      </w:r>
      <w:r w:rsidRPr="007B4A47">
        <w:t xml:space="preserve"> disclose the personal information of any person;</w:t>
      </w:r>
    </w:p>
    <w:p w14:paraId="01045966" w14:textId="77777777" w:rsidR="0026567C" w:rsidRPr="007B4A47" w:rsidRDefault="0026567C" w:rsidP="003265FF">
      <w:pPr>
        <w:pStyle w:val="paragraphsub"/>
      </w:pPr>
      <w:r w:rsidRPr="007B4A47">
        <w:lastRenderedPageBreak/>
        <w:tab/>
        <w:t>(iv)</w:t>
      </w:r>
      <w:r w:rsidRPr="007B4A47">
        <w:tab/>
        <w:t>whether the disclosure will</w:t>
      </w:r>
      <w:r w:rsidR="00D64F2A">
        <w:t>,</w:t>
      </w:r>
      <w:r w:rsidRPr="007B4A47">
        <w:t xml:space="preserve"> or is likely to</w:t>
      </w:r>
      <w:r w:rsidR="00D64F2A">
        <w:t>,</w:t>
      </w:r>
      <w:r w:rsidRPr="007B4A47">
        <w:t xml:space="preserve"> disclose any confidential commercial information;</w:t>
      </w:r>
    </w:p>
    <w:p w14:paraId="1EE64BEA" w14:textId="77777777" w:rsidR="0026567C" w:rsidRPr="007B4A47" w:rsidRDefault="0026567C" w:rsidP="003265FF">
      <w:pPr>
        <w:pStyle w:val="paragraphsub"/>
      </w:pPr>
      <w:r w:rsidRPr="007B4A47">
        <w:tab/>
        <w:t>(v)</w:t>
      </w:r>
      <w:r w:rsidRPr="007B4A47">
        <w:tab/>
        <w:t>whether the Commissioner reasonably believes that the disclosure would be likely to prejudice one or more enforcement related activities conducted by or on behalf of an enforcement body; and</w:t>
      </w:r>
    </w:p>
    <w:p w14:paraId="03FB09C8" w14:textId="77777777" w:rsidR="0026567C" w:rsidRPr="007B4A47" w:rsidRDefault="0026567C" w:rsidP="003265FF">
      <w:pPr>
        <w:pStyle w:val="paragraph"/>
      </w:pPr>
      <w:r w:rsidRPr="007B4A47">
        <w:tab/>
        <w:t>(b)</w:t>
      </w:r>
      <w:r w:rsidRPr="007B4A47">
        <w:tab/>
        <w:t>may have regard to any other matter the Commissioner considers relevant.</w:t>
      </w:r>
    </w:p>
    <w:p w14:paraId="50B2FE5B" w14:textId="77777777" w:rsidR="0026567C" w:rsidRPr="007B4A47" w:rsidRDefault="0026567C" w:rsidP="003265FF">
      <w:pPr>
        <w:pStyle w:val="subsection"/>
      </w:pPr>
      <w:r w:rsidRPr="007B4A47">
        <w:tab/>
        <w:t>(</w:t>
      </w:r>
      <w:r>
        <w:t>3</w:t>
      </w:r>
      <w:r w:rsidRPr="007B4A47">
        <w:t>)</w:t>
      </w:r>
      <w:r w:rsidRPr="007B4A47">
        <w:tab/>
        <w:t>This section does not limit any other powers the Commissioner has to disclose information under this Act or any other law of the Commonwealth.</w:t>
      </w:r>
    </w:p>
    <w:p w14:paraId="7DD4D032" w14:textId="77777777" w:rsidR="00D04B9D" w:rsidRPr="007B4A47" w:rsidRDefault="00AF783B" w:rsidP="003265FF">
      <w:pPr>
        <w:pStyle w:val="ItemHead"/>
      </w:pPr>
      <w:r>
        <w:t>21</w:t>
      </w:r>
      <w:r w:rsidR="00D04B9D" w:rsidRPr="007B4A47">
        <w:t xml:space="preserve">  After paragraph 33C(1)(c)</w:t>
      </w:r>
    </w:p>
    <w:p w14:paraId="6843FC4E" w14:textId="77777777" w:rsidR="00D04B9D" w:rsidRPr="007B4A47" w:rsidRDefault="00D04B9D" w:rsidP="003265FF">
      <w:pPr>
        <w:pStyle w:val="Item"/>
      </w:pPr>
      <w:r w:rsidRPr="007B4A47">
        <w:t>Insert:</w:t>
      </w:r>
    </w:p>
    <w:p w14:paraId="13333D24" w14:textId="77777777" w:rsidR="00D04B9D" w:rsidRPr="007B4A47" w:rsidRDefault="00D04B9D" w:rsidP="003265FF">
      <w:pPr>
        <w:pStyle w:val="paragraph"/>
      </w:pPr>
      <w:r w:rsidRPr="007B4A47">
        <w:tab/>
        <w:t>(ca)</w:t>
      </w:r>
      <w:r w:rsidRPr="007B4A47">
        <w:tab/>
        <w:t xml:space="preserve">the ability of an entity subject to </w:t>
      </w:r>
      <w:r w:rsidR="00503CA0">
        <w:t>Part I</w:t>
      </w:r>
      <w:r w:rsidRPr="007B4A47">
        <w:t>IIC to comply with that Part, including the extent to which the entity has processes and procedures in place to:</w:t>
      </w:r>
    </w:p>
    <w:p w14:paraId="2FBD4AC5" w14:textId="77777777" w:rsidR="00D04B9D" w:rsidRPr="007B4A47" w:rsidRDefault="00D04B9D" w:rsidP="003265FF">
      <w:pPr>
        <w:pStyle w:val="paragraphsub"/>
      </w:pPr>
      <w:r w:rsidRPr="007B4A47">
        <w:tab/>
        <w:t>(i)</w:t>
      </w:r>
      <w:r w:rsidRPr="007B4A47">
        <w:tab/>
        <w:t>assess suspected eligible data breaches; and</w:t>
      </w:r>
    </w:p>
    <w:p w14:paraId="0BEA465B" w14:textId="77777777" w:rsidR="00D04B9D" w:rsidRPr="007B4A47" w:rsidRDefault="00D04B9D" w:rsidP="003265FF">
      <w:pPr>
        <w:pStyle w:val="paragraphsub"/>
      </w:pPr>
      <w:r w:rsidRPr="007B4A47">
        <w:tab/>
        <w:t>(ii)</w:t>
      </w:r>
      <w:r w:rsidRPr="007B4A47">
        <w:tab/>
        <w:t>provide notice of eligible data breaches to the Commissioner and to individuals at risk from such breaches;</w:t>
      </w:r>
    </w:p>
    <w:p w14:paraId="3599BBEB" w14:textId="77777777" w:rsidR="00D04B9D" w:rsidRPr="007B4A47" w:rsidRDefault="00AF783B" w:rsidP="003265FF">
      <w:pPr>
        <w:pStyle w:val="ItemHead"/>
      </w:pPr>
      <w:r>
        <w:t>22</w:t>
      </w:r>
      <w:r w:rsidR="00D04B9D" w:rsidRPr="007B4A47">
        <w:t xml:space="preserve">  At the end of section 33C</w:t>
      </w:r>
    </w:p>
    <w:p w14:paraId="65CAFC50" w14:textId="77777777" w:rsidR="00D04B9D" w:rsidRPr="007B4A47" w:rsidRDefault="00D04B9D" w:rsidP="003265FF">
      <w:pPr>
        <w:pStyle w:val="Item"/>
      </w:pPr>
      <w:r w:rsidRPr="007B4A47">
        <w:t>Add:</w:t>
      </w:r>
    </w:p>
    <w:p w14:paraId="373E7004" w14:textId="77777777" w:rsidR="00D04B9D" w:rsidRPr="007B4A47" w:rsidRDefault="00D04B9D" w:rsidP="003265FF">
      <w:pPr>
        <w:pStyle w:val="subsection"/>
      </w:pPr>
      <w:r w:rsidRPr="007B4A47">
        <w:tab/>
        <w:t>(3)</w:t>
      </w:r>
      <w:r w:rsidRPr="007B4A47">
        <w:tab/>
        <w:t xml:space="preserve">Without limiting </w:t>
      </w:r>
      <w:r w:rsidR="00AF783B">
        <w:t>subsection (</w:t>
      </w:r>
      <w:r w:rsidRPr="007B4A47">
        <w:t>2), if the Commissioner has reason to believe that an entity or file number recipient being assessed has information or a document relevant to the assessment the Commissioner may, by written notice, require the entity or file number recipient to give the information or produce the document within the period specified in the notice, which must not be less than 14 days after the notice is given to the entity or file number recipient.</w:t>
      </w:r>
    </w:p>
    <w:p w14:paraId="715C12F5" w14:textId="77777777" w:rsidR="00D04B9D" w:rsidRPr="007B4A47" w:rsidRDefault="00D04B9D" w:rsidP="003265FF">
      <w:pPr>
        <w:pStyle w:val="notetext"/>
      </w:pPr>
      <w:r w:rsidRPr="007B4A47">
        <w:t>Note:</w:t>
      </w:r>
      <w:r w:rsidRPr="007B4A47">
        <w:tab/>
        <w:t>For a failure to give information etc., see section 66.</w:t>
      </w:r>
    </w:p>
    <w:p w14:paraId="7450221C" w14:textId="77777777" w:rsidR="00D04B9D" w:rsidRPr="007B4A47" w:rsidRDefault="00D04B9D" w:rsidP="003265FF">
      <w:pPr>
        <w:pStyle w:val="subsection"/>
      </w:pPr>
      <w:r w:rsidRPr="007B4A47">
        <w:tab/>
        <w:t>(4)</w:t>
      </w:r>
      <w:r w:rsidRPr="007B4A47">
        <w:tab/>
        <w:t xml:space="preserve">The Commissioner must not give a notice under </w:t>
      </w:r>
      <w:r w:rsidR="00AF783B">
        <w:t>subsection (</w:t>
      </w:r>
      <w:r w:rsidRPr="007B4A47">
        <w:t>3) unless the Commissioner is satisfied that it is reasonable in the circumstances to do so, having regard to the following:</w:t>
      </w:r>
    </w:p>
    <w:p w14:paraId="41397599" w14:textId="77777777" w:rsidR="00D04B9D" w:rsidRPr="007B4A47" w:rsidRDefault="00D04B9D" w:rsidP="003265FF">
      <w:pPr>
        <w:pStyle w:val="paragraph"/>
      </w:pPr>
      <w:r w:rsidRPr="007B4A47">
        <w:tab/>
        <w:t>(a)</w:t>
      </w:r>
      <w:r w:rsidRPr="007B4A47">
        <w:tab/>
        <w:t>the public interest;</w:t>
      </w:r>
    </w:p>
    <w:p w14:paraId="546137F0" w14:textId="77777777" w:rsidR="00D04B9D" w:rsidRPr="007B4A47" w:rsidRDefault="00D04B9D" w:rsidP="003265FF">
      <w:pPr>
        <w:pStyle w:val="paragraph"/>
      </w:pPr>
      <w:r w:rsidRPr="007B4A47">
        <w:lastRenderedPageBreak/>
        <w:tab/>
        <w:t>(b)</w:t>
      </w:r>
      <w:r w:rsidRPr="007B4A47">
        <w:tab/>
        <w:t>the impact on the entity or file number recipient of complying with the notice;</w:t>
      </w:r>
    </w:p>
    <w:p w14:paraId="30ABC55C" w14:textId="77777777" w:rsidR="00D04B9D" w:rsidRPr="007B4A47" w:rsidRDefault="00D04B9D" w:rsidP="003265FF">
      <w:pPr>
        <w:pStyle w:val="paragraph"/>
      </w:pPr>
      <w:r w:rsidRPr="007B4A47">
        <w:tab/>
        <w:t>(c)</w:t>
      </w:r>
      <w:r w:rsidRPr="007B4A47">
        <w:tab/>
        <w:t>any other matters that the Commissioner considers relevant.</w:t>
      </w:r>
    </w:p>
    <w:p w14:paraId="48BF25B9" w14:textId="77777777" w:rsidR="00D04B9D" w:rsidRPr="007B4A47" w:rsidRDefault="00D04B9D" w:rsidP="003265FF">
      <w:pPr>
        <w:pStyle w:val="subsection"/>
      </w:pPr>
      <w:r w:rsidRPr="007B4A47">
        <w:tab/>
        <w:t>(5)</w:t>
      </w:r>
      <w:r w:rsidRPr="007B4A47">
        <w:tab/>
        <w:t xml:space="preserve">An enforcement body is not required to comply with a notice given by the Commissioner under </w:t>
      </w:r>
      <w:r w:rsidR="00AF783B">
        <w:t>subsection (</w:t>
      </w:r>
      <w:r w:rsidRPr="007B4A47">
        <w:t>3) if the chief executive officer of the enforcement body believes on reasonable grounds that compliance with the notice would be likely to prejudice one or more enforcement related activities conducted by or on behalf of the enforcement body.</w:t>
      </w:r>
    </w:p>
    <w:p w14:paraId="68171919" w14:textId="77777777" w:rsidR="00985B29" w:rsidRPr="00F121B3" w:rsidRDefault="00D04B9D" w:rsidP="003265FF">
      <w:pPr>
        <w:pStyle w:val="subsection"/>
      </w:pPr>
      <w:r w:rsidRPr="007B4A47">
        <w:tab/>
      </w:r>
      <w:r w:rsidR="00985B29">
        <w:t>(6)</w:t>
      </w:r>
      <w:r w:rsidR="00985B29">
        <w:tab/>
      </w:r>
      <w:r w:rsidR="00503CA0">
        <w:t>Subsection (</w:t>
      </w:r>
      <w:r w:rsidR="000E6974">
        <w:t xml:space="preserve">3) </w:t>
      </w:r>
      <w:r w:rsidR="00985B29" w:rsidRPr="00F121B3">
        <w:t>is subject to section 70 but it has effect regardless of any other Commonwealth law.</w:t>
      </w:r>
    </w:p>
    <w:p w14:paraId="592ACDB0" w14:textId="77777777" w:rsidR="00985B29" w:rsidRDefault="00985B29" w:rsidP="003265FF">
      <w:pPr>
        <w:pStyle w:val="subsection"/>
      </w:pPr>
      <w:r w:rsidRPr="00F121B3">
        <w:tab/>
        <w:t>(</w:t>
      </w:r>
      <w:r>
        <w:t>7</w:t>
      </w:r>
      <w:r w:rsidRPr="00F121B3">
        <w:t>)</w:t>
      </w:r>
      <w:r w:rsidRPr="00F121B3">
        <w:tab/>
        <w:t xml:space="preserve">A person </w:t>
      </w:r>
      <w:r>
        <w:t xml:space="preserve">or entity </w:t>
      </w:r>
      <w:r w:rsidRPr="00F121B3">
        <w:t>is not liable to a penalty under the provisions of any other Commonw</w:t>
      </w:r>
      <w:r>
        <w:t xml:space="preserve">ealth law because the person or entity gives information or produces a document when required to do so under </w:t>
      </w:r>
      <w:r w:rsidR="00AF783B">
        <w:t>subsection (</w:t>
      </w:r>
      <w:r w:rsidR="000E6974">
        <w:t>3)</w:t>
      </w:r>
      <w:r>
        <w:t>.</w:t>
      </w:r>
    </w:p>
    <w:p w14:paraId="5A21D192" w14:textId="77777777" w:rsidR="00985B29" w:rsidRDefault="00985B29" w:rsidP="003265FF">
      <w:pPr>
        <w:pStyle w:val="subsection"/>
      </w:pPr>
      <w:r>
        <w:tab/>
      </w:r>
      <w:r w:rsidRPr="007B4A47">
        <w:t>(</w:t>
      </w:r>
      <w:r>
        <w:t>8</w:t>
      </w:r>
      <w:r w:rsidRPr="007B4A47">
        <w:t>)</w:t>
      </w:r>
      <w:r w:rsidRPr="007B4A47">
        <w:tab/>
        <w:t>The Commissioner may publish information relating to an assessment on the Commissioner’s website.</w:t>
      </w:r>
    </w:p>
    <w:p w14:paraId="5E71B8CF" w14:textId="77777777" w:rsidR="00E14A23" w:rsidRDefault="00AF783B" w:rsidP="003265FF">
      <w:pPr>
        <w:pStyle w:val="ItemHead"/>
      </w:pPr>
      <w:r>
        <w:t>23</w:t>
      </w:r>
      <w:r w:rsidR="00E14A23">
        <w:t xml:space="preserve">  At the end of </w:t>
      </w:r>
      <w:r>
        <w:t>subsection 4</w:t>
      </w:r>
      <w:r w:rsidR="00E14A23">
        <w:t>4(1)</w:t>
      </w:r>
    </w:p>
    <w:p w14:paraId="4BCBD72F" w14:textId="77777777" w:rsidR="00E14A23" w:rsidRDefault="00E14A23" w:rsidP="003265FF">
      <w:pPr>
        <w:pStyle w:val="Item"/>
      </w:pPr>
      <w:r>
        <w:t>Add:</w:t>
      </w:r>
    </w:p>
    <w:p w14:paraId="660AF4D2" w14:textId="77777777" w:rsidR="00E14A23" w:rsidRPr="00E14A23" w:rsidRDefault="00E14A23" w:rsidP="003265FF">
      <w:pPr>
        <w:pStyle w:val="notetext"/>
      </w:pPr>
      <w:r w:rsidRPr="007B4A47">
        <w:t>Note:</w:t>
      </w:r>
      <w:r w:rsidRPr="007B4A47">
        <w:tab/>
        <w:t>For a failure to give information etc., see section 66.</w:t>
      </w:r>
    </w:p>
    <w:p w14:paraId="4D5F18D2" w14:textId="77777777" w:rsidR="00E14A23" w:rsidRDefault="00AF783B" w:rsidP="003265FF">
      <w:pPr>
        <w:pStyle w:val="ItemHead"/>
      </w:pPr>
      <w:r>
        <w:t>24</w:t>
      </w:r>
      <w:r w:rsidR="00E14A23">
        <w:t xml:space="preserve">  At the end of </w:t>
      </w:r>
      <w:r>
        <w:t>subsection 4</w:t>
      </w:r>
      <w:r w:rsidR="00E14A23">
        <w:t>6(4)</w:t>
      </w:r>
    </w:p>
    <w:p w14:paraId="544805C8" w14:textId="77777777" w:rsidR="00E14A23" w:rsidRDefault="00E14A23" w:rsidP="003265FF">
      <w:pPr>
        <w:pStyle w:val="Item"/>
      </w:pPr>
      <w:r>
        <w:t>Add:</w:t>
      </w:r>
    </w:p>
    <w:p w14:paraId="6A12AD29" w14:textId="77777777" w:rsidR="00E14A23" w:rsidRPr="00E14A23" w:rsidRDefault="00E14A23" w:rsidP="003265FF">
      <w:pPr>
        <w:pStyle w:val="notetext"/>
      </w:pPr>
      <w:r w:rsidRPr="007B4A47">
        <w:t>Note:</w:t>
      </w:r>
      <w:r w:rsidRPr="007B4A47">
        <w:tab/>
        <w:t>For a failure to give information etc., see section 66.</w:t>
      </w:r>
    </w:p>
    <w:p w14:paraId="6989E020" w14:textId="77777777" w:rsidR="00E14A23" w:rsidRDefault="00AF783B" w:rsidP="003265FF">
      <w:pPr>
        <w:pStyle w:val="ItemHead"/>
      </w:pPr>
      <w:r>
        <w:t>25</w:t>
      </w:r>
      <w:r w:rsidR="00E14A23">
        <w:t xml:space="preserve">  At the end of </w:t>
      </w:r>
      <w:r>
        <w:t>subsection 4</w:t>
      </w:r>
      <w:r w:rsidR="00E14A23">
        <w:t>7(1)</w:t>
      </w:r>
    </w:p>
    <w:p w14:paraId="69680A7B" w14:textId="77777777" w:rsidR="00E14A23" w:rsidRDefault="00E14A23" w:rsidP="003265FF">
      <w:pPr>
        <w:pStyle w:val="Item"/>
      </w:pPr>
      <w:r>
        <w:t>Add:</w:t>
      </w:r>
    </w:p>
    <w:p w14:paraId="57670F3D" w14:textId="77777777" w:rsidR="00E14A23" w:rsidRPr="00E14A23" w:rsidRDefault="00E14A23" w:rsidP="003265FF">
      <w:pPr>
        <w:pStyle w:val="notetext"/>
      </w:pPr>
      <w:r w:rsidRPr="007B4A47">
        <w:t>Note:</w:t>
      </w:r>
      <w:r w:rsidRPr="007B4A47">
        <w:tab/>
        <w:t>For a failure to give information etc., see section 66.</w:t>
      </w:r>
    </w:p>
    <w:p w14:paraId="27C068FC" w14:textId="77777777" w:rsidR="0026567C" w:rsidRPr="007B4A47" w:rsidRDefault="00AF783B" w:rsidP="003265FF">
      <w:pPr>
        <w:pStyle w:val="ItemHead"/>
      </w:pPr>
      <w:r>
        <w:t>26</w:t>
      </w:r>
      <w:r w:rsidR="0026567C" w:rsidRPr="007B4A47">
        <w:t xml:space="preserve">  </w:t>
      </w:r>
      <w:r>
        <w:t>Subsection 5</w:t>
      </w:r>
      <w:r w:rsidR="0026567C" w:rsidRPr="007B4A47">
        <w:t>0(1)</w:t>
      </w:r>
    </w:p>
    <w:p w14:paraId="1B884C83" w14:textId="77777777" w:rsidR="0026567C" w:rsidRDefault="0026567C" w:rsidP="003265FF">
      <w:pPr>
        <w:pStyle w:val="Item"/>
      </w:pPr>
      <w:r w:rsidRPr="007B4A47">
        <w:t>Omit “</w:t>
      </w:r>
      <w:r>
        <w:t xml:space="preserve">In this </w:t>
      </w:r>
      <w:r w:rsidRPr="007B4A47">
        <w:t>section”, substitute “</w:t>
      </w:r>
      <w:r>
        <w:t xml:space="preserve">In this </w:t>
      </w:r>
      <w:r w:rsidRPr="007B4A47">
        <w:t>Act”.</w:t>
      </w:r>
    </w:p>
    <w:p w14:paraId="56EC0392" w14:textId="77777777" w:rsidR="00D04B9D" w:rsidRPr="007B4A47" w:rsidRDefault="00AF783B" w:rsidP="003265FF">
      <w:pPr>
        <w:pStyle w:val="ItemHead"/>
      </w:pPr>
      <w:r>
        <w:lastRenderedPageBreak/>
        <w:t>27</w:t>
      </w:r>
      <w:r w:rsidR="00D04B9D" w:rsidRPr="007B4A47">
        <w:t xml:space="preserve">  </w:t>
      </w:r>
      <w:r>
        <w:t>Subsection 5</w:t>
      </w:r>
      <w:r w:rsidR="00D04B9D" w:rsidRPr="007B4A47">
        <w:t xml:space="preserve">0(1) (after paragraph (b) of the definition of </w:t>
      </w:r>
      <w:r w:rsidR="00D04B9D" w:rsidRPr="007B4A47">
        <w:rPr>
          <w:i/>
        </w:rPr>
        <w:t>alternative complaint body</w:t>
      </w:r>
      <w:r w:rsidR="00D04B9D" w:rsidRPr="007B4A47">
        <w:t>)</w:t>
      </w:r>
    </w:p>
    <w:p w14:paraId="3751EAE8" w14:textId="77777777" w:rsidR="00D04B9D" w:rsidRPr="007B4A47" w:rsidRDefault="00D04B9D" w:rsidP="003265FF">
      <w:pPr>
        <w:pStyle w:val="Item"/>
      </w:pPr>
      <w:r w:rsidRPr="007B4A47">
        <w:t>Insert:</w:t>
      </w:r>
    </w:p>
    <w:p w14:paraId="5CAD8B37" w14:textId="77777777" w:rsidR="00D04B9D" w:rsidRPr="007B4A47" w:rsidRDefault="00D04B9D" w:rsidP="003265FF">
      <w:pPr>
        <w:pStyle w:val="paragraph"/>
      </w:pPr>
      <w:r w:rsidRPr="007B4A47">
        <w:tab/>
        <w:t>(</w:t>
      </w:r>
      <w:proofErr w:type="spellStart"/>
      <w:r w:rsidRPr="007B4A47">
        <w:t>ba</w:t>
      </w:r>
      <w:proofErr w:type="spellEnd"/>
      <w:r w:rsidRPr="007B4A47">
        <w:t>)</w:t>
      </w:r>
      <w:r w:rsidRPr="007B4A47">
        <w:tab/>
        <w:t xml:space="preserve">the </w:t>
      </w:r>
      <w:proofErr w:type="spellStart"/>
      <w:r w:rsidRPr="007B4A47">
        <w:t>eSafety</w:t>
      </w:r>
      <w:proofErr w:type="spellEnd"/>
      <w:r w:rsidRPr="007B4A47">
        <w:t xml:space="preserve"> Commissioner; or</w:t>
      </w:r>
    </w:p>
    <w:p w14:paraId="08C29B05" w14:textId="77777777" w:rsidR="00D64F2A" w:rsidRPr="007B4A47" w:rsidRDefault="00AF783B" w:rsidP="003265FF">
      <w:pPr>
        <w:pStyle w:val="ItemHead"/>
      </w:pPr>
      <w:r>
        <w:t>28</w:t>
      </w:r>
      <w:r w:rsidR="00D64F2A" w:rsidRPr="007B4A47">
        <w:t xml:space="preserve">  </w:t>
      </w:r>
      <w:r>
        <w:t>Subsection 5</w:t>
      </w:r>
      <w:r w:rsidR="00D64F2A" w:rsidRPr="007B4A47">
        <w:t xml:space="preserve">0(1) (definition of </w:t>
      </w:r>
      <w:r w:rsidR="00D64F2A" w:rsidRPr="007B4A47">
        <w:rPr>
          <w:i/>
        </w:rPr>
        <w:t>Ombudsman</w:t>
      </w:r>
      <w:r w:rsidR="00D64F2A" w:rsidRPr="007B4A47">
        <w:t>)</w:t>
      </w:r>
    </w:p>
    <w:p w14:paraId="2CC1C0B8" w14:textId="77777777" w:rsidR="00D64F2A" w:rsidRPr="007B4A47" w:rsidRDefault="00D64F2A" w:rsidP="003265FF">
      <w:pPr>
        <w:pStyle w:val="Item"/>
      </w:pPr>
      <w:r w:rsidRPr="007B4A47">
        <w:t>Repeal the definition.</w:t>
      </w:r>
    </w:p>
    <w:p w14:paraId="200B2BA3" w14:textId="77777777" w:rsidR="00D04B9D" w:rsidRPr="007B4A47" w:rsidRDefault="00AF783B" w:rsidP="003265FF">
      <w:pPr>
        <w:pStyle w:val="ItemHead"/>
      </w:pPr>
      <w:r>
        <w:t>29</w:t>
      </w:r>
      <w:r w:rsidR="00D04B9D" w:rsidRPr="007B4A47">
        <w:t xml:space="preserve">  After subparagraph 52(1)(b)(ii)</w:t>
      </w:r>
    </w:p>
    <w:p w14:paraId="6795C90E" w14:textId="77777777" w:rsidR="00D04B9D" w:rsidRPr="007B4A47" w:rsidRDefault="00D04B9D" w:rsidP="003265FF">
      <w:pPr>
        <w:pStyle w:val="Item"/>
      </w:pPr>
      <w:r w:rsidRPr="007B4A47">
        <w:t>Insert:</w:t>
      </w:r>
    </w:p>
    <w:p w14:paraId="784F0ACE" w14:textId="77777777" w:rsidR="00D04B9D" w:rsidRPr="007B4A47" w:rsidRDefault="00D04B9D" w:rsidP="003265FF">
      <w:pPr>
        <w:pStyle w:val="paragraph"/>
      </w:pPr>
      <w:r w:rsidRPr="007B4A47">
        <w:tab/>
        <w:t>(</w:t>
      </w:r>
      <w:proofErr w:type="spellStart"/>
      <w:r w:rsidRPr="007B4A47">
        <w:t>iia</w:t>
      </w:r>
      <w:proofErr w:type="spellEnd"/>
      <w:r w:rsidRPr="007B4A47">
        <w:t>)</w:t>
      </w:r>
      <w:r w:rsidRPr="007B4A47">
        <w:tab/>
        <w:t>a declaration that the respondent must prepare and publish, or otherwise communicate, a statement about the conduct (see section 52A);</w:t>
      </w:r>
    </w:p>
    <w:p w14:paraId="0B5E702F" w14:textId="77777777" w:rsidR="00D04B9D" w:rsidRPr="007B4A47" w:rsidRDefault="00AF783B" w:rsidP="003265FF">
      <w:pPr>
        <w:pStyle w:val="ItemHead"/>
      </w:pPr>
      <w:r>
        <w:t>30</w:t>
      </w:r>
      <w:r w:rsidR="00D04B9D" w:rsidRPr="007B4A47">
        <w:t xml:space="preserve">  After paragraph 52(1A)(b)</w:t>
      </w:r>
    </w:p>
    <w:p w14:paraId="41026B8E" w14:textId="77777777" w:rsidR="00D04B9D" w:rsidRPr="007B4A47" w:rsidRDefault="00D04B9D" w:rsidP="003265FF">
      <w:pPr>
        <w:pStyle w:val="Item"/>
      </w:pPr>
      <w:r w:rsidRPr="007B4A47">
        <w:t>Insert:</w:t>
      </w:r>
    </w:p>
    <w:p w14:paraId="14E4EE12" w14:textId="77777777" w:rsidR="00D04B9D" w:rsidRPr="007B4A47" w:rsidRDefault="00D04B9D" w:rsidP="003265FF">
      <w:pPr>
        <w:pStyle w:val="paragraph"/>
      </w:pPr>
      <w:r w:rsidRPr="007B4A47">
        <w:tab/>
        <w:t>(</w:t>
      </w:r>
      <w:proofErr w:type="spellStart"/>
      <w:r w:rsidRPr="007B4A47">
        <w:t>ba</w:t>
      </w:r>
      <w:proofErr w:type="spellEnd"/>
      <w:r w:rsidRPr="007B4A47">
        <w:t>)</w:t>
      </w:r>
      <w:r w:rsidRPr="007B4A47">
        <w:tab/>
        <w:t>a declaration that the respondent must prepare and publish, or otherwise communicate, a statement about the conduct (see section 52A);</w:t>
      </w:r>
    </w:p>
    <w:p w14:paraId="2D8DE6F5" w14:textId="77777777" w:rsidR="00D04B9D" w:rsidRPr="007B4A47" w:rsidRDefault="00AF783B" w:rsidP="003265FF">
      <w:pPr>
        <w:pStyle w:val="ItemHead"/>
      </w:pPr>
      <w:r>
        <w:t>31</w:t>
      </w:r>
      <w:r w:rsidR="00D04B9D" w:rsidRPr="007B4A47">
        <w:t xml:space="preserve">  After </w:t>
      </w:r>
      <w:r>
        <w:t>subsection 5</w:t>
      </w:r>
      <w:r w:rsidR="00D04B9D" w:rsidRPr="007B4A47">
        <w:t>2(1A)</w:t>
      </w:r>
    </w:p>
    <w:p w14:paraId="37E2043F" w14:textId="77777777" w:rsidR="00D04B9D" w:rsidRPr="007B4A47" w:rsidRDefault="00D04B9D" w:rsidP="003265FF">
      <w:pPr>
        <w:pStyle w:val="Item"/>
      </w:pPr>
      <w:r w:rsidRPr="007B4A47">
        <w:t>Insert:</w:t>
      </w:r>
    </w:p>
    <w:p w14:paraId="74C9A40C" w14:textId="77777777" w:rsidR="00D04B9D" w:rsidRPr="007B4A47" w:rsidRDefault="00D04B9D" w:rsidP="003265FF">
      <w:pPr>
        <w:pStyle w:val="subsection"/>
      </w:pPr>
      <w:r w:rsidRPr="007B4A47">
        <w:tab/>
        <w:t>(1AAA)</w:t>
      </w:r>
      <w:r w:rsidRPr="007B4A47">
        <w:tab/>
        <w:t>Without limiting subparagraph (1)(b)(</w:t>
      </w:r>
      <w:proofErr w:type="spellStart"/>
      <w:r w:rsidRPr="007B4A47">
        <w:t>ia</w:t>
      </w:r>
      <w:proofErr w:type="spellEnd"/>
      <w:r w:rsidRPr="007B4A47">
        <w:t>) or paragraph (1A)(b), the steps specified by the Commissioner may include a requirement for the respondent to:</w:t>
      </w:r>
    </w:p>
    <w:p w14:paraId="76A76547" w14:textId="77777777" w:rsidR="00D04B9D" w:rsidRPr="007B4A47" w:rsidRDefault="00D04B9D" w:rsidP="003265FF">
      <w:pPr>
        <w:pStyle w:val="paragraph"/>
      </w:pPr>
      <w:r w:rsidRPr="007B4A47">
        <w:tab/>
        <w:t>(a)</w:t>
      </w:r>
      <w:r w:rsidRPr="007B4A47">
        <w:tab/>
        <w:t>engage, in consultation with the Commissioner, a suitably qualified independent adviser to review:</w:t>
      </w:r>
    </w:p>
    <w:p w14:paraId="0EE55DFD" w14:textId="77777777" w:rsidR="00D04B9D" w:rsidRPr="007B4A47" w:rsidRDefault="00D04B9D" w:rsidP="003265FF">
      <w:pPr>
        <w:pStyle w:val="paragraphsub"/>
      </w:pPr>
      <w:r w:rsidRPr="007B4A47">
        <w:tab/>
        <w:t>(i)</w:t>
      </w:r>
      <w:r w:rsidRPr="007B4A47">
        <w:tab/>
        <w:t>the acts or practices engaged in by the respondent that were the subject of the complaint; and</w:t>
      </w:r>
    </w:p>
    <w:p w14:paraId="10537CDE" w14:textId="77777777" w:rsidR="00D04B9D" w:rsidRPr="007B4A47" w:rsidRDefault="00D04B9D" w:rsidP="003265FF">
      <w:pPr>
        <w:pStyle w:val="paragraphsub"/>
      </w:pPr>
      <w:r w:rsidRPr="007B4A47">
        <w:tab/>
        <w:t>(ii)</w:t>
      </w:r>
      <w:r w:rsidRPr="007B4A47">
        <w:tab/>
        <w:t>the steps (if any) taken by the respondent to ensure that the conduct referred to in the determination is not repeated or continued; and</w:t>
      </w:r>
    </w:p>
    <w:p w14:paraId="6DEA0ED6" w14:textId="77777777" w:rsidR="00D04B9D" w:rsidRPr="007B4A47" w:rsidRDefault="00D04B9D" w:rsidP="003265FF">
      <w:pPr>
        <w:pStyle w:val="paragraphsub"/>
      </w:pPr>
      <w:r w:rsidRPr="007B4A47">
        <w:tab/>
        <w:t>(iii)</w:t>
      </w:r>
      <w:r w:rsidRPr="007B4A47">
        <w:tab/>
        <w:t>any other matter specified in the declaration that is relevant to those acts or practices, or that complaint; and</w:t>
      </w:r>
    </w:p>
    <w:p w14:paraId="47481ECE" w14:textId="77777777" w:rsidR="00D04B9D" w:rsidRDefault="00D04B9D" w:rsidP="003265FF">
      <w:pPr>
        <w:pStyle w:val="paragraph"/>
      </w:pPr>
      <w:r w:rsidRPr="007B4A47">
        <w:tab/>
        <w:t>(b)</w:t>
      </w:r>
      <w:r w:rsidRPr="007B4A47">
        <w:tab/>
        <w:t>provide a copy of the review to the Commissioner.</w:t>
      </w:r>
    </w:p>
    <w:p w14:paraId="34D29071" w14:textId="77777777" w:rsidR="00D04B9D" w:rsidRPr="007B4A47" w:rsidRDefault="00AF783B" w:rsidP="003265FF">
      <w:pPr>
        <w:pStyle w:val="ItemHead"/>
      </w:pPr>
      <w:r>
        <w:lastRenderedPageBreak/>
        <w:t>32</w:t>
      </w:r>
      <w:r w:rsidR="00D04B9D" w:rsidRPr="007B4A47">
        <w:t xml:space="preserve">  After </w:t>
      </w:r>
      <w:r>
        <w:t>subsection 5</w:t>
      </w:r>
      <w:r w:rsidR="00D04B9D" w:rsidRPr="007B4A47">
        <w:t>2(5)</w:t>
      </w:r>
    </w:p>
    <w:p w14:paraId="0CFBFD18" w14:textId="77777777" w:rsidR="00D04B9D" w:rsidRPr="007B4A47" w:rsidRDefault="00D04B9D" w:rsidP="003265FF">
      <w:pPr>
        <w:pStyle w:val="Item"/>
      </w:pPr>
      <w:r w:rsidRPr="007B4A47">
        <w:t>Insert:</w:t>
      </w:r>
    </w:p>
    <w:p w14:paraId="3A29447B" w14:textId="77777777" w:rsidR="00D04B9D" w:rsidRPr="007B4A47" w:rsidRDefault="00D04B9D" w:rsidP="003265FF">
      <w:pPr>
        <w:pStyle w:val="subsection"/>
      </w:pPr>
      <w:r w:rsidRPr="007B4A47">
        <w:tab/>
        <w:t>(5A)</w:t>
      </w:r>
      <w:r w:rsidRPr="007B4A47">
        <w:tab/>
        <w:t>The Commissioner may publish a determination made under this section on the Commissioner’s website.</w:t>
      </w:r>
    </w:p>
    <w:p w14:paraId="5C34F674" w14:textId="77777777" w:rsidR="00D04B9D" w:rsidRPr="007B4A47" w:rsidRDefault="00AF783B" w:rsidP="003265FF">
      <w:pPr>
        <w:pStyle w:val="ItemHead"/>
      </w:pPr>
      <w:r>
        <w:t>33</w:t>
      </w:r>
      <w:r w:rsidR="00D04B9D" w:rsidRPr="007B4A47">
        <w:t xml:space="preserve">  After section 52</w:t>
      </w:r>
    </w:p>
    <w:p w14:paraId="76DF9CD3" w14:textId="77777777" w:rsidR="00D04B9D" w:rsidRPr="007B4A47" w:rsidRDefault="00D04B9D" w:rsidP="003265FF">
      <w:pPr>
        <w:pStyle w:val="Item"/>
      </w:pPr>
      <w:r w:rsidRPr="007B4A47">
        <w:t>Insert:</w:t>
      </w:r>
    </w:p>
    <w:p w14:paraId="7B903EF0" w14:textId="77777777" w:rsidR="00D04B9D" w:rsidRPr="007B4A47" w:rsidRDefault="00D04B9D" w:rsidP="003265FF">
      <w:pPr>
        <w:pStyle w:val="ActHead5"/>
      </w:pPr>
      <w:bookmarkStart w:id="30" w:name="_Toc116644206"/>
      <w:bookmarkStart w:id="31" w:name="_Toc120608740"/>
      <w:bookmarkStart w:id="32" w:name="_Toc120630503"/>
      <w:r w:rsidRPr="00A046C3">
        <w:rPr>
          <w:rStyle w:val="CharSectno"/>
        </w:rPr>
        <w:t>52A</w:t>
      </w:r>
      <w:r w:rsidRPr="007B4A47">
        <w:t xml:space="preserve">  Determination—requirement to notify conduct constituting interference with privacy of individual</w:t>
      </w:r>
      <w:bookmarkEnd w:id="30"/>
      <w:bookmarkEnd w:id="31"/>
      <w:bookmarkEnd w:id="32"/>
    </w:p>
    <w:p w14:paraId="67CB79CB" w14:textId="77777777" w:rsidR="00D04B9D" w:rsidRPr="007B4A47" w:rsidRDefault="00D04B9D" w:rsidP="003265FF">
      <w:pPr>
        <w:pStyle w:val="subsection"/>
      </w:pPr>
      <w:r w:rsidRPr="007B4A47">
        <w:tab/>
        <w:t>(1)</w:t>
      </w:r>
      <w:r w:rsidRPr="007B4A47">
        <w:tab/>
        <w:t>If a determination under section 52 includes a declaration mentioned in subparagraph 52(1)(b)(</w:t>
      </w:r>
      <w:proofErr w:type="spellStart"/>
      <w:r w:rsidRPr="007B4A47">
        <w:t>iia</w:t>
      </w:r>
      <w:proofErr w:type="spellEnd"/>
      <w:r w:rsidRPr="007B4A47">
        <w:t>) or paragraph </w:t>
      </w:r>
      <w:r w:rsidR="00D64F2A">
        <w:t>52</w:t>
      </w:r>
      <w:r w:rsidRPr="007B4A47">
        <w:t>(1A)(</w:t>
      </w:r>
      <w:proofErr w:type="spellStart"/>
      <w:r w:rsidRPr="007B4A47">
        <w:t>ba</w:t>
      </w:r>
      <w:proofErr w:type="spellEnd"/>
      <w:r w:rsidRPr="007B4A47">
        <w:t>), the respondent must, within 14 days after receiving the determination (or such longer period as the Commissioner allows):</w:t>
      </w:r>
    </w:p>
    <w:p w14:paraId="040C3D49" w14:textId="77777777" w:rsidR="00D04B9D" w:rsidRPr="007B4A47" w:rsidRDefault="00D04B9D" w:rsidP="003265FF">
      <w:pPr>
        <w:pStyle w:val="paragraph"/>
      </w:pPr>
      <w:r w:rsidRPr="007B4A47">
        <w:tab/>
        <w:t>(a)</w:t>
      </w:r>
      <w:r w:rsidRPr="007B4A47">
        <w:tab/>
        <w:t>prepare a statement, in consultation with the Commissioner, setting out:</w:t>
      </w:r>
    </w:p>
    <w:p w14:paraId="6497D982" w14:textId="77777777" w:rsidR="00D04B9D" w:rsidRPr="007B4A47" w:rsidRDefault="00D04B9D" w:rsidP="003265FF">
      <w:pPr>
        <w:pStyle w:val="paragraphsub"/>
      </w:pPr>
      <w:r w:rsidRPr="007B4A47">
        <w:tab/>
        <w:t>(i)</w:t>
      </w:r>
      <w:r w:rsidRPr="007B4A47">
        <w:tab/>
        <w:t>the identity and contact details of the respondent or, if the respondent is the principal executive of an agency, the agency; and</w:t>
      </w:r>
    </w:p>
    <w:p w14:paraId="30802EB6" w14:textId="77777777" w:rsidR="00D04B9D" w:rsidRPr="007B4A47" w:rsidRDefault="00D04B9D" w:rsidP="003265FF">
      <w:pPr>
        <w:pStyle w:val="paragraphsub"/>
      </w:pPr>
      <w:r w:rsidRPr="007B4A47">
        <w:tab/>
        <w:t>(ii)</w:t>
      </w:r>
      <w:r w:rsidRPr="007B4A47">
        <w:tab/>
        <w:t>a description of the conduct engaged in by the respondent that constitutes the interference with the privacy of an individual; and</w:t>
      </w:r>
    </w:p>
    <w:p w14:paraId="408CD7D4" w14:textId="77777777" w:rsidR="00D04B9D" w:rsidRPr="007B4A47" w:rsidRDefault="00D04B9D" w:rsidP="003265FF">
      <w:pPr>
        <w:pStyle w:val="paragraphsub"/>
      </w:pPr>
      <w:r w:rsidRPr="007B4A47">
        <w:tab/>
        <w:t>(iii)</w:t>
      </w:r>
      <w:r w:rsidRPr="007B4A47">
        <w:tab/>
        <w:t>the steps (if any) undertaken, or to be undertaken, by the respondent to ensure the conduct is not repeated or continued; and</w:t>
      </w:r>
    </w:p>
    <w:p w14:paraId="7640C671" w14:textId="77777777" w:rsidR="00D04B9D" w:rsidRPr="007B4A47" w:rsidRDefault="00D04B9D" w:rsidP="003265FF">
      <w:pPr>
        <w:pStyle w:val="paragraphsub"/>
      </w:pPr>
      <w:r w:rsidRPr="007B4A47">
        <w:tab/>
        <w:t>(iv)</w:t>
      </w:r>
      <w:r w:rsidRPr="007B4A47">
        <w:tab/>
        <w:t>any other information required by the declaration to be included in the statement; and</w:t>
      </w:r>
    </w:p>
    <w:p w14:paraId="2E09C281" w14:textId="77777777" w:rsidR="00D04B9D" w:rsidRPr="007B4A47" w:rsidRDefault="00D04B9D" w:rsidP="003265FF">
      <w:pPr>
        <w:pStyle w:val="paragraph"/>
      </w:pPr>
      <w:r w:rsidRPr="007B4A47">
        <w:tab/>
        <w:t>(b)</w:t>
      </w:r>
      <w:r w:rsidRPr="007B4A47">
        <w:tab/>
        <w:t>if required by the declaration—give a copy of the statement to the complainant or, if the complaint is a representative complaint, to each class member identified as affected by the determination, in the manner specified by the declaration; and</w:t>
      </w:r>
    </w:p>
    <w:p w14:paraId="4777A69B" w14:textId="77777777" w:rsidR="00D04B9D" w:rsidRPr="007B4A47" w:rsidRDefault="00D04B9D" w:rsidP="003265FF">
      <w:pPr>
        <w:pStyle w:val="paragraph"/>
      </w:pPr>
      <w:r w:rsidRPr="007B4A47">
        <w:tab/>
        <w:t>(c)</w:t>
      </w:r>
      <w:r w:rsidRPr="007B4A47">
        <w:tab/>
        <w:t>if required by the declaration—publish, or otherwise communicate, the statement in the manner specified by the declaration; and</w:t>
      </w:r>
    </w:p>
    <w:p w14:paraId="543F56AF" w14:textId="77777777" w:rsidR="00D04B9D" w:rsidRPr="007B4A47" w:rsidRDefault="00D04B9D" w:rsidP="003265FF">
      <w:pPr>
        <w:pStyle w:val="paragraph"/>
      </w:pPr>
      <w:r w:rsidRPr="007B4A47">
        <w:tab/>
        <w:t>(d)</w:t>
      </w:r>
      <w:r w:rsidRPr="007B4A47">
        <w:tab/>
        <w:t xml:space="preserve">give the Commissioner, within 14 days after the end of the period specified in the declaration, evidence that the actions </w:t>
      </w:r>
      <w:r w:rsidRPr="007B4A47">
        <w:lastRenderedPageBreak/>
        <w:t>required by paragraphs (b) and (c) were taken in accordance with this section and the declaration.</w:t>
      </w:r>
    </w:p>
    <w:p w14:paraId="1CED5144" w14:textId="77777777" w:rsidR="00D04B9D" w:rsidRPr="007B4A47" w:rsidRDefault="00D04B9D" w:rsidP="003265FF">
      <w:pPr>
        <w:pStyle w:val="subsection"/>
      </w:pPr>
      <w:r w:rsidRPr="007B4A47">
        <w:tab/>
        <w:t>(2)</w:t>
      </w:r>
      <w:r w:rsidRPr="007B4A47">
        <w:tab/>
        <w:t xml:space="preserve">The matters specified by the Commissioner for the purposes of </w:t>
      </w:r>
      <w:r w:rsidR="00AF783B">
        <w:t>subsection (</w:t>
      </w:r>
      <w:r w:rsidRPr="007B4A47">
        <w:t>1) must be reasonable and appropriate.</w:t>
      </w:r>
    </w:p>
    <w:p w14:paraId="57536170" w14:textId="77777777" w:rsidR="00D04B9D" w:rsidRPr="007B4A47" w:rsidRDefault="00AF783B" w:rsidP="003265FF">
      <w:pPr>
        <w:pStyle w:val="ItemHead"/>
      </w:pPr>
      <w:r>
        <w:t>34</w:t>
      </w:r>
      <w:r w:rsidR="00D04B9D" w:rsidRPr="007B4A47">
        <w:t xml:space="preserve">  </w:t>
      </w:r>
      <w:r w:rsidR="00503CA0">
        <w:t>Division 3</w:t>
      </w:r>
      <w:r w:rsidR="00D04B9D" w:rsidRPr="007B4A47">
        <w:t xml:space="preserve"> of Part V (heading)</w:t>
      </w:r>
    </w:p>
    <w:p w14:paraId="34CDE752" w14:textId="77777777" w:rsidR="00D04B9D" w:rsidRPr="007B4A47" w:rsidRDefault="00D04B9D" w:rsidP="003265FF">
      <w:pPr>
        <w:pStyle w:val="Item"/>
      </w:pPr>
      <w:r w:rsidRPr="007B4A47">
        <w:t>Repeal the heading, substitute:</w:t>
      </w:r>
    </w:p>
    <w:p w14:paraId="5A300243" w14:textId="77777777" w:rsidR="00D04B9D" w:rsidRPr="007B4A47" w:rsidRDefault="00503CA0" w:rsidP="003265FF">
      <w:pPr>
        <w:pStyle w:val="ActHead3"/>
      </w:pPr>
      <w:bookmarkStart w:id="33" w:name="_Toc116644207"/>
      <w:bookmarkStart w:id="34" w:name="_Toc120608741"/>
      <w:bookmarkStart w:id="35" w:name="_Toc120630504"/>
      <w:r w:rsidRPr="00A046C3">
        <w:rPr>
          <w:rStyle w:val="CharDivNo"/>
        </w:rPr>
        <w:t>Division 3</w:t>
      </w:r>
      <w:r w:rsidR="00D04B9D" w:rsidRPr="007B4A47">
        <w:t>—</w:t>
      </w:r>
      <w:r w:rsidR="00D04B9D" w:rsidRPr="00A046C3">
        <w:rPr>
          <w:rStyle w:val="CharDivText"/>
        </w:rPr>
        <w:t>Enforcement of determinations</w:t>
      </w:r>
      <w:bookmarkEnd w:id="33"/>
      <w:bookmarkEnd w:id="34"/>
      <w:bookmarkEnd w:id="35"/>
    </w:p>
    <w:p w14:paraId="7ED3BD7F" w14:textId="77777777" w:rsidR="00D04B9D" w:rsidRPr="007B4A47" w:rsidRDefault="00AF783B" w:rsidP="003265FF">
      <w:pPr>
        <w:pStyle w:val="ItemHead"/>
      </w:pPr>
      <w:r>
        <w:t>35</w:t>
      </w:r>
      <w:r w:rsidR="00D04B9D" w:rsidRPr="007B4A47">
        <w:t xml:space="preserve">  At the end of section 55</w:t>
      </w:r>
    </w:p>
    <w:p w14:paraId="1C19A654" w14:textId="77777777" w:rsidR="00D04B9D" w:rsidRPr="007B4A47" w:rsidRDefault="00D04B9D" w:rsidP="003265FF">
      <w:pPr>
        <w:pStyle w:val="Item"/>
      </w:pPr>
      <w:r w:rsidRPr="007B4A47">
        <w:t>Add:</w:t>
      </w:r>
    </w:p>
    <w:p w14:paraId="1F0E9B4A" w14:textId="77777777" w:rsidR="00D04B9D" w:rsidRPr="007B4A47" w:rsidRDefault="00D04B9D" w:rsidP="003265FF">
      <w:pPr>
        <w:pStyle w:val="paragraph"/>
      </w:pPr>
      <w:r w:rsidRPr="007B4A47">
        <w:tab/>
        <w:t>; and (d)</w:t>
      </w:r>
      <w:r w:rsidRPr="007B4A47">
        <w:tab/>
        <w:t>must prepare and publish, or otherwise communicate, a statement in accordance with a declaration included in the determination under subparagraph 52(1)(b)(</w:t>
      </w:r>
      <w:proofErr w:type="spellStart"/>
      <w:r w:rsidRPr="007B4A47">
        <w:t>iia</w:t>
      </w:r>
      <w:proofErr w:type="spellEnd"/>
      <w:r w:rsidRPr="007B4A47">
        <w:t>) or paragraph 52(1A)(</w:t>
      </w:r>
      <w:proofErr w:type="spellStart"/>
      <w:r w:rsidRPr="007B4A47">
        <w:t>ba</w:t>
      </w:r>
      <w:proofErr w:type="spellEnd"/>
      <w:r w:rsidRPr="007B4A47">
        <w:t>) and section 52A.</w:t>
      </w:r>
    </w:p>
    <w:p w14:paraId="0E683742" w14:textId="77777777" w:rsidR="00D04B9D" w:rsidRPr="007B4A47" w:rsidRDefault="00AF783B" w:rsidP="003265FF">
      <w:pPr>
        <w:pStyle w:val="ItemHead"/>
      </w:pPr>
      <w:r>
        <w:t>36</w:t>
      </w:r>
      <w:r w:rsidR="00D04B9D" w:rsidRPr="007B4A47">
        <w:t xml:space="preserve">  At the end of section 58</w:t>
      </w:r>
    </w:p>
    <w:p w14:paraId="4F1C9C7E" w14:textId="77777777" w:rsidR="00D04B9D" w:rsidRPr="007B4A47" w:rsidRDefault="00D04B9D" w:rsidP="003265FF">
      <w:pPr>
        <w:pStyle w:val="Item"/>
      </w:pPr>
      <w:r w:rsidRPr="007B4A47">
        <w:t>Add:</w:t>
      </w:r>
    </w:p>
    <w:p w14:paraId="17AC6C7C" w14:textId="77777777" w:rsidR="00D04B9D" w:rsidRPr="007B4A47" w:rsidRDefault="00D04B9D" w:rsidP="003265FF">
      <w:pPr>
        <w:pStyle w:val="paragraph"/>
      </w:pPr>
      <w:r w:rsidRPr="007B4A47">
        <w:tab/>
        <w:t>; and (d)</w:t>
      </w:r>
      <w:r w:rsidRPr="007B4A47">
        <w:tab/>
        <w:t>must prepare and publish, or otherwise communicate, a statement in accordance with a declaration included in the determination under subparagraph 52(1)(b)(</w:t>
      </w:r>
      <w:proofErr w:type="spellStart"/>
      <w:r w:rsidRPr="007B4A47">
        <w:t>iia</w:t>
      </w:r>
      <w:proofErr w:type="spellEnd"/>
      <w:r w:rsidRPr="007B4A47">
        <w:t>) or paragraph 52(1A)(</w:t>
      </w:r>
      <w:proofErr w:type="spellStart"/>
      <w:r w:rsidRPr="007B4A47">
        <w:t>ba</w:t>
      </w:r>
      <w:proofErr w:type="spellEnd"/>
      <w:r w:rsidRPr="007B4A47">
        <w:t>) and section 52A.</w:t>
      </w:r>
    </w:p>
    <w:p w14:paraId="4CCA9B4D" w14:textId="77777777" w:rsidR="00D04B9D" w:rsidRPr="007B4A47" w:rsidRDefault="00AF783B" w:rsidP="003265FF">
      <w:pPr>
        <w:pStyle w:val="ItemHead"/>
      </w:pPr>
      <w:r>
        <w:t>37</w:t>
      </w:r>
      <w:r w:rsidR="00D04B9D" w:rsidRPr="007B4A47">
        <w:t xml:space="preserve">  At the end of section 59</w:t>
      </w:r>
    </w:p>
    <w:p w14:paraId="13B4B30A" w14:textId="77777777" w:rsidR="00D04B9D" w:rsidRPr="007B4A47" w:rsidRDefault="00D04B9D" w:rsidP="003265FF">
      <w:pPr>
        <w:pStyle w:val="Item"/>
      </w:pPr>
      <w:r w:rsidRPr="007B4A47">
        <w:t>Add:</w:t>
      </w:r>
    </w:p>
    <w:p w14:paraId="164546D9" w14:textId="77777777" w:rsidR="00D04B9D" w:rsidRPr="007B4A47" w:rsidRDefault="00D04B9D" w:rsidP="003265FF">
      <w:pPr>
        <w:pStyle w:val="paragraph"/>
      </w:pPr>
      <w:r w:rsidRPr="007B4A47">
        <w:tab/>
        <w:t>; and (d)</w:t>
      </w:r>
      <w:r w:rsidRPr="007B4A47">
        <w:tab/>
        <w:t>the preparation, publishing or communicating of a statement in accordance with a declaration included in the determination under subparagraph 52(1)(b)(</w:t>
      </w:r>
      <w:proofErr w:type="spellStart"/>
      <w:r w:rsidRPr="007B4A47">
        <w:t>iia</w:t>
      </w:r>
      <w:proofErr w:type="spellEnd"/>
      <w:r w:rsidRPr="007B4A47">
        <w:t>) or paragraph 52(1A)(</w:t>
      </w:r>
      <w:proofErr w:type="spellStart"/>
      <w:r w:rsidRPr="007B4A47">
        <w:t>ba</w:t>
      </w:r>
      <w:proofErr w:type="spellEnd"/>
      <w:r w:rsidRPr="007B4A47">
        <w:t>) and section 52A.</w:t>
      </w:r>
    </w:p>
    <w:p w14:paraId="7ABBBFDB" w14:textId="77777777" w:rsidR="00D04B9D" w:rsidRPr="007B4A47" w:rsidRDefault="00AF783B" w:rsidP="003265FF">
      <w:pPr>
        <w:pStyle w:val="ItemHead"/>
      </w:pPr>
      <w:r>
        <w:t>38</w:t>
      </w:r>
      <w:r w:rsidR="00D04B9D" w:rsidRPr="007B4A47">
        <w:t xml:space="preserve">  Subsection 66(1)</w:t>
      </w:r>
    </w:p>
    <w:p w14:paraId="0FBC2A46" w14:textId="77777777" w:rsidR="00D04B9D" w:rsidRPr="007B4A47" w:rsidRDefault="00D04B9D" w:rsidP="003265FF">
      <w:pPr>
        <w:pStyle w:val="Item"/>
      </w:pPr>
      <w:r w:rsidRPr="007B4A47">
        <w:t>Repeal the subsection, substitute:</w:t>
      </w:r>
    </w:p>
    <w:p w14:paraId="40AE80B1" w14:textId="77777777" w:rsidR="00D04B9D" w:rsidRPr="007B4A47" w:rsidRDefault="00D04B9D" w:rsidP="003265FF">
      <w:pPr>
        <w:pStyle w:val="SubsectionHead"/>
      </w:pPr>
      <w:r w:rsidRPr="007B4A47">
        <w:t>Basic contravention</w:t>
      </w:r>
    </w:p>
    <w:p w14:paraId="018BE829" w14:textId="77777777" w:rsidR="00D04B9D" w:rsidRPr="007B4A47" w:rsidRDefault="00D04B9D" w:rsidP="003265FF">
      <w:pPr>
        <w:pStyle w:val="subsection"/>
      </w:pPr>
      <w:r w:rsidRPr="007B4A47">
        <w:tab/>
        <w:t>(1)</w:t>
      </w:r>
      <w:r w:rsidRPr="007B4A47">
        <w:tab/>
        <w:t>A person contravenes this subsection if:</w:t>
      </w:r>
    </w:p>
    <w:p w14:paraId="6F5628E9" w14:textId="77777777" w:rsidR="00D04B9D" w:rsidRPr="007B4A47" w:rsidRDefault="00D04B9D" w:rsidP="003265FF">
      <w:pPr>
        <w:pStyle w:val="paragraph"/>
      </w:pPr>
      <w:r w:rsidRPr="007B4A47">
        <w:lastRenderedPageBreak/>
        <w:tab/>
        <w:t>(a)</w:t>
      </w:r>
      <w:r w:rsidRPr="007B4A47">
        <w:tab/>
        <w:t xml:space="preserve">the person is required to give information, answer a question or produce a document or record under </w:t>
      </w:r>
      <w:r w:rsidR="003F36C3">
        <w:t>this Act</w:t>
      </w:r>
      <w:r w:rsidRPr="007B4A47">
        <w:t>; and</w:t>
      </w:r>
    </w:p>
    <w:p w14:paraId="576C5F71" w14:textId="77777777" w:rsidR="00D04B9D" w:rsidRPr="007B4A47" w:rsidRDefault="00D04B9D" w:rsidP="003265FF">
      <w:pPr>
        <w:pStyle w:val="paragraph"/>
      </w:pPr>
      <w:r w:rsidRPr="007B4A47">
        <w:tab/>
        <w:t>(b)</w:t>
      </w:r>
      <w:r w:rsidRPr="007B4A47">
        <w:tab/>
        <w:t>the person refuses or fails to do so.</w:t>
      </w:r>
    </w:p>
    <w:p w14:paraId="73964D89" w14:textId="77777777" w:rsidR="00D04B9D" w:rsidRPr="007B4A47" w:rsidRDefault="00D04B9D" w:rsidP="003265FF">
      <w:pPr>
        <w:pStyle w:val="Penalty"/>
      </w:pPr>
      <w:r w:rsidRPr="007B4A47">
        <w:t>Civil penalty:</w:t>
      </w:r>
      <w:r w:rsidRPr="007B4A47">
        <w:tab/>
        <w:t>60 penalty units.</w:t>
      </w:r>
    </w:p>
    <w:p w14:paraId="682978A7" w14:textId="77777777" w:rsidR="00D04B9D" w:rsidRPr="007B4A47" w:rsidRDefault="00AF783B" w:rsidP="003265FF">
      <w:pPr>
        <w:pStyle w:val="ItemHead"/>
      </w:pPr>
      <w:r>
        <w:t>39</w:t>
      </w:r>
      <w:r w:rsidR="00D04B9D" w:rsidRPr="007B4A47">
        <w:t xml:space="preserve">  After subsection 66(1)</w:t>
      </w:r>
    </w:p>
    <w:p w14:paraId="1A06907D" w14:textId="77777777" w:rsidR="00D04B9D" w:rsidRPr="007B4A47" w:rsidRDefault="00D04B9D" w:rsidP="003265FF">
      <w:pPr>
        <w:pStyle w:val="Item"/>
      </w:pPr>
      <w:r w:rsidRPr="007B4A47">
        <w:t>Insert:</w:t>
      </w:r>
    </w:p>
    <w:p w14:paraId="08E1BB85" w14:textId="77777777" w:rsidR="00D04B9D" w:rsidRPr="007B4A47" w:rsidRDefault="00D04B9D" w:rsidP="003265FF">
      <w:pPr>
        <w:pStyle w:val="SubsectionHead"/>
      </w:pPr>
      <w:r w:rsidRPr="007B4A47">
        <w:t>Multiple contraventions</w:t>
      </w:r>
    </w:p>
    <w:p w14:paraId="56E381F5" w14:textId="77777777" w:rsidR="00D04B9D" w:rsidRPr="007B4A47" w:rsidRDefault="00D04B9D" w:rsidP="003265FF">
      <w:pPr>
        <w:pStyle w:val="subsection"/>
      </w:pPr>
      <w:r w:rsidRPr="007B4A47">
        <w:tab/>
        <w:t>(1AA)</w:t>
      </w:r>
      <w:r w:rsidRPr="007B4A47">
        <w:tab/>
        <w:t>A person commits an offence if:</w:t>
      </w:r>
    </w:p>
    <w:p w14:paraId="70FD6706" w14:textId="77777777" w:rsidR="00D04B9D" w:rsidRPr="007B4A47" w:rsidRDefault="00D04B9D" w:rsidP="003265FF">
      <w:pPr>
        <w:pStyle w:val="paragraph"/>
      </w:pPr>
      <w:r w:rsidRPr="007B4A47">
        <w:tab/>
        <w:t>(a)</w:t>
      </w:r>
      <w:r w:rsidRPr="007B4A47">
        <w:tab/>
        <w:t>the person is a corporation; and</w:t>
      </w:r>
    </w:p>
    <w:p w14:paraId="446634E9" w14:textId="77777777" w:rsidR="00D04B9D" w:rsidRPr="007B4A47" w:rsidRDefault="00D04B9D" w:rsidP="003265FF">
      <w:pPr>
        <w:pStyle w:val="paragraph"/>
      </w:pPr>
      <w:r w:rsidRPr="007B4A47">
        <w:tab/>
        <w:t>(b)</w:t>
      </w:r>
      <w:r w:rsidRPr="007B4A47">
        <w:tab/>
        <w:t>the person engages in conduct that constitutes a system of conduct or a pattern of behaviour; and</w:t>
      </w:r>
    </w:p>
    <w:p w14:paraId="20089F7F" w14:textId="77777777" w:rsidR="00D04B9D" w:rsidRPr="007B4A47" w:rsidRDefault="00D04B9D" w:rsidP="003265FF">
      <w:pPr>
        <w:pStyle w:val="paragraph"/>
      </w:pPr>
      <w:r w:rsidRPr="007B4A47">
        <w:tab/>
        <w:t>(c)</w:t>
      </w:r>
      <w:r w:rsidRPr="007B4A47">
        <w:tab/>
        <w:t xml:space="preserve">the system of conduct or pattern of behaviour results in 2 or more contraventions of </w:t>
      </w:r>
      <w:r w:rsidR="00AF783B">
        <w:t>subsection (</w:t>
      </w:r>
      <w:r w:rsidRPr="007B4A47">
        <w:t>1).</w:t>
      </w:r>
    </w:p>
    <w:p w14:paraId="05DB7E3E" w14:textId="77777777" w:rsidR="00D04B9D" w:rsidRPr="007B4A47" w:rsidRDefault="00D04B9D" w:rsidP="003265FF">
      <w:pPr>
        <w:pStyle w:val="Penalty"/>
      </w:pPr>
      <w:r w:rsidRPr="007B4A47">
        <w:t>Penalty:</w:t>
      </w:r>
      <w:r w:rsidRPr="007B4A47">
        <w:tab/>
        <w:t>300 penalty units.</w:t>
      </w:r>
    </w:p>
    <w:p w14:paraId="5086BF5A" w14:textId="77777777" w:rsidR="00D04B9D" w:rsidRPr="007B4A47" w:rsidRDefault="00AF783B" w:rsidP="003265FF">
      <w:pPr>
        <w:pStyle w:val="ItemHead"/>
      </w:pPr>
      <w:r>
        <w:t>40</w:t>
      </w:r>
      <w:r w:rsidR="00D04B9D" w:rsidRPr="007B4A47">
        <w:t xml:space="preserve">  Subsection 66(1B)</w:t>
      </w:r>
    </w:p>
    <w:p w14:paraId="5C67CDB0" w14:textId="77777777" w:rsidR="00D04B9D" w:rsidRPr="007B4A47" w:rsidRDefault="00D04B9D" w:rsidP="003265FF">
      <w:pPr>
        <w:pStyle w:val="Item"/>
      </w:pPr>
      <w:r w:rsidRPr="007B4A47">
        <w:t>After “(1)”, insert “or (1AA)”.</w:t>
      </w:r>
    </w:p>
    <w:p w14:paraId="154ACBA8" w14:textId="77777777" w:rsidR="00D04B9D" w:rsidRPr="007B4A47" w:rsidRDefault="00AF783B" w:rsidP="003265FF">
      <w:pPr>
        <w:pStyle w:val="ItemHead"/>
      </w:pPr>
      <w:r>
        <w:t>41</w:t>
      </w:r>
      <w:r w:rsidR="00D04B9D" w:rsidRPr="007B4A47">
        <w:t xml:space="preserve">  Subsection 66(1B) (note)</w:t>
      </w:r>
    </w:p>
    <w:p w14:paraId="7173A307" w14:textId="77777777" w:rsidR="00D04B9D" w:rsidRPr="007B4A47" w:rsidRDefault="00D04B9D" w:rsidP="003265FF">
      <w:pPr>
        <w:pStyle w:val="Item"/>
      </w:pPr>
      <w:r w:rsidRPr="007B4A47">
        <w:t>Repeal the note, substitute:</w:t>
      </w:r>
    </w:p>
    <w:p w14:paraId="7C4229D1" w14:textId="77777777" w:rsidR="00D04B9D" w:rsidRPr="007B4A47" w:rsidRDefault="00D04B9D" w:rsidP="003265FF">
      <w:pPr>
        <w:pStyle w:val="notetext"/>
      </w:pPr>
      <w:r w:rsidRPr="007B4A47">
        <w:t>Note:</w:t>
      </w:r>
      <w:r w:rsidRPr="007B4A47">
        <w:tab/>
        <w:t xml:space="preserve">A person who wishes to rely on this subsection bears an evidential burden in relation to the matter in this subsection: see subsection 13.3(3) of the </w:t>
      </w:r>
      <w:r w:rsidRPr="007B4A47">
        <w:rPr>
          <w:i/>
        </w:rPr>
        <w:t>Criminal Code</w:t>
      </w:r>
      <w:r w:rsidRPr="007B4A47">
        <w:t xml:space="preserve"> and section 96 of the Regulatory Powers Act.</w:t>
      </w:r>
    </w:p>
    <w:p w14:paraId="114B34E2" w14:textId="77777777" w:rsidR="0026567C" w:rsidRDefault="00AF783B" w:rsidP="003265FF">
      <w:pPr>
        <w:pStyle w:val="ItemHead"/>
      </w:pPr>
      <w:r>
        <w:t>42</w:t>
      </w:r>
      <w:r w:rsidR="0026567C">
        <w:t xml:space="preserve">  Paragraph 67(b)</w:t>
      </w:r>
    </w:p>
    <w:p w14:paraId="0D38829E" w14:textId="77777777" w:rsidR="00BB579C" w:rsidRDefault="00BB579C" w:rsidP="003265FF">
      <w:pPr>
        <w:pStyle w:val="Item"/>
      </w:pPr>
      <w:r>
        <w:t>Omit “</w:t>
      </w:r>
      <w:r w:rsidRPr="00BB579C">
        <w:t>, whether or not pursuant to a requirement under section 44</w:t>
      </w:r>
      <w:r>
        <w:t>”.</w:t>
      </w:r>
    </w:p>
    <w:p w14:paraId="4BF7A9EF" w14:textId="77777777" w:rsidR="00D04B9D" w:rsidRPr="007B4A47" w:rsidRDefault="00AF783B" w:rsidP="003265FF">
      <w:pPr>
        <w:pStyle w:val="ItemHead"/>
      </w:pPr>
      <w:r>
        <w:t>43</w:t>
      </w:r>
      <w:r w:rsidR="00D04B9D" w:rsidRPr="007B4A47">
        <w:t xml:space="preserve">  Subsection 70(1)</w:t>
      </w:r>
    </w:p>
    <w:p w14:paraId="773F1B0D" w14:textId="77777777" w:rsidR="00D04B9D" w:rsidRPr="007B4A47" w:rsidRDefault="00D04B9D" w:rsidP="003265FF">
      <w:pPr>
        <w:pStyle w:val="Item"/>
      </w:pPr>
      <w:r w:rsidRPr="007B4A47">
        <w:t>Omit “is not entitled to require”, substitute “must not exercise a power under this Act that requires”.</w:t>
      </w:r>
    </w:p>
    <w:p w14:paraId="4AFDAAC6" w14:textId="77777777" w:rsidR="00D04B9D" w:rsidRPr="007B4A47" w:rsidRDefault="00AF783B" w:rsidP="003265FF">
      <w:pPr>
        <w:pStyle w:val="ItemHead"/>
      </w:pPr>
      <w:r>
        <w:t>44</w:t>
      </w:r>
      <w:r w:rsidR="00D04B9D" w:rsidRPr="007B4A47">
        <w:t xml:space="preserve">  After Division 1 of Part </w:t>
      </w:r>
      <w:proofErr w:type="spellStart"/>
      <w:r w:rsidR="00D04B9D" w:rsidRPr="007B4A47">
        <w:t>VIB</w:t>
      </w:r>
      <w:proofErr w:type="spellEnd"/>
    </w:p>
    <w:p w14:paraId="008D3AE3" w14:textId="77777777" w:rsidR="00D04B9D" w:rsidRPr="007B4A47" w:rsidRDefault="00D04B9D" w:rsidP="003265FF">
      <w:pPr>
        <w:pStyle w:val="Item"/>
      </w:pPr>
      <w:r w:rsidRPr="007B4A47">
        <w:t>Insert:</w:t>
      </w:r>
    </w:p>
    <w:p w14:paraId="4518B87B" w14:textId="77777777" w:rsidR="00D04B9D" w:rsidRPr="007B4A47" w:rsidRDefault="00D04B9D" w:rsidP="003265FF">
      <w:pPr>
        <w:pStyle w:val="ActHead3"/>
      </w:pPr>
      <w:bookmarkStart w:id="36" w:name="_Toc116644208"/>
      <w:bookmarkStart w:id="37" w:name="_Toc120608742"/>
      <w:bookmarkStart w:id="38" w:name="_Toc120630505"/>
      <w:r w:rsidRPr="00A046C3">
        <w:rPr>
          <w:rStyle w:val="CharDivNo"/>
        </w:rPr>
        <w:lastRenderedPageBreak/>
        <w:t>Division 1A</w:t>
      </w:r>
      <w:r w:rsidRPr="007B4A47">
        <w:t>—</w:t>
      </w:r>
      <w:r w:rsidRPr="00A046C3">
        <w:rPr>
          <w:rStyle w:val="CharDivText"/>
        </w:rPr>
        <w:t>Infringement notices</w:t>
      </w:r>
      <w:bookmarkEnd w:id="36"/>
      <w:bookmarkEnd w:id="37"/>
      <w:bookmarkEnd w:id="38"/>
    </w:p>
    <w:p w14:paraId="606A325B" w14:textId="77777777" w:rsidR="00D04B9D" w:rsidRPr="007B4A47" w:rsidRDefault="00D04B9D" w:rsidP="003265FF">
      <w:pPr>
        <w:pStyle w:val="ActHead5"/>
      </w:pPr>
      <w:bookmarkStart w:id="39" w:name="_Toc116644209"/>
      <w:bookmarkStart w:id="40" w:name="_Toc120608743"/>
      <w:bookmarkStart w:id="41" w:name="_Toc120630506"/>
      <w:r w:rsidRPr="00A046C3">
        <w:rPr>
          <w:rStyle w:val="CharSectno"/>
        </w:rPr>
        <w:t>80UB</w:t>
      </w:r>
      <w:r w:rsidRPr="007B4A47">
        <w:t xml:space="preserve">  Infringement notices</w:t>
      </w:r>
      <w:bookmarkEnd w:id="39"/>
      <w:bookmarkEnd w:id="40"/>
      <w:bookmarkEnd w:id="41"/>
    </w:p>
    <w:p w14:paraId="651AB309" w14:textId="77777777" w:rsidR="00D04B9D" w:rsidRPr="007B4A47" w:rsidRDefault="00D04B9D" w:rsidP="003265FF">
      <w:pPr>
        <w:pStyle w:val="SubsectionHead"/>
      </w:pPr>
      <w:r w:rsidRPr="007B4A47">
        <w:t>Provisions subject to an infringement notice</w:t>
      </w:r>
    </w:p>
    <w:p w14:paraId="4C534246" w14:textId="77777777" w:rsidR="00D04B9D" w:rsidRPr="007B4A47" w:rsidRDefault="00D04B9D" w:rsidP="003265FF">
      <w:pPr>
        <w:pStyle w:val="subsection"/>
      </w:pPr>
      <w:r w:rsidRPr="007B4A47">
        <w:tab/>
        <w:t>(1)</w:t>
      </w:r>
      <w:r w:rsidRPr="007B4A47">
        <w:tab/>
        <w:t>Subsection 66(1) of this Act is subject to an infringement notice under Part 5 of the Regulatory Powers Act.</w:t>
      </w:r>
    </w:p>
    <w:p w14:paraId="312267C0" w14:textId="77777777" w:rsidR="00D04B9D" w:rsidRPr="007B4A47" w:rsidRDefault="00D04B9D" w:rsidP="003265FF">
      <w:pPr>
        <w:pStyle w:val="notetext"/>
      </w:pPr>
      <w:r w:rsidRPr="007B4A47">
        <w:t>Note:</w:t>
      </w:r>
      <w:r w:rsidRPr="007B4A47">
        <w:tab/>
        <w:t>Part 5 of the Regulatory Powers Act creates a framework for using infringement notices in relation to provisions.</w:t>
      </w:r>
    </w:p>
    <w:p w14:paraId="0FF2EEF2" w14:textId="77777777" w:rsidR="00D04B9D" w:rsidRPr="007B4A47" w:rsidRDefault="00D04B9D" w:rsidP="003265FF">
      <w:pPr>
        <w:pStyle w:val="SubsectionHead"/>
      </w:pPr>
      <w:r w:rsidRPr="007B4A47">
        <w:t>Infringement officer</w:t>
      </w:r>
    </w:p>
    <w:p w14:paraId="75C5643F" w14:textId="77777777" w:rsidR="00D04B9D" w:rsidRPr="007B4A47" w:rsidRDefault="00D04B9D" w:rsidP="003265FF">
      <w:pPr>
        <w:pStyle w:val="subsection"/>
      </w:pPr>
      <w:r w:rsidRPr="007B4A47">
        <w:tab/>
        <w:t>(2)</w:t>
      </w:r>
      <w:r w:rsidRPr="007B4A47">
        <w:tab/>
        <w:t xml:space="preserve">For the purposes of Part 5 of the Regulatory Powers Act, each of the following is an infringement officer in relation to the provision mentioned in </w:t>
      </w:r>
      <w:r w:rsidR="00AF783B">
        <w:t>subsection (</w:t>
      </w:r>
      <w:r w:rsidRPr="007B4A47">
        <w:t>1):</w:t>
      </w:r>
    </w:p>
    <w:p w14:paraId="30A3B6C7" w14:textId="77777777" w:rsidR="00D04B9D" w:rsidRPr="007B4A47" w:rsidRDefault="00D04B9D" w:rsidP="003265FF">
      <w:pPr>
        <w:pStyle w:val="paragraph"/>
      </w:pPr>
      <w:r w:rsidRPr="007B4A47">
        <w:tab/>
        <w:t>(a)</w:t>
      </w:r>
      <w:r w:rsidRPr="007B4A47">
        <w:tab/>
        <w:t>the Commissioner;</w:t>
      </w:r>
    </w:p>
    <w:p w14:paraId="13A7CDBB" w14:textId="77777777" w:rsidR="00D04B9D" w:rsidRPr="007B4A47" w:rsidRDefault="00D04B9D" w:rsidP="003265FF">
      <w:pPr>
        <w:pStyle w:val="paragraph"/>
      </w:pPr>
      <w:r w:rsidRPr="007B4A47">
        <w:tab/>
        <w:t>(b)</w:t>
      </w:r>
      <w:r w:rsidRPr="007B4A47">
        <w:tab/>
        <w:t>a member of the staff of the Commissioner who holds, or is acting in, an office or position that is equivalent to a</w:t>
      </w:r>
      <w:r w:rsidR="00D64F2A">
        <w:t>n</w:t>
      </w:r>
      <w:r w:rsidRPr="007B4A47">
        <w:t xml:space="preserve"> SES employee.</w:t>
      </w:r>
    </w:p>
    <w:p w14:paraId="278C45D1" w14:textId="77777777" w:rsidR="00D04B9D" w:rsidRPr="007B4A47" w:rsidRDefault="00D04B9D" w:rsidP="003265FF">
      <w:pPr>
        <w:pStyle w:val="SubsectionHead"/>
      </w:pPr>
      <w:r w:rsidRPr="007B4A47">
        <w:t>Relevant chief executive</w:t>
      </w:r>
    </w:p>
    <w:p w14:paraId="4B5F3652" w14:textId="77777777" w:rsidR="00D04B9D" w:rsidRPr="007B4A47" w:rsidRDefault="00D04B9D" w:rsidP="003265FF">
      <w:pPr>
        <w:pStyle w:val="subsection"/>
      </w:pPr>
      <w:r w:rsidRPr="007B4A47">
        <w:tab/>
        <w:t>(3)</w:t>
      </w:r>
      <w:r w:rsidRPr="007B4A47">
        <w:tab/>
        <w:t xml:space="preserve">For the purposes of Part 5 of the Regulatory Powers Act, the Commissioner is the relevant chief executive in relation to the provision mentioned in </w:t>
      </w:r>
      <w:r w:rsidR="00AF783B">
        <w:t>subsection (</w:t>
      </w:r>
      <w:r w:rsidRPr="007B4A47">
        <w:t>1).</w:t>
      </w:r>
    </w:p>
    <w:p w14:paraId="1EB3C800" w14:textId="77777777" w:rsidR="00D04B9D" w:rsidRPr="007B4A47" w:rsidRDefault="00D04B9D" w:rsidP="003265FF">
      <w:pPr>
        <w:pStyle w:val="SubsectionHead"/>
      </w:pPr>
      <w:r w:rsidRPr="007B4A47">
        <w:t>Extension to external Territories</w:t>
      </w:r>
    </w:p>
    <w:p w14:paraId="720C642A" w14:textId="77777777" w:rsidR="00D04B9D" w:rsidRPr="007B4A47" w:rsidRDefault="00D04B9D" w:rsidP="003265FF">
      <w:pPr>
        <w:pStyle w:val="subsection"/>
      </w:pPr>
      <w:r w:rsidRPr="007B4A47">
        <w:tab/>
        <w:t>(4)</w:t>
      </w:r>
      <w:r w:rsidRPr="007B4A47">
        <w:tab/>
        <w:t>Part 5 of the Regulatory Powers Act, as that Part applies in relation to</w:t>
      </w:r>
      <w:r w:rsidRPr="007B4A47">
        <w:rPr>
          <w:i/>
        </w:rPr>
        <w:t xml:space="preserve"> </w:t>
      </w:r>
      <w:r w:rsidRPr="007B4A47">
        <w:t xml:space="preserve">the provision mentioned in </w:t>
      </w:r>
      <w:r w:rsidR="00AF783B">
        <w:t>subsection (</w:t>
      </w:r>
      <w:r w:rsidRPr="007B4A47">
        <w:t>1), extends to every external Territory.</w:t>
      </w:r>
    </w:p>
    <w:p w14:paraId="606B99FD" w14:textId="77777777" w:rsidR="00E66EF4" w:rsidRDefault="00AF783B" w:rsidP="003265FF">
      <w:pPr>
        <w:pStyle w:val="Transitional"/>
      </w:pPr>
      <w:r>
        <w:t>45</w:t>
      </w:r>
      <w:r w:rsidR="00E66EF4">
        <w:t xml:space="preserve">  Application of amendments</w:t>
      </w:r>
    </w:p>
    <w:p w14:paraId="1AFF6D22" w14:textId="77777777" w:rsidR="00D20DB0" w:rsidRPr="00D20DB0" w:rsidRDefault="00D20DB0" w:rsidP="003265FF">
      <w:pPr>
        <w:pStyle w:val="Subitem"/>
      </w:pPr>
      <w:r>
        <w:t>(1)</w:t>
      </w:r>
      <w:r>
        <w:tab/>
      </w:r>
      <w:r w:rsidR="00AF783B">
        <w:t>Subsection 5</w:t>
      </w:r>
      <w:r>
        <w:t xml:space="preserve">9D(1) of the </w:t>
      </w:r>
      <w:r>
        <w:rPr>
          <w:i/>
        </w:rPr>
        <w:t>Australian Communications and Media Authority Act 2005</w:t>
      </w:r>
      <w:r>
        <w:t xml:space="preserve">, as amended by this Schedule, applies in relation to authorised disclosure information acquired </w:t>
      </w:r>
      <w:r w:rsidR="00EF201E">
        <w:t xml:space="preserve">by the </w:t>
      </w:r>
      <w:proofErr w:type="spellStart"/>
      <w:r w:rsidR="00EF201E">
        <w:t>ACMA</w:t>
      </w:r>
      <w:proofErr w:type="spellEnd"/>
      <w:r w:rsidR="00EF201E">
        <w:t xml:space="preserve"> </w:t>
      </w:r>
      <w:r>
        <w:t>before or after the commencement of this item.</w:t>
      </w:r>
    </w:p>
    <w:p w14:paraId="540A6C3F" w14:textId="77777777" w:rsidR="002E5E1E" w:rsidRPr="007B4A47" w:rsidRDefault="002E5E1E" w:rsidP="003265FF">
      <w:pPr>
        <w:pStyle w:val="Subitem"/>
      </w:pPr>
      <w:r w:rsidRPr="007B4A47">
        <w:lastRenderedPageBreak/>
        <w:t>(</w:t>
      </w:r>
      <w:r w:rsidR="00EF201E">
        <w:t>2</w:t>
      </w:r>
      <w:r w:rsidRPr="007B4A47">
        <w:t>)</w:t>
      </w:r>
      <w:r w:rsidRPr="007B4A47">
        <w:tab/>
        <w:t>Sub</w:t>
      </w:r>
      <w:r w:rsidR="00AF783B">
        <w:t>section 2</w:t>
      </w:r>
      <w:r w:rsidRPr="007B4A47">
        <w:t xml:space="preserve">9(2) of the </w:t>
      </w:r>
      <w:r w:rsidRPr="007B4A47">
        <w:rPr>
          <w:i/>
        </w:rPr>
        <w:t>Australian Information Commissioner Act 2010</w:t>
      </w:r>
      <w:r w:rsidRPr="007B4A47">
        <w:t>, as amended by this Schedule, applies in relation to information acquired before or after the commencement of this item.</w:t>
      </w:r>
    </w:p>
    <w:p w14:paraId="2EE77DE3" w14:textId="77777777" w:rsidR="00E66EF4" w:rsidRDefault="00D04B9D" w:rsidP="003265FF">
      <w:pPr>
        <w:pStyle w:val="Subitem"/>
      </w:pPr>
      <w:r>
        <w:t>(</w:t>
      </w:r>
      <w:r w:rsidR="00EF201E">
        <w:t>3</w:t>
      </w:r>
      <w:r>
        <w:t>)</w:t>
      </w:r>
      <w:r>
        <w:tab/>
      </w:r>
      <w:r w:rsidR="00E66EF4">
        <w:t xml:space="preserve">Section 13G of the </w:t>
      </w:r>
      <w:r w:rsidR="00E66EF4" w:rsidRPr="00E66EF4">
        <w:rPr>
          <w:i/>
        </w:rPr>
        <w:t>Privacy Act 1988</w:t>
      </w:r>
      <w:r w:rsidR="00E66EF4">
        <w:t>, as amended by this Schedule, does not apply in relation to an act done, or a practice engaged in, before the commencement of this item.</w:t>
      </w:r>
    </w:p>
    <w:p w14:paraId="01D52E82" w14:textId="77777777" w:rsidR="0026567C" w:rsidRDefault="0026567C" w:rsidP="003265FF">
      <w:pPr>
        <w:pStyle w:val="Subitem"/>
      </w:pPr>
      <w:r w:rsidRPr="007B4A47">
        <w:t>(</w:t>
      </w:r>
      <w:r w:rsidR="00EF201E">
        <w:t>4</w:t>
      </w:r>
      <w:r w:rsidRPr="007B4A47">
        <w:t>)</w:t>
      </w:r>
      <w:r w:rsidRPr="007B4A47">
        <w:tab/>
      </w:r>
      <w:r w:rsidR="00D64F2A">
        <w:t xml:space="preserve">Paragraphs </w:t>
      </w:r>
      <w:r w:rsidR="00D161E0">
        <w:t>2</w:t>
      </w:r>
      <w:r>
        <w:t>6WK</w:t>
      </w:r>
      <w:r w:rsidRPr="007B4A47">
        <w:t>(</w:t>
      </w:r>
      <w:r>
        <w:t>3</w:t>
      </w:r>
      <w:r w:rsidRPr="007B4A47">
        <w:t>)</w:t>
      </w:r>
      <w:r w:rsidR="00D64F2A">
        <w:t>(c)</w:t>
      </w:r>
      <w:r w:rsidR="005F36A8">
        <w:t xml:space="preserve"> and 26WR(4)</w:t>
      </w:r>
      <w:r w:rsidR="00D64F2A">
        <w:t>(c)</w:t>
      </w:r>
      <w:r w:rsidR="005F36A8">
        <w:t xml:space="preserve"> </w:t>
      </w:r>
      <w:r w:rsidRPr="007B4A47">
        <w:t>o</w:t>
      </w:r>
      <w:r>
        <w:t xml:space="preserve">f the </w:t>
      </w:r>
      <w:r w:rsidRPr="007B4A47">
        <w:rPr>
          <w:i/>
        </w:rPr>
        <w:t>Privacy Act 1988</w:t>
      </w:r>
      <w:r w:rsidRPr="007B4A47">
        <w:t>, as amended by this Schedule, appl</w:t>
      </w:r>
      <w:r w:rsidR="005F36A8">
        <w:t>y</w:t>
      </w:r>
      <w:r w:rsidRPr="007B4A47">
        <w:t xml:space="preserve"> in relation to </w:t>
      </w:r>
      <w:r>
        <w:t xml:space="preserve">statements prepared </w:t>
      </w:r>
      <w:r w:rsidRPr="007B4A47">
        <w:t>after the commencement of this item.</w:t>
      </w:r>
    </w:p>
    <w:p w14:paraId="6A65D7D0" w14:textId="77777777" w:rsidR="007D04C8" w:rsidRDefault="007D04C8" w:rsidP="003265FF">
      <w:pPr>
        <w:pStyle w:val="Subitem"/>
      </w:pPr>
      <w:r>
        <w:t>(5)</w:t>
      </w:r>
      <w:r>
        <w:tab/>
        <w:t xml:space="preserve">A notice may be given under </w:t>
      </w:r>
      <w:r w:rsidR="00AF783B">
        <w:t>section 2</w:t>
      </w:r>
      <w:r>
        <w:t xml:space="preserve">6WU </w:t>
      </w:r>
      <w:r w:rsidRPr="007B4A47">
        <w:t xml:space="preserve">of the </w:t>
      </w:r>
      <w:r w:rsidRPr="007B4A47">
        <w:rPr>
          <w:i/>
        </w:rPr>
        <w:t>Privacy Act 1988</w:t>
      </w:r>
      <w:r w:rsidRPr="007B4A47">
        <w:t xml:space="preserve">, as </w:t>
      </w:r>
      <w:r>
        <w:t xml:space="preserve">added </w:t>
      </w:r>
      <w:r w:rsidRPr="007B4A47">
        <w:t>by this Schedule</w:t>
      </w:r>
      <w:r>
        <w:t>, in relation to an actual or suspected eligible data breach that occurred, or may have occurred, before or after the commencement of this item.</w:t>
      </w:r>
    </w:p>
    <w:p w14:paraId="6015354F" w14:textId="77777777" w:rsidR="0026567C" w:rsidRPr="007B4A47" w:rsidRDefault="0026567C" w:rsidP="003265FF">
      <w:pPr>
        <w:pStyle w:val="Subitem"/>
      </w:pPr>
      <w:r w:rsidRPr="007B4A47">
        <w:t>(</w:t>
      </w:r>
      <w:r w:rsidR="00EF201E">
        <w:t>6</w:t>
      </w:r>
      <w:r w:rsidRPr="007B4A47">
        <w:t>)</w:t>
      </w:r>
      <w:r w:rsidRPr="007B4A47">
        <w:tab/>
        <w:t xml:space="preserve">Section 33A of the </w:t>
      </w:r>
      <w:r w:rsidRPr="007B4A47">
        <w:rPr>
          <w:i/>
        </w:rPr>
        <w:t>Privacy Act 1988</w:t>
      </w:r>
      <w:r w:rsidRPr="007B4A47">
        <w:t xml:space="preserve">, as </w:t>
      </w:r>
      <w:r w:rsidR="00D64F2A">
        <w:t>added</w:t>
      </w:r>
      <w:r w:rsidRPr="007B4A47">
        <w:t xml:space="preserve"> by this Schedule, applies in relation to the sharing of information or documents after the commencement of this item, whether the information or documents were obtained by the Commissioner before or after that commencement.</w:t>
      </w:r>
    </w:p>
    <w:p w14:paraId="28AAF403" w14:textId="77777777" w:rsidR="0026567C" w:rsidRDefault="0026567C" w:rsidP="003265FF">
      <w:pPr>
        <w:pStyle w:val="Subitem"/>
      </w:pPr>
      <w:r w:rsidRPr="007B4A47">
        <w:t>(</w:t>
      </w:r>
      <w:r w:rsidR="00EF201E">
        <w:t>7</w:t>
      </w:r>
      <w:r w:rsidRPr="007B4A47">
        <w:t>)</w:t>
      </w:r>
      <w:r w:rsidRPr="007B4A47">
        <w:tab/>
        <w:t xml:space="preserve">Section 33B of the </w:t>
      </w:r>
      <w:r w:rsidRPr="007B4A47">
        <w:rPr>
          <w:i/>
        </w:rPr>
        <w:t>Privacy Act 1988</w:t>
      </w:r>
      <w:r w:rsidRPr="007B4A47">
        <w:t xml:space="preserve">, as </w:t>
      </w:r>
      <w:r w:rsidR="00D64F2A">
        <w:t>added</w:t>
      </w:r>
      <w:r w:rsidRPr="007B4A47">
        <w:t xml:space="preserve"> by this Schedule, applies in relation to the disclosure of information after the commencement of this item, whether the information was obtained by the Commissioner before or after that commencement.</w:t>
      </w:r>
    </w:p>
    <w:p w14:paraId="415FE88A" w14:textId="77777777" w:rsidR="00D04B9D" w:rsidRPr="007B4A47" w:rsidRDefault="00D04B9D" w:rsidP="003265FF">
      <w:pPr>
        <w:pStyle w:val="Subitem"/>
      </w:pPr>
      <w:r w:rsidRPr="007B4A47">
        <w:t>(</w:t>
      </w:r>
      <w:r w:rsidR="00EF201E">
        <w:t>8</w:t>
      </w:r>
      <w:r w:rsidRPr="007B4A47">
        <w:t>)</w:t>
      </w:r>
      <w:r w:rsidRPr="007B4A47">
        <w:tab/>
        <w:t xml:space="preserve">Section 33C of the </w:t>
      </w:r>
      <w:r w:rsidRPr="007B4A47">
        <w:rPr>
          <w:i/>
        </w:rPr>
        <w:t>Privacy Act 1988</w:t>
      </w:r>
      <w:r w:rsidRPr="007B4A47">
        <w:t>, as amended by this Schedule, applies in relation to:</w:t>
      </w:r>
    </w:p>
    <w:p w14:paraId="1768BA9F" w14:textId="77777777" w:rsidR="00D04B9D" w:rsidRPr="007B4A47" w:rsidRDefault="00D04B9D" w:rsidP="003265FF">
      <w:pPr>
        <w:pStyle w:val="paragraph"/>
      </w:pPr>
      <w:r w:rsidRPr="007B4A47">
        <w:tab/>
        <w:t>(a)</w:t>
      </w:r>
      <w:r w:rsidRPr="007B4A47">
        <w:tab/>
        <w:t>assessments started before the commencement of this item but not concluded at that commencement; and</w:t>
      </w:r>
    </w:p>
    <w:p w14:paraId="27CC19FD" w14:textId="77777777" w:rsidR="00D04B9D" w:rsidRPr="007B4A47" w:rsidRDefault="00D04B9D" w:rsidP="003265FF">
      <w:pPr>
        <w:pStyle w:val="paragraph"/>
      </w:pPr>
      <w:r w:rsidRPr="007B4A47">
        <w:tab/>
        <w:t>(b)</w:t>
      </w:r>
      <w:r w:rsidRPr="007B4A47">
        <w:tab/>
        <w:t>assessments started after that commencement.</w:t>
      </w:r>
    </w:p>
    <w:p w14:paraId="5C0DC98A" w14:textId="77777777" w:rsidR="00D04B9D" w:rsidRPr="007B4A47" w:rsidRDefault="00D04B9D" w:rsidP="003265FF">
      <w:pPr>
        <w:pStyle w:val="Subitem"/>
      </w:pPr>
      <w:r w:rsidRPr="007B4A47">
        <w:t>(</w:t>
      </w:r>
      <w:r w:rsidR="00EF201E">
        <w:t>9</w:t>
      </w:r>
      <w:r w:rsidRPr="007B4A47">
        <w:t>)</w:t>
      </w:r>
      <w:r w:rsidRPr="007B4A47">
        <w:tab/>
        <w:t xml:space="preserve">Section 52 of the </w:t>
      </w:r>
      <w:r w:rsidRPr="007B4A47">
        <w:rPr>
          <w:i/>
        </w:rPr>
        <w:t>Privacy Act 1988</w:t>
      </w:r>
      <w:r w:rsidRPr="007B4A47">
        <w:t>, as amended by this Schedule, applies in relation to:</w:t>
      </w:r>
    </w:p>
    <w:p w14:paraId="17F989AE" w14:textId="77777777" w:rsidR="00D04B9D" w:rsidRPr="007B4A47" w:rsidRDefault="00D04B9D" w:rsidP="003265FF">
      <w:pPr>
        <w:pStyle w:val="paragraph"/>
      </w:pPr>
      <w:r w:rsidRPr="007B4A47">
        <w:tab/>
        <w:t>(a)</w:t>
      </w:r>
      <w:r w:rsidRPr="007B4A47">
        <w:tab/>
        <w:t>the investigation of complaints that started before the commencement of this item but not finally dealt with at that commencement; and</w:t>
      </w:r>
    </w:p>
    <w:p w14:paraId="5B2383D1" w14:textId="77777777" w:rsidR="00D04B9D" w:rsidRDefault="00D04B9D" w:rsidP="003265FF">
      <w:pPr>
        <w:pStyle w:val="paragraph"/>
      </w:pPr>
      <w:r w:rsidRPr="007B4A47">
        <w:tab/>
        <w:t>(b)</w:t>
      </w:r>
      <w:r w:rsidRPr="007B4A47">
        <w:tab/>
        <w:t>the investigation of complaints that started after that commencement.</w:t>
      </w:r>
    </w:p>
    <w:p w14:paraId="7C84DE2F" w14:textId="58B93D14" w:rsidR="00E66EF4" w:rsidRDefault="00D04B9D" w:rsidP="003265FF">
      <w:pPr>
        <w:pStyle w:val="Subitem"/>
      </w:pPr>
      <w:r>
        <w:lastRenderedPageBreak/>
        <w:t>(</w:t>
      </w:r>
      <w:r w:rsidR="00EF201E">
        <w:t>10</w:t>
      </w:r>
      <w:r>
        <w:t>)</w:t>
      </w:r>
      <w:r w:rsidRPr="007B4A47">
        <w:tab/>
      </w:r>
      <w:r w:rsidR="00AF783B">
        <w:t>Subsection 5</w:t>
      </w:r>
      <w:r w:rsidRPr="007B4A47">
        <w:t xml:space="preserve">2(5A) of the </w:t>
      </w:r>
      <w:r w:rsidRPr="007B4A47">
        <w:rPr>
          <w:i/>
        </w:rPr>
        <w:t>Privacy Act 1988</w:t>
      </w:r>
      <w:r w:rsidRPr="007B4A47">
        <w:t>, as inserted by this Schedule, applies in relation to determinations made by the Commissioner before or after the commencement of this item</w:t>
      </w:r>
      <w:r w:rsidR="0026567C">
        <w:t>.</w:t>
      </w:r>
    </w:p>
    <w:p w14:paraId="322078F6" w14:textId="77777777" w:rsidR="00A12ACF" w:rsidRPr="00F02B56" w:rsidRDefault="00A12ACF" w:rsidP="00A12ACF"/>
    <w:p w14:paraId="22CD5487" w14:textId="77777777" w:rsidR="00A12ACF" w:rsidRDefault="00A12ACF" w:rsidP="00A12ACF">
      <w:pPr>
        <w:pStyle w:val="AssentBk"/>
        <w:keepNext/>
      </w:pPr>
    </w:p>
    <w:p w14:paraId="3A308CBF" w14:textId="77777777" w:rsidR="00A12ACF" w:rsidRDefault="00A12ACF" w:rsidP="00A12ACF">
      <w:pPr>
        <w:pStyle w:val="AssentBk"/>
        <w:keepNext/>
      </w:pPr>
    </w:p>
    <w:p w14:paraId="73943CB9" w14:textId="77777777" w:rsidR="00A12ACF" w:rsidRDefault="00A12ACF" w:rsidP="00A12ACF">
      <w:pPr>
        <w:pStyle w:val="2ndRd"/>
        <w:keepNext/>
        <w:pBdr>
          <w:top w:val="single" w:sz="2" w:space="1" w:color="auto"/>
        </w:pBdr>
      </w:pPr>
    </w:p>
    <w:p w14:paraId="5D354DCC" w14:textId="77777777" w:rsidR="00A12ACF" w:rsidRDefault="00A12ACF" w:rsidP="000C5962">
      <w:pPr>
        <w:pStyle w:val="2ndRd"/>
        <w:keepNext/>
        <w:spacing w:line="260" w:lineRule="atLeast"/>
        <w:rPr>
          <w:i/>
        </w:rPr>
      </w:pPr>
      <w:r>
        <w:t>[</w:t>
      </w:r>
      <w:r>
        <w:rPr>
          <w:i/>
        </w:rPr>
        <w:t>Minister’s second reading speech made in—</w:t>
      </w:r>
    </w:p>
    <w:p w14:paraId="60F66A57" w14:textId="402D07FA" w:rsidR="00A12ACF" w:rsidRDefault="00A12ACF" w:rsidP="000C5962">
      <w:pPr>
        <w:pStyle w:val="2ndRd"/>
        <w:keepNext/>
        <w:spacing w:line="260" w:lineRule="atLeast"/>
        <w:rPr>
          <w:i/>
        </w:rPr>
      </w:pPr>
      <w:r>
        <w:rPr>
          <w:i/>
        </w:rPr>
        <w:t>House of Representatives on 26 October 2022</w:t>
      </w:r>
    </w:p>
    <w:p w14:paraId="685A86A3" w14:textId="60BD1385" w:rsidR="00A12ACF" w:rsidRDefault="00A12ACF" w:rsidP="000C5962">
      <w:pPr>
        <w:pStyle w:val="2ndRd"/>
        <w:keepNext/>
        <w:spacing w:line="260" w:lineRule="atLeast"/>
        <w:rPr>
          <w:i/>
        </w:rPr>
      </w:pPr>
      <w:r>
        <w:rPr>
          <w:i/>
        </w:rPr>
        <w:t>Senate on 21 November 2022</w:t>
      </w:r>
      <w:r>
        <w:t>]</w:t>
      </w:r>
    </w:p>
    <w:p w14:paraId="73EBFECB" w14:textId="77777777" w:rsidR="00A12ACF" w:rsidRDefault="00A12ACF" w:rsidP="000C5962"/>
    <w:p w14:paraId="59D0B1E8" w14:textId="2BBBEF76" w:rsidR="00497B7F" w:rsidRPr="00A12ACF" w:rsidRDefault="00A12ACF" w:rsidP="00A12ACF">
      <w:pPr>
        <w:framePr w:hSpace="180" w:wrap="around" w:vAnchor="text" w:hAnchor="page" w:x="2536" w:y="7476"/>
      </w:pPr>
      <w:r>
        <w:t>(113/22)</w:t>
      </w:r>
    </w:p>
    <w:p w14:paraId="3C0F22EF" w14:textId="77777777" w:rsidR="00A12ACF" w:rsidRDefault="00A12ACF"/>
    <w:sectPr w:rsidR="00A12ACF" w:rsidSect="00497B7F">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E5CB" w14:textId="77777777" w:rsidR="003265FF" w:rsidRDefault="003265FF" w:rsidP="0048364F">
      <w:pPr>
        <w:spacing w:line="240" w:lineRule="auto"/>
      </w:pPr>
      <w:r>
        <w:separator/>
      </w:r>
    </w:p>
  </w:endnote>
  <w:endnote w:type="continuationSeparator" w:id="0">
    <w:p w14:paraId="0C1F7BE7" w14:textId="77777777" w:rsidR="003265FF" w:rsidRDefault="003265F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4A4F" w14:textId="77777777" w:rsidR="003265FF" w:rsidRPr="005F1388" w:rsidRDefault="003265FF" w:rsidP="00D477C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9B75" w14:textId="7D5F1488" w:rsidR="00A12ACF" w:rsidRDefault="00A12ACF" w:rsidP="00CD12A5">
    <w:pPr>
      <w:pStyle w:val="ScalePlusRef"/>
    </w:pPr>
    <w:r>
      <w:t>Note: An electronic version of this Act is available on the Federal Register of Legislation (</w:t>
    </w:r>
    <w:hyperlink r:id="rId1" w:history="1">
      <w:r>
        <w:t>https://www.legislation.gov.au/</w:t>
      </w:r>
    </w:hyperlink>
    <w:r>
      <w:t>)</w:t>
    </w:r>
  </w:p>
  <w:p w14:paraId="149D9B64" w14:textId="77777777" w:rsidR="00A12ACF" w:rsidRDefault="00A12ACF" w:rsidP="00CD12A5"/>
  <w:p w14:paraId="53387F75" w14:textId="39C38672" w:rsidR="003265FF" w:rsidRDefault="003265FF" w:rsidP="00D477C3">
    <w:pPr>
      <w:pStyle w:val="Footer"/>
      <w:spacing w:before="120"/>
    </w:pPr>
  </w:p>
  <w:p w14:paraId="397E94A1" w14:textId="77777777" w:rsidR="003265FF" w:rsidRPr="005F1388" w:rsidRDefault="003265F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32D1" w14:textId="77777777" w:rsidR="003265FF" w:rsidRPr="00ED79B6" w:rsidRDefault="003265FF"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B417" w14:textId="77777777" w:rsidR="003265FF" w:rsidRDefault="003265FF" w:rsidP="00D477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265FF" w14:paraId="0FE45692" w14:textId="77777777" w:rsidTr="00650971">
      <w:tc>
        <w:tcPr>
          <w:tcW w:w="646" w:type="dxa"/>
        </w:tcPr>
        <w:p w14:paraId="0D28ADF3" w14:textId="77777777" w:rsidR="003265FF" w:rsidRDefault="003265FF" w:rsidP="0065097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CA603B7" w14:textId="6D28CDA6" w:rsidR="003265FF" w:rsidRDefault="003265FF" w:rsidP="0065097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97B7F">
            <w:rPr>
              <w:i/>
              <w:sz w:val="18"/>
            </w:rPr>
            <w:t>Privacy Legislation Amendment (Enforcement and Other Measures) Act 2022</w:t>
          </w:r>
          <w:r w:rsidRPr="00ED79B6">
            <w:rPr>
              <w:i/>
              <w:sz w:val="18"/>
            </w:rPr>
            <w:fldChar w:fldCharType="end"/>
          </w:r>
        </w:p>
      </w:tc>
      <w:tc>
        <w:tcPr>
          <w:tcW w:w="1270" w:type="dxa"/>
        </w:tcPr>
        <w:p w14:paraId="37E9656A" w14:textId="59BC1911" w:rsidR="003265FF" w:rsidRDefault="003265FF" w:rsidP="0065097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97B7F">
            <w:rPr>
              <w:i/>
              <w:sz w:val="18"/>
            </w:rPr>
            <w:t>No.      , 2022</w:t>
          </w:r>
          <w:r w:rsidRPr="00ED79B6">
            <w:rPr>
              <w:i/>
              <w:sz w:val="18"/>
            </w:rPr>
            <w:fldChar w:fldCharType="end"/>
          </w:r>
        </w:p>
      </w:tc>
    </w:tr>
  </w:tbl>
  <w:p w14:paraId="45D9E852" w14:textId="77777777" w:rsidR="003265FF" w:rsidRDefault="003265F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A8B2" w14:textId="77777777" w:rsidR="003265FF" w:rsidRDefault="003265FF" w:rsidP="00D477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265FF" w14:paraId="5E94ADF9" w14:textId="77777777" w:rsidTr="00650971">
      <w:tc>
        <w:tcPr>
          <w:tcW w:w="1247" w:type="dxa"/>
        </w:tcPr>
        <w:p w14:paraId="5270A32F" w14:textId="32897EA7" w:rsidR="003265FF" w:rsidRDefault="003265FF" w:rsidP="0065097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97B7F">
            <w:rPr>
              <w:i/>
              <w:sz w:val="18"/>
            </w:rPr>
            <w:t>No.      , 2022</w:t>
          </w:r>
          <w:r w:rsidRPr="00ED79B6">
            <w:rPr>
              <w:i/>
              <w:sz w:val="18"/>
            </w:rPr>
            <w:fldChar w:fldCharType="end"/>
          </w:r>
        </w:p>
      </w:tc>
      <w:tc>
        <w:tcPr>
          <w:tcW w:w="5387" w:type="dxa"/>
        </w:tcPr>
        <w:p w14:paraId="463118EB" w14:textId="47A9CB95" w:rsidR="003265FF" w:rsidRDefault="003265FF" w:rsidP="0065097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97B7F">
            <w:rPr>
              <w:i/>
              <w:sz w:val="18"/>
            </w:rPr>
            <w:t>Privacy Legislation Amendment (Enforcement and Other Measures) Act 2022</w:t>
          </w:r>
          <w:r w:rsidRPr="00ED79B6">
            <w:rPr>
              <w:i/>
              <w:sz w:val="18"/>
            </w:rPr>
            <w:fldChar w:fldCharType="end"/>
          </w:r>
        </w:p>
      </w:tc>
      <w:tc>
        <w:tcPr>
          <w:tcW w:w="669" w:type="dxa"/>
        </w:tcPr>
        <w:p w14:paraId="6495B6DA" w14:textId="77777777" w:rsidR="003265FF" w:rsidRDefault="003265FF" w:rsidP="0065097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8E30F10" w14:textId="77777777" w:rsidR="003265FF" w:rsidRPr="00ED79B6" w:rsidRDefault="003265F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B49C" w14:textId="77777777" w:rsidR="003265FF" w:rsidRPr="00A961C4" w:rsidRDefault="003265FF" w:rsidP="00D477C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265FF" w14:paraId="03E64614" w14:textId="77777777" w:rsidTr="00A046C3">
      <w:tc>
        <w:tcPr>
          <w:tcW w:w="646" w:type="dxa"/>
        </w:tcPr>
        <w:p w14:paraId="4EF89C43" w14:textId="77777777" w:rsidR="003265FF" w:rsidRDefault="003265FF" w:rsidP="0065097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28F9D25" w14:textId="70606A97" w:rsidR="003265FF" w:rsidRDefault="003265FF" w:rsidP="0065097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7B7F">
            <w:rPr>
              <w:i/>
              <w:sz w:val="18"/>
            </w:rPr>
            <w:t>Privacy Legislation Amendment (Enforcement and Other Measures) Act 2022</w:t>
          </w:r>
          <w:r w:rsidRPr="007A1328">
            <w:rPr>
              <w:i/>
              <w:sz w:val="18"/>
            </w:rPr>
            <w:fldChar w:fldCharType="end"/>
          </w:r>
        </w:p>
      </w:tc>
      <w:tc>
        <w:tcPr>
          <w:tcW w:w="1270" w:type="dxa"/>
        </w:tcPr>
        <w:p w14:paraId="4A8C5002" w14:textId="3DF62990" w:rsidR="003265FF" w:rsidRDefault="003265FF" w:rsidP="0065097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7B7F">
            <w:rPr>
              <w:i/>
              <w:sz w:val="18"/>
            </w:rPr>
            <w:t>No.      , 2022</w:t>
          </w:r>
          <w:r w:rsidRPr="007A1328">
            <w:rPr>
              <w:i/>
              <w:sz w:val="18"/>
            </w:rPr>
            <w:fldChar w:fldCharType="end"/>
          </w:r>
        </w:p>
      </w:tc>
    </w:tr>
  </w:tbl>
  <w:p w14:paraId="341B2F94" w14:textId="77777777" w:rsidR="003265FF" w:rsidRPr="00A961C4" w:rsidRDefault="003265F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56E68" w14:textId="77777777" w:rsidR="003265FF" w:rsidRPr="00A961C4" w:rsidRDefault="003265FF" w:rsidP="00D477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265FF" w14:paraId="69D91953" w14:textId="77777777" w:rsidTr="00A046C3">
      <w:tc>
        <w:tcPr>
          <w:tcW w:w="1247" w:type="dxa"/>
        </w:tcPr>
        <w:p w14:paraId="7DE95775" w14:textId="0BCA3879" w:rsidR="003265FF" w:rsidRDefault="003265FF" w:rsidP="0065097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7B7F">
            <w:rPr>
              <w:i/>
              <w:sz w:val="18"/>
            </w:rPr>
            <w:t>No.      , 2022</w:t>
          </w:r>
          <w:r w:rsidRPr="007A1328">
            <w:rPr>
              <w:i/>
              <w:sz w:val="18"/>
            </w:rPr>
            <w:fldChar w:fldCharType="end"/>
          </w:r>
        </w:p>
      </w:tc>
      <w:tc>
        <w:tcPr>
          <w:tcW w:w="5387" w:type="dxa"/>
        </w:tcPr>
        <w:p w14:paraId="7BCD0EDF" w14:textId="5FECD766" w:rsidR="003265FF" w:rsidRDefault="003265FF" w:rsidP="0065097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7B7F">
            <w:rPr>
              <w:i/>
              <w:sz w:val="18"/>
            </w:rPr>
            <w:t>Privacy Legislation Amendment (Enforcement and Other Measures) Act 2022</w:t>
          </w:r>
          <w:r w:rsidRPr="007A1328">
            <w:rPr>
              <w:i/>
              <w:sz w:val="18"/>
            </w:rPr>
            <w:fldChar w:fldCharType="end"/>
          </w:r>
        </w:p>
      </w:tc>
      <w:tc>
        <w:tcPr>
          <w:tcW w:w="669" w:type="dxa"/>
        </w:tcPr>
        <w:p w14:paraId="04C08C75" w14:textId="77777777" w:rsidR="003265FF" w:rsidRDefault="003265FF" w:rsidP="0065097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8AD8787" w14:textId="77777777" w:rsidR="003265FF" w:rsidRPr="00055B5C" w:rsidRDefault="003265F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30B1" w14:textId="77777777" w:rsidR="003265FF" w:rsidRPr="00A961C4" w:rsidRDefault="003265FF" w:rsidP="00685F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3265FF" w14:paraId="2FD972DE" w14:textId="77777777" w:rsidTr="00A046C3">
      <w:tc>
        <w:tcPr>
          <w:tcW w:w="1247" w:type="dxa"/>
        </w:tcPr>
        <w:p w14:paraId="065ED28B" w14:textId="366B28A2" w:rsidR="003265FF" w:rsidRDefault="003265FF" w:rsidP="0065097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7B7F">
            <w:rPr>
              <w:i/>
              <w:sz w:val="18"/>
            </w:rPr>
            <w:t>No.      , 2022</w:t>
          </w:r>
          <w:r w:rsidRPr="007A1328">
            <w:rPr>
              <w:i/>
              <w:sz w:val="18"/>
            </w:rPr>
            <w:fldChar w:fldCharType="end"/>
          </w:r>
        </w:p>
      </w:tc>
      <w:tc>
        <w:tcPr>
          <w:tcW w:w="5387" w:type="dxa"/>
        </w:tcPr>
        <w:p w14:paraId="7EBFC29C" w14:textId="250C2E25" w:rsidR="003265FF" w:rsidRDefault="003265FF" w:rsidP="0065097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7B7F">
            <w:rPr>
              <w:i/>
              <w:sz w:val="18"/>
            </w:rPr>
            <w:t>Privacy Legislation Amendment (Enforcement and Other Measures) Act 2022</w:t>
          </w:r>
          <w:r w:rsidRPr="007A1328">
            <w:rPr>
              <w:i/>
              <w:sz w:val="18"/>
            </w:rPr>
            <w:fldChar w:fldCharType="end"/>
          </w:r>
        </w:p>
      </w:tc>
      <w:tc>
        <w:tcPr>
          <w:tcW w:w="669" w:type="dxa"/>
        </w:tcPr>
        <w:p w14:paraId="1D99C9A5" w14:textId="77777777" w:rsidR="003265FF" w:rsidRDefault="003265FF" w:rsidP="0065097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41883C4" w14:textId="77777777" w:rsidR="003265FF" w:rsidRPr="00A961C4" w:rsidRDefault="003265F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390BF" w14:textId="77777777" w:rsidR="003265FF" w:rsidRDefault="003265FF" w:rsidP="0048364F">
      <w:pPr>
        <w:spacing w:line="240" w:lineRule="auto"/>
      </w:pPr>
      <w:r>
        <w:separator/>
      </w:r>
    </w:p>
  </w:footnote>
  <w:footnote w:type="continuationSeparator" w:id="0">
    <w:p w14:paraId="478815C4" w14:textId="77777777" w:rsidR="003265FF" w:rsidRDefault="003265F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BC63" w14:textId="77777777" w:rsidR="003265FF" w:rsidRPr="005F1388" w:rsidRDefault="003265F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B900" w14:textId="77777777" w:rsidR="003265FF" w:rsidRPr="005F1388" w:rsidRDefault="003265F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98A9" w14:textId="77777777" w:rsidR="003265FF" w:rsidRPr="005F1388" w:rsidRDefault="003265F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8D39" w14:textId="77777777" w:rsidR="003265FF" w:rsidRPr="00ED79B6" w:rsidRDefault="003265F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4FBA" w14:textId="77777777" w:rsidR="003265FF" w:rsidRPr="00ED79B6" w:rsidRDefault="003265F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43060" w14:textId="77777777" w:rsidR="003265FF" w:rsidRPr="00ED79B6" w:rsidRDefault="003265F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A8C0" w14:textId="434DF64D" w:rsidR="003265FF" w:rsidRPr="00A961C4" w:rsidRDefault="003265FF"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E53BA8C" w14:textId="00864C01" w:rsidR="003265FF" w:rsidRPr="00A961C4" w:rsidRDefault="003265F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D285CCF" w14:textId="77777777" w:rsidR="003265FF" w:rsidRPr="00A961C4" w:rsidRDefault="003265F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BCD9" w14:textId="7B58D668" w:rsidR="003265FF" w:rsidRPr="00A961C4" w:rsidRDefault="003265F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1B19B6">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1B19B6">
      <w:rPr>
        <w:b/>
        <w:noProof/>
        <w:sz w:val="20"/>
      </w:rPr>
      <w:t>Schedule 1</w:t>
    </w:r>
    <w:r>
      <w:rPr>
        <w:b/>
        <w:sz w:val="20"/>
      </w:rPr>
      <w:fldChar w:fldCharType="end"/>
    </w:r>
  </w:p>
  <w:p w14:paraId="1E62BA56" w14:textId="3DC2D9F7" w:rsidR="003265FF" w:rsidRPr="00A961C4" w:rsidRDefault="003265F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C932A97" w14:textId="77777777" w:rsidR="003265FF" w:rsidRPr="00A961C4" w:rsidRDefault="003265F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6F27" w14:textId="77777777" w:rsidR="003265FF" w:rsidRPr="00A961C4" w:rsidRDefault="003265F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C4"/>
    <w:rsid w:val="00004664"/>
    <w:rsid w:val="000113BC"/>
    <w:rsid w:val="000136AF"/>
    <w:rsid w:val="000336F9"/>
    <w:rsid w:val="000417C9"/>
    <w:rsid w:val="00055B5C"/>
    <w:rsid w:val="00056391"/>
    <w:rsid w:val="00057ED4"/>
    <w:rsid w:val="00060FF9"/>
    <w:rsid w:val="000614BF"/>
    <w:rsid w:val="00083382"/>
    <w:rsid w:val="000B1FD2"/>
    <w:rsid w:val="000D05EF"/>
    <w:rsid w:val="000E5E74"/>
    <w:rsid w:val="000E6974"/>
    <w:rsid w:val="000F21C1"/>
    <w:rsid w:val="000F316E"/>
    <w:rsid w:val="000F453F"/>
    <w:rsid w:val="00101D90"/>
    <w:rsid w:val="0010745C"/>
    <w:rsid w:val="00111FD0"/>
    <w:rsid w:val="00113530"/>
    <w:rsid w:val="00113BD1"/>
    <w:rsid w:val="00122206"/>
    <w:rsid w:val="0015646E"/>
    <w:rsid w:val="001643C9"/>
    <w:rsid w:val="00165568"/>
    <w:rsid w:val="00166C2F"/>
    <w:rsid w:val="001674D1"/>
    <w:rsid w:val="001716C9"/>
    <w:rsid w:val="00173363"/>
    <w:rsid w:val="00173B94"/>
    <w:rsid w:val="001854B4"/>
    <w:rsid w:val="001928F0"/>
    <w:rsid w:val="001939E1"/>
    <w:rsid w:val="00195382"/>
    <w:rsid w:val="001A0F86"/>
    <w:rsid w:val="001A3658"/>
    <w:rsid w:val="001A759A"/>
    <w:rsid w:val="001B19B6"/>
    <w:rsid w:val="001B633C"/>
    <w:rsid w:val="001B7A5D"/>
    <w:rsid w:val="001C2418"/>
    <w:rsid w:val="001C69C4"/>
    <w:rsid w:val="001E1969"/>
    <w:rsid w:val="001E3590"/>
    <w:rsid w:val="001E7407"/>
    <w:rsid w:val="001F6048"/>
    <w:rsid w:val="00201D27"/>
    <w:rsid w:val="00202618"/>
    <w:rsid w:val="00210BAA"/>
    <w:rsid w:val="0021200D"/>
    <w:rsid w:val="0022147E"/>
    <w:rsid w:val="0023562C"/>
    <w:rsid w:val="00235B27"/>
    <w:rsid w:val="00240749"/>
    <w:rsid w:val="00263820"/>
    <w:rsid w:val="0026567C"/>
    <w:rsid w:val="00275197"/>
    <w:rsid w:val="00293B89"/>
    <w:rsid w:val="00297ECB"/>
    <w:rsid w:val="002A027F"/>
    <w:rsid w:val="002B0372"/>
    <w:rsid w:val="002B5A30"/>
    <w:rsid w:val="002D043A"/>
    <w:rsid w:val="002D395A"/>
    <w:rsid w:val="002D6855"/>
    <w:rsid w:val="002E5E1E"/>
    <w:rsid w:val="002F5A80"/>
    <w:rsid w:val="00315DF9"/>
    <w:rsid w:val="00321893"/>
    <w:rsid w:val="003265FF"/>
    <w:rsid w:val="0033036B"/>
    <w:rsid w:val="003312AA"/>
    <w:rsid w:val="003319A5"/>
    <w:rsid w:val="003415D3"/>
    <w:rsid w:val="00350417"/>
    <w:rsid w:val="00352B0F"/>
    <w:rsid w:val="0035765B"/>
    <w:rsid w:val="00364D72"/>
    <w:rsid w:val="00373874"/>
    <w:rsid w:val="00375C6C"/>
    <w:rsid w:val="00386251"/>
    <w:rsid w:val="003A7B3C"/>
    <w:rsid w:val="003B4E3D"/>
    <w:rsid w:val="003C5F2B"/>
    <w:rsid w:val="003D0BFE"/>
    <w:rsid w:val="003D4B63"/>
    <w:rsid w:val="003D5700"/>
    <w:rsid w:val="003F36C3"/>
    <w:rsid w:val="003F3B27"/>
    <w:rsid w:val="0040115F"/>
    <w:rsid w:val="00405579"/>
    <w:rsid w:val="00407C0C"/>
    <w:rsid w:val="00410B8E"/>
    <w:rsid w:val="004116CD"/>
    <w:rsid w:val="00421FC1"/>
    <w:rsid w:val="004229C7"/>
    <w:rsid w:val="00422D38"/>
    <w:rsid w:val="00424CA9"/>
    <w:rsid w:val="004365F8"/>
    <w:rsid w:val="00436785"/>
    <w:rsid w:val="00436BD5"/>
    <w:rsid w:val="00437E4B"/>
    <w:rsid w:val="0044291A"/>
    <w:rsid w:val="0048196B"/>
    <w:rsid w:val="0048364F"/>
    <w:rsid w:val="00484B46"/>
    <w:rsid w:val="00486D05"/>
    <w:rsid w:val="00496F97"/>
    <w:rsid w:val="00497B7F"/>
    <w:rsid w:val="004B3389"/>
    <w:rsid w:val="004C7C8C"/>
    <w:rsid w:val="004E2A4A"/>
    <w:rsid w:val="004F0D23"/>
    <w:rsid w:val="004F1FAC"/>
    <w:rsid w:val="00502BAD"/>
    <w:rsid w:val="00503CA0"/>
    <w:rsid w:val="00505717"/>
    <w:rsid w:val="00516B8D"/>
    <w:rsid w:val="00517543"/>
    <w:rsid w:val="00537FBC"/>
    <w:rsid w:val="00543469"/>
    <w:rsid w:val="00545D52"/>
    <w:rsid w:val="00551B54"/>
    <w:rsid w:val="00555734"/>
    <w:rsid w:val="00584811"/>
    <w:rsid w:val="00593AA6"/>
    <w:rsid w:val="00594161"/>
    <w:rsid w:val="00594749"/>
    <w:rsid w:val="005A0D92"/>
    <w:rsid w:val="005B4067"/>
    <w:rsid w:val="005C3F41"/>
    <w:rsid w:val="005D402B"/>
    <w:rsid w:val="005E152A"/>
    <w:rsid w:val="005F11B1"/>
    <w:rsid w:val="005F36A8"/>
    <w:rsid w:val="00600219"/>
    <w:rsid w:val="00605541"/>
    <w:rsid w:val="006167FD"/>
    <w:rsid w:val="00634D55"/>
    <w:rsid w:val="00641DE5"/>
    <w:rsid w:val="00650971"/>
    <w:rsid w:val="006532B6"/>
    <w:rsid w:val="00656F0C"/>
    <w:rsid w:val="00666630"/>
    <w:rsid w:val="00677CC2"/>
    <w:rsid w:val="00681F92"/>
    <w:rsid w:val="006842C2"/>
    <w:rsid w:val="00685495"/>
    <w:rsid w:val="00685F42"/>
    <w:rsid w:val="0069207B"/>
    <w:rsid w:val="006A11D0"/>
    <w:rsid w:val="006A4B23"/>
    <w:rsid w:val="006B495B"/>
    <w:rsid w:val="006C2874"/>
    <w:rsid w:val="006C7F8C"/>
    <w:rsid w:val="006D380D"/>
    <w:rsid w:val="006E0135"/>
    <w:rsid w:val="006E0759"/>
    <w:rsid w:val="006E190E"/>
    <w:rsid w:val="006E1F61"/>
    <w:rsid w:val="006E303A"/>
    <w:rsid w:val="006F7E19"/>
    <w:rsid w:val="00700B2C"/>
    <w:rsid w:val="00712D11"/>
    <w:rsid w:val="00712D8D"/>
    <w:rsid w:val="00713084"/>
    <w:rsid w:val="00714B26"/>
    <w:rsid w:val="00731E00"/>
    <w:rsid w:val="007440B7"/>
    <w:rsid w:val="00751A07"/>
    <w:rsid w:val="007634AD"/>
    <w:rsid w:val="007715C9"/>
    <w:rsid w:val="00774EDD"/>
    <w:rsid w:val="007757EC"/>
    <w:rsid w:val="00787C75"/>
    <w:rsid w:val="007A140A"/>
    <w:rsid w:val="007B30AA"/>
    <w:rsid w:val="007D04C8"/>
    <w:rsid w:val="007E19EF"/>
    <w:rsid w:val="007E53C4"/>
    <w:rsid w:val="007E7D4A"/>
    <w:rsid w:val="007F09C3"/>
    <w:rsid w:val="007F2A86"/>
    <w:rsid w:val="007F40D7"/>
    <w:rsid w:val="007F4F38"/>
    <w:rsid w:val="008006CC"/>
    <w:rsid w:val="0080545D"/>
    <w:rsid w:val="00807F18"/>
    <w:rsid w:val="00816497"/>
    <w:rsid w:val="008255DC"/>
    <w:rsid w:val="00831E8D"/>
    <w:rsid w:val="008322A2"/>
    <w:rsid w:val="00847931"/>
    <w:rsid w:val="00853F4C"/>
    <w:rsid w:val="00856A31"/>
    <w:rsid w:val="00857D6B"/>
    <w:rsid w:val="008754D0"/>
    <w:rsid w:val="00876322"/>
    <w:rsid w:val="00877D48"/>
    <w:rsid w:val="00883781"/>
    <w:rsid w:val="00885570"/>
    <w:rsid w:val="00893958"/>
    <w:rsid w:val="008A2E77"/>
    <w:rsid w:val="008C6F6F"/>
    <w:rsid w:val="008D0EE0"/>
    <w:rsid w:val="008D3E94"/>
    <w:rsid w:val="008D4C40"/>
    <w:rsid w:val="008F4F1C"/>
    <w:rsid w:val="008F77C4"/>
    <w:rsid w:val="00906B70"/>
    <w:rsid w:val="009103F3"/>
    <w:rsid w:val="00916340"/>
    <w:rsid w:val="00932377"/>
    <w:rsid w:val="009365F6"/>
    <w:rsid w:val="00942C66"/>
    <w:rsid w:val="00943221"/>
    <w:rsid w:val="00964271"/>
    <w:rsid w:val="00967042"/>
    <w:rsid w:val="0098255A"/>
    <w:rsid w:val="0098373C"/>
    <w:rsid w:val="009845BE"/>
    <w:rsid w:val="00985B29"/>
    <w:rsid w:val="009969C9"/>
    <w:rsid w:val="009B2F55"/>
    <w:rsid w:val="009B395A"/>
    <w:rsid w:val="009D41DF"/>
    <w:rsid w:val="009E186E"/>
    <w:rsid w:val="009F0C94"/>
    <w:rsid w:val="009F7BD0"/>
    <w:rsid w:val="00A046C3"/>
    <w:rsid w:val="00A048FF"/>
    <w:rsid w:val="00A10775"/>
    <w:rsid w:val="00A12ACF"/>
    <w:rsid w:val="00A231E2"/>
    <w:rsid w:val="00A36C48"/>
    <w:rsid w:val="00A41E0B"/>
    <w:rsid w:val="00A46A58"/>
    <w:rsid w:val="00A5357D"/>
    <w:rsid w:val="00A55631"/>
    <w:rsid w:val="00A62EA9"/>
    <w:rsid w:val="00A64912"/>
    <w:rsid w:val="00A70A74"/>
    <w:rsid w:val="00A76579"/>
    <w:rsid w:val="00A84167"/>
    <w:rsid w:val="00AA3795"/>
    <w:rsid w:val="00AA432D"/>
    <w:rsid w:val="00AA7DE5"/>
    <w:rsid w:val="00AC1E75"/>
    <w:rsid w:val="00AD0AB8"/>
    <w:rsid w:val="00AD5641"/>
    <w:rsid w:val="00AE1088"/>
    <w:rsid w:val="00AF1BA4"/>
    <w:rsid w:val="00AF41A7"/>
    <w:rsid w:val="00AF6A5F"/>
    <w:rsid w:val="00AF783B"/>
    <w:rsid w:val="00B032D8"/>
    <w:rsid w:val="00B32BE2"/>
    <w:rsid w:val="00B33B3C"/>
    <w:rsid w:val="00B34210"/>
    <w:rsid w:val="00B569E6"/>
    <w:rsid w:val="00B6382D"/>
    <w:rsid w:val="00B853B4"/>
    <w:rsid w:val="00BA5026"/>
    <w:rsid w:val="00BB40BF"/>
    <w:rsid w:val="00BB579C"/>
    <w:rsid w:val="00BC0CD1"/>
    <w:rsid w:val="00BE4ACA"/>
    <w:rsid w:val="00BE719A"/>
    <w:rsid w:val="00BE720A"/>
    <w:rsid w:val="00BF0461"/>
    <w:rsid w:val="00BF4944"/>
    <w:rsid w:val="00BF56D4"/>
    <w:rsid w:val="00C04409"/>
    <w:rsid w:val="00C067E5"/>
    <w:rsid w:val="00C164CA"/>
    <w:rsid w:val="00C176CF"/>
    <w:rsid w:val="00C24EE9"/>
    <w:rsid w:val="00C42BF8"/>
    <w:rsid w:val="00C460AE"/>
    <w:rsid w:val="00C50043"/>
    <w:rsid w:val="00C54E84"/>
    <w:rsid w:val="00C7573B"/>
    <w:rsid w:val="00C76CF3"/>
    <w:rsid w:val="00CA3FA0"/>
    <w:rsid w:val="00CC5288"/>
    <w:rsid w:val="00CE1E31"/>
    <w:rsid w:val="00CF0BB2"/>
    <w:rsid w:val="00D00EAA"/>
    <w:rsid w:val="00D03F3D"/>
    <w:rsid w:val="00D04B9D"/>
    <w:rsid w:val="00D13441"/>
    <w:rsid w:val="00D161E0"/>
    <w:rsid w:val="00D20DB0"/>
    <w:rsid w:val="00D243A3"/>
    <w:rsid w:val="00D30FE8"/>
    <w:rsid w:val="00D415F3"/>
    <w:rsid w:val="00D4223C"/>
    <w:rsid w:val="00D477C3"/>
    <w:rsid w:val="00D52EFE"/>
    <w:rsid w:val="00D63BB8"/>
    <w:rsid w:val="00D63EF6"/>
    <w:rsid w:val="00D64F2A"/>
    <w:rsid w:val="00D70DFB"/>
    <w:rsid w:val="00D73029"/>
    <w:rsid w:val="00D766DF"/>
    <w:rsid w:val="00D82110"/>
    <w:rsid w:val="00D85020"/>
    <w:rsid w:val="00DB6914"/>
    <w:rsid w:val="00DD364F"/>
    <w:rsid w:val="00DE2002"/>
    <w:rsid w:val="00DE71D8"/>
    <w:rsid w:val="00DF14A9"/>
    <w:rsid w:val="00DF7AE9"/>
    <w:rsid w:val="00E05704"/>
    <w:rsid w:val="00E14A23"/>
    <w:rsid w:val="00E24D66"/>
    <w:rsid w:val="00E26353"/>
    <w:rsid w:val="00E37760"/>
    <w:rsid w:val="00E530D7"/>
    <w:rsid w:val="00E54292"/>
    <w:rsid w:val="00E66EF4"/>
    <w:rsid w:val="00E74DC7"/>
    <w:rsid w:val="00E84ECA"/>
    <w:rsid w:val="00E87699"/>
    <w:rsid w:val="00E947C6"/>
    <w:rsid w:val="00EB510C"/>
    <w:rsid w:val="00EC34A8"/>
    <w:rsid w:val="00ED492F"/>
    <w:rsid w:val="00ED7F73"/>
    <w:rsid w:val="00EE3E36"/>
    <w:rsid w:val="00EF201E"/>
    <w:rsid w:val="00EF2E3A"/>
    <w:rsid w:val="00F047E2"/>
    <w:rsid w:val="00F078DC"/>
    <w:rsid w:val="00F11977"/>
    <w:rsid w:val="00F121B3"/>
    <w:rsid w:val="00F13E86"/>
    <w:rsid w:val="00F17B00"/>
    <w:rsid w:val="00F4029C"/>
    <w:rsid w:val="00F677A9"/>
    <w:rsid w:val="00F84CF5"/>
    <w:rsid w:val="00F92D35"/>
    <w:rsid w:val="00FA420B"/>
    <w:rsid w:val="00FD1E13"/>
    <w:rsid w:val="00FD7EB1"/>
    <w:rsid w:val="00FE41C9"/>
    <w:rsid w:val="00FE7F93"/>
    <w:rsid w:val="00FF1E66"/>
    <w:rsid w:val="00FF2C90"/>
    <w:rsid w:val="00FF4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78CA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65FF"/>
    <w:pPr>
      <w:spacing w:line="260" w:lineRule="atLeast"/>
    </w:pPr>
    <w:rPr>
      <w:sz w:val="22"/>
    </w:rPr>
  </w:style>
  <w:style w:type="paragraph" w:styleId="Heading1">
    <w:name w:val="heading 1"/>
    <w:basedOn w:val="Normal"/>
    <w:next w:val="Normal"/>
    <w:link w:val="Heading1Char"/>
    <w:uiPriority w:val="9"/>
    <w:qFormat/>
    <w:rsid w:val="00985B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85B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85B2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85B2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subsection"/>
    <w:link w:val="Heading5Char"/>
    <w:qFormat/>
    <w:rsid w:val="00985B29"/>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985B2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85B2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85B2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5B2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265FF"/>
  </w:style>
  <w:style w:type="paragraph" w:customStyle="1" w:styleId="OPCParaBase">
    <w:name w:val="OPCParaBase"/>
    <w:qFormat/>
    <w:rsid w:val="003265FF"/>
    <w:pPr>
      <w:spacing w:line="260" w:lineRule="atLeast"/>
    </w:pPr>
    <w:rPr>
      <w:rFonts w:eastAsia="Times New Roman" w:cs="Times New Roman"/>
      <w:sz w:val="22"/>
      <w:lang w:eastAsia="en-AU"/>
    </w:rPr>
  </w:style>
  <w:style w:type="paragraph" w:customStyle="1" w:styleId="ShortT">
    <w:name w:val="ShortT"/>
    <w:basedOn w:val="OPCParaBase"/>
    <w:next w:val="Normal"/>
    <w:qFormat/>
    <w:rsid w:val="003265FF"/>
    <w:pPr>
      <w:spacing w:line="240" w:lineRule="auto"/>
    </w:pPr>
    <w:rPr>
      <w:b/>
      <w:sz w:val="40"/>
    </w:rPr>
  </w:style>
  <w:style w:type="paragraph" w:customStyle="1" w:styleId="ActHead1">
    <w:name w:val="ActHead 1"/>
    <w:aliases w:val="c"/>
    <w:basedOn w:val="OPCParaBase"/>
    <w:next w:val="Normal"/>
    <w:qFormat/>
    <w:rsid w:val="003265F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265F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265F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265F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265F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265F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265F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265F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265F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265FF"/>
  </w:style>
  <w:style w:type="paragraph" w:customStyle="1" w:styleId="Blocks">
    <w:name w:val="Blocks"/>
    <w:aliases w:val="bb"/>
    <w:basedOn w:val="OPCParaBase"/>
    <w:qFormat/>
    <w:rsid w:val="003265FF"/>
    <w:pPr>
      <w:spacing w:line="240" w:lineRule="auto"/>
    </w:pPr>
    <w:rPr>
      <w:sz w:val="24"/>
    </w:rPr>
  </w:style>
  <w:style w:type="paragraph" w:customStyle="1" w:styleId="BoxText">
    <w:name w:val="BoxText"/>
    <w:aliases w:val="bt"/>
    <w:basedOn w:val="OPCParaBase"/>
    <w:qFormat/>
    <w:rsid w:val="003265F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265FF"/>
    <w:rPr>
      <w:b/>
    </w:rPr>
  </w:style>
  <w:style w:type="paragraph" w:customStyle="1" w:styleId="BoxHeadItalic">
    <w:name w:val="BoxHeadItalic"/>
    <w:aliases w:val="bhi"/>
    <w:basedOn w:val="BoxText"/>
    <w:next w:val="BoxStep"/>
    <w:qFormat/>
    <w:rsid w:val="003265FF"/>
    <w:rPr>
      <w:i/>
    </w:rPr>
  </w:style>
  <w:style w:type="paragraph" w:customStyle="1" w:styleId="BoxList">
    <w:name w:val="BoxList"/>
    <w:aliases w:val="bl"/>
    <w:basedOn w:val="BoxText"/>
    <w:qFormat/>
    <w:rsid w:val="003265FF"/>
    <w:pPr>
      <w:ind w:left="1559" w:hanging="425"/>
    </w:pPr>
  </w:style>
  <w:style w:type="paragraph" w:customStyle="1" w:styleId="BoxNote">
    <w:name w:val="BoxNote"/>
    <w:aliases w:val="bn"/>
    <w:basedOn w:val="BoxText"/>
    <w:qFormat/>
    <w:rsid w:val="003265FF"/>
    <w:pPr>
      <w:tabs>
        <w:tab w:val="left" w:pos="1985"/>
      </w:tabs>
      <w:spacing w:before="122" w:line="198" w:lineRule="exact"/>
      <w:ind w:left="2948" w:hanging="1814"/>
    </w:pPr>
    <w:rPr>
      <w:sz w:val="18"/>
    </w:rPr>
  </w:style>
  <w:style w:type="paragraph" w:customStyle="1" w:styleId="BoxPara">
    <w:name w:val="BoxPara"/>
    <w:aliases w:val="bp"/>
    <w:basedOn w:val="BoxText"/>
    <w:qFormat/>
    <w:rsid w:val="003265FF"/>
    <w:pPr>
      <w:tabs>
        <w:tab w:val="right" w:pos="2268"/>
      </w:tabs>
      <w:ind w:left="2552" w:hanging="1418"/>
    </w:pPr>
  </w:style>
  <w:style w:type="paragraph" w:customStyle="1" w:styleId="BoxStep">
    <w:name w:val="BoxStep"/>
    <w:aliases w:val="bs"/>
    <w:basedOn w:val="BoxText"/>
    <w:qFormat/>
    <w:rsid w:val="003265FF"/>
    <w:pPr>
      <w:ind w:left="1985" w:hanging="851"/>
    </w:pPr>
  </w:style>
  <w:style w:type="character" w:customStyle="1" w:styleId="CharAmPartNo">
    <w:name w:val="CharAmPartNo"/>
    <w:basedOn w:val="OPCCharBase"/>
    <w:qFormat/>
    <w:rsid w:val="003265FF"/>
  </w:style>
  <w:style w:type="character" w:customStyle="1" w:styleId="CharAmPartText">
    <w:name w:val="CharAmPartText"/>
    <w:basedOn w:val="OPCCharBase"/>
    <w:qFormat/>
    <w:rsid w:val="003265FF"/>
  </w:style>
  <w:style w:type="character" w:customStyle="1" w:styleId="CharAmSchNo">
    <w:name w:val="CharAmSchNo"/>
    <w:basedOn w:val="OPCCharBase"/>
    <w:qFormat/>
    <w:rsid w:val="003265FF"/>
  </w:style>
  <w:style w:type="character" w:customStyle="1" w:styleId="CharAmSchText">
    <w:name w:val="CharAmSchText"/>
    <w:basedOn w:val="OPCCharBase"/>
    <w:qFormat/>
    <w:rsid w:val="003265FF"/>
  </w:style>
  <w:style w:type="character" w:customStyle="1" w:styleId="CharBoldItalic">
    <w:name w:val="CharBoldItalic"/>
    <w:basedOn w:val="OPCCharBase"/>
    <w:uiPriority w:val="1"/>
    <w:qFormat/>
    <w:rsid w:val="003265FF"/>
    <w:rPr>
      <w:b/>
      <w:i/>
    </w:rPr>
  </w:style>
  <w:style w:type="character" w:customStyle="1" w:styleId="CharChapNo">
    <w:name w:val="CharChapNo"/>
    <w:basedOn w:val="OPCCharBase"/>
    <w:uiPriority w:val="1"/>
    <w:qFormat/>
    <w:rsid w:val="003265FF"/>
  </w:style>
  <w:style w:type="character" w:customStyle="1" w:styleId="CharChapText">
    <w:name w:val="CharChapText"/>
    <w:basedOn w:val="OPCCharBase"/>
    <w:uiPriority w:val="1"/>
    <w:qFormat/>
    <w:rsid w:val="003265FF"/>
  </w:style>
  <w:style w:type="character" w:customStyle="1" w:styleId="CharDivNo">
    <w:name w:val="CharDivNo"/>
    <w:basedOn w:val="OPCCharBase"/>
    <w:uiPriority w:val="1"/>
    <w:qFormat/>
    <w:rsid w:val="003265FF"/>
  </w:style>
  <w:style w:type="character" w:customStyle="1" w:styleId="CharDivText">
    <w:name w:val="CharDivText"/>
    <w:basedOn w:val="OPCCharBase"/>
    <w:uiPriority w:val="1"/>
    <w:qFormat/>
    <w:rsid w:val="003265FF"/>
  </w:style>
  <w:style w:type="character" w:customStyle="1" w:styleId="CharItalic">
    <w:name w:val="CharItalic"/>
    <w:basedOn w:val="OPCCharBase"/>
    <w:uiPriority w:val="1"/>
    <w:qFormat/>
    <w:rsid w:val="003265FF"/>
    <w:rPr>
      <w:i/>
    </w:rPr>
  </w:style>
  <w:style w:type="character" w:customStyle="1" w:styleId="CharPartNo">
    <w:name w:val="CharPartNo"/>
    <w:basedOn w:val="OPCCharBase"/>
    <w:uiPriority w:val="1"/>
    <w:qFormat/>
    <w:rsid w:val="003265FF"/>
  </w:style>
  <w:style w:type="character" w:customStyle="1" w:styleId="CharPartText">
    <w:name w:val="CharPartText"/>
    <w:basedOn w:val="OPCCharBase"/>
    <w:uiPriority w:val="1"/>
    <w:qFormat/>
    <w:rsid w:val="003265FF"/>
  </w:style>
  <w:style w:type="character" w:customStyle="1" w:styleId="CharSectno">
    <w:name w:val="CharSectno"/>
    <w:basedOn w:val="OPCCharBase"/>
    <w:qFormat/>
    <w:rsid w:val="003265FF"/>
  </w:style>
  <w:style w:type="character" w:customStyle="1" w:styleId="CharSubdNo">
    <w:name w:val="CharSubdNo"/>
    <w:basedOn w:val="OPCCharBase"/>
    <w:uiPriority w:val="1"/>
    <w:qFormat/>
    <w:rsid w:val="003265FF"/>
  </w:style>
  <w:style w:type="character" w:customStyle="1" w:styleId="CharSubdText">
    <w:name w:val="CharSubdText"/>
    <w:basedOn w:val="OPCCharBase"/>
    <w:uiPriority w:val="1"/>
    <w:qFormat/>
    <w:rsid w:val="003265FF"/>
  </w:style>
  <w:style w:type="paragraph" w:customStyle="1" w:styleId="CTA--">
    <w:name w:val="CTA --"/>
    <w:basedOn w:val="OPCParaBase"/>
    <w:next w:val="Normal"/>
    <w:rsid w:val="003265FF"/>
    <w:pPr>
      <w:spacing w:before="60" w:line="240" w:lineRule="atLeast"/>
      <w:ind w:left="142" w:hanging="142"/>
    </w:pPr>
    <w:rPr>
      <w:sz w:val="20"/>
    </w:rPr>
  </w:style>
  <w:style w:type="paragraph" w:customStyle="1" w:styleId="CTA-">
    <w:name w:val="CTA -"/>
    <w:basedOn w:val="OPCParaBase"/>
    <w:rsid w:val="003265FF"/>
    <w:pPr>
      <w:spacing w:before="60" w:line="240" w:lineRule="atLeast"/>
      <w:ind w:left="85" w:hanging="85"/>
    </w:pPr>
    <w:rPr>
      <w:sz w:val="20"/>
    </w:rPr>
  </w:style>
  <w:style w:type="paragraph" w:customStyle="1" w:styleId="CTA---">
    <w:name w:val="CTA ---"/>
    <w:basedOn w:val="OPCParaBase"/>
    <w:next w:val="Normal"/>
    <w:rsid w:val="003265FF"/>
    <w:pPr>
      <w:spacing w:before="60" w:line="240" w:lineRule="atLeast"/>
      <w:ind w:left="198" w:hanging="198"/>
    </w:pPr>
    <w:rPr>
      <w:sz w:val="20"/>
    </w:rPr>
  </w:style>
  <w:style w:type="paragraph" w:customStyle="1" w:styleId="CTA----">
    <w:name w:val="CTA ----"/>
    <w:basedOn w:val="OPCParaBase"/>
    <w:next w:val="Normal"/>
    <w:rsid w:val="003265FF"/>
    <w:pPr>
      <w:spacing w:before="60" w:line="240" w:lineRule="atLeast"/>
      <w:ind w:left="255" w:hanging="255"/>
    </w:pPr>
    <w:rPr>
      <w:sz w:val="20"/>
    </w:rPr>
  </w:style>
  <w:style w:type="paragraph" w:customStyle="1" w:styleId="CTA1a">
    <w:name w:val="CTA 1(a)"/>
    <w:basedOn w:val="OPCParaBase"/>
    <w:rsid w:val="003265FF"/>
    <w:pPr>
      <w:tabs>
        <w:tab w:val="right" w:pos="414"/>
      </w:tabs>
      <w:spacing w:before="40" w:line="240" w:lineRule="atLeast"/>
      <w:ind w:left="675" w:hanging="675"/>
    </w:pPr>
    <w:rPr>
      <w:sz w:val="20"/>
    </w:rPr>
  </w:style>
  <w:style w:type="paragraph" w:customStyle="1" w:styleId="CTA1ai">
    <w:name w:val="CTA 1(a)(i)"/>
    <w:basedOn w:val="OPCParaBase"/>
    <w:rsid w:val="003265FF"/>
    <w:pPr>
      <w:tabs>
        <w:tab w:val="right" w:pos="1004"/>
      </w:tabs>
      <w:spacing w:before="40" w:line="240" w:lineRule="atLeast"/>
      <w:ind w:left="1253" w:hanging="1253"/>
    </w:pPr>
    <w:rPr>
      <w:sz w:val="20"/>
    </w:rPr>
  </w:style>
  <w:style w:type="paragraph" w:customStyle="1" w:styleId="CTA2a">
    <w:name w:val="CTA 2(a)"/>
    <w:basedOn w:val="OPCParaBase"/>
    <w:rsid w:val="003265FF"/>
    <w:pPr>
      <w:tabs>
        <w:tab w:val="right" w:pos="482"/>
      </w:tabs>
      <w:spacing w:before="40" w:line="240" w:lineRule="atLeast"/>
      <w:ind w:left="748" w:hanging="748"/>
    </w:pPr>
    <w:rPr>
      <w:sz w:val="20"/>
    </w:rPr>
  </w:style>
  <w:style w:type="paragraph" w:customStyle="1" w:styleId="CTA2ai">
    <w:name w:val="CTA 2(a)(i)"/>
    <w:basedOn w:val="OPCParaBase"/>
    <w:rsid w:val="003265FF"/>
    <w:pPr>
      <w:tabs>
        <w:tab w:val="right" w:pos="1089"/>
      </w:tabs>
      <w:spacing w:before="40" w:line="240" w:lineRule="atLeast"/>
      <w:ind w:left="1327" w:hanging="1327"/>
    </w:pPr>
    <w:rPr>
      <w:sz w:val="20"/>
    </w:rPr>
  </w:style>
  <w:style w:type="paragraph" w:customStyle="1" w:styleId="CTA3a">
    <w:name w:val="CTA 3(a)"/>
    <w:basedOn w:val="OPCParaBase"/>
    <w:rsid w:val="003265FF"/>
    <w:pPr>
      <w:tabs>
        <w:tab w:val="right" w:pos="556"/>
      </w:tabs>
      <w:spacing w:before="40" w:line="240" w:lineRule="atLeast"/>
      <w:ind w:left="805" w:hanging="805"/>
    </w:pPr>
    <w:rPr>
      <w:sz w:val="20"/>
    </w:rPr>
  </w:style>
  <w:style w:type="paragraph" w:customStyle="1" w:styleId="CTA3ai">
    <w:name w:val="CTA 3(a)(i)"/>
    <w:basedOn w:val="OPCParaBase"/>
    <w:rsid w:val="003265FF"/>
    <w:pPr>
      <w:tabs>
        <w:tab w:val="right" w:pos="1140"/>
      </w:tabs>
      <w:spacing w:before="40" w:line="240" w:lineRule="atLeast"/>
      <w:ind w:left="1361" w:hanging="1361"/>
    </w:pPr>
    <w:rPr>
      <w:sz w:val="20"/>
    </w:rPr>
  </w:style>
  <w:style w:type="paragraph" w:customStyle="1" w:styleId="CTA4a">
    <w:name w:val="CTA 4(a)"/>
    <w:basedOn w:val="OPCParaBase"/>
    <w:rsid w:val="003265FF"/>
    <w:pPr>
      <w:tabs>
        <w:tab w:val="right" w:pos="624"/>
      </w:tabs>
      <w:spacing w:before="40" w:line="240" w:lineRule="atLeast"/>
      <w:ind w:left="873" w:hanging="873"/>
    </w:pPr>
    <w:rPr>
      <w:sz w:val="20"/>
    </w:rPr>
  </w:style>
  <w:style w:type="paragraph" w:customStyle="1" w:styleId="CTA4ai">
    <w:name w:val="CTA 4(a)(i)"/>
    <w:basedOn w:val="OPCParaBase"/>
    <w:rsid w:val="003265FF"/>
    <w:pPr>
      <w:tabs>
        <w:tab w:val="right" w:pos="1213"/>
      </w:tabs>
      <w:spacing w:before="40" w:line="240" w:lineRule="atLeast"/>
      <w:ind w:left="1452" w:hanging="1452"/>
    </w:pPr>
    <w:rPr>
      <w:sz w:val="20"/>
    </w:rPr>
  </w:style>
  <w:style w:type="paragraph" w:customStyle="1" w:styleId="CTACAPS">
    <w:name w:val="CTA CAPS"/>
    <w:basedOn w:val="OPCParaBase"/>
    <w:rsid w:val="003265FF"/>
    <w:pPr>
      <w:spacing w:before="60" w:line="240" w:lineRule="atLeast"/>
    </w:pPr>
    <w:rPr>
      <w:sz w:val="20"/>
    </w:rPr>
  </w:style>
  <w:style w:type="paragraph" w:customStyle="1" w:styleId="CTAright">
    <w:name w:val="CTA right"/>
    <w:basedOn w:val="OPCParaBase"/>
    <w:rsid w:val="003265FF"/>
    <w:pPr>
      <w:spacing w:before="60" w:line="240" w:lineRule="auto"/>
      <w:jc w:val="right"/>
    </w:pPr>
    <w:rPr>
      <w:sz w:val="20"/>
    </w:rPr>
  </w:style>
  <w:style w:type="paragraph" w:customStyle="1" w:styleId="subsection">
    <w:name w:val="subsection"/>
    <w:aliases w:val="ss,Subsection"/>
    <w:basedOn w:val="OPCParaBase"/>
    <w:link w:val="subsectionChar"/>
    <w:rsid w:val="003265FF"/>
    <w:pPr>
      <w:tabs>
        <w:tab w:val="right" w:pos="1021"/>
      </w:tabs>
      <w:spacing w:before="180" w:line="240" w:lineRule="auto"/>
      <w:ind w:left="1134" w:hanging="1134"/>
    </w:pPr>
  </w:style>
  <w:style w:type="paragraph" w:customStyle="1" w:styleId="Definition">
    <w:name w:val="Definition"/>
    <w:aliases w:val="dd"/>
    <w:basedOn w:val="OPCParaBase"/>
    <w:rsid w:val="003265FF"/>
    <w:pPr>
      <w:spacing w:before="180" w:line="240" w:lineRule="auto"/>
      <w:ind w:left="1134"/>
    </w:pPr>
  </w:style>
  <w:style w:type="paragraph" w:customStyle="1" w:styleId="ETAsubitem">
    <w:name w:val="ETA(subitem)"/>
    <w:basedOn w:val="OPCParaBase"/>
    <w:rsid w:val="003265FF"/>
    <w:pPr>
      <w:tabs>
        <w:tab w:val="right" w:pos="340"/>
      </w:tabs>
      <w:spacing w:before="60" w:line="240" w:lineRule="auto"/>
      <w:ind w:left="454" w:hanging="454"/>
    </w:pPr>
    <w:rPr>
      <w:sz w:val="20"/>
    </w:rPr>
  </w:style>
  <w:style w:type="paragraph" w:customStyle="1" w:styleId="ETApara">
    <w:name w:val="ETA(para)"/>
    <w:basedOn w:val="OPCParaBase"/>
    <w:rsid w:val="003265FF"/>
    <w:pPr>
      <w:tabs>
        <w:tab w:val="right" w:pos="754"/>
      </w:tabs>
      <w:spacing w:before="60" w:line="240" w:lineRule="auto"/>
      <w:ind w:left="828" w:hanging="828"/>
    </w:pPr>
    <w:rPr>
      <w:sz w:val="20"/>
    </w:rPr>
  </w:style>
  <w:style w:type="paragraph" w:customStyle="1" w:styleId="ETAsubpara">
    <w:name w:val="ETA(subpara)"/>
    <w:basedOn w:val="OPCParaBase"/>
    <w:rsid w:val="003265FF"/>
    <w:pPr>
      <w:tabs>
        <w:tab w:val="right" w:pos="1083"/>
      </w:tabs>
      <w:spacing w:before="60" w:line="240" w:lineRule="auto"/>
      <w:ind w:left="1191" w:hanging="1191"/>
    </w:pPr>
    <w:rPr>
      <w:sz w:val="20"/>
    </w:rPr>
  </w:style>
  <w:style w:type="paragraph" w:customStyle="1" w:styleId="ETAsub-subpara">
    <w:name w:val="ETA(sub-subpara)"/>
    <w:basedOn w:val="OPCParaBase"/>
    <w:rsid w:val="003265FF"/>
    <w:pPr>
      <w:tabs>
        <w:tab w:val="right" w:pos="1412"/>
      </w:tabs>
      <w:spacing w:before="60" w:line="240" w:lineRule="auto"/>
      <w:ind w:left="1525" w:hanging="1525"/>
    </w:pPr>
    <w:rPr>
      <w:sz w:val="20"/>
    </w:rPr>
  </w:style>
  <w:style w:type="paragraph" w:customStyle="1" w:styleId="Formula">
    <w:name w:val="Formula"/>
    <w:basedOn w:val="OPCParaBase"/>
    <w:rsid w:val="003265FF"/>
    <w:pPr>
      <w:spacing w:line="240" w:lineRule="auto"/>
      <w:ind w:left="1134"/>
    </w:pPr>
    <w:rPr>
      <w:sz w:val="20"/>
    </w:rPr>
  </w:style>
  <w:style w:type="paragraph" w:styleId="Header">
    <w:name w:val="header"/>
    <w:basedOn w:val="OPCParaBase"/>
    <w:link w:val="HeaderChar"/>
    <w:unhideWhenUsed/>
    <w:rsid w:val="003265F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265FF"/>
    <w:rPr>
      <w:rFonts w:eastAsia="Times New Roman" w:cs="Times New Roman"/>
      <w:sz w:val="16"/>
      <w:lang w:eastAsia="en-AU"/>
    </w:rPr>
  </w:style>
  <w:style w:type="paragraph" w:customStyle="1" w:styleId="House">
    <w:name w:val="House"/>
    <w:basedOn w:val="OPCParaBase"/>
    <w:rsid w:val="003265FF"/>
    <w:pPr>
      <w:spacing w:line="240" w:lineRule="auto"/>
    </w:pPr>
    <w:rPr>
      <w:sz w:val="28"/>
    </w:rPr>
  </w:style>
  <w:style w:type="paragraph" w:customStyle="1" w:styleId="Item">
    <w:name w:val="Item"/>
    <w:aliases w:val="i"/>
    <w:basedOn w:val="OPCParaBase"/>
    <w:next w:val="ItemHead"/>
    <w:rsid w:val="003265FF"/>
    <w:pPr>
      <w:keepLines/>
      <w:spacing w:before="80" w:line="240" w:lineRule="auto"/>
      <w:ind w:left="709"/>
    </w:pPr>
  </w:style>
  <w:style w:type="paragraph" w:customStyle="1" w:styleId="ItemHead">
    <w:name w:val="ItemHead"/>
    <w:aliases w:val="ih"/>
    <w:basedOn w:val="OPCParaBase"/>
    <w:next w:val="Item"/>
    <w:rsid w:val="003265F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265FF"/>
    <w:pPr>
      <w:spacing w:line="240" w:lineRule="auto"/>
    </w:pPr>
    <w:rPr>
      <w:b/>
      <w:sz w:val="32"/>
    </w:rPr>
  </w:style>
  <w:style w:type="paragraph" w:customStyle="1" w:styleId="notedraft">
    <w:name w:val="note(draft)"/>
    <w:aliases w:val="nd"/>
    <w:basedOn w:val="OPCParaBase"/>
    <w:rsid w:val="003265FF"/>
    <w:pPr>
      <w:spacing w:before="240" w:line="240" w:lineRule="auto"/>
      <w:ind w:left="284" w:hanging="284"/>
    </w:pPr>
    <w:rPr>
      <w:i/>
      <w:sz w:val="24"/>
    </w:rPr>
  </w:style>
  <w:style w:type="paragraph" w:customStyle="1" w:styleId="notemargin">
    <w:name w:val="note(margin)"/>
    <w:aliases w:val="nm"/>
    <w:basedOn w:val="OPCParaBase"/>
    <w:rsid w:val="003265FF"/>
    <w:pPr>
      <w:tabs>
        <w:tab w:val="left" w:pos="709"/>
      </w:tabs>
      <w:spacing w:before="122" w:line="198" w:lineRule="exact"/>
      <w:ind w:left="709" w:hanging="709"/>
    </w:pPr>
    <w:rPr>
      <w:sz w:val="18"/>
    </w:rPr>
  </w:style>
  <w:style w:type="paragraph" w:customStyle="1" w:styleId="noteToPara">
    <w:name w:val="noteToPara"/>
    <w:aliases w:val="ntp"/>
    <w:basedOn w:val="OPCParaBase"/>
    <w:rsid w:val="003265FF"/>
    <w:pPr>
      <w:spacing w:before="122" w:line="198" w:lineRule="exact"/>
      <w:ind w:left="2353" w:hanging="709"/>
    </w:pPr>
    <w:rPr>
      <w:sz w:val="18"/>
    </w:rPr>
  </w:style>
  <w:style w:type="paragraph" w:customStyle="1" w:styleId="noteParlAmend">
    <w:name w:val="note(ParlAmend)"/>
    <w:aliases w:val="npp"/>
    <w:basedOn w:val="OPCParaBase"/>
    <w:next w:val="ParlAmend"/>
    <w:rsid w:val="003265FF"/>
    <w:pPr>
      <w:spacing w:line="240" w:lineRule="auto"/>
      <w:jc w:val="right"/>
    </w:pPr>
    <w:rPr>
      <w:rFonts w:ascii="Arial" w:hAnsi="Arial"/>
      <w:b/>
      <w:i/>
    </w:rPr>
  </w:style>
  <w:style w:type="paragraph" w:customStyle="1" w:styleId="Page1">
    <w:name w:val="Page1"/>
    <w:basedOn w:val="OPCParaBase"/>
    <w:rsid w:val="003265FF"/>
    <w:pPr>
      <w:spacing w:before="5600" w:line="240" w:lineRule="auto"/>
    </w:pPr>
    <w:rPr>
      <w:b/>
      <w:sz w:val="32"/>
    </w:rPr>
  </w:style>
  <w:style w:type="paragraph" w:customStyle="1" w:styleId="PageBreak">
    <w:name w:val="PageBreak"/>
    <w:aliases w:val="pb"/>
    <w:basedOn w:val="OPCParaBase"/>
    <w:rsid w:val="003265FF"/>
    <w:pPr>
      <w:spacing w:line="240" w:lineRule="auto"/>
    </w:pPr>
    <w:rPr>
      <w:sz w:val="20"/>
    </w:rPr>
  </w:style>
  <w:style w:type="paragraph" w:customStyle="1" w:styleId="paragraphsub">
    <w:name w:val="paragraph(sub)"/>
    <w:aliases w:val="aa"/>
    <w:basedOn w:val="OPCParaBase"/>
    <w:rsid w:val="003265FF"/>
    <w:pPr>
      <w:tabs>
        <w:tab w:val="right" w:pos="1985"/>
      </w:tabs>
      <w:spacing w:before="40" w:line="240" w:lineRule="auto"/>
      <w:ind w:left="2098" w:hanging="2098"/>
    </w:pPr>
  </w:style>
  <w:style w:type="paragraph" w:customStyle="1" w:styleId="paragraphsub-sub">
    <w:name w:val="paragraph(sub-sub)"/>
    <w:aliases w:val="aaa"/>
    <w:basedOn w:val="OPCParaBase"/>
    <w:rsid w:val="003265FF"/>
    <w:pPr>
      <w:tabs>
        <w:tab w:val="right" w:pos="2722"/>
      </w:tabs>
      <w:spacing w:before="40" w:line="240" w:lineRule="auto"/>
      <w:ind w:left="2835" w:hanging="2835"/>
    </w:pPr>
  </w:style>
  <w:style w:type="paragraph" w:customStyle="1" w:styleId="paragraph">
    <w:name w:val="paragraph"/>
    <w:aliases w:val="a"/>
    <w:basedOn w:val="OPCParaBase"/>
    <w:link w:val="paragraphChar"/>
    <w:rsid w:val="003265FF"/>
    <w:pPr>
      <w:tabs>
        <w:tab w:val="right" w:pos="1531"/>
      </w:tabs>
      <w:spacing w:before="40" w:line="240" w:lineRule="auto"/>
      <w:ind w:left="1644" w:hanging="1644"/>
    </w:pPr>
  </w:style>
  <w:style w:type="paragraph" w:customStyle="1" w:styleId="ParlAmend">
    <w:name w:val="ParlAmend"/>
    <w:aliases w:val="pp"/>
    <w:basedOn w:val="OPCParaBase"/>
    <w:rsid w:val="003265FF"/>
    <w:pPr>
      <w:spacing w:before="240" w:line="240" w:lineRule="atLeast"/>
      <w:ind w:hanging="567"/>
    </w:pPr>
    <w:rPr>
      <w:sz w:val="24"/>
    </w:rPr>
  </w:style>
  <w:style w:type="paragraph" w:customStyle="1" w:styleId="Penalty">
    <w:name w:val="Penalty"/>
    <w:basedOn w:val="OPCParaBase"/>
    <w:rsid w:val="003265FF"/>
    <w:pPr>
      <w:tabs>
        <w:tab w:val="left" w:pos="2977"/>
      </w:tabs>
      <w:spacing w:before="180" w:line="240" w:lineRule="auto"/>
      <w:ind w:left="1985" w:hanging="851"/>
    </w:pPr>
  </w:style>
  <w:style w:type="paragraph" w:customStyle="1" w:styleId="Portfolio">
    <w:name w:val="Portfolio"/>
    <w:basedOn w:val="OPCParaBase"/>
    <w:rsid w:val="003265FF"/>
    <w:pPr>
      <w:spacing w:line="240" w:lineRule="auto"/>
    </w:pPr>
    <w:rPr>
      <w:i/>
      <w:sz w:val="20"/>
    </w:rPr>
  </w:style>
  <w:style w:type="paragraph" w:customStyle="1" w:styleId="Preamble">
    <w:name w:val="Preamble"/>
    <w:basedOn w:val="OPCParaBase"/>
    <w:next w:val="Normal"/>
    <w:rsid w:val="003265F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265FF"/>
    <w:pPr>
      <w:spacing w:line="240" w:lineRule="auto"/>
    </w:pPr>
    <w:rPr>
      <w:i/>
      <w:sz w:val="20"/>
    </w:rPr>
  </w:style>
  <w:style w:type="paragraph" w:customStyle="1" w:styleId="Session">
    <w:name w:val="Session"/>
    <w:basedOn w:val="OPCParaBase"/>
    <w:rsid w:val="003265FF"/>
    <w:pPr>
      <w:spacing w:line="240" w:lineRule="auto"/>
    </w:pPr>
    <w:rPr>
      <w:sz w:val="28"/>
    </w:rPr>
  </w:style>
  <w:style w:type="paragraph" w:customStyle="1" w:styleId="Sponsor">
    <w:name w:val="Sponsor"/>
    <w:basedOn w:val="OPCParaBase"/>
    <w:rsid w:val="003265FF"/>
    <w:pPr>
      <w:spacing w:line="240" w:lineRule="auto"/>
    </w:pPr>
    <w:rPr>
      <w:i/>
    </w:rPr>
  </w:style>
  <w:style w:type="paragraph" w:customStyle="1" w:styleId="Subitem">
    <w:name w:val="Subitem"/>
    <w:aliases w:val="iss"/>
    <w:basedOn w:val="OPCParaBase"/>
    <w:rsid w:val="003265FF"/>
    <w:pPr>
      <w:spacing w:before="180" w:line="240" w:lineRule="auto"/>
      <w:ind w:left="709" w:hanging="709"/>
    </w:pPr>
  </w:style>
  <w:style w:type="paragraph" w:customStyle="1" w:styleId="SubitemHead">
    <w:name w:val="SubitemHead"/>
    <w:aliases w:val="issh"/>
    <w:basedOn w:val="OPCParaBase"/>
    <w:rsid w:val="003265F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265FF"/>
    <w:pPr>
      <w:spacing w:before="40" w:line="240" w:lineRule="auto"/>
      <w:ind w:left="1134"/>
    </w:pPr>
  </w:style>
  <w:style w:type="paragraph" w:customStyle="1" w:styleId="SubsectionHead">
    <w:name w:val="SubsectionHead"/>
    <w:aliases w:val="ssh"/>
    <w:basedOn w:val="OPCParaBase"/>
    <w:next w:val="subsection"/>
    <w:rsid w:val="003265FF"/>
    <w:pPr>
      <w:keepNext/>
      <w:keepLines/>
      <w:spacing w:before="240" w:line="240" w:lineRule="auto"/>
      <w:ind w:left="1134"/>
    </w:pPr>
    <w:rPr>
      <w:i/>
    </w:rPr>
  </w:style>
  <w:style w:type="paragraph" w:customStyle="1" w:styleId="Tablea">
    <w:name w:val="Table(a)"/>
    <w:aliases w:val="ta"/>
    <w:basedOn w:val="OPCParaBase"/>
    <w:rsid w:val="003265FF"/>
    <w:pPr>
      <w:spacing w:before="60" w:line="240" w:lineRule="auto"/>
      <w:ind w:left="284" w:hanging="284"/>
    </w:pPr>
    <w:rPr>
      <w:sz w:val="20"/>
    </w:rPr>
  </w:style>
  <w:style w:type="paragraph" w:customStyle="1" w:styleId="TableAA">
    <w:name w:val="Table(AA)"/>
    <w:aliases w:val="taaa"/>
    <w:basedOn w:val="OPCParaBase"/>
    <w:rsid w:val="003265F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265F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265FF"/>
    <w:pPr>
      <w:spacing w:before="60" w:line="240" w:lineRule="atLeast"/>
    </w:pPr>
    <w:rPr>
      <w:sz w:val="20"/>
    </w:rPr>
  </w:style>
  <w:style w:type="paragraph" w:customStyle="1" w:styleId="TLPBoxTextnote">
    <w:name w:val="TLPBoxText(note"/>
    <w:aliases w:val="right)"/>
    <w:basedOn w:val="OPCParaBase"/>
    <w:rsid w:val="003265F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265F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265FF"/>
    <w:pPr>
      <w:spacing w:before="122" w:line="198" w:lineRule="exact"/>
      <w:ind w:left="1985" w:hanging="851"/>
      <w:jc w:val="right"/>
    </w:pPr>
    <w:rPr>
      <w:sz w:val="18"/>
    </w:rPr>
  </w:style>
  <w:style w:type="paragraph" w:customStyle="1" w:styleId="TLPTableBullet">
    <w:name w:val="TLPTableBullet"/>
    <w:aliases w:val="ttb"/>
    <w:basedOn w:val="OPCParaBase"/>
    <w:rsid w:val="003265FF"/>
    <w:pPr>
      <w:spacing w:line="240" w:lineRule="exact"/>
      <w:ind w:left="284" w:hanging="284"/>
    </w:pPr>
    <w:rPr>
      <w:sz w:val="20"/>
    </w:rPr>
  </w:style>
  <w:style w:type="paragraph" w:styleId="TOC1">
    <w:name w:val="toc 1"/>
    <w:basedOn w:val="OPCParaBase"/>
    <w:next w:val="Normal"/>
    <w:uiPriority w:val="39"/>
    <w:semiHidden/>
    <w:unhideWhenUsed/>
    <w:rsid w:val="003265F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265F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265F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265F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265F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265F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265F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265F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265F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265FF"/>
    <w:pPr>
      <w:keepLines/>
      <w:spacing w:before="240" w:after="120" w:line="240" w:lineRule="auto"/>
      <w:ind w:left="794"/>
    </w:pPr>
    <w:rPr>
      <w:b/>
      <w:kern w:val="28"/>
      <w:sz w:val="20"/>
    </w:rPr>
  </w:style>
  <w:style w:type="paragraph" w:customStyle="1" w:styleId="TofSectsHeading">
    <w:name w:val="TofSects(Heading)"/>
    <w:basedOn w:val="OPCParaBase"/>
    <w:rsid w:val="003265FF"/>
    <w:pPr>
      <w:spacing w:before="240" w:after="120" w:line="240" w:lineRule="auto"/>
    </w:pPr>
    <w:rPr>
      <w:b/>
      <w:sz w:val="24"/>
    </w:rPr>
  </w:style>
  <w:style w:type="paragraph" w:customStyle="1" w:styleId="TofSectsSection">
    <w:name w:val="TofSects(Section)"/>
    <w:basedOn w:val="OPCParaBase"/>
    <w:rsid w:val="003265FF"/>
    <w:pPr>
      <w:keepLines/>
      <w:spacing w:before="40" w:line="240" w:lineRule="auto"/>
      <w:ind w:left="1588" w:hanging="794"/>
    </w:pPr>
    <w:rPr>
      <w:kern w:val="28"/>
      <w:sz w:val="18"/>
    </w:rPr>
  </w:style>
  <w:style w:type="paragraph" w:customStyle="1" w:styleId="TofSectsSubdiv">
    <w:name w:val="TofSects(Subdiv)"/>
    <w:basedOn w:val="OPCParaBase"/>
    <w:rsid w:val="003265FF"/>
    <w:pPr>
      <w:keepLines/>
      <w:spacing w:before="80" w:line="240" w:lineRule="auto"/>
      <w:ind w:left="1588" w:hanging="794"/>
    </w:pPr>
    <w:rPr>
      <w:kern w:val="28"/>
    </w:rPr>
  </w:style>
  <w:style w:type="paragraph" w:customStyle="1" w:styleId="WRStyle">
    <w:name w:val="WR Style"/>
    <w:aliases w:val="WR"/>
    <w:basedOn w:val="OPCParaBase"/>
    <w:rsid w:val="003265FF"/>
    <w:pPr>
      <w:spacing w:before="240" w:line="240" w:lineRule="auto"/>
      <w:ind w:left="284" w:hanging="284"/>
    </w:pPr>
    <w:rPr>
      <w:b/>
      <w:i/>
      <w:kern w:val="28"/>
      <w:sz w:val="24"/>
    </w:rPr>
  </w:style>
  <w:style w:type="paragraph" w:customStyle="1" w:styleId="notepara">
    <w:name w:val="note(para)"/>
    <w:aliases w:val="na"/>
    <w:basedOn w:val="OPCParaBase"/>
    <w:rsid w:val="003265FF"/>
    <w:pPr>
      <w:spacing w:before="40" w:line="198" w:lineRule="exact"/>
      <w:ind w:left="2354" w:hanging="369"/>
    </w:pPr>
    <w:rPr>
      <w:sz w:val="18"/>
    </w:rPr>
  </w:style>
  <w:style w:type="paragraph" w:styleId="Footer">
    <w:name w:val="footer"/>
    <w:link w:val="FooterChar"/>
    <w:rsid w:val="003265F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265FF"/>
    <w:rPr>
      <w:rFonts w:eastAsia="Times New Roman" w:cs="Times New Roman"/>
      <w:sz w:val="22"/>
      <w:szCs w:val="24"/>
      <w:lang w:eastAsia="en-AU"/>
    </w:rPr>
  </w:style>
  <w:style w:type="character" w:styleId="LineNumber">
    <w:name w:val="line number"/>
    <w:basedOn w:val="OPCCharBase"/>
    <w:uiPriority w:val="99"/>
    <w:semiHidden/>
    <w:unhideWhenUsed/>
    <w:rsid w:val="003265FF"/>
    <w:rPr>
      <w:sz w:val="16"/>
    </w:rPr>
  </w:style>
  <w:style w:type="table" w:customStyle="1" w:styleId="CFlag">
    <w:name w:val="CFlag"/>
    <w:basedOn w:val="TableNormal"/>
    <w:uiPriority w:val="99"/>
    <w:rsid w:val="003265FF"/>
    <w:rPr>
      <w:rFonts w:eastAsia="Times New Roman" w:cs="Times New Roman"/>
      <w:lang w:eastAsia="en-AU"/>
    </w:rPr>
    <w:tblPr/>
  </w:style>
  <w:style w:type="paragraph" w:customStyle="1" w:styleId="NotesHeading1">
    <w:name w:val="NotesHeading 1"/>
    <w:basedOn w:val="OPCParaBase"/>
    <w:next w:val="Normal"/>
    <w:rsid w:val="003265FF"/>
    <w:rPr>
      <w:b/>
      <w:sz w:val="28"/>
      <w:szCs w:val="28"/>
    </w:rPr>
  </w:style>
  <w:style w:type="paragraph" w:customStyle="1" w:styleId="NotesHeading2">
    <w:name w:val="NotesHeading 2"/>
    <w:basedOn w:val="OPCParaBase"/>
    <w:next w:val="Normal"/>
    <w:rsid w:val="003265FF"/>
    <w:rPr>
      <w:b/>
      <w:sz w:val="28"/>
      <w:szCs w:val="28"/>
    </w:rPr>
  </w:style>
  <w:style w:type="paragraph" w:customStyle="1" w:styleId="SignCoverPageEnd">
    <w:name w:val="SignCoverPageEnd"/>
    <w:basedOn w:val="OPCParaBase"/>
    <w:next w:val="Normal"/>
    <w:rsid w:val="003265F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265FF"/>
    <w:pPr>
      <w:pBdr>
        <w:top w:val="single" w:sz="4" w:space="1" w:color="auto"/>
      </w:pBdr>
      <w:spacing w:before="360"/>
      <w:ind w:right="397"/>
      <w:jc w:val="both"/>
    </w:pPr>
  </w:style>
  <w:style w:type="paragraph" w:customStyle="1" w:styleId="Paragraphsub-sub-sub">
    <w:name w:val="Paragraph(sub-sub-sub)"/>
    <w:aliases w:val="aaaa"/>
    <w:basedOn w:val="OPCParaBase"/>
    <w:rsid w:val="003265F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265F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265F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265F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265F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265FF"/>
    <w:pPr>
      <w:spacing w:before="120"/>
    </w:pPr>
  </w:style>
  <w:style w:type="paragraph" w:customStyle="1" w:styleId="TableTextEndNotes">
    <w:name w:val="TableTextEndNotes"/>
    <w:aliases w:val="Tten"/>
    <w:basedOn w:val="Normal"/>
    <w:rsid w:val="003265FF"/>
    <w:pPr>
      <w:spacing w:before="60" w:line="240" w:lineRule="auto"/>
    </w:pPr>
    <w:rPr>
      <w:rFonts w:cs="Arial"/>
      <w:sz w:val="20"/>
      <w:szCs w:val="22"/>
    </w:rPr>
  </w:style>
  <w:style w:type="paragraph" w:customStyle="1" w:styleId="TableHeading">
    <w:name w:val="TableHeading"/>
    <w:aliases w:val="th"/>
    <w:basedOn w:val="OPCParaBase"/>
    <w:next w:val="Tabletext"/>
    <w:rsid w:val="003265FF"/>
    <w:pPr>
      <w:keepNext/>
      <w:spacing w:before="60" w:line="240" w:lineRule="atLeast"/>
    </w:pPr>
    <w:rPr>
      <w:b/>
      <w:sz w:val="20"/>
    </w:rPr>
  </w:style>
  <w:style w:type="paragraph" w:customStyle="1" w:styleId="NoteToSubpara">
    <w:name w:val="NoteToSubpara"/>
    <w:aliases w:val="nts"/>
    <w:basedOn w:val="OPCParaBase"/>
    <w:rsid w:val="003265FF"/>
    <w:pPr>
      <w:spacing w:before="40" w:line="198" w:lineRule="exact"/>
      <w:ind w:left="2835" w:hanging="709"/>
    </w:pPr>
    <w:rPr>
      <w:sz w:val="18"/>
    </w:rPr>
  </w:style>
  <w:style w:type="paragraph" w:customStyle="1" w:styleId="ENoteTableHeading">
    <w:name w:val="ENoteTableHeading"/>
    <w:aliases w:val="enth"/>
    <w:basedOn w:val="OPCParaBase"/>
    <w:rsid w:val="003265FF"/>
    <w:pPr>
      <w:keepNext/>
      <w:spacing w:before="60" w:line="240" w:lineRule="atLeast"/>
    </w:pPr>
    <w:rPr>
      <w:rFonts w:ascii="Arial" w:hAnsi="Arial"/>
      <w:b/>
      <w:sz w:val="16"/>
    </w:rPr>
  </w:style>
  <w:style w:type="paragraph" w:customStyle="1" w:styleId="ENoteTTi">
    <w:name w:val="ENoteTTi"/>
    <w:aliases w:val="entti"/>
    <w:basedOn w:val="OPCParaBase"/>
    <w:rsid w:val="003265FF"/>
    <w:pPr>
      <w:keepNext/>
      <w:spacing w:before="60" w:line="240" w:lineRule="atLeast"/>
      <w:ind w:left="170"/>
    </w:pPr>
    <w:rPr>
      <w:sz w:val="16"/>
    </w:rPr>
  </w:style>
  <w:style w:type="paragraph" w:customStyle="1" w:styleId="ENotesHeading1">
    <w:name w:val="ENotesHeading 1"/>
    <w:aliases w:val="Enh1"/>
    <w:basedOn w:val="OPCParaBase"/>
    <w:next w:val="Normal"/>
    <w:rsid w:val="003265FF"/>
    <w:pPr>
      <w:spacing w:before="120"/>
      <w:outlineLvl w:val="1"/>
    </w:pPr>
    <w:rPr>
      <w:b/>
      <w:sz w:val="28"/>
      <w:szCs w:val="28"/>
    </w:rPr>
  </w:style>
  <w:style w:type="paragraph" w:customStyle="1" w:styleId="ENotesHeading2">
    <w:name w:val="ENotesHeading 2"/>
    <w:aliases w:val="Enh2"/>
    <w:basedOn w:val="OPCParaBase"/>
    <w:next w:val="Normal"/>
    <w:rsid w:val="003265FF"/>
    <w:pPr>
      <w:spacing w:before="120" w:after="120"/>
      <w:outlineLvl w:val="2"/>
    </w:pPr>
    <w:rPr>
      <w:b/>
      <w:sz w:val="24"/>
      <w:szCs w:val="28"/>
    </w:rPr>
  </w:style>
  <w:style w:type="paragraph" w:customStyle="1" w:styleId="ENoteTTIndentHeading">
    <w:name w:val="ENoteTTIndentHeading"/>
    <w:aliases w:val="enTTHi"/>
    <w:basedOn w:val="OPCParaBase"/>
    <w:rsid w:val="003265F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265FF"/>
    <w:pPr>
      <w:spacing w:before="60" w:line="240" w:lineRule="atLeast"/>
    </w:pPr>
    <w:rPr>
      <w:sz w:val="16"/>
    </w:rPr>
  </w:style>
  <w:style w:type="paragraph" w:customStyle="1" w:styleId="MadeunderText">
    <w:name w:val="MadeunderText"/>
    <w:basedOn w:val="OPCParaBase"/>
    <w:next w:val="Normal"/>
    <w:rsid w:val="003265FF"/>
    <w:pPr>
      <w:spacing w:before="240"/>
    </w:pPr>
    <w:rPr>
      <w:sz w:val="24"/>
      <w:szCs w:val="24"/>
    </w:rPr>
  </w:style>
  <w:style w:type="paragraph" w:customStyle="1" w:styleId="ENotesHeading3">
    <w:name w:val="ENotesHeading 3"/>
    <w:aliases w:val="Enh3"/>
    <w:basedOn w:val="OPCParaBase"/>
    <w:next w:val="Normal"/>
    <w:rsid w:val="003265FF"/>
    <w:pPr>
      <w:keepNext/>
      <w:spacing w:before="120" w:line="240" w:lineRule="auto"/>
      <w:outlineLvl w:val="4"/>
    </w:pPr>
    <w:rPr>
      <w:b/>
      <w:szCs w:val="24"/>
    </w:rPr>
  </w:style>
  <w:style w:type="paragraph" w:customStyle="1" w:styleId="SubPartCASA">
    <w:name w:val="SubPart(CASA)"/>
    <w:aliases w:val="csp"/>
    <w:basedOn w:val="OPCParaBase"/>
    <w:next w:val="ActHead3"/>
    <w:rsid w:val="003265F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265FF"/>
  </w:style>
  <w:style w:type="character" w:customStyle="1" w:styleId="CharSubPartNoCASA">
    <w:name w:val="CharSubPartNo(CASA)"/>
    <w:basedOn w:val="OPCCharBase"/>
    <w:uiPriority w:val="1"/>
    <w:rsid w:val="003265FF"/>
  </w:style>
  <w:style w:type="paragraph" w:customStyle="1" w:styleId="ENoteTTIndentHeadingSub">
    <w:name w:val="ENoteTTIndentHeadingSub"/>
    <w:aliases w:val="enTTHis"/>
    <w:basedOn w:val="OPCParaBase"/>
    <w:rsid w:val="003265FF"/>
    <w:pPr>
      <w:keepNext/>
      <w:spacing w:before="60" w:line="240" w:lineRule="atLeast"/>
      <w:ind w:left="340"/>
    </w:pPr>
    <w:rPr>
      <w:b/>
      <w:sz w:val="16"/>
    </w:rPr>
  </w:style>
  <w:style w:type="paragraph" w:customStyle="1" w:styleId="ENoteTTiSub">
    <w:name w:val="ENoteTTiSub"/>
    <w:aliases w:val="enttis"/>
    <w:basedOn w:val="OPCParaBase"/>
    <w:rsid w:val="003265FF"/>
    <w:pPr>
      <w:keepNext/>
      <w:spacing w:before="60" w:line="240" w:lineRule="atLeast"/>
      <w:ind w:left="340"/>
    </w:pPr>
    <w:rPr>
      <w:sz w:val="16"/>
    </w:rPr>
  </w:style>
  <w:style w:type="paragraph" w:customStyle="1" w:styleId="SubDivisionMigration">
    <w:name w:val="SubDivisionMigration"/>
    <w:aliases w:val="sdm"/>
    <w:basedOn w:val="OPCParaBase"/>
    <w:rsid w:val="003265F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265FF"/>
    <w:pPr>
      <w:keepNext/>
      <w:keepLines/>
      <w:spacing w:before="240" w:line="240" w:lineRule="auto"/>
      <w:ind w:left="1134" w:hanging="1134"/>
    </w:pPr>
    <w:rPr>
      <w:b/>
      <w:sz w:val="28"/>
    </w:rPr>
  </w:style>
  <w:style w:type="table" w:styleId="TableGrid">
    <w:name w:val="Table Grid"/>
    <w:basedOn w:val="TableNormal"/>
    <w:uiPriority w:val="59"/>
    <w:rsid w:val="00326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265FF"/>
    <w:pPr>
      <w:spacing w:before="122" w:line="240" w:lineRule="auto"/>
      <w:ind w:left="1985" w:hanging="851"/>
    </w:pPr>
    <w:rPr>
      <w:sz w:val="18"/>
    </w:rPr>
  </w:style>
  <w:style w:type="paragraph" w:customStyle="1" w:styleId="FreeForm">
    <w:name w:val="FreeForm"/>
    <w:rsid w:val="003265FF"/>
    <w:rPr>
      <w:rFonts w:ascii="Arial" w:hAnsi="Arial"/>
      <w:sz w:val="22"/>
    </w:rPr>
  </w:style>
  <w:style w:type="paragraph" w:customStyle="1" w:styleId="SOText">
    <w:name w:val="SO Text"/>
    <w:aliases w:val="sot"/>
    <w:link w:val="SOTextChar"/>
    <w:rsid w:val="003265F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265FF"/>
    <w:rPr>
      <w:sz w:val="22"/>
    </w:rPr>
  </w:style>
  <w:style w:type="paragraph" w:customStyle="1" w:styleId="SOTextNote">
    <w:name w:val="SO TextNote"/>
    <w:aliases w:val="sont"/>
    <w:basedOn w:val="SOText"/>
    <w:qFormat/>
    <w:rsid w:val="003265FF"/>
    <w:pPr>
      <w:spacing w:before="122" w:line="198" w:lineRule="exact"/>
      <w:ind w:left="1843" w:hanging="709"/>
    </w:pPr>
    <w:rPr>
      <w:sz w:val="18"/>
    </w:rPr>
  </w:style>
  <w:style w:type="paragraph" w:customStyle="1" w:styleId="SOPara">
    <w:name w:val="SO Para"/>
    <w:aliases w:val="soa"/>
    <w:basedOn w:val="SOText"/>
    <w:link w:val="SOParaChar"/>
    <w:qFormat/>
    <w:rsid w:val="003265FF"/>
    <w:pPr>
      <w:tabs>
        <w:tab w:val="right" w:pos="1786"/>
      </w:tabs>
      <w:spacing w:before="40"/>
      <w:ind w:left="2070" w:hanging="936"/>
    </w:pPr>
  </w:style>
  <w:style w:type="character" w:customStyle="1" w:styleId="SOParaChar">
    <w:name w:val="SO Para Char"/>
    <w:aliases w:val="soa Char"/>
    <w:basedOn w:val="DefaultParagraphFont"/>
    <w:link w:val="SOPara"/>
    <w:rsid w:val="003265FF"/>
    <w:rPr>
      <w:sz w:val="22"/>
    </w:rPr>
  </w:style>
  <w:style w:type="paragraph" w:customStyle="1" w:styleId="FileName">
    <w:name w:val="FileName"/>
    <w:basedOn w:val="Normal"/>
    <w:rsid w:val="003265FF"/>
  </w:style>
  <w:style w:type="paragraph" w:customStyle="1" w:styleId="SOHeadBold">
    <w:name w:val="SO HeadBold"/>
    <w:aliases w:val="sohb"/>
    <w:basedOn w:val="SOText"/>
    <w:next w:val="SOText"/>
    <w:link w:val="SOHeadBoldChar"/>
    <w:qFormat/>
    <w:rsid w:val="003265FF"/>
    <w:rPr>
      <w:b/>
    </w:rPr>
  </w:style>
  <w:style w:type="character" w:customStyle="1" w:styleId="SOHeadBoldChar">
    <w:name w:val="SO HeadBold Char"/>
    <w:aliases w:val="sohb Char"/>
    <w:basedOn w:val="DefaultParagraphFont"/>
    <w:link w:val="SOHeadBold"/>
    <w:rsid w:val="003265FF"/>
    <w:rPr>
      <w:b/>
      <w:sz w:val="22"/>
    </w:rPr>
  </w:style>
  <w:style w:type="paragraph" w:customStyle="1" w:styleId="SOHeadItalic">
    <w:name w:val="SO HeadItalic"/>
    <w:aliases w:val="sohi"/>
    <w:basedOn w:val="SOText"/>
    <w:next w:val="SOText"/>
    <w:link w:val="SOHeadItalicChar"/>
    <w:qFormat/>
    <w:rsid w:val="003265FF"/>
    <w:rPr>
      <w:i/>
    </w:rPr>
  </w:style>
  <w:style w:type="character" w:customStyle="1" w:styleId="SOHeadItalicChar">
    <w:name w:val="SO HeadItalic Char"/>
    <w:aliases w:val="sohi Char"/>
    <w:basedOn w:val="DefaultParagraphFont"/>
    <w:link w:val="SOHeadItalic"/>
    <w:rsid w:val="003265FF"/>
    <w:rPr>
      <w:i/>
      <w:sz w:val="22"/>
    </w:rPr>
  </w:style>
  <w:style w:type="paragraph" w:customStyle="1" w:styleId="SOBullet">
    <w:name w:val="SO Bullet"/>
    <w:aliases w:val="sotb"/>
    <w:basedOn w:val="SOText"/>
    <w:link w:val="SOBulletChar"/>
    <w:qFormat/>
    <w:rsid w:val="003265FF"/>
    <w:pPr>
      <w:ind w:left="1559" w:hanging="425"/>
    </w:pPr>
  </w:style>
  <w:style w:type="character" w:customStyle="1" w:styleId="SOBulletChar">
    <w:name w:val="SO Bullet Char"/>
    <w:aliases w:val="sotb Char"/>
    <w:basedOn w:val="DefaultParagraphFont"/>
    <w:link w:val="SOBullet"/>
    <w:rsid w:val="003265FF"/>
    <w:rPr>
      <w:sz w:val="22"/>
    </w:rPr>
  </w:style>
  <w:style w:type="paragraph" w:customStyle="1" w:styleId="SOBulletNote">
    <w:name w:val="SO BulletNote"/>
    <w:aliases w:val="sonb"/>
    <w:basedOn w:val="SOTextNote"/>
    <w:link w:val="SOBulletNoteChar"/>
    <w:qFormat/>
    <w:rsid w:val="003265FF"/>
    <w:pPr>
      <w:tabs>
        <w:tab w:val="left" w:pos="1560"/>
      </w:tabs>
      <w:ind w:left="2268" w:hanging="1134"/>
    </w:pPr>
  </w:style>
  <w:style w:type="character" w:customStyle="1" w:styleId="SOBulletNoteChar">
    <w:name w:val="SO BulletNote Char"/>
    <w:aliases w:val="sonb Char"/>
    <w:basedOn w:val="DefaultParagraphFont"/>
    <w:link w:val="SOBulletNote"/>
    <w:rsid w:val="003265FF"/>
    <w:rPr>
      <w:sz w:val="18"/>
    </w:rPr>
  </w:style>
  <w:style w:type="paragraph" w:customStyle="1" w:styleId="SOText2">
    <w:name w:val="SO Text2"/>
    <w:aliases w:val="sot2"/>
    <w:basedOn w:val="Normal"/>
    <w:next w:val="SOText"/>
    <w:link w:val="SOText2Char"/>
    <w:rsid w:val="003265F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265FF"/>
    <w:rPr>
      <w:sz w:val="22"/>
    </w:rPr>
  </w:style>
  <w:style w:type="paragraph" w:customStyle="1" w:styleId="Transitional">
    <w:name w:val="Transitional"/>
    <w:aliases w:val="tr"/>
    <w:basedOn w:val="ItemHead"/>
    <w:next w:val="Item"/>
    <w:rsid w:val="003265FF"/>
  </w:style>
  <w:style w:type="character" w:customStyle="1" w:styleId="subsectionChar">
    <w:name w:val="subsection Char"/>
    <w:aliases w:val="ss Char"/>
    <w:basedOn w:val="DefaultParagraphFont"/>
    <w:link w:val="subsection"/>
    <w:locked/>
    <w:rsid w:val="007E53C4"/>
    <w:rPr>
      <w:rFonts w:eastAsia="Times New Roman" w:cs="Times New Roman"/>
      <w:sz w:val="22"/>
      <w:lang w:eastAsia="en-AU"/>
    </w:rPr>
  </w:style>
  <w:style w:type="character" w:customStyle="1" w:styleId="paragraphChar">
    <w:name w:val="paragraph Char"/>
    <w:aliases w:val="a Char"/>
    <w:link w:val="paragraph"/>
    <w:rsid w:val="007E53C4"/>
    <w:rPr>
      <w:rFonts w:eastAsia="Times New Roman" w:cs="Times New Roman"/>
      <w:sz w:val="22"/>
      <w:lang w:eastAsia="en-AU"/>
    </w:rPr>
  </w:style>
  <w:style w:type="character" w:customStyle="1" w:styleId="ActHead5Char">
    <w:name w:val="ActHead 5 Char"/>
    <w:aliases w:val="s Char"/>
    <w:link w:val="ActHead5"/>
    <w:rsid w:val="007E53C4"/>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D04B9D"/>
    <w:rPr>
      <w:rFonts w:eastAsia="Times New Roman" w:cs="Times New Roman"/>
      <w:sz w:val="18"/>
      <w:lang w:eastAsia="en-AU"/>
    </w:rPr>
  </w:style>
  <w:style w:type="paragraph" w:styleId="BalloonText">
    <w:name w:val="Balloon Text"/>
    <w:basedOn w:val="Normal"/>
    <w:link w:val="BalloonTextChar"/>
    <w:uiPriority w:val="99"/>
    <w:semiHidden/>
    <w:unhideWhenUsed/>
    <w:rsid w:val="002656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7C"/>
    <w:rPr>
      <w:rFonts w:ascii="Segoe UI" w:hAnsi="Segoe UI" w:cs="Segoe UI"/>
      <w:sz w:val="18"/>
      <w:szCs w:val="18"/>
    </w:rPr>
  </w:style>
  <w:style w:type="character" w:customStyle="1" w:styleId="Heading5Char">
    <w:name w:val="Heading 5 Char"/>
    <w:basedOn w:val="DefaultParagraphFont"/>
    <w:link w:val="Heading5"/>
    <w:rsid w:val="00985B29"/>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985B2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85B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85B2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85B29"/>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985B2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85B2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85B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5B2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497B7F"/>
    <w:rPr>
      <w:color w:val="0000FF" w:themeColor="hyperlink"/>
      <w:u w:val="single"/>
    </w:rPr>
  </w:style>
  <w:style w:type="character" w:styleId="FollowedHyperlink">
    <w:name w:val="FollowedHyperlink"/>
    <w:basedOn w:val="DefaultParagraphFont"/>
    <w:uiPriority w:val="99"/>
    <w:semiHidden/>
    <w:unhideWhenUsed/>
    <w:rsid w:val="00497B7F"/>
    <w:rPr>
      <w:color w:val="0000FF" w:themeColor="hyperlink"/>
      <w:u w:val="single"/>
    </w:rPr>
  </w:style>
  <w:style w:type="paragraph" w:customStyle="1" w:styleId="ShortTP1">
    <w:name w:val="ShortTP1"/>
    <w:basedOn w:val="ShortT"/>
    <w:link w:val="ShortTP1Char"/>
    <w:rsid w:val="00497B7F"/>
    <w:pPr>
      <w:spacing w:before="800"/>
    </w:pPr>
  </w:style>
  <w:style w:type="character" w:customStyle="1" w:styleId="ShortTP1Char">
    <w:name w:val="ShortTP1 Char"/>
    <w:basedOn w:val="DefaultParagraphFont"/>
    <w:link w:val="ShortTP1"/>
    <w:rsid w:val="00497B7F"/>
    <w:rPr>
      <w:rFonts w:eastAsia="Times New Roman" w:cs="Times New Roman"/>
      <w:b/>
      <w:sz w:val="40"/>
      <w:lang w:eastAsia="en-AU"/>
    </w:rPr>
  </w:style>
  <w:style w:type="paragraph" w:customStyle="1" w:styleId="ActNoP1">
    <w:name w:val="ActNoP1"/>
    <w:basedOn w:val="Actno"/>
    <w:link w:val="ActNoP1Char"/>
    <w:rsid w:val="00497B7F"/>
    <w:pPr>
      <w:spacing w:before="800"/>
    </w:pPr>
    <w:rPr>
      <w:sz w:val="28"/>
    </w:rPr>
  </w:style>
  <w:style w:type="character" w:customStyle="1" w:styleId="ActNoP1Char">
    <w:name w:val="ActNoP1 Char"/>
    <w:basedOn w:val="DefaultParagraphFont"/>
    <w:link w:val="ActNoP1"/>
    <w:rsid w:val="00497B7F"/>
    <w:rPr>
      <w:rFonts w:eastAsia="Times New Roman" w:cs="Times New Roman"/>
      <w:b/>
      <w:sz w:val="28"/>
      <w:lang w:eastAsia="en-AU"/>
    </w:rPr>
  </w:style>
  <w:style w:type="paragraph" w:customStyle="1" w:styleId="AssentBk">
    <w:name w:val="AssentBk"/>
    <w:basedOn w:val="Normal"/>
    <w:rsid w:val="00497B7F"/>
    <w:pPr>
      <w:spacing w:line="240" w:lineRule="auto"/>
    </w:pPr>
    <w:rPr>
      <w:rFonts w:eastAsia="Times New Roman" w:cs="Times New Roman"/>
      <w:sz w:val="20"/>
      <w:lang w:eastAsia="en-AU"/>
    </w:rPr>
  </w:style>
  <w:style w:type="paragraph" w:customStyle="1" w:styleId="AssentDt">
    <w:name w:val="AssentDt"/>
    <w:basedOn w:val="Normal"/>
    <w:rsid w:val="00A12ACF"/>
    <w:pPr>
      <w:spacing w:line="240" w:lineRule="auto"/>
    </w:pPr>
    <w:rPr>
      <w:rFonts w:eastAsia="Times New Roman" w:cs="Times New Roman"/>
      <w:sz w:val="20"/>
      <w:lang w:eastAsia="en-AU"/>
    </w:rPr>
  </w:style>
  <w:style w:type="paragraph" w:customStyle="1" w:styleId="2ndRd">
    <w:name w:val="2ndRd"/>
    <w:basedOn w:val="Normal"/>
    <w:rsid w:val="00A12ACF"/>
    <w:pPr>
      <w:spacing w:line="240" w:lineRule="auto"/>
    </w:pPr>
    <w:rPr>
      <w:rFonts w:eastAsia="Times New Roman" w:cs="Times New Roman"/>
      <w:sz w:val="20"/>
      <w:lang w:eastAsia="en-AU"/>
    </w:rPr>
  </w:style>
  <w:style w:type="paragraph" w:customStyle="1" w:styleId="ScalePlusRef">
    <w:name w:val="ScalePlusRef"/>
    <w:basedOn w:val="Normal"/>
    <w:rsid w:val="00A12AC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42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AFB4D-A86F-4BCD-B9F6-7053A06D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23</Pages>
  <Words>3783</Words>
  <Characters>21564</Characters>
  <Application>Microsoft Office Word</Application>
  <DocSecurity>0</DocSecurity>
  <PresentationFormat/>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2022-10-18T04:33:00Z</cp:lastPrinted>
  <dcterms:created xsi:type="dcterms:W3CDTF">2022-12-12T23:15:00Z</dcterms:created>
  <dcterms:modified xsi:type="dcterms:W3CDTF">2022-12-12T23:51:00Z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Privacy Legislation Amendment (Enforcement and Other Measures) Act 2022</vt:lpwstr>
  </property>
  <property fmtid="{D5CDD505-2E9C-101B-9397-08002B2CF9AE}" pid="3" name="ActNo">
    <vt:lpwstr>No. 83,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OPC8036</vt:lpwstr>
  </property>
  <property fmtid="{D5CDD505-2E9C-101B-9397-08002B2CF9AE}" pid="10" name="MSIP_Label_234ea0fa-41da-4eb0-b95e-07c328641c0b_Enabled">
    <vt:lpwstr>true</vt:lpwstr>
  </property>
  <property fmtid="{D5CDD505-2E9C-101B-9397-08002B2CF9AE}" pid="11" name="MSIP_Label_234ea0fa-41da-4eb0-b95e-07c328641c0b_SetDate">
    <vt:lpwstr>2022-11-28T23:00:33Z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2686a4e1-fabc-4d5b-93ef-0178122f8da1</vt:lpwstr>
  </property>
  <property fmtid="{D5CDD505-2E9C-101B-9397-08002B2CF9AE}" pid="16" name="MSIP_Label_234ea0fa-41da-4eb0-b95e-07c328641c0b_ContentBits">
    <vt:lpwstr>0</vt:lpwstr>
  </property>
</Properties>
</file>