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DF87" w14:textId="7AC49ADF" w:rsidR="00150496" w:rsidRDefault="00150496">
      <w:pPr>
        <w:pStyle w:val="BodyText"/>
        <w:ind w:left="140"/>
        <w:rPr>
          <w:sz w:val="20"/>
        </w:rPr>
      </w:pPr>
    </w:p>
    <w:p w14:paraId="6BEFDF88" w14:textId="77777777" w:rsidR="00150496" w:rsidRDefault="00150496">
      <w:pPr>
        <w:pStyle w:val="BodyText"/>
        <w:rPr>
          <w:sz w:val="20"/>
        </w:rPr>
      </w:pPr>
    </w:p>
    <w:p w14:paraId="6BEFDF89" w14:textId="77777777" w:rsidR="00150496" w:rsidRDefault="00150496">
      <w:pPr>
        <w:pStyle w:val="BodyText"/>
        <w:spacing w:before="8"/>
        <w:rPr>
          <w:sz w:val="15"/>
        </w:rPr>
      </w:pPr>
    </w:p>
    <w:p w14:paraId="6BEFDF8A" w14:textId="4041F7F6" w:rsidR="00150496" w:rsidRDefault="00FC69ED">
      <w:pPr>
        <w:spacing w:before="88"/>
        <w:ind w:left="118" w:right="742"/>
        <w:rPr>
          <w:rFonts w:ascii="Arial"/>
          <w:b/>
          <w:sz w:val="40"/>
        </w:rPr>
      </w:pPr>
      <w:r>
        <w:rPr>
          <w:rFonts w:ascii="Arial"/>
          <w:b/>
          <w:sz w:val="40"/>
        </w:rPr>
        <w:t>Conditions on authorisation of a general insurer</w:t>
      </w:r>
    </w:p>
    <w:p w14:paraId="6BEFDF8B" w14:textId="77777777" w:rsidR="00150496" w:rsidRDefault="00150496">
      <w:pPr>
        <w:pStyle w:val="BodyText"/>
        <w:spacing w:before="5"/>
        <w:rPr>
          <w:rFonts w:ascii="Arial"/>
          <w:b/>
          <w:sz w:val="41"/>
        </w:rPr>
      </w:pPr>
    </w:p>
    <w:p w14:paraId="6BEFDF8C" w14:textId="527E54E5" w:rsidR="00150496" w:rsidRDefault="00FC69ED">
      <w:pPr>
        <w:pBdr>
          <w:bottom w:val="single" w:sz="6" w:space="1" w:color="auto"/>
        </w:pBdr>
        <w:spacing w:before="1"/>
        <w:ind w:left="118"/>
        <w:rPr>
          <w:rFonts w:ascii="Arial"/>
          <w:i/>
          <w:sz w:val="28"/>
        </w:rPr>
      </w:pPr>
      <w:r>
        <w:rPr>
          <w:rFonts w:ascii="Arial"/>
          <w:i/>
          <w:sz w:val="28"/>
        </w:rPr>
        <w:t>Insurance Act 1973</w:t>
      </w:r>
    </w:p>
    <w:p w14:paraId="6BEFDF8D" w14:textId="77777777" w:rsidR="00150496" w:rsidRDefault="00150496">
      <w:pPr>
        <w:pStyle w:val="BodyText"/>
        <w:spacing w:before="3"/>
        <w:rPr>
          <w:rFonts w:ascii="Arial"/>
          <w:i/>
          <w:sz w:val="19"/>
        </w:rPr>
      </w:pPr>
    </w:p>
    <w:p w14:paraId="6BEFDF8E" w14:textId="77777777" w:rsidR="00150496" w:rsidRDefault="00FC69ED">
      <w:pPr>
        <w:pStyle w:val="BodyText"/>
        <w:tabs>
          <w:tab w:val="left" w:pos="837"/>
        </w:tabs>
        <w:spacing w:before="90"/>
        <w:ind w:left="838" w:right="163" w:hanging="720"/>
      </w:pPr>
      <w:r>
        <w:t>TO:</w:t>
      </w:r>
      <w:r>
        <w:tab/>
        <w:t>Barristers’ Sickness and Accident Fund Pty Limited ABN 78 600 371 397 (the general</w:t>
      </w:r>
      <w:r>
        <w:rPr>
          <w:spacing w:val="-1"/>
        </w:rPr>
        <w:t xml:space="preserve"> </w:t>
      </w:r>
      <w:r>
        <w:t>insurer)</w:t>
      </w:r>
    </w:p>
    <w:p w14:paraId="6BEFDF8F" w14:textId="77777777" w:rsidR="00150496" w:rsidRDefault="00150496">
      <w:pPr>
        <w:pStyle w:val="BodyText"/>
      </w:pPr>
    </w:p>
    <w:p w14:paraId="6BEFDF90" w14:textId="77777777" w:rsidR="00150496" w:rsidRDefault="00FC69ED">
      <w:pPr>
        <w:pStyle w:val="BodyText"/>
        <w:ind w:left="118" w:right="347"/>
      </w:pPr>
      <w:r>
        <w:t xml:space="preserve">SINCE the general insurer has requested the conditions imposed on its authorisation under subsection 12(1) of the </w:t>
      </w:r>
      <w:r>
        <w:rPr>
          <w:i/>
        </w:rPr>
        <w:t xml:space="preserve">Insurance Act 1973 </w:t>
      </w:r>
      <w:r>
        <w:t>(the Act) be adjusted to reflect changes in its constitution;</w:t>
      </w:r>
    </w:p>
    <w:p w14:paraId="6BEFDF91" w14:textId="77777777" w:rsidR="00150496" w:rsidRDefault="00150496">
      <w:pPr>
        <w:pStyle w:val="BodyText"/>
      </w:pPr>
    </w:p>
    <w:p w14:paraId="6BEFDF92" w14:textId="77777777" w:rsidR="00150496" w:rsidRDefault="00FC69ED">
      <w:pPr>
        <w:pStyle w:val="BodyText"/>
        <w:ind w:left="118"/>
      </w:pPr>
      <w:r>
        <w:t>I, Brandon Khoo, a delegate of APRA:</w:t>
      </w:r>
    </w:p>
    <w:p w14:paraId="6BEFDF93" w14:textId="77777777" w:rsidR="00150496" w:rsidRDefault="00150496">
      <w:pPr>
        <w:pStyle w:val="BodyText"/>
        <w:spacing w:before="10"/>
        <w:rPr>
          <w:sz w:val="26"/>
        </w:rPr>
      </w:pPr>
    </w:p>
    <w:p w14:paraId="6BEFDF94" w14:textId="59C86B09" w:rsidR="00150496" w:rsidRDefault="00FC69ED" w:rsidP="009433B8">
      <w:pPr>
        <w:pStyle w:val="ListParagraph"/>
        <w:numPr>
          <w:ilvl w:val="0"/>
          <w:numId w:val="3"/>
        </w:numPr>
        <w:tabs>
          <w:tab w:val="left" w:pos="838"/>
        </w:tabs>
        <w:spacing w:before="1" w:line="170" w:lineRule="auto"/>
        <w:rPr>
          <w:rFonts w:ascii="Times New Roman"/>
          <w:sz w:val="24"/>
        </w:rPr>
      </w:pPr>
      <w:r>
        <w:rPr>
          <w:rFonts w:ascii="Times New Roman"/>
          <w:w w:val="99"/>
          <w:sz w:val="24"/>
        </w:rPr>
        <w:t>Und</w:t>
      </w:r>
      <w:r>
        <w:rPr>
          <w:rFonts w:ascii="Times New Roman"/>
          <w:spacing w:val="-2"/>
          <w:w w:val="99"/>
          <w:sz w:val="24"/>
        </w:rPr>
        <w:t>e</w:t>
      </w:r>
      <w:r>
        <w:rPr>
          <w:rFonts w:ascii="Times New Roman"/>
          <w:w w:val="99"/>
          <w:sz w:val="24"/>
        </w:rPr>
        <w:t>r</w:t>
      </w:r>
      <w:r>
        <w:rPr>
          <w:rFonts w:ascii="Times New Roman"/>
          <w:spacing w:val="3"/>
          <w:w w:val="99"/>
          <w:sz w:val="24"/>
        </w:rPr>
        <w:t xml:space="preserve"> </w:t>
      </w:r>
      <w:r>
        <w:rPr>
          <w:rFonts w:ascii="Times New Roman"/>
          <w:spacing w:val="2"/>
          <w:w w:val="99"/>
          <w:sz w:val="24"/>
        </w:rPr>
        <w:t>p</w:t>
      </w:r>
      <w:r>
        <w:rPr>
          <w:rFonts w:ascii="Times New Roman"/>
          <w:spacing w:val="-1"/>
          <w:w w:val="99"/>
          <w:sz w:val="24"/>
        </w:rPr>
        <w:t>a</w:t>
      </w:r>
      <w:r>
        <w:rPr>
          <w:rFonts w:ascii="Times New Roman"/>
          <w:w w:val="99"/>
          <w:sz w:val="24"/>
        </w:rPr>
        <w:t>ragr</w:t>
      </w:r>
      <w:r>
        <w:rPr>
          <w:rFonts w:ascii="Times New Roman"/>
          <w:spacing w:val="-2"/>
          <w:w w:val="99"/>
          <w:sz w:val="24"/>
        </w:rPr>
        <w:t>a</w:t>
      </w:r>
      <w:r>
        <w:rPr>
          <w:rFonts w:ascii="Times New Roman"/>
          <w:w w:val="99"/>
          <w:sz w:val="24"/>
        </w:rPr>
        <w:t>ph</w:t>
      </w:r>
      <w:r>
        <w:rPr>
          <w:rFonts w:ascii="Times New Roman"/>
          <w:spacing w:val="4"/>
          <w:w w:val="99"/>
          <w:sz w:val="24"/>
        </w:rPr>
        <w:t xml:space="preserve"> </w:t>
      </w:r>
      <w:r>
        <w:rPr>
          <w:rFonts w:ascii="Times New Roman"/>
          <w:spacing w:val="1"/>
          <w:w w:val="99"/>
          <w:sz w:val="24"/>
        </w:rPr>
        <w:t>1</w:t>
      </w:r>
      <w:r>
        <w:rPr>
          <w:rFonts w:ascii="Times New Roman"/>
          <w:spacing w:val="2"/>
          <w:w w:val="99"/>
          <w:sz w:val="24"/>
        </w:rPr>
        <w:t>3</w:t>
      </w:r>
      <w:r>
        <w:rPr>
          <w:rFonts w:ascii="Times New Roman"/>
          <w:w w:val="99"/>
          <w:sz w:val="24"/>
        </w:rPr>
        <w:t>(1</w:t>
      </w:r>
      <w:r>
        <w:rPr>
          <w:rFonts w:ascii="Times New Roman"/>
          <w:spacing w:val="-2"/>
          <w:w w:val="99"/>
          <w:sz w:val="24"/>
        </w:rPr>
        <w:t>)</w:t>
      </w:r>
      <w:r>
        <w:rPr>
          <w:rFonts w:ascii="Times New Roman"/>
          <w:spacing w:val="-6"/>
          <w:w w:val="99"/>
          <w:sz w:val="24"/>
        </w:rPr>
        <w:t>(</w:t>
      </w:r>
      <w:r w:rsidR="009433B8">
        <w:rPr>
          <w:rFonts w:ascii="Times New Roman"/>
          <w:spacing w:val="-6"/>
          <w:w w:val="99"/>
          <w:sz w:val="24"/>
        </w:rPr>
        <w:t>b) of the Act, REVOKE</w:t>
      </w:r>
      <w:r>
        <w:rPr>
          <w:rFonts w:ascii="Times New Roman"/>
          <w:spacing w:val="4"/>
          <w:sz w:val="24"/>
        </w:rPr>
        <w:t xml:space="preserve"> </w:t>
      </w:r>
      <w:r>
        <w:rPr>
          <w:rFonts w:ascii="Times New Roman"/>
          <w:spacing w:val="2"/>
          <w:sz w:val="24"/>
        </w:rPr>
        <w:t>t</w:t>
      </w:r>
      <w:r>
        <w:rPr>
          <w:rFonts w:ascii="Times New Roman"/>
          <w:sz w:val="24"/>
        </w:rPr>
        <w:t>he</w:t>
      </w:r>
      <w:r>
        <w:rPr>
          <w:rFonts w:ascii="Times New Roman"/>
          <w:spacing w:val="3"/>
          <w:sz w:val="24"/>
        </w:rPr>
        <w:t xml:space="preserve"> </w:t>
      </w:r>
      <w:r>
        <w:rPr>
          <w:rFonts w:ascii="Times New Roman"/>
          <w:spacing w:val="-1"/>
          <w:sz w:val="24"/>
        </w:rPr>
        <w:t>c</w:t>
      </w:r>
      <w:r>
        <w:rPr>
          <w:rFonts w:ascii="Times New Roman"/>
          <w:sz w:val="24"/>
        </w:rPr>
        <w:t>onditions</w:t>
      </w:r>
      <w:r>
        <w:rPr>
          <w:rFonts w:ascii="Times New Roman"/>
          <w:spacing w:val="5"/>
          <w:sz w:val="24"/>
        </w:rPr>
        <w:t xml:space="preserve"> </w:t>
      </w:r>
      <w:r>
        <w:rPr>
          <w:rFonts w:ascii="Times New Roman"/>
          <w:sz w:val="24"/>
        </w:rPr>
        <w:t>impos</w:t>
      </w:r>
      <w:r>
        <w:rPr>
          <w:rFonts w:ascii="Times New Roman"/>
          <w:spacing w:val="-1"/>
          <w:sz w:val="24"/>
        </w:rPr>
        <w:t>e</w:t>
      </w:r>
      <w:r>
        <w:rPr>
          <w:rFonts w:ascii="Times New Roman"/>
          <w:sz w:val="24"/>
        </w:rPr>
        <w:t>d</w:t>
      </w:r>
      <w:r>
        <w:rPr>
          <w:rFonts w:ascii="Times New Roman"/>
          <w:spacing w:val="4"/>
          <w:sz w:val="24"/>
        </w:rPr>
        <w:t xml:space="preserve"> </w:t>
      </w:r>
      <w:r>
        <w:rPr>
          <w:rFonts w:ascii="Times New Roman"/>
          <w:spacing w:val="2"/>
          <w:sz w:val="24"/>
        </w:rPr>
        <w:t>o</w:t>
      </w:r>
      <w:r>
        <w:rPr>
          <w:rFonts w:ascii="Times New Roman"/>
          <w:sz w:val="24"/>
        </w:rPr>
        <w:t>n</w:t>
      </w:r>
      <w:r>
        <w:rPr>
          <w:rFonts w:ascii="Times New Roman"/>
          <w:spacing w:val="4"/>
          <w:sz w:val="24"/>
        </w:rPr>
        <w:t xml:space="preserve"> </w:t>
      </w:r>
      <w:r>
        <w:rPr>
          <w:rFonts w:ascii="Times New Roman"/>
          <w:sz w:val="24"/>
        </w:rPr>
        <w:t>the authorisation of the general insurer on 1 July 2002;</w:t>
      </w:r>
      <w:r>
        <w:rPr>
          <w:rFonts w:ascii="Times New Roman"/>
          <w:spacing w:val="-6"/>
          <w:sz w:val="24"/>
        </w:rPr>
        <w:t xml:space="preserve"> </w:t>
      </w:r>
      <w:r>
        <w:rPr>
          <w:rFonts w:ascii="Times New Roman"/>
          <w:sz w:val="24"/>
        </w:rPr>
        <w:t>and</w:t>
      </w:r>
    </w:p>
    <w:p w14:paraId="7EF0A533" w14:textId="544435A8" w:rsidR="009433B8" w:rsidRDefault="009433B8" w:rsidP="009433B8">
      <w:pPr>
        <w:tabs>
          <w:tab w:val="left" w:pos="838"/>
        </w:tabs>
        <w:spacing w:before="1" w:line="170" w:lineRule="auto"/>
        <w:rPr>
          <w:sz w:val="24"/>
        </w:rPr>
      </w:pPr>
    </w:p>
    <w:p w14:paraId="57CB434C" w14:textId="15FE59D1" w:rsidR="009433B8" w:rsidRPr="009433B8" w:rsidRDefault="009433B8" w:rsidP="009433B8">
      <w:pPr>
        <w:pStyle w:val="ListParagraph"/>
        <w:numPr>
          <w:ilvl w:val="0"/>
          <w:numId w:val="3"/>
        </w:numPr>
        <w:tabs>
          <w:tab w:val="left" w:pos="838"/>
        </w:tabs>
        <w:spacing w:before="1" w:line="170" w:lineRule="auto"/>
        <w:rPr>
          <w:sz w:val="24"/>
        </w:rPr>
      </w:pPr>
      <w:r>
        <w:rPr>
          <w:rFonts w:ascii="Times New Roman"/>
          <w:sz w:val="24"/>
        </w:rPr>
        <w:t>Under paragraph 13(1)(a) of the Act, IMPOSE the conditions specified in the attached Schedule on the authorisation of the general</w:t>
      </w:r>
      <w:r>
        <w:rPr>
          <w:rFonts w:ascii="Times New Roman"/>
          <w:spacing w:val="1"/>
          <w:sz w:val="24"/>
        </w:rPr>
        <w:t xml:space="preserve"> </w:t>
      </w:r>
      <w:r>
        <w:rPr>
          <w:rFonts w:ascii="Times New Roman"/>
          <w:sz w:val="24"/>
        </w:rPr>
        <w:t>insurer.</w:t>
      </w:r>
    </w:p>
    <w:p w14:paraId="6BEFDF95" w14:textId="77777777" w:rsidR="00150496" w:rsidRDefault="00150496">
      <w:pPr>
        <w:pStyle w:val="BodyText"/>
        <w:spacing w:before="4"/>
        <w:rPr>
          <w:sz w:val="25"/>
        </w:rPr>
      </w:pPr>
    </w:p>
    <w:p w14:paraId="6BEFDF98" w14:textId="77777777" w:rsidR="00150496" w:rsidRDefault="00150496">
      <w:pPr>
        <w:pStyle w:val="BodyText"/>
        <w:rPr>
          <w:sz w:val="22"/>
        </w:rPr>
      </w:pPr>
    </w:p>
    <w:p w14:paraId="6BEFDF99" w14:textId="0F3E447B" w:rsidR="00150496" w:rsidRDefault="00FC69ED">
      <w:pPr>
        <w:pStyle w:val="BodyText"/>
        <w:ind w:left="118"/>
      </w:pPr>
      <w:r>
        <w:t>Dated: 12 November 2021</w:t>
      </w:r>
    </w:p>
    <w:p w14:paraId="62D5D9FB" w14:textId="41184DF9" w:rsidR="006C2BCC" w:rsidRDefault="006C2BCC">
      <w:pPr>
        <w:pStyle w:val="BodyText"/>
        <w:ind w:left="118"/>
      </w:pPr>
    </w:p>
    <w:p w14:paraId="6BEFDF9B" w14:textId="75ADFE4F" w:rsidR="00150496" w:rsidRDefault="006C2BCC" w:rsidP="006C2BCC">
      <w:pPr>
        <w:pStyle w:val="BodyText"/>
        <w:ind w:left="118"/>
        <w:rPr>
          <w:sz w:val="26"/>
        </w:rPr>
      </w:pPr>
      <w:r>
        <w:t>[Signed]</w:t>
      </w:r>
    </w:p>
    <w:p w14:paraId="6BEFDF9C" w14:textId="77777777" w:rsidR="00150496" w:rsidRDefault="00150496">
      <w:pPr>
        <w:pStyle w:val="BodyText"/>
        <w:rPr>
          <w:sz w:val="26"/>
        </w:rPr>
      </w:pPr>
    </w:p>
    <w:p w14:paraId="6BEFDF9D" w14:textId="77777777" w:rsidR="00150496" w:rsidRDefault="00150496">
      <w:pPr>
        <w:pStyle w:val="BodyText"/>
        <w:rPr>
          <w:sz w:val="26"/>
        </w:rPr>
      </w:pPr>
    </w:p>
    <w:p w14:paraId="6BEFDF9E" w14:textId="77777777" w:rsidR="00150496" w:rsidRDefault="00FC69ED">
      <w:pPr>
        <w:pStyle w:val="BodyText"/>
        <w:spacing w:before="184"/>
        <w:ind w:left="118" w:right="6612"/>
      </w:pPr>
      <w:r>
        <w:t>Brandon Khoo Executive Director Insurance Division</w:t>
      </w:r>
    </w:p>
    <w:p w14:paraId="6BEFDF9F" w14:textId="77777777" w:rsidR="00150496" w:rsidRDefault="00150496">
      <w:pPr>
        <w:pStyle w:val="BodyText"/>
        <w:spacing w:before="2"/>
      </w:pPr>
    </w:p>
    <w:p w14:paraId="6BEFDFA0" w14:textId="77777777" w:rsidR="00150496" w:rsidRDefault="00FC69ED">
      <w:pPr>
        <w:ind w:left="178"/>
        <w:rPr>
          <w:rFonts w:ascii="Arial"/>
          <w:b/>
          <w:sz w:val="24"/>
        </w:rPr>
      </w:pPr>
      <w:r>
        <w:rPr>
          <w:rFonts w:ascii="Arial"/>
          <w:b/>
          <w:sz w:val="24"/>
        </w:rPr>
        <w:t>Interpretation</w:t>
      </w:r>
    </w:p>
    <w:p w14:paraId="6BEFDFA1" w14:textId="77777777" w:rsidR="00150496" w:rsidRDefault="00FC69ED">
      <w:pPr>
        <w:pStyle w:val="BodyText"/>
        <w:spacing w:before="119"/>
        <w:ind w:left="118"/>
      </w:pPr>
      <w:r>
        <w:t>In this Authorisation</w:t>
      </w:r>
    </w:p>
    <w:p w14:paraId="6BEFDFA2" w14:textId="77777777" w:rsidR="00150496" w:rsidRDefault="00FC69ED">
      <w:pPr>
        <w:pStyle w:val="BodyText"/>
        <w:spacing w:before="79"/>
        <w:ind w:left="118"/>
      </w:pPr>
      <w:r>
        <w:rPr>
          <w:b/>
          <w:i/>
        </w:rPr>
        <w:t xml:space="preserve">APRA </w:t>
      </w:r>
      <w:r>
        <w:t>means the Australian Prudential Regulation Authority.</w:t>
      </w:r>
    </w:p>
    <w:p w14:paraId="6BEFDFA3" w14:textId="77777777" w:rsidR="00150496" w:rsidRDefault="00FC69ED">
      <w:pPr>
        <w:pStyle w:val="BodyText"/>
        <w:spacing w:before="2"/>
        <w:ind w:left="118" w:right="193"/>
      </w:pPr>
      <w:r>
        <w:rPr>
          <w:b/>
        </w:rPr>
        <w:t xml:space="preserve">Fund </w:t>
      </w:r>
      <w:r>
        <w:t>means “</w:t>
      </w:r>
      <w:r>
        <w:rPr>
          <w:color w:val="202429"/>
        </w:rPr>
        <w:t>The Barristers’ Sickness and Accident Fund, 1961” established in 1962 to provide sickness and accident insurance for members of the NSW Bar</w:t>
      </w:r>
    </w:p>
    <w:p w14:paraId="6BEFDFA4" w14:textId="77777777" w:rsidR="00150496" w:rsidRDefault="00FC69ED">
      <w:pPr>
        <w:ind w:left="118"/>
        <w:rPr>
          <w:sz w:val="24"/>
        </w:rPr>
      </w:pPr>
      <w:r>
        <w:rPr>
          <w:b/>
          <w:sz w:val="24"/>
        </w:rPr>
        <w:t xml:space="preserve">Member </w:t>
      </w:r>
      <w:r>
        <w:rPr>
          <w:sz w:val="24"/>
        </w:rPr>
        <w:t>means a member of the Fund</w:t>
      </w:r>
    </w:p>
    <w:p w14:paraId="6BEFDFA5" w14:textId="77777777" w:rsidR="00150496" w:rsidRDefault="00FC69ED">
      <w:pPr>
        <w:pStyle w:val="BodyText"/>
        <w:ind w:left="118" w:right="354"/>
      </w:pPr>
      <w:r>
        <w:rPr>
          <w:b/>
        </w:rPr>
        <w:t xml:space="preserve">Trust Deed </w:t>
      </w:r>
      <w:r>
        <w:t>means the “Trust Deed for the Barristers’ Sickness and Accident Fund” provided to APRA on 25 May 2021</w:t>
      </w:r>
    </w:p>
    <w:p w14:paraId="6BEFDFA6" w14:textId="77777777" w:rsidR="00150496" w:rsidRDefault="00150496">
      <w:pPr>
        <w:sectPr w:rsidR="00150496" w:rsidSect="006C2BCC">
          <w:headerReference w:type="default" r:id="rId12"/>
          <w:headerReference w:type="first" r:id="rId13"/>
          <w:type w:val="continuous"/>
          <w:pgSz w:w="11910" w:h="16840"/>
          <w:pgMar w:top="1460" w:right="1660" w:bottom="280" w:left="1680" w:header="720" w:footer="720" w:gutter="0"/>
          <w:cols w:space="720"/>
          <w:titlePg/>
          <w:docGrid w:linePitch="299"/>
        </w:sectPr>
      </w:pPr>
    </w:p>
    <w:p w14:paraId="6BEFDFA7" w14:textId="77777777" w:rsidR="00150496" w:rsidRDefault="00150496">
      <w:pPr>
        <w:pStyle w:val="BodyText"/>
        <w:rPr>
          <w:sz w:val="20"/>
        </w:rPr>
      </w:pPr>
    </w:p>
    <w:p w14:paraId="6BEFDFA8" w14:textId="77777777" w:rsidR="00150496" w:rsidRDefault="00150496">
      <w:pPr>
        <w:pStyle w:val="BodyText"/>
        <w:spacing w:before="11"/>
        <w:rPr>
          <w:sz w:val="20"/>
        </w:rPr>
      </w:pPr>
    </w:p>
    <w:p w14:paraId="6BEFDFA9" w14:textId="77777777" w:rsidR="00150496" w:rsidRDefault="00FC69ED" w:rsidP="00834380">
      <w:pPr>
        <w:pStyle w:val="BodyText"/>
        <w:ind w:left="119" w:right="135"/>
      </w:pPr>
      <w:r>
        <w:rPr>
          <w:i/>
        </w:rPr>
        <w:t xml:space="preserve">Note 1 </w:t>
      </w:r>
      <w:r>
        <w:t>Under subsection 13(1) of the Act, APRA may, at any time, by written notice to a general insurer, impose conditions or additional conditions or vary or revoke conditions imposed on the insurer’s authorisation.</w:t>
      </w:r>
    </w:p>
    <w:p w14:paraId="6BEFDFAA" w14:textId="77777777" w:rsidR="00150496" w:rsidRDefault="00FC69ED" w:rsidP="00834380">
      <w:pPr>
        <w:pStyle w:val="BodyText"/>
        <w:ind w:left="119" w:right="134"/>
        <w:rPr>
          <w:i/>
        </w:rPr>
      </w:pPr>
      <w:r>
        <w:rPr>
          <w:i/>
        </w:rPr>
        <w:t xml:space="preserve">Note 2 </w:t>
      </w:r>
      <w:r>
        <w:t>Under subsection 13(2) of the Act, APRA may impose conditions or additional conditions on a general insurer’s authorisation provided the conditions relate to prudential matters</w:t>
      </w:r>
      <w:r>
        <w:rPr>
          <w:i/>
        </w:rPr>
        <w:t>.</w:t>
      </w:r>
    </w:p>
    <w:p w14:paraId="6BEFDFAB" w14:textId="3DD269D1" w:rsidR="00150496" w:rsidRDefault="00FC69ED" w:rsidP="00834380">
      <w:pPr>
        <w:pStyle w:val="BodyText"/>
        <w:ind w:left="119"/>
      </w:pPr>
      <w:r>
        <w:rPr>
          <w:i/>
        </w:rPr>
        <w:t xml:space="preserve">Note 3 </w:t>
      </w:r>
      <w:r>
        <w:t>Under subsection 13(4) of the Act, if APRA imposes, varies or revokes the</w:t>
      </w:r>
    </w:p>
    <w:p w14:paraId="036EC905" w14:textId="77777777" w:rsidR="00B324A7" w:rsidRDefault="00B324A7" w:rsidP="00B324A7">
      <w:pPr>
        <w:pStyle w:val="Default"/>
        <w:ind w:left="118"/>
        <w:rPr>
          <w:sz w:val="23"/>
          <w:szCs w:val="23"/>
        </w:rPr>
      </w:pPr>
      <w:r>
        <w:rPr>
          <w:sz w:val="23"/>
          <w:szCs w:val="23"/>
        </w:rPr>
        <w:t xml:space="preserve">the conditions on a general insurer’s authorisation, APRA must give written notice to the Applicant and ensure that notice of the action is published in the </w:t>
      </w:r>
      <w:r>
        <w:rPr>
          <w:i/>
          <w:iCs/>
          <w:sz w:val="23"/>
          <w:szCs w:val="23"/>
        </w:rPr>
        <w:t xml:space="preserve">Gazette. </w:t>
      </w:r>
    </w:p>
    <w:p w14:paraId="6BEFDFAC" w14:textId="72D65B0B" w:rsidR="00150496" w:rsidRDefault="00B324A7" w:rsidP="00B324A7">
      <w:pPr>
        <w:ind w:left="118"/>
        <w:sectPr w:rsidR="00150496">
          <w:pgSz w:w="11910" w:h="16840"/>
          <w:pgMar w:top="1580" w:right="1660" w:bottom="280" w:left="1680" w:header="720" w:footer="720" w:gutter="0"/>
          <w:cols w:space="720"/>
        </w:sectPr>
      </w:pPr>
      <w:r>
        <w:rPr>
          <w:i/>
          <w:iCs/>
          <w:sz w:val="23"/>
          <w:szCs w:val="23"/>
        </w:rPr>
        <w:t xml:space="preserve">Note 4 </w:t>
      </w:r>
      <w:r>
        <w:rPr>
          <w:sz w:val="23"/>
          <w:szCs w:val="23"/>
        </w:rPr>
        <w:t>Under subsection 13(6) of the Act, Part VI applies to decisions under section 13 to impose conditions or additional conditions on an insurer’s authorisation under section 12 or to vary conditions on an i</w:t>
      </w:r>
      <w:bookmarkStart w:id="2" w:name="_GoBack"/>
      <w:bookmarkEnd w:id="2"/>
      <w:r>
        <w:rPr>
          <w:sz w:val="23"/>
          <w:szCs w:val="23"/>
        </w:rPr>
        <w:t>nsurer’s authorisation under section 12.</w:t>
      </w:r>
    </w:p>
    <w:p w14:paraId="6BEFDFAD" w14:textId="77777777" w:rsidR="00150496" w:rsidRDefault="00FC69ED">
      <w:pPr>
        <w:pStyle w:val="Heading1"/>
        <w:spacing w:before="62"/>
      </w:pPr>
      <w:r>
        <w:lastRenderedPageBreak/>
        <w:t>Schedule</w:t>
      </w:r>
    </w:p>
    <w:p w14:paraId="6BEFDFAE" w14:textId="77777777" w:rsidR="00150496" w:rsidRDefault="00150496">
      <w:pPr>
        <w:pStyle w:val="BodyText"/>
        <w:rPr>
          <w:rFonts w:ascii="Arial"/>
          <w:b/>
          <w:sz w:val="32"/>
        </w:rPr>
      </w:pPr>
    </w:p>
    <w:p w14:paraId="6BEFDFAF" w14:textId="77777777" w:rsidR="00150496" w:rsidRDefault="00FC69ED">
      <w:pPr>
        <w:ind w:left="118" w:right="1232"/>
        <w:rPr>
          <w:rFonts w:ascii="Arial"/>
          <w:b/>
          <w:sz w:val="32"/>
        </w:rPr>
      </w:pPr>
      <w:r>
        <w:rPr>
          <w:rFonts w:ascii="Arial"/>
          <w:b/>
          <w:sz w:val="32"/>
        </w:rPr>
        <w:t>Conditions imposed on the authorisation of the general insurer</w:t>
      </w:r>
    </w:p>
    <w:p w14:paraId="6BEFDFB0" w14:textId="77777777" w:rsidR="00150496" w:rsidRDefault="00150496">
      <w:pPr>
        <w:pStyle w:val="BodyText"/>
        <w:spacing w:before="1"/>
        <w:rPr>
          <w:rFonts w:ascii="Arial"/>
          <w:b/>
          <w:sz w:val="48"/>
        </w:rPr>
      </w:pPr>
    </w:p>
    <w:p w14:paraId="6BEFDFB1" w14:textId="77777777" w:rsidR="00150496" w:rsidRDefault="00FC69ED">
      <w:pPr>
        <w:pStyle w:val="ListParagraph"/>
        <w:numPr>
          <w:ilvl w:val="0"/>
          <w:numId w:val="1"/>
        </w:numPr>
        <w:tabs>
          <w:tab w:val="left" w:pos="838"/>
        </w:tabs>
        <w:spacing w:before="1"/>
        <w:ind w:right="1087"/>
      </w:pPr>
      <w:r>
        <w:t>The insurer may only carry on insurance business for the purpose of providing sickness and accident benefits to Fund</w:t>
      </w:r>
      <w:r>
        <w:rPr>
          <w:spacing w:val="-9"/>
        </w:rPr>
        <w:t xml:space="preserve"> </w:t>
      </w:r>
      <w:r>
        <w:t>Members;</w:t>
      </w:r>
    </w:p>
    <w:p w14:paraId="6BEFDFB2" w14:textId="77777777" w:rsidR="00150496" w:rsidRDefault="00150496">
      <w:pPr>
        <w:pStyle w:val="BodyText"/>
        <w:spacing w:before="1"/>
        <w:rPr>
          <w:rFonts w:ascii="Arial"/>
          <w:sz w:val="22"/>
        </w:rPr>
      </w:pPr>
    </w:p>
    <w:p w14:paraId="6BEFDFB3" w14:textId="4C323B69" w:rsidR="00150496" w:rsidRDefault="00FC69ED">
      <w:pPr>
        <w:pStyle w:val="ListParagraph"/>
        <w:numPr>
          <w:ilvl w:val="0"/>
          <w:numId w:val="1"/>
        </w:numPr>
        <w:tabs>
          <w:tab w:val="left" w:pos="838"/>
        </w:tabs>
        <w:ind w:right="765"/>
      </w:pPr>
      <w:r>
        <w:t>The insurer may only provide sickness and accident benefits of the kind specified in the Trust Deed (the</w:t>
      </w:r>
      <w:r>
        <w:rPr>
          <w:spacing w:val="-7"/>
        </w:rPr>
        <w:t xml:space="preserve"> </w:t>
      </w:r>
      <w:r>
        <w:t>cover);</w:t>
      </w:r>
    </w:p>
    <w:p w14:paraId="6BEFDFB4" w14:textId="77777777" w:rsidR="00150496" w:rsidRDefault="00150496">
      <w:pPr>
        <w:pStyle w:val="BodyText"/>
        <w:rPr>
          <w:rFonts w:ascii="Arial"/>
          <w:sz w:val="22"/>
        </w:rPr>
      </w:pPr>
    </w:p>
    <w:p w14:paraId="6BEFDFB5" w14:textId="77777777" w:rsidR="00150496" w:rsidRDefault="00FC69ED">
      <w:pPr>
        <w:pStyle w:val="ListParagraph"/>
        <w:numPr>
          <w:ilvl w:val="0"/>
          <w:numId w:val="1"/>
        </w:numPr>
        <w:tabs>
          <w:tab w:val="left" w:pos="838"/>
        </w:tabs>
        <w:ind w:right="535"/>
        <w:jc w:val="both"/>
      </w:pPr>
      <w:r>
        <w:t>The insurer may only offer cover to Fund Members in accordance with the Trust Deed and subject to the terms of the contract of insurance specified under the Trust</w:t>
      </w:r>
      <w:r>
        <w:rPr>
          <w:spacing w:val="-4"/>
        </w:rPr>
        <w:t xml:space="preserve"> </w:t>
      </w:r>
      <w:r>
        <w:t>Deed;</w:t>
      </w:r>
    </w:p>
    <w:p w14:paraId="6BEFDFB6" w14:textId="77777777" w:rsidR="00150496" w:rsidRDefault="00150496">
      <w:pPr>
        <w:pStyle w:val="BodyText"/>
        <w:spacing w:before="10"/>
        <w:rPr>
          <w:rFonts w:ascii="Arial"/>
          <w:sz w:val="21"/>
        </w:rPr>
      </w:pPr>
    </w:p>
    <w:p w14:paraId="6BEFDFB7" w14:textId="77777777" w:rsidR="00150496" w:rsidRDefault="00FC69ED">
      <w:pPr>
        <w:pStyle w:val="ListParagraph"/>
        <w:numPr>
          <w:ilvl w:val="0"/>
          <w:numId w:val="1"/>
        </w:numPr>
        <w:tabs>
          <w:tab w:val="left" w:pos="838"/>
        </w:tabs>
        <w:ind w:right="254"/>
      </w:pPr>
      <w:r>
        <w:t>The insurer must not carry on any business other than offering cover to Fund Members;</w:t>
      </w:r>
    </w:p>
    <w:p w14:paraId="6BEFDFB8" w14:textId="77777777" w:rsidR="00150496" w:rsidRDefault="00150496">
      <w:pPr>
        <w:pStyle w:val="BodyText"/>
        <w:spacing w:before="2"/>
        <w:rPr>
          <w:rFonts w:ascii="Arial"/>
          <w:sz w:val="22"/>
        </w:rPr>
      </w:pPr>
    </w:p>
    <w:p w14:paraId="6BEFDFB9" w14:textId="77777777" w:rsidR="00150496" w:rsidRDefault="00FC69ED">
      <w:pPr>
        <w:pStyle w:val="ListParagraph"/>
        <w:numPr>
          <w:ilvl w:val="0"/>
          <w:numId w:val="1"/>
        </w:numPr>
        <w:tabs>
          <w:tab w:val="left" w:pos="838"/>
        </w:tabs>
        <w:ind w:right="170"/>
      </w:pPr>
      <w:r>
        <w:t>The insurer may count the assets of the Fund as assets of the general insurer for the purposes of complying with its obligations under APRA’s prudential standards.</w:t>
      </w:r>
    </w:p>
    <w:p w14:paraId="6BEFDFBA" w14:textId="77777777" w:rsidR="00150496" w:rsidRDefault="00150496">
      <w:pPr>
        <w:pStyle w:val="BodyText"/>
        <w:spacing w:before="7"/>
        <w:rPr>
          <w:rFonts w:ascii="Arial"/>
          <w:sz w:val="22"/>
        </w:rPr>
      </w:pPr>
    </w:p>
    <w:p w14:paraId="6BEFDFBB" w14:textId="2A1D86E7" w:rsidR="00150496" w:rsidRDefault="009433B8">
      <w:pPr>
        <w:pStyle w:val="ListParagraph"/>
        <w:numPr>
          <w:ilvl w:val="0"/>
          <w:numId w:val="1"/>
        </w:numPr>
        <w:tabs>
          <w:tab w:val="left" w:pos="838"/>
        </w:tabs>
        <w:spacing w:line="230" w:lineRule="auto"/>
        <w:ind w:right="610"/>
      </w:pPr>
      <w:r>
        <w:t>The insurer must conduct an actuarial review detailing the valuation of insurance liabilities’ at least once every three years with the review report r</w:t>
      </w:r>
      <w:r>
        <w:rPr>
          <w:spacing w:val="-3"/>
        </w:rPr>
        <w:t>e</w:t>
      </w:r>
      <w:r>
        <w:rPr>
          <w:spacing w:val="1"/>
        </w:rPr>
        <w:t>q</w:t>
      </w:r>
      <w:r>
        <w:t>u</w:t>
      </w:r>
      <w:r>
        <w:rPr>
          <w:spacing w:val="-2"/>
        </w:rPr>
        <w:t>i</w:t>
      </w:r>
      <w:r>
        <w:t>red</w:t>
      </w:r>
      <w:r>
        <w:rPr>
          <w:spacing w:val="-2"/>
        </w:rPr>
        <w:t xml:space="preserve"> </w:t>
      </w:r>
      <w:r>
        <w:t>to be</w:t>
      </w:r>
      <w:r>
        <w:rPr>
          <w:spacing w:val="-2"/>
        </w:rPr>
        <w:t xml:space="preserve"> </w:t>
      </w:r>
      <w:r>
        <w:t>pro</w:t>
      </w:r>
      <w:r>
        <w:rPr>
          <w:spacing w:val="-3"/>
        </w:rPr>
        <w:t>v</w:t>
      </w:r>
      <w:r>
        <w:rPr>
          <w:spacing w:val="-2"/>
        </w:rPr>
        <w:t>i</w:t>
      </w:r>
      <w:r>
        <w:t>d</w:t>
      </w:r>
      <w:r>
        <w:rPr>
          <w:spacing w:val="-1"/>
        </w:rPr>
        <w:t>e</w:t>
      </w:r>
      <w:r>
        <w:t>d</w:t>
      </w:r>
      <w:r>
        <w:rPr>
          <w:spacing w:val="-3"/>
        </w:rPr>
        <w:t xml:space="preserve"> to APRA within three m</w:t>
      </w:r>
      <w:r w:rsidR="00FC69ED">
        <w:rPr>
          <w:spacing w:val="-3"/>
        </w:rPr>
        <w:t>o</w:t>
      </w:r>
      <w:r w:rsidR="00FC69ED">
        <w:t>nths</w:t>
      </w:r>
      <w:r w:rsidR="00FC69ED">
        <w:rPr>
          <w:spacing w:val="1"/>
        </w:rPr>
        <w:t xml:space="preserve"> </w:t>
      </w:r>
      <w:r w:rsidR="00FC69ED">
        <w:rPr>
          <w:spacing w:val="-3"/>
        </w:rPr>
        <w:t>o</w:t>
      </w:r>
      <w:r w:rsidR="00FC69ED">
        <w:t>f</w:t>
      </w:r>
      <w:r w:rsidR="00FC69ED">
        <w:rPr>
          <w:spacing w:val="-1"/>
        </w:rPr>
        <w:t xml:space="preserve"> </w:t>
      </w:r>
      <w:r w:rsidR="00FC69ED">
        <w:t>the e</w:t>
      </w:r>
      <w:r w:rsidR="00FC69ED">
        <w:rPr>
          <w:spacing w:val="-1"/>
        </w:rPr>
        <w:t>n</w:t>
      </w:r>
      <w:r w:rsidR="00FC69ED">
        <w:t>d</w:t>
      </w:r>
      <w:r w:rsidR="00FC69ED">
        <w:rPr>
          <w:spacing w:val="-2"/>
        </w:rPr>
        <w:t xml:space="preserve"> </w:t>
      </w:r>
      <w:r w:rsidR="00FC69ED">
        <w:rPr>
          <w:spacing w:val="-3"/>
        </w:rPr>
        <w:t>o</w:t>
      </w:r>
      <w:r w:rsidR="00FC69ED">
        <w:t>f</w:t>
      </w:r>
      <w:r w:rsidR="00FC69ED">
        <w:rPr>
          <w:spacing w:val="-1"/>
        </w:rPr>
        <w:t xml:space="preserve"> </w:t>
      </w:r>
      <w:r w:rsidR="00FC69ED">
        <w:t>the relevant financial</w:t>
      </w:r>
      <w:r w:rsidR="00FC69ED">
        <w:rPr>
          <w:spacing w:val="-3"/>
        </w:rPr>
        <w:t xml:space="preserve"> </w:t>
      </w:r>
      <w:r w:rsidR="00FC69ED">
        <w:t>year.</w:t>
      </w:r>
    </w:p>
    <w:p w14:paraId="6BEFDFBC" w14:textId="77777777" w:rsidR="00150496" w:rsidRDefault="00150496">
      <w:pPr>
        <w:pStyle w:val="BodyText"/>
        <w:spacing w:before="11"/>
        <w:rPr>
          <w:rFonts w:ascii="Arial"/>
          <w:sz w:val="21"/>
        </w:rPr>
      </w:pPr>
    </w:p>
    <w:p w14:paraId="6BEFDFBD" w14:textId="77777777" w:rsidR="00150496" w:rsidRDefault="00FC69ED">
      <w:pPr>
        <w:pStyle w:val="ListParagraph"/>
        <w:numPr>
          <w:ilvl w:val="0"/>
          <w:numId w:val="1"/>
        </w:numPr>
        <w:tabs>
          <w:tab w:val="left" w:pos="838"/>
        </w:tabs>
        <w:ind w:right="393"/>
      </w:pPr>
      <w:r>
        <w:t>The insurer must demonstrate that a commercial level of premium is maintained at all times. As part of the triennial actuarial review, the insurer must provide APRA with confirmation that the level of premium pricing is on commercial</w:t>
      </w:r>
      <w:r>
        <w:rPr>
          <w:spacing w:val="-2"/>
        </w:rPr>
        <w:t xml:space="preserve"> </w:t>
      </w:r>
      <w:r>
        <w:t>terms.</w:t>
      </w:r>
    </w:p>
    <w:sectPr w:rsidR="00150496">
      <w:pgSz w:w="11910" w:h="16840"/>
      <w:pgMar w:top="1360" w:right="16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133F4" w14:textId="77777777" w:rsidR="009433B8" w:rsidRDefault="009433B8" w:rsidP="009433B8">
      <w:r>
        <w:separator/>
      </w:r>
    </w:p>
  </w:endnote>
  <w:endnote w:type="continuationSeparator" w:id="0">
    <w:p w14:paraId="0F0F42C4" w14:textId="77777777" w:rsidR="009433B8" w:rsidRDefault="009433B8" w:rsidP="0094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8F14" w14:textId="77777777" w:rsidR="009433B8" w:rsidRDefault="009433B8" w:rsidP="009433B8">
      <w:r>
        <w:separator/>
      </w:r>
    </w:p>
  </w:footnote>
  <w:footnote w:type="continuationSeparator" w:id="0">
    <w:p w14:paraId="2B8091EF" w14:textId="77777777" w:rsidR="009433B8" w:rsidRDefault="009433B8" w:rsidP="0094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890F" w14:textId="12004187" w:rsidR="006C2BCC" w:rsidRDefault="006C2BCC">
    <w:pPr>
      <w:pStyle w:val="Header"/>
    </w:pPr>
  </w:p>
  <w:p w14:paraId="28BCA16A" w14:textId="77777777" w:rsidR="006C2BCC" w:rsidRDefault="006C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6C2BCC" w:rsidRPr="00CE796A" w14:paraId="75817E2D" w14:textId="77777777" w:rsidTr="00AC27A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341A768" w14:textId="77777777" w:rsidR="006C2BCC" w:rsidRPr="00CE796A" w:rsidRDefault="006C2BCC" w:rsidP="006C2BCC">
          <w:pPr>
            <w:spacing w:before="60"/>
            <w:ind w:left="-51"/>
            <w:rPr>
              <w:rFonts w:ascii="Arial" w:hAnsi="Arial"/>
              <w:sz w:val="12"/>
            </w:rPr>
          </w:pPr>
          <w:bookmarkStart w:id="0" w:name="OLE_LINK2"/>
          <w:r>
            <w:rPr>
              <w:rFonts w:ascii="Arial" w:hAnsi="Arial"/>
              <w:noProof/>
              <w:sz w:val="12"/>
            </w:rPr>
            <w:drawing>
              <wp:inline distT="0" distB="0" distL="0" distR="0" wp14:anchorId="58415744" wp14:editId="5DBDB966">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8BFE37A" w14:textId="77777777" w:rsidR="006C2BCC" w:rsidRPr="00CE796A" w:rsidRDefault="006C2BCC" w:rsidP="006C2BCC">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486769F" w14:textId="77777777" w:rsidR="006C2BCC" w:rsidRPr="00CE796A" w:rsidRDefault="006C2BCC" w:rsidP="006C2BCC">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6C2BCC" w:rsidRPr="00CE796A" w14:paraId="56961F73" w14:textId="77777777" w:rsidTr="00AC27A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3D27FC2" w14:textId="77777777" w:rsidR="006C2BCC" w:rsidRPr="00CE796A" w:rsidRDefault="006C2BCC" w:rsidP="006C2BCC">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D7BEF3F" w14:textId="77777777" w:rsidR="006C2BCC" w:rsidRPr="00840A06" w:rsidRDefault="006C2BCC" w:rsidP="006C2BCC">
          <w:pPr>
            <w:jc w:val="right"/>
            <w:rPr>
              <w:rFonts w:ascii="Arial" w:hAnsi="Arial" w:cs="Arial"/>
              <w:b/>
              <w:sz w:val="24"/>
              <w:szCs w:val="24"/>
            </w:rPr>
          </w:pPr>
          <w:r w:rsidRPr="00840A06">
            <w:rPr>
              <w:rFonts w:ascii="Arial" w:hAnsi="Arial" w:cs="Arial"/>
              <w:b/>
              <w:sz w:val="24"/>
              <w:szCs w:val="24"/>
            </w:rPr>
            <w:t>GOVERNMENT NOTICES</w:t>
          </w:r>
        </w:p>
      </w:tc>
    </w:tr>
    <w:bookmarkEnd w:id="0"/>
  </w:tbl>
  <w:p w14:paraId="096D370E" w14:textId="77777777" w:rsidR="006C2BCC" w:rsidRDefault="006C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3013"/>
    <w:multiLevelType w:val="hybridMultilevel"/>
    <w:tmpl w:val="FE220EE0"/>
    <w:lvl w:ilvl="0" w:tplc="1520D3D0">
      <w:start w:val="1"/>
      <w:numFmt w:val="lowerLetter"/>
      <w:lvlText w:val="%1)"/>
      <w:lvlJc w:val="left"/>
      <w:pPr>
        <w:ind w:left="838" w:hanging="360"/>
        <w:jc w:val="left"/>
      </w:pPr>
      <w:rPr>
        <w:rFonts w:ascii="Times New Roman" w:eastAsia="Times New Roman" w:hAnsi="Times New Roman" w:cs="Times New Roman" w:hint="default"/>
        <w:spacing w:val="-182"/>
        <w:w w:val="99"/>
        <w:sz w:val="24"/>
        <w:szCs w:val="24"/>
        <w:lang w:val="en-AU" w:eastAsia="en-AU" w:bidi="en-AU"/>
      </w:rPr>
    </w:lvl>
    <w:lvl w:ilvl="1" w:tplc="8E72453A">
      <w:numFmt w:val="bullet"/>
      <w:lvlText w:val="•"/>
      <w:lvlJc w:val="left"/>
      <w:pPr>
        <w:ind w:left="1612" w:hanging="360"/>
      </w:pPr>
      <w:rPr>
        <w:rFonts w:hint="default"/>
        <w:lang w:val="en-AU" w:eastAsia="en-AU" w:bidi="en-AU"/>
      </w:rPr>
    </w:lvl>
    <w:lvl w:ilvl="2" w:tplc="2C0886FE">
      <w:numFmt w:val="bullet"/>
      <w:lvlText w:val="•"/>
      <w:lvlJc w:val="left"/>
      <w:pPr>
        <w:ind w:left="2385" w:hanging="360"/>
      </w:pPr>
      <w:rPr>
        <w:rFonts w:hint="default"/>
        <w:lang w:val="en-AU" w:eastAsia="en-AU" w:bidi="en-AU"/>
      </w:rPr>
    </w:lvl>
    <w:lvl w:ilvl="3" w:tplc="296A47A4">
      <w:numFmt w:val="bullet"/>
      <w:lvlText w:val="•"/>
      <w:lvlJc w:val="left"/>
      <w:pPr>
        <w:ind w:left="3157" w:hanging="360"/>
      </w:pPr>
      <w:rPr>
        <w:rFonts w:hint="default"/>
        <w:lang w:val="en-AU" w:eastAsia="en-AU" w:bidi="en-AU"/>
      </w:rPr>
    </w:lvl>
    <w:lvl w:ilvl="4" w:tplc="DAE4D630">
      <w:numFmt w:val="bullet"/>
      <w:lvlText w:val="•"/>
      <w:lvlJc w:val="left"/>
      <w:pPr>
        <w:ind w:left="3930" w:hanging="360"/>
      </w:pPr>
      <w:rPr>
        <w:rFonts w:hint="default"/>
        <w:lang w:val="en-AU" w:eastAsia="en-AU" w:bidi="en-AU"/>
      </w:rPr>
    </w:lvl>
    <w:lvl w:ilvl="5" w:tplc="7862B9A0">
      <w:numFmt w:val="bullet"/>
      <w:lvlText w:val="•"/>
      <w:lvlJc w:val="left"/>
      <w:pPr>
        <w:ind w:left="4703" w:hanging="360"/>
      </w:pPr>
      <w:rPr>
        <w:rFonts w:hint="default"/>
        <w:lang w:val="en-AU" w:eastAsia="en-AU" w:bidi="en-AU"/>
      </w:rPr>
    </w:lvl>
    <w:lvl w:ilvl="6" w:tplc="A36C0256">
      <w:numFmt w:val="bullet"/>
      <w:lvlText w:val="•"/>
      <w:lvlJc w:val="left"/>
      <w:pPr>
        <w:ind w:left="5475" w:hanging="360"/>
      </w:pPr>
      <w:rPr>
        <w:rFonts w:hint="default"/>
        <w:lang w:val="en-AU" w:eastAsia="en-AU" w:bidi="en-AU"/>
      </w:rPr>
    </w:lvl>
    <w:lvl w:ilvl="7" w:tplc="104CAE82">
      <w:numFmt w:val="bullet"/>
      <w:lvlText w:val="•"/>
      <w:lvlJc w:val="left"/>
      <w:pPr>
        <w:ind w:left="6248" w:hanging="360"/>
      </w:pPr>
      <w:rPr>
        <w:rFonts w:hint="default"/>
        <w:lang w:val="en-AU" w:eastAsia="en-AU" w:bidi="en-AU"/>
      </w:rPr>
    </w:lvl>
    <w:lvl w:ilvl="8" w:tplc="1EEEDCFA">
      <w:numFmt w:val="bullet"/>
      <w:lvlText w:val="•"/>
      <w:lvlJc w:val="left"/>
      <w:pPr>
        <w:ind w:left="7021" w:hanging="360"/>
      </w:pPr>
      <w:rPr>
        <w:rFonts w:hint="default"/>
        <w:lang w:val="en-AU" w:eastAsia="en-AU" w:bidi="en-AU"/>
      </w:rPr>
    </w:lvl>
  </w:abstractNum>
  <w:abstractNum w:abstractNumId="1" w15:restartNumberingAfterBreak="0">
    <w:nsid w:val="616C34E8"/>
    <w:multiLevelType w:val="hybridMultilevel"/>
    <w:tmpl w:val="24D087EA"/>
    <w:lvl w:ilvl="0" w:tplc="0C090017">
      <w:start w:val="1"/>
      <w:numFmt w:val="lowerLetter"/>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 w15:restartNumberingAfterBreak="0">
    <w:nsid w:val="6C5E1ACF"/>
    <w:multiLevelType w:val="hybridMultilevel"/>
    <w:tmpl w:val="71683202"/>
    <w:lvl w:ilvl="0" w:tplc="CC485F70">
      <w:start w:val="1"/>
      <w:numFmt w:val="decimal"/>
      <w:lvlText w:val="%1."/>
      <w:lvlJc w:val="left"/>
      <w:pPr>
        <w:ind w:left="838" w:hanging="360"/>
        <w:jc w:val="left"/>
      </w:pPr>
      <w:rPr>
        <w:rFonts w:ascii="Arial" w:eastAsia="Arial" w:hAnsi="Arial" w:cs="Arial" w:hint="default"/>
        <w:spacing w:val="-1"/>
        <w:w w:val="100"/>
        <w:sz w:val="22"/>
        <w:szCs w:val="22"/>
        <w:lang w:val="en-AU" w:eastAsia="en-AU" w:bidi="en-AU"/>
      </w:rPr>
    </w:lvl>
    <w:lvl w:ilvl="1" w:tplc="A7B8B160">
      <w:numFmt w:val="bullet"/>
      <w:lvlText w:val="•"/>
      <w:lvlJc w:val="left"/>
      <w:pPr>
        <w:ind w:left="1612" w:hanging="360"/>
      </w:pPr>
      <w:rPr>
        <w:rFonts w:hint="default"/>
        <w:lang w:val="en-AU" w:eastAsia="en-AU" w:bidi="en-AU"/>
      </w:rPr>
    </w:lvl>
    <w:lvl w:ilvl="2" w:tplc="5ADC34F8">
      <w:numFmt w:val="bullet"/>
      <w:lvlText w:val="•"/>
      <w:lvlJc w:val="left"/>
      <w:pPr>
        <w:ind w:left="2385" w:hanging="360"/>
      </w:pPr>
      <w:rPr>
        <w:rFonts w:hint="default"/>
        <w:lang w:val="en-AU" w:eastAsia="en-AU" w:bidi="en-AU"/>
      </w:rPr>
    </w:lvl>
    <w:lvl w:ilvl="3" w:tplc="8454FDD6">
      <w:numFmt w:val="bullet"/>
      <w:lvlText w:val="•"/>
      <w:lvlJc w:val="left"/>
      <w:pPr>
        <w:ind w:left="3157" w:hanging="360"/>
      </w:pPr>
      <w:rPr>
        <w:rFonts w:hint="default"/>
        <w:lang w:val="en-AU" w:eastAsia="en-AU" w:bidi="en-AU"/>
      </w:rPr>
    </w:lvl>
    <w:lvl w:ilvl="4" w:tplc="80A24D04">
      <w:numFmt w:val="bullet"/>
      <w:lvlText w:val="•"/>
      <w:lvlJc w:val="left"/>
      <w:pPr>
        <w:ind w:left="3930" w:hanging="360"/>
      </w:pPr>
      <w:rPr>
        <w:rFonts w:hint="default"/>
        <w:lang w:val="en-AU" w:eastAsia="en-AU" w:bidi="en-AU"/>
      </w:rPr>
    </w:lvl>
    <w:lvl w:ilvl="5" w:tplc="ECC02EA6">
      <w:numFmt w:val="bullet"/>
      <w:lvlText w:val="•"/>
      <w:lvlJc w:val="left"/>
      <w:pPr>
        <w:ind w:left="4703" w:hanging="360"/>
      </w:pPr>
      <w:rPr>
        <w:rFonts w:hint="default"/>
        <w:lang w:val="en-AU" w:eastAsia="en-AU" w:bidi="en-AU"/>
      </w:rPr>
    </w:lvl>
    <w:lvl w:ilvl="6" w:tplc="082E1894">
      <w:numFmt w:val="bullet"/>
      <w:lvlText w:val="•"/>
      <w:lvlJc w:val="left"/>
      <w:pPr>
        <w:ind w:left="5475" w:hanging="360"/>
      </w:pPr>
      <w:rPr>
        <w:rFonts w:hint="default"/>
        <w:lang w:val="en-AU" w:eastAsia="en-AU" w:bidi="en-AU"/>
      </w:rPr>
    </w:lvl>
    <w:lvl w:ilvl="7" w:tplc="44C231E6">
      <w:numFmt w:val="bullet"/>
      <w:lvlText w:val="•"/>
      <w:lvlJc w:val="left"/>
      <w:pPr>
        <w:ind w:left="6248" w:hanging="360"/>
      </w:pPr>
      <w:rPr>
        <w:rFonts w:hint="default"/>
        <w:lang w:val="en-AU" w:eastAsia="en-AU" w:bidi="en-AU"/>
      </w:rPr>
    </w:lvl>
    <w:lvl w:ilvl="8" w:tplc="91F63708">
      <w:numFmt w:val="bullet"/>
      <w:lvlText w:val="•"/>
      <w:lvlJc w:val="left"/>
      <w:pPr>
        <w:ind w:left="7021" w:hanging="360"/>
      </w:pPr>
      <w:rPr>
        <w:rFonts w:hint="default"/>
        <w:lang w:val="en-AU" w:eastAsia="en-AU" w:bidi="en-A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50496"/>
    <w:rsid w:val="00150496"/>
    <w:rsid w:val="006C2BCC"/>
    <w:rsid w:val="00777AB9"/>
    <w:rsid w:val="00834380"/>
    <w:rsid w:val="009433B8"/>
    <w:rsid w:val="00B324A7"/>
    <w:rsid w:val="00FC6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FDF87"/>
  <w15:docId w15:val="{9A12D53C-DBD3-4CA8-9008-9F4BD0B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AU" w:eastAsia="en-AU" w:bidi="en-AU"/>
    </w:rPr>
  </w:style>
  <w:style w:type="paragraph" w:styleId="Heading1">
    <w:name w:val="heading 1"/>
    <w:basedOn w:val="Normal"/>
    <w:uiPriority w:val="9"/>
    <w:qFormat/>
    <w:pPr>
      <w:ind w:left="118"/>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right="138"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2BCC"/>
    <w:pPr>
      <w:tabs>
        <w:tab w:val="center" w:pos="4513"/>
        <w:tab w:val="right" w:pos="9026"/>
      </w:tabs>
    </w:pPr>
  </w:style>
  <w:style w:type="character" w:customStyle="1" w:styleId="HeaderChar">
    <w:name w:val="Header Char"/>
    <w:basedOn w:val="DefaultParagraphFont"/>
    <w:link w:val="Header"/>
    <w:uiPriority w:val="99"/>
    <w:rsid w:val="006C2BCC"/>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6C2BCC"/>
    <w:pPr>
      <w:tabs>
        <w:tab w:val="center" w:pos="4513"/>
        <w:tab w:val="right" w:pos="9026"/>
      </w:tabs>
    </w:pPr>
  </w:style>
  <w:style w:type="character" w:customStyle="1" w:styleId="FooterChar">
    <w:name w:val="Footer Char"/>
    <w:basedOn w:val="DefaultParagraphFont"/>
    <w:link w:val="Footer"/>
    <w:uiPriority w:val="99"/>
    <w:rsid w:val="006C2BCC"/>
    <w:rPr>
      <w:rFonts w:ascii="Times New Roman" w:eastAsia="Times New Roman" w:hAnsi="Times New Roman" w:cs="Times New Roman"/>
      <w:lang w:val="en-AU" w:eastAsia="en-AU" w:bidi="en-AU"/>
    </w:rPr>
  </w:style>
  <w:style w:type="paragraph" w:customStyle="1" w:styleId="Default">
    <w:name w:val="Default"/>
    <w:rsid w:val="00B324A7"/>
    <w:pPr>
      <w:widowControl/>
      <w:adjustRightInd w:val="0"/>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5JENXJJSCC7A-445999044-11656</_dlc_DocId>
    <TaxCatchAll xmlns="814d62cb-2db6-4c25-ab62-b9075facbc11">
      <Value>24</Value>
      <Value>134</Value>
      <Value>83</Value>
      <Value>26</Value>
      <Value>10</Value>
      <Value>109</Value>
      <Value>93</Value>
      <Value>58</Value>
      <Value>230</Value>
      <Value>4</Value>
      <Value>19</Value>
    </TaxCatchAll>
    <_dlc_DocIdUrl xmlns="814d62cb-2db6-4c25-ab62-b9075facbc11">
      <Url>https://im/teams/LEGAL/_layouts/15/DocIdRedir.aspx?ID=5JENXJJSCC7A-445999044-11656</Url>
      <Description>5JENXJJSCC7A-445999044-11656</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Conditions on authorisation of a general insurer</APRADescription>
    <APRAActivityID xmlns="814d62cb-2db6-4c25-ab62-b9075facbc11" xsi:nil="true"/>
    <APRADocScanCheck xmlns="814d62cb-2db6-4c25-ab62-b9075facbc11">false</APRADocScanChe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AC1A3-02D0-467E-845B-C6ADF883D208}">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814d62cb-2db6-4c25-ab62-b9075facbc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224AB3-837D-4A53-9ABB-EE20545AE6AF}">
  <ds:schemaRefs>
    <ds:schemaRef ds:uri="http://schemas.microsoft.com/sharepoint/v3/contenttype/forms"/>
  </ds:schemaRefs>
</ds:datastoreItem>
</file>

<file path=customXml/itemProps3.xml><?xml version="1.0" encoding="utf-8"?>
<ds:datastoreItem xmlns:ds="http://schemas.openxmlformats.org/officeDocument/2006/customXml" ds:itemID="{FD3B4502-AB29-471D-8DD8-C3BE1BEEA605}">
  <ds:schemaRefs>
    <ds:schemaRef ds:uri="http://schemas.microsoft.com/sharepoint/events"/>
  </ds:schemaRefs>
</ds:datastoreItem>
</file>

<file path=customXml/itemProps4.xml><?xml version="1.0" encoding="utf-8"?>
<ds:datastoreItem xmlns:ds="http://schemas.openxmlformats.org/officeDocument/2006/customXml" ds:itemID="{12CA620C-6401-49DF-AFA5-43C5EC44B329}">
  <ds:schemaRefs>
    <ds:schemaRef ds:uri="Microsoft.SharePoint.Taxonomy.ContentTypeSync"/>
  </ds:schemaRefs>
</ds:datastoreItem>
</file>

<file path=customXml/itemProps5.xml><?xml version="1.0" encoding="utf-8"?>
<ds:datastoreItem xmlns:ds="http://schemas.openxmlformats.org/officeDocument/2006/customXml" ds:itemID="{8C04A238-9167-4ED4-9D63-2327746A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532</Words>
  <Characters>2756</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Barristers Sickness and Accident Fund Pty Limited - 121121</dc:title>
  <cp:keywords>[SEC=OFFICIAL]</cp:keywords>
  <cp:lastModifiedBy>Michalis, Toni</cp:lastModifiedBy>
  <cp:revision>6</cp:revision>
  <dcterms:created xsi:type="dcterms:W3CDTF">2021-12-01T05:09:00Z</dcterms:created>
  <dcterms:modified xsi:type="dcterms:W3CDTF">2021-12-03T03:11:00Z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LastSaved">
    <vt:filetime>2021-12-01T00:00:00Z</vt:filetime>
  </property>
  <property fmtid="{D5CDD505-2E9C-101B-9397-08002B2CF9AE}" pid="4" name="APRAPeriod">
    <vt:lpwstr/>
  </property>
  <property fmtid="{D5CDD505-2E9C-101B-9397-08002B2CF9AE}" pid="5" name="APRACostCentre">
    <vt:lpwstr>134;#Legal - Superannuation|cce3181d-fd23-4eee-94d3-c66abc2350cf;#26;#Legal - Insurance: General|8229dc1a-d7f2-47b2-844a-b026fed0c13d;#83;#Legal - Insurance: Life|56f18b50-6605-4f3f-97e3-cad1cb5394e0;#93;#Legal - Insurance: Health|21611e62-d688-4f0d-8807-02701cc43699;#24;#Legal - ADI|652d8d2a-ab45-47b4-ac6e-fe6ac9299b39;#4;#Legal - Resolution ＆ Corporate|696624b1-19f4-47b2-a07b-57868a922a96</vt:lpwstr>
  </property>
  <property fmtid="{D5CDD505-2E9C-101B-9397-08002B2CF9AE}" pid="6" name="APRALegislation">
    <vt:lpwstr/>
  </property>
  <property fmtid="{D5CDD505-2E9C-101B-9397-08002B2CF9AE}" pid="7" name="APRAYear">
    <vt:lpwstr>230;#2021|0e1e43df-81ea-47af-89d8-970d5d5956ff</vt:lpwstr>
  </property>
  <property fmtid="{D5CDD505-2E9C-101B-9397-08002B2CF9AE}" pid="8" name="APRAIndustry">
    <vt:lpwstr/>
  </property>
  <property fmtid="{D5CDD505-2E9C-101B-9397-08002B2CF9AE}" pid="9" name="ContentTypeId">
    <vt:lpwstr>0x0101008CA7A4F8331B45C7B0D3158B4994D0CA0200577EC0F5A1FBFC498F9A8436B963F8A6</vt:lpwstr>
  </property>
  <property fmtid="{D5CDD505-2E9C-101B-9397-08002B2CF9AE}" pid="10" name="_dlc_DocIdItemGuid">
    <vt:lpwstr>2f723117-a415-46ba-9069-4fee5a746612</vt:lpwstr>
  </property>
  <property fmtid="{D5CDD505-2E9C-101B-9397-08002B2CF9AE}" pid="11" name="APRAPRSG">
    <vt:lpwstr/>
  </property>
  <property fmtid="{D5CDD505-2E9C-101B-9397-08002B2CF9AE}" pid="12" name="IsLocked">
    <vt:lpwstr>Yes</vt:lpwstr>
  </property>
  <property fmtid="{D5CDD505-2E9C-101B-9397-08002B2CF9AE}" pid="13" name="APRAStatus">
    <vt:lpwstr>19;#Final|84d6b2d0-8498-4d62-bf46-bab38babbe9e</vt:lpwstr>
  </property>
  <property fmtid="{D5CDD505-2E9C-101B-9397-08002B2CF9AE}" pid="14" name="PM_ProtectiveMarkingImage_Header">
    <vt:lpwstr>C:\Program Files\Common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A0DFC64D289243A3BC7FE022CC43CA20</vt:lpwstr>
  </property>
  <property fmtid="{D5CDD505-2E9C-101B-9397-08002B2CF9AE}" pid="21" name="PM_ProtectiveMarkingValue_Footer">
    <vt:lpwstr>OFFICIAL</vt:lpwstr>
  </property>
  <property fmtid="{D5CDD505-2E9C-101B-9397-08002B2CF9AE}" pid="22" name="PM_Originator_Hash_SHA1">
    <vt:lpwstr>C3AD57350F36D8E1BD75F8F67CB06D435C9C43CA</vt:lpwstr>
  </property>
  <property fmtid="{D5CDD505-2E9C-101B-9397-08002B2CF9AE}" pid="23" name="PM_OriginationTimeStamp">
    <vt:lpwstr>2021-12-03T03:11:28Z</vt:lpwstr>
  </property>
  <property fmtid="{D5CDD505-2E9C-101B-9397-08002B2CF9AE}" pid="24" name="PM_ProtectiveMarkingValue_Header">
    <vt:lpwstr>OFFICIAL</vt:lpwstr>
  </property>
  <property fmtid="{D5CDD505-2E9C-101B-9397-08002B2CF9AE}" pid="25" name="PM_ProtectiveMarkingImage_Footer">
    <vt:lpwstr>C:\Program Files\Common Files\janusNET Shared\janusSEAL\Images\DocumentSlashBlue.png</vt:lpwstr>
  </property>
  <property fmtid="{D5CDD505-2E9C-101B-9397-08002B2CF9AE}" pid="26" name="PM_Namespace">
    <vt:lpwstr>gov.au</vt:lpwstr>
  </property>
  <property fmtid="{D5CDD505-2E9C-101B-9397-08002B2CF9AE}" pid="27" name="PM_Version">
    <vt:lpwstr>2018.4</vt:lpwstr>
  </property>
  <property fmtid="{D5CDD505-2E9C-101B-9397-08002B2CF9AE}" pid="28" name="PM_Note">
    <vt:lpwstr/>
  </property>
  <property fmtid="{D5CDD505-2E9C-101B-9397-08002B2CF9AE}" pid="29" name="PM_Markers">
    <vt:lpwstr/>
  </property>
  <property fmtid="{D5CDD505-2E9C-101B-9397-08002B2CF9AE}" pid="30" name="PM_Display">
    <vt:lpwstr>OFFICIAL</vt:lpwstr>
  </property>
  <property fmtid="{D5CDD505-2E9C-101B-9397-08002B2CF9AE}" pid="31" name="PM_Hash_Version">
    <vt:lpwstr>2018.0</vt:lpwstr>
  </property>
  <property fmtid="{D5CDD505-2E9C-101B-9397-08002B2CF9AE}" pid="32" name="PM_Hash_Salt_Prev">
    <vt:lpwstr>F0805F8E4D84974694003C3097548F72</vt:lpwstr>
  </property>
  <property fmtid="{D5CDD505-2E9C-101B-9397-08002B2CF9AE}" pid="33" name="PM_Hash_Salt">
    <vt:lpwstr>6D7A2309E05BF1A09302F09F297A6C27</vt:lpwstr>
  </property>
  <property fmtid="{D5CDD505-2E9C-101B-9397-08002B2CF9AE}" pid="34" name="PM_Hash_SHA1">
    <vt:lpwstr>9B275C47CEF45CF420FB5BBB54526E6E13BA2C6B</vt:lpwstr>
  </property>
  <property fmtid="{D5CDD505-2E9C-101B-9397-08002B2CF9AE}" pid="35" name="PM_OriginatorUserAccountName_SHA256">
    <vt:lpwstr>6E3018F28A186D2E5FF5207C041E7A82E907C3008E071057026A53705873B72E</vt:lpwstr>
  </property>
  <property fmtid="{D5CDD505-2E9C-101B-9397-08002B2CF9AE}" pid="36" name="PM_OriginatorDomainName_SHA256">
    <vt:lpwstr>ECBDE2B44A971754412B3FB70606937A119CC0D4B6C1B658A40FBD41C30BE3EC</vt:lpwstr>
  </property>
  <property fmtid="{D5CDD505-2E9C-101B-9397-08002B2CF9AE}" pid="37" name="PM_MinimumSecurityClassification">
    <vt:lpwstr/>
  </property>
  <property fmtid="{D5CDD505-2E9C-101B-9397-08002B2CF9AE}" pid="38" name="IT system type">
    <vt:lpwstr/>
  </property>
  <property fmtid="{D5CDD505-2E9C-101B-9397-08002B2CF9AE}" pid="39" name="APRACategory">
    <vt:lpwstr/>
  </property>
  <property fmtid="{D5CDD505-2E9C-101B-9397-08002B2CF9AE}" pid="40" name="APRADocumentType">
    <vt:lpwstr>58;#Legal instrument|71fd6ed3-d6d6-4975-ba99-bfe45802e734</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ExternalOrganisation">
    <vt:lpwstr/>
  </property>
  <property fmtid="{D5CDD505-2E9C-101B-9397-08002B2CF9AE}" pid="44" name="APRAIRTR">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{2f723117-a415-46ba-9069-4fee5a746612}</vt:lpwstr>
  </property>
  <property fmtid="{D5CDD505-2E9C-101B-9397-08002B2CF9AE}" pid="49" name="RecordPoint_ActiveItemWebId">
    <vt:lpwstr>{75a71c27-8d66-4282-ae60-1bfc22a83be1}</vt:lpwstr>
  </property>
  <property fmtid="{D5CDD505-2E9C-101B-9397-08002B2CF9AE}" pid="50" name="RecordPoint_RecordNumberSubmitted">
    <vt:lpwstr>R0001479562</vt:lpwstr>
  </property>
  <property fmtid="{D5CDD505-2E9C-101B-9397-08002B2CF9AE}" pid="51" name="RecordPoint_SubmissionCompleted">
    <vt:lpwstr>2021-12-02T17:29:41.8299264+11:00</vt:lpwstr>
  </property>
  <property fmtid="{D5CDD505-2E9C-101B-9397-08002B2CF9AE}" pid="52" name="PM_SecurityClassification_Prev">
    <vt:lpwstr>OFFICIAL</vt:lpwstr>
  </property>
  <property fmtid="{D5CDD505-2E9C-101B-9397-08002B2CF9AE}" pid="53" name="PM_Qualifier_Prev">
    <vt:lpwstr/>
  </property>
</Properties>
</file>