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BD337" w14:textId="77777777" w:rsidR="00041326" w:rsidRDefault="005E6121">
      <w:pPr>
        <w:spacing w:before="87"/>
        <w:ind w:left="100" w:right="118"/>
        <w:jc w:val="both"/>
        <w:rPr>
          <w:b/>
          <w:sz w:val="40"/>
        </w:rPr>
      </w:pPr>
      <w:r>
        <w:rPr>
          <w:b/>
          <w:sz w:val="40"/>
        </w:rPr>
        <w:t>Notice imposing conditions on an</w:t>
      </w:r>
      <w:r>
        <w:rPr>
          <w:b/>
          <w:spacing w:val="-52"/>
          <w:sz w:val="40"/>
        </w:rPr>
        <w:t xml:space="preserve"> </w:t>
      </w:r>
      <w:proofErr w:type="spellStart"/>
      <w:r>
        <w:rPr>
          <w:b/>
          <w:sz w:val="40"/>
        </w:rPr>
        <w:t>authorisation</w:t>
      </w:r>
      <w:proofErr w:type="spellEnd"/>
      <w:r>
        <w:rPr>
          <w:b/>
          <w:sz w:val="40"/>
        </w:rPr>
        <w:t xml:space="preserve"> to carry on insurance business in Australia – St Andrew’s Insurance (Australia) Pty</w:t>
      </w:r>
      <w:r>
        <w:rPr>
          <w:b/>
          <w:spacing w:val="-13"/>
          <w:sz w:val="40"/>
        </w:rPr>
        <w:t xml:space="preserve"> </w:t>
      </w:r>
      <w:r>
        <w:rPr>
          <w:b/>
          <w:sz w:val="40"/>
        </w:rPr>
        <w:t>Ltd</w:t>
      </w:r>
    </w:p>
    <w:p w14:paraId="3A4BD338" w14:textId="388A5DA8" w:rsidR="00041326" w:rsidRDefault="005E6121">
      <w:pPr>
        <w:pBdr>
          <w:bottom w:val="single" w:sz="6" w:space="1" w:color="auto"/>
        </w:pBdr>
        <w:spacing w:before="363"/>
        <w:ind w:left="100"/>
        <w:jc w:val="both"/>
        <w:rPr>
          <w:b/>
          <w:i/>
          <w:sz w:val="32"/>
        </w:rPr>
      </w:pPr>
      <w:r>
        <w:rPr>
          <w:b/>
          <w:i/>
          <w:sz w:val="32"/>
        </w:rPr>
        <w:t>Insurance Act 1973</w:t>
      </w:r>
    </w:p>
    <w:p w14:paraId="3A4BD339" w14:textId="528B1EE7" w:rsidR="00041326" w:rsidRDefault="005E6121">
      <w:pPr>
        <w:pStyle w:val="BodyText"/>
        <w:spacing w:before="211"/>
        <w:ind w:left="100"/>
        <w:jc w:val="both"/>
      </w:pPr>
      <w:bookmarkStart w:id="0" w:name="_GoBack"/>
      <w:bookmarkEnd w:id="0"/>
      <w:r>
        <w:t>To: St Andrew’s Insurance (Australia) Pty Ltd ABN 89 075 044 656 (‘the general insurer’)</w:t>
      </w:r>
    </w:p>
    <w:p w14:paraId="3A4BD33A" w14:textId="77777777" w:rsidR="00041326" w:rsidRDefault="00041326">
      <w:pPr>
        <w:pStyle w:val="BodyText"/>
        <w:spacing w:before="11"/>
        <w:rPr>
          <w:sz w:val="21"/>
        </w:rPr>
      </w:pPr>
    </w:p>
    <w:p w14:paraId="3A4BD33B" w14:textId="77777777" w:rsidR="00041326" w:rsidRDefault="005E6121">
      <w:pPr>
        <w:pStyle w:val="BodyText"/>
        <w:ind w:left="100" w:right="116"/>
        <w:jc w:val="both"/>
      </w:pPr>
      <w:r>
        <w:t xml:space="preserve">Since APRA issued to the general insurer an </w:t>
      </w:r>
      <w:proofErr w:type="spellStart"/>
      <w:r>
        <w:t>authorisation</w:t>
      </w:r>
      <w:proofErr w:type="spellEnd"/>
      <w:r>
        <w:t xml:space="preserve"> under section 12(1) of the Act to carry on insurance business in Australia on 2 December 1997 (‘the </w:t>
      </w:r>
      <w:proofErr w:type="spellStart"/>
      <w:r>
        <w:t>Authorisation</w:t>
      </w:r>
      <w:proofErr w:type="spellEnd"/>
      <w:r>
        <w:t>’), I Sharyn Reichstein, a delegate of APRA, under section 13(1)(a) of the Act, impos</w:t>
      </w:r>
      <w:r>
        <w:t xml:space="preserve">e conditions on the </w:t>
      </w:r>
      <w:proofErr w:type="spellStart"/>
      <w:r>
        <w:t>Authorisation</w:t>
      </w:r>
      <w:proofErr w:type="spellEnd"/>
      <w:r>
        <w:t xml:space="preserve"> in the manner specified in the Schedule.</w:t>
      </w:r>
    </w:p>
    <w:p w14:paraId="3A4BD33C" w14:textId="77777777" w:rsidR="00041326" w:rsidRDefault="00041326">
      <w:pPr>
        <w:pStyle w:val="BodyText"/>
      </w:pPr>
    </w:p>
    <w:p w14:paraId="3A4BD33D" w14:textId="77777777" w:rsidR="00041326" w:rsidRDefault="005E6121">
      <w:pPr>
        <w:pStyle w:val="BodyText"/>
        <w:spacing w:line="242" w:lineRule="auto"/>
        <w:ind w:left="100" w:right="43"/>
      </w:pPr>
      <w:r>
        <w:t xml:space="preserve">This instrument, and the conditions imposed on the </w:t>
      </w:r>
      <w:proofErr w:type="spellStart"/>
      <w:r>
        <w:t>Authorisation</w:t>
      </w:r>
      <w:proofErr w:type="spellEnd"/>
      <w:r>
        <w:t>, commences on the day the instrument is made.</w:t>
      </w:r>
    </w:p>
    <w:p w14:paraId="3A4BD33E" w14:textId="77777777" w:rsidR="00041326" w:rsidRDefault="00041326">
      <w:pPr>
        <w:pStyle w:val="BodyText"/>
        <w:spacing w:before="8"/>
        <w:rPr>
          <w:sz w:val="21"/>
        </w:rPr>
      </w:pPr>
    </w:p>
    <w:p w14:paraId="3A4BD33F" w14:textId="21F8BDED" w:rsidR="00041326" w:rsidRDefault="005E6121">
      <w:pPr>
        <w:pStyle w:val="BodyText"/>
        <w:ind w:left="100"/>
        <w:jc w:val="both"/>
      </w:pPr>
      <w:r>
        <w:t>Dated: 19 October 2021</w:t>
      </w:r>
    </w:p>
    <w:p w14:paraId="5E9AF94C" w14:textId="6C2ED975" w:rsidR="005E6121" w:rsidRDefault="005E6121">
      <w:pPr>
        <w:pStyle w:val="BodyText"/>
        <w:ind w:left="100"/>
        <w:jc w:val="both"/>
      </w:pPr>
    </w:p>
    <w:p w14:paraId="5C594B59" w14:textId="2D73D8B6" w:rsidR="005E6121" w:rsidRDefault="005E6121">
      <w:pPr>
        <w:pStyle w:val="BodyText"/>
        <w:ind w:left="100"/>
        <w:jc w:val="both"/>
      </w:pPr>
      <w:r>
        <w:t>[Signed]</w:t>
      </w:r>
    </w:p>
    <w:p w14:paraId="3A4BD340" w14:textId="77777777" w:rsidR="00041326" w:rsidRDefault="00041326">
      <w:pPr>
        <w:pStyle w:val="BodyText"/>
        <w:spacing w:before="2"/>
        <w:rPr>
          <w:sz w:val="25"/>
        </w:rPr>
      </w:pPr>
    </w:p>
    <w:p w14:paraId="0A45D6E4" w14:textId="77777777" w:rsidR="005E6121" w:rsidRDefault="005E6121">
      <w:pPr>
        <w:pStyle w:val="BodyText"/>
        <w:ind w:left="100" w:right="6688"/>
      </w:pPr>
      <w:r>
        <w:t xml:space="preserve">Sharyn </w:t>
      </w:r>
      <w:r>
        <w:t xml:space="preserve">Reichstein </w:t>
      </w:r>
    </w:p>
    <w:p w14:paraId="3A4BD341" w14:textId="49923D48" w:rsidR="00041326" w:rsidRDefault="005E6121">
      <w:pPr>
        <w:pStyle w:val="BodyText"/>
        <w:ind w:left="100" w:right="6688"/>
      </w:pPr>
      <w:r>
        <w:t xml:space="preserve">Acting Executive </w:t>
      </w:r>
      <w:r>
        <w:rPr>
          <w:spacing w:val="-3"/>
        </w:rPr>
        <w:t>Directo</w:t>
      </w:r>
      <w:r>
        <w:rPr>
          <w:spacing w:val="-3"/>
        </w:rPr>
        <w:t xml:space="preserve">r </w:t>
      </w:r>
      <w:r>
        <w:t>Insurance</w:t>
      </w:r>
      <w:r>
        <w:rPr>
          <w:spacing w:val="-3"/>
        </w:rPr>
        <w:t xml:space="preserve"> </w:t>
      </w:r>
      <w:r>
        <w:t>Division</w:t>
      </w:r>
    </w:p>
    <w:p w14:paraId="3A4BD342" w14:textId="77777777" w:rsidR="00041326" w:rsidRDefault="00041326">
      <w:pPr>
        <w:sectPr w:rsidR="00041326" w:rsidSect="005E6121">
          <w:headerReference w:type="default" r:id="rId12"/>
          <w:footerReference w:type="default" r:id="rId13"/>
          <w:headerReference w:type="first" r:id="rId14"/>
          <w:type w:val="continuous"/>
          <w:pgSz w:w="11910" w:h="16840"/>
          <w:pgMar w:top="1580" w:right="1320" w:bottom="900" w:left="1340" w:header="720" w:footer="710" w:gutter="0"/>
          <w:pgNumType w:start="1"/>
          <w:cols w:space="720"/>
          <w:titlePg/>
          <w:docGrid w:linePitch="299"/>
        </w:sectPr>
      </w:pPr>
    </w:p>
    <w:p w14:paraId="3A4BD343" w14:textId="77777777" w:rsidR="00041326" w:rsidRDefault="005E6121">
      <w:pPr>
        <w:pStyle w:val="Heading1"/>
      </w:pPr>
      <w:r>
        <w:lastRenderedPageBreak/>
        <w:t>Interpretation</w:t>
      </w:r>
    </w:p>
    <w:p w14:paraId="3A4BD344" w14:textId="77777777" w:rsidR="00041326" w:rsidRDefault="00041326">
      <w:pPr>
        <w:pStyle w:val="BodyText"/>
        <w:spacing w:before="2"/>
        <w:rPr>
          <w:b/>
        </w:rPr>
      </w:pPr>
    </w:p>
    <w:p w14:paraId="3A4BD345" w14:textId="77777777" w:rsidR="00041326" w:rsidRDefault="005E6121">
      <w:pPr>
        <w:pStyle w:val="BodyText"/>
        <w:ind w:left="100"/>
      </w:pPr>
      <w:r>
        <w:t>In this notice</w:t>
      </w:r>
    </w:p>
    <w:p w14:paraId="3A4BD346" w14:textId="77777777" w:rsidR="00041326" w:rsidRDefault="00041326">
      <w:pPr>
        <w:pStyle w:val="BodyText"/>
        <w:spacing w:before="10"/>
        <w:rPr>
          <w:sz w:val="23"/>
        </w:rPr>
      </w:pPr>
    </w:p>
    <w:p w14:paraId="3A4BD347" w14:textId="77777777" w:rsidR="00041326" w:rsidRDefault="005E6121">
      <w:pPr>
        <w:spacing w:line="253" w:lineRule="exact"/>
        <w:ind w:left="100"/>
      </w:pPr>
      <w:r>
        <w:rPr>
          <w:b/>
          <w:i/>
        </w:rPr>
        <w:t xml:space="preserve">Act </w:t>
      </w:r>
      <w:r>
        <w:t xml:space="preserve">means the </w:t>
      </w:r>
      <w:r>
        <w:rPr>
          <w:i/>
        </w:rPr>
        <w:t>Insurance Act 1973</w:t>
      </w:r>
      <w:r>
        <w:t>.</w:t>
      </w:r>
    </w:p>
    <w:p w14:paraId="3A4BD348" w14:textId="77777777" w:rsidR="00041326" w:rsidRDefault="005E6121">
      <w:pPr>
        <w:pStyle w:val="BodyText"/>
        <w:ind w:left="100"/>
      </w:pPr>
      <w:r>
        <w:rPr>
          <w:b/>
          <w:i/>
        </w:rPr>
        <w:t xml:space="preserve">APRA </w:t>
      </w:r>
      <w:r>
        <w:t>means the Australian Prudential Regulation Authority.</w:t>
      </w:r>
    </w:p>
    <w:p w14:paraId="3A4BD349" w14:textId="77777777" w:rsidR="00041326" w:rsidRDefault="005E6121">
      <w:pPr>
        <w:spacing w:before="2"/>
        <w:ind w:left="100"/>
      </w:pPr>
      <w:r>
        <w:rPr>
          <w:b/>
          <w:i/>
        </w:rPr>
        <w:t xml:space="preserve">insurance business </w:t>
      </w:r>
      <w:r>
        <w:t>has the meaning given in subsection 3(1) of the Act.</w:t>
      </w:r>
    </w:p>
    <w:p w14:paraId="3A4BD34A" w14:textId="77777777" w:rsidR="00041326" w:rsidRDefault="00041326">
      <w:pPr>
        <w:pStyle w:val="BodyText"/>
        <w:rPr>
          <w:sz w:val="24"/>
        </w:rPr>
      </w:pPr>
    </w:p>
    <w:p w14:paraId="3A4BD34B" w14:textId="77777777" w:rsidR="00041326" w:rsidRDefault="00041326">
      <w:pPr>
        <w:pStyle w:val="BodyText"/>
        <w:rPr>
          <w:sz w:val="24"/>
        </w:rPr>
      </w:pPr>
    </w:p>
    <w:p w14:paraId="3A4BD34C" w14:textId="77777777" w:rsidR="00041326" w:rsidRDefault="00041326">
      <w:pPr>
        <w:pStyle w:val="BodyText"/>
        <w:rPr>
          <w:sz w:val="24"/>
        </w:rPr>
      </w:pPr>
    </w:p>
    <w:p w14:paraId="3A4BD34D" w14:textId="77777777" w:rsidR="00041326" w:rsidRDefault="00041326">
      <w:pPr>
        <w:pStyle w:val="BodyText"/>
        <w:spacing w:before="7"/>
        <w:rPr>
          <w:sz w:val="23"/>
        </w:rPr>
      </w:pPr>
    </w:p>
    <w:p w14:paraId="3A4BD34E" w14:textId="77777777" w:rsidR="00041326" w:rsidRDefault="005E6121">
      <w:pPr>
        <w:ind w:left="100"/>
        <w:rPr>
          <w:b/>
          <w:sz w:val="18"/>
        </w:rPr>
      </w:pPr>
      <w:r>
        <w:rPr>
          <w:b/>
          <w:sz w:val="18"/>
        </w:rPr>
        <w:t>Notes</w:t>
      </w:r>
    </w:p>
    <w:p w14:paraId="3A4BD34F" w14:textId="77777777" w:rsidR="00041326" w:rsidRDefault="00041326">
      <w:pPr>
        <w:pStyle w:val="BodyText"/>
        <w:spacing w:before="1"/>
        <w:rPr>
          <w:b/>
          <w:sz w:val="21"/>
        </w:rPr>
      </w:pPr>
    </w:p>
    <w:p w14:paraId="3A4BD350" w14:textId="77777777" w:rsidR="00041326" w:rsidRDefault="005E6121">
      <w:pPr>
        <w:ind w:left="100" w:right="119"/>
        <w:jc w:val="both"/>
        <w:rPr>
          <w:i/>
          <w:sz w:val="18"/>
        </w:rPr>
      </w:pPr>
      <w:r>
        <w:rPr>
          <w:i/>
          <w:sz w:val="18"/>
        </w:rPr>
        <w:t xml:space="preserve">Note 1 </w:t>
      </w:r>
      <w:r>
        <w:rPr>
          <w:sz w:val="18"/>
        </w:rPr>
        <w:t xml:space="preserve">Under section 13(4) of the Act, if APRA imposes conditions on a general insurer’s </w:t>
      </w:r>
      <w:proofErr w:type="spellStart"/>
      <w:r>
        <w:rPr>
          <w:sz w:val="18"/>
        </w:rPr>
        <w:t>authorisation</w:t>
      </w:r>
      <w:proofErr w:type="spellEnd"/>
      <w:r>
        <w:rPr>
          <w:sz w:val="18"/>
        </w:rPr>
        <w:t xml:space="preserve">, APRA must give written notice to the insurer and ensure that notice that the action has been taken is published in the </w:t>
      </w:r>
      <w:r>
        <w:rPr>
          <w:i/>
          <w:sz w:val="18"/>
        </w:rPr>
        <w:t>Gazette.</w:t>
      </w:r>
    </w:p>
    <w:p w14:paraId="3A4BD351" w14:textId="77777777" w:rsidR="00041326" w:rsidRDefault="00041326">
      <w:pPr>
        <w:pStyle w:val="BodyText"/>
        <w:spacing w:before="10"/>
        <w:rPr>
          <w:i/>
          <w:sz w:val="20"/>
        </w:rPr>
      </w:pPr>
    </w:p>
    <w:p w14:paraId="3A4BD352" w14:textId="77777777" w:rsidR="00041326" w:rsidRDefault="005E6121">
      <w:pPr>
        <w:ind w:left="100" w:right="119"/>
        <w:jc w:val="both"/>
        <w:rPr>
          <w:sz w:val="18"/>
        </w:rPr>
      </w:pPr>
      <w:r>
        <w:rPr>
          <w:i/>
          <w:sz w:val="18"/>
        </w:rPr>
        <w:t xml:space="preserve">Note 2 </w:t>
      </w:r>
      <w:r>
        <w:rPr>
          <w:sz w:val="18"/>
        </w:rPr>
        <w:t xml:space="preserve">Under section 14(1) of </w:t>
      </w:r>
      <w:r>
        <w:rPr>
          <w:sz w:val="18"/>
        </w:rPr>
        <w:t xml:space="preserve">the Act, a general insurer commits an offence if the insurer does an act or fails to do an act and doing the act or failing to do the act results in a contravention of a condition of the insurer’s </w:t>
      </w:r>
      <w:proofErr w:type="spellStart"/>
      <w:r>
        <w:rPr>
          <w:sz w:val="18"/>
        </w:rPr>
        <w:t>authorisation</w:t>
      </w:r>
      <w:proofErr w:type="spellEnd"/>
      <w:r>
        <w:rPr>
          <w:sz w:val="18"/>
        </w:rPr>
        <w:t xml:space="preserve"> under section 12 and there is no determinatio</w:t>
      </w:r>
      <w:r>
        <w:rPr>
          <w:sz w:val="18"/>
        </w:rPr>
        <w:t>n in force under subsection 7(1) that this subsection does not apply to the insurer. The penalty is 300 penalty units.</w:t>
      </w:r>
    </w:p>
    <w:p w14:paraId="3A4BD353" w14:textId="77777777" w:rsidR="00041326" w:rsidRDefault="00041326">
      <w:pPr>
        <w:pStyle w:val="BodyText"/>
        <w:rPr>
          <w:sz w:val="21"/>
        </w:rPr>
      </w:pPr>
    </w:p>
    <w:p w14:paraId="3A4BD354" w14:textId="77777777" w:rsidR="00041326" w:rsidRDefault="005E6121">
      <w:pPr>
        <w:ind w:left="100" w:right="95"/>
        <w:rPr>
          <w:sz w:val="18"/>
        </w:rPr>
      </w:pPr>
      <w:r>
        <w:rPr>
          <w:i/>
          <w:sz w:val="18"/>
        </w:rPr>
        <w:t xml:space="preserve">Note 3 </w:t>
      </w:r>
      <w:r>
        <w:rPr>
          <w:sz w:val="18"/>
        </w:rPr>
        <w:t>You may request APRA reconsider the decision in accordance with section 63(2) of the Act. The request for reconsideration must be</w:t>
      </w:r>
      <w:r>
        <w:rPr>
          <w:sz w:val="18"/>
        </w:rPr>
        <w:t xml:space="preserve"> made in writing, must set out the reasons for making the request, and must be given to APRA within 21 days after the day on which you first received notice of this decision, or within such further period as APRA allows. If you are dissatisfied with the ou</w:t>
      </w:r>
      <w:r>
        <w:rPr>
          <w:sz w:val="18"/>
        </w:rPr>
        <w:t xml:space="preserve">tcome of APRA’s reconsideration of the decision, you may, subject to the </w:t>
      </w:r>
      <w:r>
        <w:rPr>
          <w:i/>
          <w:sz w:val="18"/>
        </w:rPr>
        <w:t>Administrative Appeals Tribunal Act 1975</w:t>
      </w:r>
      <w:r>
        <w:rPr>
          <w:sz w:val="18"/>
        </w:rPr>
        <w:t>, apply to the Administrative Appeals Tribunal for review of the reconsidered decision.</w:t>
      </w:r>
    </w:p>
    <w:p w14:paraId="3A4BD355" w14:textId="77777777" w:rsidR="00041326" w:rsidRDefault="00041326">
      <w:pPr>
        <w:rPr>
          <w:sz w:val="18"/>
        </w:rPr>
        <w:sectPr w:rsidR="00041326">
          <w:pgSz w:w="11910" w:h="16840"/>
          <w:pgMar w:top="1460" w:right="1320" w:bottom="900" w:left="1340" w:header="0" w:footer="710" w:gutter="0"/>
          <w:cols w:space="720"/>
        </w:sectPr>
      </w:pPr>
    </w:p>
    <w:p w14:paraId="3A4BD356" w14:textId="77777777" w:rsidR="00041326" w:rsidRDefault="005E6121">
      <w:pPr>
        <w:pStyle w:val="Heading1"/>
      </w:pPr>
      <w:r>
        <w:lastRenderedPageBreak/>
        <w:t>Schedule – the conditions</w:t>
      </w:r>
    </w:p>
    <w:p w14:paraId="3A4BD357" w14:textId="77777777" w:rsidR="00041326" w:rsidRDefault="00041326">
      <w:pPr>
        <w:pStyle w:val="BodyText"/>
        <w:rPr>
          <w:b/>
          <w:sz w:val="24"/>
        </w:rPr>
      </w:pPr>
    </w:p>
    <w:p w14:paraId="3A4BD358" w14:textId="77777777" w:rsidR="00041326" w:rsidRDefault="005E6121">
      <w:pPr>
        <w:pStyle w:val="ListParagraph"/>
        <w:numPr>
          <w:ilvl w:val="0"/>
          <w:numId w:val="1"/>
        </w:numPr>
        <w:tabs>
          <w:tab w:val="left" w:pos="525"/>
          <w:tab w:val="left" w:pos="526"/>
        </w:tabs>
        <w:spacing w:before="149"/>
        <w:ind w:hanging="426"/>
      </w:pPr>
      <w:r>
        <w:t>The genera</w:t>
      </w:r>
      <w:r>
        <w:t>l insurer</w:t>
      </w:r>
      <w:r>
        <w:rPr>
          <w:spacing w:val="-4"/>
        </w:rPr>
        <w:t xml:space="preserve"> </w:t>
      </w:r>
      <w:r>
        <w:t>must:</w:t>
      </w:r>
    </w:p>
    <w:p w14:paraId="3A4BD359" w14:textId="77777777" w:rsidR="00041326" w:rsidRDefault="00041326">
      <w:pPr>
        <w:pStyle w:val="BodyText"/>
        <w:spacing w:before="9"/>
        <w:rPr>
          <w:sz w:val="20"/>
        </w:rPr>
      </w:pPr>
    </w:p>
    <w:p w14:paraId="3A4BD35A" w14:textId="77777777" w:rsidR="00041326" w:rsidRDefault="005E6121">
      <w:pPr>
        <w:pStyle w:val="ListParagraph"/>
        <w:numPr>
          <w:ilvl w:val="1"/>
          <w:numId w:val="1"/>
        </w:numPr>
        <w:tabs>
          <w:tab w:val="left" w:pos="951"/>
        </w:tabs>
        <w:ind w:right="120"/>
        <w:jc w:val="both"/>
      </w:pPr>
      <w:r>
        <w:t>only carry on insurance business for the purposes of discharging liabilities under its current policies or policies that are issued, renewed, reinstated or varied pursuant to a right under a current policy to enter into, renew, reinstate o</w:t>
      </w:r>
      <w:r>
        <w:t>r vary a current policy; and</w:t>
      </w:r>
    </w:p>
    <w:p w14:paraId="3A4BD35B" w14:textId="77777777" w:rsidR="00041326" w:rsidRDefault="00041326">
      <w:pPr>
        <w:pStyle w:val="BodyText"/>
        <w:spacing w:before="11"/>
        <w:rPr>
          <w:sz w:val="20"/>
        </w:rPr>
      </w:pPr>
    </w:p>
    <w:p w14:paraId="3A4BD35C" w14:textId="77777777" w:rsidR="00041326" w:rsidRDefault="005E6121">
      <w:pPr>
        <w:pStyle w:val="ListParagraph"/>
        <w:numPr>
          <w:ilvl w:val="1"/>
          <w:numId w:val="1"/>
        </w:numPr>
        <w:tabs>
          <w:tab w:val="left" w:pos="950"/>
          <w:tab w:val="left" w:pos="951"/>
        </w:tabs>
        <w:ind w:hanging="426"/>
      </w:pPr>
      <w:r>
        <w:t>not issue any new insurance policies without APRA’s prior written</w:t>
      </w:r>
      <w:r>
        <w:rPr>
          <w:spacing w:val="-28"/>
        </w:rPr>
        <w:t xml:space="preserve"> </w:t>
      </w:r>
      <w:r>
        <w:t>agreement.</w:t>
      </w:r>
    </w:p>
    <w:p w14:paraId="3A4BD35D" w14:textId="77777777" w:rsidR="00041326" w:rsidRDefault="00041326">
      <w:pPr>
        <w:pStyle w:val="BodyText"/>
        <w:spacing w:before="9"/>
        <w:rPr>
          <w:sz w:val="20"/>
        </w:rPr>
      </w:pPr>
    </w:p>
    <w:p w14:paraId="3A4BD35E" w14:textId="77777777" w:rsidR="00041326" w:rsidRDefault="005E6121">
      <w:pPr>
        <w:pStyle w:val="ListParagraph"/>
        <w:numPr>
          <w:ilvl w:val="0"/>
          <w:numId w:val="1"/>
        </w:numPr>
        <w:tabs>
          <w:tab w:val="left" w:pos="526"/>
        </w:tabs>
        <w:spacing w:before="1"/>
        <w:ind w:right="120"/>
        <w:jc w:val="both"/>
      </w:pPr>
      <w:r>
        <w:t>The</w:t>
      </w:r>
      <w:r>
        <w:rPr>
          <w:spacing w:val="-15"/>
        </w:rPr>
        <w:t xml:space="preserve"> </w:t>
      </w:r>
      <w:r>
        <w:t>general</w:t>
      </w:r>
      <w:r>
        <w:rPr>
          <w:spacing w:val="-14"/>
        </w:rPr>
        <w:t xml:space="preserve"> </w:t>
      </w:r>
      <w:r>
        <w:t>insurer</w:t>
      </w:r>
      <w:r>
        <w:rPr>
          <w:spacing w:val="-16"/>
        </w:rPr>
        <w:t xml:space="preserve"> </w:t>
      </w:r>
      <w:r>
        <w:t>may</w:t>
      </w:r>
      <w:r>
        <w:rPr>
          <w:spacing w:val="-16"/>
        </w:rPr>
        <w:t xml:space="preserve"> </w:t>
      </w:r>
      <w:r>
        <w:t>only</w:t>
      </w:r>
      <w:r>
        <w:rPr>
          <w:spacing w:val="-17"/>
        </w:rPr>
        <w:t xml:space="preserve"> </w:t>
      </w:r>
      <w:r>
        <w:t>seek</w:t>
      </w:r>
      <w:r>
        <w:rPr>
          <w:spacing w:val="-12"/>
        </w:rPr>
        <w:t xml:space="preserve"> </w:t>
      </w:r>
      <w:r>
        <w:t>APRA’s</w:t>
      </w:r>
      <w:r>
        <w:rPr>
          <w:spacing w:val="-15"/>
        </w:rPr>
        <w:t xml:space="preserve"> </w:t>
      </w:r>
      <w:r>
        <w:t>agreement</w:t>
      </w:r>
      <w:r>
        <w:rPr>
          <w:spacing w:val="-15"/>
        </w:rPr>
        <w:t xml:space="preserve"> </w:t>
      </w:r>
      <w:r>
        <w:t>to</w:t>
      </w:r>
      <w:r>
        <w:rPr>
          <w:spacing w:val="-15"/>
        </w:rPr>
        <w:t xml:space="preserve"> </w:t>
      </w:r>
      <w:r>
        <w:t>it</w:t>
      </w:r>
      <w:r>
        <w:rPr>
          <w:spacing w:val="-16"/>
        </w:rPr>
        <w:t xml:space="preserve"> </w:t>
      </w:r>
      <w:r>
        <w:t>issuing</w:t>
      </w:r>
      <w:r>
        <w:rPr>
          <w:spacing w:val="-14"/>
        </w:rPr>
        <w:t xml:space="preserve"> </w:t>
      </w:r>
      <w:r>
        <w:t>new</w:t>
      </w:r>
      <w:r>
        <w:rPr>
          <w:spacing w:val="-15"/>
        </w:rPr>
        <w:t xml:space="preserve"> </w:t>
      </w:r>
      <w:r>
        <w:t>insurance</w:t>
      </w:r>
      <w:r>
        <w:rPr>
          <w:spacing w:val="-15"/>
        </w:rPr>
        <w:t xml:space="preserve"> </w:t>
      </w:r>
      <w:r>
        <w:t xml:space="preserve">policies after it has delivered to APRA, an updated ICAAP report </w:t>
      </w:r>
      <w:proofErr w:type="gramStart"/>
      <w:r>
        <w:t>taking into account</w:t>
      </w:r>
      <w:proofErr w:type="gramEnd"/>
      <w:r>
        <w:t xml:space="preserve"> the general insurer’s plans for the issuance of new insurance policies and such other information APRA</w:t>
      </w:r>
      <w:r>
        <w:rPr>
          <w:spacing w:val="-1"/>
        </w:rPr>
        <w:t xml:space="preserve"> </w:t>
      </w:r>
      <w:r>
        <w:t>requires.</w:t>
      </w:r>
    </w:p>
    <w:p w14:paraId="3A4BD35F" w14:textId="77777777" w:rsidR="00041326" w:rsidRDefault="00041326">
      <w:pPr>
        <w:pStyle w:val="BodyText"/>
        <w:spacing w:before="10"/>
        <w:rPr>
          <w:sz w:val="20"/>
        </w:rPr>
      </w:pPr>
    </w:p>
    <w:p w14:paraId="3A4BD360" w14:textId="77777777" w:rsidR="00041326" w:rsidRDefault="005E6121">
      <w:pPr>
        <w:spacing w:before="1"/>
        <w:ind w:left="525"/>
      </w:pPr>
      <w:r>
        <w:rPr>
          <w:i/>
        </w:rPr>
        <w:t xml:space="preserve">current policy </w:t>
      </w:r>
      <w:r>
        <w:t>refers to a policy issued on or before 18 October 2021.</w:t>
      </w:r>
    </w:p>
    <w:sectPr w:rsidR="00041326">
      <w:pgSz w:w="11910" w:h="16840"/>
      <w:pgMar w:top="1460" w:right="1320" w:bottom="900" w:left="134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BD36B" w14:textId="77777777" w:rsidR="00000000" w:rsidRDefault="005E6121">
      <w:r>
        <w:separator/>
      </w:r>
    </w:p>
  </w:endnote>
  <w:endnote w:type="continuationSeparator" w:id="0">
    <w:p w14:paraId="3A4BD36D" w14:textId="77777777" w:rsidR="00000000" w:rsidRDefault="005E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BD366" w14:textId="77777777" w:rsidR="00041326" w:rsidRDefault="005E6121">
    <w:pPr>
      <w:pStyle w:val="BodyText"/>
      <w:spacing w:line="14" w:lineRule="auto"/>
      <w:rPr>
        <w:sz w:val="20"/>
      </w:rPr>
    </w:pPr>
    <w:r>
      <w:pict w14:anchorId="3A4BD367">
        <v:shapetype id="_x0000_t202" coordsize="21600,21600" o:spt="202" path="m,l,21600r21600,l21600,xe">
          <v:stroke joinstyle="miter"/>
          <v:path gradientshapeok="t" o:connecttype="rect"/>
        </v:shapetype>
        <v:shape id="_x0000_s2049" type="#_x0000_t202" style="position:absolute;margin-left:476.35pt;margin-top:795.35pt;width:48.15pt;height:12.1pt;z-index:-251658752;mso-position-horizontal-relative:page;mso-position-vertical-relative:page" filled="f" stroked="f">
          <v:textbox inset="0,0,0,0">
            <w:txbxContent>
              <w:p w14:paraId="3A4BD368" w14:textId="77777777" w:rsidR="00041326" w:rsidRDefault="005E6121">
                <w:pPr>
                  <w:spacing w:before="14"/>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BD367" w14:textId="77777777" w:rsidR="00000000" w:rsidRDefault="005E6121">
      <w:r>
        <w:separator/>
      </w:r>
    </w:p>
  </w:footnote>
  <w:footnote w:type="continuationSeparator" w:id="0">
    <w:p w14:paraId="3A4BD369" w14:textId="77777777" w:rsidR="00000000" w:rsidRDefault="005E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2DD2" w14:textId="1A5664CE" w:rsidR="005E6121" w:rsidRDefault="005E6121">
    <w:pPr>
      <w:pStyle w:val="Header"/>
    </w:pPr>
  </w:p>
  <w:p w14:paraId="1389E3CC" w14:textId="77777777" w:rsidR="005E6121" w:rsidRDefault="005E6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5E6121" w:rsidRPr="00CE796A" w14:paraId="3EC9452D" w14:textId="77777777" w:rsidTr="005C2F42">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682AA99C" w14:textId="77777777" w:rsidR="005E6121" w:rsidRPr="00CE796A" w:rsidRDefault="005E6121" w:rsidP="005E6121">
          <w:pPr>
            <w:spacing w:before="60"/>
            <w:ind w:left="-51"/>
            <w:rPr>
              <w:sz w:val="12"/>
            </w:rPr>
          </w:pPr>
          <w:bookmarkStart w:id="1" w:name="OLE_LINK2"/>
          <w:r>
            <w:rPr>
              <w:noProof/>
              <w:sz w:val="12"/>
              <w:lang w:eastAsia="en-AU"/>
            </w:rPr>
            <w:drawing>
              <wp:inline distT="0" distB="0" distL="0" distR="0" wp14:anchorId="24DA2914" wp14:editId="6066ADC5">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7B9AD99" w14:textId="77777777" w:rsidR="005E6121" w:rsidRPr="00CE796A" w:rsidRDefault="005E6121" w:rsidP="005E6121">
          <w:pPr>
            <w:spacing w:before="60" w:line="460" w:lineRule="exact"/>
            <w:rPr>
              <w:b/>
              <w:spacing w:val="-2"/>
              <w:sz w:val="44"/>
              <w:szCs w:val="44"/>
            </w:rPr>
          </w:pPr>
          <w:r w:rsidRPr="00CE796A">
            <w:rPr>
              <w:b/>
              <w:spacing w:val="-2"/>
              <w:sz w:val="44"/>
              <w:szCs w:val="44"/>
            </w:rPr>
            <w:t>Commonwealth</w:t>
          </w:r>
          <w:r w:rsidRPr="00CE796A">
            <w:rPr>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39459DF3" w14:textId="77777777" w:rsidR="005E6121" w:rsidRPr="00CE796A" w:rsidRDefault="005E6121" w:rsidP="005E6121">
          <w:pPr>
            <w:spacing w:before="180" w:line="800" w:lineRule="exact"/>
            <w:jc w:val="right"/>
            <w:rPr>
              <w:b/>
              <w:sz w:val="100"/>
              <w:szCs w:val="100"/>
            </w:rPr>
          </w:pPr>
          <w:r w:rsidRPr="00CE796A">
            <w:rPr>
              <w:b/>
              <w:sz w:val="100"/>
              <w:szCs w:val="100"/>
            </w:rPr>
            <w:t>Gazette</w:t>
          </w:r>
        </w:p>
      </w:tc>
    </w:tr>
    <w:tr w:rsidR="005E6121" w:rsidRPr="00CE796A" w14:paraId="6E7BF7B1" w14:textId="77777777" w:rsidTr="005C2F42">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A6F9747" w14:textId="77777777" w:rsidR="005E6121" w:rsidRPr="00CE796A" w:rsidRDefault="005E6121" w:rsidP="005E6121">
          <w:pPr>
            <w:ind w:left="-51"/>
            <w:rPr>
              <w:sz w:val="14"/>
              <w:szCs w:val="14"/>
            </w:rPr>
          </w:pPr>
          <w:bookmarkStart w:id="2" w:name="GazNo"/>
          <w:bookmarkEnd w:id="2"/>
          <w:r w:rsidRPr="00CE796A">
            <w:rPr>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360B6705" w14:textId="77777777" w:rsidR="005E6121" w:rsidRPr="00840A06" w:rsidRDefault="005E6121" w:rsidP="005E6121">
          <w:pPr>
            <w:jc w:val="right"/>
            <w:rPr>
              <w:b/>
              <w:sz w:val="24"/>
              <w:szCs w:val="24"/>
            </w:rPr>
          </w:pPr>
          <w:r w:rsidRPr="00840A06">
            <w:rPr>
              <w:b/>
              <w:sz w:val="24"/>
              <w:szCs w:val="24"/>
            </w:rPr>
            <w:t>GOVERNMENT NOTICES</w:t>
          </w:r>
        </w:p>
      </w:tc>
    </w:tr>
    <w:bookmarkEnd w:id="1"/>
  </w:tbl>
  <w:p w14:paraId="7362140A" w14:textId="77777777" w:rsidR="005E6121" w:rsidRDefault="005E6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338B"/>
    <w:multiLevelType w:val="hybridMultilevel"/>
    <w:tmpl w:val="2862BB2A"/>
    <w:lvl w:ilvl="0" w:tplc="B6B029F6">
      <w:start w:val="1"/>
      <w:numFmt w:val="decimal"/>
      <w:lvlText w:val="%1."/>
      <w:lvlJc w:val="left"/>
      <w:pPr>
        <w:ind w:left="525" w:hanging="425"/>
        <w:jc w:val="left"/>
      </w:pPr>
      <w:rPr>
        <w:rFonts w:ascii="Arial" w:eastAsia="Arial" w:hAnsi="Arial" w:cs="Arial" w:hint="default"/>
        <w:spacing w:val="-2"/>
        <w:w w:val="99"/>
        <w:sz w:val="22"/>
        <w:szCs w:val="22"/>
        <w:lang w:val="en-US" w:eastAsia="en-US" w:bidi="en-US"/>
      </w:rPr>
    </w:lvl>
    <w:lvl w:ilvl="1" w:tplc="3F749588">
      <w:start w:val="1"/>
      <w:numFmt w:val="lowerLetter"/>
      <w:lvlText w:val="%2."/>
      <w:lvlJc w:val="left"/>
      <w:pPr>
        <w:ind w:left="950" w:hanging="425"/>
        <w:jc w:val="left"/>
      </w:pPr>
      <w:rPr>
        <w:rFonts w:ascii="Arial" w:eastAsia="Arial" w:hAnsi="Arial" w:cs="Arial" w:hint="default"/>
        <w:spacing w:val="-4"/>
        <w:w w:val="99"/>
        <w:sz w:val="22"/>
        <w:szCs w:val="22"/>
        <w:lang w:val="en-US" w:eastAsia="en-US" w:bidi="en-US"/>
      </w:rPr>
    </w:lvl>
    <w:lvl w:ilvl="2" w:tplc="F244CAB8">
      <w:numFmt w:val="bullet"/>
      <w:lvlText w:val="•"/>
      <w:lvlJc w:val="left"/>
      <w:pPr>
        <w:ind w:left="1880" w:hanging="425"/>
      </w:pPr>
      <w:rPr>
        <w:rFonts w:hint="default"/>
        <w:lang w:val="en-US" w:eastAsia="en-US" w:bidi="en-US"/>
      </w:rPr>
    </w:lvl>
    <w:lvl w:ilvl="3" w:tplc="9B18656C">
      <w:numFmt w:val="bullet"/>
      <w:lvlText w:val="•"/>
      <w:lvlJc w:val="left"/>
      <w:pPr>
        <w:ind w:left="2801" w:hanging="425"/>
      </w:pPr>
      <w:rPr>
        <w:rFonts w:hint="default"/>
        <w:lang w:val="en-US" w:eastAsia="en-US" w:bidi="en-US"/>
      </w:rPr>
    </w:lvl>
    <w:lvl w:ilvl="4" w:tplc="56BA7D44">
      <w:numFmt w:val="bullet"/>
      <w:lvlText w:val="•"/>
      <w:lvlJc w:val="left"/>
      <w:pPr>
        <w:ind w:left="3721" w:hanging="425"/>
      </w:pPr>
      <w:rPr>
        <w:rFonts w:hint="default"/>
        <w:lang w:val="en-US" w:eastAsia="en-US" w:bidi="en-US"/>
      </w:rPr>
    </w:lvl>
    <w:lvl w:ilvl="5" w:tplc="31841EBA">
      <w:numFmt w:val="bullet"/>
      <w:lvlText w:val="•"/>
      <w:lvlJc w:val="left"/>
      <w:pPr>
        <w:ind w:left="4642" w:hanging="425"/>
      </w:pPr>
      <w:rPr>
        <w:rFonts w:hint="default"/>
        <w:lang w:val="en-US" w:eastAsia="en-US" w:bidi="en-US"/>
      </w:rPr>
    </w:lvl>
    <w:lvl w:ilvl="6" w:tplc="31EC8F72">
      <w:numFmt w:val="bullet"/>
      <w:lvlText w:val="•"/>
      <w:lvlJc w:val="left"/>
      <w:pPr>
        <w:ind w:left="5562" w:hanging="425"/>
      </w:pPr>
      <w:rPr>
        <w:rFonts w:hint="default"/>
        <w:lang w:val="en-US" w:eastAsia="en-US" w:bidi="en-US"/>
      </w:rPr>
    </w:lvl>
    <w:lvl w:ilvl="7" w:tplc="8B7214DE">
      <w:numFmt w:val="bullet"/>
      <w:lvlText w:val="•"/>
      <w:lvlJc w:val="left"/>
      <w:pPr>
        <w:ind w:left="6483" w:hanging="425"/>
      </w:pPr>
      <w:rPr>
        <w:rFonts w:hint="default"/>
        <w:lang w:val="en-US" w:eastAsia="en-US" w:bidi="en-US"/>
      </w:rPr>
    </w:lvl>
    <w:lvl w:ilvl="8" w:tplc="EA0A283E">
      <w:numFmt w:val="bullet"/>
      <w:lvlText w:val="•"/>
      <w:lvlJc w:val="left"/>
      <w:pPr>
        <w:ind w:left="7403" w:hanging="42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41326"/>
    <w:rsid w:val="00041326"/>
    <w:rsid w:val="005E61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4BD335"/>
  <w15:docId w15:val="{A291E0EB-A52F-4550-99F3-D5E10BC0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25" w:hanging="4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6121"/>
    <w:pPr>
      <w:tabs>
        <w:tab w:val="center" w:pos="4513"/>
        <w:tab w:val="right" w:pos="9026"/>
      </w:tabs>
    </w:pPr>
  </w:style>
  <w:style w:type="character" w:customStyle="1" w:styleId="HeaderChar">
    <w:name w:val="Header Char"/>
    <w:basedOn w:val="DefaultParagraphFont"/>
    <w:link w:val="Header"/>
    <w:uiPriority w:val="99"/>
    <w:rsid w:val="005E6121"/>
    <w:rPr>
      <w:rFonts w:ascii="Arial" w:eastAsia="Arial" w:hAnsi="Arial" w:cs="Arial"/>
      <w:lang w:bidi="en-US"/>
    </w:rPr>
  </w:style>
  <w:style w:type="paragraph" w:styleId="Footer">
    <w:name w:val="footer"/>
    <w:basedOn w:val="Normal"/>
    <w:link w:val="FooterChar"/>
    <w:uiPriority w:val="99"/>
    <w:unhideWhenUsed/>
    <w:rsid w:val="005E6121"/>
    <w:pPr>
      <w:tabs>
        <w:tab w:val="center" w:pos="4513"/>
        <w:tab w:val="right" w:pos="9026"/>
      </w:tabs>
    </w:pPr>
  </w:style>
  <w:style w:type="character" w:customStyle="1" w:styleId="FooterChar">
    <w:name w:val="Footer Char"/>
    <w:basedOn w:val="DefaultParagraphFont"/>
    <w:link w:val="Footer"/>
    <w:uiPriority w:val="99"/>
    <w:rsid w:val="005E612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a36a5a650d54f768f171f4d17b8b238 xmlns="814d62cb-2db6-4c25-ab62-b9075facbc11">
      <Terms xmlns="http://schemas.microsoft.com/office/infopath/2007/PartnerControls"/>
    </aa36a5a650d54f768f171f4d17b8b238>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b37d8d7e823543f58f89056343a9035c xmlns="814d62cb-2db6-4c25-ab62-b9075facbc11">
      <Terms xmlns="http://schemas.microsoft.com/office/infopath/2007/PartnerControls"/>
    </b37d8d7e823543f58f89056343a9035c>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_dlc_DocId xmlns="814d62cb-2db6-4c25-ab62-b9075facbc11">5JENXJJSCC7A-445999044-11569</_dlc_DocId>
    <TaxCatchAll xmlns="814d62cb-2db6-4c25-ab62-b9075facbc11">
      <Value>24</Value>
      <Value>134</Value>
      <Value>83</Value>
      <Value>26</Value>
      <Value>10</Value>
      <Value>109</Value>
      <Value>93</Value>
      <Value>58</Value>
      <Value>230</Value>
      <Value>4</Value>
      <Value>19</Value>
    </TaxCatchAll>
    <_dlc_DocIdUrl xmlns="814d62cb-2db6-4c25-ab62-b9075facbc11">
      <Url>https://im/teams/LEGAL/_layouts/15/DocIdRedir.aspx?ID=5JENXJJSCC7A-445999044-11569</Url>
      <Description>5JENXJJSCC7A-445999044-11569</Description>
    </_dlc_DocIdUrl>
    <ka2715b9eb154114a4f57d7fbf82ec75 xmlns="814d62cb-2db6-4c25-ab62-b9075facbc11">
      <Terms xmlns="http://schemas.microsoft.com/office/infopath/2007/PartnerControls"/>
    </ka2715b9eb154114a4f57d7fbf82ec75>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APRADescription xmlns="814d62cb-2db6-4c25-ab62-b9075facbc11">Notice imposing conditions on an authorisation to carry on insurance business in Australia – St Andrew’s Insurance (Australia) Pty Ltd</APRADescription>
    <APRAActivityID xmlns="814d62cb-2db6-4c25-ab62-b9075facbc11" xsi:nil="true"/>
    <APRADocScanCheck xmlns="814d62cb-2db6-4c25-ab62-b9075facbc11">false</APRADocScanChec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BFE09-D278-444E-9E45-260426C7BEF2}">
  <ds:schemaRef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814d62cb-2db6-4c25-ab62-b9075facbc11"/>
    <ds:schemaRef ds:uri="http://schemas.microsoft.com/office/2006/metadata/properties"/>
  </ds:schemaRefs>
</ds:datastoreItem>
</file>

<file path=customXml/itemProps2.xml><?xml version="1.0" encoding="utf-8"?>
<ds:datastoreItem xmlns:ds="http://schemas.openxmlformats.org/officeDocument/2006/customXml" ds:itemID="{05B6E978-609C-44FA-A31D-B387BC093534}">
  <ds:schemaRefs>
    <ds:schemaRef ds:uri="http://schemas.microsoft.com/sharepoint/v3/contenttype/forms"/>
  </ds:schemaRefs>
</ds:datastoreItem>
</file>

<file path=customXml/itemProps3.xml><?xml version="1.0" encoding="utf-8"?>
<ds:datastoreItem xmlns:ds="http://schemas.openxmlformats.org/officeDocument/2006/customXml" ds:itemID="{1C7D2E4F-B5E8-4A75-AB7A-D48DB42E0DBD}">
  <ds:schemaRefs>
    <ds:schemaRef ds:uri="http://schemas.microsoft.com/sharepoint/events"/>
  </ds:schemaRefs>
</ds:datastoreItem>
</file>

<file path=customXml/itemProps4.xml><?xml version="1.0" encoding="utf-8"?>
<ds:datastoreItem xmlns:ds="http://schemas.openxmlformats.org/officeDocument/2006/customXml" ds:itemID="{E9CF5F56-AC01-48D6-BF1E-CC4B82B1C38B}">
  <ds:schemaRefs>
    <ds:schemaRef ds:uri="Microsoft.SharePoint.Taxonomy.ContentTypeSync"/>
  </ds:schemaRefs>
</ds:datastoreItem>
</file>

<file path=customXml/itemProps5.xml><?xml version="1.0" encoding="utf-8"?>
<ds:datastoreItem xmlns:ds="http://schemas.openxmlformats.org/officeDocument/2006/customXml" ds:itemID="{E8838DF2-1E68-4C89-B176-3666AA2DE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487</Words>
  <Characters>2491</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s13(1) authorisation conditions</vt:lpstr>
    </vt:vector>
  </TitlesOfParts>
  <Company>APRA</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Andrews Insurance (Australia) Pty Ltd - 191021</dc:title>
  <dc:creator>El-Asmar, Ha</dc:creator>
  <cp:keywords> [SEC=OFFICIAL]</cp:keywords>
  <cp:lastModifiedBy>Michalis, Toni</cp:lastModifiedBy>
  <cp:revision>2</cp:revision>
  <dcterms:created xsi:type="dcterms:W3CDTF">2021-10-19T09:58:00Z</dcterms:created>
  <dcterms:modified xsi:type="dcterms:W3CDTF">2021-10-19T10:01:00Z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vt:lpwstr>
  </property>
  <property fmtid="{D5CDD505-2E9C-101B-9397-08002B2CF9AE}" pid="4" name="LastSaved">
    <vt:filetime>2021-10-19T00:00:00Z</vt:filetime>
  </property>
  <property fmtid="{D5CDD505-2E9C-101B-9397-08002B2CF9AE}" pid="5" name="APRAPeriod">
    <vt:lpwstr/>
  </property>
  <property fmtid="{D5CDD505-2E9C-101B-9397-08002B2CF9AE}" pid="6" name="APRACostCentre">
    <vt:lpwstr>134;#Legal - Superannuation|cce3181d-fd23-4eee-94d3-c66abc2350cf;#26;#Legal - Insurance: General|8229dc1a-d7f2-47b2-844a-b026fed0c13d;#83;#Legal - Insurance: Life|56f18b50-6605-4f3f-97e3-cad1cb5394e0;#93;#Legal - Insurance: Health|21611e62-d688-4f0d-8807-02701cc43699;#24;#Legal - ADI|652d8d2a-ab45-47b4-ac6e-fe6ac9299b39;#4;#Legal - Resolution ＆ Corporate|696624b1-19f4-47b2-a07b-57868a922a96</vt:lpwstr>
  </property>
  <property fmtid="{D5CDD505-2E9C-101B-9397-08002B2CF9AE}" pid="7" name="APRALegislation">
    <vt:lpwstr/>
  </property>
  <property fmtid="{D5CDD505-2E9C-101B-9397-08002B2CF9AE}" pid="8" name="APRAYear">
    <vt:lpwstr>230;#2021|0e1e43df-81ea-47af-89d8-970d5d5956ff</vt:lpwstr>
  </property>
  <property fmtid="{D5CDD505-2E9C-101B-9397-08002B2CF9AE}" pid="9" name="APRAIndustry">
    <vt:lpwstr/>
  </property>
  <property fmtid="{D5CDD505-2E9C-101B-9397-08002B2CF9AE}" pid="10" name="ContentTypeId">
    <vt:lpwstr>0x0101008CA7A4F8331B45C7B0D3158B4994D0CA0200577EC0F5A1FBFC498F9A8436B963F8A6</vt:lpwstr>
  </property>
  <property fmtid="{D5CDD505-2E9C-101B-9397-08002B2CF9AE}" pid="11" name="_dlc_DocIdItemGuid">
    <vt:lpwstr>e5f1b9e3-3f1d-46e4-82e7-000578ab4c24</vt:lpwstr>
  </property>
  <property fmtid="{D5CDD505-2E9C-101B-9397-08002B2CF9AE}" pid="12" name="APRAPRSG">
    <vt:lpwstr/>
  </property>
  <property fmtid="{D5CDD505-2E9C-101B-9397-08002B2CF9AE}" pid="13" name="IsLocked">
    <vt:lpwstr>False</vt:lpwstr>
  </property>
  <property fmtid="{D5CDD505-2E9C-101B-9397-08002B2CF9AE}" pid="14" name="APRAStatus">
    <vt:lpwstr>19;#Final|84d6b2d0-8498-4d62-bf46-bab38babbe9e</vt:lpwstr>
  </property>
  <property fmtid="{D5CDD505-2E9C-101B-9397-08002B2CF9AE}" pid="15" name="PM_ProtectiveMarkingImage_Header">
    <vt:lpwstr>C:\Program Files\Common Files\janusNET Shared\janusSEAL\Images\DocumentSlashBlue.png</vt:lpwstr>
  </property>
  <property fmtid="{D5CDD505-2E9C-101B-9397-08002B2CF9AE}" pid="16" name="PM_Caveats_Count">
    <vt:lpwstr>0</vt:lpwstr>
  </property>
  <property fmtid="{D5CDD505-2E9C-101B-9397-08002B2CF9AE}" pid="17" name="PM_DisplayValueSecClassificationWithQualifier">
    <vt:lpwstr>OFFICIAL</vt:lpwstr>
  </property>
  <property fmtid="{D5CDD505-2E9C-101B-9397-08002B2CF9AE}" pid="18" name="PM_Qualifier">
    <vt:lpwstr/>
  </property>
  <property fmtid="{D5CDD505-2E9C-101B-9397-08002B2CF9AE}" pid="19" name="PM_SecurityClassification">
    <vt:lpwstr>OFFICIAL</vt:lpwstr>
  </property>
  <property fmtid="{D5CDD505-2E9C-101B-9397-08002B2CF9AE}" pid="20" name="PM_InsertionValue">
    <vt:lpwstr>OFFICIAL</vt:lpwstr>
  </property>
  <property fmtid="{D5CDD505-2E9C-101B-9397-08002B2CF9AE}" pid="21" name="PM_Originating_FileId">
    <vt:lpwstr>396FC187AD3D4B20BB05D45A72F68143</vt:lpwstr>
  </property>
  <property fmtid="{D5CDD505-2E9C-101B-9397-08002B2CF9AE}" pid="22" name="PM_ProtectiveMarkingValue_Footer">
    <vt:lpwstr>OFFICIAL</vt:lpwstr>
  </property>
  <property fmtid="{D5CDD505-2E9C-101B-9397-08002B2CF9AE}" pid="23" name="PM_Originator_Hash_SHA1">
    <vt:lpwstr>C3AD57350F36D8E1BD75F8F67CB06D435C9C43CA</vt:lpwstr>
  </property>
  <property fmtid="{D5CDD505-2E9C-101B-9397-08002B2CF9AE}" pid="24" name="PM_OriginationTimeStamp">
    <vt:lpwstr>2021-10-19T10:01:41Z</vt:lpwstr>
  </property>
  <property fmtid="{D5CDD505-2E9C-101B-9397-08002B2CF9AE}" pid="25" name="PM_ProtectiveMarkingValue_Header">
    <vt:lpwstr>OFFICIAL</vt:lpwstr>
  </property>
  <property fmtid="{D5CDD505-2E9C-101B-9397-08002B2CF9AE}" pid="26" name="PM_ProtectiveMarkingImage_Footer">
    <vt:lpwstr>C:\Program Files\Common Files\janusNET Shared\janusSEAL\Images\DocumentSlashBlue.png</vt:lpwstr>
  </property>
  <property fmtid="{D5CDD505-2E9C-101B-9397-08002B2CF9AE}" pid="27" name="PM_Namespace">
    <vt:lpwstr>gov.au</vt:lpwstr>
  </property>
  <property fmtid="{D5CDD505-2E9C-101B-9397-08002B2CF9AE}" pid="28" name="PM_Version">
    <vt:lpwstr>2018.3</vt:lpwstr>
  </property>
  <property fmtid="{D5CDD505-2E9C-101B-9397-08002B2CF9AE}" pid="29" name="PM_Note">
    <vt:lpwstr/>
  </property>
  <property fmtid="{D5CDD505-2E9C-101B-9397-08002B2CF9AE}" pid="30" name="PM_Markers">
    <vt:lpwstr/>
  </property>
  <property fmtid="{D5CDD505-2E9C-101B-9397-08002B2CF9AE}" pid="31" name="PM_Hash_Version">
    <vt:lpwstr>2018.0</vt:lpwstr>
  </property>
  <property fmtid="{D5CDD505-2E9C-101B-9397-08002B2CF9AE}" pid="32" name="PM_Hash_Salt_Prev">
    <vt:lpwstr>F01B93537F988953AFEB5B6CEE702587</vt:lpwstr>
  </property>
  <property fmtid="{D5CDD505-2E9C-101B-9397-08002B2CF9AE}" pid="33" name="PM_Hash_Salt">
    <vt:lpwstr>318FD7F6AD8A6C2818528894F00E7DA6</vt:lpwstr>
  </property>
  <property fmtid="{D5CDD505-2E9C-101B-9397-08002B2CF9AE}" pid="34" name="PM_Hash_SHA1">
    <vt:lpwstr>0DCBB8EDF71DF575F2544D97B4F76273CEDA47E1</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IT system type">
    <vt:lpwstr/>
  </property>
  <property fmtid="{D5CDD505-2E9C-101B-9397-08002B2CF9AE}" pid="38" name="APRACategory">
    <vt:lpwstr/>
  </property>
  <property fmtid="{D5CDD505-2E9C-101B-9397-08002B2CF9AE}" pid="39" name="APRADocumentType">
    <vt:lpwstr>58;#Legal instrument|71fd6ed3-d6d6-4975-ba99-bfe45802e734</vt:lpwstr>
  </property>
  <property fmtid="{D5CDD505-2E9C-101B-9397-08002B2CF9AE}" pid="40" name="APRAActivity">
    <vt:lpwstr>10;#Registration|390476ce-d76d-4e8d-905f-28e32d2df127;#109;#Statutory instrument|fe68928c-5a9c-4caf-bc8c-6c18cedcb17f</vt:lpwstr>
  </property>
  <property fmtid="{D5CDD505-2E9C-101B-9397-08002B2CF9AE}" pid="41" name="APRAEntityAdviceSupport">
    <vt:lpwstr/>
  </property>
  <property fmtid="{D5CDD505-2E9C-101B-9397-08002B2CF9AE}" pid="42" name="APRAExternalOrganisation">
    <vt:lpwstr/>
  </property>
  <property fmtid="{D5CDD505-2E9C-101B-9397-08002B2CF9AE}" pid="43" name="APRAIRTR">
    <vt:lpwstr/>
  </property>
  <property fmtid="{D5CDD505-2E9C-101B-9397-08002B2CF9AE}" pid="44" name="RecordPoint_WorkflowType">
    <vt:lpwstr>ActiveSubmitStub</vt:lpwstr>
  </property>
  <property fmtid="{D5CDD505-2E9C-101B-9397-08002B2CF9AE}" pid="45" name="RecordPoint_ActiveItemSiteId">
    <vt:lpwstr>{88691c01-5bbb-4215-adc0-66cb7065b0af}</vt:lpwstr>
  </property>
  <property fmtid="{D5CDD505-2E9C-101B-9397-08002B2CF9AE}" pid="46" name="RecordPoint_ActiveItemListId">
    <vt:lpwstr>{0e59e171-09d8-4401-800a-327154450cb3}</vt:lpwstr>
  </property>
  <property fmtid="{D5CDD505-2E9C-101B-9397-08002B2CF9AE}" pid="47" name="RecordPoint_ActiveItemUniqueId">
    <vt:lpwstr>{e5f1b9e3-3f1d-46e4-82e7-000578ab4c24}</vt:lpwstr>
  </property>
  <property fmtid="{D5CDD505-2E9C-101B-9397-08002B2CF9AE}" pid="48" name="RecordPoint_ActiveItemWebId">
    <vt:lpwstr>{75a71c27-8d66-4282-ae60-1bfc22a83be1}</vt:lpwstr>
  </property>
</Properties>
</file>