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934C7" w14:textId="77777777" w:rsidR="0063620D" w:rsidRPr="0063620D" w:rsidRDefault="00410DDB" w:rsidP="004104AE">
      <w:pPr>
        <w:contextualSpacing/>
        <w:jc w:val="both"/>
        <w:rPr>
          <w:b/>
          <w:sz w:val="28"/>
          <w:szCs w:val="28"/>
        </w:rPr>
      </w:pPr>
      <w:r w:rsidRPr="0063620D">
        <w:rPr>
          <w:b/>
          <w:sz w:val="28"/>
          <w:szCs w:val="28"/>
        </w:rPr>
        <w:t>HEAV</w:t>
      </w:r>
      <w:bookmarkStart w:id="0" w:name="_GoBack"/>
      <w:bookmarkEnd w:id="0"/>
      <w:r w:rsidRPr="0063620D">
        <w:rPr>
          <w:b/>
          <w:sz w:val="28"/>
          <w:szCs w:val="28"/>
        </w:rPr>
        <w:t>Y VEHICLE NATIONAL LAW</w:t>
      </w:r>
    </w:p>
    <w:p w14:paraId="085934C8" w14:textId="213C50DD" w:rsidR="00410DDB" w:rsidRDefault="00EE4CDA" w:rsidP="00410DDB">
      <w:pPr>
        <w:contextualSpacing/>
        <w:jc w:val="both"/>
        <w:rPr>
          <w:b/>
          <w:sz w:val="28"/>
          <w:szCs w:val="28"/>
        </w:rPr>
      </w:pPr>
      <w:r w:rsidRPr="00EE4CDA">
        <w:rPr>
          <w:b/>
          <w:sz w:val="28"/>
          <w:szCs w:val="28"/>
        </w:rPr>
        <w:t>New South Wales Class 3 Livestock Transportation Exemption Notice 20</w:t>
      </w:r>
      <w:r w:rsidR="00E46F40">
        <w:rPr>
          <w:b/>
          <w:sz w:val="28"/>
          <w:szCs w:val="28"/>
        </w:rPr>
        <w:t>2</w:t>
      </w:r>
      <w:r w:rsidR="00DB34D6">
        <w:rPr>
          <w:b/>
          <w:sz w:val="28"/>
          <w:szCs w:val="28"/>
        </w:rPr>
        <w:t>1</w:t>
      </w:r>
      <w:r w:rsidRPr="00EE4CDA">
        <w:rPr>
          <w:b/>
          <w:sz w:val="28"/>
          <w:szCs w:val="28"/>
        </w:rPr>
        <w:t xml:space="preserve"> </w:t>
      </w:r>
      <w:r w:rsidR="002E3101">
        <w:rPr>
          <w:b/>
          <w:sz w:val="28"/>
          <w:szCs w:val="28"/>
        </w:rPr>
        <w:t>(No.</w:t>
      </w:r>
      <w:r w:rsidR="00DB34D6">
        <w:rPr>
          <w:b/>
          <w:sz w:val="28"/>
          <w:szCs w:val="28"/>
        </w:rPr>
        <w:t>1</w:t>
      </w:r>
      <w:r w:rsidR="002E3101">
        <w:rPr>
          <w:b/>
          <w:sz w:val="28"/>
          <w:szCs w:val="28"/>
        </w:rPr>
        <w:t>)</w:t>
      </w:r>
    </w:p>
    <w:p w14:paraId="085934C9" w14:textId="77777777" w:rsidR="0063620D" w:rsidRDefault="0063620D" w:rsidP="00410DD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3620D">
        <w:rPr>
          <w:b/>
          <w:sz w:val="24"/>
          <w:szCs w:val="24"/>
        </w:rPr>
        <w:t>Purpose</w:t>
      </w:r>
    </w:p>
    <w:p w14:paraId="085934CA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CB" w14:textId="77777777" w:rsidR="00A037BF" w:rsidRDefault="00AB7797" w:rsidP="00E46F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Notice provides mass </w:t>
      </w:r>
      <w:r w:rsidR="00A037BF" w:rsidRPr="00A037BF">
        <w:rPr>
          <w:sz w:val="24"/>
          <w:szCs w:val="24"/>
        </w:rPr>
        <w:t xml:space="preserve">exemptions that support the </w:t>
      </w:r>
      <w:r w:rsidR="00410DDB">
        <w:rPr>
          <w:sz w:val="24"/>
          <w:szCs w:val="24"/>
        </w:rPr>
        <w:t>New South Wales</w:t>
      </w:r>
      <w:r w:rsidR="00A037BF" w:rsidRPr="00A037BF">
        <w:rPr>
          <w:sz w:val="24"/>
          <w:szCs w:val="24"/>
        </w:rPr>
        <w:t xml:space="preserve"> Livestock Loading Scheme. This Notice </w:t>
      </w:r>
      <w:r>
        <w:rPr>
          <w:sz w:val="24"/>
          <w:szCs w:val="24"/>
        </w:rPr>
        <w:t xml:space="preserve">works with the </w:t>
      </w:r>
      <w:r w:rsidR="00410DDB">
        <w:rPr>
          <w:sz w:val="24"/>
          <w:szCs w:val="24"/>
        </w:rPr>
        <w:t>New South Wales</w:t>
      </w:r>
      <w:r w:rsidR="00A037BF" w:rsidRPr="00A037BF">
        <w:rPr>
          <w:sz w:val="24"/>
          <w:szCs w:val="24"/>
        </w:rPr>
        <w:t xml:space="preserve"> Livestock Loading Scheme, and </w:t>
      </w:r>
      <w:r>
        <w:rPr>
          <w:sz w:val="24"/>
          <w:szCs w:val="24"/>
        </w:rPr>
        <w:t>gives effect to the exemptions and conditions of that Scheme. C</w:t>
      </w:r>
      <w:r w:rsidR="00A037BF" w:rsidRPr="00A037BF">
        <w:rPr>
          <w:sz w:val="24"/>
          <w:szCs w:val="24"/>
        </w:rPr>
        <w:t>ompliance with th</w:t>
      </w:r>
      <w:r>
        <w:rPr>
          <w:sz w:val="24"/>
          <w:szCs w:val="24"/>
        </w:rPr>
        <w:t>e</w:t>
      </w:r>
      <w:r w:rsidR="00A037BF" w:rsidRPr="00A037BF">
        <w:rPr>
          <w:sz w:val="24"/>
          <w:szCs w:val="24"/>
        </w:rPr>
        <w:t xml:space="preserve"> Scheme is a condition of this Notice.</w:t>
      </w:r>
    </w:p>
    <w:p w14:paraId="085934CC" w14:textId="77777777" w:rsidR="00E46F40" w:rsidRDefault="00E46F40" w:rsidP="00E46F40">
      <w:pPr>
        <w:pStyle w:val="ListParagraph"/>
        <w:ind w:left="1080"/>
        <w:jc w:val="both"/>
        <w:rPr>
          <w:sz w:val="24"/>
          <w:szCs w:val="24"/>
        </w:rPr>
      </w:pPr>
    </w:p>
    <w:p w14:paraId="085934CD" w14:textId="05AF76A9" w:rsidR="00E46F40" w:rsidRPr="00A037BF" w:rsidRDefault="00E46F40" w:rsidP="00E46F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46F40">
        <w:rPr>
          <w:sz w:val="24"/>
          <w:szCs w:val="24"/>
        </w:rPr>
        <w:t xml:space="preserve">This Notice </w:t>
      </w:r>
      <w:r>
        <w:rPr>
          <w:sz w:val="24"/>
          <w:szCs w:val="24"/>
        </w:rPr>
        <w:t xml:space="preserve">revokes and </w:t>
      </w:r>
      <w:r w:rsidRPr="00E46F40">
        <w:rPr>
          <w:sz w:val="24"/>
          <w:szCs w:val="24"/>
        </w:rPr>
        <w:t xml:space="preserve">replaces the </w:t>
      </w:r>
      <w:r w:rsidRPr="00EE4CDA">
        <w:rPr>
          <w:i/>
          <w:sz w:val="24"/>
          <w:szCs w:val="24"/>
        </w:rPr>
        <w:t>New South Wales Class 3 Livestock Transportation Exemption Notice 20</w:t>
      </w:r>
      <w:r w:rsidR="00817D8D">
        <w:rPr>
          <w:i/>
          <w:sz w:val="24"/>
          <w:szCs w:val="24"/>
        </w:rPr>
        <w:t>20</w:t>
      </w:r>
      <w:r w:rsidRPr="00EE4CDA">
        <w:rPr>
          <w:i/>
          <w:sz w:val="24"/>
          <w:szCs w:val="24"/>
        </w:rPr>
        <w:t xml:space="preserve"> (No.1)</w:t>
      </w:r>
      <w:r>
        <w:rPr>
          <w:sz w:val="24"/>
          <w:szCs w:val="24"/>
        </w:rPr>
        <w:t>.</w:t>
      </w:r>
    </w:p>
    <w:p w14:paraId="085934CE" w14:textId="77777777" w:rsidR="00A037BF" w:rsidRPr="00A037BF" w:rsidRDefault="00A037BF" w:rsidP="00A037BF">
      <w:pPr>
        <w:pStyle w:val="ListParagraph"/>
        <w:ind w:left="1080"/>
        <w:jc w:val="both"/>
        <w:rPr>
          <w:sz w:val="24"/>
          <w:szCs w:val="24"/>
        </w:rPr>
      </w:pPr>
    </w:p>
    <w:p w14:paraId="085934CF" w14:textId="77777777" w:rsidR="00A037BF" w:rsidRDefault="00A037BF" w:rsidP="00A037BF">
      <w:pPr>
        <w:pStyle w:val="ListParagraph"/>
        <w:ind w:left="2160" w:hanging="1080"/>
        <w:jc w:val="both"/>
        <w:rPr>
          <w:i/>
          <w:sz w:val="24"/>
          <w:szCs w:val="24"/>
        </w:rPr>
      </w:pPr>
      <w:r w:rsidRPr="00A037BF">
        <w:rPr>
          <w:i/>
          <w:sz w:val="24"/>
          <w:szCs w:val="24"/>
        </w:rPr>
        <w:t xml:space="preserve">Note: </w:t>
      </w:r>
      <w:r w:rsidRPr="00A037BF">
        <w:rPr>
          <w:i/>
          <w:sz w:val="24"/>
          <w:szCs w:val="24"/>
        </w:rPr>
        <w:tab/>
        <w:t xml:space="preserve">The </w:t>
      </w:r>
      <w:r w:rsidR="00410DDB">
        <w:rPr>
          <w:i/>
          <w:sz w:val="24"/>
          <w:szCs w:val="24"/>
        </w:rPr>
        <w:t>New South Wales</w:t>
      </w:r>
      <w:r w:rsidRPr="00A037BF">
        <w:rPr>
          <w:i/>
          <w:sz w:val="24"/>
          <w:szCs w:val="24"/>
        </w:rPr>
        <w:t xml:space="preserve"> Livestock Loading Scheme is published and maintained by </w:t>
      </w:r>
      <w:r w:rsidR="00E46F40">
        <w:rPr>
          <w:i/>
          <w:sz w:val="24"/>
          <w:szCs w:val="24"/>
        </w:rPr>
        <w:t>Transport for New South Wales (TfNSW)</w:t>
      </w:r>
      <w:r w:rsidR="00410DDB">
        <w:rPr>
          <w:i/>
          <w:sz w:val="24"/>
          <w:szCs w:val="24"/>
        </w:rPr>
        <w:t xml:space="preserve">, </w:t>
      </w:r>
      <w:r w:rsidRPr="00A037BF">
        <w:rPr>
          <w:i/>
          <w:sz w:val="24"/>
          <w:szCs w:val="24"/>
        </w:rPr>
        <w:t>in conjunction with the National Heavy Vehicle Regulator (NHVR).</w:t>
      </w:r>
    </w:p>
    <w:p w14:paraId="085934D0" w14:textId="77777777" w:rsidR="00E46F40" w:rsidRDefault="00E46F40" w:rsidP="00A037BF">
      <w:pPr>
        <w:pStyle w:val="ListParagraph"/>
        <w:ind w:left="2160" w:hanging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85934D1" w14:textId="4C99BD9D" w:rsidR="00A037BF" w:rsidRPr="00E46F40" w:rsidRDefault="00E46F40" w:rsidP="00E46F40">
      <w:pPr>
        <w:pStyle w:val="ListParagraph"/>
        <w:ind w:left="21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This version of the Notice </w:t>
      </w:r>
      <w:r w:rsidR="00817D8D">
        <w:rPr>
          <w:i/>
          <w:sz w:val="24"/>
          <w:szCs w:val="24"/>
        </w:rPr>
        <w:t xml:space="preserve">includes access to the New South Wales Farm Gate </w:t>
      </w:r>
      <w:r w:rsidR="003536CB">
        <w:rPr>
          <w:i/>
          <w:sz w:val="24"/>
          <w:szCs w:val="24"/>
        </w:rPr>
        <w:t>Network.</w:t>
      </w:r>
    </w:p>
    <w:p w14:paraId="085934D2" w14:textId="77777777" w:rsidR="00A037BF" w:rsidRPr="00942FB6" w:rsidRDefault="00A037BF" w:rsidP="00A037BF">
      <w:pPr>
        <w:pStyle w:val="ListParagraph"/>
        <w:ind w:left="2160"/>
        <w:jc w:val="both"/>
        <w:rPr>
          <w:i/>
        </w:rPr>
      </w:pPr>
    </w:p>
    <w:p w14:paraId="085934D3" w14:textId="77777777" w:rsidR="003D3884" w:rsidRDefault="00BD019B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Authorising Provision</w:t>
      </w:r>
    </w:p>
    <w:p w14:paraId="085934D4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D5" w14:textId="77777777" w:rsidR="0063620D" w:rsidRPr="00E46F40" w:rsidRDefault="0063620D" w:rsidP="00E46F40">
      <w:pPr>
        <w:pStyle w:val="ListParagraph"/>
        <w:ind w:left="1080"/>
        <w:jc w:val="both"/>
        <w:rPr>
          <w:sz w:val="24"/>
          <w:szCs w:val="24"/>
        </w:rPr>
      </w:pPr>
      <w:r w:rsidRPr="0063620D">
        <w:rPr>
          <w:sz w:val="24"/>
          <w:szCs w:val="24"/>
        </w:rPr>
        <w:t xml:space="preserve">This Notice is made under section 117 of the </w:t>
      </w:r>
      <w:r w:rsidRPr="00053CA1">
        <w:rPr>
          <w:i/>
          <w:sz w:val="24"/>
          <w:szCs w:val="24"/>
        </w:rPr>
        <w:t xml:space="preserve">Heavy Vehicle National </w:t>
      </w:r>
      <w:r w:rsidR="00E66995" w:rsidRPr="00053CA1">
        <w:rPr>
          <w:i/>
          <w:sz w:val="24"/>
          <w:szCs w:val="24"/>
        </w:rPr>
        <w:t>Law</w:t>
      </w:r>
      <w:r w:rsidR="0009181F">
        <w:rPr>
          <w:sz w:val="24"/>
          <w:szCs w:val="24"/>
        </w:rPr>
        <w:t>.</w:t>
      </w:r>
    </w:p>
    <w:p w14:paraId="085934D6" w14:textId="77777777" w:rsidR="0063620D" w:rsidRPr="0063620D" w:rsidRDefault="0063620D" w:rsidP="004104AE">
      <w:pPr>
        <w:pStyle w:val="ListParagraph"/>
        <w:jc w:val="both"/>
        <w:rPr>
          <w:sz w:val="24"/>
          <w:szCs w:val="24"/>
        </w:rPr>
      </w:pPr>
    </w:p>
    <w:p w14:paraId="085934D7" w14:textId="77777777" w:rsidR="003D3884" w:rsidRDefault="0063620D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3620D">
        <w:rPr>
          <w:b/>
          <w:sz w:val="24"/>
          <w:szCs w:val="24"/>
        </w:rPr>
        <w:t>Title</w:t>
      </w:r>
    </w:p>
    <w:p w14:paraId="085934D8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D9" w14:textId="1C853FE9" w:rsidR="0063620D" w:rsidRDefault="0063620D" w:rsidP="004104AE">
      <w:pPr>
        <w:pStyle w:val="ListParagraph"/>
        <w:ind w:left="1080"/>
        <w:jc w:val="both"/>
        <w:rPr>
          <w:sz w:val="24"/>
          <w:szCs w:val="24"/>
        </w:rPr>
      </w:pPr>
      <w:r w:rsidRPr="0063620D">
        <w:rPr>
          <w:sz w:val="24"/>
          <w:szCs w:val="24"/>
        </w:rPr>
        <w:t xml:space="preserve">This Notice may be cited as the </w:t>
      </w:r>
      <w:r w:rsidR="00EE4CDA" w:rsidRPr="00EE4CDA">
        <w:rPr>
          <w:i/>
          <w:sz w:val="24"/>
          <w:szCs w:val="24"/>
        </w:rPr>
        <w:t>New South Wales Class 3 Livestock Transportat</w:t>
      </w:r>
      <w:r w:rsidR="002E3101">
        <w:rPr>
          <w:i/>
          <w:sz w:val="24"/>
          <w:szCs w:val="24"/>
        </w:rPr>
        <w:t>ion Exemption Notice 2020</w:t>
      </w:r>
      <w:r w:rsidR="002A08CE">
        <w:rPr>
          <w:i/>
          <w:sz w:val="24"/>
          <w:szCs w:val="24"/>
        </w:rPr>
        <w:t xml:space="preserve"> (No.2)</w:t>
      </w:r>
      <w:r w:rsidR="00A037BF">
        <w:rPr>
          <w:sz w:val="24"/>
          <w:szCs w:val="24"/>
        </w:rPr>
        <w:t>.</w:t>
      </w:r>
    </w:p>
    <w:p w14:paraId="085934DA" w14:textId="77777777" w:rsidR="0063620D" w:rsidRPr="0063620D" w:rsidRDefault="0063620D" w:rsidP="004104AE">
      <w:pPr>
        <w:pStyle w:val="ListParagraph"/>
        <w:jc w:val="both"/>
        <w:rPr>
          <w:sz w:val="24"/>
          <w:szCs w:val="24"/>
        </w:rPr>
      </w:pPr>
    </w:p>
    <w:p w14:paraId="085934DB" w14:textId="77777777" w:rsidR="003D3884" w:rsidRDefault="0063620D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3620D">
        <w:rPr>
          <w:b/>
          <w:sz w:val="24"/>
          <w:szCs w:val="24"/>
        </w:rPr>
        <w:t>Commencement</w:t>
      </w:r>
    </w:p>
    <w:p w14:paraId="085934DC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DD" w14:textId="1F4DC742" w:rsidR="0063620D" w:rsidRDefault="00EB4B07" w:rsidP="004104AE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notice commences </w:t>
      </w:r>
      <w:r w:rsidR="0063620D" w:rsidRPr="0063620D">
        <w:rPr>
          <w:sz w:val="24"/>
          <w:szCs w:val="24"/>
        </w:rPr>
        <w:t>on</w:t>
      </w:r>
      <w:r w:rsidR="00340BE9">
        <w:rPr>
          <w:sz w:val="24"/>
          <w:szCs w:val="24"/>
        </w:rPr>
        <w:t xml:space="preserve"> 26 February 2021</w:t>
      </w:r>
      <w:r w:rsidR="005618C9">
        <w:rPr>
          <w:sz w:val="24"/>
          <w:szCs w:val="24"/>
        </w:rPr>
        <w:t>.</w:t>
      </w:r>
    </w:p>
    <w:p w14:paraId="085934DE" w14:textId="77777777" w:rsidR="0063620D" w:rsidRPr="0063620D" w:rsidRDefault="0063620D" w:rsidP="004104AE">
      <w:pPr>
        <w:pStyle w:val="ListParagraph"/>
        <w:jc w:val="both"/>
        <w:rPr>
          <w:sz w:val="24"/>
          <w:szCs w:val="24"/>
        </w:rPr>
      </w:pPr>
    </w:p>
    <w:p w14:paraId="085934DF" w14:textId="77777777" w:rsidR="003D3884" w:rsidRDefault="003D3884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Expiry</w:t>
      </w:r>
    </w:p>
    <w:p w14:paraId="085934E0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E1" w14:textId="77777777" w:rsidR="00E46F40" w:rsidRDefault="0063620D" w:rsidP="00E51AA6">
      <w:pPr>
        <w:pStyle w:val="ListParagraph"/>
        <w:ind w:left="1080"/>
        <w:jc w:val="both"/>
        <w:rPr>
          <w:sz w:val="24"/>
          <w:szCs w:val="24"/>
        </w:rPr>
      </w:pPr>
      <w:r w:rsidRPr="0063620D">
        <w:rPr>
          <w:sz w:val="24"/>
          <w:szCs w:val="24"/>
        </w:rPr>
        <w:t>This notice expire</w:t>
      </w:r>
      <w:r>
        <w:rPr>
          <w:sz w:val="24"/>
          <w:szCs w:val="24"/>
        </w:rPr>
        <w:t xml:space="preserve">s </w:t>
      </w:r>
      <w:r w:rsidR="00EB4B07">
        <w:rPr>
          <w:sz w:val="24"/>
          <w:szCs w:val="24"/>
        </w:rPr>
        <w:t xml:space="preserve">on </w:t>
      </w:r>
      <w:r w:rsidR="0009181F">
        <w:rPr>
          <w:sz w:val="24"/>
          <w:szCs w:val="24"/>
        </w:rPr>
        <w:t>9 February 2024</w:t>
      </w:r>
      <w:r w:rsidR="00805C7E">
        <w:rPr>
          <w:sz w:val="24"/>
          <w:szCs w:val="24"/>
        </w:rPr>
        <w:t>.</w:t>
      </w:r>
    </w:p>
    <w:p w14:paraId="085934E2" w14:textId="77777777" w:rsidR="00E51AA6" w:rsidRPr="00E51AA6" w:rsidRDefault="00E51AA6" w:rsidP="00E51AA6">
      <w:pPr>
        <w:pStyle w:val="ListParagraph"/>
        <w:ind w:left="1080"/>
        <w:jc w:val="both"/>
        <w:rPr>
          <w:sz w:val="24"/>
          <w:szCs w:val="24"/>
        </w:rPr>
      </w:pPr>
    </w:p>
    <w:p w14:paraId="085934E3" w14:textId="77777777" w:rsidR="00805C7E" w:rsidRDefault="00805C7E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05C7E">
        <w:rPr>
          <w:b/>
          <w:sz w:val="24"/>
          <w:szCs w:val="24"/>
        </w:rPr>
        <w:lastRenderedPageBreak/>
        <w:t>Application</w:t>
      </w:r>
    </w:p>
    <w:p w14:paraId="085934E4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E5" w14:textId="77777777" w:rsidR="00EB4B07" w:rsidRDefault="00805C7E" w:rsidP="00EB4B07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This notice applies to </w:t>
      </w:r>
      <w:r w:rsidR="0029216D">
        <w:rPr>
          <w:sz w:val="24"/>
          <w:szCs w:val="24"/>
        </w:rPr>
        <w:t>eligible combination</w:t>
      </w:r>
      <w:r>
        <w:rPr>
          <w:sz w:val="24"/>
          <w:szCs w:val="24"/>
        </w:rPr>
        <w:t xml:space="preserve">s operating in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>.</w:t>
      </w:r>
    </w:p>
    <w:p w14:paraId="085934E6" w14:textId="77777777" w:rsidR="00EB4B07" w:rsidRDefault="00EB4B07" w:rsidP="00EB4B07">
      <w:pPr>
        <w:pStyle w:val="ListParagraph"/>
        <w:ind w:left="1080"/>
        <w:jc w:val="both"/>
        <w:rPr>
          <w:b/>
          <w:sz w:val="24"/>
          <w:szCs w:val="24"/>
        </w:rPr>
      </w:pPr>
    </w:p>
    <w:p w14:paraId="085934E7" w14:textId="77777777" w:rsidR="00E33506" w:rsidRPr="00EB4B07" w:rsidRDefault="00E33506" w:rsidP="00EB4B07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B4B07">
        <w:rPr>
          <w:b/>
          <w:sz w:val="24"/>
          <w:szCs w:val="24"/>
        </w:rPr>
        <w:t>Definition</w:t>
      </w:r>
    </w:p>
    <w:p w14:paraId="085934E8" w14:textId="77777777" w:rsidR="00E33506" w:rsidRPr="003D3884" w:rsidRDefault="00E33506" w:rsidP="00E33506">
      <w:pPr>
        <w:pStyle w:val="ListParagraph"/>
        <w:jc w:val="both"/>
        <w:rPr>
          <w:b/>
          <w:sz w:val="24"/>
          <w:szCs w:val="24"/>
        </w:rPr>
      </w:pPr>
    </w:p>
    <w:p w14:paraId="085934E9" w14:textId="77777777" w:rsidR="00E33506" w:rsidRDefault="00E33506" w:rsidP="0009181F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 w:rsidRPr="0063620D">
        <w:rPr>
          <w:sz w:val="24"/>
          <w:szCs w:val="24"/>
        </w:rPr>
        <w:t>Unless otherwise stated, words and expressions used in this notice have the same meanings as those defined in the HVNL.</w:t>
      </w:r>
    </w:p>
    <w:p w14:paraId="085934EA" w14:textId="77777777" w:rsidR="0029216D" w:rsidRDefault="0029216D" w:rsidP="0029216D">
      <w:pPr>
        <w:pStyle w:val="ListParagraph"/>
        <w:ind w:left="1080"/>
        <w:jc w:val="both"/>
        <w:rPr>
          <w:sz w:val="24"/>
          <w:szCs w:val="24"/>
        </w:rPr>
      </w:pPr>
    </w:p>
    <w:p w14:paraId="085934EB" w14:textId="77777777" w:rsidR="00E33506" w:rsidRDefault="00E33506" w:rsidP="0009181F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this Notice:</w:t>
      </w:r>
    </w:p>
    <w:p w14:paraId="085934EC" w14:textId="77777777" w:rsidR="008F5D8A" w:rsidRPr="008F5D8A" w:rsidRDefault="008F5D8A" w:rsidP="008F5D8A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Combined </w:t>
      </w:r>
      <w:r w:rsidR="00AB7797">
        <w:rPr>
          <w:b/>
          <w:sz w:val="24"/>
          <w:szCs w:val="24"/>
        </w:rPr>
        <w:t>loading space</w:t>
      </w:r>
      <w:r>
        <w:rPr>
          <w:sz w:val="24"/>
          <w:szCs w:val="24"/>
        </w:rPr>
        <w:t xml:space="preserve"> means</w:t>
      </w:r>
      <w:r w:rsidR="00AB7797">
        <w:rPr>
          <w:sz w:val="24"/>
          <w:szCs w:val="24"/>
        </w:rPr>
        <w:t xml:space="preserve"> the </w:t>
      </w:r>
      <w:r w:rsidR="0029216D">
        <w:rPr>
          <w:sz w:val="24"/>
          <w:szCs w:val="24"/>
        </w:rPr>
        <w:t>sum of the loading spaces of each vehicle that is part of an eligible combination.</w:t>
      </w:r>
    </w:p>
    <w:p w14:paraId="085934ED" w14:textId="77777777" w:rsidR="00E33506" w:rsidRDefault="0029216D" w:rsidP="00E33506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Eligible combination</w:t>
      </w:r>
      <w:r w:rsidR="00E33506" w:rsidRPr="00E66995">
        <w:rPr>
          <w:sz w:val="24"/>
          <w:szCs w:val="24"/>
        </w:rPr>
        <w:t xml:space="preserve"> means</w:t>
      </w:r>
      <w:r w:rsidR="00E33506">
        <w:rPr>
          <w:sz w:val="24"/>
          <w:szCs w:val="24"/>
        </w:rPr>
        <w:t xml:space="preserve"> a </w:t>
      </w:r>
      <w:r>
        <w:rPr>
          <w:sz w:val="24"/>
          <w:szCs w:val="24"/>
        </w:rPr>
        <w:t>heavy vehicle combination that is eligible to operate under this Notice as specified in s8</w:t>
      </w:r>
      <w:r w:rsidR="00A037BF">
        <w:rPr>
          <w:sz w:val="24"/>
          <w:szCs w:val="24"/>
        </w:rPr>
        <w:t>.</w:t>
      </w:r>
    </w:p>
    <w:p w14:paraId="085934EE" w14:textId="77777777" w:rsidR="00B92805" w:rsidRDefault="00B92805" w:rsidP="00E33506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General Access</w:t>
      </w:r>
      <w:r>
        <w:rPr>
          <w:sz w:val="24"/>
          <w:szCs w:val="24"/>
        </w:rPr>
        <w:t xml:space="preserve"> means access to all roads in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 xml:space="preserve">, subject to the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 xml:space="preserve"> Road Rules</w:t>
      </w:r>
      <w:r w:rsidR="00020C7A">
        <w:rPr>
          <w:sz w:val="24"/>
          <w:szCs w:val="24"/>
        </w:rPr>
        <w:t xml:space="preserve"> and the HVNL</w:t>
      </w:r>
      <w:r>
        <w:rPr>
          <w:sz w:val="24"/>
          <w:szCs w:val="24"/>
        </w:rPr>
        <w:t>.</w:t>
      </w:r>
    </w:p>
    <w:p w14:paraId="085934EF" w14:textId="77777777" w:rsidR="00AB7797" w:rsidRPr="00AB7797" w:rsidRDefault="00AB7797" w:rsidP="00AB7797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Loading space</w:t>
      </w:r>
      <w:r>
        <w:rPr>
          <w:sz w:val="24"/>
          <w:szCs w:val="24"/>
        </w:rPr>
        <w:t xml:space="preserve"> means the dimension </w:t>
      </w:r>
      <w:r w:rsidRPr="00F9737E">
        <w:rPr>
          <w:sz w:val="24"/>
          <w:szCs w:val="24"/>
        </w:rPr>
        <w:t xml:space="preserve">measured from the inside of the front wall or door to the inside of the rear wall or door of </w:t>
      </w:r>
      <w:r w:rsidR="0029216D">
        <w:rPr>
          <w:sz w:val="24"/>
          <w:szCs w:val="24"/>
        </w:rPr>
        <w:t>a</w:t>
      </w:r>
      <w:r w:rsidRPr="00F9737E">
        <w:rPr>
          <w:sz w:val="24"/>
          <w:szCs w:val="24"/>
        </w:rPr>
        <w:t xml:space="preserve"> semi-trailer, with intervening partitions being disregarded.</w:t>
      </w:r>
    </w:p>
    <w:p w14:paraId="085934F1" w14:textId="4B256C85" w:rsidR="00F43A92" w:rsidRPr="00CB3198" w:rsidRDefault="00B92805" w:rsidP="00CB3198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Scheme</w:t>
      </w:r>
      <w:r>
        <w:rPr>
          <w:sz w:val="24"/>
          <w:szCs w:val="24"/>
        </w:rPr>
        <w:t xml:space="preserve"> </w:t>
      </w:r>
      <w:r w:rsidR="00930C3D">
        <w:rPr>
          <w:sz w:val="24"/>
          <w:szCs w:val="24"/>
        </w:rPr>
        <w:t>m</w:t>
      </w:r>
      <w:r>
        <w:rPr>
          <w:sz w:val="24"/>
          <w:szCs w:val="24"/>
        </w:rPr>
        <w:t xml:space="preserve">eans the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 xml:space="preserve"> Livestock Loading Scheme published </w:t>
      </w:r>
      <w:r w:rsidR="00410DDB">
        <w:rPr>
          <w:sz w:val="24"/>
          <w:szCs w:val="24"/>
        </w:rPr>
        <w:t xml:space="preserve">and maintained </w:t>
      </w:r>
      <w:r>
        <w:rPr>
          <w:sz w:val="24"/>
          <w:szCs w:val="24"/>
        </w:rPr>
        <w:t xml:space="preserve">by </w:t>
      </w:r>
      <w:r w:rsidR="0009181F">
        <w:rPr>
          <w:sz w:val="24"/>
          <w:szCs w:val="24"/>
        </w:rPr>
        <w:t>TfNSW</w:t>
      </w:r>
      <w:r w:rsidR="00410DDB">
        <w:rPr>
          <w:sz w:val="24"/>
          <w:szCs w:val="24"/>
        </w:rPr>
        <w:t>.</w:t>
      </w:r>
    </w:p>
    <w:p w14:paraId="085934F2" w14:textId="77777777" w:rsidR="00A037BF" w:rsidRDefault="00A037BF" w:rsidP="00A037B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Eligible</w:t>
      </w:r>
      <w:r w:rsidR="0029216D">
        <w:rPr>
          <w:b/>
          <w:sz w:val="24"/>
          <w:szCs w:val="24"/>
        </w:rPr>
        <w:t xml:space="preserve"> combination</w:t>
      </w:r>
      <w:r>
        <w:rPr>
          <w:b/>
          <w:sz w:val="24"/>
          <w:szCs w:val="24"/>
        </w:rPr>
        <w:t>s</w:t>
      </w:r>
    </w:p>
    <w:p w14:paraId="085934F3" w14:textId="77777777" w:rsidR="00A037BF" w:rsidRDefault="00A037BF" w:rsidP="00A037BF">
      <w:pPr>
        <w:pStyle w:val="ListParagraph"/>
        <w:jc w:val="both"/>
        <w:rPr>
          <w:b/>
          <w:sz w:val="24"/>
          <w:szCs w:val="24"/>
        </w:rPr>
      </w:pPr>
    </w:p>
    <w:p w14:paraId="085934F4" w14:textId="77777777" w:rsidR="00410DDB" w:rsidRPr="008F5D8A" w:rsidRDefault="00A037BF" w:rsidP="008F5D8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037BF">
        <w:rPr>
          <w:sz w:val="24"/>
          <w:szCs w:val="24"/>
        </w:rPr>
        <w:t xml:space="preserve">An </w:t>
      </w:r>
      <w:r w:rsidR="0029216D">
        <w:rPr>
          <w:sz w:val="24"/>
          <w:szCs w:val="24"/>
        </w:rPr>
        <w:t>eligible combination</w:t>
      </w:r>
      <w:r w:rsidR="008F5D8A">
        <w:rPr>
          <w:sz w:val="24"/>
          <w:szCs w:val="24"/>
        </w:rPr>
        <w:t xml:space="preserve"> must be one of the following category of heavy vehicle:</w:t>
      </w:r>
    </w:p>
    <w:p w14:paraId="085934F5" w14:textId="77777777" w:rsidR="00410DDB" w:rsidRPr="00410DDB" w:rsidRDefault="00410DDB" w:rsidP="00410DDB">
      <w:pPr>
        <w:pStyle w:val="ListParagraph"/>
        <w:ind w:left="1080"/>
        <w:jc w:val="both"/>
        <w:rPr>
          <w:sz w:val="24"/>
          <w:szCs w:val="24"/>
        </w:rPr>
      </w:pPr>
    </w:p>
    <w:p w14:paraId="085934F7" w14:textId="3DDABA28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Single articulated vehicles which consist of a prime mover and a semi-trailer, and have a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12.5 metres;</w:t>
      </w:r>
    </w:p>
    <w:p w14:paraId="085934F9" w14:textId="29CCA413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B-doubles that have an overall length not exceeding 19.0 metres and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15.0 metres; and</w:t>
      </w:r>
    </w:p>
    <w:p w14:paraId="5EA617F1" w14:textId="38CBC179" w:rsidR="000C07CA" w:rsidRPr="000C07CA" w:rsidRDefault="00410DDB" w:rsidP="000C07CA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B-doubles that have an overall length not exceeding 26.0 metres and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18.8 metres; and</w:t>
      </w:r>
    </w:p>
    <w:p w14:paraId="085934FD" w14:textId="724530A4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Road trains that have an overall length not exceeding 36.5 metres, and a minimum distance between the centres of the outermost axles of a road </w:t>
      </w:r>
      <w:r w:rsidRPr="00410DDB">
        <w:rPr>
          <w:sz w:val="24"/>
          <w:szCs w:val="24"/>
        </w:rPr>
        <w:lastRenderedPageBreak/>
        <w:t xml:space="preserve">train of at least 26.5m metres, and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25.0 metres.</w:t>
      </w:r>
    </w:p>
    <w:p w14:paraId="085934FF" w14:textId="31DB3442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B-triples that consist of a prime mover and three semi-trailers and have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28.2 metres.</w:t>
      </w:r>
    </w:p>
    <w:p w14:paraId="08593500" w14:textId="77777777" w:rsidR="006F6FBA" w:rsidRDefault="00410DDB" w:rsidP="0009181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AB-triples that consist of a prime mover and semi-trailer combination connected, by a converter dolly, to two semi-trailers which are connected by a fifth wheel coupling, that have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28.2 metres.</w:t>
      </w:r>
    </w:p>
    <w:p w14:paraId="08593501" w14:textId="77777777" w:rsidR="0009181F" w:rsidRPr="0009181F" w:rsidRDefault="0009181F" w:rsidP="0009181F">
      <w:pPr>
        <w:pStyle w:val="ListParagraph"/>
        <w:ind w:left="1440"/>
        <w:jc w:val="both"/>
        <w:rPr>
          <w:sz w:val="24"/>
          <w:szCs w:val="24"/>
        </w:rPr>
      </w:pPr>
    </w:p>
    <w:p w14:paraId="08593504" w14:textId="2F5B1D7B" w:rsidR="00127B8A" w:rsidRDefault="006F6FBA" w:rsidP="00CB319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vehicle under this section is only an </w:t>
      </w:r>
      <w:r w:rsidR="0029216D">
        <w:rPr>
          <w:sz w:val="24"/>
          <w:szCs w:val="24"/>
        </w:rPr>
        <w:t>eligible combination</w:t>
      </w:r>
      <w:r>
        <w:rPr>
          <w:sz w:val="24"/>
          <w:szCs w:val="24"/>
        </w:rPr>
        <w:t xml:space="preserve"> when it is transporting livestock.</w:t>
      </w:r>
    </w:p>
    <w:p w14:paraId="4E124E85" w14:textId="77777777" w:rsidR="00CB3198" w:rsidRPr="00CB3198" w:rsidRDefault="00CB3198" w:rsidP="00CB3198">
      <w:pPr>
        <w:pStyle w:val="ListParagraph"/>
        <w:ind w:left="1080"/>
        <w:jc w:val="both"/>
        <w:rPr>
          <w:sz w:val="24"/>
          <w:szCs w:val="24"/>
        </w:rPr>
      </w:pPr>
    </w:p>
    <w:p w14:paraId="08593505" w14:textId="77777777" w:rsidR="005A706A" w:rsidRPr="00127B8A" w:rsidRDefault="005A706A" w:rsidP="005A706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27B8A">
        <w:rPr>
          <w:b/>
          <w:sz w:val="24"/>
          <w:szCs w:val="24"/>
        </w:rPr>
        <w:t>Conditions - Vehicle Requirements</w:t>
      </w:r>
    </w:p>
    <w:p w14:paraId="08593506" w14:textId="77777777" w:rsidR="005A706A" w:rsidRDefault="005A706A" w:rsidP="005A706A">
      <w:pPr>
        <w:pStyle w:val="ListParagraph"/>
        <w:ind w:left="1080"/>
        <w:jc w:val="both"/>
        <w:rPr>
          <w:sz w:val="24"/>
          <w:szCs w:val="24"/>
        </w:rPr>
      </w:pPr>
    </w:p>
    <w:p w14:paraId="08593507" w14:textId="77777777" w:rsidR="005A706A" w:rsidRDefault="005A706A" w:rsidP="005A706A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combinations operating under this notice must  have:</w:t>
      </w:r>
    </w:p>
    <w:p w14:paraId="08593508" w14:textId="77777777" w:rsidR="005A706A" w:rsidRDefault="005A706A" w:rsidP="005A706A">
      <w:pPr>
        <w:pStyle w:val="ListParagraph"/>
        <w:ind w:left="1080"/>
        <w:jc w:val="both"/>
        <w:rPr>
          <w:sz w:val="24"/>
          <w:szCs w:val="24"/>
        </w:rPr>
      </w:pPr>
    </w:p>
    <w:p w14:paraId="1AEE589C" w14:textId="59814672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a prime mover with</w:t>
      </w:r>
      <w:r>
        <w:rPr>
          <w:sz w:val="24"/>
          <w:szCs w:val="24"/>
        </w:rPr>
        <w:t xml:space="preserve"> a tandem axle drive group, and</w:t>
      </w:r>
    </w:p>
    <w:p w14:paraId="101C040A" w14:textId="258C73CF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semi-trailer(s) with either tandem axle or tri-axle group(s), or in the case of a B-double not exceeding 19.0 metres in length, semi-trailers with tande</w:t>
      </w:r>
      <w:r>
        <w:rPr>
          <w:sz w:val="24"/>
          <w:szCs w:val="24"/>
        </w:rPr>
        <w:t>m axle groups only; and</w:t>
      </w:r>
    </w:p>
    <w:p w14:paraId="7FFD6E30" w14:textId="18877EA7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in the case of a road train or an AB-triple, either a tandem axle or tri-axle gr</w:t>
      </w:r>
      <w:r>
        <w:rPr>
          <w:sz w:val="24"/>
          <w:szCs w:val="24"/>
        </w:rPr>
        <w:t>oup on the converter dolly, and</w:t>
      </w:r>
    </w:p>
    <w:p w14:paraId="5B4A855D" w14:textId="070C159E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either single tyres with section width of at least 375 mm, dual tyres, or a combination of those tyres, on all axle gr</w:t>
      </w:r>
      <w:r>
        <w:rPr>
          <w:sz w:val="24"/>
          <w:szCs w:val="24"/>
        </w:rPr>
        <w:t>oups, and</w:t>
      </w:r>
    </w:p>
    <w:p w14:paraId="3BDAA720" w14:textId="333A6509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certified road friendly suspension fitted and maintained in working order on all ax</w:t>
      </w:r>
      <w:r>
        <w:rPr>
          <w:sz w:val="24"/>
          <w:szCs w:val="24"/>
        </w:rPr>
        <w:t>le groups of all semi-trailers.</w:t>
      </w:r>
    </w:p>
    <w:p w14:paraId="0D47F7E8" w14:textId="6491D657" w:rsid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in the case of a B-Triple or AB-triple, certified road friendly suspension fitted and maintained in working order on all axle groups.</w:t>
      </w:r>
    </w:p>
    <w:p w14:paraId="1A73B921" w14:textId="77777777" w:rsidR="00617224" w:rsidRPr="00617224" w:rsidRDefault="00617224" w:rsidP="00617224">
      <w:pPr>
        <w:pStyle w:val="ListParagraph"/>
        <w:ind w:left="1440"/>
        <w:jc w:val="both"/>
        <w:rPr>
          <w:sz w:val="24"/>
          <w:szCs w:val="24"/>
        </w:rPr>
      </w:pPr>
    </w:p>
    <w:p w14:paraId="08593510" w14:textId="77777777" w:rsidR="0063620D" w:rsidRDefault="00593EDE" w:rsidP="00A037B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93EDE">
        <w:rPr>
          <w:b/>
          <w:sz w:val="24"/>
          <w:szCs w:val="24"/>
        </w:rPr>
        <w:t>Exemption – Mass</w:t>
      </w:r>
    </w:p>
    <w:p w14:paraId="08593511" w14:textId="77777777" w:rsidR="00BD019B" w:rsidRPr="00593EDE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512" w14:textId="77777777" w:rsidR="00593EDE" w:rsidRDefault="0029216D" w:rsidP="00920A0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combination</w:t>
      </w:r>
      <w:r w:rsidR="00593EDE">
        <w:rPr>
          <w:sz w:val="24"/>
          <w:szCs w:val="24"/>
        </w:rPr>
        <w:t xml:space="preserve">s operating under this Notice are exempt from the following mass requirements in Schedule 1 of the </w:t>
      </w:r>
      <w:r w:rsidR="00593EDE" w:rsidRPr="00A037BF">
        <w:rPr>
          <w:i/>
          <w:sz w:val="24"/>
          <w:szCs w:val="24"/>
        </w:rPr>
        <w:t>Heavy Vehicle (Mass, Dimension &amp; Loading) National Regulation (MDL Regulation)</w:t>
      </w:r>
      <w:r w:rsidR="00593EDE">
        <w:rPr>
          <w:sz w:val="24"/>
          <w:szCs w:val="24"/>
        </w:rPr>
        <w:t>:</w:t>
      </w:r>
    </w:p>
    <w:p w14:paraId="08593513" w14:textId="77777777" w:rsidR="008F5D8A" w:rsidRPr="00593EDE" w:rsidRDefault="008F5D8A" w:rsidP="008F5D8A">
      <w:pPr>
        <w:pStyle w:val="ListParagraph"/>
        <w:ind w:left="1080"/>
        <w:jc w:val="both"/>
        <w:rPr>
          <w:sz w:val="24"/>
          <w:szCs w:val="24"/>
        </w:rPr>
      </w:pPr>
    </w:p>
    <w:p w14:paraId="08593514" w14:textId="77777777" w:rsidR="008F5D8A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section 2(1)(a)(iv) - Complying steer axles for vehicles that are not B-Doubles or Road Trains</w:t>
      </w:r>
      <w:r w:rsidR="000748A4">
        <w:rPr>
          <w:sz w:val="24"/>
          <w:szCs w:val="24"/>
        </w:rPr>
        <w:t>.</w:t>
      </w:r>
    </w:p>
    <w:p w14:paraId="08593515" w14:textId="77777777" w:rsidR="00593EDE" w:rsidRPr="000733CF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section 2(1)(2(b) - Axle Mass limits referencing Table 1</w:t>
      </w:r>
      <w:r w:rsidR="000748A4">
        <w:rPr>
          <w:sz w:val="24"/>
          <w:szCs w:val="24"/>
        </w:rPr>
        <w:t>,</w:t>
      </w:r>
      <w:r>
        <w:rPr>
          <w:sz w:val="24"/>
          <w:szCs w:val="24"/>
        </w:rPr>
        <w:t xml:space="preserve"> Part 2</w:t>
      </w:r>
      <w:r w:rsidR="000748A4">
        <w:rPr>
          <w:sz w:val="24"/>
          <w:szCs w:val="24"/>
        </w:rPr>
        <w:t>.</w:t>
      </w:r>
    </w:p>
    <w:p w14:paraId="08593516" w14:textId="77777777" w:rsidR="00593EDE" w:rsidRPr="000733CF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section 4 and Table - Mass limits for a single axle or axle group</w:t>
      </w:r>
      <w:r w:rsidR="000748A4">
        <w:rPr>
          <w:sz w:val="24"/>
          <w:szCs w:val="24"/>
        </w:rPr>
        <w:t>.</w:t>
      </w:r>
    </w:p>
    <w:p w14:paraId="08593517" w14:textId="77777777" w:rsidR="00A037BF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section 5 - Mass Limits relating to axle spacing generally.</w:t>
      </w:r>
    </w:p>
    <w:p w14:paraId="08593518" w14:textId="77777777" w:rsidR="00920A0F" w:rsidRDefault="00920A0F" w:rsidP="00920A0F">
      <w:pPr>
        <w:pStyle w:val="ListParagraph"/>
        <w:ind w:left="1440"/>
        <w:jc w:val="both"/>
        <w:rPr>
          <w:sz w:val="24"/>
          <w:szCs w:val="24"/>
        </w:rPr>
      </w:pPr>
    </w:p>
    <w:p w14:paraId="08593519" w14:textId="77777777" w:rsidR="00CF178D" w:rsidRPr="00127B8A" w:rsidRDefault="00CF178D" w:rsidP="00127B8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These exemptions only apply</w:t>
      </w:r>
      <w:r w:rsidR="00920A0F">
        <w:rPr>
          <w:sz w:val="24"/>
          <w:szCs w:val="24"/>
        </w:rPr>
        <w:t xml:space="preserve"> to a mass requirement where a conditional mass for a specified parameter has been provided in </w:t>
      </w:r>
      <w:r w:rsidR="008F5D8A">
        <w:rPr>
          <w:sz w:val="24"/>
          <w:szCs w:val="24"/>
        </w:rPr>
        <w:t>this Notice.</w:t>
      </w:r>
    </w:p>
    <w:p w14:paraId="0859351A" w14:textId="77777777" w:rsidR="00B21C4D" w:rsidRDefault="00B21C4D" w:rsidP="00B21C4D">
      <w:pPr>
        <w:pStyle w:val="ListParagraph"/>
        <w:ind w:left="1440"/>
        <w:jc w:val="both"/>
        <w:rPr>
          <w:sz w:val="24"/>
          <w:szCs w:val="24"/>
        </w:rPr>
      </w:pPr>
    </w:p>
    <w:p w14:paraId="0859351B" w14:textId="77777777" w:rsidR="006F6FBA" w:rsidRPr="006F6FBA" w:rsidRDefault="006F6FBA" w:rsidP="006F6FB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F6FBA">
        <w:rPr>
          <w:b/>
          <w:sz w:val="24"/>
          <w:szCs w:val="24"/>
        </w:rPr>
        <w:t>Conditions - Mass</w:t>
      </w:r>
      <w:r w:rsidR="00A410C9">
        <w:rPr>
          <w:b/>
          <w:sz w:val="24"/>
          <w:szCs w:val="24"/>
        </w:rPr>
        <w:t xml:space="preserve"> (</w:t>
      </w:r>
      <w:r w:rsidR="00F02F1C">
        <w:rPr>
          <w:b/>
          <w:sz w:val="24"/>
          <w:szCs w:val="24"/>
        </w:rPr>
        <w:t>Gross Combination Mass</w:t>
      </w:r>
      <w:r w:rsidR="00A410C9">
        <w:rPr>
          <w:b/>
          <w:sz w:val="24"/>
          <w:szCs w:val="24"/>
        </w:rPr>
        <w:t>)</w:t>
      </w:r>
    </w:p>
    <w:p w14:paraId="0859351C" w14:textId="77777777" w:rsidR="006F6FBA" w:rsidRDefault="006F6FBA" w:rsidP="00B21C4D">
      <w:pPr>
        <w:pStyle w:val="ListParagraph"/>
        <w:ind w:left="1440"/>
        <w:jc w:val="both"/>
        <w:rPr>
          <w:sz w:val="24"/>
          <w:szCs w:val="24"/>
        </w:rPr>
      </w:pPr>
    </w:p>
    <w:p w14:paraId="0859351D" w14:textId="77777777" w:rsidR="006F6FBA" w:rsidRPr="006F6FBA" w:rsidRDefault="006F6FBA" w:rsidP="006F6FBA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 w:rsidRPr="006F6FBA">
        <w:rPr>
          <w:sz w:val="24"/>
          <w:szCs w:val="24"/>
        </w:rPr>
        <w:t>The total mass of a combination must not exceed the lowest of the following:</w:t>
      </w:r>
    </w:p>
    <w:p w14:paraId="0859351E" w14:textId="77777777" w:rsidR="006F6FBA" w:rsidRPr="006F6FBA" w:rsidRDefault="006F6FBA" w:rsidP="006F6FBA">
      <w:pPr>
        <w:pStyle w:val="ListParagraph"/>
        <w:ind w:left="1440"/>
        <w:jc w:val="both"/>
        <w:rPr>
          <w:sz w:val="24"/>
          <w:szCs w:val="24"/>
        </w:rPr>
      </w:pPr>
    </w:p>
    <w:p w14:paraId="0859351F" w14:textId="77777777" w:rsidR="006F6FBA" w:rsidRPr="006F6FBA" w:rsidRDefault="006F6FBA" w:rsidP="006F6FBA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 w:rsidRPr="006F6FBA">
        <w:rPr>
          <w:sz w:val="24"/>
          <w:szCs w:val="24"/>
        </w:rPr>
        <w:t xml:space="preserve">the sum of the axle and axle group mass limits in </w:t>
      </w:r>
      <w:r w:rsidR="005D4297">
        <w:rPr>
          <w:sz w:val="24"/>
          <w:szCs w:val="24"/>
        </w:rPr>
        <w:t xml:space="preserve">Table </w:t>
      </w:r>
      <w:r w:rsidR="000748A4">
        <w:rPr>
          <w:sz w:val="24"/>
          <w:szCs w:val="24"/>
        </w:rPr>
        <w:t>1</w:t>
      </w:r>
      <w:r w:rsidRPr="006F6FBA">
        <w:rPr>
          <w:sz w:val="24"/>
          <w:szCs w:val="24"/>
        </w:rPr>
        <w:t>, or</w:t>
      </w:r>
    </w:p>
    <w:p w14:paraId="08593520" w14:textId="77777777" w:rsidR="006F6FBA" w:rsidRPr="006F6FBA" w:rsidRDefault="006F6FBA" w:rsidP="006F6FBA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 w:rsidRPr="006F6FBA">
        <w:rPr>
          <w:sz w:val="24"/>
          <w:szCs w:val="24"/>
        </w:rPr>
        <w:t>the GCM limit specified by the prime mover manufacturer, or</w:t>
      </w:r>
    </w:p>
    <w:p w14:paraId="08593522" w14:textId="473ACD3D" w:rsidR="00AB45DD" w:rsidRPr="00CB3198" w:rsidRDefault="002F4546" w:rsidP="00CB3198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F6FBA" w:rsidRPr="006F6FBA">
        <w:rPr>
          <w:sz w:val="24"/>
          <w:szCs w:val="24"/>
        </w:rPr>
        <w:t>sum of the GVMs for the prime mover and the trailer or trailers it is towing.</w:t>
      </w:r>
    </w:p>
    <w:p w14:paraId="08593523" w14:textId="77777777" w:rsidR="00AB45DD" w:rsidRDefault="00AB45DD" w:rsidP="002F4546">
      <w:pPr>
        <w:pStyle w:val="ListParagraph"/>
        <w:ind w:left="1440"/>
        <w:jc w:val="both"/>
        <w:rPr>
          <w:sz w:val="24"/>
          <w:szCs w:val="24"/>
        </w:rPr>
      </w:pPr>
    </w:p>
    <w:p w14:paraId="08593524" w14:textId="77777777" w:rsidR="00F02F1C" w:rsidRPr="00F02F1C" w:rsidRDefault="00F02F1C" w:rsidP="00F02F1C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02F1C">
        <w:rPr>
          <w:b/>
          <w:sz w:val="24"/>
          <w:szCs w:val="24"/>
        </w:rPr>
        <w:t>Conditions - Mass (Axle and axle group limits)</w:t>
      </w:r>
    </w:p>
    <w:p w14:paraId="08593525" w14:textId="77777777" w:rsidR="00F02F1C" w:rsidRDefault="00F02F1C" w:rsidP="002F4546">
      <w:pPr>
        <w:pStyle w:val="ListParagraph"/>
        <w:ind w:left="1440"/>
        <w:jc w:val="both"/>
        <w:rPr>
          <w:sz w:val="24"/>
          <w:szCs w:val="24"/>
        </w:rPr>
      </w:pPr>
    </w:p>
    <w:p w14:paraId="08593526" w14:textId="77777777" w:rsidR="007F0E10" w:rsidRPr="0060014A" w:rsidRDefault="002F4546" w:rsidP="0060014A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 w:rsidRPr="002F4546">
        <w:rPr>
          <w:sz w:val="24"/>
          <w:szCs w:val="24"/>
        </w:rPr>
        <w:t xml:space="preserve">The mass on an axle or axle group must not exceed the limits set out in Table 1, except as provided for by </w:t>
      </w:r>
      <w:r w:rsidR="000748A4">
        <w:rPr>
          <w:sz w:val="24"/>
          <w:szCs w:val="24"/>
        </w:rPr>
        <w:t>2</w:t>
      </w:r>
      <w:r w:rsidRPr="002F4546">
        <w:rPr>
          <w:sz w:val="24"/>
          <w:szCs w:val="24"/>
        </w:rPr>
        <w:t>).</w:t>
      </w:r>
    </w:p>
    <w:p w14:paraId="08593527" w14:textId="77777777" w:rsidR="007F0E10" w:rsidRPr="0060014A" w:rsidRDefault="0060014A" w:rsidP="0060014A">
      <w:pPr>
        <w:jc w:val="both"/>
        <w:rPr>
          <w:b/>
          <w:sz w:val="24"/>
          <w:szCs w:val="24"/>
        </w:rPr>
      </w:pPr>
      <w:r w:rsidRPr="0060014A">
        <w:rPr>
          <w:b/>
          <w:sz w:val="24"/>
          <w:szCs w:val="24"/>
        </w:rPr>
        <w:t>Table 1: Axle and axle group mass limits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: Axle and axle group mass limits"/>
        <w:tblDescription w:val="A table of conditional axle group masses for eligible vehicles operating under this Notice."/>
      </w:tblPr>
      <w:tblGrid>
        <w:gridCol w:w="7479"/>
        <w:gridCol w:w="1763"/>
      </w:tblGrid>
      <w:tr w:rsidR="007F0E10" w:rsidRPr="007F0E10" w14:paraId="0859352A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28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  <w:r w:rsidRPr="007F0E10">
              <w:rPr>
                <w:rFonts w:asciiTheme="minorHAnsi" w:hAnsiTheme="minorHAnsi"/>
                <w:b/>
              </w:rPr>
              <w:t>STEER AXLE GROUPS</w:t>
            </w:r>
          </w:p>
        </w:tc>
        <w:tc>
          <w:tcPr>
            <w:tcW w:w="1763" w:type="dxa"/>
            <w:vAlign w:val="center"/>
          </w:tcPr>
          <w:p w14:paraId="08593529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  <w:r w:rsidRPr="007F0E10">
              <w:rPr>
                <w:rFonts w:asciiTheme="minorHAnsi" w:hAnsiTheme="minorHAnsi"/>
                <w:b/>
              </w:rPr>
              <w:t>MASS LIMIT (t)</w:t>
            </w:r>
          </w:p>
        </w:tc>
      </w:tr>
      <w:tr w:rsidR="007F0E10" w14:paraId="0859352D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2B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Single steer axle</w:t>
            </w:r>
          </w:p>
        </w:tc>
        <w:tc>
          <w:tcPr>
            <w:tcW w:w="1763" w:type="dxa"/>
            <w:vAlign w:val="center"/>
          </w:tcPr>
          <w:p w14:paraId="0859352C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6.0</w:t>
            </w:r>
          </w:p>
        </w:tc>
      </w:tr>
      <w:tr w:rsidR="007F0E10" w:rsidRPr="007F0E10" w14:paraId="08593530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2E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  <w:r w:rsidRPr="007F0E10">
              <w:rPr>
                <w:rFonts w:asciiTheme="minorHAnsi" w:hAnsiTheme="minorHAnsi"/>
                <w:b/>
              </w:rPr>
              <w:t>NON-STEER AXLE GROUPS</w:t>
            </w:r>
          </w:p>
        </w:tc>
        <w:tc>
          <w:tcPr>
            <w:tcW w:w="1763" w:type="dxa"/>
            <w:vAlign w:val="center"/>
          </w:tcPr>
          <w:p w14:paraId="0859352F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F0E10" w14:paraId="08593533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1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Tandem axle group not fitted with certified road friendly suspension</w:t>
            </w:r>
          </w:p>
        </w:tc>
        <w:tc>
          <w:tcPr>
            <w:tcW w:w="1763" w:type="dxa"/>
            <w:vAlign w:val="center"/>
          </w:tcPr>
          <w:p w14:paraId="08593532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16.5</w:t>
            </w:r>
          </w:p>
        </w:tc>
      </w:tr>
      <w:tr w:rsidR="007F0E10" w14:paraId="08593536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4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Tandem axle group fitted certified road friendly suspension</w:t>
            </w:r>
          </w:p>
        </w:tc>
        <w:tc>
          <w:tcPr>
            <w:tcW w:w="1763" w:type="dxa"/>
            <w:vAlign w:val="center"/>
          </w:tcPr>
          <w:p w14:paraId="08593535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17.0</w:t>
            </w:r>
          </w:p>
        </w:tc>
      </w:tr>
      <w:tr w:rsidR="007F0E10" w14:paraId="08593539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7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Tri-axle group not fitted with certified road friendly suspension (converter dollies only)</w:t>
            </w:r>
          </w:p>
        </w:tc>
        <w:tc>
          <w:tcPr>
            <w:tcW w:w="1763" w:type="dxa"/>
            <w:vAlign w:val="center"/>
          </w:tcPr>
          <w:p w14:paraId="08593538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16.5</w:t>
            </w:r>
          </w:p>
        </w:tc>
      </w:tr>
      <w:tr w:rsidR="007F0E10" w14:paraId="0859353C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A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Tri-axle group fitted with certified road friendly suspension</w:t>
            </w:r>
          </w:p>
        </w:tc>
        <w:tc>
          <w:tcPr>
            <w:tcW w:w="1763" w:type="dxa"/>
            <w:vAlign w:val="center"/>
          </w:tcPr>
          <w:p w14:paraId="0859353B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22.5</w:t>
            </w:r>
          </w:p>
        </w:tc>
      </w:tr>
    </w:tbl>
    <w:p w14:paraId="0859353D" w14:textId="77777777" w:rsidR="002F4546" w:rsidRPr="002F4546" w:rsidRDefault="002F4546" w:rsidP="002F4546">
      <w:pPr>
        <w:jc w:val="both"/>
        <w:rPr>
          <w:sz w:val="24"/>
          <w:szCs w:val="24"/>
        </w:rPr>
      </w:pPr>
    </w:p>
    <w:p w14:paraId="0859353E" w14:textId="77777777" w:rsidR="00C3115F" w:rsidRDefault="00AB45DD" w:rsidP="000748A4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Floating tri-axle mass concession: t</w:t>
      </w:r>
      <w:r w:rsidR="00A410C9" w:rsidRPr="00A410C9">
        <w:rPr>
          <w:sz w:val="24"/>
          <w:szCs w:val="24"/>
        </w:rPr>
        <w:t>he mas</w:t>
      </w:r>
      <w:r w:rsidR="00A410C9">
        <w:rPr>
          <w:sz w:val="24"/>
          <w:szCs w:val="24"/>
        </w:rPr>
        <w:t>s on a tri-axle group of a semi</w:t>
      </w:r>
      <w:r w:rsidR="00A410C9" w:rsidRPr="00A410C9">
        <w:rPr>
          <w:sz w:val="24"/>
          <w:szCs w:val="24"/>
        </w:rPr>
        <w:t>trailer may exc</w:t>
      </w:r>
      <w:r w:rsidR="00A410C9">
        <w:rPr>
          <w:sz w:val="24"/>
          <w:szCs w:val="24"/>
        </w:rPr>
        <w:t xml:space="preserve">eed the limit set out in Table </w:t>
      </w:r>
      <w:r w:rsidR="000748A4">
        <w:rPr>
          <w:sz w:val="24"/>
          <w:szCs w:val="24"/>
        </w:rPr>
        <w:t>1</w:t>
      </w:r>
      <w:r w:rsidR="002707F1" w:rsidRPr="00A410C9">
        <w:rPr>
          <w:sz w:val="24"/>
          <w:szCs w:val="24"/>
        </w:rPr>
        <w:t xml:space="preserve"> </w:t>
      </w:r>
      <w:r w:rsidR="00A410C9" w:rsidRPr="00A410C9">
        <w:rPr>
          <w:sz w:val="24"/>
          <w:szCs w:val="24"/>
        </w:rPr>
        <w:t xml:space="preserve">by up to 0.5 tonne, as long as the total mass of the combination does not exceed the total mass limit </w:t>
      </w:r>
      <w:r w:rsidR="000748A4">
        <w:rPr>
          <w:sz w:val="24"/>
          <w:szCs w:val="24"/>
        </w:rPr>
        <w:t xml:space="preserve">(GCM) </w:t>
      </w:r>
      <w:r w:rsidR="00A410C9" w:rsidRPr="00A410C9">
        <w:rPr>
          <w:sz w:val="24"/>
          <w:szCs w:val="24"/>
        </w:rPr>
        <w:t xml:space="preserve">specified in </w:t>
      </w:r>
      <w:r w:rsidR="002707F1">
        <w:rPr>
          <w:sz w:val="24"/>
          <w:szCs w:val="24"/>
        </w:rPr>
        <w:t>section 11</w:t>
      </w:r>
      <w:r w:rsidR="00A410C9" w:rsidRPr="00A410C9">
        <w:rPr>
          <w:sz w:val="24"/>
          <w:szCs w:val="24"/>
        </w:rPr>
        <w:t>.</w:t>
      </w:r>
    </w:p>
    <w:p w14:paraId="0859353F" w14:textId="77777777" w:rsidR="00A410C9" w:rsidRDefault="00A410C9" w:rsidP="00A410C9">
      <w:pPr>
        <w:pStyle w:val="ListParagraph"/>
        <w:ind w:left="1080"/>
        <w:jc w:val="both"/>
        <w:rPr>
          <w:sz w:val="24"/>
          <w:szCs w:val="24"/>
        </w:rPr>
      </w:pPr>
    </w:p>
    <w:p w14:paraId="61EFC55F" w14:textId="6A74BB4E" w:rsidR="00617224" w:rsidRDefault="00617224" w:rsidP="00A410C9">
      <w:pPr>
        <w:pStyle w:val="ListParagraph"/>
        <w:ind w:left="1080"/>
        <w:jc w:val="both"/>
        <w:rPr>
          <w:sz w:val="24"/>
          <w:szCs w:val="24"/>
        </w:rPr>
      </w:pPr>
    </w:p>
    <w:p w14:paraId="6A30BAA2" w14:textId="7BCA230F" w:rsidR="00617224" w:rsidRDefault="00617224" w:rsidP="00A410C9">
      <w:pPr>
        <w:pStyle w:val="ListParagraph"/>
        <w:ind w:left="1080"/>
        <w:jc w:val="both"/>
        <w:rPr>
          <w:sz w:val="24"/>
          <w:szCs w:val="24"/>
        </w:rPr>
      </w:pPr>
    </w:p>
    <w:p w14:paraId="14AFEA11" w14:textId="3BB34C24" w:rsidR="000C07CA" w:rsidRDefault="000C07CA" w:rsidP="00A410C9">
      <w:pPr>
        <w:pStyle w:val="ListParagraph"/>
        <w:ind w:left="1080"/>
        <w:jc w:val="both"/>
        <w:rPr>
          <w:sz w:val="24"/>
          <w:szCs w:val="24"/>
        </w:rPr>
      </w:pPr>
    </w:p>
    <w:p w14:paraId="687CE33B" w14:textId="1A264CB1" w:rsidR="000C07CA" w:rsidRDefault="000C07CA" w:rsidP="00A410C9">
      <w:pPr>
        <w:pStyle w:val="ListParagraph"/>
        <w:ind w:left="1080"/>
        <w:jc w:val="both"/>
        <w:rPr>
          <w:sz w:val="24"/>
          <w:szCs w:val="24"/>
        </w:rPr>
      </w:pPr>
    </w:p>
    <w:p w14:paraId="4A58D840" w14:textId="77777777" w:rsidR="000C07CA" w:rsidRDefault="000C07CA" w:rsidP="00A410C9">
      <w:pPr>
        <w:pStyle w:val="ListParagraph"/>
        <w:ind w:left="1080"/>
        <w:jc w:val="both"/>
        <w:rPr>
          <w:sz w:val="24"/>
          <w:szCs w:val="24"/>
        </w:rPr>
      </w:pPr>
    </w:p>
    <w:p w14:paraId="3E6027A3" w14:textId="77777777" w:rsidR="00617224" w:rsidRDefault="00617224" w:rsidP="00A410C9">
      <w:pPr>
        <w:pStyle w:val="ListParagraph"/>
        <w:ind w:left="1080"/>
        <w:jc w:val="both"/>
        <w:rPr>
          <w:sz w:val="24"/>
          <w:szCs w:val="24"/>
        </w:rPr>
      </w:pPr>
    </w:p>
    <w:p w14:paraId="0C9CC3B1" w14:textId="2133A004" w:rsidR="00CB3198" w:rsidRPr="00CB3198" w:rsidRDefault="00CB3198" w:rsidP="00CB3198">
      <w:pPr>
        <w:pStyle w:val="ListParagraph"/>
        <w:ind w:left="1440"/>
        <w:jc w:val="both"/>
        <w:rPr>
          <w:sz w:val="24"/>
          <w:szCs w:val="24"/>
        </w:rPr>
      </w:pPr>
    </w:p>
    <w:p w14:paraId="08593548" w14:textId="77777777" w:rsidR="000733CF" w:rsidRDefault="000733CF" w:rsidP="004104A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733CF">
        <w:rPr>
          <w:b/>
          <w:sz w:val="24"/>
          <w:szCs w:val="24"/>
        </w:rPr>
        <w:t xml:space="preserve">Conditions – </w:t>
      </w:r>
      <w:r w:rsidR="00B92805">
        <w:rPr>
          <w:b/>
          <w:sz w:val="24"/>
          <w:szCs w:val="24"/>
        </w:rPr>
        <w:t>Stated Areas and Routes</w:t>
      </w:r>
    </w:p>
    <w:p w14:paraId="08593549" w14:textId="77777777" w:rsidR="00B92805" w:rsidRPr="000733CF" w:rsidRDefault="00B92805" w:rsidP="00B92805">
      <w:pPr>
        <w:pStyle w:val="ListParagraph"/>
        <w:jc w:val="both"/>
        <w:rPr>
          <w:b/>
          <w:sz w:val="24"/>
          <w:szCs w:val="24"/>
        </w:rPr>
      </w:pPr>
    </w:p>
    <w:p w14:paraId="0859354A" w14:textId="77777777" w:rsidR="0060014A" w:rsidRDefault="0060014A" w:rsidP="0060014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 eligible combination operating under this Notice may operate access the following network</w:t>
      </w:r>
    </w:p>
    <w:p w14:paraId="0859354B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single articulated vehicles up to 19.0 metres in length:</w:t>
      </w:r>
    </w:p>
    <w:p w14:paraId="0859354C" w14:textId="77777777" w:rsidR="0060014A" w:rsidRDefault="0060014A" w:rsidP="0060014A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Single Articulated Combination Network</w:t>
      </w:r>
    </w:p>
    <w:p w14:paraId="0859354D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B-doubles up to 19.0 metres in length:</w:t>
      </w:r>
    </w:p>
    <w:p w14:paraId="0859354E" w14:textId="77777777" w:rsidR="0060014A" w:rsidRDefault="0060014A" w:rsidP="0060014A">
      <w:pPr>
        <w:ind w:left="1440" w:firstLine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New South Wales Livestock Loading Scheme 19m B-double Network </w:t>
      </w:r>
    </w:p>
    <w:p w14:paraId="0859354F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B-doubles up to 23.0 metres in length:</w:t>
      </w:r>
    </w:p>
    <w:p w14:paraId="08593550" w14:textId="77777777" w:rsidR="0060014A" w:rsidRDefault="0060014A" w:rsidP="0060014A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23m B-double Network</w:t>
      </w:r>
    </w:p>
    <w:p w14:paraId="08593551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B-doubles up to 26.0 metres in length:</w:t>
      </w:r>
    </w:p>
    <w:p w14:paraId="08593552" w14:textId="77777777" w:rsidR="0060014A" w:rsidRDefault="0060014A" w:rsidP="0060014A">
      <w:pPr>
        <w:ind w:left="21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26m B-double Network</w:t>
      </w:r>
    </w:p>
    <w:p w14:paraId="08593553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Type 1 A-double road trains up to 36.5 metres in length:</w:t>
      </w:r>
    </w:p>
    <w:p w14:paraId="08593554" w14:textId="77777777" w:rsidR="0060014A" w:rsidRDefault="0060014A" w:rsidP="0060014A">
      <w:pPr>
        <w:pStyle w:val="ListParagraph"/>
        <w:ind w:left="1440"/>
        <w:jc w:val="both"/>
        <w:rPr>
          <w:sz w:val="24"/>
          <w:szCs w:val="24"/>
        </w:rPr>
      </w:pPr>
    </w:p>
    <w:p w14:paraId="78CCC5EE" w14:textId="7B348BA2" w:rsidR="00617224" w:rsidRDefault="0060014A" w:rsidP="00617224">
      <w:pPr>
        <w:pStyle w:val="ListParagraph"/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Type 1 A-double Network</w:t>
      </w:r>
    </w:p>
    <w:p w14:paraId="2635DB8E" w14:textId="77777777" w:rsidR="00617224" w:rsidRPr="00617224" w:rsidRDefault="00617224" w:rsidP="00617224">
      <w:pPr>
        <w:pStyle w:val="ListParagraph"/>
        <w:ind w:left="2160"/>
        <w:jc w:val="both"/>
        <w:rPr>
          <w:i/>
          <w:iCs/>
          <w:sz w:val="24"/>
          <w:szCs w:val="24"/>
        </w:rPr>
      </w:pPr>
    </w:p>
    <w:p w14:paraId="08593557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B-triple road trains up to 36.5 metres in length:</w:t>
      </w:r>
    </w:p>
    <w:p w14:paraId="08593558" w14:textId="77777777" w:rsidR="0060014A" w:rsidRDefault="0060014A" w:rsidP="0060014A">
      <w:pPr>
        <w:pStyle w:val="ListParagraph"/>
        <w:ind w:left="1440"/>
        <w:jc w:val="both"/>
        <w:rPr>
          <w:sz w:val="24"/>
          <w:szCs w:val="24"/>
        </w:rPr>
      </w:pPr>
    </w:p>
    <w:p w14:paraId="08593559" w14:textId="77777777" w:rsidR="0060014A" w:rsidRDefault="0060014A" w:rsidP="0060014A">
      <w:pPr>
        <w:pStyle w:val="ListParagraph"/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B-triple Network</w:t>
      </w:r>
    </w:p>
    <w:p w14:paraId="0859355A" w14:textId="77777777" w:rsidR="0060014A" w:rsidRPr="0060014A" w:rsidRDefault="0060014A" w:rsidP="0060014A">
      <w:pPr>
        <w:pStyle w:val="ListParagraph"/>
        <w:ind w:left="2160"/>
        <w:jc w:val="both"/>
        <w:rPr>
          <w:i/>
          <w:iCs/>
          <w:sz w:val="24"/>
          <w:szCs w:val="24"/>
        </w:rPr>
      </w:pPr>
    </w:p>
    <w:p w14:paraId="0859355B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AB-triple road trains up to 36.5 metres in length:</w:t>
      </w:r>
    </w:p>
    <w:p w14:paraId="0859355C" w14:textId="77777777" w:rsidR="0060014A" w:rsidRDefault="0060014A" w:rsidP="0060014A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AB-triple Network</w:t>
      </w:r>
    </w:p>
    <w:p w14:paraId="29276B70" w14:textId="77777777" w:rsidR="00CB3198" w:rsidRDefault="00CB3198" w:rsidP="00CB3198">
      <w:pPr>
        <w:pStyle w:val="ListParagraph"/>
        <w:ind w:left="1080"/>
        <w:jc w:val="both"/>
        <w:rPr>
          <w:sz w:val="24"/>
          <w:szCs w:val="24"/>
        </w:rPr>
      </w:pPr>
    </w:p>
    <w:p w14:paraId="0859355D" w14:textId="77777777" w:rsidR="0060014A" w:rsidRDefault="0060014A" w:rsidP="0060014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 eligible vehicle accessing a network set out in subsection (1) must comply with the road and travel conditions set out in that network.</w:t>
      </w:r>
    </w:p>
    <w:p w14:paraId="0859355E" w14:textId="77777777" w:rsidR="0060014A" w:rsidRDefault="0060014A" w:rsidP="0060014A">
      <w:pPr>
        <w:pStyle w:val="ListParagraph"/>
        <w:ind w:left="1080"/>
        <w:jc w:val="both"/>
        <w:rPr>
          <w:i/>
          <w:iCs/>
          <w:sz w:val="24"/>
          <w:szCs w:val="24"/>
        </w:rPr>
      </w:pPr>
    </w:p>
    <w:p w14:paraId="08593561" w14:textId="11620FF1" w:rsidR="006F6FBA" w:rsidRDefault="0060014A" w:rsidP="00CB3198">
      <w:pPr>
        <w:pStyle w:val="ListParagraph"/>
        <w:ind w:left="108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Note: Links and descriptions of these routes may be found in the Scheme Business Rules.</w:t>
      </w:r>
    </w:p>
    <w:p w14:paraId="7A0A58EE" w14:textId="77777777" w:rsidR="00B759B6" w:rsidRDefault="00B759B6" w:rsidP="00CB3198">
      <w:pPr>
        <w:pStyle w:val="ListParagraph"/>
        <w:ind w:left="1080"/>
        <w:jc w:val="both"/>
        <w:rPr>
          <w:i/>
          <w:iCs/>
          <w:sz w:val="24"/>
          <w:szCs w:val="24"/>
        </w:rPr>
      </w:pPr>
    </w:p>
    <w:p w14:paraId="772C6309" w14:textId="77777777" w:rsidR="00105920" w:rsidRDefault="001059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E14930" w14:textId="048752FE" w:rsidR="00947378" w:rsidRPr="0002191F" w:rsidRDefault="008F5908" w:rsidP="00D5167D">
      <w:pPr>
        <w:pStyle w:val="ListParagraph"/>
        <w:numPr>
          <w:ilvl w:val="0"/>
          <w:numId w:val="37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An eligible vehicle </w:t>
      </w:r>
      <w:r w:rsidR="00FB134B">
        <w:rPr>
          <w:sz w:val="24"/>
          <w:szCs w:val="24"/>
        </w:rPr>
        <w:t xml:space="preserve">accessing </w:t>
      </w:r>
      <w:r>
        <w:rPr>
          <w:sz w:val="24"/>
          <w:szCs w:val="24"/>
        </w:rPr>
        <w:t xml:space="preserve">a network set out in subsection (1) may also access the </w:t>
      </w:r>
      <w:r w:rsidR="00B06682" w:rsidRPr="0002191F">
        <w:rPr>
          <w:i/>
          <w:iCs/>
          <w:sz w:val="24"/>
          <w:szCs w:val="24"/>
        </w:rPr>
        <w:t>New South Wales Farm Gate Network</w:t>
      </w:r>
      <w:r w:rsidR="000A57E3">
        <w:rPr>
          <w:i/>
          <w:iCs/>
          <w:sz w:val="24"/>
          <w:szCs w:val="24"/>
        </w:rPr>
        <w:t xml:space="preserve"> </w:t>
      </w:r>
      <w:r w:rsidR="000A57E3" w:rsidRPr="0002191F">
        <w:rPr>
          <w:sz w:val="24"/>
          <w:szCs w:val="24"/>
        </w:rPr>
        <w:t xml:space="preserve">if it </w:t>
      </w:r>
      <w:r w:rsidR="007141D9" w:rsidRPr="0002191F">
        <w:rPr>
          <w:sz w:val="24"/>
          <w:szCs w:val="24"/>
        </w:rPr>
        <w:t xml:space="preserve">is enrolled in </w:t>
      </w:r>
      <w:r w:rsidR="00E14393" w:rsidRPr="0002191F">
        <w:rPr>
          <w:sz w:val="24"/>
          <w:szCs w:val="24"/>
        </w:rPr>
        <w:t xml:space="preserve">the </w:t>
      </w:r>
      <w:r w:rsidR="00E14393" w:rsidRPr="00BA511F">
        <w:rPr>
          <w:i/>
          <w:iCs/>
          <w:sz w:val="24"/>
          <w:szCs w:val="24"/>
        </w:rPr>
        <w:t>Road Infrastructure Management</w:t>
      </w:r>
      <w:r w:rsidR="00E14393" w:rsidRPr="0002191F">
        <w:rPr>
          <w:i/>
          <w:iCs/>
          <w:sz w:val="24"/>
          <w:szCs w:val="24"/>
        </w:rPr>
        <w:t xml:space="preserve"> (RIM)</w:t>
      </w:r>
      <w:r w:rsidR="00BA511F">
        <w:rPr>
          <w:sz w:val="24"/>
          <w:szCs w:val="24"/>
        </w:rPr>
        <w:t xml:space="preserve"> </w:t>
      </w:r>
      <w:r w:rsidR="00E14393">
        <w:rPr>
          <w:sz w:val="24"/>
          <w:szCs w:val="24"/>
        </w:rPr>
        <w:t>a</w:t>
      </w:r>
      <w:r w:rsidR="00E14393" w:rsidRPr="0002191F">
        <w:rPr>
          <w:sz w:val="24"/>
          <w:szCs w:val="24"/>
        </w:rPr>
        <w:t xml:space="preserve">pproved </w:t>
      </w:r>
      <w:r w:rsidR="00E14393">
        <w:rPr>
          <w:sz w:val="24"/>
          <w:szCs w:val="24"/>
        </w:rPr>
        <w:t>i</w:t>
      </w:r>
      <w:r w:rsidR="00E14393" w:rsidRPr="0002191F">
        <w:rPr>
          <w:sz w:val="24"/>
          <w:szCs w:val="24"/>
        </w:rPr>
        <w:t xml:space="preserve">ntelligent </w:t>
      </w:r>
      <w:r w:rsidR="00E14393">
        <w:rPr>
          <w:sz w:val="24"/>
          <w:szCs w:val="24"/>
        </w:rPr>
        <w:t>t</w:t>
      </w:r>
      <w:r w:rsidR="00E14393" w:rsidRPr="0002191F">
        <w:rPr>
          <w:sz w:val="24"/>
          <w:szCs w:val="24"/>
        </w:rPr>
        <w:t xml:space="preserve">ransport </w:t>
      </w:r>
      <w:r w:rsidR="00E14393">
        <w:rPr>
          <w:sz w:val="24"/>
          <w:szCs w:val="24"/>
        </w:rPr>
        <w:t>s</w:t>
      </w:r>
      <w:r w:rsidR="00E14393" w:rsidRPr="0002191F">
        <w:rPr>
          <w:sz w:val="24"/>
          <w:szCs w:val="24"/>
        </w:rPr>
        <w:t>ystem</w:t>
      </w:r>
      <w:r w:rsidR="000A57E3" w:rsidRPr="0002191F">
        <w:rPr>
          <w:sz w:val="24"/>
          <w:szCs w:val="24"/>
        </w:rPr>
        <w:t xml:space="preserve"> </w:t>
      </w:r>
      <w:r w:rsidR="00BA511F">
        <w:rPr>
          <w:sz w:val="24"/>
          <w:szCs w:val="24"/>
        </w:rPr>
        <w:t>pursuant to</w:t>
      </w:r>
      <w:r w:rsidR="000A57E3" w:rsidRPr="0002191F">
        <w:rPr>
          <w:sz w:val="24"/>
          <w:szCs w:val="24"/>
        </w:rPr>
        <w:t xml:space="preserve"> s1</w:t>
      </w:r>
      <w:r w:rsidR="007141D9" w:rsidRPr="0002191F">
        <w:rPr>
          <w:sz w:val="24"/>
          <w:szCs w:val="24"/>
        </w:rPr>
        <w:t>4(3)</w:t>
      </w:r>
      <w:r w:rsidR="000A3E00">
        <w:rPr>
          <w:sz w:val="24"/>
          <w:szCs w:val="24"/>
        </w:rPr>
        <w:t xml:space="preserve"> of this Notice</w:t>
      </w:r>
      <w:r w:rsidR="00D5167D" w:rsidRPr="00E14393">
        <w:rPr>
          <w:sz w:val="24"/>
          <w:szCs w:val="24"/>
        </w:rPr>
        <w:t>.</w:t>
      </w:r>
    </w:p>
    <w:p w14:paraId="24B49409" w14:textId="77777777" w:rsidR="00D5167D" w:rsidRDefault="00D5167D" w:rsidP="0002191F">
      <w:pPr>
        <w:pStyle w:val="ListParagraph"/>
        <w:ind w:left="1080"/>
        <w:jc w:val="both"/>
        <w:rPr>
          <w:i/>
          <w:sz w:val="24"/>
          <w:szCs w:val="24"/>
        </w:rPr>
      </w:pPr>
    </w:p>
    <w:p w14:paraId="348EC5AC" w14:textId="08504FF5" w:rsidR="00947378" w:rsidRPr="0002191F" w:rsidRDefault="00947378" w:rsidP="0002191F">
      <w:pPr>
        <w:pStyle w:val="ListParagraph"/>
        <w:ind w:left="2160" w:hanging="1080"/>
        <w:jc w:val="both"/>
        <w:rPr>
          <w:i/>
          <w:sz w:val="24"/>
          <w:szCs w:val="24"/>
        </w:rPr>
      </w:pPr>
      <w:r w:rsidRPr="005B14F2">
        <w:rPr>
          <w:i/>
          <w:sz w:val="24"/>
          <w:szCs w:val="24"/>
        </w:rPr>
        <w:t>Note</w:t>
      </w:r>
      <w:r w:rsidR="00474C1E">
        <w:rPr>
          <w:i/>
          <w:sz w:val="24"/>
          <w:szCs w:val="24"/>
        </w:rPr>
        <w:t>:</w:t>
      </w:r>
      <w:r w:rsidRPr="005B14F2">
        <w:rPr>
          <w:i/>
          <w:sz w:val="24"/>
          <w:szCs w:val="24"/>
        </w:rPr>
        <w:t>-</w:t>
      </w:r>
      <w:r w:rsidRPr="005B14F2">
        <w:rPr>
          <w:i/>
          <w:sz w:val="24"/>
          <w:szCs w:val="24"/>
        </w:rPr>
        <w:tab/>
        <w:t>The New South Wales Farm Gate Network is published on the New South Wales Farm Gate Network webpage, published on the TfNSW website. This network includes networks in participating</w:t>
      </w:r>
      <w:r w:rsidR="001923CE">
        <w:rPr>
          <w:i/>
          <w:sz w:val="24"/>
          <w:szCs w:val="24"/>
        </w:rPr>
        <w:t xml:space="preserve"> Road Manager areas, including </w:t>
      </w:r>
      <w:r w:rsidRPr="005B14F2">
        <w:rPr>
          <w:i/>
          <w:sz w:val="24"/>
          <w:szCs w:val="24"/>
        </w:rPr>
        <w:t>the  travel  and  road conditions that apply on those networks.</w:t>
      </w:r>
    </w:p>
    <w:p w14:paraId="2E652B24" w14:textId="49765D16" w:rsidR="00F5648E" w:rsidRPr="001B264B" w:rsidRDefault="00D5167D" w:rsidP="0002191F">
      <w:pPr>
        <w:ind w:left="2160" w:hanging="1080"/>
        <w:jc w:val="both"/>
        <w:rPr>
          <w:iCs/>
        </w:rPr>
      </w:pPr>
      <w:r w:rsidRPr="0002191F">
        <w:rPr>
          <w:i/>
          <w:sz w:val="24"/>
          <w:szCs w:val="24"/>
        </w:rPr>
        <w:t>Note</w:t>
      </w:r>
      <w:r w:rsidR="00474C1E">
        <w:rPr>
          <w:i/>
          <w:sz w:val="24"/>
          <w:szCs w:val="24"/>
        </w:rPr>
        <w:t>:</w:t>
      </w:r>
      <w:r w:rsidRPr="0002191F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ab/>
      </w:r>
      <w:r w:rsidR="001446D8">
        <w:rPr>
          <w:i/>
          <w:sz w:val="24"/>
          <w:szCs w:val="24"/>
        </w:rPr>
        <w:t>Access to the networks under this section may require that</w:t>
      </w:r>
      <w:r w:rsidR="00880CC1">
        <w:rPr>
          <w:i/>
          <w:sz w:val="24"/>
          <w:szCs w:val="24"/>
        </w:rPr>
        <w:t xml:space="preserve"> the eligible</w:t>
      </w:r>
      <w:r w:rsidR="001446D8">
        <w:rPr>
          <w:i/>
          <w:sz w:val="24"/>
          <w:szCs w:val="24"/>
        </w:rPr>
        <w:t xml:space="preserve"> vehicle </w:t>
      </w:r>
      <w:r w:rsidR="00526BEF">
        <w:rPr>
          <w:i/>
          <w:sz w:val="24"/>
          <w:szCs w:val="24"/>
        </w:rPr>
        <w:t xml:space="preserve">be enrolled in and comply with an approved intelligent transport system pursuant to s14 of this Notice. </w:t>
      </w:r>
    </w:p>
    <w:p w14:paraId="08593562" w14:textId="77777777" w:rsidR="00B83F4B" w:rsidRDefault="00B83F4B" w:rsidP="00B83F4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83F4B">
        <w:rPr>
          <w:b/>
          <w:sz w:val="24"/>
          <w:szCs w:val="24"/>
        </w:rPr>
        <w:t xml:space="preserve">Conditions - Intelligent Access </w:t>
      </w:r>
      <w:r w:rsidR="00E718CE">
        <w:rPr>
          <w:b/>
          <w:sz w:val="24"/>
          <w:szCs w:val="24"/>
        </w:rPr>
        <w:t>Conditions</w:t>
      </w:r>
    </w:p>
    <w:p w14:paraId="08593563" w14:textId="77777777" w:rsidR="00B83F4B" w:rsidRPr="00B83F4B" w:rsidRDefault="00B83F4B" w:rsidP="00B83F4B">
      <w:pPr>
        <w:pStyle w:val="ListParagraph"/>
        <w:jc w:val="both"/>
        <w:rPr>
          <w:b/>
          <w:sz w:val="24"/>
          <w:szCs w:val="24"/>
        </w:rPr>
      </w:pPr>
    </w:p>
    <w:p w14:paraId="08593564" w14:textId="615B6778" w:rsidR="00E718CE" w:rsidRDefault="00B83F4B" w:rsidP="0002191F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 w:rsidRPr="00B83F4B">
        <w:rPr>
          <w:sz w:val="24"/>
          <w:szCs w:val="24"/>
        </w:rPr>
        <w:t xml:space="preserve">B-triples and AB-triples may only operate under this Notice if they are enrolled in </w:t>
      </w:r>
      <w:r w:rsidR="00E718CE" w:rsidRPr="00E718CE">
        <w:rPr>
          <w:sz w:val="24"/>
          <w:szCs w:val="24"/>
        </w:rPr>
        <w:t xml:space="preserve">one of the following </w:t>
      </w:r>
      <w:r w:rsidR="0031671E">
        <w:rPr>
          <w:sz w:val="24"/>
          <w:szCs w:val="24"/>
        </w:rPr>
        <w:t>approved intelligent access system pursuant to Chapter 7 of the HVNL:</w:t>
      </w:r>
    </w:p>
    <w:p w14:paraId="08593565" w14:textId="77777777" w:rsidR="00E718CE" w:rsidRPr="00E718CE" w:rsidRDefault="00E718CE" w:rsidP="00E718CE">
      <w:pPr>
        <w:pStyle w:val="ListParagraph"/>
        <w:ind w:left="1080"/>
        <w:jc w:val="both"/>
        <w:rPr>
          <w:sz w:val="24"/>
          <w:szCs w:val="24"/>
        </w:rPr>
      </w:pPr>
    </w:p>
    <w:p w14:paraId="08593566" w14:textId="77777777" w:rsidR="00E718CE" w:rsidRDefault="00E718CE" w:rsidP="00E718CE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 w:rsidRPr="00E718CE">
        <w:rPr>
          <w:sz w:val="24"/>
          <w:szCs w:val="24"/>
        </w:rPr>
        <w:t>The Telematics Monitoring Application (TMA) with Transport Certification Australia (TCA); or</w:t>
      </w:r>
    </w:p>
    <w:p w14:paraId="08593567" w14:textId="77777777" w:rsidR="00E718CE" w:rsidRPr="00E718CE" w:rsidRDefault="00E718CE" w:rsidP="00E718CE">
      <w:pPr>
        <w:pStyle w:val="ListParagraph"/>
        <w:ind w:left="1440"/>
        <w:jc w:val="both"/>
        <w:rPr>
          <w:sz w:val="24"/>
          <w:szCs w:val="24"/>
        </w:rPr>
      </w:pPr>
    </w:p>
    <w:p w14:paraId="08593568" w14:textId="77777777" w:rsidR="00E718CE" w:rsidRPr="00E718CE" w:rsidRDefault="00E718CE" w:rsidP="00E718CE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 w:rsidRPr="00E718CE">
        <w:rPr>
          <w:sz w:val="24"/>
          <w:szCs w:val="24"/>
        </w:rPr>
        <w:t>The Intell</w:t>
      </w:r>
      <w:r w:rsidR="001D629D">
        <w:rPr>
          <w:sz w:val="24"/>
          <w:szCs w:val="24"/>
        </w:rPr>
        <w:t xml:space="preserve">igent Access Program (IAP) with </w:t>
      </w:r>
      <w:r w:rsidR="00FF642D">
        <w:rPr>
          <w:sz w:val="24"/>
          <w:szCs w:val="24"/>
        </w:rPr>
        <w:t>TfNSW.</w:t>
      </w:r>
    </w:p>
    <w:p w14:paraId="08593569" w14:textId="77777777" w:rsidR="00B83F4B" w:rsidRDefault="00B83F4B" w:rsidP="00E718CE">
      <w:pPr>
        <w:pStyle w:val="ListParagraph"/>
        <w:ind w:left="1080"/>
        <w:jc w:val="both"/>
        <w:rPr>
          <w:sz w:val="24"/>
          <w:szCs w:val="24"/>
        </w:rPr>
      </w:pPr>
    </w:p>
    <w:p w14:paraId="0859356A" w14:textId="5AFC46CA" w:rsidR="00E718CE" w:rsidRPr="0002191F" w:rsidRDefault="00E718CE" w:rsidP="0002191F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 w:rsidRPr="00B83F4B">
        <w:rPr>
          <w:sz w:val="24"/>
          <w:szCs w:val="24"/>
        </w:rPr>
        <w:t>B-triples and AB-triples</w:t>
      </w:r>
      <w:r>
        <w:rPr>
          <w:sz w:val="24"/>
          <w:szCs w:val="24"/>
        </w:rPr>
        <w:t xml:space="preserve"> operating under (1)(b) must comply with all of the conditions relating to IAP in s10 of the </w:t>
      </w:r>
      <w:r w:rsidRPr="00E718CE">
        <w:rPr>
          <w:i/>
          <w:sz w:val="24"/>
          <w:szCs w:val="24"/>
        </w:rPr>
        <w:t>New South Wales Higher Mass Limits Declaration 2020.</w:t>
      </w:r>
    </w:p>
    <w:p w14:paraId="1B348DC0" w14:textId="77777777" w:rsidR="00ED5AC4" w:rsidRPr="0002191F" w:rsidRDefault="00ED5AC4" w:rsidP="0002191F">
      <w:pPr>
        <w:pStyle w:val="ListParagraph"/>
        <w:ind w:left="1080"/>
        <w:jc w:val="both"/>
        <w:rPr>
          <w:sz w:val="24"/>
          <w:szCs w:val="24"/>
        </w:rPr>
      </w:pPr>
    </w:p>
    <w:p w14:paraId="4C0C865D" w14:textId="169CAD6D" w:rsidR="009C04B3" w:rsidRPr="009C04B3" w:rsidRDefault="009C04B3" w:rsidP="0002191F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 w:rsidRPr="009C04B3">
        <w:rPr>
          <w:sz w:val="24"/>
          <w:szCs w:val="24"/>
        </w:rPr>
        <w:t>A</w:t>
      </w:r>
      <w:r w:rsidR="00981C0A">
        <w:rPr>
          <w:sz w:val="24"/>
          <w:szCs w:val="24"/>
        </w:rPr>
        <w:t>n eligible</w:t>
      </w:r>
      <w:r w:rsidRPr="009C04B3">
        <w:rPr>
          <w:sz w:val="24"/>
          <w:szCs w:val="24"/>
        </w:rPr>
        <w:t xml:space="preserve"> vehicle operating</w:t>
      </w:r>
      <w:r w:rsidR="00AA01F4">
        <w:rPr>
          <w:sz w:val="24"/>
          <w:szCs w:val="24"/>
        </w:rPr>
        <w:t xml:space="preserve"> on the </w:t>
      </w:r>
      <w:r w:rsidR="00AA01F4" w:rsidRPr="0002191F">
        <w:rPr>
          <w:i/>
          <w:iCs/>
          <w:sz w:val="24"/>
          <w:szCs w:val="24"/>
        </w:rPr>
        <w:t>New South Wales Farm Gate Network</w:t>
      </w:r>
      <w:r w:rsidR="00FC355A">
        <w:rPr>
          <w:sz w:val="24"/>
          <w:szCs w:val="24"/>
        </w:rPr>
        <w:t xml:space="preserve"> must be</w:t>
      </w:r>
      <w:r w:rsidR="001923CE">
        <w:rPr>
          <w:sz w:val="24"/>
          <w:szCs w:val="24"/>
        </w:rPr>
        <w:t xml:space="preserve"> enrolled </w:t>
      </w:r>
      <w:r w:rsidRPr="009C04B3">
        <w:rPr>
          <w:sz w:val="24"/>
          <w:szCs w:val="24"/>
        </w:rPr>
        <w:t>in</w:t>
      </w:r>
      <w:r w:rsidR="00C276CE">
        <w:rPr>
          <w:sz w:val="24"/>
          <w:szCs w:val="24"/>
        </w:rPr>
        <w:t xml:space="preserve"> </w:t>
      </w:r>
      <w:r w:rsidR="001923CE">
        <w:rPr>
          <w:sz w:val="24"/>
          <w:szCs w:val="24"/>
        </w:rPr>
        <w:t xml:space="preserve">the </w:t>
      </w:r>
      <w:r w:rsidRPr="009C04B3">
        <w:rPr>
          <w:sz w:val="24"/>
          <w:szCs w:val="24"/>
        </w:rPr>
        <w:t>Road Infrastructure Management</w:t>
      </w:r>
      <w:r w:rsidR="001D1451">
        <w:rPr>
          <w:sz w:val="24"/>
          <w:szCs w:val="24"/>
        </w:rPr>
        <w:t xml:space="preserve"> </w:t>
      </w:r>
      <w:r w:rsidRPr="009C04B3">
        <w:rPr>
          <w:sz w:val="24"/>
          <w:szCs w:val="24"/>
        </w:rPr>
        <w:t>(RIM)</w:t>
      </w:r>
      <w:r w:rsidR="006756B3">
        <w:rPr>
          <w:sz w:val="24"/>
          <w:szCs w:val="24"/>
        </w:rPr>
        <w:t xml:space="preserve"> </w:t>
      </w:r>
      <w:r w:rsidR="00470A32">
        <w:rPr>
          <w:sz w:val="24"/>
          <w:szCs w:val="24"/>
        </w:rPr>
        <w:t>approved</w:t>
      </w:r>
      <w:r w:rsidR="001D1451">
        <w:rPr>
          <w:sz w:val="24"/>
          <w:szCs w:val="24"/>
        </w:rPr>
        <w:t xml:space="preserve"> intelligent access system </w:t>
      </w:r>
      <w:r w:rsidR="004B4E6C">
        <w:rPr>
          <w:sz w:val="24"/>
          <w:szCs w:val="24"/>
        </w:rPr>
        <w:t>pursuant to Chapter 7 of the HVNL</w:t>
      </w:r>
      <w:r w:rsidRPr="009C04B3">
        <w:rPr>
          <w:sz w:val="24"/>
          <w:szCs w:val="24"/>
        </w:rPr>
        <w:t>.</w:t>
      </w:r>
    </w:p>
    <w:p w14:paraId="0D0ACFBF" w14:textId="4302D419" w:rsidR="0033258E" w:rsidRDefault="0033258E">
      <w:pPr>
        <w:pStyle w:val="ListParagraph"/>
        <w:ind w:left="2880" w:hanging="1440"/>
        <w:jc w:val="both"/>
        <w:rPr>
          <w:i/>
          <w:sz w:val="24"/>
          <w:szCs w:val="24"/>
        </w:rPr>
      </w:pPr>
    </w:p>
    <w:p w14:paraId="5E8F98B9" w14:textId="1DEFA99A" w:rsidR="0033258E" w:rsidRPr="0002191F" w:rsidRDefault="0095236E" w:rsidP="0002191F">
      <w:pPr>
        <w:pStyle w:val="ListParagraph"/>
        <w:ind w:left="2160" w:hanging="1080"/>
        <w:jc w:val="both"/>
        <w:rPr>
          <w:i/>
          <w:sz w:val="24"/>
          <w:szCs w:val="24"/>
        </w:rPr>
      </w:pPr>
      <w:r w:rsidRPr="0002191F">
        <w:rPr>
          <w:i/>
          <w:sz w:val="24"/>
          <w:szCs w:val="24"/>
        </w:rPr>
        <w:t xml:space="preserve">Note:- </w:t>
      </w:r>
      <w:r>
        <w:rPr>
          <w:i/>
          <w:sz w:val="24"/>
          <w:szCs w:val="24"/>
        </w:rPr>
        <w:tab/>
      </w:r>
      <w:r w:rsidR="00FE1A46" w:rsidRPr="0002191F">
        <w:rPr>
          <w:i/>
          <w:sz w:val="24"/>
          <w:szCs w:val="24"/>
        </w:rPr>
        <w:t xml:space="preserve">Approved intelligent transport systems are developed by </w:t>
      </w:r>
      <w:r w:rsidR="000E389F" w:rsidRPr="0002191F">
        <w:rPr>
          <w:i/>
          <w:sz w:val="24"/>
          <w:szCs w:val="24"/>
        </w:rPr>
        <w:t>Transpor</w:t>
      </w:r>
      <w:r w:rsidR="00105920" w:rsidRPr="0002191F">
        <w:rPr>
          <w:i/>
          <w:sz w:val="24"/>
          <w:szCs w:val="24"/>
        </w:rPr>
        <w:t xml:space="preserve">t </w:t>
      </w:r>
      <w:r w:rsidR="000E389F" w:rsidRPr="0002191F">
        <w:rPr>
          <w:i/>
          <w:sz w:val="24"/>
          <w:szCs w:val="24"/>
        </w:rPr>
        <w:t>Certification Australia (TCA) under the National Telematics Framework. Information on the Framework and approved intelligent transport systems may be found on the TCA website</w:t>
      </w:r>
      <w:r w:rsidR="00336457" w:rsidRPr="0002191F">
        <w:rPr>
          <w:i/>
          <w:sz w:val="24"/>
          <w:szCs w:val="24"/>
        </w:rPr>
        <w:t>.</w:t>
      </w:r>
    </w:p>
    <w:p w14:paraId="0859356B" w14:textId="77777777" w:rsidR="00FF642D" w:rsidRDefault="00FF642D" w:rsidP="00FF642D">
      <w:pPr>
        <w:pStyle w:val="ListParagraph"/>
        <w:ind w:left="1080"/>
        <w:jc w:val="both"/>
        <w:rPr>
          <w:sz w:val="24"/>
          <w:szCs w:val="24"/>
        </w:rPr>
      </w:pPr>
    </w:p>
    <w:p w14:paraId="2EC132A9" w14:textId="77777777" w:rsidR="00F55862" w:rsidRDefault="00F5586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859356C" w14:textId="0CF85AD4" w:rsidR="00BC2EBF" w:rsidRDefault="00BC2EBF" w:rsidP="00BC2EB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830F3">
        <w:rPr>
          <w:b/>
          <w:sz w:val="24"/>
          <w:szCs w:val="24"/>
        </w:rPr>
        <w:lastRenderedPageBreak/>
        <w:t xml:space="preserve">Conditions- </w:t>
      </w:r>
      <w:r>
        <w:rPr>
          <w:b/>
          <w:sz w:val="24"/>
          <w:szCs w:val="24"/>
        </w:rPr>
        <w:t>New South Wales</w:t>
      </w:r>
      <w:r w:rsidRPr="006830F3">
        <w:rPr>
          <w:b/>
          <w:sz w:val="24"/>
          <w:szCs w:val="24"/>
        </w:rPr>
        <w:t xml:space="preserve"> Livestock Loading Scheme</w:t>
      </w:r>
    </w:p>
    <w:p w14:paraId="0859356D" w14:textId="77777777" w:rsidR="00BC2EBF" w:rsidRPr="006830F3" w:rsidRDefault="00BC2EBF" w:rsidP="00BC2EBF">
      <w:pPr>
        <w:pStyle w:val="ListParagraph"/>
        <w:jc w:val="both"/>
        <w:rPr>
          <w:b/>
          <w:sz w:val="24"/>
          <w:szCs w:val="24"/>
        </w:rPr>
      </w:pPr>
    </w:p>
    <w:p w14:paraId="0859356E" w14:textId="77777777" w:rsidR="00BC2EBF" w:rsidRDefault="00BC2EBF" w:rsidP="00A94E73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 eligible combination operating under this notice must comply with all of the requirements of the New South Wales Livestock Loading Scheme, including but not limited to:</w:t>
      </w:r>
    </w:p>
    <w:p w14:paraId="0859356F" w14:textId="77777777" w:rsidR="00BC2EBF" w:rsidRDefault="00BC2EBF" w:rsidP="00BC2EBF">
      <w:pPr>
        <w:pStyle w:val="ListParagraph"/>
        <w:ind w:left="1080"/>
        <w:jc w:val="both"/>
        <w:rPr>
          <w:sz w:val="24"/>
          <w:szCs w:val="24"/>
        </w:rPr>
      </w:pPr>
    </w:p>
    <w:p w14:paraId="08593570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livestock; or</w:t>
      </w:r>
    </w:p>
    <w:p w14:paraId="08593571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Deck requirements; or</w:t>
      </w:r>
    </w:p>
    <w:p w14:paraId="08593572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Driver accreditation; or</w:t>
      </w:r>
    </w:p>
    <w:p w14:paraId="08593573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Registration; or</w:t>
      </w:r>
    </w:p>
    <w:p w14:paraId="08593574" w14:textId="77777777" w:rsidR="00E40272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Interstate mutual recognition requirements</w:t>
      </w:r>
      <w:r w:rsidR="00E40272">
        <w:rPr>
          <w:sz w:val="24"/>
          <w:szCs w:val="24"/>
        </w:rPr>
        <w:t>; or</w:t>
      </w:r>
    </w:p>
    <w:p w14:paraId="08593575" w14:textId="77777777" w:rsidR="00BC2EBF" w:rsidRDefault="00A94E73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conditions relating to routes as per the networks specified in s14</w:t>
      </w:r>
      <w:r w:rsidR="00BC2EBF">
        <w:rPr>
          <w:sz w:val="24"/>
          <w:szCs w:val="24"/>
        </w:rPr>
        <w:t>.</w:t>
      </w:r>
    </w:p>
    <w:p w14:paraId="180C2FEF" w14:textId="77777777" w:rsidR="00CB3198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1F804310" w14:textId="77777777" w:rsidR="00CB3198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41BA5183" w14:textId="77777777" w:rsidR="008B7655" w:rsidRDefault="008B7655" w:rsidP="008B7655">
      <w:pPr>
        <w:ind w:left="720"/>
        <w:contextualSpacing/>
        <w:jc w:val="both"/>
        <w:rPr>
          <w:color w:val="000000"/>
        </w:rPr>
      </w:pPr>
      <w:r>
        <w:rPr>
          <w:color w:val="000000"/>
        </w:rPr>
        <w:t>Peter Caprioli</w:t>
      </w:r>
    </w:p>
    <w:p w14:paraId="23D5E5A9" w14:textId="77777777" w:rsidR="008B7655" w:rsidRPr="0080066A" w:rsidRDefault="008B7655" w:rsidP="008B7655">
      <w:pPr>
        <w:ind w:left="720"/>
        <w:contextualSpacing/>
        <w:jc w:val="both"/>
        <w:rPr>
          <w:rFonts w:cs="Arial"/>
          <w:i/>
          <w:iCs/>
          <w:sz w:val="24"/>
        </w:rPr>
      </w:pPr>
      <w:r w:rsidRPr="0080066A">
        <w:rPr>
          <w:rFonts w:cs="Arial"/>
          <w:i/>
          <w:iCs/>
          <w:sz w:val="24"/>
        </w:rPr>
        <w:t>Executive Director (Freight and Supply Chain Productivity)</w:t>
      </w:r>
    </w:p>
    <w:p w14:paraId="5FD83A6B" w14:textId="77777777" w:rsidR="008B7655" w:rsidRPr="00D10FF4" w:rsidRDefault="008B7655" w:rsidP="008B7655">
      <w:pPr>
        <w:ind w:left="720"/>
        <w:contextualSpacing/>
        <w:jc w:val="both"/>
        <w:rPr>
          <w:b/>
          <w:color w:val="000000"/>
        </w:rPr>
      </w:pPr>
      <w:r w:rsidRPr="004C02EF">
        <w:rPr>
          <w:b/>
          <w:color w:val="000000"/>
        </w:rPr>
        <w:t>National Heavy Vehicle Regulator</w:t>
      </w:r>
    </w:p>
    <w:p w14:paraId="08593576" w14:textId="77777777" w:rsidR="00D93A4F" w:rsidRDefault="00D93A4F" w:rsidP="00B83F4B">
      <w:pPr>
        <w:jc w:val="both"/>
        <w:rPr>
          <w:sz w:val="24"/>
          <w:szCs w:val="24"/>
        </w:rPr>
      </w:pPr>
    </w:p>
    <w:p w14:paraId="6D81C8A0" w14:textId="77777777" w:rsidR="00CB3198" w:rsidRDefault="00CB3198" w:rsidP="00B83F4B">
      <w:pPr>
        <w:jc w:val="both"/>
        <w:rPr>
          <w:sz w:val="24"/>
          <w:szCs w:val="24"/>
        </w:rPr>
      </w:pPr>
    </w:p>
    <w:p w14:paraId="08593577" w14:textId="77777777" w:rsidR="00D93A4F" w:rsidRPr="00B83F4B" w:rsidRDefault="00D93A4F" w:rsidP="00B83F4B">
      <w:pPr>
        <w:jc w:val="both"/>
        <w:rPr>
          <w:sz w:val="24"/>
          <w:szCs w:val="24"/>
        </w:rPr>
      </w:pPr>
    </w:p>
    <w:sectPr w:rsidR="00D93A4F" w:rsidRPr="00B83F4B" w:rsidSect="00EB4B07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0C4DD" w14:textId="77777777" w:rsidR="00253751" w:rsidRDefault="00253751" w:rsidP="00A037BF">
      <w:pPr>
        <w:spacing w:after="0" w:line="240" w:lineRule="auto"/>
      </w:pPr>
      <w:r>
        <w:separator/>
      </w:r>
    </w:p>
    <w:p w14:paraId="450D412E" w14:textId="77777777" w:rsidR="00253751" w:rsidRDefault="00253751"/>
  </w:endnote>
  <w:endnote w:type="continuationSeparator" w:id="0">
    <w:p w14:paraId="5DEA0D46" w14:textId="77777777" w:rsidR="00253751" w:rsidRDefault="00253751" w:rsidP="00A037BF">
      <w:pPr>
        <w:spacing w:after="0" w:line="240" w:lineRule="auto"/>
      </w:pPr>
      <w:r>
        <w:continuationSeparator/>
      </w:r>
    </w:p>
    <w:p w14:paraId="770C2133" w14:textId="77777777" w:rsidR="00253751" w:rsidRDefault="00253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9833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93580" w14:textId="77777777" w:rsidR="00410DDB" w:rsidRDefault="00410DDB" w:rsidP="00410DDB">
            <w:pPr>
              <w:pStyle w:val="Footer"/>
              <w:jc w:val="right"/>
            </w:pPr>
          </w:p>
          <w:p w14:paraId="08593581" w14:textId="46B48887" w:rsidR="00EE4CDA" w:rsidRDefault="00EE4CDA" w:rsidP="00410DDB">
            <w:pPr>
              <w:pStyle w:val="Footer"/>
              <w:jc w:val="right"/>
            </w:pPr>
            <w:r w:rsidRPr="00EE4CDA">
              <w:t>New South Wales Class 3 Livestock Transportation Exemption Notice 20</w:t>
            </w:r>
            <w:r w:rsidR="00E718CE">
              <w:t>2</w:t>
            </w:r>
            <w:r w:rsidR="00DB34D6">
              <w:t>1</w:t>
            </w:r>
            <w:r w:rsidRPr="00EE4CDA">
              <w:t xml:space="preserve"> (No.</w:t>
            </w:r>
            <w:r w:rsidR="00DB34D6">
              <w:t>1</w:t>
            </w:r>
            <w:r w:rsidRPr="00EE4CDA">
              <w:t>)</w:t>
            </w:r>
          </w:p>
          <w:p w14:paraId="08593582" w14:textId="77777777" w:rsidR="002A0531" w:rsidRDefault="00410DDB" w:rsidP="00EB4B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3C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3C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040285"/>
      <w:docPartObj>
        <w:docPartGallery w:val="Page Numbers (Top of Page)"/>
        <w:docPartUnique/>
      </w:docPartObj>
    </w:sdtPr>
    <w:sdtEndPr/>
    <w:sdtContent>
      <w:p w14:paraId="08593583" w14:textId="77777777" w:rsidR="00EB4B07" w:rsidRDefault="00EB4B07" w:rsidP="00EB4B07">
        <w:pPr>
          <w:pStyle w:val="Footer"/>
          <w:jc w:val="right"/>
        </w:pPr>
      </w:p>
      <w:p w14:paraId="08593584" w14:textId="054F47BD" w:rsidR="00EB4B07" w:rsidRDefault="00EB4B07" w:rsidP="00EB4B07">
        <w:pPr>
          <w:pStyle w:val="Footer"/>
          <w:jc w:val="right"/>
        </w:pPr>
        <w:r w:rsidRPr="00EE4CDA">
          <w:t>New South Wales Class 3 Livestock Transportation Exemption Notice 20</w:t>
        </w:r>
        <w:r w:rsidR="00E46F40">
          <w:t>2</w:t>
        </w:r>
        <w:r w:rsidR="00DB34D6">
          <w:t>1</w:t>
        </w:r>
        <w:r w:rsidRPr="00EE4CDA">
          <w:t xml:space="preserve"> </w:t>
        </w:r>
        <w:r w:rsidR="002E3101">
          <w:t>(No.1)</w:t>
        </w:r>
      </w:p>
      <w:p w14:paraId="08593585" w14:textId="77777777" w:rsidR="00EB4B07" w:rsidRDefault="00EB4B07" w:rsidP="00EB4B07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923C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923CE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9329" w14:textId="77777777" w:rsidR="00253751" w:rsidRDefault="00253751" w:rsidP="00A037BF">
      <w:pPr>
        <w:spacing w:after="0" w:line="240" w:lineRule="auto"/>
      </w:pPr>
      <w:r>
        <w:separator/>
      </w:r>
    </w:p>
    <w:p w14:paraId="326679F7" w14:textId="77777777" w:rsidR="00253751" w:rsidRDefault="00253751"/>
  </w:footnote>
  <w:footnote w:type="continuationSeparator" w:id="0">
    <w:p w14:paraId="62DDE7F6" w14:textId="77777777" w:rsidR="00253751" w:rsidRDefault="00253751" w:rsidP="00A037BF">
      <w:pPr>
        <w:spacing w:after="0" w:line="240" w:lineRule="auto"/>
      </w:pPr>
      <w:r>
        <w:continuationSeparator/>
      </w:r>
    </w:p>
    <w:p w14:paraId="7618AF04" w14:textId="77777777" w:rsidR="00253751" w:rsidRDefault="002537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B7655" w:rsidRPr="00CE796A" w14:paraId="11889AB4" w14:textId="77777777" w:rsidTr="0041071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95547A0" w14:textId="77777777" w:rsidR="008B7655" w:rsidRPr="00CE796A" w:rsidRDefault="008B7655" w:rsidP="008B7655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7240867" wp14:editId="3C6358D2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7A9A3D6" w14:textId="77777777" w:rsidR="008B7655" w:rsidRPr="00CE796A" w:rsidRDefault="008B7655" w:rsidP="008B7655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1FF12FF" w14:textId="77777777" w:rsidR="008B7655" w:rsidRPr="00CE796A" w:rsidRDefault="008B7655" w:rsidP="008B7655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B7655" w:rsidRPr="00840A06" w14:paraId="7AFA8097" w14:textId="77777777" w:rsidTr="0041071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0A3AB9B" w14:textId="77777777" w:rsidR="008B7655" w:rsidRPr="00CE796A" w:rsidRDefault="008B7655" w:rsidP="008B7655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1FB2655" w14:textId="77777777" w:rsidR="008B7655" w:rsidRPr="00840A06" w:rsidRDefault="008B7655" w:rsidP="008B7655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114258CC" w14:textId="77777777" w:rsidR="008B7655" w:rsidRDefault="008B76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02C"/>
    <w:multiLevelType w:val="hybridMultilevel"/>
    <w:tmpl w:val="71ECCE9E"/>
    <w:lvl w:ilvl="0" w:tplc="1B7E193E">
      <w:start w:val="1"/>
      <w:numFmt w:val="lowerRoman"/>
      <w:lvlText w:val="(%1)"/>
      <w:lvlJc w:val="left"/>
      <w:pPr>
        <w:ind w:left="2160" w:hanging="360"/>
      </w:pPr>
      <w:rPr>
        <w:rFonts w:ascii="Calibri" w:eastAsia="Times New Roman" w:hAnsi="Calibr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481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45C7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14BBB"/>
    <w:multiLevelType w:val="hybridMultilevel"/>
    <w:tmpl w:val="A68269B2"/>
    <w:lvl w:ilvl="0" w:tplc="41B8A9AC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4F30FD"/>
    <w:multiLevelType w:val="hybridMultilevel"/>
    <w:tmpl w:val="EC3EB60C"/>
    <w:lvl w:ilvl="0" w:tplc="5FE08F90">
      <w:start w:val="1"/>
      <w:numFmt w:val="lowerLetter"/>
      <w:lvlText w:val="%1)"/>
      <w:lvlJc w:val="left"/>
      <w:pPr>
        <w:ind w:left="2520" w:hanging="36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>
      <w:start w:val="1"/>
      <w:numFmt w:val="lowerLetter"/>
      <w:lvlText w:val="%5."/>
      <w:lvlJc w:val="left"/>
      <w:pPr>
        <w:ind w:left="5400" w:hanging="360"/>
      </w:pPr>
    </w:lvl>
    <w:lvl w:ilvl="5" w:tplc="0C09001B">
      <w:start w:val="1"/>
      <w:numFmt w:val="lowerRoman"/>
      <w:lvlText w:val="%6."/>
      <w:lvlJc w:val="right"/>
      <w:pPr>
        <w:ind w:left="6120" w:hanging="180"/>
      </w:pPr>
    </w:lvl>
    <w:lvl w:ilvl="6" w:tplc="0C09000F">
      <w:start w:val="1"/>
      <w:numFmt w:val="decimal"/>
      <w:lvlText w:val="%7."/>
      <w:lvlJc w:val="left"/>
      <w:pPr>
        <w:ind w:left="6840" w:hanging="360"/>
      </w:pPr>
    </w:lvl>
    <w:lvl w:ilvl="7" w:tplc="0C090019">
      <w:start w:val="1"/>
      <w:numFmt w:val="lowerLetter"/>
      <w:lvlText w:val="%8."/>
      <w:lvlJc w:val="left"/>
      <w:pPr>
        <w:ind w:left="7560" w:hanging="360"/>
      </w:pPr>
    </w:lvl>
    <w:lvl w:ilvl="8" w:tplc="0C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0B03DC"/>
    <w:multiLevelType w:val="hybridMultilevel"/>
    <w:tmpl w:val="EC3EB60C"/>
    <w:lvl w:ilvl="0" w:tplc="5FE08F90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412BF5"/>
    <w:multiLevelType w:val="hybridMultilevel"/>
    <w:tmpl w:val="12580D68"/>
    <w:lvl w:ilvl="0" w:tplc="CE46CAB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71DAF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715AF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1B3C5C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6F3FA8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45C8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45427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80C3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EC4FE9"/>
    <w:multiLevelType w:val="hybridMultilevel"/>
    <w:tmpl w:val="C1DA6CCC"/>
    <w:lvl w:ilvl="0" w:tplc="531A97B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iCs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71DD1"/>
    <w:multiLevelType w:val="hybridMultilevel"/>
    <w:tmpl w:val="A732DAF0"/>
    <w:lvl w:ilvl="0" w:tplc="80D26156">
      <w:start w:val="1"/>
      <w:numFmt w:val="decimal"/>
      <w:pStyle w:val="Sectionheading-QldSI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6BFE4604">
      <w:start w:val="1"/>
      <w:numFmt w:val="decimal"/>
      <w:pStyle w:val="Bodylevel11subheading-QldSI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55D2BF82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BBBED9BE">
      <w:start w:val="1"/>
      <w:numFmt w:val="lowerRoman"/>
      <w:pStyle w:val="Bodylevel3isubheading-QldSI"/>
      <w:lvlText w:val="(%4)"/>
      <w:lvlJc w:val="left"/>
      <w:pPr>
        <w:ind w:left="2434" w:hanging="50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16" w15:restartNumberingAfterBreak="0">
    <w:nsid w:val="30B54B49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10138B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2B68F4"/>
    <w:multiLevelType w:val="hybridMultilevel"/>
    <w:tmpl w:val="677EA99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B7E193E">
      <w:start w:val="1"/>
      <w:numFmt w:val="lowerRoman"/>
      <w:lvlText w:val="(%2)"/>
      <w:lvlJc w:val="left"/>
      <w:pPr>
        <w:ind w:left="2160" w:hanging="360"/>
      </w:pPr>
      <w:rPr>
        <w:rFonts w:ascii="Calibri" w:eastAsia="Times New Roman" w:hAnsi="Calibri"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5634A5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F6C96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5C35A9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2F73BE"/>
    <w:multiLevelType w:val="hybridMultilevel"/>
    <w:tmpl w:val="EC3EB60C"/>
    <w:lvl w:ilvl="0" w:tplc="5FE08F90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327419"/>
    <w:multiLevelType w:val="hybridMultilevel"/>
    <w:tmpl w:val="ED28A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51BE3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207001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B4472F"/>
    <w:multiLevelType w:val="hybridMultilevel"/>
    <w:tmpl w:val="71ECCE9E"/>
    <w:lvl w:ilvl="0" w:tplc="1B7E193E">
      <w:start w:val="1"/>
      <w:numFmt w:val="lowerRoman"/>
      <w:lvlText w:val="(%1)"/>
      <w:lvlJc w:val="left"/>
      <w:pPr>
        <w:ind w:left="2160" w:hanging="360"/>
      </w:pPr>
      <w:rPr>
        <w:rFonts w:ascii="Calibri" w:eastAsia="Times New Roman" w:hAnsi="Calibr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5871"/>
    <w:multiLevelType w:val="hybridMultilevel"/>
    <w:tmpl w:val="12580D68"/>
    <w:lvl w:ilvl="0" w:tplc="CE46CAB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3078DC"/>
    <w:multiLevelType w:val="hybridMultilevel"/>
    <w:tmpl w:val="0B724FF4"/>
    <w:lvl w:ilvl="0" w:tplc="D1A07AAC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E85D67"/>
    <w:multiLevelType w:val="hybridMultilevel"/>
    <w:tmpl w:val="B5609F50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B90989"/>
    <w:multiLevelType w:val="hybridMultilevel"/>
    <w:tmpl w:val="12580D68"/>
    <w:lvl w:ilvl="0" w:tplc="CE46CAB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8F1BB8"/>
    <w:multiLevelType w:val="hybridMultilevel"/>
    <w:tmpl w:val="926812BC"/>
    <w:lvl w:ilvl="0" w:tplc="0824AD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B188D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0B7168"/>
    <w:multiLevelType w:val="hybridMultilevel"/>
    <w:tmpl w:val="ED28A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752C9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123D5A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6AE"/>
    <w:multiLevelType w:val="hybridMultilevel"/>
    <w:tmpl w:val="82B615B6"/>
    <w:lvl w:ilvl="0" w:tplc="0C09000F">
      <w:start w:val="1"/>
      <w:numFmt w:val="decimal"/>
      <w:pStyle w:val="NoticeNumberedList-Level1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A07665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0165A8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EA43F7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D250CE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F3045E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092867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A087D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3F6F7D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1"/>
  </w:num>
  <w:num w:numId="3">
    <w:abstractNumId w:val="42"/>
  </w:num>
  <w:num w:numId="4">
    <w:abstractNumId w:val="25"/>
  </w:num>
  <w:num w:numId="5">
    <w:abstractNumId w:val="28"/>
  </w:num>
  <w:num w:numId="6">
    <w:abstractNumId w:val="35"/>
  </w:num>
  <w:num w:numId="7">
    <w:abstractNumId w:val="40"/>
  </w:num>
  <w:num w:numId="8">
    <w:abstractNumId w:val="20"/>
  </w:num>
  <w:num w:numId="9">
    <w:abstractNumId w:val="18"/>
  </w:num>
  <w:num w:numId="10">
    <w:abstractNumId w:val="43"/>
  </w:num>
  <w:num w:numId="11">
    <w:abstractNumId w:val="44"/>
  </w:num>
  <w:num w:numId="12">
    <w:abstractNumId w:val="39"/>
  </w:num>
  <w:num w:numId="13">
    <w:abstractNumId w:val="32"/>
  </w:num>
  <w:num w:numId="14">
    <w:abstractNumId w:val="2"/>
  </w:num>
  <w:num w:numId="15">
    <w:abstractNumId w:val="16"/>
  </w:num>
  <w:num w:numId="16">
    <w:abstractNumId w:val="31"/>
  </w:num>
  <w:num w:numId="17">
    <w:abstractNumId w:val="3"/>
  </w:num>
  <w:num w:numId="18">
    <w:abstractNumId w:val="23"/>
  </w:num>
  <w:num w:numId="19">
    <w:abstractNumId w:val="27"/>
  </w:num>
  <w:num w:numId="20">
    <w:abstractNumId w:val="24"/>
  </w:num>
  <w:num w:numId="21">
    <w:abstractNumId w:val="7"/>
  </w:num>
  <w:num w:numId="22">
    <w:abstractNumId w:val="0"/>
  </w:num>
  <w:num w:numId="23">
    <w:abstractNumId w:val="26"/>
  </w:num>
  <w:num w:numId="24">
    <w:abstractNumId w:val="30"/>
  </w:num>
  <w:num w:numId="25">
    <w:abstractNumId w:val="6"/>
  </w:num>
  <w:num w:numId="26">
    <w:abstractNumId w:val="21"/>
  </w:num>
  <w:num w:numId="27">
    <w:abstractNumId w:val="1"/>
  </w:num>
  <w:num w:numId="28">
    <w:abstractNumId w:val="17"/>
  </w:num>
  <w:num w:numId="29">
    <w:abstractNumId w:val="9"/>
  </w:num>
  <w:num w:numId="30">
    <w:abstractNumId w:val="34"/>
  </w:num>
  <w:num w:numId="31">
    <w:abstractNumId w:val="13"/>
  </w:num>
  <w:num w:numId="32">
    <w:abstractNumId w:val="38"/>
  </w:num>
  <w:num w:numId="33">
    <w:abstractNumId w:val="12"/>
  </w:num>
  <w:num w:numId="34">
    <w:abstractNumId w:val="8"/>
  </w:num>
  <w:num w:numId="35">
    <w:abstractNumId w:val="10"/>
  </w:num>
  <w:num w:numId="36">
    <w:abstractNumId w:val="19"/>
  </w:num>
  <w:num w:numId="37">
    <w:abstractNumId w:val="14"/>
  </w:num>
  <w:num w:numId="38">
    <w:abstractNumId w:val="37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2"/>
  </w:num>
  <w:num w:numId="43">
    <w:abstractNumId w:val="5"/>
  </w:num>
  <w:num w:numId="44">
    <w:abstractNumId w:val="36"/>
  </w:num>
  <w:num w:numId="45">
    <w:abstractNumId w:val="15"/>
  </w:num>
  <w:num w:numId="46">
    <w:abstractNumId w:val="4"/>
  </w:num>
  <w:num w:numId="47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1D"/>
    <w:rsid w:val="00006D04"/>
    <w:rsid w:val="00013FD3"/>
    <w:rsid w:val="00020C7A"/>
    <w:rsid w:val="0002191F"/>
    <w:rsid w:val="000304FD"/>
    <w:rsid w:val="00053CA1"/>
    <w:rsid w:val="000733CF"/>
    <w:rsid w:val="000748A4"/>
    <w:rsid w:val="0009181F"/>
    <w:rsid w:val="00096DC8"/>
    <w:rsid w:val="00097FC7"/>
    <w:rsid w:val="000A3E00"/>
    <w:rsid w:val="000A57E3"/>
    <w:rsid w:val="000A67F8"/>
    <w:rsid w:val="000C07CA"/>
    <w:rsid w:val="000C3D7A"/>
    <w:rsid w:val="000E389F"/>
    <w:rsid w:val="00100117"/>
    <w:rsid w:val="00105920"/>
    <w:rsid w:val="00127B8A"/>
    <w:rsid w:val="00136D68"/>
    <w:rsid w:val="001446D8"/>
    <w:rsid w:val="001923CE"/>
    <w:rsid w:val="001B264B"/>
    <w:rsid w:val="001C468C"/>
    <w:rsid w:val="001D1451"/>
    <w:rsid w:val="001D629D"/>
    <w:rsid w:val="001F2FDD"/>
    <w:rsid w:val="00212726"/>
    <w:rsid w:val="00253751"/>
    <w:rsid w:val="002707F1"/>
    <w:rsid w:val="0029216D"/>
    <w:rsid w:val="002A0531"/>
    <w:rsid w:val="002A08CE"/>
    <w:rsid w:val="002B66E0"/>
    <w:rsid w:val="002E3101"/>
    <w:rsid w:val="002F0061"/>
    <w:rsid w:val="002F4546"/>
    <w:rsid w:val="0031671E"/>
    <w:rsid w:val="0033258E"/>
    <w:rsid w:val="00336457"/>
    <w:rsid w:val="00340BE9"/>
    <w:rsid w:val="00341B7F"/>
    <w:rsid w:val="003536CB"/>
    <w:rsid w:val="00356CF2"/>
    <w:rsid w:val="00360664"/>
    <w:rsid w:val="003C65BE"/>
    <w:rsid w:val="003D3884"/>
    <w:rsid w:val="004104AE"/>
    <w:rsid w:val="00410DDB"/>
    <w:rsid w:val="00417BDA"/>
    <w:rsid w:val="00430A4F"/>
    <w:rsid w:val="00450C9C"/>
    <w:rsid w:val="0045128E"/>
    <w:rsid w:val="00470A32"/>
    <w:rsid w:val="00474C1E"/>
    <w:rsid w:val="00482EAC"/>
    <w:rsid w:val="004B4E6C"/>
    <w:rsid w:val="004C5EA0"/>
    <w:rsid w:val="00501B5D"/>
    <w:rsid w:val="00526BEF"/>
    <w:rsid w:val="0054433A"/>
    <w:rsid w:val="005579AD"/>
    <w:rsid w:val="005618C9"/>
    <w:rsid w:val="0058757C"/>
    <w:rsid w:val="00593EDE"/>
    <w:rsid w:val="005A706A"/>
    <w:rsid w:val="005A76EF"/>
    <w:rsid w:val="005C4540"/>
    <w:rsid w:val="005D4297"/>
    <w:rsid w:val="005D62DD"/>
    <w:rsid w:val="0060014A"/>
    <w:rsid w:val="00617224"/>
    <w:rsid w:val="006206D1"/>
    <w:rsid w:val="0063620D"/>
    <w:rsid w:val="006756B3"/>
    <w:rsid w:val="006830F3"/>
    <w:rsid w:val="006A56C7"/>
    <w:rsid w:val="006F6FBA"/>
    <w:rsid w:val="00705431"/>
    <w:rsid w:val="007141D9"/>
    <w:rsid w:val="00731F33"/>
    <w:rsid w:val="0073240B"/>
    <w:rsid w:val="00751205"/>
    <w:rsid w:val="00782F00"/>
    <w:rsid w:val="007C445C"/>
    <w:rsid w:val="007D0CF4"/>
    <w:rsid w:val="007E394C"/>
    <w:rsid w:val="007F0E10"/>
    <w:rsid w:val="00805C7E"/>
    <w:rsid w:val="00817D8D"/>
    <w:rsid w:val="0082507F"/>
    <w:rsid w:val="008653B3"/>
    <w:rsid w:val="00880CC1"/>
    <w:rsid w:val="008B7655"/>
    <w:rsid w:val="008C383C"/>
    <w:rsid w:val="008F5908"/>
    <w:rsid w:val="008F5D8A"/>
    <w:rsid w:val="00914F13"/>
    <w:rsid w:val="0091610B"/>
    <w:rsid w:val="00920A0F"/>
    <w:rsid w:val="00920A6B"/>
    <w:rsid w:val="00930C3D"/>
    <w:rsid w:val="009331B7"/>
    <w:rsid w:val="00940028"/>
    <w:rsid w:val="00947378"/>
    <w:rsid w:val="00947AAB"/>
    <w:rsid w:val="0095236E"/>
    <w:rsid w:val="00981C0A"/>
    <w:rsid w:val="009C04B3"/>
    <w:rsid w:val="009D1EFF"/>
    <w:rsid w:val="009E79E4"/>
    <w:rsid w:val="00A037BF"/>
    <w:rsid w:val="00A06C19"/>
    <w:rsid w:val="00A2425A"/>
    <w:rsid w:val="00A410C9"/>
    <w:rsid w:val="00A80B36"/>
    <w:rsid w:val="00A87CED"/>
    <w:rsid w:val="00A94E73"/>
    <w:rsid w:val="00A9760E"/>
    <w:rsid w:val="00AA01F4"/>
    <w:rsid w:val="00AA2D71"/>
    <w:rsid w:val="00AA4962"/>
    <w:rsid w:val="00AB45DD"/>
    <w:rsid w:val="00AB72AF"/>
    <w:rsid w:val="00AB7797"/>
    <w:rsid w:val="00AD0D50"/>
    <w:rsid w:val="00AF496F"/>
    <w:rsid w:val="00B06682"/>
    <w:rsid w:val="00B21C4D"/>
    <w:rsid w:val="00B33FF0"/>
    <w:rsid w:val="00B35FDF"/>
    <w:rsid w:val="00B55E7A"/>
    <w:rsid w:val="00B759B6"/>
    <w:rsid w:val="00B83F4B"/>
    <w:rsid w:val="00B92805"/>
    <w:rsid w:val="00BA511F"/>
    <w:rsid w:val="00BB2FA3"/>
    <w:rsid w:val="00BB493F"/>
    <w:rsid w:val="00BC2EBF"/>
    <w:rsid w:val="00BD019B"/>
    <w:rsid w:val="00BE301D"/>
    <w:rsid w:val="00C05061"/>
    <w:rsid w:val="00C276CE"/>
    <w:rsid w:val="00C3115F"/>
    <w:rsid w:val="00C31BCE"/>
    <w:rsid w:val="00C63D80"/>
    <w:rsid w:val="00C83DCD"/>
    <w:rsid w:val="00CA2189"/>
    <w:rsid w:val="00CB3198"/>
    <w:rsid w:val="00CD0C2F"/>
    <w:rsid w:val="00CE33A7"/>
    <w:rsid w:val="00CF178D"/>
    <w:rsid w:val="00CF4B29"/>
    <w:rsid w:val="00D2389F"/>
    <w:rsid w:val="00D27628"/>
    <w:rsid w:val="00D3084D"/>
    <w:rsid w:val="00D3729D"/>
    <w:rsid w:val="00D47D35"/>
    <w:rsid w:val="00D5167D"/>
    <w:rsid w:val="00D67E52"/>
    <w:rsid w:val="00D73E1F"/>
    <w:rsid w:val="00D93A4F"/>
    <w:rsid w:val="00D950EE"/>
    <w:rsid w:val="00D97D88"/>
    <w:rsid w:val="00DB34D6"/>
    <w:rsid w:val="00DB43F9"/>
    <w:rsid w:val="00DC0687"/>
    <w:rsid w:val="00DD5726"/>
    <w:rsid w:val="00E14393"/>
    <w:rsid w:val="00E17EE0"/>
    <w:rsid w:val="00E33506"/>
    <w:rsid w:val="00E40272"/>
    <w:rsid w:val="00E452B1"/>
    <w:rsid w:val="00E46F40"/>
    <w:rsid w:val="00E51AA6"/>
    <w:rsid w:val="00E66995"/>
    <w:rsid w:val="00E718CE"/>
    <w:rsid w:val="00E812D4"/>
    <w:rsid w:val="00E95C3D"/>
    <w:rsid w:val="00EB4B07"/>
    <w:rsid w:val="00ED5AC4"/>
    <w:rsid w:val="00EE4CDA"/>
    <w:rsid w:val="00F02F1C"/>
    <w:rsid w:val="00F43A92"/>
    <w:rsid w:val="00F55862"/>
    <w:rsid w:val="00F5648E"/>
    <w:rsid w:val="00FB134B"/>
    <w:rsid w:val="00FC355A"/>
    <w:rsid w:val="00FE1A46"/>
    <w:rsid w:val="00FE4BC9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934C7"/>
  <w15:docId w15:val="{DFEFBD4B-8E0C-4FCA-B8A6-953739DE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4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2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BF"/>
  </w:style>
  <w:style w:type="paragraph" w:styleId="Footer">
    <w:name w:val="footer"/>
    <w:basedOn w:val="Normal"/>
    <w:link w:val="FooterChar"/>
    <w:uiPriority w:val="99"/>
    <w:unhideWhenUsed/>
    <w:rsid w:val="00A0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BF"/>
  </w:style>
  <w:style w:type="paragraph" w:styleId="Revision">
    <w:name w:val="Revision"/>
    <w:hidden/>
    <w:uiPriority w:val="99"/>
    <w:semiHidden/>
    <w:rsid w:val="002F0061"/>
    <w:pPr>
      <w:spacing w:after="0" w:line="240" w:lineRule="auto"/>
    </w:pPr>
  </w:style>
  <w:style w:type="paragraph" w:customStyle="1" w:styleId="NoticeNumberedList-Level1">
    <w:name w:val="Notice Numbered List - Level 1"/>
    <w:basedOn w:val="Normal"/>
    <w:uiPriority w:val="99"/>
    <w:rsid w:val="00CB3198"/>
    <w:pPr>
      <w:numPr>
        <w:numId w:val="44"/>
      </w:numPr>
      <w:spacing w:after="0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B759B6"/>
    <w:pPr>
      <w:widowControl w:val="0"/>
      <w:numPr>
        <w:ilvl w:val="1"/>
        <w:numId w:val="45"/>
      </w:numPr>
      <w:tabs>
        <w:tab w:val="left" w:pos="1380"/>
      </w:tabs>
      <w:spacing w:before="97" w:after="200" w:line="226" w:lineRule="auto"/>
      <w:ind w:right="108"/>
    </w:pPr>
    <w:rPr>
      <w:rFonts w:ascii="Calibri" w:eastAsia="Times New Roman" w:hAnsi="Calibri"/>
      <w:spacing w:val="-1"/>
      <w:sz w:val="24"/>
      <w:szCs w:val="24"/>
      <w:lang w:val="en-US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B759B6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uiPriority w:val="1"/>
    <w:qFormat/>
    <w:rsid w:val="00B759B6"/>
    <w:pPr>
      <w:widowControl w:val="0"/>
      <w:numPr>
        <w:ilvl w:val="2"/>
        <w:numId w:val="45"/>
      </w:numPr>
      <w:tabs>
        <w:tab w:val="num" w:pos="360"/>
        <w:tab w:val="left" w:pos="1985"/>
      </w:tabs>
      <w:spacing w:before="103" w:after="200"/>
      <w:ind w:left="0" w:firstLine="0"/>
    </w:pPr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uiPriority w:val="1"/>
    <w:qFormat/>
    <w:rsid w:val="00B759B6"/>
    <w:pPr>
      <w:widowControl w:val="0"/>
      <w:numPr>
        <w:ilvl w:val="3"/>
        <w:numId w:val="45"/>
      </w:numPr>
      <w:tabs>
        <w:tab w:val="num" w:pos="360"/>
        <w:tab w:val="left" w:pos="2436"/>
      </w:tabs>
      <w:spacing w:before="117" w:after="0" w:line="226" w:lineRule="auto"/>
      <w:ind w:left="0" w:right="111" w:hanging="591"/>
    </w:pPr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B759B6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B759B6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Sectionheading-QldSI">
    <w:name w:val="Section heading - Qld SI"/>
    <w:basedOn w:val="Normal"/>
    <w:uiPriority w:val="1"/>
    <w:qFormat/>
    <w:rsid w:val="00B759B6"/>
    <w:pPr>
      <w:widowControl w:val="0"/>
      <w:numPr>
        <w:numId w:val="4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759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9" ma:contentTypeDescription="Create a new document." ma:contentTypeScope="" ma:versionID="d21913a6cdaaca32d88c2b54cb76e87f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273eb8b0d28e3edc1c3e70a05db4925e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61A51-BFF4-4463-8298-BB720E38E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15BBA9-DF36-472C-9252-463B80D2D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3B23B-7891-438E-A8F8-94706AE2BA8C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D3CA9A5-B8FE-4EEB-AFCF-09DC7AE7D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Crapnell</dc:creator>
  <cp:lastModifiedBy>Roneel Ram</cp:lastModifiedBy>
  <cp:revision>4</cp:revision>
  <dcterms:created xsi:type="dcterms:W3CDTF">2021-02-18T23:15:00Z</dcterms:created>
  <dcterms:modified xsi:type="dcterms:W3CDTF">2021-02-21T22:07:00Z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