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382B7" w14:textId="77777777" w:rsidR="006D388D" w:rsidRDefault="00250845">
      <w:pPr>
        <w:spacing w:before="259"/>
        <w:ind w:left="140"/>
        <w:rPr>
          <w:rFonts w:ascii="Arial"/>
          <w:b/>
          <w:sz w:val="40"/>
        </w:rPr>
      </w:pPr>
      <w:r>
        <w:rPr>
          <w:rFonts w:ascii="Arial"/>
          <w:b/>
          <w:sz w:val="40"/>
        </w:rPr>
        <w:t>Consent</w:t>
      </w:r>
      <w:r>
        <w:rPr>
          <w:rFonts w:ascii="Arial"/>
          <w:b/>
          <w:spacing w:val="-26"/>
          <w:sz w:val="40"/>
        </w:rPr>
        <w:t xml:space="preserve"> </w:t>
      </w:r>
      <w:r>
        <w:rPr>
          <w:rFonts w:ascii="Arial"/>
          <w:b/>
          <w:sz w:val="40"/>
        </w:rPr>
        <w:t>to</w:t>
      </w:r>
      <w:r>
        <w:rPr>
          <w:rFonts w:ascii="Arial"/>
          <w:b/>
          <w:spacing w:val="-25"/>
          <w:sz w:val="40"/>
        </w:rPr>
        <w:t xml:space="preserve"> </w:t>
      </w:r>
      <w:r>
        <w:rPr>
          <w:rFonts w:ascii="Arial"/>
          <w:b/>
          <w:sz w:val="40"/>
        </w:rPr>
        <w:t>sale</w:t>
      </w:r>
      <w:r>
        <w:rPr>
          <w:rFonts w:ascii="Arial"/>
          <w:b/>
          <w:spacing w:val="-27"/>
          <w:sz w:val="40"/>
        </w:rPr>
        <w:t xml:space="preserve"> </w:t>
      </w:r>
      <w:r>
        <w:rPr>
          <w:rFonts w:ascii="Arial"/>
          <w:b/>
          <w:sz w:val="40"/>
        </w:rPr>
        <w:t>or</w:t>
      </w:r>
      <w:r>
        <w:rPr>
          <w:rFonts w:ascii="Arial"/>
          <w:b/>
          <w:spacing w:val="-27"/>
          <w:sz w:val="40"/>
        </w:rPr>
        <w:t xml:space="preserve"> </w:t>
      </w:r>
      <w:r>
        <w:rPr>
          <w:rFonts w:ascii="Arial"/>
          <w:b/>
          <w:sz w:val="40"/>
        </w:rPr>
        <w:t>disposal</w:t>
      </w:r>
      <w:r>
        <w:rPr>
          <w:rFonts w:ascii="Arial"/>
          <w:b/>
          <w:spacing w:val="-27"/>
          <w:sz w:val="40"/>
        </w:rPr>
        <w:t xml:space="preserve"> </w:t>
      </w:r>
      <w:r>
        <w:rPr>
          <w:rFonts w:ascii="Arial"/>
          <w:b/>
          <w:sz w:val="40"/>
        </w:rPr>
        <w:t>of</w:t>
      </w:r>
      <w:r>
        <w:rPr>
          <w:rFonts w:ascii="Arial"/>
          <w:b/>
          <w:spacing w:val="-26"/>
          <w:sz w:val="40"/>
        </w:rPr>
        <w:t xml:space="preserve"> </w:t>
      </w:r>
      <w:r>
        <w:rPr>
          <w:rFonts w:ascii="Arial"/>
          <w:b/>
          <w:sz w:val="40"/>
        </w:rPr>
        <w:t>business</w:t>
      </w:r>
      <w:r>
        <w:rPr>
          <w:rFonts w:ascii="Arial"/>
          <w:b/>
          <w:spacing w:val="-26"/>
          <w:sz w:val="40"/>
        </w:rPr>
        <w:t xml:space="preserve"> </w:t>
      </w:r>
      <w:r>
        <w:rPr>
          <w:rFonts w:ascii="Arial"/>
          <w:b/>
          <w:sz w:val="40"/>
        </w:rPr>
        <w:t>of</w:t>
      </w:r>
      <w:r>
        <w:rPr>
          <w:rFonts w:ascii="Arial"/>
          <w:b/>
          <w:spacing w:val="-26"/>
          <w:sz w:val="40"/>
        </w:rPr>
        <w:t xml:space="preserve"> </w:t>
      </w:r>
      <w:r>
        <w:rPr>
          <w:rFonts w:ascii="Arial"/>
          <w:b/>
          <w:sz w:val="40"/>
        </w:rPr>
        <w:t>an</w:t>
      </w:r>
      <w:r>
        <w:rPr>
          <w:rFonts w:ascii="Arial"/>
          <w:b/>
          <w:spacing w:val="-22"/>
          <w:sz w:val="40"/>
        </w:rPr>
        <w:t xml:space="preserve"> </w:t>
      </w:r>
      <w:r>
        <w:rPr>
          <w:rFonts w:ascii="Arial"/>
          <w:b/>
          <w:sz w:val="40"/>
        </w:rPr>
        <w:t>ADI</w:t>
      </w:r>
    </w:p>
    <w:p w14:paraId="6C3A57D8" w14:textId="77777777" w:rsidR="00D1796F" w:rsidRDefault="00250845" w:rsidP="00D1796F">
      <w:pPr>
        <w:pBdr>
          <w:bottom w:val="single" w:sz="6" w:space="1" w:color="auto"/>
        </w:pBdr>
        <w:tabs>
          <w:tab w:val="left" w:pos="5655"/>
        </w:tabs>
        <w:spacing w:before="360"/>
        <w:ind w:left="140"/>
        <w:rPr>
          <w:rFonts w:ascii="Arial"/>
          <w:i/>
          <w:sz w:val="28"/>
        </w:rPr>
      </w:pPr>
      <w:r>
        <w:rPr>
          <w:rFonts w:ascii="Arial"/>
          <w:i/>
          <w:sz w:val="28"/>
        </w:rPr>
        <w:t>Banking Act 1959</w:t>
      </w:r>
    </w:p>
    <w:p w14:paraId="66B939C1" w14:textId="77777777" w:rsidR="00D1796F" w:rsidRDefault="00D1796F" w:rsidP="00D1796F">
      <w:pPr>
        <w:tabs>
          <w:tab w:val="left" w:pos="5655"/>
        </w:tabs>
        <w:spacing w:before="360"/>
        <w:ind w:left="140"/>
        <w:rPr>
          <w:rFonts w:ascii="Arial"/>
          <w:i/>
          <w:sz w:val="28"/>
        </w:rPr>
      </w:pPr>
      <w:bookmarkStart w:id="0" w:name="_GoBack"/>
      <w:bookmarkEnd w:id="0"/>
    </w:p>
    <w:p w14:paraId="410382B9" w14:textId="77777777" w:rsidR="006D388D" w:rsidRDefault="006D388D">
      <w:pPr>
        <w:pStyle w:val="BodyText"/>
        <w:spacing w:before="10"/>
        <w:rPr>
          <w:rFonts w:ascii="Arial"/>
          <w:i/>
          <w:sz w:val="9"/>
        </w:rPr>
      </w:pPr>
    </w:p>
    <w:p w14:paraId="410382BA" w14:textId="77777777" w:rsidR="006D388D" w:rsidRDefault="00250845">
      <w:pPr>
        <w:pStyle w:val="Heading1"/>
        <w:spacing w:before="93" w:line="504" w:lineRule="auto"/>
        <w:ind w:right="2780"/>
      </w:pPr>
      <w:r>
        <w:t>To: Lysaght Credit Union Ltd ABN 79 087 650 226 (the ADI) SINCE:</w:t>
      </w:r>
    </w:p>
    <w:p w14:paraId="410382BB" w14:textId="77777777" w:rsidR="006D388D" w:rsidRDefault="00250845">
      <w:pPr>
        <w:pStyle w:val="ListParagraph"/>
        <w:numPr>
          <w:ilvl w:val="0"/>
          <w:numId w:val="1"/>
        </w:numPr>
        <w:tabs>
          <w:tab w:val="left" w:pos="707"/>
          <w:tab w:val="left" w:pos="708"/>
        </w:tabs>
        <w:spacing w:line="251" w:lineRule="exact"/>
      </w:pPr>
      <w:r>
        <w:t>the ADI is an ADI that is not a foreign</w:t>
      </w:r>
      <w:r>
        <w:rPr>
          <w:spacing w:val="-14"/>
        </w:rPr>
        <w:t xml:space="preserve"> </w:t>
      </w:r>
      <w:r>
        <w:t>ADI;</w:t>
      </w:r>
    </w:p>
    <w:p w14:paraId="410382BC" w14:textId="77777777" w:rsidR="006D388D" w:rsidRDefault="006D388D">
      <w:pPr>
        <w:pStyle w:val="BodyText"/>
        <w:spacing w:before="11"/>
        <w:rPr>
          <w:rFonts w:ascii="Arial"/>
          <w:sz w:val="21"/>
        </w:rPr>
      </w:pPr>
    </w:p>
    <w:p w14:paraId="410382BD" w14:textId="77777777" w:rsidR="006D388D" w:rsidRDefault="00250845">
      <w:pPr>
        <w:pStyle w:val="ListParagraph"/>
        <w:numPr>
          <w:ilvl w:val="0"/>
          <w:numId w:val="1"/>
        </w:numPr>
        <w:tabs>
          <w:tab w:val="left" w:pos="708"/>
        </w:tabs>
        <w:ind w:right="135"/>
        <w:jc w:val="both"/>
      </w:pPr>
      <w:r>
        <w:t>the</w:t>
      </w:r>
      <w:r>
        <w:rPr>
          <w:spacing w:val="-7"/>
        </w:rPr>
        <w:t xml:space="preserve"> </w:t>
      </w:r>
      <w:r>
        <w:t>ADI</w:t>
      </w:r>
      <w:r>
        <w:rPr>
          <w:spacing w:val="-8"/>
        </w:rPr>
        <w:t xml:space="preserve"> </w:t>
      </w:r>
      <w:r>
        <w:t>proposes</w:t>
      </w:r>
      <w:r>
        <w:rPr>
          <w:spacing w:val="-4"/>
        </w:rPr>
        <w:t xml:space="preserve"> </w:t>
      </w:r>
      <w:r>
        <w:t>to</w:t>
      </w:r>
      <w:r>
        <w:rPr>
          <w:spacing w:val="-4"/>
        </w:rPr>
        <w:t xml:space="preserve"> </w:t>
      </w:r>
      <w:r>
        <w:t>enter</w:t>
      </w:r>
      <w:r>
        <w:rPr>
          <w:spacing w:val="-2"/>
        </w:rPr>
        <w:t xml:space="preserve"> </w:t>
      </w:r>
      <w:r>
        <w:t>into</w:t>
      </w:r>
      <w:r>
        <w:rPr>
          <w:spacing w:val="-6"/>
        </w:rPr>
        <w:t xml:space="preserve"> </w:t>
      </w:r>
      <w:r>
        <w:t>an</w:t>
      </w:r>
      <w:r>
        <w:rPr>
          <w:spacing w:val="-7"/>
        </w:rPr>
        <w:t xml:space="preserve"> </w:t>
      </w:r>
      <w:r>
        <w:t>arrangement</w:t>
      </w:r>
      <w:r>
        <w:rPr>
          <w:spacing w:val="-7"/>
        </w:rPr>
        <w:t xml:space="preserve"> </w:t>
      </w:r>
      <w:r>
        <w:t>or</w:t>
      </w:r>
      <w:r>
        <w:rPr>
          <w:spacing w:val="-7"/>
        </w:rPr>
        <w:t xml:space="preserve"> </w:t>
      </w:r>
      <w:r>
        <w:t>agreement</w:t>
      </w:r>
      <w:r>
        <w:rPr>
          <w:spacing w:val="-8"/>
        </w:rPr>
        <w:t xml:space="preserve"> </w:t>
      </w:r>
      <w:r>
        <w:t>for</w:t>
      </w:r>
      <w:r>
        <w:rPr>
          <w:spacing w:val="-7"/>
        </w:rPr>
        <w:t xml:space="preserve"> </w:t>
      </w:r>
      <w:r>
        <w:t>the</w:t>
      </w:r>
      <w:r>
        <w:rPr>
          <w:spacing w:val="-4"/>
        </w:rPr>
        <w:t xml:space="preserve"> </w:t>
      </w:r>
      <w:r>
        <w:t>sale</w:t>
      </w:r>
      <w:r>
        <w:rPr>
          <w:spacing w:val="-7"/>
        </w:rPr>
        <w:t xml:space="preserve"> </w:t>
      </w:r>
      <w:r>
        <w:t>or</w:t>
      </w:r>
      <w:r>
        <w:rPr>
          <w:spacing w:val="-5"/>
        </w:rPr>
        <w:t xml:space="preserve"> </w:t>
      </w:r>
      <w:r>
        <w:t>disposal</w:t>
      </w:r>
      <w:r>
        <w:rPr>
          <w:spacing w:val="-5"/>
        </w:rPr>
        <w:t xml:space="preserve"> </w:t>
      </w:r>
      <w:r>
        <w:t>of</w:t>
      </w:r>
      <w:r>
        <w:rPr>
          <w:spacing w:val="-5"/>
        </w:rPr>
        <w:t xml:space="preserve"> </w:t>
      </w:r>
      <w:r>
        <w:t>its business (by amalgamation or otherwise) to another ADI, Horizon Credit Union Ltd ABN 66 087 650 173, as described in the schedule (the arrangement or agreement);</w:t>
      </w:r>
      <w:r>
        <w:rPr>
          <w:spacing w:val="-12"/>
        </w:rPr>
        <w:t xml:space="preserve"> </w:t>
      </w:r>
      <w:r>
        <w:t>and</w:t>
      </w:r>
    </w:p>
    <w:p w14:paraId="410382BE" w14:textId="77777777" w:rsidR="006D388D" w:rsidRDefault="006D388D">
      <w:pPr>
        <w:pStyle w:val="BodyText"/>
        <w:rPr>
          <w:rFonts w:ascii="Arial"/>
          <w:sz w:val="22"/>
        </w:rPr>
      </w:pPr>
    </w:p>
    <w:p w14:paraId="410382BF" w14:textId="77777777" w:rsidR="006D388D" w:rsidRDefault="00250845">
      <w:pPr>
        <w:pStyle w:val="ListParagraph"/>
        <w:numPr>
          <w:ilvl w:val="0"/>
          <w:numId w:val="1"/>
        </w:numPr>
        <w:tabs>
          <w:tab w:val="left" w:pos="707"/>
          <w:tab w:val="left" w:pos="708"/>
        </w:tabs>
      </w:pPr>
      <w:r>
        <w:t>I have taken the national interest into</w:t>
      </w:r>
      <w:r>
        <w:rPr>
          <w:spacing w:val="-7"/>
        </w:rPr>
        <w:t xml:space="preserve"> </w:t>
      </w:r>
      <w:r>
        <w:t>account,</w:t>
      </w:r>
    </w:p>
    <w:p w14:paraId="410382C0" w14:textId="77777777" w:rsidR="006D388D" w:rsidRDefault="006D388D">
      <w:pPr>
        <w:pStyle w:val="BodyText"/>
        <w:spacing w:before="3"/>
        <w:rPr>
          <w:rFonts w:ascii="Arial"/>
          <w:sz w:val="31"/>
        </w:rPr>
      </w:pPr>
    </w:p>
    <w:p w14:paraId="410382C1" w14:textId="77777777" w:rsidR="006D388D" w:rsidRDefault="00250845">
      <w:pPr>
        <w:spacing w:before="1" w:line="253" w:lineRule="exact"/>
        <w:ind w:left="140"/>
        <w:rPr>
          <w:rFonts w:ascii="Arial"/>
          <w:i/>
        </w:rPr>
      </w:pPr>
      <w:r>
        <w:rPr>
          <w:rFonts w:ascii="Arial"/>
        </w:rPr>
        <w:t xml:space="preserve">I, Lara Douglas, a delegate of the Treasurer, under subsection 63(1) of the </w:t>
      </w:r>
      <w:r>
        <w:rPr>
          <w:rFonts w:ascii="Arial"/>
          <w:i/>
        </w:rPr>
        <w:t>Banking Act 1959</w:t>
      </w:r>
    </w:p>
    <w:p w14:paraId="410382C2" w14:textId="77777777" w:rsidR="006D388D" w:rsidRDefault="00250845">
      <w:pPr>
        <w:spacing w:line="253" w:lineRule="exact"/>
        <w:ind w:left="140"/>
        <w:rPr>
          <w:rFonts w:ascii="Arial"/>
        </w:rPr>
      </w:pPr>
      <w:r>
        <w:rPr>
          <w:rFonts w:ascii="Arial"/>
        </w:rPr>
        <w:t>(the Act), CONSENT to the arrangement or agreement.</w:t>
      </w:r>
    </w:p>
    <w:p w14:paraId="410382C3" w14:textId="77777777" w:rsidR="006D388D" w:rsidRDefault="006D388D">
      <w:pPr>
        <w:pStyle w:val="BodyText"/>
        <w:rPr>
          <w:rFonts w:ascii="Arial"/>
          <w:sz w:val="24"/>
        </w:rPr>
      </w:pPr>
    </w:p>
    <w:p w14:paraId="410382C4" w14:textId="77777777" w:rsidR="006D388D" w:rsidRDefault="006D388D">
      <w:pPr>
        <w:pStyle w:val="BodyText"/>
        <w:spacing w:before="1"/>
        <w:rPr>
          <w:rFonts w:ascii="Arial"/>
          <w:sz w:val="22"/>
        </w:rPr>
      </w:pPr>
    </w:p>
    <w:p w14:paraId="410382C5" w14:textId="255D014F" w:rsidR="006D388D" w:rsidRDefault="00250845">
      <w:pPr>
        <w:ind w:left="140"/>
        <w:rPr>
          <w:rFonts w:ascii="Arial"/>
        </w:rPr>
      </w:pPr>
      <w:r>
        <w:rPr>
          <w:rFonts w:ascii="Arial"/>
        </w:rPr>
        <w:t>Dated: 12 February 2021</w:t>
      </w:r>
    </w:p>
    <w:p w14:paraId="7C07EBAB" w14:textId="56E8F342" w:rsidR="00250845" w:rsidRDefault="00250845">
      <w:pPr>
        <w:ind w:left="140"/>
        <w:rPr>
          <w:rFonts w:ascii="Arial"/>
        </w:rPr>
      </w:pPr>
    </w:p>
    <w:p w14:paraId="410382C7" w14:textId="208A75A2" w:rsidR="006D388D" w:rsidRDefault="00250845" w:rsidP="00250845">
      <w:pPr>
        <w:ind w:left="140"/>
        <w:rPr>
          <w:rFonts w:ascii="Arial"/>
          <w:sz w:val="24"/>
        </w:rPr>
      </w:pPr>
      <w:r>
        <w:rPr>
          <w:rFonts w:ascii="Arial"/>
        </w:rPr>
        <w:t>[Signed]</w:t>
      </w:r>
    </w:p>
    <w:p w14:paraId="410382C8" w14:textId="77777777" w:rsidR="006D388D" w:rsidRDefault="006D388D">
      <w:pPr>
        <w:pStyle w:val="BodyText"/>
        <w:rPr>
          <w:rFonts w:ascii="Arial"/>
          <w:sz w:val="20"/>
        </w:rPr>
      </w:pPr>
    </w:p>
    <w:p w14:paraId="410382C9" w14:textId="77777777" w:rsidR="006D388D" w:rsidRDefault="00250845">
      <w:pPr>
        <w:ind w:left="140" w:right="7607"/>
        <w:rPr>
          <w:rFonts w:ascii="Arial"/>
        </w:rPr>
      </w:pPr>
      <w:r>
        <w:rPr>
          <w:rFonts w:ascii="Arial"/>
        </w:rPr>
        <w:t>Lara Douglas General Manager Banking Division APRA</w:t>
      </w:r>
    </w:p>
    <w:p w14:paraId="410382CA" w14:textId="77777777" w:rsidR="006D388D" w:rsidRDefault="006D388D">
      <w:pPr>
        <w:pStyle w:val="BodyText"/>
        <w:rPr>
          <w:rFonts w:ascii="Arial"/>
          <w:sz w:val="24"/>
        </w:rPr>
      </w:pPr>
    </w:p>
    <w:p w14:paraId="410382CB" w14:textId="77777777" w:rsidR="006D388D" w:rsidRDefault="00250845">
      <w:pPr>
        <w:spacing w:before="204"/>
        <w:ind w:left="140"/>
        <w:rPr>
          <w:rFonts w:ascii="Arial"/>
          <w:b/>
        </w:rPr>
      </w:pPr>
      <w:r>
        <w:rPr>
          <w:rFonts w:ascii="Arial"/>
          <w:b/>
        </w:rPr>
        <w:t>Interpretation</w:t>
      </w:r>
    </w:p>
    <w:p w14:paraId="410382CC" w14:textId="77777777" w:rsidR="006D388D" w:rsidRDefault="00250845">
      <w:pPr>
        <w:pStyle w:val="Heading1"/>
        <w:spacing w:before="121"/>
      </w:pPr>
      <w:r>
        <w:t>In this instrument:</w:t>
      </w:r>
    </w:p>
    <w:p w14:paraId="410382CD" w14:textId="77777777" w:rsidR="006D388D" w:rsidRDefault="00250845">
      <w:pPr>
        <w:spacing w:before="119"/>
        <w:ind w:left="140"/>
        <w:rPr>
          <w:rFonts w:ascii="Arial"/>
        </w:rPr>
      </w:pPr>
      <w:r>
        <w:rPr>
          <w:rFonts w:ascii="Arial"/>
          <w:b/>
          <w:i/>
        </w:rPr>
        <w:t xml:space="preserve">APRA </w:t>
      </w:r>
      <w:r>
        <w:rPr>
          <w:rFonts w:ascii="Arial"/>
        </w:rPr>
        <w:t>means the Australian Prudential Regulation Authority.</w:t>
      </w:r>
    </w:p>
    <w:p w14:paraId="410382CE" w14:textId="77777777" w:rsidR="006D388D" w:rsidRDefault="00250845">
      <w:pPr>
        <w:spacing w:before="119"/>
        <w:ind w:left="140"/>
        <w:rPr>
          <w:rFonts w:ascii="Arial"/>
        </w:rPr>
      </w:pPr>
      <w:r>
        <w:rPr>
          <w:rFonts w:ascii="Arial"/>
          <w:b/>
          <w:i/>
        </w:rPr>
        <w:t xml:space="preserve">ADI </w:t>
      </w:r>
      <w:r>
        <w:rPr>
          <w:rFonts w:ascii="Arial"/>
        </w:rPr>
        <w:t>has the meaning given in subsection 5(1) of the Act.</w:t>
      </w:r>
    </w:p>
    <w:p w14:paraId="410382CF" w14:textId="77777777" w:rsidR="006D388D" w:rsidRDefault="00250845">
      <w:pPr>
        <w:spacing w:before="120"/>
        <w:ind w:left="140"/>
        <w:rPr>
          <w:rFonts w:ascii="Arial"/>
        </w:rPr>
      </w:pPr>
      <w:r>
        <w:rPr>
          <w:rFonts w:ascii="Arial"/>
          <w:b/>
          <w:i/>
        </w:rPr>
        <w:t xml:space="preserve">foreign ADI </w:t>
      </w:r>
      <w:r>
        <w:rPr>
          <w:rFonts w:ascii="Arial"/>
        </w:rPr>
        <w:t>has the meaning given in subsection 5(1) of the Act.</w:t>
      </w:r>
    </w:p>
    <w:p w14:paraId="410382D0" w14:textId="77777777" w:rsidR="006D388D" w:rsidRDefault="006D388D">
      <w:pPr>
        <w:pStyle w:val="BodyText"/>
        <w:spacing w:before="9"/>
        <w:rPr>
          <w:rFonts w:ascii="Arial"/>
          <w:sz w:val="20"/>
        </w:rPr>
      </w:pPr>
    </w:p>
    <w:p w14:paraId="410382D1" w14:textId="77777777" w:rsidR="006D388D" w:rsidRDefault="00250845">
      <w:pPr>
        <w:spacing w:before="1" w:line="206" w:lineRule="exact"/>
        <w:ind w:left="140"/>
        <w:rPr>
          <w:rFonts w:ascii="Arial"/>
          <w:b/>
          <w:sz w:val="18"/>
        </w:rPr>
      </w:pPr>
      <w:r>
        <w:rPr>
          <w:rFonts w:ascii="Arial"/>
          <w:b/>
          <w:sz w:val="18"/>
        </w:rPr>
        <w:t>Notes</w:t>
      </w:r>
    </w:p>
    <w:p w14:paraId="410382D2" w14:textId="77777777" w:rsidR="006D388D" w:rsidRDefault="00250845">
      <w:pPr>
        <w:pStyle w:val="BodyText"/>
        <w:tabs>
          <w:tab w:val="left" w:pos="850"/>
        </w:tabs>
        <w:ind w:left="850" w:right="216" w:hanging="710"/>
      </w:pPr>
      <w:r>
        <w:rPr>
          <w:i/>
        </w:rPr>
        <w:t>Note</w:t>
      </w:r>
      <w:r>
        <w:rPr>
          <w:i/>
          <w:spacing w:val="-2"/>
        </w:rPr>
        <w:t xml:space="preserve"> </w:t>
      </w:r>
      <w:r>
        <w:rPr>
          <w:i/>
        </w:rPr>
        <w:t>1</w:t>
      </w:r>
      <w:r>
        <w:rPr>
          <w:i/>
        </w:rPr>
        <w:tab/>
      </w:r>
      <w:r>
        <w:t>By virtue of subsection 63(2) of the Act, any arrangement, agreement or reconstruction and any such sale or</w:t>
      </w:r>
      <w:r>
        <w:rPr>
          <w:spacing w:val="-23"/>
        </w:rPr>
        <w:t xml:space="preserve"> </w:t>
      </w:r>
      <w:r>
        <w:t>disposal in pursuance of any such arrangement or agreement, entered into without the prior consent of the Treasurer is void and of no effect. Subsection 63(3) provides that the consent of the Treasurer shall not be unreasonably</w:t>
      </w:r>
      <w:r>
        <w:rPr>
          <w:spacing w:val="-19"/>
        </w:rPr>
        <w:t xml:space="preserve"> </w:t>
      </w:r>
      <w:r>
        <w:t>withheld.</w:t>
      </w:r>
    </w:p>
    <w:p w14:paraId="410382D3" w14:textId="77777777" w:rsidR="006D388D" w:rsidRDefault="00250845">
      <w:pPr>
        <w:pStyle w:val="BodyText"/>
        <w:tabs>
          <w:tab w:val="left" w:pos="850"/>
        </w:tabs>
        <w:spacing w:line="206" w:lineRule="exact"/>
        <w:ind w:left="140"/>
      </w:pPr>
      <w:r>
        <w:rPr>
          <w:i/>
        </w:rPr>
        <w:t>Note</w:t>
      </w:r>
      <w:r>
        <w:rPr>
          <w:i/>
          <w:spacing w:val="-2"/>
        </w:rPr>
        <w:t xml:space="preserve"> </w:t>
      </w:r>
      <w:r>
        <w:rPr>
          <w:i/>
        </w:rPr>
        <w:t>2</w:t>
      </w:r>
      <w:r>
        <w:rPr>
          <w:i/>
        </w:rPr>
        <w:tab/>
      </w:r>
      <w:r>
        <w:t>Under subsection 63(1AA) of the Act, the Treasurer must arrange for notice of this consent to be published in</w:t>
      </w:r>
      <w:r>
        <w:rPr>
          <w:spacing w:val="-14"/>
        </w:rPr>
        <w:t xml:space="preserve"> </w:t>
      </w:r>
      <w:r>
        <w:t>the</w:t>
      </w:r>
    </w:p>
    <w:p w14:paraId="410382D4" w14:textId="77777777" w:rsidR="006D388D" w:rsidRDefault="00250845">
      <w:pPr>
        <w:spacing w:line="206" w:lineRule="exact"/>
        <w:ind w:left="850"/>
        <w:rPr>
          <w:sz w:val="18"/>
        </w:rPr>
      </w:pPr>
      <w:r>
        <w:rPr>
          <w:i/>
          <w:sz w:val="18"/>
        </w:rPr>
        <w:t xml:space="preserve">Gazette </w:t>
      </w:r>
      <w:r>
        <w:rPr>
          <w:sz w:val="18"/>
        </w:rPr>
        <w:t>as soon as practicable.</w:t>
      </w:r>
    </w:p>
    <w:p w14:paraId="410382D5" w14:textId="77777777" w:rsidR="006D388D" w:rsidRDefault="00250845">
      <w:pPr>
        <w:pStyle w:val="BodyText"/>
        <w:tabs>
          <w:tab w:val="left" w:pos="850"/>
        </w:tabs>
        <w:spacing w:before="1"/>
        <w:ind w:left="850" w:right="213" w:hanging="710"/>
      </w:pPr>
      <w:r>
        <w:rPr>
          <w:i/>
        </w:rPr>
        <w:t>Note</w:t>
      </w:r>
      <w:r>
        <w:rPr>
          <w:i/>
          <w:spacing w:val="-2"/>
        </w:rPr>
        <w:t xml:space="preserve"> </w:t>
      </w:r>
      <w:r>
        <w:rPr>
          <w:i/>
        </w:rPr>
        <w:t>3</w:t>
      </w:r>
      <w:r>
        <w:rPr>
          <w:i/>
        </w:rPr>
        <w:tab/>
      </w:r>
      <w:r>
        <w:t>Under subsection 63(1) of the Act, an ADI, other than a foreign ADI, is guilty of an offence if the ADI enters into</w:t>
      </w:r>
      <w:r>
        <w:rPr>
          <w:spacing w:val="-25"/>
        </w:rPr>
        <w:t xml:space="preserve"> </w:t>
      </w:r>
      <w:r>
        <w:t>an arrangement or agreement for the sale or disposal of its business or for carrying on business in partnership</w:t>
      </w:r>
      <w:r>
        <w:rPr>
          <w:spacing w:val="-14"/>
        </w:rPr>
        <w:t xml:space="preserve"> </w:t>
      </w:r>
      <w:r>
        <w:t>with</w:t>
      </w:r>
    </w:p>
    <w:p w14:paraId="410382D6" w14:textId="77777777" w:rsidR="006D388D" w:rsidRDefault="00250845">
      <w:pPr>
        <w:pStyle w:val="BodyText"/>
        <w:spacing w:before="1"/>
        <w:ind w:left="850"/>
      </w:pPr>
      <w:r>
        <w:t>another ADI, or effects a reconstruction of the ADI, without the Treasurer’s prior consent in writing. The maximum penalty is 200 penalty units.</w:t>
      </w:r>
    </w:p>
    <w:p w14:paraId="410382D7" w14:textId="77777777" w:rsidR="006D388D" w:rsidRDefault="00250845">
      <w:pPr>
        <w:pStyle w:val="BodyText"/>
        <w:tabs>
          <w:tab w:val="left" w:pos="850"/>
        </w:tabs>
        <w:spacing w:line="206" w:lineRule="exact"/>
        <w:ind w:left="140"/>
      </w:pPr>
      <w:r>
        <w:rPr>
          <w:i/>
        </w:rPr>
        <w:t>Note</w:t>
      </w:r>
      <w:r>
        <w:rPr>
          <w:i/>
          <w:spacing w:val="-2"/>
        </w:rPr>
        <w:t xml:space="preserve"> </w:t>
      </w:r>
      <w:r>
        <w:rPr>
          <w:i/>
        </w:rPr>
        <w:t>4</w:t>
      </w:r>
      <w:r>
        <w:rPr>
          <w:i/>
        </w:rPr>
        <w:tab/>
      </w:r>
      <w:r>
        <w:t>Under subsection 63(1A) of the Act, an offence against subsection 63(1) of the Act is an indictable</w:t>
      </w:r>
      <w:r>
        <w:rPr>
          <w:spacing w:val="-12"/>
        </w:rPr>
        <w:t xml:space="preserve"> </w:t>
      </w:r>
      <w:r>
        <w:t>offence.</w:t>
      </w:r>
    </w:p>
    <w:p w14:paraId="410382D8" w14:textId="77777777" w:rsidR="006D388D" w:rsidRDefault="00250845">
      <w:pPr>
        <w:pStyle w:val="BodyText"/>
        <w:tabs>
          <w:tab w:val="left" w:pos="850"/>
        </w:tabs>
        <w:ind w:left="850" w:right="468" w:hanging="710"/>
      </w:pPr>
      <w:r>
        <w:rPr>
          <w:i/>
        </w:rPr>
        <w:t>Note</w:t>
      </w:r>
      <w:r>
        <w:rPr>
          <w:i/>
          <w:spacing w:val="-2"/>
        </w:rPr>
        <w:t xml:space="preserve"> </w:t>
      </w:r>
      <w:r>
        <w:rPr>
          <w:i/>
        </w:rPr>
        <w:t>5</w:t>
      </w:r>
      <w:r>
        <w:rPr>
          <w:i/>
        </w:rPr>
        <w:tab/>
      </w:r>
      <w:r>
        <w:t>Under paragraph 63(5)(a) of the Act, the Treasurer may, in writing, delegate all or any of his or her powers</w:t>
      </w:r>
      <w:r>
        <w:rPr>
          <w:spacing w:val="-23"/>
        </w:rPr>
        <w:t xml:space="preserve"> </w:t>
      </w:r>
      <w:r>
        <w:t>under subsection 63 to APRA, an APRA member or an APRA staff</w:t>
      </w:r>
      <w:r>
        <w:rPr>
          <w:spacing w:val="1"/>
        </w:rPr>
        <w:t xml:space="preserve"> </w:t>
      </w:r>
      <w:r>
        <w:t>member.</w:t>
      </w:r>
    </w:p>
    <w:p w14:paraId="410382D9" w14:textId="77777777" w:rsidR="006D388D" w:rsidRDefault="006D388D">
      <w:pPr>
        <w:sectPr w:rsidR="006D388D" w:rsidSect="00250845">
          <w:headerReference w:type="default" r:id="rId12"/>
          <w:headerReference w:type="first" r:id="rId13"/>
          <w:type w:val="continuous"/>
          <w:pgSz w:w="11920" w:h="16840"/>
          <w:pgMar w:top="1060" w:right="1260" w:bottom="280" w:left="1180" w:header="720" w:footer="720" w:gutter="0"/>
          <w:cols w:space="720"/>
          <w:titlePg/>
          <w:docGrid w:linePitch="299"/>
        </w:sectPr>
      </w:pPr>
    </w:p>
    <w:p w14:paraId="410382DC" w14:textId="77777777" w:rsidR="006D388D" w:rsidRDefault="00250845">
      <w:pPr>
        <w:spacing w:before="90"/>
        <w:ind w:left="100"/>
        <w:rPr>
          <w:rFonts w:ascii="Arial" w:hAnsi="Arial"/>
          <w:b/>
          <w:sz w:val="32"/>
        </w:rPr>
      </w:pPr>
      <w:r>
        <w:rPr>
          <w:rFonts w:ascii="Arial" w:hAnsi="Arial"/>
          <w:b/>
          <w:sz w:val="32"/>
        </w:rPr>
        <w:lastRenderedPageBreak/>
        <w:t>Schedule – arrangement or agreement</w:t>
      </w:r>
    </w:p>
    <w:p w14:paraId="410382DD" w14:textId="77777777" w:rsidR="006D388D" w:rsidRDefault="00250845">
      <w:pPr>
        <w:spacing w:before="241" w:line="242" w:lineRule="auto"/>
        <w:ind w:left="100" w:right="36"/>
        <w:rPr>
          <w:rFonts w:ascii="Arial"/>
        </w:rPr>
      </w:pPr>
      <w:r>
        <w:rPr>
          <w:rFonts w:ascii="Arial"/>
        </w:rPr>
        <w:t xml:space="preserve">An arrangement for a voluntary total transfer of business under the </w:t>
      </w:r>
      <w:r>
        <w:rPr>
          <w:rFonts w:ascii="Arial"/>
          <w:i/>
        </w:rPr>
        <w:t>Financial Sector (Transfer and Restructure) Act 1999</w:t>
      </w:r>
      <w:r>
        <w:rPr>
          <w:rFonts w:ascii="Arial"/>
        </w:rPr>
        <w:t>.</w:t>
      </w:r>
    </w:p>
    <w:sectPr w:rsidR="006D388D">
      <w:pgSz w:w="11910" w:h="16840"/>
      <w:pgMar w:top="158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7EA31" w14:textId="77777777" w:rsidR="00250845" w:rsidRDefault="00250845" w:rsidP="00250845">
      <w:r>
        <w:separator/>
      </w:r>
    </w:p>
  </w:endnote>
  <w:endnote w:type="continuationSeparator" w:id="0">
    <w:p w14:paraId="76A1F60F" w14:textId="77777777" w:rsidR="00250845" w:rsidRDefault="00250845" w:rsidP="00250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C7E79" w14:textId="77777777" w:rsidR="00250845" w:rsidRDefault="00250845" w:rsidP="00250845">
      <w:r>
        <w:separator/>
      </w:r>
    </w:p>
  </w:footnote>
  <w:footnote w:type="continuationSeparator" w:id="0">
    <w:p w14:paraId="5887811A" w14:textId="77777777" w:rsidR="00250845" w:rsidRDefault="00250845" w:rsidP="00250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4E068" w14:textId="18F89281" w:rsidR="00250845" w:rsidRDefault="00250845">
    <w:pPr>
      <w:pStyle w:val="Header"/>
    </w:pPr>
  </w:p>
  <w:p w14:paraId="17A0D2AF" w14:textId="77777777" w:rsidR="00250845" w:rsidRDefault="002508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77" w:type="dxa"/>
      <w:tblInd w:w="80" w:type="dxa"/>
      <w:tblLayout w:type="fixed"/>
      <w:tblLook w:val="01E0" w:firstRow="1" w:lastRow="1" w:firstColumn="1" w:lastColumn="1" w:noHBand="0" w:noVBand="0"/>
    </w:tblPr>
    <w:tblGrid>
      <w:gridCol w:w="1263"/>
      <w:gridCol w:w="4435"/>
      <w:gridCol w:w="3979"/>
    </w:tblGrid>
    <w:tr w:rsidR="00250845" w:rsidRPr="00CE796A" w14:paraId="430A3657" w14:textId="77777777" w:rsidTr="00EE4E2C">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3CC5CB2C" w14:textId="77777777" w:rsidR="00250845" w:rsidRPr="00CE796A" w:rsidRDefault="00250845" w:rsidP="00250845">
          <w:pPr>
            <w:spacing w:before="60"/>
            <w:ind w:left="-51"/>
            <w:rPr>
              <w:rFonts w:ascii="Arial" w:hAnsi="Arial"/>
              <w:sz w:val="12"/>
            </w:rPr>
          </w:pPr>
          <w:bookmarkStart w:id="1" w:name="OLE_LINK2"/>
          <w:r>
            <w:rPr>
              <w:rFonts w:ascii="Arial" w:hAnsi="Arial"/>
              <w:noProof/>
              <w:sz w:val="12"/>
              <w:lang w:eastAsia="en-AU"/>
            </w:rPr>
            <w:drawing>
              <wp:inline distT="0" distB="0" distL="0" distR="0" wp14:anchorId="339C3E4B" wp14:editId="0C0E8DA7">
                <wp:extent cx="702945" cy="544195"/>
                <wp:effectExtent l="0" t="0" r="0" b="8255"/>
                <wp:docPr id="1" name="Picture 1"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0B1031A7" w14:textId="77777777" w:rsidR="00250845" w:rsidRPr="00CE796A" w:rsidRDefault="00250845" w:rsidP="00250845">
          <w:pPr>
            <w:spacing w:before="6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074D7EE8" w14:textId="77777777" w:rsidR="00250845" w:rsidRPr="00CE796A" w:rsidRDefault="00250845" w:rsidP="00250845">
          <w:pPr>
            <w:spacing w:before="180" w:line="800" w:lineRule="exact"/>
            <w:jc w:val="right"/>
            <w:rPr>
              <w:rFonts w:ascii="Arial" w:hAnsi="Arial" w:cs="Arial"/>
              <w:b/>
              <w:sz w:val="100"/>
              <w:szCs w:val="100"/>
            </w:rPr>
          </w:pPr>
          <w:r w:rsidRPr="00CE796A">
            <w:rPr>
              <w:rFonts w:ascii="Arial" w:hAnsi="Arial" w:cs="Arial"/>
              <w:b/>
              <w:sz w:val="100"/>
              <w:szCs w:val="100"/>
            </w:rPr>
            <w:t>Gazette</w:t>
          </w:r>
        </w:p>
      </w:tc>
    </w:tr>
    <w:tr w:rsidR="00250845" w:rsidRPr="00CE796A" w14:paraId="5E02FC77" w14:textId="77777777" w:rsidTr="00EE4E2C">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79D379F3" w14:textId="77777777" w:rsidR="00250845" w:rsidRPr="00CE796A" w:rsidRDefault="00250845" w:rsidP="00250845">
          <w:pPr>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40FA5105" w14:textId="77777777" w:rsidR="00250845" w:rsidRPr="00840A06" w:rsidRDefault="00250845" w:rsidP="00250845">
          <w:pPr>
            <w:jc w:val="right"/>
            <w:rPr>
              <w:rFonts w:ascii="Arial" w:hAnsi="Arial" w:cs="Arial"/>
              <w:b/>
              <w:sz w:val="24"/>
              <w:szCs w:val="24"/>
            </w:rPr>
          </w:pPr>
          <w:r w:rsidRPr="00840A06">
            <w:rPr>
              <w:rFonts w:ascii="Arial" w:hAnsi="Arial" w:cs="Arial"/>
              <w:b/>
              <w:sz w:val="24"/>
              <w:szCs w:val="24"/>
            </w:rPr>
            <w:t>GOVERNMENT NOTICES</w:t>
          </w:r>
        </w:p>
      </w:tc>
    </w:tr>
    <w:bookmarkEnd w:id="1"/>
  </w:tbl>
  <w:p w14:paraId="487F29BE" w14:textId="77777777" w:rsidR="00250845" w:rsidRDefault="00250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B907C7"/>
    <w:multiLevelType w:val="hybridMultilevel"/>
    <w:tmpl w:val="18FE0C64"/>
    <w:lvl w:ilvl="0" w:tplc="DC1CD522">
      <w:start w:val="1"/>
      <w:numFmt w:val="upperLetter"/>
      <w:lvlText w:val="%1."/>
      <w:lvlJc w:val="left"/>
      <w:pPr>
        <w:ind w:left="708" w:hanging="568"/>
        <w:jc w:val="left"/>
      </w:pPr>
      <w:rPr>
        <w:rFonts w:ascii="Arial" w:eastAsia="Arial" w:hAnsi="Arial" w:cs="Arial" w:hint="default"/>
        <w:w w:val="100"/>
        <w:sz w:val="22"/>
        <w:szCs w:val="22"/>
        <w:lang w:val="en-US" w:eastAsia="en-US" w:bidi="en-US"/>
      </w:rPr>
    </w:lvl>
    <w:lvl w:ilvl="1" w:tplc="FD844A0A">
      <w:numFmt w:val="bullet"/>
      <w:lvlText w:val="•"/>
      <w:lvlJc w:val="left"/>
      <w:pPr>
        <w:ind w:left="1578" w:hanging="568"/>
      </w:pPr>
      <w:rPr>
        <w:rFonts w:hint="default"/>
        <w:lang w:val="en-US" w:eastAsia="en-US" w:bidi="en-US"/>
      </w:rPr>
    </w:lvl>
    <w:lvl w:ilvl="2" w:tplc="D092FB76">
      <w:numFmt w:val="bullet"/>
      <w:lvlText w:val="•"/>
      <w:lvlJc w:val="left"/>
      <w:pPr>
        <w:ind w:left="2456" w:hanging="568"/>
      </w:pPr>
      <w:rPr>
        <w:rFonts w:hint="default"/>
        <w:lang w:val="en-US" w:eastAsia="en-US" w:bidi="en-US"/>
      </w:rPr>
    </w:lvl>
    <w:lvl w:ilvl="3" w:tplc="685CFB12">
      <w:numFmt w:val="bullet"/>
      <w:lvlText w:val="•"/>
      <w:lvlJc w:val="left"/>
      <w:pPr>
        <w:ind w:left="3334" w:hanging="568"/>
      </w:pPr>
      <w:rPr>
        <w:rFonts w:hint="default"/>
        <w:lang w:val="en-US" w:eastAsia="en-US" w:bidi="en-US"/>
      </w:rPr>
    </w:lvl>
    <w:lvl w:ilvl="4" w:tplc="6484A006">
      <w:numFmt w:val="bullet"/>
      <w:lvlText w:val="•"/>
      <w:lvlJc w:val="left"/>
      <w:pPr>
        <w:ind w:left="4212" w:hanging="568"/>
      </w:pPr>
      <w:rPr>
        <w:rFonts w:hint="default"/>
        <w:lang w:val="en-US" w:eastAsia="en-US" w:bidi="en-US"/>
      </w:rPr>
    </w:lvl>
    <w:lvl w:ilvl="5" w:tplc="84645132">
      <w:numFmt w:val="bullet"/>
      <w:lvlText w:val="•"/>
      <w:lvlJc w:val="left"/>
      <w:pPr>
        <w:ind w:left="5090" w:hanging="568"/>
      </w:pPr>
      <w:rPr>
        <w:rFonts w:hint="default"/>
        <w:lang w:val="en-US" w:eastAsia="en-US" w:bidi="en-US"/>
      </w:rPr>
    </w:lvl>
    <w:lvl w:ilvl="6" w:tplc="3B4656A6">
      <w:numFmt w:val="bullet"/>
      <w:lvlText w:val="•"/>
      <w:lvlJc w:val="left"/>
      <w:pPr>
        <w:ind w:left="5968" w:hanging="568"/>
      </w:pPr>
      <w:rPr>
        <w:rFonts w:hint="default"/>
        <w:lang w:val="en-US" w:eastAsia="en-US" w:bidi="en-US"/>
      </w:rPr>
    </w:lvl>
    <w:lvl w:ilvl="7" w:tplc="9F5ADA74">
      <w:numFmt w:val="bullet"/>
      <w:lvlText w:val="•"/>
      <w:lvlJc w:val="left"/>
      <w:pPr>
        <w:ind w:left="6846" w:hanging="568"/>
      </w:pPr>
      <w:rPr>
        <w:rFonts w:hint="default"/>
        <w:lang w:val="en-US" w:eastAsia="en-US" w:bidi="en-US"/>
      </w:rPr>
    </w:lvl>
    <w:lvl w:ilvl="8" w:tplc="16FE6408">
      <w:numFmt w:val="bullet"/>
      <w:lvlText w:val="•"/>
      <w:lvlJc w:val="left"/>
      <w:pPr>
        <w:ind w:left="7724" w:hanging="568"/>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6D388D"/>
    <w:rsid w:val="00250845"/>
    <w:rsid w:val="006D388D"/>
    <w:rsid w:val="00D179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0382B5"/>
  <w15:docId w15:val="{92597F6F-3748-4C4B-BA07-07A56A875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40"/>
      <w:outlineLvl w:val="0"/>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708" w:hanging="568"/>
    </w:pPr>
    <w:rPr>
      <w:rFonts w:ascii="Arial" w:eastAsia="Arial" w:hAnsi="Arial" w:cs="Arial"/>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50845"/>
    <w:pPr>
      <w:tabs>
        <w:tab w:val="center" w:pos="4513"/>
        <w:tab w:val="right" w:pos="9026"/>
      </w:tabs>
    </w:pPr>
  </w:style>
  <w:style w:type="character" w:customStyle="1" w:styleId="HeaderChar">
    <w:name w:val="Header Char"/>
    <w:basedOn w:val="DefaultParagraphFont"/>
    <w:link w:val="Header"/>
    <w:uiPriority w:val="99"/>
    <w:rsid w:val="00250845"/>
    <w:rPr>
      <w:rFonts w:ascii="Times New Roman" w:eastAsia="Times New Roman" w:hAnsi="Times New Roman" w:cs="Times New Roman"/>
      <w:lang w:bidi="en-US"/>
    </w:rPr>
  </w:style>
  <w:style w:type="paragraph" w:styleId="Footer">
    <w:name w:val="footer"/>
    <w:basedOn w:val="Normal"/>
    <w:link w:val="FooterChar"/>
    <w:uiPriority w:val="99"/>
    <w:unhideWhenUsed/>
    <w:rsid w:val="00250845"/>
    <w:pPr>
      <w:tabs>
        <w:tab w:val="center" w:pos="4513"/>
        <w:tab w:val="right" w:pos="9026"/>
      </w:tabs>
    </w:pPr>
  </w:style>
  <w:style w:type="character" w:customStyle="1" w:styleId="FooterChar">
    <w:name w:val="Footer Char"/>
    <w:basedOn w:val="DefaultParagraphFont"/>
    <w:link w:val="Footer"/>
    <w:uiPriority w:val="99"/>
    <w:rsid w:val="00250845"/>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a36a5a650d54f768f171f4d17b8b238 xmlns="814d62cb-2db6-4c25-ab62-b9075facbc11">
      <Terms xmlns="http://schemas.microsoft.com/office/infopath/2007/PartnerControls"/>
    </aa36a5a650d54f768f171f4d17b8b238>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l003ee8eff60461aa1bd0027aba92ea4 xmlns="814d62cb-2db6-4c25-ab62-b9075facbc11">
      <Terms xmlns="http://schemas.microsoft.com/office/infopath/2007/PartnerControls"/>
    </l003ee8eff60461aa1bd0027aba92ea4>
    <b37d8d7e823543f58f89056343a9035c xmlns="814d62cb-2db6-4c25-ab62-b9075facbc11">
      <Terms xmlns="http://schemas.microsoft.com/office/infopath/2007/PartnerControls"/>
    </b37d8d7e823543f58f89056343a9035c>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Resolution ＆ Corporate</TermName>
          <TermId xmlns="http://schemas.microsoft.com/office/infopath/2007/PartnerControls">696624b1-19f4-47b2-a07b-57868a922a96</TermId>
        </TermInfo>
      </Terms>
    </p10c80fc2da942ae8f2ea9b33b6ea0ba>
    <_dlc_DocId xmlns="814d62cb-2db6-4c25-ab62-b9075facbc11">5JENXJJSCC7A-445999044-11432</_dlc_DocId>
    <TaxCatchAll xmlns="814d62cb-2db6-4c25-ab62-b9075facbc11">
      <Value>24</Value>
      <Value>134</Value>
      <Value>83</Value>
      <Value>26</Value>
      <Value>10</Value>
      <Value>109</Value>
      <Value>93</Value>
      <Value>58</Value>
      <Value>230</Value>
      <Value>4</Value>
      <Value>19</Value>
    </TaxCatchAll>
    <_dlc_DocIdUrl xmlns="814d62cb-2db6-4c25-ab62-b9075facbc11">
      <Url>https://im/teams/LEGAL/_layouts/15/DocIdRedir.aspx?ID=5JENXJJSCC7A-445999044-11432</Url>
      <Description>5JENXJJSCC7A-445999044-11432</Description>
    </_dlc_DocIdUrl>
    <ka2715b9eb154114a4f57d7fbf82ec75 xmlns="814d62cb-2db6-4c25-ab62-b9075facbc11">
      <Terms xmlns="http://schemas.microsoft.com/office/infopath/2007/PartnerControls"/>
    </ka2715b9eb154114a4f57d7fbf82ec75>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0e1e43df-81ea-47af-89d8-970d5d5956ff</TermId>
        </TermInfo>
      </Terms>
    </i08e72d8ce2b4ffa9361f9f4e0a63abc>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pa005173035e41c3986b37b8e650f3ef xmlns="814d62cb-2db6-4c25-ab62-b9075facbc11">
      <Terms xmlns="http://schemas.microsoft.com/office/infopath/2007/PartnerControls"/>
    </pa005173035e41c3986b37b8e650f3ef>
    <APRADescription xmlns="814d62cb-2db6-4c25-ab62-b9075facbc11">Consent to sale or disposal of business of an ADI</APRADescription>
    <APRAActivityID xmlns="814d62cb-2db6-4c25-ab62-b9075facbc11" xsi:nil="true"/>
    <APRADocScanCheck xmlns="814d62cb-2db6-4c25-ab62-b9075facbc11">false</APRADocScanCheck>
  </documentManagement>
</p:properties>
</file>

<file path=customXml/item3.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65" ma:contentTypeDescription="Create a new document." ma:contentTypeScope="" ma:versionID="ed54913a58b13ec9a4f62e4f679bf43d">
  <xsd:schema xmlns:xsd="http://www.w3.org/2001/XMLSchema" xmlns:xs="http://www.w3.org/2001/XMLSchema" xmlns:p="http://schemas.microsoft.com/office/2006/metadata/properties" xmlns:ns1="814d62cb-2db6-4c25-ab62-b9075facbc11" targetNamespace="http://schemas.microsoft.com/office/2006/metadata/properties" ma:root="true" ma:fieldsID="7316c3dd8dea1b9faf1ddd38148a4490"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aef97a4-ded2-4e4a-9fbc-e666dae3ecd2" ContentTypeId="0x0101008CA7A4F8331B45C7B0D3158B4994D0CA02"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CB88556-4893-4201-9A49-0D501ADB25B7}">
  <ds:schemaRefs>
    <ds:schemaRef ds:uri="http://schemas.microsoft.com/sharepoint/v3/contenttype/forms"/>
  </ds:schemaRefs>
</ds:datastoreItem>
</file>

<file path=customXml/itemProps2.xml><?xml version="1.0" encoding="utf-8"?>
<ds:datastoreItem xmlns:ds="http://schemas.openxmlformats.org/officeDocument/2006/customXml" ds:itemID="{CBCEB32C-EC58-4786-9D4D-408339BF0A41}">
  <ds:schemaRefs>
    <ds:schemaRef ds:uri="http://purl.org/dc/elements/1.1/"/>
    <ds:schemaRef ds:uri="http://schemas.microsoft.com/office/2006/documentManagement/types"/>
    <ds:schemaRef ds:uri="http://purl.org/dc/terms/"/>
    <ds:schemaRef ds:uri="http://www.w3.org/XML/1998/namespace"/>
    <ds:schemaRef ds:uri="http://purl.org/dc/dcmitype/"/>
    <ds:schemaRef ds:uri="http://schemas.microsoft.com/office/infopath/2007/PartnerControls"/>
    <ds:schemaRef ds:uri="http://schemas.openxmlformats.org/package/2006/metadata/core-properties"/>
    <ds:schemaRef ds:uri="814d62cb-2db6-4c25-ab62-b9075facbc11"/>
    <ds:schemaRef ds:uri="http://schemas.microsoft.com/office/2006/metadata/properties"/>
  </ds:schemaRefs>
</ds:datastoreItem>
</file>

<file path=customXml/itemProps3.xml><?xml version="1.0" encoding="utf-8"?>
<ds:datastoreItem xmlns:ds="http://schemas.openxmlformats.org/officeDocument/2006/customXml" ds:itemID="{DE78D94F-2F0D-4BEF-BF27-DDA27FA1F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827580-AD66-4628-BB37-0DA2A737EDAD}">
  <ds:schemaRefs>
    <ds:schemaRef ds:uri="Microsoft.SharePoint.Taxonomy.ContentTypeSync"/>
  </ds:schemaRefs>
</ds:datastoreItem>
</file>

<file path=customXml/itemProps5.xml><?xml version="1.0" encoding="utf-8"?>
<ds:datastoreItem xmlns:ds="http://schemas.openxmlformats.org/officeDocument/2006/customXml" ds:itemID="{46AEF434-697A-487F-9D2F-BD745A5E229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393</Words>
  <Characters>1903</Characters>
  <Application>Microsoft Office Word</Application>
  <DocSecurity>0</DocSecurity>
  <Lines>51</Lines>
  <Paragraphs>31</Paragraphs>
  <ScaleCrop>false</ScaleCrop>
  <HeadingPairs>
    <vt:vector size="2" baseType="variant">
      <vt:variant>
        <vt:lpstr>Title</vt:lpstr>
      </vt:variant>
      <vt:variant>
        <vt:i4>1</vt:i4>
      </vt:variant>
    </vt:vector>
  </HeadingPairs>
  <TitlesOfParts>
    <vt:vector size="1" baseType="lpstr">
      <vt:lpstr>Lysaght Credit s.63 Banking Act - Consent to sale or disposal of business of an ADI 10022021</vt:lpstr>
    </vt:vector>
  </TitlesOfParts>
  <Company>APRA</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Lysaght Credit Union Ltd - 120221</dc:title>
  <dc:creator>Gotlib, Isaac</dc:creator>
  <cp:keywords> [SEC=OFFICIAL]</cp:keywords>
  <cp:lastModifiedBy>Michalis, Toni</cp:lastModifiedBy>
  <cp:revision>3</cp:revision>
  <dcterms:created xsi:type="dcterms:W3CDTF">2021-02-12T09:21:00Z</dcterms:created>
  <dcterms:modified xsi:type="dcterms:W3CDTF">2021-02-16T01:51:00Z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2021-02-12T00:00:00Z</vt:filetime>
  </property>
  <property fmtid="{D5CDD505-2E9C-101B-9397-08002B2CF9AE}" pid="3" name="Creator">
    <vt:lpwstr>Microsoft Word</vt:lpwstr>
  </property>
  <property fmtid="{D5CDD505-2E9C-101B-9397-08002B2CF9AE}" pid="4" name="LastSaved">
    <vt:filetime>2021-02-12T00:00:00Z</vt:filetime>
  </property>
  <property fmtid="{D5CDD505-2E9C-101B-9397-08002B2CF9AE}" pid="5" name="APRAPeriod">
    <vt:lpwstr/>
  </property>
  <property fmtid="{D5CDD505-2E9C-101B-9397-08002B2CF9AE}" pid="6" name="APRACostCentre">
    <vt:lpwstr>134;#Legal - Superannuation|cce3181d-fd23-4eee-94d3-c66abc2350cf;#26;#Legal - Insurance: General|8229dc1a-d7f2-47b2-844a-b026fed0c13d;#83;#Legal - Insurance: Life|56f18b50-6605-4f3f-97e3-cad1cb5394e0;#93;#Legal - Insurance: Health|21611e62-d688-4f0d-8807-02701cc43699;#24;#Legal - ADI|652d8d2a-ab45-47b4-ac6e-fe6ac9299b39;#4;#Legal - Resolution ＆ Corporate|696624b1-19f4-47b2-a07b-57868a922a96</vt:lpwstr>
  </property>
  <property fmtid="{D5CDD505-2E9C-101B-9397-08002B2CF9AE}" pid="7" name="APRALegislation">
    <vt:lpwstr/>
  </property>
  <property fmtid="{D5CDD505-2E9C-101B-9397-08002B2CF9AE}" pid="8" name="APRAYear">
    <vt:lpwstr>230;#2021|0e1e43df-81ea-47af-89d8-970d5d5956ff</vt:lpwstr>
  </property>
  <property fmtid="{D5CDD505-2E9C-101B-9397-08002B2CF9AE}" pid="9" name="APRAIndustry">
    <vt:lpwstr/>
  </property>
  <property fmtid="{D5CDD505-2E9C-101B-9397-08002B2CF9AE}" pid="10" name="ContentTypeId">
    <vt:lpwstr>0x0101008CA7A4F8331B45C7B0D3158B4994D0CA0200577EC0F5A1FBFC498F9A8436B963F8A6</vt:lpwstr>
  </property>
  <property fmtid="{D5CDD505-2E9C-101B-9397-08002B2CF9AE}" pid="11" name="_dlc_DocIdItemGuid">
    <vt:lpwstr>abbfbc82-f3f4-4705-a567-a97d728b4de6</vt:lpwstr>
  </property>
  <property fmtid="{D5CDD505-2E9C-101B-9397-08002B2CF9AE}" pid="12" name="APRAPRSG">
    <vt:lpwstr/>
  </property>
  <property fmtid="{D5CDD505-2E9C-101B-9397-08002B2CF9AE}" pid="13" name="IsLocked">
    <vt:lpwstr>Yes</vt:lpwstr>
  </property>
  <property fmtid="{D5CDD505-2E9C-101B-9397-08002B2CF9AE}" pid="14" name="APRAStatus">
    <vt:lpwstr>19;#Final|84d6b2d0-8498-4d62-bf46-bab38babbe9e</vt:lpwstr>
  </property>
  <property fmtid="{D5CDD505-2E9C-101B-9397-08002B2CF9AE}" pid="15" name="PM_ProtectiveMarkingImage_Header">
    <vt:lpwstr>C:\Program Files\Common Files\janusNET Shared\janusSEAL\Images\DocumentSlashBlue.png</vt:lpwstr>
  </property>
  <property fmtid="{D5CDD505-2E9C-101B-9397-08002B2CF9AE}" pid="16" name="PM_Caveats_Count">
    <vt:lpwstr>0</vt:lpwstr>
  </property>
  <property fmtid="{D5CDD505-2E9C-101B-9397-08002B2CF9AE}" pid="17" name="PM_DisplayValueSecClassificationWithQualifier">
    <vt:lpwstr>OFFICIAL</vt:lpwstr>
  </property>
  <property fmtid="{D5CDD505-2E9C-101B-9397-08002B2CF9AE}" pid="18" name="PM_Qualifier">
    <vt:lpwstr/>
  </property>
  <property fmtid="{D5CDD505-2E9C-101B-9397-08002B2CF9AE}" pid="19" name="PM_SecurityClassification">
    <vt:lpwstr>OFFICIAL</vt:lpwstr>
  </property>
  <property fmtid="{D5CDD505-2E9C-101B-9397-08002B2CF9AE}" pid="20" name="PM_InsertionValue">
    <vt:lpwstr>OFFICIAL</vt:lpwstr>
  </property>
  <property fmtid="{D5CDD505-2E9C-101B-9397-08002B2CF9AE}" pid="21" name="PM_Originating_FileId">
    <vt:lpwstr>BC1C33BE283242A68AA7CA064E15C8EC</vt:lpwstr>
  </property>
  <property fmtid="{D5CDD505-2E9C-101B-9397-08002B2CF9AE}" pid="22" name="PM_ProtectiveMarkingValue_Footer">
    <vt:lpwstr>OFFICIAL</vt:lpwstr>
  </property>
  <property fmtid="{D5CDD505-2E9C-101B-9397-08002B2CF9AE}" pid="23" name="PM_Originator_Hash_SHA1">
    <vt:lpwstr>C3AD57350F36D8E1BD75F8F67CB06D435C9C43CA</vt:lpwstr>
  </property>
  <property fmtid="{D5CDD505-2E9C-101B-9397-08002B2CF9AE}" pid="24" name="PM_OriginationTimeStamp">
    <vt:lpwstr>2021-02-16T01:51:14Z</vt:lpwstr>
  </property>
  <property fmtid="{D5CDD505-2E9C-101B-9397-08002B2CF9AE}" pid="25" name="PM_ProtectiveMarkingValue_Header">
    <vt:lpwstr>OFFICIAL</vt:lpwstr>
  </property>
  <property fmtid="{D5CDD505-2E9C-101B-9397-08002B2CF9AE}" pid="26" name="PM_ProtectiveMarkingImage_Footer">
    <vt:lpwstr>C:\Program Files\Common Files\janusNET Shared\janusSEAL\Images\DocumentSlashBlue.png</vt:lpwstr>
  </property>
  <property fmtid="{D5CDD505-2E9C-101B-9397-08002B2CF9AE}" pid="27" name="PM_Namespace">
    <vt:lpwstr>gov.au</vt:lpwstr>
  </property>
  <property fmtid="{D5CDD505-2E9C-101B-9397-08002B2CF9AE}" pid="28" name="PM_Version">
    <vt:lpwstr>2018.3</vt:lpwstr>
  </property>
  <property fmtid="{D5CDD505-2E9C-101B-9397-08002B2CF9AE}" pid="29" name="PM_Note">
    <vt:lpwstr/>
  </property>
  <property fmtid="{D5CDD505-2E9C-101B-9397-08002B2CF9AE}" pid="30" name="PM_Markers">
    <vt:lpwstr/>
  </property>
  <property fmtid="{D5CDD505-2E9C-101B-9397-08002B2CF9AE}" pid="31" name="PM_Hash_Version">
    <vt:lpwstr>2018.0</vt:lpwstr>
  </property>
  <property fmtid="{D5CDD505-2E9C-101B-9397-08002B2CF9AE}" pid="32" name="PM_Hash_Salt_Prev">
    <vt:lpwstr>5E431208C62B682391BAF276BAE63147</vt:lpwstr>
  </property>
  <property fmtid="{D5CDD505-2E9C-101B-9397-08002B2CF9AE}" pid="33" name="PM_Hash_Salt">
    <vt:lpwstr>633561D865A2EACF709E1FB9EAFEA026</vt:lpwstr>
  </property>
  <property fmtid="{D5CDD505-2E9C-101B-9397-08002B2CF9AE}" pid="34" name="PM_Hash_SHA1">
    <vt:lpwstr>D537789812AB338D7BFB88B7D034E6E082BDEDFC</vt:lpwstr>
  </property>
  <property fmtid="{D5CDD505-2E9C-101B-9397-08002B2CF9AE}" pid="35" name="PM_SecurityClassification_Prev">
    <vt:lpwstr>OFFICIAL</vt:lpwstr>
  </property>
  <property fmtid="{D5CDD505-2E9C-101B-9397-08002B2CF9AE}" pid="36" name="PM_Qualifier_Prev">
    <vt:lpwstr/>
  </property>
  <property fmtid="{D5CDD505-2E9C-101B-9397-08002B2CF9AE}" pid="37" name="IT system type">
    <vt:lpwstr/>
  </property>
  <property fmtid="{D5CDD505-2E9C-101B-9397-08002B2CF9AE}" pid="38" name="APRACategory">
    <vt:lpwstr/>
  </property>
  <property fmtid="{D5CDD505-2E9C-101B-9397-08002B2CF9AE}" pid="39" name="APRADocumentType">
    <vt:lpwstr>58;#Legal instrument|71fd6ed3-d6d6-4975-ba99-bfe45802e734</vt:lpwstr>
  </property>
  <property fmtid="{D5CDD505-2E9C-101B-9397-08002B2CF9AE}" pid="40" name="APRAActivity">
    <vt:lpwstr>10;#Registration|390476ce-d76d-4e8d-905f-28e32d2df127;#109;#Statutory instrument|fe68928c-5a9c-4caf-bc8c-6c18cedcb17f</vt:lpwstr>
  </property>
  <property fmtid="{D5CDD505-2E9C-101B-9397-08002B2CF9AE}" pid="41" name="APRAEntityAdviceSupport">
    <vt:lpwstr/>
  </property>
  <property fmtid="{D5CDD505-2E9C-101B-9397-08002B2CF9AE}" pid="42" name="APRAExternalOrganisation">
    <vt:lpwstr/>
  </property>
  <property fmtid="{D5CDD505-2E9C-101B-9397-08002B2CF9AE}" pid="43" name="APRAIRTR">
    <vt:lpwstr/>
  </property>
  <property fmtid="{D5CDD505-2E9C-101B-9397-08002B2CF9AE}" pid="44" name="RecordPoint_WorkflowType">
    <vt:lpwstr>ActiveSubmitStub</vt:lpwstr>
  </property>
  <property fmtid="{D5CDD505-2E9C-101B-9397-08002B2CF9AE}" pid="45" name="RecordPoint_ActiveItemSiteId">
    <vt:lpwstr>{88691c01-5bbb-4215-adc0-66cb7065b0af}</vt:lpwstr>
  </property>
  <property fmtid="{D5CDD505-2E9C-101B-9397-08002B2CF9AE}" pid="46" name="RecordPoint_ActiveItemListId">
    <vt:lpwstr>{0e59e171-09d8-4401-800a-327154450cb3}</vt:lpwstr>
  </property>
  <property fmtid="{D5CDD505-2E9C-101B-9397-08002B2CF9AE}" pid="47" name="RecordPoint_ActiveItemUniqueId">
    <vt:lpwstr>{abbfbc82-f3f4-4705-a567-a97d728b4de6}</vt:lpwstr>
  </property>
  <property fmtid="{D5CDD505-2E9C-101B-9397-08002B2CF9AE}" pid="48" name="RecordPoint_ActiveItemWebId">
    <vt:lpwstr>{75a71c27-8d66-4282-ae60-1bfc22a83be1}</vt:lpwstr>
  </property>
  <property fmtid="{D5CDD505-2E9C-101B-9397-08002B2CF9AE}" pid="49" name="RecordPoint_RecordNumberSubmitted">
    <vt:lpwstr>R0001276135</vt:lpwstr>
  </property>
  <property fmtid="{D5CDD505-2E9C-101B-9397-08002B2CF9AE}" pid="50" name="RecordPoint_SubmissionCompleted">
    <vt:lpwstr>2021-02-12T21:22:45.6937717+11:00</vt:lpwstr>
  </property>
</Properties>
</file>