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13DB70" w14:textId="5D56A218" w:rsidR="000A23C9" w:rsidRPr="00BF2F01" w:rsidRDefault="000A23C9" w:rsidP="000A23C9">
      <w:pPr>
        <w:spacing w:after="120"/>
        <w:jc w:val="center"/>
        <w:rPr>
          <w:color w:val="000000" w:themeColor="text1"/>
        </w:rPr>
      </w:pPr>
      <w:r>
        <w:rPr>
          <w:b/>
          <w:i/>
          <w:color w:val="000000" w:themeColor="text1"/>
          <w:sz w:val="26"/>
          <w:szCs w:val="26"/>
        </w:rPr>
        <w:br/>
      </w:r>
      <w:r w:rsidRPr="00BF2F01">
        <w:rPr>
          <w:b/>
          <w:i/>
          <w:color w:val="000000" w:themeColor="text1"/>
          <w:sz w:val="26"/>
          <w:szCs w:val="26"/>
        </w:rPr>
        <w:t xml:space="preserve">Aboriginal and Torres Strait Islander Heritage Protection Act 1984 </w:t>
      </w:r>
      <w:r w:rsidRPr="00BF2F01">
        <w:rPr>
          <w:b/>
          <w:color w:val="000000" w:themeColor="text1"/>
          <w:sz w:val="26"/>
          <w:szCs w:val="26"/>
        </w:rPr>
        <w:t>(</w:t>
      </w:r>
      <w:proofErr w:type="spellStart"/>
      <w:r w:rsidRPr="00BF2F01">
        <w:rPr>
          <w:b/>
          <w:color w:val="000000" w:themeColor="text1"/>
          <w:sz w:val="26"/>
          <w:szCs w:val="26"/>
        </w:rPr>
        <w:t>Cth</w:t>
      </w:r>
      <w:proofErr w:type="spellEnd"/>
      <w:r w:rsidRPr="00BF2F01">
        <w:rPr>
          <w:b/>
          <w:color w:val="000000" w:themeColor="text1"/>
          <w:sz w:val="26"/>
          <w:szCs w:val="26"/>
        </w:rPr>
        <w:t>)</w:t>
      </w:r>
    </w:p>
    <w:p w14:paraId="3CD63E7D" w14:textId="5AC62C94" w:rsidR="000A23C9" w:rsidRDefault="000A23C9" w:rsidP="000A23C9">
      <w:pPr>
        <w:spacing w:after="120"/>
        <w:jc w:val="center"/>
        <w:rPr>
          <w:b/>
          <w:color w:val="000000" w:themeColor="text1"/>
          <w:sz w:val="26"/>
          <w:szCs w:val="26"/>
        </w:rPr>
      </w:pPr>
      <w:r w:rsidRPr="00BF2F01">
        <w:rPr>
          <w:b/>
          <w:color w:val="000000" w:themeColor="text1"/>
          <w:sz w:val="26"/>
          <w:szCs w:val="26"/>
        </w:rPr>
        <w:t>Notice of an application for the protection of</w:t>
      </w:r>
      <w:r>
        <w:rPr>
          <w:b/>
          <w:color w:val="000000" w:themeColor="text1"/>
          <w:sz w:val="26"/>
          <w:szCs w:val="26"/>
        </w:rPr>
        <w:t xml:space="preserve"> a specified </w:t>
      </w:r>
      <w:r w:rsidRPr="00237FF1">
        <w:rPr>
          <w:b/>
          <w:color w:val="000000" w:themeColor="text1"/>
          <w:sz w:val="26"/>
          <w:szCs w:val="26"/>
        </w:rPr>
        <w:t>area</w:t>
      </w:r>
      <w:r>
        <w:rPr>
          <w:b/>
          <w:color w:val="000000" w:themeColor="text1"/>
          <w:sz w:val="26"/>
          <w:szCs w:val="26"/>
        </w:rPr>
        <w:t xml:space="preserve">, being the area known as </w:t>
      </w:r>
      <w:proofErr w:type="spellStart"/>
      <w:r w:rsidRPr="000A23C9">
        <w:rPr>
          <w:b/>
          <w:color w:val="000000" w:themeColor="text1"/>
          <w:sz w:val="26"/>
          <w:szCs w:val="26"/>
        </w:rPr>
        <w:t>Burragorang</w:t>
      </w:r>
      <w:proofErr w:type="spellEnd"/>
      <w:r w:rsidRPr="000A23C9">
        <w:rPr>
          <w:b/>
          <w:color w:val="000000" w:themeColor="text1"/>
          <w:sz w:val="26"/>
          <w:szCs w:val="26"/>
        </w:rPr>
        <w:t xml:space="preserve"> </w:t>
      </w:r>
      <w:r w:rsidR="00AA04C8">
        <w:rPr>
          <w:b/>
          <w:color w:val="000000" w:themeColor="text1"/>
          <w:sz w:val="26"/>
          <w:szCs w:val="26"/>
        </w:rPr>
        <w:t>Valley</w:t>
      </w:r>
      <w:r>
        <w:rPr>
          <w:b/>
          <w:color w:val="000000" w:themeColor="text1"/>
          <w:sz w:val="26"/>
          <w:szCs w:val="26"/>
        </w:rPr>
        <w:t>, near Warragamba, New South Wales</w:t>
      </w:r>
    </w:p>
    <w:p w14:paraId="58E0A9F4" w14:textId="77777777" w:rsidR="000A23C9" w:rsidRPr="00BF2F01" w:rsidRDefault="000A23C9" w:rsidP="000A23C9">
      <w:pPr>
        <w:spacing w:after="120"/>
        <w:jc w:val="center"/>
        <w:rPr>
          <w:b/>
          <w:color w:val="000000" w:themeColor="text1"/>
          <w:sz w:val="26"/>
          <w:szCs w:val="26"/>
        </w:rPr>
      </w:pPr>
      <w:r w:rsidRPr="00BF2F01">
        <w:rPr>
          <w:b/>
          <w:color w:val="000000" w:themeColor="text1"/>
          <w:sz w:val="26"/>
          <w:szCs w:val="26"/>
        </w:rPr>
        <w:t>Invitation to make representations</w:t>
      </w:r>
    </w:p>
    <w:p w14:paraId="3F0C9740" w14:textId="74CDA790" w:rsidR="004B2753" w:rsidRDefault="000A23C9" w:rsidP="00424B97">
      <w:r>
        <w:t>I, Greg Terrill, hereby give notice as follows:</w:t>
      </w:r>
    </w:p>
    <w:p w14:paraId="10A2364D" w14:textId="2A7D0313" w:rsidR="000A23C9" w:rsidRDefault="000A23C9" w:rsidP="00424B97">
      <w:pPr>
        <w:rPr>
          <w:color w:val="000000" w:themeColor="text1"/>
        </w:rPr>
      </w:pPr>
      <w:r w:rsidRPr="00BF4F14">
        <w:rPr>
          <w:color w:val="000000" w:themeColor="text1"/>
        </w:rPr>
        <w:t xml:space="preserve">The </w:t>
      </w:r>
      <w:r>
        <w:rPr>
          <w:color w:val="000000" w:themeColor="text1"/>
        </w:rPr>
        <w:t xml:space="preserve">Hon </w:t>
      </w:r>
      <w:proofErr w:type="spellStart"/>
      <w:r>
        <w:rPr>
          <w:color w:val="000000" w:themeColor="text1"/>
        </w:rPr>
        <w:t>Sussan</w:t>
      </w:r>
      <w:proofErr w:type="spellEnd"/>
      <w:r>
        <w:rPr>
          <w:color w:val="000000" w:themeColor="text1"/>
        </w:rPr>
        <w:t xml:space="preserve"> Ley MP,</w:t>
      </w:r>
      <w:r w:rsidRPr="00BF4F14">
        <w:rPr>
          <w:color w:val="000000" w:themeColor="text1"/>
        </w:rPr>
        <w:t xml:space="preserve"> responsible for the </w:t>
      </w:r>
      <w:r w:rsidRPr="00BF4F14">
        <w:rPr>
          <w:i/>
          <w:color w:val="000000" w:themeColor="text1"/>
        </w:rPr>
        <w:t xml:space="preserve">Aboriginal and Torres Strait Islander Heritage Protection Act 1984 </w:t>
      </w:r>
      <w:r w:rsidRPr="00BF4F14">
        <w:rPr>
          <w:color w:val="000000" w:themeColor="text1"/>
        </w:rPr>
        <w:t>(</w:t>
      </w:r>
      <w:proofErr w:type="spellStart"/>
      <w:r w:rsidRPr="00BF4F14">
        <w:rPr>
          <w:color w:val="000000" w:themeColor="text1"/>
        </w:rPr>
        <w:t>Cth</w:t>
      </w:r>
      <w:proofErr w:type="spellEnd"/>
      <w:r w:rsidRPr="00BF4F14">
        <w:rPr>
          <w:color w:val="000000" w:themeColor="text1"/>
        </w:rPr>
        <w:t>)</w:t>
      </w:r>
      <w:r w:rsidRPr="00BF4F14">
        <w:rPr>
          <w:i/>
          <w:color w:val="000000" w:themeColor="text1"/>
        </w:rPr>
        <w:t xml:space="preserve"> </w:t>
      </w:r>
      <w:r w:rsidRPr="00BF4F14">
        <w:rPr>
          <w:color w:val="000000" w:themeColor="text1"/>
        </w:rPr>
        <w:t xml:space="preserve">(the </w:t>
      </w:r>
      <w:r w:rsidRPr="00BF4F14">
        <w:rPr>
          <w:b/>
          <w:color w:val="000000" w:themeColor="text1"/>
        </w:rPr>
        <w:t>Act</w:t>
      </w:r>
      <w:r w:rsidRPr="00BF4F14">
        <w:rPr>
          <w:color w:val="000000" w:themeColor="text1"/>
        </w:rPr>
        <w:t>), has received an application made under section 10 of the Act</w:t>
      </w:r>
      <w:r>
        <w:rPr>
          <w:color w:val="000000" w:themeColor="text1"/>
        </w:rPr>
        <w:t xml:space="preserve">. The application is </w:t>
      </w:r>
      <w:r w:rsidRPr="00BF4F14">
        <w:rPr>
          <w:color w:val="000000" w:themeColor="text1"/>
        </w:rPr>
        <w:t xml:space="preserve">seeking </w:t>
      </w:r>
      <w:r>
        <w:rPr>
          <w:color w:val="000000" w:themeColor="text1"/>
        </w:rPr>
        <w:t xml:space="preserve">long term preservation and </w:t>
      </w:r>
      <w:r w:rsidRPr="00BF4F14">
        <w:rPr>
          <w:color w:val="000000" w:themeColor="text1"/>
        </w:rPr>
        <w:t>protect</w:t>
      </w:r>
      <w:r>
        <w:rPr>
          <w:color w:val="000000" w:themeColor="text1"/>
        </w:rPr>
        <w:t>ion of a significant Aboriginal area</w:t>
      </w:r>
      <w:r w:rsidRPr="00BF4F14">
        <w:rPr>
          <w:color w:val="000000" w:themeColor="text1"/>
        </w:rPr>
        <w:t xml:space="preserve"> being the area known as</w:t>
      </w:r>
      <w:r>
        <w:rPr>
          <w:color w:val="000000" w:themeColor="text1"/>
        </w:rPr>
        <w:t xml:space="preserve"> </w:t>
      </w:r>
      <w:proofErr w:type="spellStart"/>
      <w:r>
        <w:rPr>
          <w:color w:val="000000" w:themeColor="text1"/>
        </w:rPr>
        <w:t>Burragorang</w:t>
      </w:r>
      <w:proofErr w:type="spellEnd"/>
      <w:r>
        <w:rPr>
          <w:color w:val="000000" w:themeColor="text1"/>
        </w:rPr>
        <w:t xml:space="preserve"> </w:t>
      </w:r>
      <w:r w:rsidR="00F07E2E">
        <w:rPr>
          <w:color w:val="000000" w:themeColor="text1"/>
        </w:rPr>
        <w:t>Valley</w:t>
      </w:r>
      <w:r>
        <w:rPr>
          <w:color w:val="000000" w:themeColor="text1"/>
        </w:rPr>
        <w:t>, near Warragamba, New South Wales. The Minister has appointed me to provide a report to her under section 10(1)(c) of the Act.</w:t>
      </w:r>
    </w:p>
    <w:p w14:paraId="37DFDDEE" w14:textId="77777777" w:rsidR="000A23C9" w:rsidRPr="00BF4F14" w:rsidRDefault="000A23C9" w:rsidP="000A23C9">
      <w:pPr>
        <w:pStyle w:val="Heading3"/>
        <w:spacing w:before="0"/>
        <w:jc w:val="both"/>
        <w:rPr>
          <w:rFonts w:asciiTheme="minorHAnsi" w:hAnsiTheme="minorHAnsi"/>
          <w:color w:val="000000" w:themeColor="text1"/>
        </w:rPr>
      </w:pPr>
      <w:r w:rsidRPr="00BF4F14">
        <w:rPr>
          <w:rFonts w:asciiTheme="minorHAnsi" w:hAnsiTheme="minorHAnsi"/>
          <w:color w:val="000000" w:themeColor="text1"/>
        </w:rPr>
        <w:t>The Applicant</w:t>
      </w:r>
    </w:p>
    <w:p w14:paraId="2251CD9A" w14:textId="62585B20" w:rsidR="000A23C9" w:rsidRPr="00BF4F14" w:rsidRDefault="000A23C9" w:rsidP="000A23C9">
      <w:pPr>
        <w:jc w:val="both"/>
        <w:rPr>
          <w:color w:val="000000" w:themeColor="text1"/>
        </w:rPr>
      </w:pPr>
      <w:r w:rsidRPr="00BF4F14">
        <w:rPr>
          <w:color w:val="000000" w:themeColor="text1"/>
        </w:rPr>
        <w:t xml:space="preserve">The application is made on behalf of the </w:t>
      </w:r>
      <w:proofErr w:type="spellStart"/>
      <w:r w:rsidR="00AA04C8">
        <w:rPr>
          <w:color w:val="000000" w:themeColor="text1"/>
        </w:rPr>
        <w:t>Gundungurra</w:t>
      </w:r>
      <w:proofErr w:type="spellEnd"/>
      <w:r w:rsidR="00AA04C8">
        <w:rPr>
          <w:color w:val="000000" w:themeColor="text1"/>
        </w:rPr>
        <w:t xml:space="preserve"> Aboriginal Heritage Association Inc</w:t>
      </w:r>
      <w:r w:rsidR="00F83E28">
        <w:rPr>
          <w:color w:val="000000" w:themeColor="text1"/>
        </w:rPr>
        <w:t>.</w:t>
      </w:r>
      <w:r w:rsidR="00AA04C8">
        <w:rPr>
          <w:color w:val="000000" w:themeColor="text1"/>
        </w:rPr>
        <w:t xml:space="preserve"> by </w:t>
      </w:r>
      <w:r w:rsidR="00F83E28">
        <w:rPr>
          <w:color w:val="000000" w:themeColor="text1"/>
        </w:rPr>
        <w:t>Aunty</w:t>
      </w:r>
      <w:r w:rsidR="00AA04C8">
        <w:rPr>
          <w:color w:val="000000" w:themeColor="text1"/>
        </w:rPr>
        <w:t xml:space="preserve"> Sharyn Halls</w:t>
      </w:r>
      <w:r w:rsidRPr="00BF4F14">
        <w:rPr>
          <w:color w:val="000000" w:themeColor="text1"/>
        </w:rPr>
        <w:t xml:space="preserve">. </w:t>
      </w:r>
    </w:p>
    <w:p w14:paraId="37495421" w14:textId="77777777" w:rsidR="000A23C9" w:rsidRPr="00BF4F14" w:rsidRDefault="000A23C9" w:rsidP="000A23C9">
      <w:pPr>
        <w:pStyle w:val="Heading3"/>
        <w:spacing w:before="0"/>
        <w:jc w:val="both"/>
        <w:rPr>
          <w:rFonts w:asciiTheme="minorHAnsi" w:hAnsiTheme="minorHAnsi"/>
          <w:color w:val="000000" w:themeColor="text1"/>
        </w:rPr>
      </w:pPr>
      <w:r w:rsidRPr="00BF4F14">
        <w:rPr>
          <w:rFonts w:asciiTheme="minorHAnsi" w:hAnsiTheme="minorHAnsi"/>
          <w:color w:val="000000" w:themeColor="text1"/>
        </w:rPr>
        <w:t>The purpose of the application</w:t>
      </w:r>
    </w:p>
    <w:p w14:paraId="132D3EE6" w14:textId="77777777" w:rsidR="000A23C9" w:rsidRPr="00BF4F14" w:rsidRDefault="000A23C9" w:rsidP="000A23C9">
      <w:pPr>
        <w:jc w:val="both"/>
        <w:rPr>
          <w:color w:val="000000" w:themeColor="text1"/>
        </w:rPr>
      </w:pPr>
      <w:r w:rsidRPr="00BF4F14">
        <w:rPr>
          <w:color w:val="000000" w:themeColor="text1"/>
        </w:rPr>
        <w:t>The application seeks the preservation or protection of the area specified in the application and depicted below in Figure 1, from injury or desecration. Section 10 of the Act enables the Minister to decide whether to make a declaration to preserve and protect the specified area, if the Minister is satisfied that the area is a significant Aboriginal area and is under threat of injury or desecration. In the Act, the term ‘significant Aboriginal area’ refers to an area that is of particular significance to Aboriginals in accordance with Aboriginal tradition. Section 3 of the Act provides definitions of relevant terms including ‘Aboriginal tradition’ and ‘injured or desecrated’. The area specified for protection, the claimed significance of the area and the claimed nature of the threat of injury or desecration is set out below.</w:t>
      </w:r>
    </w:p>
    <w:p w14:paraId="49D2A6EA" w14:textId="77777777" w:rsidR="000A23C9" w:rsidRPr="00BF4F14" w:rsidRDefault="000A23C9" w:rsidP="000A23C9">
      <w:pPr>
        <w:pStyle w:val="Heading3"/>
        <w:spacing w:before="0"/>
        <w:jc w:val="both"/>
        <w:rPr>
          <w:rFonts w:asciiTheme="minorHAnsi" w:hAnsiTheme="minorHAnsi"/>
          <w:color w:val="000000" w:themeColor="text1"/>
        </w:rPr>
      </w:pPr>
      <w:r w:rsidRPr="00BF4F14">
        <w:rPr>
          <w:rFonts w:asciiTheme="minorHAnsi" w:hAnsiTheme="minorHAnsi"/>
          <w:color w:val="000000" w:themeColor="text1"/>
        </w:rPr>
        <w:t>Matters the report is required to deal with</w:t>
      </w:r>
    </w:p>
    <w:p w14:paraId="315A430A" w14:textId="77777777" w:rsidR="000A23C9" w:rsidRPr="00BF4F14" w:rsidRDefault="000A23C9" w:rsidP="000A23C9">
      <w:pPr>
        <w:jc w:val="both"/>
        <w:rPr>
          <w:color w:val="000000" w:themeColor="text1"/>
        </w:rPr>
      </w:pPr>
      <w:r w:rsidRPr="00BF4F14">
        <w:rPr>
          <w:color w:val="000000" w:themeColor="text1"/>
        </w:rPr>
        <w:t>The Minister will consider my report under section 10 of the Act in relation to the area sought to be protected before deciding whether to make a declaration under section 10 of the Act. Under section 10(4) of the Act, the report is required to deal with the following matters:</w:t>
      </w:r>
    </w:p>
    <w:p w14:paraId="6ECA9CEA" w14:textId="77777777" w:rsidR="000A23C9" w:rsidRPr="0022211E" w:rsidRDefault="000A23C9" w:rsidP="0022211E">
      <w:pPr>
        <w:numPr>
          <w:ilvl w:val="0"/>
          <w:numId w:val="2"/>
        </w:numPr>
        <w:spacing w:after="0"/>
        <w:ind w:hanging="573"/>
        <w:jc w:val="both"/>
        <w:rPr>
          <w:lang w:val="en-US"/>
        </w:rPr>
      </w:pPr>
      <w:r w:rsidRPr="0022211E">
        <w:rPr>
          <w:lang w:val="en-US"/>
        </w:rPr>
        <w:t xml:space="preserve">the particular significance of the area to </w:t>
      </w:r>
      <w:proofErr w:type="gramStart"/>
      <w:r w:rsidRPr="0022211E">
        <w:rPr>
          <w:lang w:val="en-US"/>
        </w:rPr>
        <w:t>Aboriginals;</w:t>
      </w:r>
      <w:proofErr w:type="gramEnd"/>
    </w:p>
    <w:p w14:paraId="6DF2A561" w14:textId="77777777" w:rsidR="000A23C9" w:rsidRPr="0022211E" w:rsidRDefault="000A23C9" w:rsidP="0022211E">
      <w:pPr>
        <w:numPr>
          <w:ilvl w:val="0"/>
          <w:numId w:val="2"/>
        </w:numPr>
        <w:spacing w:after="0"/>
        <w:ind w:hanging="573"/>
        <w:jc w:val="both"/>
        <w:rPr>
          <w:lang w:val="en-US"/>
        </w:rPr>
      </w:pPr>
      <w:r w:rsidRPr="0022211E">
        <w:rPr>
          <w:lang w:val="en-US"/>
        </w:rPr>
        <w:t>the nature and extent of the threat of injury to, or desecration of, the area;</w:t>
      </w:r>
    </w:p>
    <w:p w14:paraId="10BF7B7E" w14:textId="77777777" w:rsidR="000A23C9" w:rsidRPr="0022211E" w:rsidRDefault="000A23C9" w:rsidP="0022211E">
      <w:pPr>
        <w:numPr>
          <w:ilvl w:val="0"/>
          <w:numId w:val="2"/>
        </w:numPr>
        <w:spacing w:after="0"/>
        <w:ind w:hanging="573"/>
        <w:jc w:val="both"/>
        <w:rPr>
          <w:lang w:val="en-US"/>
        </w:rPr>
      </w:pPr>
      <w:r w:rsidRPr="0022211E">
        <w:rPr>
          <w:lang w:val="en-US"/>
        </w:rPr>
        <w:t>the extent of the area that should be protected;</w:t>
      </w:r>
    </w:p>
    <w:p w14:paraId="1CF150FD" w14:textId="77777777" w:rsidR="000A23C9" w:rsidRPr="0022211E" w:rsidRDefault="000A23C9" w:rsidP="0022211E">
      <w:pPr>
        <w:numPr>
          <w:ilvl w:val="0"/>
          <w:numId w:val="2"/>
        </w:numPr>
        <w:spacing w:after="0"/>
        <w:ind w:hanging="573"/>
        <w:jc w:val="both"/>
        <w:rPr>
          <w:lang w:val="en-US"/>
        </w:rPr>
      </w:pPr>
      <w:r w:rsidRPr="0022211E">
        <w:rPr>
          <w:lang w:val="en-US"/>
        </w:rPr>
        <w:t>the prohibitions and restrictions to be made with respect to the area;</w:t>
      </w:r>
    </w:p>
    <w:p w14:paraId="70BCC6EF" w14:textId="77777777" w:rsidR="000A23C9" w:rsidRPr="0022211E" w:rsidRDefault="000A23C9" w:rsidP="0022211E">
      <w:pPr>
        <w:numPr>
          <w:ilvl w:val="0"/>
          <w:numId w:val="2"/>
        </w:numPr>
        <w:spacing w:after="0"/>
        <w:ind w:hanging="573"/>
        <w:jc w:val="both"/>
        <w:rPr>
          <w:lang w:val="en-US"/>
        </w:rPr>
      </w:pPr>
      <w:r w:rsidRPr="0022211E">
        <w:rPr>
          <w:lang w:val="en-US"/>
        </w:rPr>
        <w:t>the effects the making of a declaration may have on the proprietary or pecuniary interests of persons other than the Aboriginal or Aboriginals on whose behalf the application is made;</w:t>
      </w:r>
    </w:p>
    <w:p w14:paraId="1528B48A" w14:textId="77777777" w:rsidR="000A23C9" w:rsidRPr="0022211E" w:rsidRDefault="000A23C9" w:rsidP="0022211E">
      <w:pPr>
        <w:numPr>
          <w:ilvl w:val="0"/>
          <w:numId w:val="2"/>
        </w:numPr>
        <w:spacing w:after="0"/>
        <w:ind w:hanging="573"/>
        <w:jc w:val="both"/>
        <w:rPr>
          <w:lang w:val="en-US"/>
        </w:rPr>
      </w:pPr>
      <w:r w:rsidRPr="0022211E">
        <w:rPr>
          <w:lang w:val="en-US"/>
        </w:rPr>
        <w:t xml:space="preserve">the duration of any declaration; </w:t>
      </w:r>
    </w:p>
    <w:p w14:paraId="55A2D365" w14:textId="77777777" w:rsidR="000A23C9" w:rsidRPr="0022211E" w:rsidRDefault="000A23C9" w:rsidP="0022211E">
      <w:pPr>
        <w:numPr>
          <w:ilvl w:val="0"/>
          <w:numId w:val="2"/>
        </w:numPr>
        <w:spacing w:after="0"/>
        <w:ind w:hanging="573"/>
        <w:jc w:val="both"/>
        <w:rPr>
          <w:lang w:val="en-US"/>
        </w:rPr>
      </w:pPr>
      <w:r w:rsidRPr="0022211E">
        <w:rPr>
          <w:lang w:val="en-US"/>
        </w:rPr>
        <w:t>the extent to which the area is or may be protected by or under a law of the State or Territory, and the effectiveness of any remedies available under any such law; and</w:t>
      </w:r>
    </w:p>
    <w:p w14:paraId="6294AB8C" w14:textId="77777777" w:rsidR="000A23C9" w:rsidRPr="0022211E" w:rsidRDefault="000A23C9" w:rsidP="0022211E">
      <w:pPr>
        <w:numPr>
          <w:ilvl w:val="0"/>
          <w:numId w:val="2"/>
        </w:numPr>
        <w:spacing w:after="0"/>
        <w:ind w:hanging="573"/>
        <w:jc w:val="both"/>
        <w:rPr>
          <w:lang w:val="en-US"/>
        </w:rPr>
      </w:pPr>
      <w:r w:rsidRPr="0022211E">
        <w:rPr>
          <w:lang w:val="en-US"/>
        </w:rPr>
        <w:t xml:space="preserve">such other matters (if any) as prescribed. </w:t>
      </w:r>
    </w:p>
    <w:p w14:paraId="3B2A9CF5" w14:textId="77777777" w:rsidR="000A23C9" w:rsidRPr="00BF4F14" w:rsidRDefault="000A23C9" w:rsidP="000A23C9">
      <w:pPr>
        <w:pStyle w:val="Heading3"/>
        <w:spacing w:before="0"/>
        <w:jc w:val="both"/>
        <w:rPr>
          <w:rFonts w:asciiTheme="minorHAnsi" w:hAnsiTheme="minorHAnsi"/>
          <w:color w:val="000000" w:themeColor="text1"/>
        </w:rPr>
      </w:pPr>
      <w:r w:rsidRPr="00BF4F14">
        <w:rPr>
          <w:rFonts w:asciiTheme="minorHAnsi" w:hAnsiTheme="minorHAnsi"/>
          <w:color w:val="000000" w:themeColor="text1"/>
        </w:rPr>
        <w:lastRenderedPageBreak/>
        <w:t>The area sought to be protected (the 'specified area')</w:t>
      </w:r>
    </w:p>
    <w:p w14:paraId="6CD432F3" w14:textId="34294D79" w:rsidR="000A23C9" w:rsidRDefault="000A23C9" w:rsidP="000A23C9">
      <w:pPr>
        <w:jc w:val="both"/>
        <w:rPr>
          <w:color w:val="000000" w:themeColor="text1"/>
        </w:rPr>
      </w:pPr>
      <w:r w:rsidRPr="00BF4F14">
        <w:t xml:space="preserve">The Applicant has specified </w:t>
      </w:r>
      <w:r>
        <w:t>the</w:t>
      </w:r>
      <w:r w:rsidRPr="00BF4F14">
        <w:t xml:space="preserve"> area for which protection is sought as a traditional area. This is the area known as </w:t>
      </w:r>
      <w:r>
        <w:rPr>
          <w:color w:val="000000" w:themeColor="text1"/>
        </w:rPr>
        <w:t xml:space="preserve">the </w:t>
      </w:r>
      <w:proofErr w:type="spellStart"/>
      <w:r w:rsidR="00AA04C8">
        <w:rPr>
          <w:color w:val="000000" w:themeColor="text1"/>
        </w:rPr>
        <w:t>Burragorang</w:t>
      </w:r>
      <w:proofErr w:type="spellEnd"/>
      <w:r w:rsidR="00AA04C8">
        <w:rPr>
          <w:color w:val="000000" w:themeColor="text1"/>
        </w:rPr>
        <w:t xml:space="preserve"> Valley</w:t>
      </w:r>
      <w:r>
        <w:rPr>
          <w:color w:val="000000" w:themeColor="text1"/>
        </w:rPr>
        <w:t>,</w:t>
      </w:r>
      <w:r w:rsidR="00AA04C8">
        <w:rPr>
          <w:color w:val="000000" w:themeColor="text1"/>
        </w:rPr>
        <w:t xml:space="preserve"> near Warragamba</w:t>
      </w:r>
      <w:r>
        <w:rPr>
          <w:color w:val="000000" w:themeColor="text1"/>
        </w:rPr>
        <w:t>,</w:t>
      </w:r>
      <w:r w:rsidRPr="00BF4F14">
        <w:rPr>
          <w:color w:val="000000" w:themeColor="text1"/>
        </w:rPr>
        <w:t xml:space="preserve"> </w:t>
      </w:r>
      <w:r>
        <w:rPr>
          <w:color w:val="000000" w:themeColor="text1"/>
        </w:rPr>
        <w:t>New South Wales</w:t>
      </w:r>
      <w:r w:rsidRPr="00BF4F14">
        <w:rPr>
          <w:color w:val="000000" w:themeColor="text1"/>
        </w:rPr>
        <w:t>.</w:t>
      </w:r>
    </w:p>
    <w:p w14:paraId="2F8DE044" w14:textId="31414590" w:rsidR="00FE5FDE" w:rsidRPr="00BF4F14" w:rsidRDefault="00FE5FDE" w:rsidP="000A23C9">
      <w:pPr>
        <w:jc w:val="both"/>
      </w:pPr>
      <w:r>
        <w:rPr>
          <w:noProof/>
        </w:rPr>
        <w:drawing>
          <wp:inline distT="0" distB="0" distL="0" distR="0" wp14:anchorId="30167603" wp14:editId="657639C2">
            <wp:extent cx="6120130" cy="5105147"/>
            <wp:effectExtent l="0" t="0" r="0" b="635"/>
            <wp:docPr id="2" name="Picture 2" descr="Map showing the specified area of Burragorang Valley, near Warragamba,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showing the specified area of Burragorang Valley, near Warragamba, New South Wales."/>
                    <pic:cNvPicPr/>
                  </pic:nvPicPr>
                  <pic:blipFill>
                    <a:blip r:embed="rId13">
                      <a:extLst>
                        <a:ext uri="{28A0092B-C50C-407E-A947-70E740481C1C}">
                          <a14:useLocalDpi xmlns:a14="http://schemas.microsoft.com/office/drawing/2010/main" val="0"/>
                        </a:ext>
                      </a:extLst>
                    </a:blip>
                    <a:stretch>
                      <a:fillRect/>
                    </a:stretch>
                  </pic:blipFill>
                  <pic:spPr>
                    <a:xfrm>
                      <a:off x="0" y="0"/>
                      <a:ext cx="6120130" cy="5105147"/>
                    </a:xfrm>
                    <a:prstGeom prst="rect">
                      <a:avLst/>
                    </a:prstGeom>
                  </pic:spPr>
                </pic:pic>
              </a:graphicData>
            </a:graphic>
          </wp:inline>
        </w:drawing>
      </w:r>
    </w:p>
    <w:p w14:paraId="3A3D310D" w14:textId="637FFEE6" w:rsidR="000A23C9" w:rsidRDefault="000A23C9" w:rsidP="00FE5FDE">
      <w:pPr>
        <w:pStyle w:val="Caption"/>
        <w:rPr>
          <w:color w:val="000000" w:themeColor="text1"/>
        </w:rPr>
      </w:pPr>
      <w:r w:rsidRPr="00BF4F14">
        <w:rPr>
          <w:color w:val="auto"/>
        </w:rPr>
        <w:t>Figure</w:t>
      </w:r>
      <w:r>
        <w:rPr>
          <w:color w:val="auto"/>
        </w:rPr>
        <w:t xml:space="preserve"> -</w:t>
      </w:r>
      <w:r w:rsidRPr="00BF4F14">
        <w:rPr>
          <w:color w:val="auto"/>
        </w:rPr>
        <w:t xml:space="preserve"> </w:t>
      </w:r>
      <w:r w:rsidRPr="00BF4F14">
        <w:rPr>
          <w:color w:val="auto"/>
        </w:rPr>
        <w:fldChar w:fldCharType="begin"/>
      </w:r>
      <w:r w:rsidRPr="00BF4F14">
        <w:rPr>
          <w:color w:val="auto"/>
        </w:rPr>
        <w:instrText xml:space="preserve"> SEQ Figure \* ARABIC </w:instrText>
      </w:r>
      <w:r w:rsidRPr="00BF4F14">
        <w:rPr>
          <w:color w:val="auto"/>
        </w:rPr>
        <w:fldChar w:fldCharType="separate"/>
      </w:r>
      <w:r>
        <w:rPr>
          <w:noProof/>
          <w:color w:val="auto"/>
        </w:rPr>
        <w:t>1</w:t>
      </w:r>
      <w:r w:rsidRPr="00BF4F14">
        <w:rPr>
          <w:noProof/>
          <w:color w:val="auto"/>
        </w:rPr>
        <w:fldChar w:fldCharType="end"/>
      </w:r>
      <w:r w:rsidRPr="00BF4F14">
        <w:rPr>
          <w:color w:val="auto"/>
        </w:rPr>
        <w:t xml:space="preserve"> Map showing the specified area of </w:t>
      </w:r>
      <w:proofErr w:type="spellStart"/>
      <w:r w:rsidR="00746AD2">
        <w:rPr>
          <w:color w:val="000000" w:themeColor="text1"/>
        </w:rPr>
        <w:t>Burragorang</w:t>
      </w:r>
      <w:proofErr w:type="spellEnd"/>
      <w:r w:rsidR="00746AD2">
        <w:rPr>
          <w:color w:val="000000" w:themeColor="text1"/>
        </w:rPr>
        <w:t xml:space="preserve"> Valley, near Warragamba</w:t>
      </w:r>
      <w:r>
        <w:rPr>
          <w:color w:val="000000" w:themeColor="text1"/>
        </w:rPr>
        <w:t>, NSW</w:t>
      </w:r>
    </w:p>
    <w:p w14:paraId="4062A8B4" w14:textId="77777777" w:rsidR="00F117FA" w:rsidRPr="00F117FA" w:rsidRDefault="00F117FA" w:rsidP="00F117FA"/>
    <w:p w14:paraId="588F90CB" w14:textId="77777777" w:rsidR="000A23C9" w:rsidRPr="00BF4F14" w:rsidRDefault="000A23C9" w:rsidP="000A23C9">
      <w:pPr>
        <w:pStyle w:val="Heading3"/>
        <w:spacing w:before="0"/>
        <w:jc w:val="both"/>
        <w:rPr>
          <w:rFonts w:asciiTheme="minorHAnsi" w:hAnsiTheme="minorHAnsi"/>
          <w:b w:val="0"/>
          <w:color w:val="000000" w:themeColor="text1"/>
        </w:rPr>
      </w:pPr>
      <w:r w:rsidRPr="00BF4F14">
        <w:rPr>
          <w:rFonts w:asciiTheme="minorHAnsi" w:hAnsiTheme="minorHAnsi"/>
          <w:color w:val="000000" w:themeColor="text1"/>
        </w:rPr>
        <w:t xml:space="preserve">Claimed nature of particular significance </w:t>
      </w:r>
    </w:p>
    <w:p w14:paraId="26D72F17" w14:textId="0D2F548A" w:rsidR="000A23C9" w:rsidRPr="00D50878" w:rsidRDefault="000A23C9" w:rsidP="006608F7">
      <w:pPr>
        <w:spacing w:after="120"/>
        <w:jc w:val="both"/>
        <w:rPr>
          <w:rFonts w:cstheme="minorHAnsi"/>
        </w:rPr>
      </w:pPr>
      <w:r w:rsidRPr="00BF4F14">
        <w:rPr>
          <w:rFonts w:cstheme="minorHAnsi"/>
        </w:rPr>
        <w:t xml:space="preserve">The Applicant states that the specified area is of particular significance in accordance with Aboriginal tradition because </w:t>
      </w:r>
      <w:r>
        <w:rPr>
          <w:rFonts w:cstheme="minorHAnsi"/>
        </w:rPr>
        <w:t xml:space="preserve">it is </w:t>
      </w:r>
      <w:r w:rsidR="006608F7">
        <w:rPr>
          <w:rFonts w:cstheme="minorHAnsi"/>
        </w:rPr>
        <w:t>the location of a creation story and</w:t>
      </w:r>
      <w:r w:rsidR="00FB51E1">
        <w:rPr>
          <w:rFonts w:cstheme="minorHAnsi"/>
        </w:rPr>
        <w:t xml:space="preserve"> several intersecting song lines. Further, the specified area</w:t>
      </w:r>
      <w:r w:rsidR="006608F7">
        <w:rPr>
          <w:rFonts w:cstheme="minorHAnsi"/>
        </w:rPr>
        <w:t xml:space="preserve"> contains landscape features from the chase of </w:t>
      </w:r>
      <w:proofErr w:type="spellStart"/>
      <w:r w:rsidR="006608F7">
        <w:rPr>
          <w:rFonts w:cstheme="minorHAnsi"/>
        </w:rPr>
        <w:t>Gurangatch</w:t>
      </w:r>
      <w:proofErr w:type="spellEnd"/>
      <w:r w:rsidR="006608F7">
        <w:rPr>
          <w:rFonts w:cstheme="minorHAnsi"/>
        </w:rPr>
        <w:t xml:space="preserve"> (Giant Eel) by </w:t>
      </w:r>
      <w:proofErr w:type="spellStart"/>
      <w:r w:rsidR="006608F7">
        <w:rPr>
          <w:rFonts w:cstheme="minorHAnsi"/>
        </w:rPr>
        <w:t>Mirrigan</w:t>
      </w:r>
      <w:proofErr w:type="spellEnd"/>
      <w:r w:rsidR="006608F7">
        <w:rPr>
          <w:rFonts w:cstheme="minorHAnsi"/>
        </w:rPr>
        <w:t xml:space="preserve"> (a Tiger Quoll like animal). </w:t>
      </w:r>
    </w:p>
    <w:p w14:paraId="28364B44" w14:textId="77777777" w:rsidR="000A23C9" w:rsidRPr="00BF4F14" w:rsidRDefault="000A23C9" w:rsidP="000A23C9">
      <w:pPr>
        <w:pStyle w:val="Heading3"/>
        <w:spacing w:before="0"/>
        <w:jc w:val="both"/>
        <w:rPr>
          <w:rFonts w:asciiTheme="minorHAnsi" w:hAnsiTheme="minorHAnsi"/>
          <w:color w:val="000000" w:themeColor="text1"/>
        </w:rPr>
      </w:pPr>
      <w:r w:rsidRPr="00BF4F14">
        <w:rPr>
          <w:rFonts w:asciiTheme="minorHAnsi" w:hAnsiTheme="minorHAnsi"/>
          <w:color w:val="000000" w:themeColor="text1"/>
        </w:rPr>
        <w:t>Claimed threat of injury or desecration</w:t>
      </w:r>
    </w:p>
    <w:p w14:paraId="6F164098" w14:textId="18EBAFAB" w:rsidR="00C7487F" w:rsidRPr="00BF4F14" w:rsidRDefault="000A23C9" w:rsidP="000A23C9">
      <w:pPr>
        <w:spacing w:after="0"/>
        <w:jc w:val="both"/>
        <w:rPr>
          <w:color w:val="000000" w:themeColor="text1"/>
        </w:rPr>
      </w:pPr>
      <w:r w:rsidRPr="00BF4F14">
        <w:rPr>
          <w:color w:val="000000" w:themeColor="text1"/>
        </w:rPr>
        <w:t>The Applicant states that the potential injury or desecration is attributed to</w:t>
      </w:r>
      <w:r w:rsidR="006608F7">
        <w:rPr>
          <w:color w:val="000000" w:themeColor="text1"/>
        </w:rPr>
        <w:t xml:space="preserve"> the proposed raising of the Warragamba Dam</w:t>
      </w:r>
      <w:r w:rsidR="007761BC">
        <w:rPr>
          <w:color w:val="000000" w:themeColor="text1"/>
        </w:rPr>
        <w:t xml:space="preserve"> walls</w:t>
      </w:r>
      <w:r w:rsidR="006608F7">
        <w:rPr>
          <w:color w:val="000000" w:themeColor="text1"/>
        </w:rPr>
        <w:t>. The Applicant claims the proposed works “</w:t>
      </w:r>
      <w:r w:rsidR="00AA04C8">
        <w:rPr>
          <w:lang w:eastAsia="en-AU"/>
        </w:rPr>
        <w:t xml:space="preserve">will erase the tangible landscape features recorded in the </w:t>
      </w:r>
      <w:proofErr w:type="spellStart"/>
      <w:r w:rsidR="00AA04C8">
        <w:rPr>
          <w:lang w:eastAsia="en-AU"/>
        </w:rPr>
        <w:t>Burragorang</w:t>
      </w:r>
      <w:proofErr w:type="spellEnd"/>
      <w:r w:rsidR="00AA04C8">
        <w:rPr>
          <w:lang w:eastAsia="en-AU"/>
        </w:rPr>
        <w:t xml:space="preserve"> Valley creation story, impacting connection with landscape features described and handed down over countless generations of </w:t>
      </w:r>
      <w:proofErr w:type="spellStart"/>
      <w:r w:rsidR="00AA04C8">
        <w:rPr>
          <w:lang w:eastAsia="en-AU"/>
        </w:rPr>
        <w:t>Gundungurra</w:t>
      </w:r>
      <w:proofErr w:type="spellEnd"/>
      <w:r w:rsidR="00AA04C8">
        <w:rPr>
          <w:lang w:eastAsia="en-AU"/>
        </w:rPr>
        <w:t xml:space="preserve"> People</w:t>
      </w:r>
      <w:r w:rsidR="006608F7">
        <w:rPr>
          <w:color w:val="000000" w:themeColor="text1"/>
        </w:rPr>
        <w:t>”. Further, it will “</w:t>
      </w:r>
      <w:r w:rsidR="00C7487F">
        <w:rPr>
          <w:lang w:eastAsia="en-AU"/>
        </w:rPr>
        <w:t xml:space="preserve">destroy </w:t>
      </w:r>
      <w:proofErr w:type="spellStart"/>
      <w:r w:rsidR="00C7487F">
        <w:rPr>
          <w:lang w:eastAsia="en-AU"/>
        </w:rPr>
        <w:t>Gundungurra</w:t>
      </w:r>
      <w:proofErr w:type="spellEnd"/>
      <w:r w:rsidR="00C7487F">
        <w:rPr>
          <w:lang w:eastAsia="en-AU"/>
        </w:rPr>
        <w:t xml:space="preserve"> culture and the spirit of the People, but also all other Aboriginal people in the region that are interconnected to this story, and how it relates to the creation of their own Countries through these ancestral beings</w:t>
      </w:r>
      <w:r w:rsidR="006608F7">
        <w:rPr>
          <w:lang w:eastAsia="en-AU"/>
        </w:rPr>
        <w:t>”.</w:t>
      </w:r>
    </w:p>
    <w:p w14:paraId="635E51C1" w14:textId="77777777" w:rsidR="00FB51E1" w:rsidRPr="00BF4F14" w:rsidRDefault="00FB51E1" w:rsidP="000A23C9">
      <w:pPr>
        <w:spacing w:after="0"/>
        <w:jc w:val="both"/>
        <w:rPr>
          <w:color w:val="000000" w:themeColor="text1"/>
        </w:rPr>
      </w:pPr>
    </w:p>
    <w:p w14:paraId="7A86D1A3" w14:textId="77777777" w:rsidR="000A23C9" w:rsidRPr="00BF4F14" w:rsidRDefault="000A23C9" w:rsidP="000A23C9">
      <w:pPr>
        <w:pStyle w:val="Heading3"/>
        <w:spacing w:before="0"/>
        <w:jc w:val="both"/>
        <w:rPr>
          <w:rFonts w:asciiTheme="minorHAnsi" w:hAnsiTheme="minorHAnsi"/>
          <w:color w:val="000000" w:themeColor="text1"/>
        </w:rPr>
      </w:pPr>
      <w:r w:rsidRPr="00BF4F14">
        <w:rPr>
          <w:rFonts w:asciiTheme="minorHAnsi" w:hAnsiTheme="minorHAnsi"/>
          <w:color w:val="000000" w:themeColor="text1"/>
        </w:rPr>
        <w:lastRenderedPageBreak/>
        <w:t>Invitation to make representations</w:t>
      </w:r>
    </w:p>
    <w:p w14:paraId="21255C84" w14:textId="77777777" w:rsidR="000A23C9" w:rsidRPr="00BF4F14" w:rsidRDefault="000A23C9" w:rsidP="000A23C9">
      <w:pPr>
        <w:jc w:val="both"/>
        <w:rPr>
          <w:color w:val="000000" w:themeColor="text1"/>
        </w:rPr>
      </w:pPr>
      <w:r w:rsidRPr="00BF4F14">
        <w:rPr>
          <w:color w:val="000000" w:themeColor="text1"/>
        </w:rPr>
        <w:t>Interested persons are invited to furnish representations in connection with my report to:</w:t>
      </w:r>
    </w:p>
    <w:p w14:paraId="1C7F2400" w14:textId="7F076E4A" w:rsidR="006608F7" w:rsidRPr="008B7CD4" w:rsidRDefault="00DF3750" w:rsidP="000A23C9">
      <w:pPr>
        <w:spacing w:after="0"/>
        <w:rPr>
          <w:b/>
          <w:bCs/>
          <w:color w:val="000000" w:themeColor="text1"/>
        </w:rPr>
      </w:pPr>
      <w:r w:rsidRPr="008B7CD4">
        <w:rPr>
          <w:b/>
          <w:bCs/>
          <w:color w:val="000000" w:themeColor="text1"/>
        </w:rPr>
        <w:t xml:space="preserve">Dr </w:t>
      </w:r>
      <w:r w:rsidR="006608F7" w:rsidRPr="008B7CD4">
        <w:rPr>
          <w:b/>
          <w:bCs/>
          <w:color w:val="000000" w:themeColor="text1"/>
        </w:rPr>
        <w:t>Greg Terrill</w:t>
      </w:r>
    </w:p>
    <w:p w14:paraId="5B1EFB40" w14:textId="180C5CD4" w:rsidR="00215E11" w:rsidRPr="008B7CD4" w:rsidRDefault="00215E11" w:rsidP="000A23C9">
      <w:pPr>
        <w:spacing w:after="0"/>
        <w:rPr>
          <w:b/>
          <w:bCs/>
          <w:color w:val="000000" w:themeColor="text1"/>
        </w:rPr>
      </w:pPr>
      <w:r w:rsidRPr="008B7CD4">
        <w:rPr>
          <w:b/>
          <w:bCs/>
          <w:color w:val="000000" w:themeColor="text1"/>
        </w:rPr>
        <w:t>PO Box 2</w:t>
      </w:r>
      <w:r w:rsidR="00201D1E">
        <w:rPr>
          <w:b/>
          <w:bCs/>
          <w:color w:val="000000" w:themeColor="text1"/>
        </w:rPr>
        <w:t>2</w:t>
      </w:r>
      <w:r w:rsidRPr="008B7CD4">
        <w:rPr>
          <w:b/>
          <w:bCs/>
          <w:color w:val="000000" w:themeColor="text1"/>
        </w:rPr>
        <w:t>7</w:t>
      </w:r>
    </w:p>
    <w:p w14:paraId="7A755A14" w14:textId="6C1B5C8B" w:rsidR="00215E11" w:rsidRPr="008B7CD4" w:rsidRDefault="00215E11" w:rsidP="000A23C9">
      <w:pPr>
        <w:spacing w:after="0"/>
        <w:rPr>
          <w:b/>
          <w:bCs/>
          <w:color w:val="000000" w:themeColor="text1"/>
        </w:rPr>
      </w:pPr>
      <w:r w:rsidRPr="008B7CD4">
        <w:rPr>
          <w:b/>
          <w:bCs/>
          <w:color w:val="000000" w:themeColor="text1"/>
        </w:rPr>
        <w:t>Dickson, ACT, 2602</w:t>
      </w:r>
    </w:p>
    <w:p w14:paraId="7F5BC741" w14:textId="27F8AF85" w:rsidR="000A23C9" w:rsidRPr="008B7CD4" w:rsidRDefault="000A23C9" w:rsidP="000A23C9">
      <w:pPr>
        <w:spacing w:after="0"/>
        <w:jc w:val="both"/>
        <w:rPr>
          <w:b/>
          <w:bCs/>
          <w:color w:val="000000" w:themeColor="text1"/>
        </w:rPr>
      </w:pPr>
      <w:r w:rsidRPr="008B7CD4">
        <w:rPr>
          <w:b/>
          <w:bCs/>
          <w:color w:val="000000" w:themeColor="text1"/>
        </w:rPr>
        <w:t xml:space="preserve">Ph: </w:t>
      </w:r>
      <w:r w:rsidR="00410D15" w:rsidRPr="008B7CD4">
        <w:rPr>
          <w:b/>
          <w:bCs/>
          <w:color w:val="000000" w:themeColor="text1"/>
        </w:rPr>
        <w:t>0417 048 259</w:t>
      </w:r>
    </w:p>
    <w:p w14:paraId="5C2EF5D4" w14:textId="344FDB6F" w:rsidR="00410D15" w:rsidRPr="008B7CD4" w:rsidRDefault="000A23C9" w:rsidP="00410D15">
      <w:pPr>
        <w:spacing w:after="0"/>
        <w:jc w:val="both"/>
        <w:rPr>
          <w:b/>
          <w:bCs/>
        </w:rPr>
      </w:pPr>
      <w:r w:rsidRPr="008B7CD4">
        <w:rPr>
          <w:b/>
          <w:bCs/>
        </w:rPr>
        <w:t xml:space="preserve">Email: </w:t>
      </w:r>
      <w:r w:rsidR="00410D15" w:rsidRPr="008B7CD4">
        <w:rPr>
          <w:b/>
          <w:bCs/>
        </w:rPr>
        <w:t>gterrill99@gmail.com</w:t>
      </w:r>
    </w:p>
    <w:p w14:paraId="712BDF81" w14:textId="77777777" w:rsidR="00410D15" w:rsidRDefault="00410D15" w:rsidP="00410D15">
      <w:pPr>
        <w:spacing w:after="0"/>
        <w:jc w:val="both"/>
      </w:pPr>
    </w:p>
    <w:p w14:paraId="3E321400" w14:textId="7F59BB6F" w:rsidR="000A23C9" w:rsidRDefault="000A23C9" w:rsidP="00410D15">
      <w:pPr>
        <w:spacing w:after="0"/>
        <w:jc w:val="both"/>
        <w:rPr>
          <w:b/>
          <w:color w:val="000000" w:themeColor="text1"/>
        </w:rPr>
      </w:pPr>
      <w:r w:rsidRPr="00BF4F14">
        <w:rPr>
          <w:color w:val="000000" w:themeColor="text1"/>
        </w:rPr>
        <w:t xml:space="preserve">Representations must be made in writing by </w:t>
      </w:r>
      <w:r w:rsidRPr="000A1258">
        <w:rPr>
          <w:b/>
          <w:color w:val="000000" w:themeColor="text1"/>
        </w:rPr>
        <w:t>5pm</w:t>
      </w:r>
      <w:r w:rsidR="000A1258" w:rsidRPr="000A1258">
        <w:rPr>
          <w:b/>
          <w:color w:val="000000" w:themeColor="text1"/>
        </w:rPr>
        <w:t xml:space="preserve">, </w:t>
      </w:r>
      <w:r w:rsidR="00DF3750" w:rsidRPr="000A1258">
        <w:rPr>
          <w:b/>
          <w:color w:val="000000" w:themeColor="text1"/>
        </w:rPr>
        <w:t>Friday</w:t>
      </w:r>
      <w:r w:rsidRPr="000A1258">
        <w:rPr>
          <w:b/>
          <w:color w:val="000000" w:themeColor="text1"/>
        </w:rPr>
        <w:t xml:space="preserve"> the </w:t>
      </w:r>
      <w:r w:rsidR="00DF3750" w:rsidRPr="000A1258">
        <w:rPr>
          <w:b/>
          <w:color w:val="000000" w:themeColor="text1"/>
        </w:rPr>
        <w:t>26 February</w:t>
      </w:r>
      <w:r w:rsidRPr="000A1258">
        <w:rPr>
          <w:b/>
          <w:color w:val="000000" w:themeColor="text1"/>
        </w:rPr>
        <w:t xml:space="preserve"> 202</w:t>
      </w:r>
      <w:r w:rsidR="006608F7" w:rsidRPr="000A1258">
        <w:rPr>
          <w:b/>
          <w:color w:val="000000" w:themeColor="text1"/>
        </w:rPr>
        <w:t>1</w:t>
      </w:r>
      <w:r w:rsidRPr="00BF4F14">
        <w:rPr>
          <w:color w:val="000000" w:themeColor="text1"/>
        </w:rPr>
        <w:t xml:space="preserve"> or within such further period as may be allowed. </w:t>
      </w:r>
      <w:r>
        <w:rPr>
          <w:b/>
          <w:color w:val="000000" w:themeColor="text1"/>
        </w:rPr>
        <w:t>Do</w:t>
      </w:r>
      <w:r w:rsidRPr="00BF4F14">
        <w:rPr>
          <w:b/>
          <w:color w:val="000000" w:themeColor="text1"/>
        </w:rPr>
        <w:t xml:space="preserve"> not send your representations directly to the Minister.</w:t>
      </w:r>
    </w:p>
    <w:p w14:paraId="64B17C6A" w14:textId="77777777" w:rsidR="00746AD2" w:rsidRPr="00BF4F14" w:rsidRDefault="00746AD2" w:rsidP="00410D15">
      <w:pPr>
        <w:spacing w:after="0"/>
        <w:jc w:val="both"/>
        <w:rPr>
          <w:b/>
          <w:color w:val="000000" w:themeColor="text1"/>
        </w:rPr>
      </w:pPr>
    </w:p>
    <w:p w14:paraId="2236270F" w14:textId="77777777" w:rsidR="000A23C9" w:rsidRPr="00BF4F14" w:rsidRDefault="000A23C9" w:rsidP="000A23C9">
      <w:pPr>
        <w:jc w:val="both"/>
        <w:rPr>
          <w:iCs/>
          <w:color w:val="000000" w:themeColor="text1"/>
        </w:rPr>
      </w:pPr>
      <w:r w:rsidRPr="00BF4F14">
        <w:rPr>
          <w:iCs/>
          <w:color w:val="000000" w:themeColor="text1"/>
        </w:rPr>
        <w:t xml:space="preserve">If you wish to claim confidentiality over any part of your representation, please identify why you are claiming confidentiality and how you wish confidentiality to apply. </w:t>
      </w:r>
      <w:r w:rsidRPr="00BF4F14">
        <w:rPr>
          <w:color w:val="000000" w:themeColor="text1"/>
        </w:rPr>
        <w:t xml:space="preserve"> Representations will be provided to the Minister for the Environment and the Department of </w:t>
      </w:r>
      <w:r>
        <w:rPr>
          <w:color w:val="000000" w:themeColor="text1"/>
        </w:rPr>
        <w:t>Agriculture, Water and the</w:t>
      </w:r>
      <w:r w:rsidRPr="00BF4F14">
        <w:rPr>
          <w:color w:val="000000" w:themeColor="text1"/>
        </w:rPr>
        <w:t xml:space="preserve"> Environment, along with the section 10 report. Representations, even those subject to confidentiality, may be disclosed where it is authorised or required by law, to meet procedural fairness requirements, and in response to a request by a House or Committee of the Parliament of the Commonwealth.</w:t>
      </w:r>
    </w:p>
    <w:p w14:paraId="128522E0" w14:textId="77777777" w:rsidR="000A23C9" w:rsidRPr="00BF4F14" w:rsidRDefault="000A23C9" w:rsidP="000A23C9">
      <w:pPr>
        <w:jc w:val="both"/>
        <w:rPr>
          <w:color w:val="FF0000"/>
        </w:rPr>
      </w:pPr>
    </w:p>
    <w:p w14:paraId="3B6B1CEF" w14:textId="53351E7F" w:rsidR="000A23C9" w:rsidRPr="00424B97" w:rsidRDefault="000A23C9" w:rsidP="000A23C9"/>
    <w:sectPr w:rsidR="000A23C9" w:rsidRPr="00424B97" w:rsidSect="008E4F6C">
      <w:headerReference w:type="first" r:id="rId14"/>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4F850C" w14:textId="77777777" w:rsidR="006F44FA" w:rsidRDefault="006F44FA" w:rsidP="003A707F">
      <w:pPr>
        <w:spacing w:after="0" w:line="240" w:lineRule="auto"/>
      </w:pPr>
      <w:r>
        <w:separator/>
      </w:r>
    </w:p>
  </w:endnote>
  <w:endnote w:type="continuationSeparator" w:id="0">
    <w:p w14:paraId="076B9D07" w14:textId="77777777" w:rsidR="006F44FA" w:rsidRDefault="006F44FA"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EFF" w:usb1="C000247B" w:usb2="00000009" w:usb3="00000000" w:csb0="000001FF" w:csb1="00000000"/>
    <w:embedRegular r:id="rId1" w:fontKey="{B79FFDC6-4CC4-4610-827A-E14B5D89D6F2}"/>
    <w:embedBold r:id="rId2" w:fontKey="{4AE832D9-8A1F-492C-997B-6DAB3CF747C5}"/>
    <w:embedItalic r:id="rId3" w:fontKey="{F84FFCE7-EC97-41EA-AE17-3ED681663688}"/>
    <w:embedBoldItalic r:id="rId4" w:fontKey="{4EF9B5E7-AB04-423F-BF60-B1A97ED53B83}"/>
  </w:font>
  <w:font w:name="Tahoma">
    <w:altName w:val="?l?r ??u!??I"/>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1AB4D4" w14:textId="77777777" w:rsidR="006F44FA" w:rsidRDefault="006F44FA" w:rsidP="003A707F">
      <w:pPr>
        <w:spacing w:after="0" w:line="240" w:lineRule="auto"/>
      </w:pPr>
      <w:r>
        <w:separator/>
      </w:r>
    </w:p>
  </w:footnote>
  <w:footnote w:type="continuationSeparator" w:id="0">
    <w:p w14:paraId="14899C84" w14:textId="77777777" w:rsidR="006F44FA" w:rsidRDefault="006F44FA"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04230A20"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2A2E2013" w14:textId="77777777"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166FF815" wp14:editId="608CE890">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46913E23"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4D099842"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1FF337A2"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4F48218D"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1D3BF358"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50AA1253" w14:textId="77777777" w:rsidR="00F40885" w:rsidRPr="003A707F" w:rsidRDefault="00F40885" w:rsidP="00F40885">
    <w:pPr>
      <w:pStyle w:val="Header"/>
      <w:rPr>
        <w:sz w:val="2"/>
        <w:szCs w:val="2"/>
      </w:rPr>
    </w:pPr>
  </w:p>
  <w:p w14:paraId="278DD724"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B24A83"/>
    <w:multiLevelType w:val="hybridMultilevel"/>
    <w:tmpl w:val="5B4853C4"/>
    <w:lvl w:ilvl="0" w:tplc="438CE4B2">
      <w:start w:val="1"/>
      <w:numFmt w:val="lowerLetter"/>
      <w:lvlText w:val="(%1)"/>
      <w:lvlJc w:val="left"/>
      <w:pPr>
        <w:tabs>
          <w:tab w:val="num" w:pos="930"/>
        </w:tabs>
        <w:ind w:left="930" w:hanging="570"/>
      </w:pPr>
      <w:rPr>
        <w:rFonts w:cs="Times New Roman" w:hint="default"/>
      </w:rPr>
    </w:lvl>
    <w:lvl w:ilvl="1" w:tplc="36AA8AF2" w:tentative="1">
      <w:start w:val="1"/>
      <w:numFmt w:val="lowerLetter"/>
      <w:lvlText w:val="%2."/>
      <w:lvlJc w:val="left"/>
      <w:pPr>
        <w:tabs>
          <w:tab w:val="num" w:pos="1440"/>
        </w:tabs>
        <w:ind w:left="1440" w:hanging="360"/>
      </w:pPr>
      <w:rPr>
        <w:rFonts w:cs="Times New Roman"/>
      </w:rPr>
    </w:lvl>
    <w:lvl w:ilvl="2" w:tplc="D338930A" w:tentative="1">
      <w:start w:val="1"/>
      <w:numFmt w:val="lowerRoman"/>
      <w:lvlText w:val="%3."/>
      <w:lvlJc w:val="right"/>
      <w:pPr>
        <w:tabs>
          <w:tab w:val="num" w:pos="2160"/>
        </w:tabs>
        <w:ind w:left="2160" w:hanging="180"/>
      </w:pPr>
      <w:rPr>
        <w:rFonts w:cs="Times New Roman"/>
      </w:rPr>
    </w:lvl>
    <w:lvl w:ilvl="3" w:tplc="57C22F86" w:tentative="1">
      <w:start w:val="1"/>
      <w:numFmt w:val="decimal"/>
      <w:lvlText w:val="%4."/>
      <w:lvlJc w:val="left"/>
      <w:pPr>
        <w:tabs>
          <w:tab w:val="num" w:pos="2880"/>
        </w:tabs>
        <w:ind w:left="2880" w:hanging="360"/>
      </w:pPr>
      <w:rPr>
        <w:rFonts w:cs="Times New Roman"/>
      </w:rPr>
    </w:lvl>
    <w:lvl w:ilvl="4" w:tplc="8E7A56EE" w:tentative="1">
      <w:start w:val="1"/>
      <w:numFmt w:val="lowerLetter"/>
      <w:lvlText w:val="%5."/>
      <w:lvlJc w:val="left"/>
      <w:pPr>
        <w:tabs>
          <w:tab w:val="num" w:pos="3600"/>
        </w:tabs>
        <w:ind w:left="3600" w:hanging="360"/>
      </w:pPr>
      <w:rPr>
        <w:rFonts w:cs="Times New Roman"/>
      </w:rPr>
    </w:lvl>
    <w:lvl w:ilvl="5" w:tplc="3A66E4A8" w:tentative="1">
      <w:start w:val="1"/>
      <w:numFmt w:val="lowerRoman"/>
      <w:lvlText w:val="%6."/>
      <w:lvlJc w:val="right"/>
      <w:pPr>
        <w:tabs>
          <w:tab w:val="num" w:pos="4320"/>
        </w:tabs>
        <w:ind w:left="4320" w:hanging="180"/>
      </w:pPr>
      <w:rPr>
        <w:rFonts w:cs="Times New Roman"/>
      </w:rPr>
    </w:lvl>
    <w:lvl w:ilvl="6" w:tplc="8E7004DC" w:tentative="1">
      <w:start w:val="1"/>
      <w:numFmt w:val="decimal"/>
      <w:lvlText w:val="%7."/>
      <w:lvlJc w:val="left"/>
      <w:pPr>
        <w:tabs>
          <w:tab w:val="num" w:pos="5040"/>
        </w:tabs>
        <w:ind w:left="5040" w:hanging="360"/>
      </w:pPr>
      <w:rPr>
        <w:rFonts w:cs="Times New Roman"/>
      </w:rPr>
    </w:lvl>
    <w:lvl w:ilvl="7" w:tplc="EC5C317E" w:tentative="1">
      <w:start w:val="1"/>
      <w:numFmt w:val="lowerLetter"/>
      <w:lvlText w:val="%8."/>
      <w:lvlJc w:val="left"/>
      <w:pPr>
        <w:tabs>
          <w:tab w:val="num" w:pos="5760"/>
        </w:tabs>
        <w:ind w:left="5760" w:hanging="360"/>
      </w:pPr>
      <w:rPr>
        <w:rFonts w:cs="Times New Roman"/>
      </w:rPr>
    </w:lvl>
    <w:lvl w:ilvl="8" w:tplc="1D8A9F00" w:tentative="1">
      <w:start w:val="1"/>
      <w:numFmt w:val="lowerRoman"/>
      <w:lvlText w:val="%9."/>
      <w:lvlJc w:val="right"/>
      <w:pPr>
        <w:tabs>
          <w:tab w:val="num" w:pos="6480"/>
        </w:tabs>
        <w:ind w:left="6480" w:hanging="180"/>
      </w:pPr>
      <w:rPr>
        <w:rFonts w:cs="Times New Roman"/>
      </w:rPr>
    </w:lvl>
  </w:abstractNum>
  <w:abstractNum w:abstractNumId="1" w15:restartNumberingAfterBreak="0">
    <w:nsid w:val="33F86AB7"/>
    <w:multiLevelType w:val="hybridMultilevel"/>
    <w:tmpl w:val="7C38D6EA"/>
    <w:lvl w:ilvl="0" w:tplc="6D969B4E">
      <w:start w:val="3"/>
      <w:numFmt w:val="lowerLetter"/>
      <w:lvlText w:val="(%1)"/>
      <w:lvlJc w:val="left"/>
      <w:pPr>
        <w:tabs>
          <w:tab w:val="num" w:pos="930"/>
        </w:tabs>
        <w:ind w:left="930" w:hanging="570"/>
      </w:pPr>
      <w:rPr>
        <w:rFonts w:cs="Times New Roman" w:hint="default"/>
      </w:rPr>
    </w:lvl>
    <w:lvl w:ilvl="1" w:tplc="9BF0C8C6" w:tentative="1">
      <w:start w:val="1"/>
      <w:numFmt w:val="lowerLetter"/>
      <w:lvlText w:val="%2."/>
      <w:lvlJc w:val="left"/>
      <w:pPr>
        <w:tabs>
          <w:tab w:val="num" w:pos="1440"/>
        </w:tabs>
        <w:ind w:left="1440" w:hanging="360"/>
      </w:pPr>
      <w:rPr>
        <w:rFonts w:cs="Times New Roman"/>
      </w:rPr>
    </w:lvl>
    <w:lvl w:ilvl="2" w:tplc="C9FC62C2" w:tentative="1">
      <w:start w:val="1"/>
      <w:numFmt w:val="lowerRoman"/>
      <w:lvlText w:val="%3."/>
      <w:lvlJc w:val="right"/>
      <w:pPr>
        <w:tabs>
          <w:tab w:val="num" w:pos="2160"/>
        </w:tabs>
        <w:ind w:left="2160" w:hanging="180"/>
      </w:pPr>
      <w:rPr>
        <w:rFonts w:cs="Times New Roman"/>
      </w:rPr>
    </w:lvl>
    <w:lvl w:ilvl="3" w:tplc="37F8B468" w:tentative="1">
      <w:start w:val="1"/>
      <w:numFmt w:val="decimal"/>
      <w:lvlText w:val="%4."/>
      <w:lvlJc w:val="left"/>
      <w:pPr>
        <w:tabs>
          <w:tab w:val="num" w:pos="2880"/>
        </w:tabs>
        <w:ind w:left="2880" w:hanging="360"/>
      </w:pPr>
      <w:rPr>
        <w:rFonts w:cs="Times New Roman"/>
      </w:rPr>
    </w:lvl>
    <w:lvl w:ilvl="4" w:tplc="7AD82C76" w:tentative="1">
      <w:start w:val="1"/>
      <w:numFmt w:val="lowerLetter"/>
      <w:lvlText w:val="%5."/>
      <w:lvlJc w:val="left"/>
      <w:pPr>
        <w:tabs>
          <w:tab w:val="num" w:pos="3600"/>
        </w:tabs>
        <w:ind w:left="3600" w:hanging="360"/>
      </w:pPr>
      <w:rPr>
        <w:rFonts w:cs="Times New Roman"/>
      </w:rPr>
    </w:lvl>
    <w:lvl w:ilvl="5" w:tplc="FD02C070" w:tentative="1">
      <w:start w:val="1"/>
      <w:numFmt w:val="lowerRoman"/>
      <w:lvlText w:val="%6."/>
      <w:lvlJc w:val="right"/>
      <w:pPr>
        <w:tabs>
          <w:tab w:val="num" w:pos="4320"/>
        </w:tabs>
        <w:ind w:left="4320" w:hanging="180"/>
      </w:pPr>
      <w:rPr>
        <w:rFonts w:cs="Times New Roman"/>
      </w:rPr>
    </w:lvl>
    <w:lvl w:ilvl="6" w:tplc="141E3594" w:tentative="1">
      <w:start w:val="1"/>
      <w:numFmt w:val="decimal"/>
      <w:lvlText w:val="%7."/>
      <w:lvlJc w:val="left"/>
      <w:pPr>
        <w:tabs>
          <w:tab w:val="num" w:pos="5040"/>
        </w:tabs>
        <w:ind w:left="5040" w:hanging="360"/>
      </w:pPr>
      <w:rPr>
        <w:rFonts w:cs="Times New Roman"/>
      </w:rPr>
    </w:lvl>
    <w:lvl w:ilvl="7" w:tplc="C5CA897E" w:tentative="1">
      <w:start w:val="1"/>
      <w:numFmt w:val="lowerLetter"/>
      <w:lvlText w:val="%8."/>
      <w:lvlJc w:val="left"/>
      <w:pPr>
        <w:tabs>
          <w:tab w:val="num" w:pos="5760"/>
        </w:tabs>
        <w:ind w:left="5760" w:hanging="360"/>
      </w:pPr>
      <w:rPr>
        <w:rFonts w:cs="Times New Roman"/>
      </w:rPr>
    </w:lvl>
    <w:lvl w:ilvl="8" w:tplc="1312FF04" w:tentative="1">
      <w:start w:val="1"/>
      <w:numFmt w:val="lowerRoman"/>
      <w:lvlText w:val="%9."/>
      <w:lvlJc w:val="right"/>
      <w:pPr>
        <w:tabs>
          <w:tab w:val="num" w:pos="6480"/>
        </w:tabs>
        <w:ind w:left="6480" w:hanging="180"/>
      </w:pPr>
      <w:rPr>
        <w:rFonts w:cs="Times New Roman"/>
      </w:rPr>
    </w:lvl>
  </w:abstractNum>
  <w:abstractNum w:abstractNumId="2" w15:restartNumberingAfterBreak="0">
    <w:nsid w:val="630031BE"/>
    <w:multiLevelType w:val="hybridMultilevel"/>
    <w:tmpl w:val="1570E6E2"/>
    <w:lvl w:ilvl="0" w:tplc="2CB44B24">
      <w:start w:val="1"/>
      <w:numFmt w:val="bullet"/>
      <w:lvlText w:val=""/>
      <w:lvlJc w:val="left"/>
      <w:pPr>
        <w:ind w:left="720" w:hanging="360"/>
      </w:pPr>
      <w:rPr>
        <w:rFonts w:ascii="Symbol" w:hAnsi="Symbol" w:hint="default"/>
      </w:rPr>
    </w:lvl>
    <w:lvl w:ilvl="1" w:tplc="00C6F440">
      <w:start w:val="1"/>
      <w:numFmt w:val="decimal"/>
      <w:lvlText w:val="%2."/>
      <w:lvlJc w:val="left"/>
      <w:pPr>
        <w:tabs>
          <w:tab w:val="num" w:pos="1440"/>
        </w:tabs>
        <w:ind w:left="1440" w:hanging="360"/>
      </w:pPr>
    </w:lvl>
    <w:lvl w:ilvl="2" w:tplc="03F6542E">
      <w:start w:val="1"/>
      <w:numFmt w:val="decimal"/>
      <w:lvlText w:val="%3."/>
      <w:lvlJc w:val="left"/>
      <w:pPr>
        <w:tabs>
          <w:tab w:val="num" w:pos="2160"/>
        </w:tabs>
        <w:ind w:left="2160" w:hanging="360"/>
      </w:pPr>
    </w:lvl>
    <w:lvl w:ilvl="3" w:tplc="CB1EE926">
      <w:start w:val="1"/>
      <w:numFmt w:val="decimal"/>
      <w:lvlText w:val="%4."/>
      <w:lvlJc w:val="left"/>
      <w:pPr>
        <w:tabs>
          <w:tab w:val="num" w:pos="2880"/>
        </w:tabs>
        <w:ind w:left="2880" w:hanging="360"/>
      </w:pPr>
    </w:lvl>
    <w:lvl w:ilvl="4" w:tplc="059232D6">
      <w:start w:val="1"/>
      <w:numFmt w:val="decimal"/>
      <w:lvlText w:val="%5."/>
      <w:lvlJc w:val="left"/>
      <w:pPr>
        <w:tabs>
          <w:tab w:val="num" w:pos="3600"/>
        </w:tabs>
        <w:ind w:left="3600" w:hanging="360"/>
      </w:pPr>
    </w:lvl>
    <w:lvl w:ilvl="5" w:tplc="933A7DC8">
      <w:start w:val="1"/>
      <w:numFmt w:val="decimal"/>
      <w:lvlText w:val="%6."/>
      <w:lvlJc w:val="left"/>
      <w:pPr>
        <w:tabs>
          <w:tab w:val="num" w:pos="4320"/>
        </w:tabs>
        <w:ind w:left="4320" w:hanging="360"/>
      </w:pPr>
    </w:lvl>
    <w:lvl w:ilvl="6" w:tplc="EA80F932">
      <w:start w:val="1"/>
      <w:numFmt w:val="decimal"/>
      <w:lvlText w:val="%7."/>
      <w:lvlJc w:val="left"/>
      <w:pPr>
        <w:tabs>
          <w:tab w:val="num" w:pos="5040"/>
        </w:tabs>
        <w:ind w:left="5040" w:hanging="360"/>
      </w:pPr>
    </w:lvl>
    <w:lvl w:ilvl="7" w:tplc="B340258A">
      <w:start w:val="1"/>
      <w:numFmt w:val="decimal"/>
      <w:lvlText w:val="%8."/>
      <w:lvlJc w:val="left"/>
      <w:pPr>
        <w:tabs>
          <w:tab w:val="num" w:pos="5760"/>
        </w:tabs>
        <w:ind w:left="5760" w:hanging="360"/>
      </w:pPr>
    </w:lvl>
    <w:lvl w:ilvl="8" w:tplc="68FC17F8">
      <w:start w:val="1"/>
      <w:numFmt w:val="decimal"/>
      <w:lvlText w:val="%9."/>
      <w:lvlJc w:val="left"/>
      <w:pPr>
        <w:tabs>
          <w:tab w:val="num" w:pos="6480"/>
        </w:tabs>
        <w:ind w:left="6480" w:hanging="360"/>
      </w:pPr>
    </w:lvl>
  </w:abstractNum>
  <w:num w:numId="1">
    <w:abstractNumId w:val="1"/>
  </w:num>
  <w:num w:numId="2">
    <w:abstractNumId w:val="0"/>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embedTrueTypeFonts/>
  <w:saveSubsetFonts/>
  <w:proofState w:spelling="clean" w:grammar="clean"/>
  <w:documentProtection w:edit="forms"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F6C"/>
    <w:rsid w:val="000A1258"/>
    <w:rsid w:val="000A23C9"/>
    <w:rsid w:val="000E1F2B"/>
    <w:rsid w:val="00180772"/>
    <w:rsid w:val="001C2AAD"/>
    <w:rsid w:val="001F6E54"/>
    <w:rsid w:val="00201D1E"/>
    <w:rsid w:val="00215E11"/>
    <w:rsid w:val="0022211E"/>
    <w:rsid w:val="00280BCD"/>
    <w:rsid w:val="002C5182"/>
    <w:rsid w:val="003A707F"/>
    <w:rsid w:val="003B0EC1"/>
    <w:rsid w:val="003B573B"/>
    <w:rsid w:val="003E7C8F"/>
    <w:rsid w:val="003F2CBD"/>
    <w:rsid w:val="00410D15"/>
    <w:rsid w:val="00424B97"/>
    <w:rsid w:val="0048529A"/>
    <w:rsid w:val="004B2753"/>
    <w:rsid w:val="004C6C16"/>
    <w:rsid w:val="00520873"/>
    <w:rsid w:val="00573D44"/>
    <w:rsid w:val="006608F7"/>
    <w:rsid w:val="0068405C"/>
    <w:rsid w:val="006D5D2D"/>
    <w:rsid w:val="006F44FA"/>
    <w:rsid w:val="00746AD2"/>
    <w:rsid w:val="007761BC"/>
    <w:rsid w:val="00840A06"/>
    <w:rsid w:val="008439B7"/>
    <w:rsid w:val="0087253F"/>
    <w:rsid w:val="008B7CD4"/>
    <w:rsid w:val="008E4F6C"/>
    <w:rsid w:val="009539C7"/>
    <w:rsid w:val="00953E80"/>
    <w:rsid w:val="00A00F21"/>
    <w:rsid w:val="00AA04C8"/>
    <w:rsid w:val="00B50C0F"/>
    <w:rsid w:val="00B75B53"/>
    <w:rsid w:val="00B84226"/>
    <w:rsid w:val="00BE1D2E"/>
    <w:rsid w:val="00BE7780"/>
    <w:rsid w:val="00C63C4E"/>
    <w:rsid w:val="00C72C30"/>
    <w:rsid w:val="00C7487F"/>
    <w:rsid w:val="00D229E5"/>
    <w:rsid w:val="00D77A88"/>
    <w:rsid w:val="00DF3750"/>
    <w:rsid w:val="00F03910"/>
    <w:rsid w:val="00F07E2E"/>
    <w:rsid w:val="00F117FA"/>
    <w:rsid w:val="00F254E4"/>
    <w:rsid w:val="00F40885"/>
    <w:rsid w:val="00F665AD"/>
    <w:rsid w:val="00F83E28"/>
    <w:rsid w:val="00FA2560"/>
    <w:rsid w:val="00FB51E1"/>
    <w:rsid w:val="00FE4676"/>
    <w:rsid w:val="00FE5F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48A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9"/>
    <w:qFormat/>
    <w:rsid w:val="000A23C9"/>
    <w:pPr>
      <w:keepNext/>
      <w:keepLines/>
      <w:spacing w:before="200" w:after="0"/>
      <w:outlineLvl w:val="2"/>
    </w:pPr>
    <w:rPr>
      <w:rFonts w:ascii="Times New Roman" w:eastAsia="Times New Roman" w:hAnsi="Times New Roman" w:cs="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Heading3Char">
    <w:name w:val="Heading 3 Char"/>
    <w:basedOn w:val="DefaultParagraphFont"/>
    <w:link w:val="Heading3"/>
    <w:uiPriority w:val="99"/>
    <w:rsid w:val="000A23C9"/>
    <w:rPr>
      <w:rFonts w:ascii="Times New Roman" w:eastAsia="Times New Roman" w:hAnsi="Times New Roman" w:cs="Times New Roman"/>
      <w:b/>
      <w:bCs/>
      <w:sz w:val="24"/>
    </w:rPr>
  </w:style>
  <w:style w:type="character" w:styleId="Hyperlink">
    <w:name w:val="Hyperlink"/>
    <w:basedOn w:val="DefaultParagraphFont"/>
    <w:uiPriority w:val="99"/>
    <w:unhideWhenUsed/>
    <w:rsid w:val="000A23C9"/>
    <w:rPr>
      <w:color w:val="0000FF" w:themeColor="hyperlink"/>
      <w:u w:val="single"/>
    </w:rPr>
  </w:style>
  <w:style w:type="paragraph" w:customStyle="1" w:styleId="Default">
    <w:name w:val="Default"/>
    <w:rsid w:val="000A23C9"/>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0A23C9"/>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180772"/>
    <w:rPr>
      <w:sz w:val="16"/>
      <w:szCs w:val="16"/>
    </w:rPr>
  </w:style>
  <w:style w:type="paragraph" w:styleId="CommentText">
    <w:name w:val="annotation text"/>
    <w:basedOn w:val="Normal"/>
    <w:link w:val="CommentTextChar"/>
    <w:uiPriority w:val="99"/>
    <w:semiHidden/>
    <w:unhideWhenUsed/>
    <w:rsid w:val="00180772"/>
    <w:pPr>
      <w:spacing w:line="240" w:lineRule="auto"/>
    </w:pPr>
    <w:rPr>
      <w:sz w:val="20"/>
      <w:szCs w:val="20"/>
    </w:rPr>
  </w:style>
  <w:style w:type="character" w:customStyle="1" w:styleId="CommentTextChar">
    <w:name w:val="Comment Text Char"/>
    <w:basedOn w:val="DefaultParagraphFont"/>
    <w:link w:val="CommentText"/>
    <w:uiPriority w:val="99"/>
    <w:semiHidden/>
    <w:rsid w:val="00180772"/>
    <w:rPr>
      <w:sz w:val="20"/>
      <w:szCs w:val="20"/>
    </w:rPr>
  </w:style>
  <w:style w:type="paragraph" w:styleId="CommentSubject">
    <w:name w:val="annotation subject"/>
    <w:basedOn w:val="CommentText"/>
    <w:next w:val="CommentText"/>
    <w:link w:val="CommentSubjectChar"/>
    <w:uiPriority w:val="99"/>
    <w:semiHidden/>
    <w:unhideWhenUsed/>
    <w:rsid w:val="00180772"/>
    <w:rPr>
      <w:b/>
      <w:bCs/>
    </w:rPr>
  </w:style>
  <w:style w:type="character" w:customStyle="1" w:styleId="CommentSubjectChar">
    <w:name w:val="Comment Subject Char"/>
    <w:basedOn w:val="CommentTextChar"/>
    <w:link w:val="CommentSubject"/>
    <w:uiPriority w:val="99"/>
    <w:semiHidden/>
    <w:rsid w:val="0018077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Description xmlns="344c6e69-c594-4ca4-b341-09ae9dfc1422" xsi:nil="true"/>
    <RecordNumber xmlns="344c6e69-c594-4ca4-b341-09ae9dfc1422">002235404</RecordNumber>
    <IconOverlay xmlns="http://schemas.microsoft.com/sharepoint/v4" xsi:nil="true"/>
    <Approval xmlns="344c6e69-c594-4ca4-b341-09ae9dfc1422">For Review</Approval>
    <Function xmlns="344c6e69-c594-4ca4-b341-09ae9dfc1422">Regulation</Function>
  </documentManagement>
</p:properties>
</file>

<file path=customXml/item2.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9975BD8FEE6B8C469537064A741E96B5" ma:contentTypeVersion="9" ma:contentTypeDescription="SPIRE Document" ma:contentTypeScope="" ma:versionID="23727699722672bf8dce498a0751c3b0">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ef787d53079b15267336a929c116c7a5"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customXsn xmlns="http://schemas.microsoft.com/office/2006/metadata/customXsn">
  <xsnLocation/>
  <cached>True</cached>
  <openByDefault>False</openByDefault>
  <xsnScope/>
</customXsn>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C0EB96-08F6-4398-A413-9478927548B2}">
  <ds:schemaRefs>
    <ds:schemaRef ds:uri="http://schemas.microsoft.com/office/2006/metadata/properties"/>
    <ds:schemaRef ds:uri="http://schemas.microsoft.com/office/infopath/2007/PartnerControls"/>
    <ds:schemaRef ds:uri="344c6e69-c594-4ca4-b341-09ae9dfc1422"/>
    <ds:schemaRef ds:uri="http://schemas.microsoft.com/sharepoint/v4"/>
  </ds:schemaRefs>
</ds:datastoreItem>
</file>

<file path=customXml/itemProps2.xml><?xml version="1.0" encoding="utf-8"?>
<ds:datastoreItem xmlns:ds="http://schemas.openxmlformats.org/officeDocument/2006/customXml" ds:itemID="{09DF490A-A978-41DC-961E-C221C8BF6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8B6E6D-7C87-44A7-9802-946CC7088DCD}">
  <ds:schemaRefs>
    <ds:schemaRef ds:uri="http://schemas.microsoft.com/sharepoint/events"/>
  </ds:schemaRefs>
</ds:datastoreItem>
</file>

<file path=customXml/itemProps4.xml><?xml version="1.0" encoding="utf-8"?>
<ds:datastoreItem xmlns:ds="http://schemas.openxmlformats.org/officeDocument/2006/customXml" ds:itemID="{4045330D-91F5-49A2-B225-60F01E3019EC}">
  <ds:schemaRefs>
    <ds:schemaRef ds:uri="http://schemas.openxmlformats.org/officeDocument/2006/bibliography"/>
  </ds:schemaRefs>
</ds:datastoreItem>
</file>

<file path=customXml/itemProps5.xml><?xml version="1.0" encoding="utf-8"?>
<ds:datastoreItem xmlns:ds="http://schemas.openxmlformats.org/officeDocument/2006/customXml" ds:itemID="{948CE1FC-7BC2-4F43-A1C5-A87BA62AE84E}">
  <ds:schemaRefs>
    <ds:schemaRef ds:uri="http://schemas.microsoft.com/office/2006/metadata/customXsn"/>
  </ds:schemaRefs>
</ds:datastoreItem>
</file>

<file path=customXml/itemProps6.xml><?xml version="1.0" encoding="utf-8"?>
<ds:datastoreItem xmlns:ds="http://schemas.openxmlformats.org/officeDocument/2006/customXml" ds:itemID="{B45EBE65-C099-4930-965E-48FAE23A54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770</Words>
  <Characters>4391</Characters>
  <Application>Microsoft Office Word</Application>
  <DocSecurity>0</DocSecurity>
  <PresentationFormat/>
  <Lines>36</Lines>
  <Paragraphs>10</Paragraphs>
  <ScaleCrop>false</ScaleCrop>
  <HeadingPairs>
    <vt:vector size="2" baseType="variant">
      <vt:variant>
        <vt:lpstr>Title</vt:lpstr>
      </vt:variant>
      <vt:variant>
        <vt:i4>1</vt:i4>
      </vt:variant>
    </vt:vector>
  </HeadingPairs>
  <TitlesOfParts>
    <vt:vector size="1" baseType="lpstr">
      <vt:lpstr>Draft Gazette Notice - Warragamba Dam</vt:lpstr>
    </vt:vector>
  </TitlesOfParts>
  <Manager/>
  <Company/>
  <LinksUpToDate>false</LinksUpToDate>
  <CharactersWithSpaces>5151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Gazette Notice - Warragamba Dam</dc:title>
  <dc:subject/>
  <dc:creator/>
  <cp:keywords/>
  <dc:description/>
  <cp:lastModifiedBy/>
  <cp:revision>1</cp:revision>
  <cp:lastPrinted>2013-06-24T01:35:00Z</cp:lastPrinted>
  <dcterms:created xsi:type="dcterms:W3CDTF">2021-01-27T23:39:00Z</dcterms:created>
  <dcterms:modified xsi:type="dcterms:W3CDTF">2021-01-27T23:39:00Z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SubmissionDate">
    <vt:lpwstr/>
  </property>
  <property fmtid="{D5CDD505-2E9C-101B-9397-08002B2CF9AE}" pid="3" name="RecordPoint_RecordNumberSubmitted">
    <vt:lpwstr/>
  </property>
  <property fmtid="{D5CDD505-2E9C-101B-9397-08002B2CF9AE}" pid="4" name="RecordPoint_ActiveItemSiteId">
    <vt:lpwstr>{8003c3b3-d20c-4e9a-bee9-0e2243d810ee}</vt:lpwstr>
  </property>
  <property fmtid="{D5CDD505-2E9C-101B-9397-08002B2CF9AE}" pid="5" name="RecordPoint_ActiveItemListId">
    <vt:lpwstr>{2231d181-8b55-443b-ad8f-958dc7b070ea}</vt:lpwstr>
  </property>
  <property fmtid="{D5CDD505-2E9C-101B-9397-08002B2CF9AE}" pid="6" name="ContentTypeId">
    <vt:lpwstr>0x0101009DB8618430E8D149BA674DA7B0E0C3F0009975BD8FEE6B8C469537064A741E96B5</vt:lpwstr>
  </property>
  <property fmtid="{D5CDD505-2E9C-101B-9397-08002B2CF9AE}" pid="7" name="RecordPoint_ActiveItemUniqueId">
    <vt:lpwstr>{cd5a6a6f-7da6-4359-adc8-42bca6d26c9d}</vt:lpwstr>
  </property>
  <property fmtid="{D5CDD505-2E9C-101B-9397-08002B2CF9AE}" pid="8" name="RecordPoint_SubmissionCompleted">
    <vt:lpwstr/>
  </property>
  <property fmtid="{D5CDD505-2E9C-101B-9397-08002B2CF9AE}" pid="9" name="RecordPoint_ActiveItemMoved">
    <vt:lpwstr/>
  </property>
  <property fmtid="{D5CDD505-2E9C-101B-9397-08002B2CF9AE}" pid="10" name="RecordPoint_RecordFormat">
    <vt:lpwstr/>
  </property>
  <property fmtid="{D5CDD505-2E9C-101B-9397-08002B2CF9AE}" pid="11" name="RecordPoint_ActiveItemWebId">
    <vt:lpwstr>{fc5f6266-41b8-4c8d-a1a1-2c080a479d3e}</vt:lpwstr>
  </property>
  <property fmtid="{D5CDD505-2E9C-101B-9397-08002B2CF9AE}" pid="12" name="RecordPoint_WorkflowType">
    <vt:lpwstr>ActiveSubmitStub</vt:lpwstr>
  </property>
</Properties>
</file>