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BBBFD" w14:textId="61AD8B18" w:rsidR="00A67344" w:rsidRDefault="00A67344" w:rsidP="00A67344">
      <w:r>
        <w:object w:dxaOrig="2146" w:dyaOrig="1561" w14:anchorId="0B4C29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Commonwealth Coat of Arms of Australia" style="width:107.25pt;height:78pt" o:ole="" fillcolor="window">
            <v:imagedata r:id="rId7" o:title=""/>
          </v:shape>
          <o:OLEObject Type="Embed" ProgID="Word.Picture.8" ShapeID="_x0000_i1026" DrawAspect="Content" ObjectID="_1697435847" r:id="rId8"/>
        </w:object>
      </w:r>
    </w:p>
    <w:p w14:paraId="0F489AFD" w14:textId="77777777" w:rsidR="00A67344" w:rsidRDefault="00A67344" w:rsidP="00A67344"/>
    <w:p w14:paraId="0780338B" w14:textId="77777777" w:rsidR="00A67344" w:rsidRDefault="00A67344" w:rsidP="00A67344"/>
    <w:p w14:paraId="5CD17B42" w14:textId="77777777" w:rsidR="00A67344" w:rsidRDefault="00A67344" w:rsidP="00A67344"/>
    <w:p w14:paraId="735EE53C" w14:textId="77777777" w:rsidR="00A67344" w:rsidRDefault="00A67344" w:rsidP="00A67344">
      <w:bookmarkStart w:id="0" w:name="_GoBack"/>
      <w:bookmarkEnd w:id="0"/>
    </w:p>
    <w:p w14:paraId="232E75DE" w14:textId="77777777" w:rsidR="00A67344" w:rsidRDefault="00A67344" w:rsidP="00A67344"/>
    <w:p w14:paraId="7B997C10" w14:textId="77777777" w:rsidR="00A67344" w:rsidRDefault="00A67344" w:rsidP="00A67344"/>
    <w:p w14:paraId="18254257" w14:textId="67818418" w:rsidR="002E46EE" w:rsidRPr="007D265F" w:rsidRDefault="00A67344" w:rsidP="002E46EE">
      <w:pPr>
        <w:pStyle w:val="ShortT"/>
      </w:pPr>
      <w:r>
        <w:t>National Disability Insurance Scheme Amendment (Improving Supports for At Risk Participants) Act 2021</w:t>
      </w:r>
    </w:p>
    <w:p w14:paraId="686EBE59" w14:textId="77777777" w:rsidR="002E46EE" w:rsidRPr="007D265F" w:rsidRDefault="002E46EE" w:rsidP="002E46EE"/>
    <w:p w14:paraId="7B8945C1" w14:textId="5107047F" w:rsidR="002E46EE" w:rsidRPr="007D265F" w:rsidRDefault="002E46EE" w:rsidP="00A67344">
      <w:pPr>
        <w:pStyle w:val="Actno"/>
        <w:spacing w:before="400"/>
      </w:pPr>
      <w:r w:rsidRPr="007D265F">
        <w:t>No.</w:t>
      </w:r>
      <w:r w:rsidR="00B975DC">
        <w:t xml:space="preserve"> 116</w:t>
      </w:r>
      <w:r w:rsidRPr="007D265F">
        <w:t>, 2021</w:t>
      </w:r>
    </w:p>
    <w:p w14:paraId="5C45ECC1" w14:textId="77777777" w:rsidR="002E46EE" w:rsidRPr="007D265F" w:rsidRDefault="002E46EE" w:rsidP="002E46EE"/>
    <w:p w14:paraId="2845CDE9" w14:textId="77777777" w:rsidR="00A90174" w:rsidRDefault="00A90174" w:rsidP="00A90174">
      <w:pPr>
        <w:rPr>
          <w:lang w:eastAsia="en-AU"/>
        </w:rPr>
      </w:pPr>
    </w:p>
    <w:p w14:paraId="56789460" w14:textId="4271F160" w:rsidR="002E46EE" w:rsidRPr="007D265F" w:rsidRDefault="002E46EE" w:rsidP="002E46EE"/>
    <w:p w14:paraId="6AE10D27" w14:textId="77777777" w:rsidR="002E46EE" w:rsidRPr="007D265F" w:rsidRDefault="002E46EE" w:rsidP="002E46EE"/>
    <w:p w14:paraId="56C27426" w14:textId="77777777" w:rsidR="002E46EE" w:rsidRPr="007D265F" w:rsidRDefault="002E46EE" w:rsidP="002E46EE"/>
    <w:p w14:paraId="7D9D09D1" w14:textId="77777777" w:rsidR="00A67344" w:rsidRDefault="00A67344" w:rsidP="00A67344">
      <w:pPr>
        <w:pStyle w:val="LongT"/>
      </w:pPr>
      <w:r>
        <w:t xml:space="preserve">An Act to amend the </w:t>
      </w:r>
      <w:r w:rsidRPr="00A67344">
        <w:rPr>
          <w:i/>
        </w:rPr>
        <w:t>National Disability Insurance Scheme Act 2013</w:t>
      </w:r>
      <w:r>
        <w:t>, and for related purposes</w:t>
      </w:r>
    </w:p>
    <w:p w14:paraId="6B8A61F9" w14:textId="36C34E3B" w:rsidR="002E46EE" w:rsidRPr="00DA17F5" w:rsidRDefault="002E46EE" w:rsidP="002E46EE">
      <w:pPr>
        <w:pStyle w:val="Header"/>
        <w:tabs>
          <w:tab w:val="clear" w:pos="4150"/>
          <w:tab w:val="clear" w:pos="8307"/>
        </w:tabs>
      </w:pPr>
      <w:r w:rsidRPr="00DA17F5">
        <w:rPr>
          <w:rStyle w:val="CharAmSchNo"/>
        </w:rPr>
        <w:t xml:space="preserve"> </w:t>
      </w:r>
      <w:r w:rsidRPr="00DA17F5">
        <w:rPr>
          <w:rStyle w:val="CharAmSchText"/>
        </w:rPr>
        <w:t xml:space="preserve"> </w:t>
      </w:r>
    </w:p>
    <w:p w14:paraId="36DD8545" w14:textId="77777777" w:rsidR="002E46EE" w:rsidRPr="00DA17F5" w:rsidRDefault="002E46EE" w:rsidP="002E46EE">
      <w:pPr>
        <w:pStyle w:val="Header"/>
        <w:tabs>
          <w:tab w:val="clear" w:pos="4150"/>
          <w:tab w:val="clear" w:pos="8307"/>
        </w:tabs>
      </w:pPr>
      <w:r w:rsidRPr="00DA17F5">
        <w:rPr>
          <w:rStyle w:val="CharAmPartNo"/>
        </w:rPr>
        <w:t xml:space="preserve"> </w:t>
      </w:r>
      <w:r w:rsidRPr="00DA17F5">
        <w:rPr>
          <w:rStyle w:val="CharAmPartText"/>
        </w:rPr>
        <w:t xml:space="preserve"> </w:t>
      </w:r>
    </w:p>
    <w:p w14:paraId="6B4E6CA0" w14:textId="77777777" w:rsidR="002E46EE" w:rsidRPr="007D265F" w:rsidRDefault="002E46EE" w:rsidP="002E46EE">
      <w:pPr>
        <w:sectPr w:rsidR="002E46EE" w:rsidRPr="007D265F" w:rsidSect="00A67344">
          <w:headerReference w:type="even" r:id="rId9"/>
          <w:headerReference w:type="default" r:id="rId10"/>
          <w:footerReference w:type="even" r:id="rId11"/>
          <w:footerReference w:type="default" r:id="rId12"/>
          <w:headerReference w:type="first" r:id="rId13"/>
          <w:footerReference w:type="first" r:id="rId14"/>
          <w:pgSz w:w="11907" w:h="16839"/>
          <w:pgMar w:top="1418" w:right="2410" w:bottom="4252" w:left="2410" w:header="720" w:footer="3402" w:gutter="0"/>
          <w:cols w:space="708"/>
          <w:docGrid w:linePitch="360"/>
        </w:sectPr>
      </w:pPr>
    </w:p>
    <w:p w14:paraId="3AAA17AF" w14:textId="77777777" w:rsidR="002E46EE" w:rsidRPr="007D265F" w:rsidRDefault="002E46EE" w:rsidP="002E46EE">
      <w:pPr>
        <w:outlineLvl w:val="0"/>
        <w:rPr>
          <w:sz w:val="36"/>
        </w:rPr>
      </w:pPr>
      <w:r w:rsidRPr="007D265F">
        <w:rPr>
          <w:sz w:val="36"/>
        </w:rPr>
        <w:lastRenderedPageBreak/>
        <w:t>Contents</w:t>
      </w:r>
    </w:p>
    <w:p w14:paraId="227C5E02" w14:textId="562F5AA5" w:rsidR="00B975DC" w:rsidRDefault="00B975DC">
      <w:pPr>
        <w:pStyle w:val="TOC5"/>
        <w:rPr>
          <w:rFonts w:asciiTheme="minorHAnsi" w:eastAsiaTheme="minorEastAsia" w:hAnsiTheme="minorHAnsi" w:cstheme="minorBidi"/>
          <w:noProof/>
          <w:kern w:val="0"/>
          <w:sz w:val="22"/>
          <w:szCs w:val="22"/>
        </w:rPr>
      </w:pPr>
      <w:r>
        <w:fldChar w:fldCharType="begin"/>
      </w:r>
      <w:r>
        <w:instrText xml:space="preserve"> TOC \o "1-9" </w:instrText>
      </w:r>
      <w:r>
        <w:fldChar w:fldCharType="separate"/>
      </w:r>
      <w:r>
        <w:rPr>
          <w:noProof/>
        </w:rPr>
        <w:t>1</w:t>
      </w:r>
      <w:r>
        <w:rPr>
          <w:noProof/>
        </w:rPr>
        <w:tab/>
        <w:t>Short title</w:t>
      </w:r>
      <w:r w:rsidRPr="00B975DC">
        <w:rPr>
          <w:noProof/>
        </w:rPr>
        <w:tab/>
      </w:r>
      <w:r w:rsidRPr="00B975DC">
        <w:rPr>
          <w:noProof/>
        </w:rPr>
        <w:fldChar w:fldCharType="begin"/>
      </w:r>
      <w:r w:rsidRPr="00B975DC">
        <w:rPr>
          <w:noProof/>
        </w:rPr>
        <w:instrText xml:space="preserve"> PAGEREF _Toc86822777 \h </w:instrText>
      </w:r>
      <w:r w:rsidRPr="00B975DC">
        <w:rPr>
          <w:noProof/>
        </w:rPr>
      </w:r>
      <w:r w:rsidRPr="00B975DC">
        <w:rPr>
          <w:noProof/>
        </w:rPr>
        <w:fldChar w:fldCharType="separate"/>
      </w:r>
      <w:r w:rsidRPr="00B975DC">
        <w:rPr>
          <w:noProof/>
        </w:rPr>
        <w:t>1</w:t>
      </w:r>
      <w:r w:rsidRPr="00B975DC">
        <w:rPr>
          <w:noProof/>
        </w:rPr>
        <w:fldChar w:fldCharType="end"/>
      </w:r>
    </w:p>
    <w:p w14:paraId="182F3A70" w14:textId="54EC1CAD" w:rsidR="00B975DC" w:rsidRDefault="00B975DC">
      <w:pPr>
        <w:pStyle w:val="TOC5"/>
        <w:rPr>
          <w:rFonts w:asciiTheme="minorHAnsi" w:eastAsiaTheme="minorEastAsia" w:hAnsiTheme="minorHAnsi" w:cstheme="minorBidi"/>
          <w:noProof/>
          <w:kern w:val="0"/>
          <w:sz w:val="22"/>
          <w:szCs w:val="22"/>
        </w:rPr>
      </w:pPr>
      <w:r>
        <w:rPr>
          <w:noProof/>
        </w:rPr>
        <w:t>2</w:t>
      </w:r>
      <w:r>
        <w:rPr>
          <w:noProof/>
        </w:rPr>
        <w:tab/>
        <w:t>Commencement</w:t>
      </w:r>
      <w:r w:rsidRPr="00B975DC">
        <w:rPr>
          <w:noProof/>
        </w:rPr>
        <w:tab/>
      </w:r>
      <w:r w:rsidRPr="00B975DC">
        <w:rPr>
          <w:noProof/>
        </w:rPr>
        <w:fldChar w:fldCharType="begin"/>
      </w:r>
      <w:r w:rsidRPr="00B975DC">
        <w:rPr>
          <w:noProof/>
        </w:rPr>
        <w:instrText xml:space="preserve"> PAGEREF _Toc86822778 \h </w:instrText>
      </w:r>
      <w:r w:rsidRPr="00B975DC">
        <w:rPr>
          <w:noProof/>
        </w:rPr>
      </w:r>
      <w:r w:rsidRPr="00B975DC">
        <w:rPr>
          <w:noProof/>
        </w:rPr>
        <w:fldChar w:fldCharType="separate"/>
      </w:r>
      <w:r w:rsidRPr="00B975DC">
        <w:rPr>
          <w:noProof/>
        </w:rPr>
        <w:t>2</w:t>
      </w:r>
      <w:r w:rsidRPr="00B975DC">
        <w:rPr>
          <w:noProof/>
        </w:rPr>
        <w:fldChar w:fldCharType="end"/>
      </w:r>
    </w:p>
    <w:p w14:paraId="66E187A4" w14:textId="1EBCF86F" w:rsidR="00B975DC" w:rsidRDefault="00B975DC">
      <w:pPr>
        <w:pStyle w:val="TOC5"/>
        <w:rPr>
          <w:rFonts w:asciiTheme="minorHAnsi" w:eastAsiaTheme="minorEastAsia" w:hAnsiTheme="minorHAnsi" w:cstheme="minorBidi"/>
          <w:noProof/>
          <w:kern w:val="0"/>
          <w:sz w:val="22"/>
          <w:szCs w:val="22"/>
        </w:rPr>
      </w:pPr>
      <w:r>
        <w:rPr>
          <w:noProof/>
        </w:rPr>
        <w:t>3</w:t>
      </w:r>
      <w:r>
        <w:rPr>
          <w:noProof/>
        </w:rPr>
        <w:tab/>
        <w:t>Schedules</w:t>
      </w:r>
      <w:r w:rsidRPr="00B975DC">
        <w:rPr>
          <w:noProof/>
        </w:rPr>
        <w:tab/>
      </w:r>
      <w:r w:rsidRPr="00B975DC">
        <w:rPr>
          <w:noProof/>
        </w:rPr>
        <w:fldChar w:fldCharType="begin"/>
      </w:r>
      <w:r w:rsidRPr="00B975DC">
        <w:rPr>
          <w:noProof/>
        </w:rPr>
        <w:instrText xml:space="preserve"> PAGEREF _Toc86822779 \h </w:instrText>
      </w:r>
      <w:r w:rsidRPr="00B975DC">
        <w:rPr>
          <w:noProof/>
        </w:rPr>
      </w:r>
      <w:r w:rsidRPr="00B975DC">
        <w:rPr>
          <w:noProof/>
        </w:rPr>
        <w:fldChar w:fldCharType="separate"/>
      </w:r>
      <w:r w:rsidRPr="00B975DC">
        <w:rPr>
          <w:noProof/>
        </w:rPr>
        <w:t>2</w:t>
      </w:r>
      <w:r w:rsidRPr="00B975DC">
        <w:rPr>
          <w:noProof/>
        </w:rPr>
        <w:fldChar w:fldCharType="end"/>
      </w:r>
    </w:p>
    <w:p w14:paraId="751D9E2E" w14:textId="06F8D4AA" w:rsidR="00B975DC" w:rsidRDefault="00B975DC">
      <w:pPr>
        <w:pStyle w:val="TOC6"/>
        <w:rPr>
          <w:rFonts w:asciiTheme="minorHAnsi" w:eastAsiaTheme="minorEastAsia" w:hAnsiTheme="minorHAnsi" w:cstheme="minorBidi"/>
          <w:b w:val="0"/>
          <w:noProof/>
          <w:kern w:val="0"/>
          <w:sz w:val="22"/>
          <w:szCs w:val="22"/>
        </w:rPr>
      </w:pPr>
      <w:r>
        <w:rPr>
          <w:noProof/>
        </w:rPr>
        <w:t>Schedule 1—Amendments</w:t>
      </w:r>
      <w:r w:rsidRPr="00B975DC">
        <w:rPr>
          <w:b w:val="0"/>
          <w:noProof/>
          <w:sz w:val="18"/>
        </w:rPr>
        <w:tab/>
      </w:r>
      <w:r w:rsidRPr="00B975DC">
        <w:rPr>
          <w:b w:val="0"/>
          <w:noProof/>
          <w:sz w:val="18"/>
        </w:rPr>
        <w:fldChar w:fldCharType="begin"/>
      </w:r>
      <w:r w:rsidRPr="00B975DC">
        <w:rPr>
          <w:b w:val="0"/>
          <w:noProof/>
          <w:sz w:val="18"/>
        </w:rPr>
        <w:instrText xml:space="preserve"> PAGEREF _Toc86822780 \h </w:instrText>
      </w:r>
      <w:r w:rsidRPr="00B975DC">
        <w:rPr>
          <w:b w:val="0"/>
          <w:noProof/>
          <w:sz w:val="18"/>
        </w:rPr>
      </w:r>
      <w:r w:rsidRPr="00B975DC">
        <w:rPr>
          <w:b w:val="0"/>
          <w:noProof/>
          <w:sz w:val="18"/>
        </w:rPr>
        <w:fldChar w:fldCharType="separate"/>
      </w:r>
      <w:r w:rsidRPr="00B975DC">
        <w:rPr>
          <w:b w:val="0"/>
          <w:noProof/>
          <w:sz w:val="18"/>
        </w:rPr>
        <w:t>3</w:t>
      </w:r>
      <w:r w:rsidRPr="00B975DC">
        <w:rPr>
          <w:b w:val="0"/>
          <w:noProof/>
          <w:sz w:val="18"/>
        </w:rPr>
        <w:fldChar w:fldCharType="end"/>
      </w:r>
    </w:p>
    <w:p w14:paraId="0C4A315E" w14:textId="408DCCFD" w:rsidR="00B975DC" w:rsidRDefault="00B975DC">
      <w:pPr>
        <w:pStyle w:val="TOC9"/>
        <w:rPr>
          <w:rFonts w:asciiTheme="minorHAnsi" w:eastAsiaTheme="minorEastAsia" w:hAnsiTheme="minorHAnsi" w:cstheme="minorBidi"/>
          <w:i w:val="0"/>
          <w:noProof/>
          <w:kern w:val="0"/>
          <w:sz w:val="22"/>
          <w:szCs w:val="22"/>
        </w:rPr>
      </w:pPr>
      <w:r>
        <w:rPr>
          <w:noProof/>
        </w:rPr>
        <w:t>National Disability Insurance Scheme Act 2013</w:t>
      </w:r>
      <w:r w:rsidRPr="00B975DC">
        <w:rPr>
          <w:i w:val="0"/>
          <w:noProof/>
          <w:sz w:val="18"/>
        </w:rPr>
        <w:tab/>
      </w:r>
      <w:r w:rsidRPr="00B975DC">
        <w:rPr>
          <w:i w:val="0"/>
          <w:noProof/>
          <w:sz w:val="18"/>
        </w:rPr>
        <w:fldChar w:fldCharType="begin"/>
      </w:r>
      <w:r w:rsidRPr="00B975DC">
        <w:rPr>
          <w:i w:val="0"/>
          <w:noProof/>
          <w:sz w:val="18"/>
        </w:rPr>
        <w:instrText xml:space="preserve"> PAGEREF _Toc86822781 \h </w:instrText>
      </w:r>
      <w:r w:rsidRPr="00B975DC">
        <w:rPr>
          <w:i w:val="0"/>
          <w:noProof/>
          <w:sz w:val="18"/>
        </w:rPr>
      </w:r>
      <w:r w:rsidRPr="00B975DC">
        <w:rPr>
          <w:i w:val="0"/>
          <w:noProof/>
          <w:sz w:val="18"/>
        </w:rPr>
        <w:fldChar w:fldCharType="separate"/>
      </w:r>
      <w:r w:rsidRPr="00B975DC">
        <w:rPr>
          <w:i w:val="0"/>
          <w:noProof/>
          <w:sz w:val="18"/>
        </w:rPr>
        <w:t>3</w:t>
      </w:r>
      <w:r w:rsidRPr="00B975DC">
        <w:rPr>
          <w:i w:val="0"/>
          <w:noProof/>
          <w:sz w:val="18"/>
        </w:rPr>
        <w:fldChar w:fldCharType="end"/>
      </w:r>
    </w:p>
    <w:p w14:paraId="58C8C90E" w14:textId="5CE0C94B" w:rsidR="002E46EE" w:rsidRPr="007D265F" w:rsidRDefault="00B975DC" w:rsidP="002E46EE">
      <w:r>
        <w:fldChar w:fldCharType="end"/>
      </w:r>
    </w:p>
    <w:p w14:paraId="29D605CA" w14:textId="77777777" w:rsidR="002E46EE" w:rsidRPr="007D265F" w:rsidRDefault="002E46EE" w:rsidP="002E46EE">
      <w:pPr>
        <w:sectPr w:rsidR="002E46EE" w:rsidRPr="007D265F" w:rsidSect="00A67344">
          <w:headerReference w:type="even" r:id="rId15"/>
          <w:headerReference w:type="default" r:id="rId16"/>
          <w:footerReference w:type="even" r:id="rId17"/>
          <w:footerReference w:type="default" r:id="rId18"/>
          <w:headerReference w:type="first" r:id="rId19"/>
          <w:pgSz w:w="11907" w:h="16839"/>
          <w:pgMar w:top="2381" w:right="2410" w:bottom="4252" w:left="2410" w:header="720" w:footer="3402" w:gutter="0"/>
          <w:pgNumType w:fmt="lowerRoman" w:start="1"/>
          <w:cols w:space="708"/>
          <w:docGrid w:linePitch="360"/>
        </w:sectPr>
      </w:pPr>
    </w:p>
    <w:p w14:paraId="671A5C24" w14:textId="77777777" w:rsidR="00A67344" w:rsidRDefault="00A67344">
      <w:r>
        <w:object w:dxaOrig="2146" w:dyaOrig="1561" w14:anchorId="41E41C31">
          <v:shape id="_x0000_i1042" type="#_x0000_t75" alt="Commonwealth Coat of Arms of Australia" style="width:110.25pt;height:80.25pt" o:ole="" fillcolor="window">
            <v:imagedata r:id="rId7" o:title=""/>
          </v:shape>
          <o:OLEObject Type="Embed" ProgID="Word.Picture.8" ShapeID="_x0000_i1042" DrawAspect="Content" ObjectID="_1697435848" r:id="rId20"/>
        </w:object>
      </w:r>
    </w:p>
    <w:p w14:paraId="794DB0D5" w14:textId="77777777" w:rsidR="00A67344" w:rsidRDefault="00A67344"/>
    <w:p w14:paraId="3485E0D4" w14:textId="77777777" w:rsidR="00A67344" w:rsidRDefault="00A67344" w:rsidP="000178F8">
      <w:pPr>
        <w:spacing w:line="240" w:lineRule="auto"/>
      </w:pPr>
    </w:p>
    <w:p w14:paraId="0F0EEBD4" w14:textId="6BCC6DCA" w:rsidR="00A67344" w:rsidRDefault="009D4F5B" w:rsidP="000178F8">
      <w:pPr>
        <w:pStyle w:val="ShortTP1"/>
      </w:pPr>
      <w:r>
        <w:fldChar w:fldCharType="begin"/>
      </w:r>
      <w:r>
        <w:instrText xml:space="preserve"> STYLEREF ShortT </w:instrText>
      </w:r>
      <w:r>
        <w:fldChar w:fldCharType="separate"/>
      </w:r>
      <w:r w:rsidR="00B975DC">
        <w:rPr>
          <w:noProof/>
        </w:rPr>
        <w:t>National Disability Insurance Scheme Amendment (Improving Supports for At Risk Participants) Act 2021</w:t>
      </w:r>
      <w:r>
        <w:rPr>
          <w:noProof/>
        </w:rPr>
        <w:fldChar w:fldCharType="end"/>
      </w:r>
    </w:p>
    <w:p w14:paraId="4A79CA14" w14:textId="463F92D4" w:rsidR="00A67344" w:rsidRDefault="009D4F5B" w:rsidP="000178F8">
      <w:pPr>
        <w:pStyle w:val="ActNoP1"/>
      </w:pPr>
      <w:r>
        <w:fldChar w:fldCharType="begin"/>
      </w:r>
      <w:r>
        <w:instrText xml:space="preserve"> STYLEREF Actno </w:instrText>
      </w:r>
      <w:r>
        <w:fldChar w:fldCharType="separate"/>
      </w:r>
      <w:r w:rsidR="00B975DC">
        <w:rPr>
          <w:noProof/>
        </w:rPr>
        <w:t>No. 116, 2021</w:t>
      </w:r>
      <w:r>
        <w:rPr>
          <w:noProof/>
        </w:rPr>
        <w:fldChar w:fldCharType="end"/>
      </w:r>
    </w:p>
    <w:p w14:paraId="3D4A4598" w14:textId="77777777" w:rsidR="00A67344" w:rsidRPr="009A0728" w:rsidRDefault="00A67344" w:rsidP="009A0728">
      <w:pPr>
        <w:pBdr>
          <w:bottom w:val="single" w:sz="6" w:space="0" w:color="auto"/>
        </w:pBdr>
        <w:spacing w:before="400" w:line="240" w:lineRule="auto"/>
        <w:rPr>
          <w:rFonts w:eastAsia="Times New Roman"/>
          <w:b/>
          <w:sz w:val="28"/>
        </w:rPr>
      </w:pPr>
    </w:p>
    <w:p w14:paraId="655CBA5F" w14:textId="77777777" w:rsidR="00A67344" w:rsidRPr="009A0728" w:rsidRDefault="00A67344" w:rsidP="009A0728">
      <w:pPr>
        <w:spacing w:line="40" w:lineRule="exact"/>
        <w:rPr>
          <w:rFonts w:eastAsia="Calibri"/>
          <w:b/>
          <w:sz w:val="28"/>
        </w:rPr>
      </w:pPr>
    </w:p>
    <w:p w14:paraId="3166CCC4" w14:textId="77777777" w:rsidR="00A67344" w:rsidRPr="009A0728" w:rsidRDefault="00A67344" w:rsidP="009A0728">
      <w:pPr>
        <w:pBdr>
          <w:top w:val="single" w:sz="12" w:space="0" w:color="auto"/>
        </w:pBdr>
        <w:spacing w:line="240" w:lineRule="auto"/>
        <w:rPr>
          <w:rFonts w:eastAsia="Times New Roman"/>
          <w:b/>
          <w:sz w:val="28"/>
        </w:rPr>
      </w:pPr>
    </w:p>
    <w:p w14:paraId="1161F6C8" w14:textId="77777777" w:rsidR="00A67344" w:rsidRDefault="00A67344" w:rsidP="00A67344">
      <w:pPr>
        <w:pStyle w:val="Page1"/>
        <w:spacing w:before="400"/>
      </w:pPr>
      <w:r>
        <w:t xml:space="preserve">An Act to amend the </w:t>
      </w:r>
      <w:r w:rsidRPr="00A67344">
        <w:rPr>
          <w:i/>
        </w:rPr>
        <w:t>National Disability Insurance Scheme Act 2013</w:t>
      </w:r>
      <w:r>
        <w:t>, and for related purposes</w:t>
      </w:r>
    </w:p>
    <w:p w14:paraId="1ED47F6C" w14:textId="2DE0E045" w:rsidR="00B975DC" w:rsidRDefault="00B975DC" w:rsidP="000C5962">
      <w:pPr>
        <w:pStyle w:val="AssentDt"/>
        <w:spacing w:before="240"/>
        <w:rPr>
          <w:sz w:val="24"/>
        </w:rPr>
      </w:pPr>
      <w:r>
        <w:rPr>
          <w:sz w:val="24"/>
        </w:rPr>
        <w:t>[</w:t>
      </w:r>
      <w:r>
        <w:rPr>
          <w:i/>
          <w:sz w:val="24"/>
        </w:rPr>
        <w:t>Assented to 28 October 2021</w:t>
      </w:r>
      <w:r>
        <w:rPr>
          <w:sz w:val="24"/>
        </w:rPr>
        <w:t>]</w:t>
      </w:r>
    </w:p>
    <w:p w14:paraId="7293B4BA" w14:textId="46BEBFE5" w:rsidR="002E46EE" w:rsidRPr="007D265F" w:rsidRDefault="002E46EE" w:rsidP="002E46EE">
      <w:pPr>
        <w:spacing w:before="240" w:line="240" w:lineRule="auto"/>
        <w:rPr>
          <w:sz w:val="32"/>
        </w:rPr>
      </w:pPr>
      <w:r w:rsidRPr="007D265F">
        <w:rPr>
          <w:sz w:val="32"/>
        </w:rPr>
        <w:t>The Parliament of Australia enacts:</w:t>
      </w:r>
    </w:p>
    <w:p w14:paraId="278930BE" w14:textId="77777777" w:rsidR="002E46EE" w:rsidRPr="007D265F" w:rsidRDefault="002E46EE" w:rsidP="002E46EE">
      <w:pPr>
        <w:pStyle w:val="ActHead5"/>
      </w:pPr>
      <w:bookmarkStart w:id="1" w:name="_Toc86822777"/>
      <w:r w:rsidRPr="00DA17F5">
        <w:rPr>
          <w:rStyle w:val="CharSectno"/>
        </w:rPr>
        <w:t>1</w:t>
      </w:r>
      <w:r w:rsidRPr="007D265F">
        <w:t xml:space="preserve">  Short title</w:t>
      </w:r>
      <w:bookmarkEnd w:id="1"/>
    </w:p>
    <w:p w14:paraId="551FB586" w14:textId="77777777" w:rsidR="002E46EE" w:rsidRPr="007D265F" w:rsidRDefault="002E46EE" w:rsidP="002E46EE">
      <w:pPr>
        <w:pStyle w:val="subsection"/>
      </w:pPr>
      <w:r w:rsidRPr="007D265F">
        <w:tab/>
      </w:r>
      <w:r w:rsidRPr="007D265F">
        <w:tab/>
        <w:t xml:space="preserve">This Act is the </w:t>
      </w:r>
      <w:r w:rsidRPr="007D265F">
        <w:rPr>
          <w:i/>
        </w:rPr>
        <w:t>National Disability Insurance Scheme Amendment (Improving Supports for At Risk Participants) Act 2021</w:t>
      </w:r>
      <w:r w:rsidRPr="007D265F">
        <w:t>.</w:t>
      </w:r>
    </w:p>
    <w:p w14:paraId="3C83C0FA" w14:textId="77777777" w:rsidR="002E46EE" w:rsidRPr="007D265F" w:rsidRDefault="002E46EE" w:rsidP="002E46EE">
      <w:pPr>
        <w:pStyle w:val="ActHead5"/>
      </w:pPr>
      <w:bookmarkStart w:id="2" w:name="_Toc86822778"/>
      <w:r w:rsidRPr="00DA17F5">
        <w:rPr>
          <w:rStyle w:val="CharSectno"/>
        </w:rPr>
        <w:lastRenderedPageBreak/>
        <w:t>2</w:t>
      </w:r>
      <w:r w:rsidRPr="007D265F">
        <w:t xml:space="preserve">  Commencement</w:t>
      </w:r>
      <w:bookmarkEnd w:id="2"/>
    </w:p>
    <w:p w14:paraId="258F14DB" w14:textId="77777777" w:rsidR="002E46EE" w:rsidRPr="007D265F" w:rsidRDefault="002E46EE" w:rsidP="002E46EE">
      <w:pPr>
        <w:pStyle w:val="subsection"/>
      </w:pPr>
      <w:r w:rsidRPr="007D265F">
        <w:tab/>
        <w:t>(1)</w:t>
      </w:r>
      <w:r w:rsidRPr="007D265F">
        <w:tab/>
        <w:t>Each provision of this Act specified in column 1 of the table commences, or is taken to have commenced, in accordance with column 2 of the table. Any other statement in column 2 has effect according to its terms.</w:t>
      </w:r>
    </w:p>
    <w:p w14:paraId="7D1FEDD2" w14:textId="77777777" w:rsidR="002E46EE" w:rsidRPr="007D265F" w:rsidRDefault="002E46EE" w:rsidP="002E46EE">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2E46EE" w:rsidRPr="007D265F" w14:paraId="36F92255" w14:textId="77777777" w:rsidTr="00862275">
        <w:trPr>
          <w:tblHeader/>
        </w:trPr>
        <w:tc>
          <w:tcPr>
            <w:tcW w:w="7111" w:type="dxa"/>
            <w:gridSpan w:val="3"/>
            <w:tcBorders>
              <w:top w:val="single" w:sz="12" w:space="0" w:color="auto"/>
              <w:bottom w:val="single" w:sz="2" w:space="0" w:color="auto"/>
            </w:tcBorders>
            <w:shd w:val="clear" w:color="auto" w:fill="auto"/>
            <w:hideMark/>
          </w:tcPr>
          <w:p w14:paraId="4CF39071" w14:textId="77777777" w:rsidR="002E46EE" w:rsidRPr="007D265F" w:rsidRDefault="002E46EE" w:rsidP="00862275">
            <w:pPr>
              <w:pStyle w:val="TableHeading"/>
            </w:pPr>
            <w:r w:rsidRPr="007D265F">
              <w:t>Commencement information</w:t>
            </w:r>
          </w:p>
        </w:tc>
      </w:tr>
      <w:tr w:rsidR="002E46EE" w:rsidRPr="007D265F" w14:paraId="6C5F5D54" w14:textId="77777777" w:rsidTr="00862275">
        <w:trPr>
          <w:tblHeader/>
        </w:trPr>
        <w:tc>
          <w:tcPr>
            <w:tcW w:w="1701" w:type="dxa"/>
            <w:tcBorders>
              <w:top w:val="single" w:sz="2" w:space="0" w:color="auto"/>
              <w:bottom w:val="single" w:sz="2" w:space="0" w:color="auto"/>
            </w:tcBorders>
            <w:shd w:val="clear" w:color="auto" w:fill="auto"/>
            <w:hideMark/>
          </w:tcPr>
          <w:p w14:paraId="0EA6E435" w14:textId="77777777" w:rsidR="002E46EE" w:rsidRPr="007D265F" w:rsidRDefault="002E46EE" w:rsidP="00862275">
            <w:pPr>
              <w:pStyle w:val="TableHeading"/>
            </w:pPr>
            <w:r w:rsidRPr="007D265F">
              <w:t>Column 1</w:t>
            </w:r>
          </w:p>
        </w:tc>
        <w:tc>
          <w:tcPr>
            <w:tcW w:w="3828" w:type="dxa"/>
            <w:tcBorders>
              <w:top w:val="single" w:sz="2" w:space="0" w:color="auto"/>
              <w:bottom w:val="single" w:sz="2" w:space="0" w:color="auto"/>
            </w:tcBorders>
            <w:shd w:val="clear" w:color="auto" w:fill="auto"/>
            <w:hideMark/>
          </w:tcPr>
          <w:p w14:paraId="338D8A1D" w14:textId="77777777" w:rsidR="002E46EE" w:rsidRPr="007D265F" w:rsidRDefault="002E46EE" w:rsidP="00862275">
            <w:pPr>
              <w:pStyle w:val="TableHeading"/>
            </w:pPr>
            <w:r w:rsidRPr="007D265F">
              <w:t>Column 2</w:t>
            </w:r>
          </w:p>
        </w:tc>
        <w:tc>
          <w:tcPr>
            <w:tcW w:w="1582" w:type="dxa"/>
            <w:tcBorders>
              <w:top w:val="single" w:sz="2" w:space="0" w:color="auto"/>
              <w:bottom w:val="single" w:sz="2" w:space="0" w:color="auto"/>
            </w:tcBorders>
            <w:shd w:val="clear" w:color="auto" w:fill="auto"/>
            <w:hideMark/>
          </w:tcPr>
          <w:p w14:paraId="57F8519A" w14:textId="77777777" w:rsidR="002E46EE" w:rsidRPr="007D265F" w:rsidRDefault="002E46EE" w:rsidP="00862275">
            <w:pPr>
              <w:pStyle w:val="TableHeading"/>
            </w:pPr>
            <w:r w:rsidRPr="007D265F">
              <w:t>Column 3</w:t>
            </w:r>
          </w:p>
        </w:tc>
      </w:tr>
      <w:tr w:rsidR="002E46EE" w:rsidRPr="007D265F" w14:paraId="6EB0E657" w14:textId="77777777" w:rsidTr="00862275">
        <w:trPr>
          <w:tblHeader/>
        </w:trPr>
        <w:tc>
          <w:tcPr>
            <w:tcW w:w="1701" w:type="dxa"/>
            <w:tcBorders>
              <w:top w:val="single" w:sz="2" w:space="0" w:color="auto"/>
              <w:bottom w:val="single" w:sz="12" w:space="0" w:color="auto"/>
            </w:tcBorders>
            <w:shd w:val="clear" w:color="auto" w:fill="auto"/>
            <w:hideMark/>
          </w:tcPr>
          <w:p w14:paraId="218C5E4C" w14:textId="77777777" w:rsidR="002E46EE" w:rsidRPr="007D265F" w:rsidRDefault="002E46EE" w:rsidP="00862275">
            <w:pPr>
              <w:pStyle w:val="TableHeading"/>
            </w:pPr>
            <w:r w:rsidRPr="007D265F">
              <w:t>Provisions</w:t>
            </w:r>
          </w:p>
        </w:tc>
        <w:tc>
          <w:tcPr>
            <w:tcW w:w="3828" w:type="dxa"/>
            <w:tcBorders>
              <w:top w:val="single" w:sz="2" w:space="0" w:color="auto"/>
              <w:bottom w:val="single" w:sz="12" w:space="0" w:color="auto"/>
            </w:tcBorders>
            <w:shd w:val="clear" w:color="auto" w:fill="auto"/>
            <w:hideMark/>
          </w:tcPr>
          <w:p w14:paraId="210A49FA" w14:textId="77777777" w:rsidR="002E46EE" w:rsidRPr="007D265F" w:rsidRDefault="002E46EE" w:rsidP="00862275">
            <w:pPr>
              <w:pStyle w:val="TableHeading"/>
            </w:pPr>
            <w:r w:rsidRPr="007D265F">
              <w:t>Commencement</w:t>
            </w:r>
          </w:p>
        </w:tc>
        <w:tc>
          <w:tcPr>
            <w:tcW w:w="1582" w:type="dxa"/>
            <w:tcBorders>
              <w:top w:val="single" w:sz="2" w:space="0" w:color="auto"/>
              <w:bottom w:val="single" w:sz="12" w:space="0" w:color="auto"/>
            </w:tcBorders>
            <w:shd w:val="clear" w:color="auto" w:fill="auto"/>
            <w:hideMark/>
          </w:tcPr>
          <w:p w14:paraId="22C4B06C" w14:textId="77777777" w:rsidR="002E46EE" w:rsidRPr="007D265F" w:rsidRDefault="002E46EE" w:rsidP="00862275">
            <w:pPr>
              <w:pStyle w:val="TableHeading"/>
            </w:pPr>
            <w:r w:rsidRPr="007D265F">
              <w:t>Date/Details</w:t>
            </w:r>
          </w:p>
        </w:tc>
      </w:tr>
      <w:tr w:rsidR="002E46EE" w:rsidRPr="007D265F" w14:paraId="2DD3F9F6" w14:textId="77777777" w:rsidTr="00862275">
        <w:tc>
          <w:tcPr>
            <w:tcW w:w="1701" w:type="dxa"/>
            <w:tcBorders>
              <w:top w:val="single" w:sz="12" w:space="0" w:color="auto"/>
              <w:bottom w:val="single" w:sz="12" w:space="0" w:color="auto"/>
            </w:tcBorders>
            <w:shd w:val="clear" w:color="auto" w:fill="auto"/>
            <w:hideMark/>
          </w:tcPr>
          <w:p w14:paraId="13817FE9" w14:textId="77777777" w:rsidR="002E46EE" w:rsidRPr="007D265F" w:rsidRDefault="002E46EE" w:rsidP="00862275">
            <w:pPr>
              <w:pStyle w:val="Tabletext"/>
            </w:pPr>
            <w:r w:rsidRPr="007D265F">
              <w:t>1.  The whole of this Act</w:t>
            </w:r>
          </w:p>
        </w:tc>
        <w:tc>
          <w:tcPr>
            <w:tcW w:w="3828" w:type="dxa"/>
            <w:tcBorders>
              <w:top w:val="single" w:sz="12" w:space="0" w:color="auto"/>
              <w:bottom w:val="single" w:sz="12" w:space="0" w:color="auto"/>
            </w:tcBorders>
            <w:shd w:val="clear" w:color="auto" w:fill="auto"/>
            <w:hideMark/>
          </w:tcPr>
          <w:p w14:paraId="6A14BB20" w14:textId="77777777" w:rsidR="002E46EE" w:rsidRPr="007D265F" w:rsidRDefault="002E46EE" w:rsidP="00862275">
            <w:pPr>
              <w:pStyle w:val="Tabletext"/>
            </w:pPr>
            <w:r w:rsidRPr="007D265F">
              <w:t>The day after this Act receives the Royal Assent.</w:t>
            </w:r>
          </w:p>
        </w:tc>
        <w:tc>
          <w:tcPr>
            <w:tcW w:w="1582" w:type="dxa"/>
            <w:tcBorders>
              <w:top w:val="single" w:sz="12" w:space="0" w:color="auto"/>
              <w:bottom w:val="single" w:sz="12" w:space="0" w:color="auto"/>
            </w:tcBorders>
            <w:shd w:val="clear" w:color="auto" w:fill="auto"/>
          </w:tcPr>
          <w:p w14:paraId="385B9E48" w14:textId="3384F498" w:rsidR="002E46EE" w:rsidRPr="007D265F" w:rsidRDefault="00B975DC" w:rsidP="00862275">
            <w:pPr>
              <w:pStyle w:val="Tabletext"/>
            </w:pPr>
            <w:r>
              <w:t>29 October 2021</w:t>
            </w:r>
          </w:p>
        </w:tc>
      </w:tr>
    </w:tbl>
    <w:p w14:paraId="382928FC" w14:textId="77777777" w:rsidR="002E46EE" w:rsidRPr="007D265F" w:rsidRDefault="002E46EE" w:rsidP="002E46EE">
      <w:pPr>
        <w:pStyle w:val="notetext"/>
      </w:pPr>
      <w:r w:rsidRPr="007D265F">
        <w:rPr>
          <w:snapToGrid w:val="0"/>
          <w:lang w:eastAsia="en-US"/>
        </w:rPr>
        <w:t>Note:</w:t>
      </w:r>
      <w:r w:rsidRPr="007D265F">
        <w:rPr>
          <w:snapToGrid w:val="0"/>
          <w:lang w:eastAsia="en-US"/>
        </w:rPr>
        <w:tab/>
        <w:t>This table relates only to the provisions of this Act as originally enacted. It will not be amended to deal with any later amendments of this Act.</w:t>
      </w:r>
    </w:p>
    <w:p w14:paraId="1E16247D" w14:textId="77777777" w:rsidR="002E46EE" w:rsidRPr="007D265F" w:rsidRDefault="002E46EE" w:rsidP="002E46EE">
      <w:pPr>
        <w:pStyle w:val="subsection"/>
      </w:pPr>
      <w:r w:rsidRPr="007D265F">
        <w:tab/>
        <w:t>(2)</w:t>
      </w:r>
      <w:r w:rsidRPr="007D265F">
        <w:tab/>
        <w:t>Any information in column 3 of the table is not part of this Act. Information may be inserted in this column, or information in it may be edited, in any published version of this Act.</w:t>
      </w:r>
    </w:p>
    <w:p w14:paraId="52829A30" w14:textId="77777777" w:rsidR="002E46EE" w:rsidRPr="007D265F" w:rsidRDefault="002E46EE" w:rsidP="002E46EE">
      <w:pPr>
        <w:pStyle w:val="ActHead5"/>
      </w:pPr>
      <w:bookmarkStart w:id="3" w:name="_Toc86822779"/>
      <w:r w:rsidRPr="00DA17F5">
        <w:rPr>
          <w:rStyle w:val="CharSectno"/>
        </w:rPr>
        <w:t>3</w:t>
      </w:r>
      <w:r w:rsidRPr="007D265F">
        <w:t xml:space="preserve">  Schedules</w:t>
      </w:r>
      <w:bookmarkEnd w:id="3"/>
    </w:p>
    <w:p w14:paraId="776207EA" w14:textId="77777777" w:rsidR="002E46EE" w:rsidRPr="007D265F" w:rsidRDefault="002E46EE" w:rsidP="002E46EE">
      <w:pPr>
        <w:pStyle w:val="subsection"/>
      </w:pPr>
      <w:r w:rsidRPr="007D265F">
        <w:tab/>
      </w:r>
      <w:r w:rsidRPr="007D265F">
        <w:tab/>
        <w:t>Legislation that is specified in a Schedule to this Act is amended or repealed as set out in the applicable items in the Schedule concerned, and any other item in a Schedule to this Act has effect according to its terms.</w:t>
      </w:r>
    </w:p>
    <w:p w14:paraId="06D68C1B" w14:textId="77777777" w:rsidR="002E46EE" w:rsidRPr="007D265F" w:rsidRDefault="002E46EE" w:rsidP="002E46EE">
      <w:pPr>
        <w:pStyle w:val="ActHead6"/>
        <w:pageBreakBefore/>
      </w:pPr>
      <w:bookmarkStart w:id="4" w:name="opcAmSched"/>
      <w:bookmarkStart w:id="5" w:name="opcCurrentFind"/>
      <w:bookmarkStart w:id="6" w:name="_Toc86822780"/>
      <w:r w:rsidRPr="00DA17F5">
        <w:rPr>
          <w:rStyle w:val="CharAmSchNo"/>
        </w:rPr>
        <w:lastRenderedPageBreak/>
        <w:t>Schedule 1</w:t>
      </w:r>
      <w:r w:rsidRPr="007D265F">
        <w:t>—</w:t>
      </w:r>
      <w:r w:rsidRPr="00DA17F5">
        <w:rPr>
          <w:rStyle w:val="CharAmSchText"/>
        </w:rPr>
        <w:t>Amendments</w:t>
      </w:r>
      <w:bookmarkEnd w:id="6"/>
    </w:p>
    <w:bookmarkEnd w:id="4"/>
    <w:bookmarkEnd w:id="5"/>
    <w:p w14:paraId="6FC99117" w14:textId="77777777" w:rsidR="002E46EE" w:rsidRPr="00DA17F5" w:rsidRDefault="002E46EE" w:rsidP="002E46EE">
      <w:pPr>
        <w:pStyle w:val="Header"/>
      </w:pPr>
      <w:r w:rsidRPr="00DA17F5">
        <w:rPr>
          <w:rStyle w:val="CharAmPartNo"/>
        </w:rPr>
        <w:t xml:space="preserve"> </w:t>
      </w:r>
      <w:r w:rsidRPr="00DA17F5">
        <w:rPr>
          <w:rStyle w:val="CharAmPartText"/>
        </w:rPr>
        <w:t xml:space="preserve"> </w:t>
      </w:r>
    </w:p>
    <w:p w14:paraId="22D022C8" w14:textId="77777777" w:rsidR="002E46EE" w:rsidRPr="007D265F" w:rsidRDefault="002E46EE" w:rsidP="002E46EE">
      <w:pPr>
        <w:pStyle w:val="ActHead9"/>
        <w:rPr>
          <w:i w:val="0"/>
        </w:rPr>
      </w:pPr>
      <w:bookmarkStart w:id="7" w:name="_Toc86822781"/>
      <w:r w:rsidRPr="007D265F">
        <w:t>National Disability Insurance Scheme Act 2013</w:t>
      </w:r>
      <w:bookmarkEnd w:id="7"/>
    </w:p>
    <w:p w14:paraId="25D31D36" w14:textId="77777777" w:rsidR="002E46EE" w:rsidRPr="007D265F" w:rsidRDefault="002E46EE" w:rsidP="002E46EE">
      <w:pPr>
        <w:pStyle w:val="ItemHead"/>
      </w:pPr>
      <w:r w:rsidRPr="007D265F">
        <w:t xml:space="preserve">1  Section 9 (definition of </w:t>
      </w:r>
      <w:r w:rsidRPr="007D265F">
        <w:rPr>
          <w:i/>
        </w:rPr>
        <w:t>protected Commission information</w:t>
      </w:r>
      <w:r w:rsidRPr="007D265F">
        <w:t>)</w:t>
      </w:r>
    </w:p>
    <w:p w14:paraId="2F147031" w14:textId="77777777" w:rsidR="002E46EE" w:rsidRPr="007D265F" w:rsidRDefault="002E46EE" w:rsidP="002E46EE">
      <w:pPr>
        <w:pStyle w:val="Item"/>
      </w:pPr>
      <w:r w:rsidRPr="007D265F">
        <w:t>Repeal the definition, substitute:</w:t>
      </w:r>
    </w:p>
    <w:p w14:paraId="3E20DDE5" w14:textId="77777777" w:rsidR="002E46EE" w:rsidRPr="007D265F" w:rsidRDefault="002E46EE" w:rsidP="002E46EE">
      <w:pPr>
        <w:pStyle w:val="Definition"/>
      </w:pPr>
      <w:r w:rsidRPr="007D265F">
        <w:rPr>
          <w:b/>
          <w:i/>
        </w:rPr>
        <w:t>protected Commission information</w:t>
      </w:r>
      <w:r w:rsidRPr="007D265F">
        <w:t xml:space="preserve"> means information about a person (including a deceased person) that is or was held in the records of the Commission, but does not include the following:</w:t>
      </w:r>
    </w:p>
    <w:p w14:paraId="0DED68B8" w14:textId="77777777" w:rsidR="002E46EE" w:rsidRPr="007D265F" w:rsidRDefault="002E46EE" w:rsidP="002E46EE">
      <w:pPr>
        <w:pStyle w:val="paragraph"/>
      </w:pPr>
      <w:r w:rsidRPr="007D265F">
        <w:tab/>
        <w:t>(a)</w:t>
      </w:r>
      <w:r w:rsidRPr="007D265F">
        <w:tab/>
        <w:t>if there is publication of the NDIS Provider Register in whole or part as mentioned in paragraph 73ZS(7)(b)—information covered by that publication;</w:t>
      </w:r>
    </w:p>
    <w:p w14:paraId="67D71C1B" w14:textId="77777777" w:rsidR="002E46EE" w:rsidRPr="007D265F" w:rsidRDefault="002E46EE" w:rsidP="002E46EE">
      <w:pPr>
        <w:pStyle w:val="paragraph"/>
      </w:pPr>
      <w:r w:rsidRPr="007D265F">
        <w:tab/>
        <w:t>(b)</w:t>
      </w:r>
      <w:r w:rsidRPr="007D265F">
        <w:tab/>
        <w:t>if there is publication of specified information entered on that Register as mentioned in that paragraph—that information.</w:t>
      </w:r>
    </w:p>
    <w:p w14:paraId="425E19AA" w14:textId="77777777" w:rsidR="002E46EE" w:rsidRPr="007D265F" w:rsidRDefault="002E46EE" w:rsidP="002E46EE">
      <w:pPr>
        <w:pStyle w:val="ItemHead"/>
      </w:pPr>
      <w:r w:rsidRPr="007D265F">
        <w:t>2  Paragraph 55A(2)(a)</w:t>
      </w:r>
    </w:p>
    <w:p w14:paraId="2F0B7124" w14:textId="77777777" w:rsidR="002E46EE" w:rsidRPr="007D265F" w:rsidRDefault="002E46EE" w:rsidP="002E46EE">
      <w:pPr>
        <w:pStyle w:val="Item"/>
      </w:pPr>
      <w:r w:rsidRPr="007D265F">
        <w:t>After “contravening”, insert “or has contravened”.</w:t>
      </w:r>
    </w:p>
    <w:p w14:paraId="65003882" w14:textId="77777777" w:rsidR="002E46EE" w:rsidRPr="007D265F" w:rsidRDefault="002E46EE" w:rsidP="002E46EE">
      <w:pPr>
        <w:pStyle w:val="ItemHead"/>
      </w:pPr>
      <w:r w:rsidRPr="007D265F">
        <w:t>3  Paragraph 55A(2)(c)</w:t>
      </w:r>
    </w:p>
    <w:p w14:paraId="5484C98A" w14:textId="77777777" w:rsidR="002E46EE" w:rsidRPr="007D265F" w:rsidRDefault="002E46EE" w:rsidP="002E46EE">
      <w:pPr>
        <w:pStyle w:val="Item"/>
      </w:pPr>
      <w:r w:rsidRPr="007D265F">
        <w:t>After “meeting”, insert “or has met”.</w:t>
      </w:r>
    </w:p>
    <w:p w14:paraId="053485B5" w14:textId="77777777" w:rsidR="002E46EE" w:rsidRPr="007D265F" w:rsidRDefault="002E46EE" w:rsidP="002E46EE">
      <w:pPr>
        <w:pStyle w:val="ItemHead"/>
      </w:pPr>
      <w:r w:rsidRPr="007D265F">
        <w:t>4  Paragraph 55A(2)(d)</w:t>
      </w:r>
    </w:p>
    <w:p w14:paraId="4AFA2AAC" w14:textId="77777777" w:rsidR="002E46EE" w:rsidRPr="007D265F" w:rsidRDefault="002E46EE" w:rsidP="002E46EE">
      <w:pPr>
        <w:pStyle w:val="Item"/>
      </w:pPr>
      <w:r w:rsidRPr="007D265F">
        <w:t>Omit “or a person employed or otherwise engaged by an NDIS provider, is complying”, insert “a person who is or was employed or otherwise engaged by an NDIS provider or a person who is or was a member of the key personnel of an NDIS provider is complying or has complied”.</w:t>
      </w:r>
    </w:p>
    <w:p w14:paraId="7A43F1FB" w14:textId="77777777" w:rsidR="002E46EE" w:rsidRPr="007D265F" w:rsidRDefault="002E46EE" w:rsidP="002E46EE">
      <w:pPr>
        <w:pStyle w:val="ItemHead"/>
      </w:pPr>
      <w:r w:rsidRPr="007D265F">
        <w:t>5  Paragraph 55A(2)(e)</w:t>
      </w:r>
    </w:p>
    <w:p w14:paraId="1BA720CC" w14:textId="77777777" w:rsidR="002E46EE" w:rsidRPr="007D265F" w:rsidRDefault="002E46EE" w:rsidP="002E46EE">
      <w:pPr>
        <w:pStyle w:val="Item"/>
      </w:pPr>
      <w:r w:rsidRPr="007D265F">
        <w:t>After “person, is”, insert “or was”.</w:t>
      </w:r>
    </w:p>
    <w:p w14:paraId="75A1FA43" w14:textId="77777777" w:rsidR="002E46EE" w:rsidRPr="007D265F" w:rsidRDefault="002E46EE" w:rsidP="002E46EE">
      <w:pPr>
        <w:pStyle w:val="ItemHead"/>
      </w:pPr>
      <w:r w:rsidRPr="007D265F">
        <w:t>6  Paragraph 55A(2)(e)</w:t>
      </w:r>
    </w:p>
    <w:p w14:paraId="620AD978" w14:textId="77777777" w:rsidR="002E46EE" w:rsidRPr="007D265F" w:rsidRDefault="002E46EE" w:rsidP="002E46EE">
      <w:pPr>
        <w:pStyle w:val="Item"/>
      </w:pPr>
      <w:r w:rsidRPr="007D265F">
        <w:t>Omit “whether the person is providing”, substitute “whether the provider or person is providing or has provided”.</w:t>
      </w:r>
    </w:p>
    <w:p w14:paraId="5545B79F" w14:textId="77777777" w:rsidR="002E46EE" w:rsidRPr="007D265F" w:rsidRDefault="002E46EE" w:rsidP="002E46EE">
      <w:pPr>
        <w:pStyle w:val="ItemHead"/>
      </w:pPr>
      <w:r w:rsidRPr="007D265F">
        <w:lastRenderedPageBreak/>
        <w:t>7  Paragraph 60(2)(e)</w:t>
      </w:r>
    </w:p>
    <w:p w14:paraId="6EA21F3B" w14:textId="77777777" w:rsidR="002E46EE" w:rsidRPr="007D265F" w:rsidRDefault="002E46EE" w:rsidP="002E46EE">
      <w:pPr>
        <w:pStyle w:val="Item"/>
      </w:pPr>
      <w:r w:rsidRPr="007D265F">
        <w:t>Omit “necessary to prevent or lessen a serious threat”, substitute “for the purpose of, or in relation to, preventing or lessening a threat (whether current or future)”.</w:t>
      </w:r>
    </w:p>
    <w:p w14:paraId="5C951DC8" w14:textId="77777777" w:rsidR="002E46EE" w:rsidRPr="007D265F" w:rsidRDefault="002E46EE" w:rsidP="002E46EE">
      <w:pPr>
        <w:pStyle w:val="ItemHead"/>
      </w:pPr>
      <w:r w:rsidRPr="007D265F">
        <w:t>8  At the end of subsection 60(2)</w:t>
      </w:r>
    </w:p>
    <w:p w14:paraId="5FA46B87" w14:textId="77777777" w:rsidR="002E46EE" w:rsidRPr="007D265F" w:rsidRDefault="002E46EE" w:rsidP="002E46EE">
      <w:pPr>
        <w:pStyle w:val="Item"/>
      </w:pPr>
      <w:r w:rsidRPr="007D265F">
        <w:t>Add:</w:t>
      </w:r>
    </w:p>
    <w:p w14:paraId="41BE0D22" w14:textId="77777777" w:rsidR="002E46EE" w:rsidRPr="007D265F" w:rsidRDefault="002E46EE" w:rsidP="002E46EE">
      <w:pPr>
        <w:pStyle w:val="paragraph"/>
      </w:pPr>
      <w:r w:rsidRPr="007D265F">
        <w:tab/>
        <w:t>; or (f)</w:t>
      </w:r>
      <w:r w:rsidRPr="007D265F">
        <w:tab/>
        <w:t>the person believes on reasonable grounds that the making of the record, or the disclosure or use of the information, by the person is for the purpose of, or in relation to, reporting a past threat to an individual’s life, health or safety.</w:t>
      </w:r>
    </w:p>
    <w:p w14:paraId="330AAB31" w14:textId="77777777" w:rsidR="002E46EE" w:rsidRPr="007D265F" w:rsidRDefault="002E46EE" w:rsidP="002E46EE">
      <w:pPr>
        <w:pStyle w:val="ItemHead"/>
      </w:pPr>
      <w:r w:rsidRPr="007D265F">
        <w:t>9  At the end of section 60</w:t>
      </w:r>
    </w:p>
    <w:p w14:paraId="3B564879" w14:textId="77777777" w:rsidR="002E46EE" w:rsidRPr="007D265F" w:rsidRDefault="002E46EE" w:rsidP="002E46EE">
      <w:pPr>
        <w:pStyle w:val="Item"/>
      </w:pPr>
      <w:r w:rsidRPr="007D265F">
        <w:t>Add:</w:t>
      </w:r>
    </w:p>
    <w:p w14:paraId="78272358" w14:textId="77777777" w:rsidR="002E46EE" w:rsidRPr="007D265F" w:rsidRDefault="002E46EE" w:rsidP="002E46EE">
      <w:pPr>
        <w:pStyle w:val="subsection"/>
      </w:pPr>
      <w:r w:rsidRPr="007D265F">
        <w:tab/>
        <w:t>(4)</w:t>
      </w:r>
      <w:r w:rsidRPr="007D265F">
        <w:tab/>
        <w:t>The CEO or an Agency officer may disclose protected Agency information to the Commissioner or a Commission officer if the disclosure is for, or in connection with, the performance of the Commissioner’s functions or the exercise of the Commissioner’s powers.</w:t>
      </w:r>
    </w:p>
    <w:p w14:paraId="1083DB8F" w14:textId="77777777" w:rsidR="002E46EE" w:rsidRPr="007D265F" w:rsidRDefault="002E46EE" w:rsidP="002E46EE">
      <w:pPr>
        <w:pStyle w:val="ItemHead"/>
      </w:pPr>
      <w:r w:rsidRPr="007D265F">
        <w:t>10  After paragraph 67A(1)(d)</w:t>
      </w:r>
    </w:p>
    <w:p w14:paraId="2D8AC8B4" w14:textId="77777777" w:rsidR="002E46EE" w:rsidRPr="007D265F" w:rsidRDefault="002E46EE" w:rsidP="002E46EE">
      <w:pPr>
        <w:pStyle w:val="Item"/>
      </w:pPr>
      <w:r w:rsidRPr="007D265F">
        <w:t>Insert:</w:t>
      </w:r>
    </w:p>
    <w:p w14:paraId="40426D5E" w14:textId="77777777" w:rsidR="002E46EE" w:rsidRPr="007D265F" w:rsidRDefault="002E46EE" w:rsidP="002E46EE">
      <w:pPr>
        <w:pStyle w:val="paragraph"/>
      </w:pPr>
      <w:r w:rsidRPr="007D265F">
        <w:tab/>
        <w:t>(da)</w:t>
      </w:r>
      <w:r w:rsidRPr="007D265F">
        <w:tab/>
        <w:t>the disclosure of the information by the person is to a State or Territory, or to an authority of a State or Territory, for one or more of the following purposes:</w:t>
      </w:r>
    </w:p>
    <w:p w14:paraId="4F6A9008" w14:textId="77777777" w:rsidR="002E46EE" w:rsidRPr="007D265F" w:rsidRDefault="002E46EE" w:rsidP="002E46EE">
      <w:pPr>
        <w:pStyle w:val="paragraphsub"/>
      </w:pPr>
      <w:r w:rsidRPr="007D265F">
        <w:tab/>
        <w:t>(</w:t>
      </w:r>
      <w:proofErr w:type="spellStart"/>
      <w:r w:rsidRPr="007D265F">
        <w:t>i</w:t>
      </w:r>
      <w:proofErr w:type="spellEnd"/>
      <w:r w:rsidRPr="007D265F">
        <w:t>)</w:t>
      </w:r>
      <w:r w:rsidRPr="007D265F">
        <w:tab/>
        <w:t>the carrying out of an NDIS worker screening check;</w:t>
      </w:r>
    </w:p>
    <w:p w14:paraId="4624576D" w14:textId="77777777" w:rsidR="002E46EE" w:rsidRPr="007D265F" w:rsidRDefault="002E46EE" w:rsidP="002E46EE">
      <w:pPr>
        <w:pStyle w:val="paragraphsub"/>
      </w:pPr>
      <w:r w:rsidRPr="007D265F">
        <w:tab/>
        <w:t>(ii)</w:t>
      </w:r>
      <w:r w:rsidRPr="007D265F">
        <w:tab/>
        <w:t>any other purpose of an NDIS worker screening law;</w:t>
      </w:r>
    </w:p>
    <w:p w14:paraId="7B3AC63D" w14:textId="77777777" w:rsidR="002E46EE" w:rsidRPr="007D265F" w:rsidRDefault="002E46EE" w:rsidP="002E46EE">
      <w:pPr>
        <w:pStyle w:val="paragraphsub"/>
      </w:pPr>
      <w:r w:rsidRPr="007D265F">
        <w:tab/>
        <w:t>(iii)</w:t>
      </w:r>
      <w:r w:rsidRPr="007D265F">
        <w:tab/>
        <w:t>the screening of a worker employed or otherwise engaged by a registered NDIS provider, or of a member of the key personnel of a registered NDIS provider, as mentioned in paragraph 73T(3)(d); or</w:t>
      </w:r>
    </w:p>
    <w:p w14:paraId="18D4039B" w14:textId="77777777" w:rsidR="002E46EE" w:rsidRPr="007D265F" w:rsidRDefault="002E46EE" w:rsidP="002E46EE">
      <w:pPr>
        <w:pStyle w:val="paragraph"/>
      </w:pPr>
      <w:r w:rsidRPr="007D265F">
        <w:tab/>
        <w:t>(</w:t>
      </w:r>
      <w:proofErr w:type="spellStart"/>
      <w:r w:rsidRPr="007D265F">
        <w:t>db</w:t>
      </w:r>
      <w:proofErr w:type="spellEnd"/>
      <w:r w:rsidRPr="007D265F">
        <w:t>)</w:t>
      </w:r>
      <w:r w:rsidRPr="007D265F">
        <w:tab/>
        <w:t>the disclosure of the information by the person is to a person or body, prescribed by the National Disability Insurance Scheme rules for the purposes of this paragraph, for the purpose prescribed by those rules; or</w:t>
      </w:r>
    </w:p>
    <w:p w14:paraId="189B0516" w14:textId="77777777" w:rsidR="002E46EE" w:rsidRPr="007D265F" w:rsidRDefault="002E46EE" w:rsidP="002E46EE">
      <w:pPr>
        <w:pStyle w:val="ItemHead"/>
      </w:pPr>
      <w:r w:rsidRPr="007D265F">
        <w:lastRenderedPageBreak/>
        <w:t>11  Paragraph 67A(1)(e)</w:t>
      </w:r>
    </w:p>
    <w:p w14:paraId="0E1EE42D" w14:textId="77777777" w:rsidR="002E46EE" w:rsidRPr="007D265F" w:rsidRDefault="002E46EE" w:rsidP="002E46EE">
      <w:pPr>
        <w:pStyle w:val="Item"/>
      </w:pPr>
      <w:r w:rsidRPr="007D265F">
        <w:t>Omit “necessary to prevent or lessen a serious threat”, substitute “for the purpose of, or in relation to, preventing or lessening a threat (whether current or future)”.</w:t>
      </w:r>
    </w:p>
    <w:p w14:paraId="52245B41" w14:textId="77777777" w:rsidR="002E46EE" w:rsidRPr="007D265F" w:rsidRDefault="002E46EE" w:rsidP="002E46EE">
      <w:pPr>
        <w:pStyle w:val="ItemHead"/>
      </w:pPr>
      <w:r w:rsidRPr="007D265F">
        <w:t>12  At the end of subsection 67A(1)</w:t>
      </w:r>
    </w:p>
    <w:p w14:paraId="57CD9C56" w14:textId="77777777" w:rsidR="002E46EE" w:rsidRPr="007D265F" w:rsidRDefault="002E46EE" w:rsidP="002E46EE">
      <w:pPr>
        <w:pStyle w:val="Item"/>
      </w:pPr>
      <w:r w:rsidRPr="007D265F">
        <w:t>Add:</w:t>
      </w:r>
    </w:p>
    <w:p w14:paraId="05F37346" w14:textId="77777777" w:rsidR="002E46EE" w:rsidRPr="007D265F" w:rsidRDefault="002E46EE" w:rsidP="002E46EE">
      <w:pPr>
        <w:pStyle w:val="paragraph"/>
      </w:pPr>
      <w:r w:rsidRPr="007D265F">
        <w:tab/>
        <w:t>; or (f)</w:t>
      </w:r>
      <w:r w:rsidRPr="007D265F">
        <w:tab/>
        <w:t>the person reasonably believes that the making of the record, or the disclosure or use of the information, by the person is for the purpose of, or in relation to, reporting a past threat to an individual’s life, health or safety.</w:t>
      </w:r>
    </w:p>
    <w:p w14:paraId="679A0AB6" w14:textId="77777777" w:rsidR="002E46EE" w:rsidRPr="007D265F" w:rsidRDefault="002E46EE" w:rsidP="002E46EE">
      <w:pPr>
        <w:pStyle w:val="ItemHead"/>
      </w:pPr>
      <w:r w:rsidRPr="007D265F">
        <w:t>13  At the end of section 67A</w:t>
      </w:r>
    </w:p>
    <w:p w14:paraId="1B99D07F" w14:textId="77777777" w:rsidR="002E46EE" w:rsidRPr="007D265F" w:rsidRDefault="002E46EE" w:rsidP="002E46EE">
      <w:pPr>
        <w:pStyle w:val="Item"/>
      </w:pPr>
      <w:r w:rsidRPr="007D265F">
        <w:t>Add:</w:t>
      </w:r>
    </w:p>
    <w:p w14:paraId="76E04C95" w14:textId="77777777" w:rsidR="002E46EE" w:rsidRPr="007D265F" w:rsidRDefault="002E46EE" w:rsidP="002E46EE">
      <w:pPr>
        <w:pStyle w:val="subsection"/>
      </w:pPr>
      <w:r w:rsidRPr="007D265F">
        <w:tab/>
        <w:t>(3)</w:t>
      </w:r>
      <w:r w:rsidRPr="007D265F">
        <w:tab/>
        <w:t>The Commissioner or a Commission officer may disclose protected Commission information to the Agency or an Agency officer if the disclosure is for, or in connection with, the performance of the Agency’s or CEO’s functions or the exercise of the Agency’s or CEO’s powers.</w:t>
      </w:r>
    </w:p>
    <w:p w14:paraId="15E6F607" w14:textId="77777777" w:rsidR="002E46EE" w:rsidRPr="007D265F" w:rsidRDefault="002E46EE" w:rsidP="002E46EE">
      <w:pPr>
        <w:pStyle w:val="ItemHead"/>
      </w:pPr>
      <w:r w:rsidRPr="007D265F">
        <w:t>14  Subsection 73B(1)</w:t>
      </w:r>
    </w:p>
    <w:p w14:paraId="587934CC" w14:textId="77777777" w:rsidR="002E46EE" w:rsidRPr="007D265F" w:rsidRDefault="002E46EE" w:rsidP="002E46EE">
      <w:pPr>
        <w:pStyle w:val="Item"/>
      </w:pPr>
      <w:r w:rsidRPr="007D265F">
        <w:t>Omit “NDIS providers”, substitute “persons”.</w:t>
      </w:r>
    </w:p>
    <w:p w14:paraId="3CEB502C" w14:textId="77777777" w:rsidR="002E46EE" w:rsidRPr="007D265F" w:rsidRDefault="002E46EE" w:rsidP="002E46EE">
      <w:pPr>
        <w:pStyle w:val="ItemHead"/>
      </w:pPr>
      <w:r w:rsidRPr="007D265F">
        <w:t>15  At the end of section 73C</w:t>
      </w:r>
    </w:p>
    <w:p w14:paraId="2A6F8E90" w14:textId="77777777" w:rsidR="002E46EE" w:rsidRPr="007D265F" w:rsidRDefault="002E46EE" w:rsidP="002E46EE">
      <w:pPr>
        <w:pStyle w:val="Item"/>
      </w:pPr>
      <w:r w:rsidRPr="007D265F">
        <w:t>Add:</w:t>
      </w:r>
    </w:p>
    <w:p w14:paraId="14BCF757" w14:textId="77777777" w:rsidR="002E46EE" w:rsidRPr="007D265F" w:rsidRDefault="002E46EE" w:rsidP="002E46EE">
      <w:pPr>
        <w:pStyle w:val="SubsectionHead"/>
      </w:pPr>
      <w:r w:rsidRPr="007D265F">
        <w:t>Withdrawal of application</w:t>
      </w:r>
    </w:p>
    <w:p w14:paraId="306993F5" w14:textId="77777777" w:rsidR="002E46EE" w:rsidRPr="007D265F" w:rsidRDefault="002E46EE" w:rsidP="002E46EE">
      <w:pPr>
        <w:pStyle w:val="subsection"/>
      </w:pPr>
      <w:r w:rsidRPr="007D265F">
        <w:tab/>
        <w:t>(6)</w:t>
      </w:r>
      <w:r w:rsidRPr="007D265F">
        <w:tab/>
        <w:t>An applicant for registration may at any time, by writing to the Commissioner, withdraw the application.</w:t>
      </w:r>
    </w:p>
    <w:p w14:paraId="5D5DDF31" w14:textId="77777777" w:rsidR="002E46EE" w:rsidRPr="007D265F" w:rsidRDefault="002E46EE" w:rsidP="002E46EE">
      <w:pPr>
        <w:pStyle w:val="subsection"/>
      </w:pPr>
      <w:r w:rsidRPr="007D265F">
        <w:tab/>
        <w:t>(7)</w:t>
      </w:r>
      <w:r w:rsidRPr="007D265F">
        <w:tab/>
        <w:t>A person’s application is taken to have been withdrawn if the person’s registration is revoked under section 73P while that application is pending.</w:t>
      </w:r>
    </w:p>
    <w:p w14:paraId="754835B0" w14:textId="77777777" w:rsidR="002E46EE" w:rsidRPr="007D265F" w:rsidRDefault="002E46EE" w:rsidP="002E46EE">
      <w:pPr>
        <w:pStyle w:val="ItemHead"/>
      </w:pPr>
      <w:r w:rsidRPr="007D265F">
        <w:t>16  Paragraph 73P(4)(b)</w:t>
      </w:r>
    </w:p>
    <w:p w14:paraId="6E408770" w14:textId="77777777" w:rsidR="002E46EE" w:rsidRPr="007D265F" w:rsidRDefault="002E46EE" w:rsidP="002E46EE">
      <w:pPr>
        <w:pStyle w:val="Item"/>
      </w:pPr>
      <w:r w:rsidRPr="007D265F">
        <w:t>Omit “28 days after receiving the notice”, substitute “the period specified in the notice (which must not be less than 28 days)”.</w:t>
      </w:r>
    </w:p>
    <w:p w14:paraId="3C98C01C" w14:textId="77777777" w:rsidR="002E46EE" w:rsidRPr="007D265F" w:rsidRDefault="002E46EE" w:rsidP="002E46EE">
      <w:pPr>
        <w:pStyle w:val="ItemHead"/>
      </w:pPr>
      <w:r w:rsidRPr="007D265F">
        <w:lastRenderedPageBreak/>
        <w:t>17  Paragraph 73P(4)(c)</w:t>
      </w:r>
    </w:p>
    <w:p w14:paraId="4B0EC5B7" w14:textId="77777777" w:rsidR="002E46EE" w:rsidRPr="007D265F" w:rsidRDefault="002E46EE" w:rsidP="002E46EE">
      <w:pPr>
        <w:pStyle w:val="Item"/>
      </w:pPr>
      <w:r w:rsidRPr="007D265F">
        <w:t>Omit “that period”, substitute “the period specified in the notice”.</w:t>
      </w:r>
    </w:p>
    <w:p w14:paraId="10C3EBA1" w14:textId="77777777" w:rsidR="002E46EE" w:rsidRPr="007D265F" w:rsidRDefault="002E46EE" w:rsidP="002E46EE">
      <w:pPr>
        <w:pStyle w:val="ItemHead"/>
      </w:pPr>
      <w:r w:rsidRPr="007D265F">
        <w:t>18  Paragraph 73P(4)(c)</w:t>
      </w:r>
    </w:p>
    <w:p w14:paraId="4733336A" w14:textId="77777777" w:rsidR="002E46EE" w:rsidRPr="007D265F" w:rsidRDefault="002E46EE" w:rsidP="002E46EE">
      <w:pPr>
        <w:pStyle w:val="Item"/>
      </w:pPr>
      <w:r w:rsidRPr="007D265F">
        <w:t>Omit “referred to in paragraph (b)”, substitute “specified in the notice”.</w:t>
      </w:r>
    </w:p>
    <w:p w14:paraId="12483EA1" w14:textId="77777777" w:rsidR="002E46EE" w:rsidRPr="007D265F" w:rsidRDefault="002E46EE" w:rsidP="002E46EE">
      <w:pPr>
        <w:pStyle w:val="ItemHead"/>
      </w:pPr>
      <w:r w:rsidRPr="007D265F">
        <w:t>19  Subsection 73P(5)</w:t>
      </w:r>
    </w:p>
    <w:p w14:paraId="78976726" w14:textId="77777777" w:rsidR="002E46EE" w:rsidRPr="007D265F" w:rsidRDefault="002E46EE" w:rsidP="002E46EE">
      <w:pPr>
        <w:pStyle w:val="Item"/>
      </w:pPr>
      <w:r w:rsidRPr="007D265F">
        <w:t>Omit “referred to in paragraph (4)(b)”, substitute “specified in the notice”.</w:t>
      </w:r>
    </w:p>
    <w:p w14:paraId="635D13A4" w14:textId="77777777" w:rsidR="002E46EE" w:rsidRPr="007D265F" w:rsidRDefault="002E46EE" w:rsidP="002E46EE">
      <w:pPr>
        <w:pStyle w:val="ItemHead"/>
      </w:pPr>
      <w:r w:rsidRPr="007D265F">
        <w:t>20  At the end of paragraph 73T(3)(d)</w:t>
      </w:r>
    </w:p>
    <w:p w14:paraId="04C757B8" w14:textId="77777777" w:rsidR="002E46EE" w:rsidRPr="007D265F" w:rsidRDefault="002E46EE" w:rsidP="002E46EE">
      <w:pPr>
        <w:pStyle w:val="Item"/>
      </w:pPr>
      <w:r w:rsidRPr="007D265F">
        <w:t>Add “or of members of the key personnel of registered NDIS providers”.</w:t>
      </w:r>
    </w:p>
    <w:p w14:paraId="6E7CD8DA" w14:textId="77777777" w:rsidR="002E46EE" w:rsidRPr="007D265F" w:rsidRDefault="002E46EE" w:rsidP="002E46EE">
      <w:pPr>
        <w:pStyle w:val="ItemHead"/>
      </w:pPr>
      <w:r w:rsidRPr="007D265F">
        <w:t>21  Subsections 73U(2) and (3)</w:t>
      </w:r>
    </w:p>
    <w:p w14:paraId="46980713" w14:textId="77777777" w:rsidR="002E46EE" w:rsidRPr="007D265F" w:rsidRDefault="002E46EE" w:rsidP="002E46EE">
      <w:pPr>
        <w:pStyle w:val="Item"/>
      </w:pPr>
      <w:r w:rsidRPr="007D265F">
        <w:t>Repeal the subsections, substitute:</w:t>
      </w:r>
    </w:p>
    <w:p w14:paraId="515442B0" w14:textId="77777777" w:rsidR="002E46EE" w:rsidRPr="007D265F" w:rsidRDefault="002E46EE" w:rsidP="002E46EE">
      <w:pPr>
        <w:pStyle w:val="subsection"/>
      </w:pPr>
      <w:r w:rsidRPr="007D265F">
        <w:tab/>
        <w:t>(2)</w:t>
      </w:r>
      <w:r w:rsidRPr="007D265F">
        <w:tab/>
        <w:t>The Commissioner may do so on request of the person or body.</w:t>
      </w:r>
    </w:p>
    <w:p w14:paraId="288F2B29" w14:textId="77777777" w:rsidR="002E46EE" w:rsidRPr="007D265F" w:rsidRDefault="002E46EE" w:rsidP="002E46EE">
      <w:pPr>
        <w:pStyle w:val="subsection"/>
      </w:pPr>
      <w:r w:rsidRPr="007D265F">
        <w:tab/>
        <w:t>(3)</w:t>
      </w:r>
      <w:r w:rsidRPr="007D265F">
        <w:tab/>
        <w:t>If a person or body requests an approval, the Commissioner must:</w:t>
      </w:r>
    </w:p>
    <w:p w14:paraId="177799D7" w14:textId="77777777" w:rsidR="002E46EE" w:rsidRPr="007D265F" w:rsidRDefault="002E46EE" w:rsidP="002E46EE">
      <w:pPr>
        <w:pStyle w:val="paragraph"/>
      </w:pPr>
      <w:r w:rsidRPr="007D265F">
        <w:tab/>
        <w:t>(a)</w:t>
      </w:r>
      <w:r w:rsidRPr="007D265F">
        <w:tab/>
        <w:t>make a decision under subsection (1) to give the approval; or</w:t>
      </w:r>
    </w:p>
    <w:p w14:paraId="62558DB1" w14:textId="77777777" w:rsidR="002E46EE" w:rsidRPr="007D265F" w:rsidRDefault="002E46EE" w:rsidP="002E46EE">
      <w:pPr>
        <w:pStyle w:val="paragraph"/>
      </w:pPr>
      <w:r w:rsidRPr="007D265F">
        <w:tab/>
        <w:t>(b)</w:t>
      </w:r>
      <w:r w:rsidRPr="007D265F">
        <w:tab/>
        <w:t>make a decision to refuse to give the approval.</w:t>
      </w:r>
    </w:p>
    <w:p w14:paraId="0729AF2C" w14:textId="77777777" w:rsidR="002E46EE" w:rsidRPr="007D265F" w:rsidRDefault="002E46EE" w:rsidP="002E46EE">
      <w:pPr>
        <w:pStyle w:val="subsection"/>
      </w:pPr>
      <w:r w:rsidRPr="007D265F">
        <w:tab/>
        <w:t>(4)</w:t>
      </w:r>
      <w:r w:rsidRPr="007D265F">
        <w:tab/>
        <w:t>If the Commissioner refuses to give the approval, the Commissioner must give notice to the person or body of the refusal and of the reasons for the refusal.</w:t>
      </w:r>
    </w:p>
    <w:p w14:paraId="6531E5BA" w14:textId="77777777" w:rsidR="002E46EE" w:rsidRPr="007D265F" w:rsidRDefault="002E46EE" w:rsidP="002E46EE">
      <w:pPr>
        <w:pStyle w:val="SubsectionHead"/>
      </w:pPr>
      <w:r w:rsidRPr="007D265F">
        <w:t>Conditions</w:t>
      </w:r>
    </w:p>
    <w:p w14:paraId="4646F9FF" w14:textId="77777777" w:rsidR="002E46EE" w:rsidRPr="007D265F" w:rsidRDefault="002E46EE" w:rsidP="002E46EE">
      <w:pPr>
        <w:pStyle w:val="subsection"/>
      </w:pPr>
      <w:r w:rsidRPr="007D265F">
        <w:tab/>
        <w:t>(5)</w:t>
      </w:r>
      <w:r w:rsidRPr="007D265F">
        <w:tab/>
        <w:t>The Commissioner may make an approval subject to conditions specified in the approval.</w:t>
      </w:r>
    </w:p>
    <w:p w14:paraId="2BF174EB" w14:textId="77777777" w:rsidR="002E46EE" w:rsidRPr="007D265F" w:rsidRDefault="002E46EE" w:rsidP="002E46EE">
      <w:pPr>
        <w:pStyle w:val="SubsectionHead"/>
      </w:pPr>
      <w:r w:rsidRPr="007D265F">
        <w:t>Variation</w:t>
      </w:r>
    </w:p>
    <w:p w14:paraId="691F2792" w14:textId="77777777" w:rsidR="002E46EE" w:rsidRPr="007D265F" w:rsidRDefault="002E46EE" w:rsidP="002E46EE">
      <w:pPr>
        <w:pStyle w:val="subsection"/>
      </w:pPr>
      <w:r w:rsidRPr="007D265F">
        <w:tab/>
        <w:t>(6)</w:t>
      </w:r>
      <w:r w:rsidRPr="007D265F">
        <w:tab/>
        <w:t>The Commissioner may, in writing, vary an approval given under subsection (1) by imposing new conditions on the approval or varying or removing existing conditions.</w:t>
      </w:r>
    </w:p>
    <w:p w14:paraId="6B3E01D3" w14:textId="77777777" w:rsidR="002E46EE" w:rsidRPr="007D265F" w:rsidRDefault="002E46EE" w:rsidP="002E46EE">
      <w:pPr>
        <w:pStyle w:val="subsection"/>
      </w:pPr>
      <w:r w:rsidRPr="007D265F">
        <w:tab/>
        <w:t>(7)</w:t>
      </w:r>
      <w:r w:rsidRPr="007D265F">
        <w:tab/>
        <w:t xml:space="preserve">The Commissioner must give notice to the person or body of the variation and of the reasons for the variation. The notice must </w:t>
      </w:r>
      <w:r w:rsidRPr="007D265F">
        <w:lastRenderedPageBreak/>
        <w:t>specify the day the variation takes effect (which must not be earlier than the day the notice is given).</w:t>
      </w:r>
    </w:p>
    <w:p w14:paraId="44D8EA2C" w14:textId="77777777" w:rsidR="002E46EE" w:rsidRPr="007D265F" w:rsidRDefault="002E46EE" w:rsidP="002E46EE">
      <w:pPr>
        <w:pStyle w:val="SubsectionHead"/>
      </w:pPr>
      <w:r w:rsidRPr="007D265F">
        <w:t>Revocation</w:t>
      </w:r>
    </w:p>
    <w:p w14:paraId="509C70D3" w14:textId="77777777" w:rsidR="002E46EE" w:rsidRPr="007D265F" w:rsidRDefault="002E46EE" w:rsidP="002E46EE">
      <w:pPr>
        <w:pStyle w:val="subsection"/>
      </w:pPr>
      <w:r w:rsidRPr="007D265F">
        <w:tab/>
        <w:t>(8)</w:t>
      </w:r>
      <w:r w:rsidRPr="007D265F">
        <w:tab/>
        <w:t>The Commissioner may, in writing, revoke an approval given under subsection (1).</w:t>
      </w:r>
    </w:p>
    <w:p w14:paraId="1CA13C80" w14:textId="77777777" w:rsidR="002E46EE" w:rsidRPr="007D265F" w:rsidRDefault="002E46EE" w:rsidP="002E46EE">
      <w:pPr>
        <w:pStyle w:val="subsection"/>
      </w:pPr>
      <w:r w:rsidRPr="007D265F">
        <w:tab/>
        <w:t>(9)</w:t>
      </w:r>
      <w:r w:rsidRPr="007D265F">
        <w:tab/>
        <w:t>The Commissioner must give notice to the person or body of the revocation and of the reasons for the revocation. The notice must specify the day the revocation takes effect (which must not be earlier than the day the notice is given).</w:t>
      </w:r>
    </w:p>
    <w:p w14:paraId="709AB8EA" w14:textId="77777777" w:rsidR="002E46EE" w:rsidRPr="007D265F" w:rsidRDefault="002E46EE" w:rsidP="002E46EE">
      <w:pPr>
        <w:pStyle w:val="SubsectionHead"/>
      </w:pPr>
      <w:r w:rsidRPr="007D265F">
        <w:t>Approval not a legislative instrument</w:t>
      </w:r>
    </w:p>
    <w:p w14:paraId="7AB4CE9B" w14:textId="77777777" w:rsidR="002E46EE" w:rsidRPr="007D265F" w:rsidRDefault="002E46EE" w:rsidP="002E46EE">
      <w:pPr>
        <w:pStyle w:val="subsection"/>
      </w:pPr>
      <w:r w:rsidRPr="007D265F">
        <w:tab/>
        <w:t>(10)</w:t>
      </w:r>
      <w:r w:rsidRPr="007D265F">
        <w:tab/>
        <w:t>An approval given under subsection (1) is not a legislative instrument.</w:t>
      </w:r>
    </w:p>
    <w:p w14:paraId="05671C34" w14:textId="77777777" w:rsidR="002E46EE" w:rsidRPr="007D265F" w:rsidRDefault="002E46EE" w:rsidP="002E46EE">
      <w:pPr>
        <w:pStyle w:val="SubsectionHead"/>
      </w:pPr>
      <w:r w:rsidRPr="007D265F">
        <w:t>Publication</w:t>
      </w:r>
    </w:p>
    <w:p w14:paraId="5FB1AF29" w14:textId="77777777" w:rsidR="002E46EE" w:rsidRPr="007D265F" w:rsidRDefault="002E46EE" w:rsidP="002E46EE">
      <w:pPr>
        <w:pStyle w:val="subsection"/>
      </w:pPr>
      <w:r w:rsidRPr="007D265F">
        <w:tab/>
        <w:t>(11)</w:t>
      </w:r>
      <w:r w:rsidRPr="007D265F">
        <w:tab/>
        <w:t>The Commissioner may publish, on the Commission’s website, a list of approved quality auditors.</w:t>
      </w:r>
    </w:p>
    <w:p w14:paraId="3E99A18B" w14:textId="77777777" w:rsidR="002E46EE" w:rsidRPr="007D265F" w:rsidRDefault="002E46EE" w:rsidP="002E46EE">
      <w:pPr>
        <w:pStyle w:val="ItemHead"/>
      </w:pPr>
      <w:r w:rsidRPr="007D265F">
        <w:t>22  At the end of paragraph 73V(1)(b)</w:t>
      </w:r>
    </w:p>
    <w:p w14:paraId="26D72FAF" w14:textId="77777777" w:rsidR="002E46EE" w:rsidRPr="007D265F" w:rsidRDefault="002E46EE" w:rsidP="002E46EE">
      <w:pPr>
        <w:pStyle w:val="Item"/>
      </w:pPr>
      <w:r w:rsidRPr="007D265F">
        <w:t>Add “or members of the key personnel of NDIS providers”.</w:t>
      </w:r>
    </w:p>
    <w:p w14:paraId="284D0C6A" w14:textId="77777777" w:rsidR="002E46EE" w:rsidRPr="007D265F" w:rsidRDefault="002E46EE" w:rsidP="002E46EE">
      <w:pPr>
        <w:pStyle w:val="ItemHead"/>
      </w:pPr>
      <w:r w:rsidRPr="007D265F">
        <w:t>23  Subsection 73Z(1)</w:t>
      </w:r>
    </w:p>
    <w:p w14:paraId="2EE20F0F" w14:textId="77777777" w:rsidR="002E46EE" w:rsidRPr="007D265F" w:rsidRDefault="002E46EE" w:rsidP="002E46EE">
      <w:pPr>
        <w:pStyle w:val="Item"/>
      </w:pPr>
      <w:r w:rsidRPr="007D265F">
        <w:t>Omit “the notification and management of”, substitute “registered NDIS providers notifying and managing”.</w:t>
      </w:r>
    </w:p>
    <w:p w14:paraId="3168700B" w14:textId="77777777" w:rsidR="002E46EE" w:rsidRPr="007D265F" w:rsidRDefault="002E46EE" w:rsidP="002E46EE">
      <w:pPr>
        <w:pStyle w:val="ItemHead"/>
      </w:pPr>
      <w:r w:rsidRPr="007D265F">
        <w:t>24  At the end of subsection 73Z(1)</w:t>
      </w:r>
    </w:p>
    <w:p w14:paraId="0E9F1550" w14:textId="77777777" w:rsidR="002E46EE" w:rsidRPr="007D265F" w:rsidRDefault="002E46EE" w:rsidP="002E46EE">
      <w:pPr>
        <w:pStyle w:val="Item"/>
      </w:pPr>
      <w:r w:rsidRPr="007D265F">
        <w:t>Add “or in other circumstances prescribed by the National Disability Insurance Scheme rules”.</w:t>
      </w:r>
    </w:p>
    <w:p w14:paraId="08016433" w14:textId="77777777" w:rsidR="002E46EE" w:rsidRPr="007D265F" w:rsidRDefault="002E46EE" w:rsidP="002E46EE">
      <w:pPr>
        <w:pStyle w:val="ItemHead"/>
      </w:pPr>
      <w:r w:rsidRPr="007D265F">
        <w:t>25  Paragraph 73Z(4)(b)</w:t>
      </w:r>
    </w:p>
    <w:p w14:paraId="386DAC9A" w14:textId="77777777" w:rsidR="002E46EE" w:rsidRPr="007D265F" w:rsidRDefault="002E46EE" w:rsidP="002E46EE">
      <w:pPr>
        <w:pStyle w:val="Item"/>
      </w:pPr>
      <w:r w:rsidRPr="007D265F">
        <w:t>Omit “of”, substitute “to”.</w:t>
      </w:r>
    </w:p>
    <w:p w14:paraId="62837300" w14:textId="77777777" w:rsidR="002E46EE" w:rsidRPr="007D265F" w:rsidRDefault="002E46EE" w:rsidP="002E46EE">
      <w:pPr>
        <w:pStyle w:val="ItemHead"/>
      </w:pPr>
      <w:r w:rsidRPr="007D265F">
        <w:t>26  Subparagraph 73ZN(1)(b)(iii)</w:t>
      </w:r>
    </w:p>
    <w:p w14:paraId="67DFA5C8" w14:textId="77777777" w:rsidR="002E46EE" w:rsidRPr="007D265F" w:rsidRDefault="002E46EE" w:rsidP="002E46EE">
      <w:pPr>
        <w:pStyle w:val="Item"/>
      </w:pPr>
      <w:r w:rsidRPr="007D265F">
        <w:t>After “disability”, insert “, having regard to any matters prescribed by the National Disability Insurance Scheme rules for the purposes of this subparagraph”.</w:t>
      </w:r>
    </w:p>
    <w:p w14:paraId="09E7E13F" w14:textId="77777777" w:rsidR="002E46EE" w:rsidRPr="007D265F" w:rsidRDefault="002E46EE" w:rsidP="002E46EE">
      <w:pPr>
        <w:pStyle w:val="ItemHead"/>
      </w:pPr>
      <w:r w:rsidRPr="007D265F">
        <w:lastRenderedPageBreak/>
        <w:t>27  Subsection 73ZN(2) (heading)</w:t>
      </w:r>
    </w:p>
    <w:p w14:paraId="1FB8DD78" w14:textId="77777777" w:rsidR="002E46EE" w:rsidRPr="007D265F" w:rsidRDefault="002E46EE" w:rsidP="002E46EE">
      <w:pPr>
        <w:pStyle w:val="Item"/>
      </w:pPr>
      <w:r w:rsidRPr="007D265F">
        <w:t>Repeal the heading, substitute:</w:t>
      </w:r>
    </w:p>
    <w:p w14:paraId="1215052F" w14:textId="77777777" w:rsidR="002E46EE" w:rsidRPr="007D265F" w:rsidRDefault="002E46EE" w:rsidP="002E46EE">
      <w:pPr>
        <w:pStyle w:val="SubsectionHead"/>
      </w:pPr>
      <w:r w:rsidRPr="007D265F">
        <w:t>Banning orders—persons employed or otherwise engaged by NDIS providers or key personnel of NDIS providers</w:t>
      </w:r>
    </w:p>
    <w:p w14:paraId="4B74A594" w14:textId="77777777" w:rsidR="002E46EE" w:rsidRPr="007D265F" w:rsidRDefault="002E46EE" w:rsidP="002E46EE">
      <w:pPr>
        <w:pStyle w:val="ItemHead"/>
      </w:pPr>
      <w:r w:rsidRPr="007D265F">
        <w:t>28  Subsection 73ZN(2)</w:t>
      </w:r>
    </w:p>
    <w:p w14:paraId="5500FFDF" w14:textId="77777777" w:rsidR="002E46EE" w:rsidRPr="007D265F" w:rsidRDefault="002E46EE" w:rsidP="002E46EE">
      <w:pPr>
        <w:pStyle w:val="Item"/>
      </w:pPr>
      <w:r w:rsidRPr="007D265F">
        <w:t>After “employed or otherwise engaged by an NDIS provider”, insert “, or a person who is or was a member of the key personnel of an NDIS provider,”.</w:t>
      </w:r>
    </w:p>
    <w:p w14:paraId="2264F770" w14:textId="77777777" w:rsidR="002E46EE" w:rsidRPr="007D265F" w:rsidRDefault="002E46EE" w:rsidP="002E46EE">
      <w:pPr>
        <w:pStyle w:val="ItemHead"/>
      </w:pPr>
      <w:r w:rsidRPr="007D265F">
        <w:t>29  Subparagraph 73ZN(2)(a)(iii)</w:t>
      </w:r>
    </w:p>
    <w:p w14:paraId="16754CF8" w14:textId="77777777" w:rsidR="002E46EE" w:rsidRPr="007D265F" w:rsidRDefault="002E46EE" w:rsidP="002E46EE">
      <w:pPr>
        <w:pStyle w:val="Item"/>
      </w:pPr>
      <w:r w:rsidRPr="007D265F">
        <w:t>After “disability”, insert “, having regard to any matters prescribed by the National Disability Insurance Scheme rules for the purposes of this subparagraph”.</w:t>
      </w:r>
    </w:p>
    <w:p w14:paraId="2D16924C" w14:textId="77777777" w:rsidR="002E46EE" w:rsidRPr="007D265F" w:rsidRDefault="002E46EE" w:rsidP="002E46EE">
      <w:pPr>
        <w:pStyle w:val="ItemHead"/>
      </w:pPr>
      <w:r w:rsidRPr="007D265F">
        <w:t>30  Paragraph 73ZN(2A)(a)</w:t>
      </w:r>
    </w:p>
    <w:p w14:paraId="55F73D08" w14:textId="77777777" w:rsidR="002E46EE" w:rsidRPr="007D265F" w:rsidRDefault="002E46EE" w:rsidP="002E46EE">
      <w:pPr>
        <w:pStyle w:val="Item"/>
      </w:pPr>
      <w:r w:rsidRPr="007D265F">
        <w:t>After “involved”, insert “, having regard to any matters prescribed by the National Disability Insurance Scheme rules for the purposes of this paragraph”.</w:t>
      </w:r>
    </w:p>
    <w:p w14:paraId="08ED4A6E" w14:textId="77777777" w:rsidR="002E46EE" w:rsidRPr="007D265F" w:rsidRDefault="002E46EE" w:rsidP="002E46EE">
      <w:pPr>
        <w:pStyle w:val="ItemHead"/>
      </w:pPr>
      <w:r w:rsidRPr="007D265F">
        <w:t>31  At the end of subsection 73ZN(2A)</w:t>
      </w:r>
    </w:p>
    <w:p w14:paraId="124D0E5E" w14:textId="77777777" w:rsidR="002E46EE" w:rsidRPr="007D265F" w:rsidRDefault="002E46EE" w:rsidP="002E46EE">
      <w:pPr>
        <w:pStyle w:val="Item"/>
      </w:pPr>
      <w:r w:rsidRPr="007D265F">
        <w:t>Add:</w:t>
      </w:r>
    </w:p>
    <w:p w14:paraId="312CECAA" w14:textId="77777777" w:rsidR="002E46EE" w:rsidRPr="007D265F" w:rsidRDefault="002E46EE" w:rsidP="002E46EE">
      <w:pPr>
        <w:pStyle w:val="paragraph"/>
      </w:pPr>
      <w:r w:rsidRPr="007D265F">
        <w:tab/>
        <w:t>; and (d)</w:t>
      </w:r>
      <w:r w:rsidRPr="007D265F">
        <w:tab/>
        <w:t>the person has not previously been a member of the key personnel of an NDIS provider.</w:t>
      </w:r>
    </w:p>
    <w:p w14:paraId="237FF84C" w14:textId="77777777" w:rsidR="002E46EE" w:rsidRPr="007D265F" w:rsidRDefault="002E46EE" w:rsidP="002E46EE">
      <w:pPr>
        <w:pStyle w:val="ItemHead"/>
      </w:pPr>
      <w:r w:rsidRPr="007D265F">
        <w:t>32  At the end of subsection 73ZN(3)</w:t>
      </w:r>
    </w:p>
    <w:p w14:paraId="7F653A78" w14:textId="77777777" w:rsidR="002E46EE" w:rsidRPr="007D265F" w:rsidRDefault="002E46EE" w:rsidP="002E46EE">
      <w:pPr>
        <w:pStyle w:val="Item"/>
      </w:pPr>
      <w:r w:rsidRPr="007D265F">
        <w:t>Add:</w:t>
      </w:r>
    </w:p>
    <w:p w14:paraId="69811D01" w14:textId="77777777" w:rsidR="002E46EE" w:rsidRPr="007D265F" w:rsidRDefault="002E46EE" w:rsidP="002E46EE">
      <w:pPr>
        <w:pStyle w:val="paragraph"/>
      </w:pPr>
      <w:r w:rsidRPr="007D265F">
        <w:tab/>
        <w:t>; and (c)</w:t>
      </w:r>
      <w:r w:rsidRPr="007D265F">
        <w:tab/>
        <w:t>be made subject to specified conditions.</w:t>
      </w:r>
    </w:p>
    <w:p w14:paraId="1942A2AE" w14:textId="77777777" w:rsidR="002E46EE" w:rsidRPr="007D265F" w:rsidRDefault="002E46EE" w:rsidP="002E46EE">
      <w:pPr>
        <w:pStyle w:val="ItemHead"/>
      </w:pPr>
      <w:r w:rsidRPr="007D265F">
        <w:t>33  After subsection 73ZN(5A)</w:t>
      </w:r>
    </w:p>
    <w:p w14:paraId="2C67B598" w14:textId="77777777" w:rsidR="002E46EE" w:rsidRPr="007D265F" w:rsidRDefault="002E46EE" w:rsidP="002E46EE">
      <w:pPr>
        <w:pStyle w:val="Item"/>
      </w:pPr>
      <w:r w:rsidRPr="007D265F">
        <w:t>Insert:</w:t>
      </w:r>
    </w:p>
    <w:p w14:paraId="21AE4D88" w14:textId="77777777" w:rsidR="002E46EE" w:rsidRPr="007D265F" w:rsidRDefault="002E46EE" w:rsidP="002E46EE">
      <w:pPr>
        <w:pStyle w:val="subsection"/>
      </w:pPr>
      <w:r w:rsidRPr="007D265F">
        <w:tab/>
        <w:t>(5B)</w:t>
      </w:r>
      <w:r w:rsidRPr="007D265F">
        <w:tab/>
        <w:t>If a banning order under subsection (2) is made against a person who is a member of the key personnel of an NDIS provider, the continuity of the order is not affected by the person ceasing to be such a member.</w:t>
      </w:r>
    </w:p>
    <w:p w14:paraId="36E10E8F" w14:textId="77777777" w:rsidR="002E46EE" w:rsidRPr="007D265F" w:rsidRDefault="002E46EE" w:rsidP="002E46EE">
      <w:pPr>
        <w:pStyle w:val="ItemHead"/>
      </w:pPr>
      <w:r w:rsidRPr="007D265F">
        <w:lastRenderedPageBreak/>
        <w:t>34  Paragraph 73ZN(9)(c)</w:t>
      </w:r>
    </w:p>
    <w:p w14:paraId="72F8479B" w14:textId="77777777" w:rsidR="002E46EE" w:rsidRPr="007D265F" w:rsidRDefault="002E46EE" w:rsidP="002E46EE">
      <w:pPr>
        <w:pStyle w:val="Item"/>
      </w:pPr>
      <w:r w:rsidRPr="007D265F">
        <w:t>After “by an NDIS provider”, insert “or is a member of the key personnel of an NDIS provider”.</w:t>
      </w:r>
    </w:p>
    <w:p w14:paraId="39E00656" w14:textId="77777777" w:rsidR="002E46EE" w:rsidRPr="007D265F" w:rsidRDefault="002E46EE" w:rsidP="002E46EE">
      <w:pPr>
        <w:pStyle w:val="ItemHead"/>
      </w:pPr>
      <w:r w:rsidRPr="007D265F">
        <w:t>35  Paragraph 73ZN(10)(b)</w:t>
      </w:r>
    </w:p>
    <w:p w14:paraId="625FE2FD" w14:textId="77777777" w:rsidR="002E46EE" w:rsidRPr="007D265F" w:rsidRDefault="002E46EE" w:rsidP="002E46EE">
      <w:pPr>
        <w:pStyle w:val="Item"/>
      </w:pPr>
      <w:r w:rsidRPr="007D265F">
        <w:t>After “order”, insert “(including a condition of the order)”.</w:t>
      </w:r>
    </w:p>
    <w:p w14:paraId="1393E445" w14:textId="77777777" w:rsidR="002E46EE" w:rsidRPr="007D265F" w:rsidRDefault="002E46EE" w:rsidP="002E46EE">
      <w:pPr>
        <w:pStyle w:val="ItemHead"/>
      </w:pPr>
      <w:r w:rsidRPr="007D265F">
        <w:t>36  After subsection 73ZO(2)</w:t>
      </w:r>
    </w:p>
    <w:p w14:paraId="2BA8F52C" w14:textId="77777777" w:rsidR="002E46EE" w:rsidRPr="007D265F" w:rsidRDefault="002E46EE" w:rsidP="002E46EE">
      <w:pPr>
        <w:pStyle w:val="Item"/>
      </w:pPr>
      <w:r w:rsidRPr="007D265F">
        <w:t>Insert:</w:t>
      </w:r>
    </w:p>
    <w:p w14:paraId="0BD2651D" w14:textId="77777777" w:rsidR="002E46EE" w:rsidRPr="007D265F" w:rsidRDefault="002E46EE" w:rsidP="002E46EE">
      <w:pPr>
        <w:pStyle w:val="subsection"/>
      </w:pPr>
      <w:r w:rsidRPr="007D265F">
        <w:tab/>
        <w:t>(2A)</w:t>
      </w:r>
      <w:r w:rsidRPr="007D265F">
        <w:tab/>
        <w:t>Without limiting subsection (1), a variation of a banning order may involve imposing new conditions on the order or varying or removing existing conditions.</w:t>
      </w:r>
    </w:p>
    <w:p w14:paraId="217DD1FE" w14:textId="77777777" w:rsidR="002E46EE" w:rsidRPr="007D265F" w:rsidRDefault="002E46EE" w:rsidP="002E46EE">
      <w:pPr>
        <w:pStyle w:val="ItemHead"/>
      </w:pPr>
      <w:r w:rsidRPr="007D265F">
        <w:t>37  Paragraph 73ZO(6)(b)</w:t>
      </w:r>
    </w:p>
    <w:p w14:paraId="72EDC98C" w14:textId="77777777" w:rsidR="002E46EE" w:rsidRPr="007D265F" w:rsidRDefault="002E46EE" w:rsidP="002E46EE">
      <w:pPr>
        <w:pStyle w:val="Item"/>
      </w:pPr>
      <w:r w:rsidRPr="007D265F">
        <w:t>After “by an NDIS provider”, insert “or is a member of the key personnel of an NDIS provider”.</w:t>
      </w:r>
    </w:p>
    <w:p w14:paraId="2759FC9E" w14:textId="77777777" w:rsidR="002E46EE" w:rsidRPr="007D265F" w:rsidRDefault="002E46EE" w:rsidP="002E46EE">
      <w:pPr>
        <w:pStyle w:val="ItemHead"/>
      </w:pPr>
      <w:r w:rsidRPr="007D265F">
        <w:t>38  Paragraph 73ZS(3)(j)</w:t>
      </w:r>
    </w:p>
    <w:p w14:paraId="423CFD82" w14:textId="77777777" w:rsidR="002E46EE" w:rsidRPr="007D265F" w:rsidRDefault="002E46EE" w:rsidP="002E46EE">
      <w:pPr>
        <w:pStyle w:val="Item"/>
      </w:pPr>
      <w:r w:rsidRPr="007D265F">
        <w:t>Omit “if a compliance notice is in force in relation to the person”, substitute “if the person is, or was, subject to a compliance notice”.</w:t>
      </w:r>
    </w:p>
    <w:p w14:paraId="38D64256" w14:textId="77777777" w:rsidR="002E46EE" w:rsidRPr="007D265F" w:rsidRDefault="002E46EE" w:rsidP="002E46EE">
      <w:pPr>
        <w:pStyle w:val="Transitional"/>
      </w:pPr>
      <w:r w:rsidRPr="007D265F">
        <w:t>39  Subsection 99(1) (after table item 13)</w:t>
      </w:r>
    </w:p>
    <w:p w14:paraId="0EBBBC7B" w14:textId="77777777" w:rsidR="002E46EE" w:rsidRPr="007D265F" w:rsidRDefault="002E46EE" w:rsidP="002E46EE">
      <w:pPr>
        <w:pStyle w:val="Item"/>
      </w:pPr>
      <w:r w:rsidRPr="007D265F">
        <w:t>Insert:</w:t>
      </w:r>
    </w:p>
    <w:tbl>
      <w:tblPr>
        <w:tblW w:w="7230" w:type="dxa"/>
        <w:tblInd w:w="-34" w:type="dxa"/>
        <w:tblBorders>
          <w:insideH w:val="single" w:sz="2" w:space="0" w:color="auto"/>
        </w:tblBorders>
        <w:tblLayout w:type="fixed"/>
        <w:tblLook w:val="0000" w:firstRow="0" w:lastRow="0" w:firstColumn="0" w:lastColumn="0" w:noHBand="0" w:noVBand="0"/>
      </w:tblPr>
      <w:tblGrid>
        <w:gridCol w:w="709"/>
        <w:gridCol w:w="2127"/>
        <w:gridCol w:w="2693"/>
        <w:gridCol w:w="1701"/>
      </w:tblGrid>
      <w:tr w:rsidR="002E46EE" w:rsidRPr="007D265F" w14:paraId="7DA0C7B6" w14:textId="77777777" w:rsidTr="00862275">
        <w:tc>
          <w:tcPr>
            <w:tcW w:w="709" w:type="dxa"/>
            <w:shd w:val="clear" w:color="auto" w:fill="auto"/>
          </w:tcPr>
          <w:p w14:paraId="533A68FD" w14:textId="77777777" w:rsidR="002E46EE" w:rsidRPr="007D265F" w:rsidRDefault="002E46EE" w:rsidP="00862275">
            <w:pPr>
              <w:pStyle w:val="Tabletext"/>
            </w:pPr>
            <w:r w:rsidRPr="007D265F">
              <w:t>13A</w:t>
            </w:r>
          </w:p>
        </w:tc>
        <w:tc>
          <w:tcPr>
            <w:tcW w:w="2127" w:type="dxa"/>
            <w:shd w:val="clear" w:color="auto" w:fill="auto"/>
          </w:tcPr>
          <w:p w14:paraId="02DA957E" w14:textId="77777777" w:rsidR="002E46EE" w:rsidRPr="007D265F" w:rsidRDefault="002E46EE" w:rsidP="00862275">
            <w:pPr>
              <w:pStyle w:val="Tabletext"/>
            </w:pPr>
            <w:r w:rsidRPr="007D265F">
              <w:t>a decision to refuse to approve a person or body as an approved quality auditor</w:t>
            </w:r>
          </w:p>
        </w:tc>
        <w:tc>
          <w:tcPr>
            <w:tcW w:w="2693" w:type="dxa"/>
            <w:shd w:val="clear" w:color="auto" w:fill="auto"/>
          </w:tcPr>
          <w:p w14:paraId="16A5C59D" w14:textId="77777777" w:rsidR="002E46EE" w:rsidRPr="007D265F" w:rsidRDefault="002E46EE" w:rsidP="00862275">
            <w:pPr>
              <w:pStyle w:val="Tabletext"/>
            </w:pPr>
            <w:r w:rsidRPr="007D265F">
              <w:t>paragraph 73U(3)(b)</w:t>
            </w:r>
          </w:p>
        </w:tc>
        <w:tc>
          <w:tcPr>
            <w:tcW w:w="1701" w:type="dxa"/>
            <w:shd w:val="clear" w:color="auto" w:fill="auto"/>
          </w:tcPr>
          <w:p w14:paraId="709ACC69" w14:textId="77777777" w:rsidR="002E46EE" w:rsidRPr="007D265F" w:rsidRDefault="002E46EE" w:rsidP="00862275">
            <w:pPr>
              <w:pStyle w:val="Tabletext"/>
            </w:pPr>
            <w:r w:rsidRPr="007D265F">
              <w:t>Commissioner</w:t>
            </w:r>
          </w:p>
        </w:tc>
      </w:tr>
      <w:tr w:rsidR="002E46EE" w:rsidRPr="007D265F" w14:paraId="30E2BDBF" w14:textId="77777777" w:rsidTr="00862275">
        <w:tc>
          <w:tcPr>
            <w:tcW w:w="709" w:type="dxa"/>
            <w:shd w:val="clear" w:color="auto" w:fill="auto"/>
          </w:tcPr>
          <w:p w14:paraId="1C1A7CCB" w14:textId="77777777" w:rsidR="002E46EE" w:rsidRPr="007D265F" w:rsidRDefault="002E46EE" w:rsidP="00862275">
            <w:pPr>
              <w:pStyle w:val="Tabletext"/>
            </w:pPr>
            <w:r w:rsidRPr="007D265F">
              <w:t>13B</w:t>
            </w:r>
          </w:p>
        </w:tc>
        <w:tc>
          <w:tcPr>
            <w:tcW w:w="2127" w:type="dxa"/>
            <w:shd w:val="clear" w:color="auto" w:fill="auto"/>
          </w:tcPr>
          <w:p w14:paraId="3F322BF9" w14:textId="77777777" w:rsidR="002E46EE" w:rsidRPr="007D265F" w:rsidRDefault="002E46EE" w:rsidP="00862275">
            <w:pPr>
              <w:pStyle w:val="Tabletext"/>
            </w:pPr>
            <w:r w:rsidRPr="007D265F">
              <w:t>a decision to specify conditions in an approval given under subsection 73U(1)</w:t>
            </w:r>
          </w:p>
        </w:tc>
        <w:tc>
          <w:tcPr>
            <w:tcW w:w="2693" w:type="dxa"/>
            <w:shd w:val="clear" w:color="auto" w:fill="auto"/>
          </w:tcPr>
          <w:p w14:paraId="02CDBA17" w14:textId="77777777" w:rsidR="002E46EE" w:rsidRPr="007D265F" w:rsidRDefault="002E46EE" w:rsidP="00862275">
            <w:pPr>
              <w:pStyle w:val="Tabletext"/>
            </w:pPr>
            <w:r w:rsidRPr="007D265F">
              <w:t>subsection 73U(5)</w:t>
            </w:r>
          </w:p>
        </w:tc>
        <w:tc>
          <w:tcPr>
            <w:tcW w:w="1701" w:type="dxa"/>
            <w:shd w:val="clear" w:color="auto" w:fill="auto"/>
          </w:tcPr>
          <w:p w14:paraId="2968B489" w14:textId="77777777" w:rsidR="002E46EE" w:rsidRPr="007D265F" w:rsidRDefault="002E46EE" w:rsidP="00862275">
            <w:pPr>
              <w:pStyle w:val="Tabletext"/>
            </w:pPr>
            <w:r w:rsidRPr="007D265F">
              <w:t>Commissioner</w:t>
            </w:r>
          </w:p>
        </w:tc>
      </w:tr>
      <w:tr w:rsidR="002E46EE" w:rsidRPr="007D265F" w14:paraId="55644B88" w14:textId="77777777" w:rsidTr="00862275">
        <w:tc>
          <w:tcPr>
            <w:tcW w:w="709" w:type="dxa"/>
            <w:shd w:val="clear" w:color="auto" w:fill="auto"/>
          </w:tcPr>
          <w:p w14:paraId="059607EE" w14:textId="77777777" w:rsidR="002E46EE" w:rsidRPr="007D265F" w:rsidRDefault="002E46EE" w:rsidP="00862275">
            <w:pPr>
              <w:pStyle w:val="Tabletext"/>
            </w:pPr>
            <w:r w:rsidRPr="007D265F">
              <w:t>13C</w:t>
            </w:r>
          </w:p>
        </w:tc>
        <w:tc>
          <w:tcPr>
            <w:tcW w:w="2127" w:type="dxa"/>
            <w:shd w:val="clear" w:color="auto" w:fill="auto"/>
          </w:tcPr>
          <w:p w14:paraId="67BAEA22" w14:textId="77777777" w:rsidR="002E46EE" w:rsidRPr="007D265F" w:rsidRDefault="002E46EE" w:rsidP="00862275">
            <w:pPr>
              <w:pStyle w:val="Tabletext"/>
            </w:pPr>
            <w:r w:rsidRPr="007D265F">
              <w:t>a decision to vary an approval given under subsection 73U(1)</w:t>
            </w:r>
          </w:p>
        </w:tc>
        <w:tc>
          <w:tcPr>
            <w:tcW w:w="2693" w:type="dxa"/>
            <w:shd w:val="clear" w:color="auto" w:fill="auto"/>
          </w:tcPr>
          <w:p w14:paraId="08B50ECB" w14:textId="77777777" w:rsidR="002E46EE" w:rsidRPr="007D265F" w:rsidRDefault="002E46EE" w:rsidP="00862275">
            <w:pPr>
              <w:pStyle w:val="Tabletext"/>
            </w:pPr>
            <w:r w:rsidRPr="007D265F">
              <w:t>subsection 73U(6)</w:t>
            </w:r>
          </w:p>
        </w:tc>
        <w:tc>
          <w:tcPr>
            <w:tcW w:w="1701" w:type="dxa"/>
            <w:shd w:val="clear" w:color="auto" w:fill="auto"/>
          </w:tcPr>
          <w:p w14:paraId="25053F90" w14:textId="77777777" w:rsidR="002E46EE" w:rsidRPr="007D265F" w:rsidRDefault="002E46EE" w:rsidP="00862275">
            <w:pPr>
              <w:pStyle w:val="Tabletext"/>
            </w:pPr>
            <w:r w:rsidRPr="007D265F">
              <w:t>Commissioner</w:t>
            </w:r>
          </w:p>
        </w:tc>
      </w:tr>
      <w:tr w:rsidR="002E46EE" w:rsidRPr="007D265F" w14:paraId="7062FFFF" w14:textId="77777777" w:rsidTr="00862275">
        <w:tc>
          <w:tcPr>
            <w:tcW w:w="709" w:type="dxa"/>
            <w:shd w:val="clear" w:color="auto" w:fill="auto"/>
          </w:tcPr>
          <w:p w14:paraId="03B2808B" w14:textId="77777777" w:rsidR="002E46EE" w:rsidRPr="007D265F" w:rsidRDefault="002E46EE" w:rsidP="00862275">
            <w:pPr>
              <w:pStyle w:val="Tabletext"/>
            </w:pPr>
            <w:r w:rsidRPr="007D265F">
              <w:t>13D</w:t>
            </w:r>
          </w:p>
        </w:tc>
        <w:tc>
          <w:tcPr>
            <w:tcW w:w="2127" w:type="dxa"/>
            <w:shd w:val="clear" w:color="auto" w:fill="auto"/>
          </w:tcPr>
          <w:p w14:paraId="71FA09B1" w14:textId="77777777" w:rsidR="002E46EE" w:rsidRPr="007D265F" w:rsidRDefault="002E46EE" w:rsidP="00862275">
            <w:pPr>
              <w:pStyle w:val="Tabletext"/>
            </w:pPr>
            <w:r w:rsidRPr="007D265F">
              <w:t>a decision to revoke an approval given under subsection 73U(1)</w:t>
            </w:r>
          </w:p>
        </w:tc>
        <w:tc>
          <w:tcPr>
            <w:tcW w:w="2693" w:type="dxa"/>
            <w:shd w:val="clear" w:color="auto" w:fill="auto"/>
          </w:tcPr>
          <w:p w14:paraId="2052CA28" w14:textId="77777777" w:rsidR="002E46EE" w:rsidRPr="007D265F" w:rsidRDefault="002E46EE" w:rsidP="00862275">
            <w:pPr>
              <w:pStyle w:val="Tabletext"/>
            </w:pPr>
            <w:r w:rsidRPr="007D265F">
              <w:t>subsection 73U(8)</w:t>
            </w:r>
          </w:p>
        </w:tc>
        <w:tc>
          <w:tcPr>
            <w:tcW w:w="1701" w:type="dxa"/>
            <w:shd w:val="clear" w:color="auto" w:fill="auto"/>
          </w:tcPr>
          <w:p w14:paraId="232227F1" w14:textId="77777777" w:rsidR="002E46EE" w:rsidRPr="007D265F" w:rsidRDefault="002E46EE" w:rsidP="00862275">
            <w:pPr>
              <w:pStyle w:val="Tabletext"/>
            </w:pPr>
            <w:r w:rsidRPr="007D265F">
              <w:t>Commissioner</w:t>
            </w:r>
          </w:p>
        </w:tc>
      </w:tr>
    </w:tbl>
    <w:p w14:paraId="2103C35D" w14:textId="77777777" w:rsidR="002E46EE" w:rsidRPr="007D265F" w:rsidRDefault="002E46EE" w:rsidP="002E46EE">
      <w:pPr>
        <w:pStyle w:val="Transitional"/>
      </w:pPr>
      <w:r w:rsidRPr="007D265F">
        <w:lastRenderedPageBreak/>
        <w:t>40  Subsection 99(1) (after table item 14)</w:t>
      </w:r>
    </w:p>
    <w:p w14:paraId="286A85A7" w14:textId="77777777" w:rsidR="002E46EE" w:rsidRPr="007D265F" w:rsidRDefault="002E46EE" w:rsidP="002E46EE">
      <w:pPr>
        <w:pStyle w:val="Item"/>
      </w:pPr>
      <w:r w:rsidRPr="007D265F">
        <w:t>Insert:</w:t>
      </w:r>
    </w:p>
    <w:tbl>
      <w:tblPr>
        <w:tblW w:w="7230" w:type="dxa"/>
        <w:tblInd w:w="-34" w:type="dxa"/>
        <w:tblLayout w:type="fixed"/>
        <w:tblLook w:val="0000" w:firstRow="0" w:lastRow="0" w:firstColumn="0" w:lastColumn="0" w:noHBand="0" w:noVBand="0"/>
      </w:tblPr>
      <w:tblGrid>
        <w:gridCol w:w="709"/>
        <w:gridCol w:w="2127"/>
        <w:gridCol w:w="2693"/>
        <w:gridCol w:w="1701"/>
      </w:tblGrid>
      <w:tr w:rsidR="002E46EE" w:rsidRPr="007D265F" w14:paraId="12FA12D0" w14:textId="77777777" w:rsidTr="00862275">
        <w:tc>
          <w:tcPr>
            <w:tcW w:w="709" w:type="dxa"/>
            <w:shd w:val="clear" w:color="auto" w:fill="auto"/>
          </w:tcPr>
          <w:p w14:paraId="19961A5B" w14:textId="77777777" w:rsidR="002E46EE" w:rsidRPr="007D265F" w:rsidRDefault="002E46EE" w:rsidP="00862275">
            <w:pPr>
              <w:pStyle w:val="Tabletext"/>
            </w:pPr>
            <w:r w:rsidRPr="007D265F">
              <w:t>14A</w:t>
            </w:r>
          </w:p>
        </w:tc>
        <w:tc>
          <w:tcPr>
            <w:tcW w:w="2127" w:type="dxa"/>
            <w:shd w:val="clear" w:color="auto" w:fill="auto"/>
          </w:tcPr>
          <w:p w14:paraId="2E7DE1DD" w14:textId="77777777" w:rsidR="002E46EE" w:rsidRPr="007D265F" w:rsidRDefault="002E46EE" w:rsidP="00862275">
            <w:pPr>
              <w:pStyle w:val="Tabletext"/>
            </w:pPr>
            <w:r w:rsidRPr="007D265F">
              <w:t>a decision to vary or revoke a compliance notice</w:t>
            </w:r>
          </w:p>
        </w:tc>
        <w:tc>
          <w:tcPr>
            <w:tcW w:w="2693" w:type="dxa"/>
            <w:shd w:val="clear" w:color="auto" w:fill="auto"/>
          </w:tcPr>
          <w:p w14:paraId="2E4E95BB" w14:textId="77777777" w:rsidR="002E46EE" w:rsidRPr="007D265F" w:rsidRDefault="002E46EE" w:rsidP="00862275">
            <w:pPr>
              <w:pStyle w:val="Tabletext"/>
            </w:pPr>
            <w:r w:rsidRPr="007D265F">
              <w:t>subsection 73ZM(4)</w:t>
            </w:r>
          </w:p>
        </w:tc>
        <w:tc>
          <w:tcPr>
            <w:tcW w:w="1701" w:type="dxa"/>
            <w:shd w:val="clear" w:color="auto" w:fill="auto"/>
          </w:tcPr>
          <w:p w14:paraId="17D2F47D" w14:textId="77777777" w:rsidR="002E46EE" w:rsidRPr="007D265F" w:rsidRDefault="002E46EE" w:rsidP="00862275">
            <w:pPr>
              <w:pStyle w:val="Tabletext"/>
            </w:pPr>
            <w:r w:rsidRPr="007D265F">
              <w:t>Commissioner</w:t>
            </w:r>
          </w:p>
        </w:tc>
      </w:tr>
    </w:tbl>
    <w:p w14:paraId="1EB08045" w14:textId="77777777" w:rsidR="002E46EE" w:rsidRPr="007D265F" w:rsidRDefault="002E46EE" w:rsidP="002E46EE">
      <w:pPr>
        <w:pStyle w:val="ItemHead"/>
      </w:pPr>
      <w:r w:rsidRPr="007D265F">
        <w:t>41  Subsection 100(5)</w:t>
      </w:r>
    </w:p>
    <w:p w14:paraId="74358E36" w14:textId="77777777" w:rsidR="002E46EE" w:rsidRPr="007D265F" w:rsidRDefault="002E46EE" w:rsidP="002E46EE">
      <w:pPr>
        <w:pStyle w:val="Item"/>
      </w:pPr>
      <w:r w:rsidRPr="007D265F">
        <w:t>Omit all the words after paragraph (b), substitute:</w:t>
      </w:r>
    </w:p>
    <w:p w14:paraId="459DA1D5" w14:textId="77777777" w:rsidR="002E46EE" w:rsidRPr="007D265F" w:rsidRDefault="002E46EE" w:rsidP="002E46EE">
      <w:pPr>
        <w:pStyle w:val="subsection2"/>
      </w:pPr>
      <w:r w:rsidRPr="007D265F">
        <w:t>the decision</w:t>
      </w:r>
      <w:r>
        <w:noBreakHyphen/>
      </w:r>
      <w:r w:rsidRPr="007D265F">
        <w:t xml:space="preserve">maker (the </w:t>
      </w:r>
      <w:r w:rsidRPr="007D265F">
        <w:rPr>
          <w:b/>
          <w:i/>
        </w:rPr>
        <w:t>reviewer</w:t>
      </w:r>
      <w:r w:rsidRPr="007D265F">
        <w:t>) must review the reviewable decision.</w:t>
      </w:r>
    </w:p>
    <w:p w14:paraId="4B5637BA" w14:textId="77777777" w:rsidR="002E46EE" w:rsidRPr="007D265F" w:rsidRDefault="002E46EE" w:rsidP="002E46EE">
      <w:pPr>
        <w:pStyle w:val="ItemHead"/>
      </w:pPr>
      <w:r w:rsidRPr="007D265F">
        <w:t>42  After subsection 100(5)</w:t>
      </w:r>
    </w:p>
    <w:p w14:paraId="45A4C21F" w14:textId="77777777" w:rsidR="002E46EE" w:rsidRPr="007D265F" w:rsidRDefault="002E46EE" w:rsidP="002E46EE">
      <w:pPr>
        <w:pStyle w:val="Item"/>
      </w:pPr>
      <w:r w:rsidRPr="007D265F">
        <w:t>Insert:</w:t>
      </w:r>
    </w:p>
    <w:p w14:paraId="5CB7FA26" w14:textId="77777777" w:rsidR="002E46EE" w:rsidRPr="007D265F" w:rsidRDefault="002E46EE" w:rsidP="002E46EE">
      <w:pPr>
        <w:pStyle w:val="subsection"/>
      </w:pPr>
      <w:r w:rsidRPr="007D265F">
        <w:tab/>
        <w:t>(5A)</w:t>
      </w:r>
      <w:r w:rsidRPr="007D265F">
        <w:tab/>
        <w:t>The decision</w:t>
      </w:r>
      <w:r>
        <w:noBreakHyphen/>
      </w:r>
      <w:r w:rsidRPr="007D265F">
        <w:t>maker cannot review the reviewable decision personally if the decision</w:t>
      </w:r>
      <w:r>
        <w:noBreakHyphen/>
      </w:r>
      <w:r w:rsidRPr="007D265F">
        <w:t>maker was involved in making the reviewable decision.</w:t>
      </w:r>
    </w:p>
    <w:p w14:paraId="19046A4F" w14:textId="77777777" w:rsidR="002E46EE" w:rsidRPr="007D265F" w:rsidRDefault="002E46EE" w:rsidP="002E46EE">
      <w:pPr>
        <w:pStyle w:val="subsection"/>
      </w:pPr>
      <w:r w:rsidRPr="007D265F">
        <w:tab/>
        <w:t>(5B)</w:t>
      </w:r>
      <w:r w:rsidRPr="007D265F">
        <w:tab/>
        <w:t>A delegate of the decision</w:t>
      </w:r>
      <w:r>
        <w:noBreakHyphen/>
      </w:r>
      <w:r w:rsidRPr="007D265F">
        <w:t>maker cannot review the reviewable decision if the delegate was involved in making the reviewable decision.</w:t>
      </w:r>
    </w:p>
    <w:p w14:paraId="596F1EC2" w14:textId="77777777" w:rsidR="002E46EE" w:rsidRPr="007D265F" w:rsidRDefault="002E46EE" w:rsidP="002E46EE">
      <w:pPr>
        <w:pStyle w:val="ItemHead"/>
      </w:pPr>
      <w:r w:rsidRPr="007D265F">
        <w:t>43  After paragraph 201A(1)(o)</w:t>
      </w:r>
    </w:p>
    <w:p w14:paraId="16FBCBF3" w14:textId="77777777" w:rsidR="002E46EE" w:rsidRPr="007D265F" w:rsidRDefault="002E46EE" w:rsidP="002E46EE">
      <w:pPr>
        <w:pStyle w:val="Item"/>
      </w:pPr>
      <w:r w:rsidRPr="007D265F">
        <w:t>Insert:</w:t>
      </w:r>
    </w:p>
    <w:p w14:paraId="54CBEA17" w14:textId="77777777" w:rsidR="002E46EE" w:rsidRPr="007D265F" w:rsidRDefault="002E46EE" w:rsidP="002E46EE">
      <w:pPr>
        <w:pStyle w:val="paragraph"/>
      </w:pPr>
      <w:r w:rsidRPr="007D265F">
        <w:tab/>
        <w:t>(</w:t>
      </w:r>
      <w:proofErr w:type="spellStart"/>
      <w:r w:rsidRPr="007D265F">
        <w:t>oa</w:t>
      </w:r>
      <w:proofErr w:type="spellEnd"/>
      <w:r w:rsidRPr="007D265F">
        <w:t>)</w:t>
      </w:r>
      <w:r w:rsidRPr="007D265F">
        <w:tab/>
        <w:t>subparagraphs 73ZN(1)(b)(iii) and (2)(a)(iii) and paragraph 73ZN(2A)(a) (banning orders);</w:t>
      </w:r>
    </w:p>
    <w:p w14:paraId="2DE052C4" w14:textId="77777777" w:rsidR="002E46EE" w:rsidRPr="007D265F" w:rsidRDefault="002E46EE" w:rsidP="002E46EE">
      <w:pPr>
        <w:pStyle w:val="ItemHead"/>
      </w:pPr>
      <w:r w:rsidRPr="007D265F">
        <w:t>44  Subsection 209(8) (table item 4, column headed “Description”, after paragraph (ca))</w:t>
      </w:r>
    </w:p>
    <w:p w14:paraId="11D3FDF3" w14:textId="77777777" w:rsidR="002E46EE" w:rsidRPr="007D265F" w:rsidRDefault="002E46EE" w:rsidP="002E46EE">
      <w:pPr>
        <w:pStyle w:val="Item"/>
      </w:pPr>
      <w:r w:rsidRPr="007D265F">
        <w:t>Insert:</w:t>
      </w:r>
    </w:p>
    <w:p w14:paraId="0CC21777" w14:textId="77777777" w:rsidR="002E46EE" w:rsidRPr="007D265F" w:rsidRDefault="002E46EE" w:rsidP="002E46EE">
      <w:pPr>
        <w:pStyle w:val="Tablea"/>
        <w:ind w:left="993" w:hanging="993"/>
      </w:pPr>
      <w:r w:rsidRPr="007D265F">
        <w:t>(</w:t>
      </w:r>
      <w:proofErr w:type="spellStart"/>
      <w:r w:rsidRPr="007D265F">
        <w:t>cb</w:t>
      </w:r>
      <w:proofErr w:type="spellEnd"/>
      <w:r w:rsidRPr="007D265F">
        <w:t>) paragraph 67A(1)(</w:t>
      </w:r>
      <w:proofErr w:type="spellStart"/>
      <w:r w:rsidRPr="007D265F">
        <w:t>db</w:t>
      </w:r>
      <w:proofErr w:type="spellEnd"/>
      <w:r w:rsidRPr="007D265F">
        <w:t>);</w:t>
      </w:r>
    </w:p>
    <w:p w14:paraId="0D0AEEF3" w14:textId="77777777" w:rsidR="002E46EE" w:rsidRPr="007D265F" w:rsidRDefault="002E46EE" w:rsidP="002E46EE">
      <w:pPr>
        <w:pStyle w:val="ItemHead"/>
      </w:pPr>
      <w:r w:rsidRPr="007D265F">
        <w:t>45  Subsection 209(8) (table item 4, column headed “Description”, after paragraph (q))</w:t>
      </w:r>
    </w:p>
    <w:p w14:paraId="777D9506" w14:textId="77777777" w:rsidR="002E46EE" w:rsidRPr="007D265F" w:rsidRDefault="002E46EE" w:rsidP="002E46EE">
      <w:pPr>
        <w:pStyle w:val="Item"/>
      </w:pPr>
      <w:r w:rsidRPr="007D265F">
        <w:t>Insert:</w:t>
      </w:r>
    </w:p>
    <w:p w14:paraId="27CB0297" w14:textId="77777777" w:rsidR="002E46EE" w:rsidRPr="007D265F" w:rsidRDefault="002E46EE" w:rsidP="002E46EE">
      <w:pPr>
        <w:pStyle w:val="Tablea"/>
        <w:ind w:left="993" w:hanging="993"/>
      </w:pPr>
      <w:r w:rsidRPr="007D265F">
        <w:t>(</w:t>
      </w:r>
      <w:proofErr w:type="spellStart"/>
      <w:r w:rsidRPr="007D265F">
        <w:t>qa</w:t>
      </w:r>
      <w:proofErr w:type="spellEnd"/>
      <w:r w:rsidRPr="007D265F">
        <w:t>) subparagraphs 73ZN(1)(b)(iii) and (2)(a)(iii) and paragraph 73ZN(2A)(a);</w:t>
      </w:r>
    </w:p>
    <w:p w14:paraId="322F14A0" w14:textId="77777777" w:rsidR="002E46EE" w:rsidRPr="007D265F" w:rsidRDefault="002E46EE" w:rsidP="002E46EE">
      <w:pPr>
        <w:pStyle w:val="Transitional"/>
      </w:pPr>
      <w:r w:rsidRPr="007D265F">
        <w:lastRenderedPageBreak/>
        <w:t>46  Application provisions—information</w:t>
      </w:r>
    </w:p>
    <w:p w14:paraId="533719B0" w14:textId="77777777" w:rsidR="002E46EE" w:rsidRPr="007D265F" w:rsidRDefault="002E46EE" w:rsidP="002E46EE">
      <w:pPr>
        <w:pStyle w:val="Subitem"/>
      </w:pPr>
      <w:r w:rsidRPr="007D265F">
        <w:t>(1)</w:t>
      </w:r>
      <w:r w:rsidRPr="007D265F">
        <w:tab/>
        <w:t xml:space="preserve">The amendments of section 55A of the </w:t>
      </w:r>
      <w:r w:rsidRPr="007D265F">
        <w:rPr>
          <w:i/>
        </w:rPr>
        <w:t xml:space="preserve">National Disability Insurance Scheme Act 2013 </w:t>
      </w:r>
      <w:r w:rsidRPr="007D265F">
        <w:t>made by this Schedule apply in relation to a requirement made under subsection 55A(1) of that Act on or after the commencement of this item.</w:t>
      </w:r>
    </w:p>
    <w:p w14:paraId="03E14D6F" w14:textId="77777777" w:rsidR="002E46EE" w:rsidRPr="007D265F" w:rsidRDefault="002E46EE" w:rsidP="002E46EE">
      <w:pPr>
        <w:pStyle w:val="Subitem"/>
      </w:pPr>
      <w:r w:rsidRPr="007D265F">
        <w:t>(2)</w:t>
      </w:r>
      <w:r w:rsidRPr="007D265F">
        <w:tab/>
        <w:t xml:space="preserve">The amendment of paragraph 60(2)(e) of the </w:t>
      </w:r>
      <w:r w:rsidRPr="007D265F">
        <w:rPr>
          <w:i/>
        </w:rPr>
        <w:t xml:space="preserve">National Disability Insurance Scheme Act 2013 </w:t>
      </w:r>
      <w:r w:rsidRPr="007D265F">
        <w:t>made by this Schedule applies in relation to the making of a record of information, or the disclosure or use of information, on or after the commencement of this item, whether the information was obtained before, on or after that commencement.</w:t>
      </w:r>
    </w:p>
    <w:p w14:paraId="75643C4A" w14:textId="77777777" w:rsidR="002E46EE" w:rsidRPr="007D265F" w:rsidRDefault="002E46EE" w:rsidP="002E46EE">
      <w:pPr>
        <w:pStyle w:val="Subitem"/>
      </w:pPr>
      <w:r w:rsidRPr="007D265F">
        <w:t>(3)</w:t>
      </w:r>
      <w:r w:rsidRPr="007D265F">
        <w:tab/>
        <w:t xml:space="preserve">Paragraph 60(2)(f) of the </w:t>
      </w:r>
      <w:r w:rsidRPr="007D265F">
        <w:rPr>
          <w:i/>
        </w:rPr>
        <w:t>National Disability Insurance Scheme Act 2013</w:t>
      </w:r>
      <w:r w:rsidRPr="007D265F">
        <w:t>, as added by this Schedule, applies in relation to the making of a record of information, or the disclosure or use of information, on or after the commencement of this item:</w:t>
      </w:r>
    </w:p>
    <w:p w14:paraId="2169E017" w14:textId="77777777" w:rsidR="002E46EE" w:rsidRPr="007D265F" w:rsidRDefault="002E46EE" w:rsidP="002E46EE">
      <w:pPr>
        <w:pStyle w:val="paragraph"/>
      </w:pPr>
      <w:r w:rsidRPr="007D265F">
        <w:tab/>
        <w:t>(a)</w:t>
      </w:r>
      <w:r w:rsidRPr="007D265F">
        <w:tab/>
        <w:t>whether the threat occurred before, on or after that commencement; and</w:t>
      </w:r>
    </w:p>
    <w:p w14:paraId="75C699E9" w14:textId="77777777" w:rsidR="002E46EE" w:rsidRPr="007D265F" w:rsidRDefault="002E46EE" w:rsidP="002E46EE">
      <w:pPr>
        <w:pStyle w:val="paragraph"/>
      </w:pPr>
      <w:r w:rsidRPr="007D265F">
        <w:tab/>
        <w:t>(b)</w:t>
      </w:r>
      <w:r w:rsidRPr="007D265F">
        <w:tab/>
        <w:t>whether the information was obtained before, on or after that commencement.</w:t>
      </w:r>
    </w:p>
    <w:p w14:paraId="5F0B6B64" w14:textId="77777777" w:rsidR="002E46EE" w:rsidRPr="007D265F" w:rsidRDefault="002E46EE" w:rsidP="002E46EE">
      <w:pPr>
        <w:pStyle w:val="Subitem"/>
      </w:pPr>
      <w:r w:rsidRPr="007D265F">
        <w:t>(4)</w:t>
      </w:r>
      <w:r w:rsidRPr="007D265F">
        <w:tab/>
        <w:t xml:space="preserve">Subsection 60(4) of the </w:t>
      </w:r>
      <w:r w:rsidRPr="007D265F">
        <w:rPr>
          <w:i/>
        </w:rPr>
        <w:t>National Disability Insurance Scheme Act 2013</w:t>
      </w:r>
      <w:r w:rsidRPr="007D265F">
        <w:t>, as added by this Schedule, applies in relation to the disclosure of information on or after the commencement of this item, whether the information was obtained before, on or after that commencement.</w:t>
      </w:r>
    </w:p>
    <w:p w14:paraId="5423BCF5" w14:textId="77777777" w:rsidR="002E46EE" w:rsidRPr="007D265F" w:rsidRDefault="002E46EE" w:rsidP="002E46EE">
      <w:pPr>
        <w:pStyle w:val="Subitem"/>
      </w:pPr>
      <w:r w:rsidRPr="007D265F">
        <w:t>(5)</w:t>
      </w:r>
      <w:r w:rsidRPr="007D265F">
        <w:tab/>
        <w:t>Paragraphs 67A(1)(da) and (</w:t>
      </w:r>
      <w:proofErr w:type="spellStart"/>
      <w:r w:rsidRPr="007D265F">
        <w:t>db</w:t>
      </w:r>
      <w:proofErr w:type="spellEnd"/>
      <w:r w:rsidRPr="007D265F">
        <w:t xml:space="preserve">) of the </w:t>
      </w:r>
      <w:r w:rsidRPr="007D265F">
        <w:rPr>
          <w:i/>
        </w:rPr>
        <w:t>National Disability Insurance Scheme Act 2013</w:t>
      </w:r>
      <w:r w:rsidRPr="007D265F">
        <w:t>, as inserted by this Schedule, apply in relation to the disclosure of information on or after the commencement of this item, whether the information was obtained before, on or after that commencement.</w:t>
      </w:r>
    </w:p>
    <w:p w14:paraId="7A14F6D7" w14:textId="77777777" w:rsidR="002E46EE" w:rsidRPr="007D265F" w:rsidRDefault="002E46EE" w:rsidP="002E46EE">
      <w:pPr>
        <w:pStyle w:val="Subitem"/>
      </w:pPr>
      <w:r w:rsidRPr="007D265F">
        <w:t>(6)</w:t>
      </w:r>
      <w:r w:rsidRPr="007D265F">
        <w:tab/>
        <w:t xml:space="preserve">The amendment of paragraph 67A(1)(e) of the </w:t>
      </w:r>
      <w:r w:rsidRPr="007D265F">
        <w:rPr>
          <w:i/>
        </w:rPr>
        <w:t xml:space="preserve">National Disability Insurance Scheme Act 2013 </w:t>
      </w:r>
      <w:r w:rsidRPr="007D265F">
        <w:t>made by this Schedule applies in relation to the making of a record of information, or the disclosure or use of information, on or after the commencement of this item, whether the information was obtained before, on or after that commencement.</w:t>
      </w:r>
    </w:p>
    <w:p w14:paraId="114E8F45" w14:textId="77777777" w:rsidR="002E46EE" w:rsidRPr="007D265F" w:rsidRDefault="002E46EE" w:rsidP="002E46EE">
      <w:pPr>
        <w:pStyle w:val="Subitem"/>
      </w:pPr>
      <w:r w:rsidRPr="007D265F">
        <w:t>(7)</w:t>
      </w:r>
      <w:r w:rsidRPr="007D265F">
        <w:tab/>
        <w:t xml:space="preserve">Paragraph 67A(1)(f) of the </w:t>
      </w:r>
      <w:r w:rsidRPr="007D265F">
        <w:rPr>
          <w:i/>
        </w:rPr>
        <w:t>National Disability Insurance Scheme Act 2013</w:t>
      </w:r>
      <w:r w:rsidRPr="007D265F">
        <w:t>, as added by this Schedule, applies in relation to the making of a record of information, or the disclosure or use of information, on or after the commencement of this item:</w:t>
      </w:r>
    </w:p>
    <w:p w14:paraId="0DDAF29B" w14:textId="77777777" w:rsidR="002E46EE" w:rsidRPr="007D265F" w:rsidRDefault="002E46EE" w:rsidP="002E46EE">
      <w:pPr>
        <w:pStyle w:val="paragraph"/>
      </w:pPr>
      <w:r w:rsidRPr="007D265F">
        <w:lastRenderedPageBreak/>
        <w:tab/>
        <w:t>(a)</w:t>
      </w:r>
      <w:r w:rsidRPr="007D265F">
        <w:tab/>
        <w:t>whether the threat occurred before, on or after that commencement; and</w:t>
      </w:r>
    </w:p>
    <w:p w14:paraId="2399E20D" w14:textId="77777777" w:rsidR="002E46EE" w:rsidRPr="007D265F" w:rsidRDefault="002E46EE" w:rsidP="002E46EE">
      <w:pPr>
        <w:pStyle w:val="paragraph"/>
      </w:pPr>
      <w:r w:rsidRPr="007D265F">
        <w:tab/>
        <w:t>(b)</w:t>
      </w:r>
      <w:r w:rsidRPr="007D265F">
        <w:tab/>
        <w:t>whether the information was obtained before, on or after that commencement.</w:t>
      </w:r>
    </w:p>
    <w:p w14:paraId="6181D9F9" w14:textId="77777777" w:rsidR="002E46EE" w:rsidRPr="007D265F" w:rsidRDefault="002E46EE" w:rsidP="002E46EE">
      <w:pPr>
        <w:pStyle w:val="Subitem"/>
      </w:pPr>
      <w:r w:rsidRPr="007D265F">
        <w:t>(8)</w:t>
      </w:r>
      <w:r w:rsidRPr="007D265F">
        <w:tab/>
        <w:t xml:space="preserve">Subsection 67A(3) of the </w:t>
      </w:r>
      <w:r w:rsidRPr="007D265F">
        <w:rPr>
          <w:i/>
        </w:rPr>
        <w:t>National Disability Insurance Scheme Act 2013</w:t>
      </w:r>
      <w:r w:rsidRPr="007D265F">
        <w:t>, as added by this Schedule, applies in relation to the disclosure of information on or after the commencement of this item, whether the information was obtained before, on or after that commencement.</w:t>
      </w:r>
    </w:p>
    <w:p w14:paraId="4D9409B6" w14:textId="77777777" w:rsidR="002E46EE" w:rsidRPr="007D265F" w:rsidRDefault="002E46EE" w:rsidP="002E46EE">
      <w:pPr>
        <w:pStyle w:val="Transitional"/>
      </w:pPr>
      <w:r w:rsidRPr="007D265F">
        <w:t>47  Application provisions—registration as registered NDIS provider</w:t>
      </w:r>
    </w:p>
    <w:p w14:paraId="4345664E" w14:textId="77777777" w:rsidR="002E46EE" w:rsidRPr="007D265F" w:rsidRDefault="002E46EE" w:rsidP="002E46EE">
      <w:pPr>
        <w:pStyle w:val="Subitem"/>
      </w:pPr>
      <w:r w:rsidRPr="007D265F">
        <w:t>(1)</w:t>
      </w:r>
      <w:r w:rsidRPr="007D265F">
        <w:tab/>
        <w:t xml:space="preserve">Subsection 73C(6) of the </w:t>
      </w:r>
      <w:r w:rsidRPr="007D265F">
        <w:rPr>
          <w:i/>
        </w:rPr>
        <w:t>National Disability Insurance Scheme Act 2013</w:t>
      </w:r>
      <w:r w:rsidRPr="007D265F">
        <w:t>, as added by this Schedule, applies in relation to the following:</w:t>
      </w:r>
    </w:p>
    <w:p w14:paraId="58729A59" w14:textId="77777777" w:rsidR="002E46EE" w:rsidRPr="007D265F" w:rsidRDefault="002E46EE" w:rsidP="002E46EE">
      <w:pPr>
        <w:pStyle w:val="paragraph"/>
      </w:pPr>
      <w:r w:rsidRPr="007D265F">
        <w:tab/>
        <w:t>(a)</w:t>
      </w:r>
      <w:r w:rsidRPr="007D265F">
        <w:tab/>
        <w:t>an application under subsection 73C(1) of that Act that is made on or after the commencement of this item;</w:t>
      </w:r>
    </w:p>
    <w:p w14:paraId="3F982445" w14:textId="77777777" w:rsidR="002E46EE" w:rsidRPr="007D265F" w:rsidRDefault="002E46EE" w:rsidP="002E46EE">
      <w:pPr>
        <w:pStyle w:val="paragraph"/>
      </w:pPr>
      <w:r w:rsidRPr="007D265F">
        <w:tab/>
        <w:t>(b)</w:t>
      </w:r>
      <w:r w:rsidRPr="007D265F">
        <w:tab/>
        <w:t>an application under subsection 73C(1) of that Act that was made before the commencement of this item but not decided by the Commissioner immediately before that commencement.</w:t>
      </w:r>
    </w:p>
    <w:p w14:paraId="4AB44009" w14:textId="77777777" w:rsidR="002E46EE" w:rsidRPr="007D265F" w:rsidRDefault="002E46EE" w:rsidP="002E46EE">
      <w:pPr>
        <w:pStyle w:val="Subitem"/>
      </w:pPr>
      <w:r w:rsidRPr="007D265F">
        <w:t>(2)</w:t>
      </w:r>
      <w:r w:rsidRPr="007D265F">
        <w:tab/>
        <w:t xml:space="preserve">Subsection 73C(7) of the </w:t>
      </w:r>
      <w:r w:rsidRPr="007D265F">
        <w:rPr>
          <w:i/>
        </w:rPr>
        <w:t>National Disability Insurance Scheme Act 2013</w:t>
      </w:r>
      <w:r w:rsidRPr="007D265F">
        <w:t>, as added by this Schedule, applies in relation to a revocation of registration on or after the commencement of this item, whether the application was made before, on or after that commencement.</w:t>
      </w:r>
    </w:p>
    <w:p w14:paraId="0009725D" w14:textId="77777777" w:rsidR="002E46EE" w:rsidRPr="007D265F" w:rsidRDefault="002E46EE" w:rsidP="002E46EE">
      <w:pPr>
        <w:pStyle w:val="Subitem"/>
      </w:pPr>
      <w:r w:rsidRPr="007D265F">
        <w:t>(3)</w:t>
      </w:r>
      <w:r w:rsidRPr="007D265F">
        <w:tab/>
        <w:t xml:space="preserve">The amendments of section 73P of the </w:t>
      </w:r>
      <w:r w:rsidRPr="007D265F">
        <w:rPr>
          <w:i/>
        </w:rPr>
        <w:t xml:space="preserve">National Disability Insurance Scheme Act 2013 </w:t>
      </w:r>
      <w:r w:rsidRPr="007D265F">
        <w:t>made by this Schedule apply in relation to a notice given under subsection 73P(4) of that Act on or after the commencement of this item.</w:t>
      </w:r>
    </w:p>
    <w:p w14:paraId="05750C24" w14:textId="77777777" w:rsidR="002E46EE" w:rsidRPr="007D265F" w:rsidRDefault="002E46EE" w:rsidP="002E46EE">
      <w:pPr>
        <w:pStyle w:val="Transitional"/>
      </w:pPr>
      <w:r w:rsidRPr="007D265F">
        <w:t>48  Application provisions—approved quality auditors</w:t>
      </w:r>
    </w:p>
    <w:p w14:paraId="765F76F3" w14:textId="77777777" w:rsidR="002E46EE" w:rsidRPr="007D265F" w:rsidRDefault="002E46EE" w:rsidP="002E46EE">
      <w:pPr>
        <w:pStyle w:val="Subitem"/>
      </w:pPr>
      <w:r w:rsidRPr="007D265F">
        <w:t>(1)</w:t>
      </w:r>
      <w:r w:rsidRPr="007D265F">
        <w:tab/>
        <w:t xml:space="preserve">Subsections 73U(2) to (4) of the </w:t>
      </w:r>
      <w:r w:rsidRPr="007D265F">
        <w:rPr>
          <w:i/>
        </w:rPr>
        <w:t>National Disability Insurance Scheme Act 2013</w:t>
      </w:r>
      <w:r w:rsidRPr="007D265F">
        <w:t>, as substituted by this Schedule, apply in relation to requests made on or after the commencement of this item.</w:t>
      </w:r>
    </w:p>
    <w:p w14:paraId="476346C6" w14:textId="77777777" w:rsidR="002E46EE" w:rsidRPr="007D265F" w:rsidRDefault="002E46EE" w:rsidP="002E46EE">
      <w:pPr>
        <w:pStyle w:val="Subitem"/>
      </w:pPr>
      <w:r w:rsidRPr="007D265F">
        <w:t>(2)</w:t>
      </w:r>
      <w:r w:rsidRPr="007D265F">
        <w:tab/>
        <w:t xml:space="preserve">Subsection 73U(5) of the </w:t>
      </w:r>
      <w:r w:rsidRPr="007D265F">
        <w:rPr>
          <w:i/>
        </w:rPr>
        <w:t>National Disability Insurance Scheme Act 2013</w:t>
      </w:r>
      <w:r w:rsidRPr="007D265F">
        <w:t>, as substituted by this Schedule, applies in relation to approvals given on or after the commencement of this item.</w:t>
      </w:r>
    </w:p>
    <w:p w14:paraId="469F035B" w14:textId="77777777" w:rsidR="002E46EE" w:rsidRPr="007D265F" w:rsidRDefault="002E46EE" w:rsidP="002E46EE">
      <w:pPr>
        <w:pStyle w:val="Subitem"/>
      </w:pPr>
      <w:r w:rsidRPr="007D265F">
        <w:lastRenderedPageBreak/>
        <w:t>(3)</w:t>
      </w:r>
      <w:r w:rsidRPr="007D265F">
        <w:tab/>
        <w:t xml:space="preserve">Subsections 73U(6) to (9) of the </w:t>
      </w:r>
      <w:r w:rsidRPr="007D265F">
        <w:rPr>
          <w:i/>
        </w:rPr>
        <w:t>National Disability Insurance Scheme Act 2013</w:t>
      </w:r>
      <w:r w:rsidRPr="007D265F">
        <w:t>, as substituted by this Schedule, apply in relation to approvals given before, on or after the commencement of this item.</w:t>
      </w:r>
    </w:p>
    <w:p w14:paraId="5D508356" w14:textId="77777777" w:rsidR="002E46EE" w:rsidRPr="007D265F" w:rsidRDefault="002E46EE" w:rsidP="002E46EE">
      <w:pPr>
        <w:pStyle w:val="Subitem"/>
      </w:pPr>
      <w:r w:rsidRPr="007D265F">
        <w:t>(4)</w:t>
      </w:r>
      <w:r w:rsidRPr="007D265F">
        <w:tab/>
        <w:t xml:space="preserve">Item 13A of the table in subsection 99(1) of the </w:t>
      </w:r>
      <w:r w:rsidRPr="007D265F">
        <w:rPr>
          <w:i/>
        </w:rPr>
        <w:t>National Disability Insurance Scheme Act 2013</w:t>
      </w:r>
      <w:r w:rsidRPr="007D265F">
        <w:t>, as inserted by this Schedule, applies in relation to a refusal that occurs on or after the commencement of this item.</w:t>
      </w:r>
    </w:p>
    <w:p w14:paraId="74CB6CCE" w14:textId="77777777" w:rsidR="002E46EE" w:rsidRPr="007D265F" w:rsidRDefault="002E46EE" w:rsidP="002E46EE">
      <w:pPr>
        <w:pStyle w:val="Subitem"/>
      </w:pPr>
      <w:r w:rsidRPr="007D265F">
        <w:t>(5)</w:t>
      </w:r>
      <w:r w:rsidRPr="007D265F">
        <w:tab/>
        <w:t xml:space="preserve">Item 13B of the table in subsection 99(1) of the </w:t>
      </w:r>
      <w:r w:rsidRPr="007D265F">
        <w:rPr>
          <w:i/>
        </w:rPr>
        <w:t>National Disability Insurance Scheme Act 2013</w:t>
      </w:r>
      <w:r w:rsidRPr="007D265F">
        <w:t>, as inserted by this Schedule, applies in relation to a decision made on or after the commencement of this item, where the approval is given on or after that commencement.</w:t>
      </w:r>
    </w:p>
    <w:p w14:paraId="3B1A10A0" w14:textId="77777777" w:rsidR="002E46EE" w:rsidRPr="007D265F" w:rsidRDefault="002E46EE" w:rsidP="002E46EE">
      <w:pPr>
        <w:pStyle w:val="Subitem"/>
      </w:pPr>
      <w:r w:rsidRPr="007D265F">
        <w:t>(6)</w:t>
      </w:r>
      <w:r w:rsidRPr="007D265F">
        <w:tab/>
        <w:t xml:space="preserve">Items 13C and 13D of the table in subsection 99(1) of the </w:t>
      </w:r>
      <w:r w:rsidRPr="007D265F">
        <w:rPr>
          <w:i/>
        </w:rPr>
        <w:t>National Disability Insurance Scheme Act 2013</w:t>
      </w:r>
      <w:r w:rsidRPr="007D265F">
        <w:t>, as inserted by this Schedule, apply in relation to a decision made on or after the commencement of this item, whether the approval was given before, on or after that commencement.</w:t>
      </w:r>
    </w:p>
    <w:p w14:paraId="71FC9247" w14:textId="77777777" w:rsidR="002E46EE" w:rsidRPr="007D265F" w:rsidRDefault="002E46EE" w:rsidP="002E46EE">
      <w:pPr>
        <w:pStyle w:val="Subitem"/>
      </w:pPr>
      <w:r w:rsidRPr="007D265F">
        <w:t>(7)</w:t>
      </w:r>
      <w:r w:rsidRPr="007D265F">
        <w:tab/>
        <w:t xml:space="preserve">The amendment of section 73U of the </w:t>
      </w:r>
      <w:r w:rsidRPr="007D265F">
        <w:rPr>
          <w:i/>
        </w:rPr>
        <w:t>National Disability Insurance Scheme Act 2013</w:t>
      </w:r>
      <w:r w:rsidRPr="007D265F">
        <w:t xml:space="preserve"> made by this Schedule does not affect the continuity of the list published under that section.</w:t>
      </w:r>
    </w:p>
    <w:p w14:paraId="0184AAED" w14:textId="77777777" w:rsidR="002E46EE" w:rsidRPr="007D265F" w:rsidRDefault="002E46EE" w:rsidP="002E46EE">
      <w:pPr>
        <w:pStyle w:val="Transitional"/>
      </w:pPr>
      <w:r w:rsidRPr="007D265F">
        <w:t>49  Application provisions—banning orders</w:t>
      </w:r>
    </w:p>
    <w:p w14:paraId="599E06C2" w14:textId="77777777" w:rsidR="002E46EE" w:rsidRPr="007D265F" w:rsidRDefault="002E46EE" w:rsidP="002E46EE">
      <w:pPr>
        <w:pStyle w:val="Subitem"/>
      </w:pPr>
      <w:r w:rsidRPr="007D265F">
        <w:t>(1)</w:t>
      </w:r>
      <w:r w:rsidRPr="007D265F">
        <w:tab/>
        <w:t xml:space="preserve">The amendments of subsections 73ZN(1), (2), (2A) and (3) of the </w:t>
      </w:r>
      <w:r w:rsidRPr="007D265F">
        <w:rPr>
          <w:i/>
        </w:rPr>
        <w:t xml:space="preserve">National Disability Insurance Scheme Act 2013 </w:t>
      </w:r>
      <w:r w:rsidRPr="007D265F">
        <w:t>made by this Schedule apply in relation to a banning order made on or after the commencement of this item.</w:t>
      </w:r>
    </w:p>
    <w:p w14:paraId="1E763751" w14:textId="77777777" w:rsidR="002E46EE" w:rsidRPr="007D265F" w:rsidRDefault="002E46EE" w:rsidP="002E46EE">
      <w:pPr>
        <w:pStyle w:val="Subitem"/>
      </w:pPr>
      <w:r w:rsidRPr="007D265F">
        <w:t>(2)</w:t>
      </w:r>
      <w:r w:rsidRPr="007D265F">
        <w:tab/>
        <w:t>To the extent that those amendments permit the making of a banning order against a person who is or was a member of the key personnel of an NDIS provider, those amendments apply in relation to a person who is or was such a member before, on or after the commencement of this item, whether conduct to which paragraph 73ZN(2)(a), (b) or (c) of that Act relates occurred before, on or after that commencement.</w:t>
      </w:r>
    </w:p>
    <w:p w14:paraId="3834E083" w14:textId="77777777" w:rsidR="002E46EE" w:rsidRPr="007D265F" w:rsidRDefault="002E46EE" w:rsidP="002E46EE">
      <w:pPr>
        <w:pStyle w:val="Subitem"/>
      </w:pPr>
      <w:r w:rsidRPr="007D265F">
        <w:t>(3)</w:t>
      </w:r>
      <w:r w:rsidRPr="007D265F">
        <w:tab/>
        <w:t xml:space="preserve">The amendment of subsection 73ZN(10) of the </w:t>
      </w:r>
      <w:r w:rsidRPr="007D265F">
        <w:rPr>
          <w:i/>
        </w:rPr>
        <w:t xml:space="preserve">National Disability Insurance Scheme Act 2013 </w:t>
      </w:r>
      <w:r w:rsidRPr="007D265F">
        <w:t>made by this Schedule applies in relation to a breach of a condition of a banning order that occurs on or after the commencement of this item, whether the banning order was made before, on or after that commencement.</w:t>
      </w:r>
    </w:p>
    <w:p w14:paraId="5F95E35F" w14:textId="77777777" w:rsidR="002E46EE" w:rsidRPr="007D265F" w:rsidRDefault="002E46EE" w:rsidP="002E46EE">
      <w:pPr>
        <w:pStyle w:val="Subitem"/>
      </w:pPr>
      <w:r w:rsidRPr="007D265F">
        <w:lastRenderedPageBreak/>
        <w:t>(4)</w:t>
      </w:r>
      <w:r w:rsidRPr="007D265F">
        <w:tab/>
        <w:t xml:space="preserve">Subsection 73ZO(2A) of the </w:t>
      </w:r>
      <w:r w:rsidRPr="007D265F">
        <w:rPr>
          <w:i/>
        </w:rPr>
        <w:t>National Disability Insurance Scheme Act 2013</w:t>
      </w:r>
      <w:r w:rsidRPr="007D265F">
        <w:t>, as inserted by this Schedule, applies in relation to a variation made on or after the commencement of this item, whether the banning order was made before, on or after that commencement.</w:t>
      </w:r>
    </w:p>
    <w:p w14:paraId="14408EED" w14:textId="77777777" w:rsidR="002E46EE" w:rsidRPr="007D265F" w:rsidRDefault="002E46EE" w:rsidP="002E46EE">
      <w:pPr>
        <w:pStyle w:val="Transitional"/>
      </w:pPr>
      <w:r w:rsidRPr="007D265F">
        <w:t>50  Application provisions—compliance notices</w:t>
      </w:r>
    </w:p>
    <w:p w14:paraId="0BB7E4A8" w14:textId="77777777" w:rsidR="002E46EE" w:rsidRPr="007D265F" w:rsidRDefault="002E46EE" w:rsidP="002E46EE">
      <w:pPr>
        <w:pStyle w:val="Subitem"/>
      </w:pPr>
      <w:r w:rsidRPr="007D265F">
        <w:t>(1)</w:t>
      </w:r>
      <w:r w:rsidRPr="007D265F">
        <w:tab/>
        <w:t xml:space="preserve">The amendment of section 73ZS of the </w:t>
      </w:r>
      <w:r w:rsidRPr="007D265F">
        <w:rPr>
          <w:i/>
        </w:rPr>
        <w:t xml:space="preserve">National Disability Insurance Scheme Act 2013 </w:t>
      </w:r>
      <w:r w:rsidRPr="007D265F">
        <w:t>made by this Schedule applies in relation to a compliance notice given before, on or after the commencement of this item.</w:t>
      </w:r>
    </w:p>
    <w:p w14:paraId="28CBAA3E" w14:textId="77777777" w:rsidR="002E46EE" w:rsidRPr="007D265F" w:rsidRDefault="002E46EE" w:rsidP="002E46EE">
      <w:pPr>
        <w:pStyle w:val="Subitem"/>
      </w:pPr>
      <w:r w:rsidRPr="007D265F">
        <w:t>(2)</w:t>
      </w:r>
      <w:r w:rsidRPr="007D265F">
        <w:tab/>
        <w:t xml:space="preserve">Item 14A of the table in subsection 99(1) of the </w:t>
      </w:r>
      <w:r w:rsidRPr="007D265F">
        <w:rPr>
          <w:i/>
        </w:rPr>
        <w:t>National Disability Insurance Scheme Act 2013</w:t>
      </w:r>
      <w:r w:rsidRPr="007D265F">
        <w:t>, as inserted by this Schedule, applies in relation to a variation or revocation that occurs on or after the commencement of this item, whether the compliance notice was given before, on or after that commencement.</w:t>
      </w:r>
    </w:p>
    <w:p w14:paraId="284EE29E" w14:textId="77777777" w:rsidR="002E46EE" w:rsidRPr="007D265F" w:rsidRDefault="002E46EE" w:rsidP="002E46EE">
      <w:pPr>
        <w:pStyle w:val="Transitional"/>
      </w:pPr>
      <w:r w:rsidRPr="007D265F">
        <w:t>51  Application provision—review of decisions</w:t>
      </w:r>
    </w:p>
    <w:p w14:paraId="755895EC" w14:textId="77777777" w:rsidR="002E46EE" w:rsidRPr="007D265F" w:rsidRDefault="002E46EE" w:rsidP="002E46EE">
      <w:pPr>
        <w:pStyle w:val="Item"/>
      </w:pPr>
      <w:r w:rsidRPr="007D265F">
        <w:t xml:space="preserve">The amendments of section 100 of the </w:t>
      </w:r>
      <w:r w:rsidRPr="007D265F">
        <w:rPr>
          <w:i/>
        </w:rPr>
        <w:t>National Disability Insurance Scheme Act 2013</w:t>
      </w:r>
      <w:r w:rsidRPr="007D265F">
        <w:t xml:space="preserve"> made by this Schedule apply in relation to:</w:t>
      </w:r>
    </w:p>
    <w:p w14:paraId="627C665C" w14:textId="77777777" w:rsidR="002E46EE" w:rsidRPr="007D265F" w:rsidRDefault="002E46EE" w:rsidP="002E46EE">
      <w:pPr>
        <w:pStyle w:val="paragraph"/>
      </w:pPr>
      <w:r w:rsidRPr="007D265F">
        <w:tab/>
        <w:t>(a)</w:t>
      </w:r>
      <w:r w:rsidRPr="007D265F">
        <w:tab/>
        <w:t>a request for review that is received on or after the commencement of this item, whether the reviewable decision was made before, on or after that commencement; or</w:t>
      </w:r>
    </w:p>
    <w:p w14:paraId="596FB95A" w14:textId="77777777" w:rsidR="002E46EE" w:rsidRPr="007D265F" w:rsidRDefault="002E46EE" w:rsidP="002E46EE">
      <w:pPr>
        <w:pStyle w:val="paragraph"/>
      </w:pPr>
      <w:r w:rsidRPr="007D265F">
        <w:tab/>
        <w:t>(b)</w:t>
      </w:r>
      <w:r w:rsidRPr="007D265F">
        <w:tab/>
        <w:t>a reviewable decision taken to have been made as mentioned in paragraph 100(5)(b) of that Act on or after the commencement of this item.</w:t>
      </w:r>
    </w:p>
    <w:p w14:paraId="2FAFACB3" w14:textId="77777777" w:rsidR="00B975DC" w:rsidRPr="00F02B56" w:rsidRDefault="00B975DC" w:rsidP="00B975DC"/>
    <w:p w14:paraId="018108A7" w14:textId="77777777" w:rsidR="00B975DC" w:rsidRDefault="00B975DC" w:rsidP="00B975DC">
      <w:pPr>
        <w:pStyle w:val="AssentBk"/>
        <w:keepNext/>
      </w:pPr>
    </w:p>
    <w:p w14:paraId="4E3595EE" w14:textId="77777777" w:rsidR="00B975DC" w:rsidRDefault="00B975DC" w:rsidP="00B975DC">
      <w:pPr>
        <w:pStyle w:val="AssentBk"/>
        <w:keepNext/>
      </w:pPr>
    </w:p>
    <w:p w14:paraId="78C5AC31" w14:textId="77777777" w:rsidR="00B975DC" w:rsidRDefault="00B975DC" w:rsidP="00B975DC">
      <w:pPr>
        <w:pStyle w:val="2ndRd"/>
        <w:keepNext/>
        <w:pBdr>
          <w:top w:val="single" w:sz="2" w:space="1" w:color="auto"/>
        </w:pBdr>
      </w:pPr>
    </w:p>
    <w:p w14:paraId="66BB8FEE" w14:textId="77777777" w:rsidR="00B975DC" w:rsidRDefault="00B975DC" w:rsidP="00B975DC">
      <w:pPr>
        <w:pStyle w:val="2ndRd"/>
        <w:keepNext/>
        <w:spacing w:line="260" w:lineRule="atLeast"/>
        <w:rPr>
          <w:i/>
        </w:rPr>
      </w:pPr>
      <w:r>
        <w:t>[</w:t>
      </w:r>
      <w:r>
        <w:rPr>
          <w:i/>
        </w:rPr>
        <w:t>Minister’s second reading speech made in—</w:t>
      </w:r>
    </w:p>
    <w:p w14:paraId="448D78A6" w14:textId="77777777" w:rsidR="00B975DC" w:rsidRDefault="00B975DC" w:rsidP="00B975DC">
      <w:pPr>
        <w:pStyle w:val="2ndRd"/>
        <w:keepNext/>
        <w:spacing w:line="260" w:lineRule="atLeast"/>
        <w:rPr>
          <w:i/>
        </w:rPr>
      </w:pPr>
      <w:r>
        <w:rPr>
          <w:i/>
        </w:rPr>
        <w:t>House of Representatives on 3 June 2021</w:t>
      </w:r>
    </w:p>
    <w:p w14:paraId="025A5452" w14:textId="77777777" w:rsidR="00B975DC" w:rsidRDefault="00B975DC" w:rsidP="00B975DC">
      <w:pPr>
        <w:pStyle w:val="2ndRd"/>
        <w:keepNext/>
        <w:spacing w:line="260" w:lineRule="atLeast"/>
        <w:rPr>
          <w:i/>
        </w:rPr>
      </w:pPr>
      <w:r>
        <w:rPr>
          <w:i/>
        </w:rPr>
        <w:t>Senate on 26 August 2021</w:t>
      </w:r>
      <w:r>
        <w:t>]</w:t>
      </w:r>
    </w:p>
    <w:p w14:paraId="5E61835C" w14:textId="77777777" w:rsidR="00B975DC" w:rsidRDefault="00B975DC" w:rsidP="00B975DC">
      <w:pPr>
        <w:framePr w:hSpace="180" w:wrap="around" w:vAnchor="text" w:hAnchor="page" w:x="2401" w:y="1902"/>
      </w:pPr>
      <w:r>
        <w:t>(67/21)</w:t>
      </w:r>
    </w:p>
    <w:p w14:paraId="1307E74F" w14:textId="49A70938" w:rsidR="00A90174" w:rsidRDefault="00A90174"/>
    <w:p w14:paraId="18AED4E4" w14:textId="77777777" w:rsidR="00B975DC" w:rsidRDefault="00B975DC" w:rsidP="00A67344">
      <w:pPr>
        <w:pBdr>
          <w:bottom w:val="single" w:sz="4" w:space="1" w:color="auto"/>
        </w:pBdr>
        <w:sectPr w:rsidR="00B975DC" w:rsidSect="00A67344">
          <w:headerReference w:type="even" r:id="rId21"/>
          <w:headerReference w:type="default" r:id="rId22"/>
          <w:footerReference w:type="even" r:id="rId23"/>
          <w:footerReference w:type="default" r:id="rId24"/>
          <w:headerReference w:type="first" r:id="rId25"/>
          <w:footerReference w:type="first" r:id="rId26"/>
          <w:pgSz w:w="11907" w:h="16839"/>
          <w:pgMar w:top="1418" w:right="2410" w:bottom="4253" w:left="2410" w:header="720" w:footer="3402" w:gutter="0"/>
          <w:pgNumType w:start="1"/>
          <w:cols w:space="708"/>
          <w:titlePg/>
          <w:docGrid w:linePitch="360"/>
        </w:sectPr>
      </w:pPr>
    </w:p>
    <w:p w14:paraId="0ED36374" w14:textId="77777777" w:rsidR="00B975DC" w:rsidRDefault="00B975DC" w:rsidP="00B975DC"/>
    <w:sectPr w:rsidR="00B975DC" w:rsidSect="00B975DC">
      <w:headerReference w:type="even" r:id="rId27"/>
      <w:headerReference w:type="default" r:id="rId28"/>
      <w:headerReference w:type="first" r:id="rId29"/>
      <w:type w:val="continuous"/>
      <w:pgSz w:w="11907" w:h="16839"/>
      <w:pgMar w:top="1418" w:right="2410" w:bottom="4253" w:left="2410" w:header="720" w:footer="3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CB4DF8" w14:textId="77777777" w:rsidR="00282F0B" w:rsidRDefault="00282F0B" w:rsidP="0048364F">
      <w:pPr>
        <w:spacing w:line="240" w:lineRule="auto"/>
      </w:pPr>
      <w:r>
        <w:separator/>
      </w:r>
    </w:p>
  </w:endnote>
  <w:endnote w:type="continuationSeparator" w:id="0">
    <w:p w14:paraId="78BEE910" w14:textId="77777777" w:rsidR="00282F0B" w:rsidRDefault="00282F0B" w:rsidP="0048364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E7E01" w14:textId="77777777" w:rsidR="002E46EE" w:rsidRPr="005F1388" w:rsidRDefault="002E46EE" w:rsidP="007D265F">
    <w:pPr>
      <w:pStyle w:val="Footer"/>
      <w:tabs>
        <w:tab w:val="clear" w:pos="4153"/>
        <w:tab w:val="clear" w:pos="8306"/>
        <w:tab w:val="center" w:pos="4150"/>
        <w:tab w:val="right" w:pos="8307"/>
      </w:tabs>
      <w:spacing w:before="120"/>
      <w:jc w:val="right"/>
      <w:rPr>
        <w:i/>
        <w:sz w:val="18"/>
      </w:rPr>
    </w:pPr>
    <w:r w:rsidRPr="005F138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AD0EAD" w14:textId="582AFC63" w:rsidR="00B975DC" w:rsidRDefault="00B975DC" w:rsidP="00CD12A5">
    <w:pPr>
      <w:pStyle w:val="ScalePlusRef"/>
    </w:pPr>
    <w:r>
      <w:t>Note: An electronic version of this Act is available on the Federal Register of Legislation (</w:t>
    </w:r>
    <w:hyperlink r:id="rId1" w:history="1">
      <w:r>
        <w:t>https://www.legislation.gov.au/</w:t>
      </w:r>
    </w:hyperlink>
    <w:r>
      <w:t>)</w:t>
    </w:r>
  </w:p>
  <w:p w14:paraId="3E18CADB" w14:textId="77777777" w:rsidR="00B975DC" w:rsidRDefault="00B975DC" w:rsidP="00CD12A5"/>
  <w:p w14:paraId="1D33A25C" w14:textId="3DE2E662" w:rsidR="002E46EE" w:rsidRDefault="002E46EE" w:rsidP="007D265F">
    <w:pPr>
      <w:pStyle w:val="Footer"/>
      <w:spacing w:before="120"/>
    </w:pPr>
  </w:p>
  <w:p w14:paraId="60E873D1" w14:textId="77777777" w:rsidR="002E46EE" w:rsidRPr="005F1388" w:rsidRDefault="002E46EE" w:rsidP="00685F42">
    <w:pPr>
      <w:pStyle w:val="Footer"/>
      <w:tabs>
        <w:tab w:val="clear" w:pos="4153"/>
        <w:tab w:val="clear" w:pos="8306"/>
        <w:tab w:val="center" w:pos="4150"/>
        <w:tab w:val="right" w:pos="8307"/>
      </w:tabs>
      <w:spacing w:before="120"/>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86E8" w14:textId="77777777" w:rsidR="002E46EE" w:rsidRPr="00ED79B6" w:rsidRDefault="002E46EE" w:rsidP="007D265F">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F72933" w14:textId="77777777" w:rsidR="002E46EE" w:rsidRDefault="002E46EE" w:rsidP="007D26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E46EE" w14:paraId="09DF502A" w14:textId="77777777" w:rsidTr="009B4BC3">
      <w:tc>
        <w:tcPr>
          <w:tcW w:w="646" w:type="dxa"/>
        </w:tcPr>
        <w:p w14:paraId="44F43B5B" w14:textId="77777777" w:rsidR="002E46EE" w:rsidRDefault="002E46EE" w:rsidP="009B4BC3">
          <w:pPr>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iv</w:t>
          </w:r>
          <w:r w:rsidRPr="00ED79B6">
            <w:rPr>
              <w:i/>
              <w:sz w:val="18"/>
            </w:rPr>
            <w:fldChar w:fldCharType="end"/>
          </w:r>
        </w:p>
      </w:tc>
      <w:tc>
        <w:tcPr>
          <w:tcW w:w="5387" w:type="dxa"/>
        </w:tcPr>
        <w:p w14:paraId="6895E3E1" w14:textId="4193C77C" w:rsidR="002E46EE" w:rsidRDefault="002E46EE" w:rsidP="009B4BC3">
          <w:pPr>
            <w:jc w:val="center"/>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975DC">
            <w:rPr>
              <w:i/>
              <w:sz w:val="18"/>
            </w:rPr>
            <w:t>National Disability Insurance Scheme Amendment (Improving Supports for At Risk Participants) Act 2021</w:t>
          </w:r>
          <w:r w:rsidRPr="00ED79B6">
            <w:rPr>
              <w:i/>
              <w:sz w:val="18"/>
            </w:rPr>
            <w:fldChar w:fldCharType="end"/>
          </w:r>
        </w:p>
      </w:tc>
      <w:tc>
        <w:tcPr>
          <w:tcW w:w="1270" w:type="dxa"/>
        </w:tcPr>
        <w:p w14:paraId="59541610" w14:textId="31CB9506" w:rsidR="002E46EE" w:rsidRDefault="002E46EE" w:rsidP="009B4BC3">
          <w:pPr>
            <w:jc w:val="right"/>
            <w:rPr>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975DC">
            <w:rPr>
              <w:i/>
              <w:sz w:val="18"/>
            </w:rPr>
            <w:t>No. 116, 2021</w:t>
          </w:r>
          <w:r w:rsidRPr="00ED79B6">
            <w:rPr>
              <w:i/>
              <w:sz w:val="18"/>
            </w:rPr>
            <w:fldChar w:fldCharType="end"/>
          </w:r>
        </w:p>
      </w:tc>
    </w:tr>
  </w:tbl>
  <w:p w14:paraId="57130165" w14:textId="77777777" w:rsidR="002E46EE" w:rsidRDefault="002E46E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FA49F2" w14:textId="77777777" w:rsidR="002E46EE" w:rsidRDefault="002E46EE" w:rsidP="007D26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E46EE" w14:paraId="0BE69D1D" w14:textId="77777777" w:rsidTr="009B4BC3">
      <w:tc>
        <w:tcPr>
          <w:tcW w:w="1247" w:type="dxa"/>
        </w:tcPr>
        <w:p w14:paraId="16F3A12F" w14:textId="0834C7B6" w:rsidR="002E46EE" w:rsidRDefault="002E46EE" w:rsidP="009B4BC3">
          <w:pP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Actno </w:instrText>
          </w:r>
          <w:r w:rsidRPr="00ED79B6">
            <w:rPr>
              <w:i/>
              <w:sz w:val="18"/>
            </w:rPr>
            <w:fldChar w:fldCharType="separate"/>
          </w:r>
          <w:r w:rsidR="00B975DC">
            <w:rPr>
              <w:i/>
              <w:sz w:val="18"/>
            </w:rPr>
            <w:t>No. 116, 2021</w:t>
          </w:r>
          <w:r w:rsidRPr="00ED79B6">
            <w:rPr>
              <w:i/>
              <w:sz w:val="18"/>
            </w:rPr>
            <w:fldChar w:fldCharType="end"/>
          </w:r>
        </w:p>
      </w:tc>
      <w:tc>
        <w:tcPr>
          <w:tcW w:w="5387" w:type="dxa"/>
        </w:tcPr>
        <w:p w14:paraId="1B7B3A81" w14:textId="489B7128" w:rsidR="002E46EE" w:rsidRDefault="002E46EE" w:rsidP="009B4BC3">
          <w:pPr>
            <w:jc w:val="center"/>
            <w:rPr>
              <w:i/>
              <w:sz w:val="18"/>
            </w:rPr>
          </w:pPr>
          <w:r w:rsidRPr="00ED79B6">
            <w:rPr>
              <w:i/>
              <w:sz w:val="18"/>
            </w:rPr>
            <w:fldChar w:fldCharType="begin"/>
          </w:r>
          <w:r w:rsidRPr="00ED79B6">
            <w:rPr>
              <w:i/>
              <w:sz w:val="18"/>
            </w:rPr>
            <w:instrText xml:space="preserve"> </w:instrText>
          </w:r>
          <w:r>
            <w:rPr>
              <w:i/>
              <w:sz w:val="18"/>
            </w:rPr>
            <w:instrText>DOCPROPERTY</w:instrText>
          </w:r>
          <w:r w:rsidRPr="00ED79B6">
            <w:rPr>
              <w:i/>
              <w:sz w:val="18"/>
            </w:rPr>
            <w:instrText xml:space="preserve"> ShortT </w:instrText>
          </w:r>
          <w:r w:rsidRPr="00ED79B6">
            <w:rPr>
              <w:i/>
              <w:sz w:val="18"/>
            </w:rPr>
            <w:fldChar w:fldCharType="separate"/>
          </w:r>
          <w:r w:rsidR="00B975DC">
            <w:rPr>
              <w:i/>
              <w:sz w:val="18"/>
            </w:rPr>
            <w:t>National Disability Insurance Scheme Amendment (Improving Supports for At Risk Participants) Act 2021</w:t>
          </w:r>
          <w:r w:rsidRPr="00ED79B6">
            <w:rPr>
              <w:i/>
              <w:sz w:val="18"/>
            </w:rPr>
            <w:fldChar w:fldCharType="end"/>
          </w:r>
        </w:p>
      </w:tc>
      <w:tc>
        <w:tcPr>
          <w:tcW w:w="669" w:type="dxa"/>
        </w:tcPr>
        <w:p w14:paraId="618023B4" w14:textId="77777777" w:rsidR="002E46EE" w:rsidRDefault="002E46EE" w:rsidP="009B4BC3">
          <w:pPr>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29262A84" w14:textId="77777777" w:rsidR="002E46EE" w:rsidRPr="00ED79B6" w:rsidRDefault="002E46EE" w:rsidP="00055B5C">
    <w:pPr>
      <w:rPr>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240E6" w14:textId="77777777" w:rsidR="00282F0B" w:rsidRPr="00A961C4" w:rsidRDefault="00282F0B" w:rsidP="007D265F">
    <w:pPr>
      <w:pBdr>
        <w:top w:val="single" w:sz="6" w:space="1" w:color="auto"/>
      </w:pBdr>
      <w:spacing w:before="120"/>
      <w:jc w:val="right"/>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46"/>
      <w:gridCol w:w="5387"/>
      <w:gridCol w:w="1270"/>
    </w:tblGrid>
    <w:tr w:rsidR="00282F0B" w14:paraId="44EB545C" w14:textId="77777777" w:rsidTr="008A2E87">
      <w:tc>
        <w:tcPr>
          <w:tcW w:w="646" w:type="dxa"/>
        </w:tcPr>
        <w:p w14:paraId="15F065B7" w14:textId="77777777" w:rsidR="00282F0B" w:rsidRDefault="00282F0B" w:rsidP="009B4BC3">
          <w:pPr>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43472">
            <w:rPr>
              <w:i/>
              <w:noProof/>
              <w:sz w:val="18"/>
            </w:rPr>
            <w:t>14</w:t>
          </w:r>
          <w:r w:rsidRPr="007A1328">
            <w:rPr>
              <w:i/>
              <w:sz w:val="18"/>
            </w:rPr>
            <w:fldChar w:fldCharType="end"/>
          </w:r>
        </w:p>
      </w:tc>
      <w:tc>
        <w:tcPr>
          <w:tcW w:w="5387" w:type="dxa"/>
        </w:tcPr>
        <w:p w14:paraId="427ACCC3" w14:textId="29470C15" w:rsidR="00282F0B" w:rsidRDefault="00282F0B" w:rsidP="009B4BC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975DC">
            <w:rPr>
              <w:i/>
              <w:sz w:val="18"/>
            </w:rPr>
            <w:t>National Disability Insurance Scheme Amendment (Improving Supports for At Risk Participants) Act 2021</w:t>
          </w:r>
          <w:r w:rsidRPr="007A1328">
            <w:rPr>
              <w:i/>
              <w:sz w:val="18"/>
            </w:rPr>
            <w:fldChar w:fldCharType="end"/>
          </w:r>
        </w:p>
      </w:tc>
      <w:tc>
        <w:tcPr>
          <w:tcW w:w="1270" w:type="dxa"/>
        </w:tcPr>
        <w:p w14:paraId="7C0E1FEA" w14:textId="1BAFD2D8" w:rsidR="00282F0B" w:rsidRDefault="00282F0B" w:rsidP="009B4BC3">
          <w:pPr>
            <w:jc w:val="right"/>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975DC">
            <w:rPr>
              <w:i/>
              <w:sz w:val="18"/>
            </w:rPr>
            <w:t>No. 116, 2021</w:t>
          </w:r>
          <w:r w:rsidRPr="007A1328">
            <w:rPr>
              <w:i/>
              <w:sz w:val="18"/>
            </w:rPr>
            <w:fldChar w:fldCharType="end"/>
          </w:r>
        </w:p>
      </w:tc>
    </w:tr>
  </w:tbl>
  <w:p w14:paraId="13102D1C" w14:textId="77777777" w:rsidR="00282F0B" w:rsidRPr="00A961C4" w:rsidRDefault="00282F0B" w:rsidP="00055B5C">
    <w:pPr>
      <w:rPr>
        <w:i/>
        <w:sz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F11AF3" w14:textId="77777777" w:rsidR="00282F0B" w:rsidRPr="00A961C4" w:rsidRDefault="00282F0B" w:rsidP="007D26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5387"/>
      <w:gridCol w:w="669"/>
    </w:tblGrid>
    <w:tr w:rsidR="00282F0B" w14:paraId="640193EE" w14:textId="77777777" w:rsidTr="008A2E87">
      <w:tc>
        <w:tcPr>
          <w:tcW w:w="1247" w:type="dxa"/>
        </w:tcPr>
        <w:p w14:paraId="55A3C7CC" w14:textId="66038F60" w:rsidR="00282F0B" w:rsidRDefault="00282F0B" w:rsidP="009B4BC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975DC">
            <w:rPr>
              <w:i/>
              <w:sz w:val="18"/>
            </w:rPr>
            <w:t>No. 116, 2021</w:t>
          </w:r>
          <w:r w:rsidRPr="007A1328">
            <w:rPr>
              <w:i/>
              <w:sz w:val="18"/>
            </w:rPr>
            <w:fldChar w:fldCharType="end"/>
          </w:r>
        </w:p>
      </w:tc>
      <w:tc>
        <w:tcPr>
          <w:tcW w:w="5387" w:type="dxa"/>
        </w:tcPr>
        <w:p w14:paraId="0734D021" w14:textId="6B757894" w:rsidR="00282F0B" w:rsidRDefault="00282F0B" w:rsidP="009B4BC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975DC">
            <w:rPr>
              <w:i/>
              <w:sz w:val="18"/>
            </w:rPr>
            <w:t>National Disability Insurance Scheme Amendment (Improving Supports for At Risk Participants) Act 2021</w:t>
          </w:r>
          <w:r w:rsidRPr="007A1328">
            <w:rPr>
              <w:i/>
              <w:sz w:val="18"/>
            </w:rPr>
            <w:fldChar w:fldCharType="end"/>
          </w:r>
        </w:p>
      </w:tc>
      <w:tc>
        <w:tcPr>
          <w:tcW w:w="669" w:type="dxa"/>
        </w:tcPr>
        <w:p w14:paraId="10212E80" w14:textId="77777777" w:rsidR="00282F0B" w:rsidRDefault="00282F0B" w:rsidP="009B4BC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43472">
            <w:rPr>
              <w:i/>
              <w:noProof/>
              <w:sz w:val="18"/>
            </w:rPr>
            <w:t>13</w:t>
          </w:r>
          <w:r w:rsidRPr="007A1328">
            <w:rPr>
              <w:i/>
              <w:sz w:val="18"/>
            </w:rPr>
            <w:fldChar w:fldCharType="end"/>
          </w:r>
        </w:p>
      </w:tc>
    </w:tr>
  </w:tbl>
  <w:p w14:paraId="2B94EA7A" w14:textId="77777777" w:rsidR="00282F0B" w:rsidRPr="00055B5C" w:rsidRDefault="00282F0B" w:rsidP="00055B5C"/>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B2281" w14:textId="77777777" w:rsidR="00282F0B" w:rsidRPr="00A961C4" w:rsidRDefault="00282F0B" w:rsidP="007D265F">
    <w:pPr>
      <w:pBdr>
        <w:top w:val="single" w:sz="6" w:space="1" w:color="auto"/>
      </w:pBdr>
      <w:spacing w:before="120"/>
      <w:rPr>
        <w:sz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5387"/>
      <w:gridCol w:w="669"/>
    </w:tblGrid>
    <w:tr w:rsidR="00282F0B" w14:paraId="120897D2" w14:textId="77777777" w:rsidTr="008A2E87">
      <w:tc>
        <w:tcPr>
          <w:tcW w:w="1247" w:type="dxa"/>
        </w:tcPr>
        <w:p w14:paraId="71F77751" w14:textId="4E0DA8C6" w:rsidR="00282F0B" w:rsidRDefault="00282F0B" w:rsidP="009B4BC3">
          <w:pP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Actno </w:instrText>
          </w:r>
          <w:r w:rsidRPr="007A1328">
            <w:rPr>
              <w:i/>
              <w:sz w:val="18"/>
            </w:rPr>
            <w:fldChar w:fldCharType="separate"/>
          </w:r>
          <w:r w:rsidR="00B975DC">
            <w:rPr>
              <w:i/>
              <w:sz w:val="18"/>
            </w:rPr>
            <w:t>No. 116, 2021</w:t>
          </w:r>
          <w:r w:rsidRPr="007A1328">
            <w:rPr>
              <w:i/>
              <w:sz w:val="18"/>
            </w:rPr>
            <w:fldChar w:fldCharType="end"/>
          </w:r>
        </w:p>
      </w:tc>
      <w:tc>
        <w:tcPr>
          <w:tcW w:w="5387" w:type="dxa"/>
        </w:tcPr>
        <w:p w14:paraId="3DA95111" w14:textId="0140978B" w:rsidR="00282F0B" w:rsidRDefault="00282F0B" w:rsidP="009B4BC3">
          <w:pPr>
            <w:jc w:val="center"/>
            <w:rPr>
              <w:sz w:val="18"/>
            </w:rPr>
          </w:pPr>
          <w:r w:rsidRPr="007A1328">
            <w:rPr>
              <w:i/>
              <w:sz w:val="18"/>
            </w:rPr>
            <w:fldChar w:fldCharType="begin"/>
          </w:r>
          <w:r w:rsidRPr="007A1328">
            <w:rPr>
              <w:i/>
              <w:sz w:val="18"/>
            </w:rPr>
            <w:instrText xml:space="preserve"> </w:instrText>
          </w:r>
          <w:r>
            <w:rPr>
              <w:i/>
              <w:sz w:val="18"/>
            </w:rPr>
            <w:instrText>DOCPROPERTY</w:instrText>
          </w:r>
          <w:r w:rsidRPr="007A1328">
            <w:rPr>
              <w:i/>
              <w:sz w:val="18"/>
            </w:rPr>
            <w:instrText xml:space="preserve"> ShortT </w:instrText>
          </w:r>
          <w:r w:rsidRPr="007A1328">
            <w:rPr>
              <w:i/>
              <w:sz w:val="18"/>
            </w:rPr>
            <w:fldChar w:fldCharType="separate"/>
          </w:r>
          <w:r w:rsidR="00B975DC">
            <w:rPr>
              <w:i/>
              <w:sz w:val="18"/>
            </w:rPr>
            <w:t>National Disability Insurance Scheme Amendment (Improving Supports for At Risk Participants) Act 2021</w:t>
          </w:r>
          <w:r w:rsidRPr="007A1328">
            <w:rPr>
              <w:i/>
              <w:sz w:val="18"/>
            </w:rPr>
            <w:fldChar w:fldCharType="end"/>
          </w:r>
        </w:p>
      </w:tc>
      <w:tc>
        <w:tcPr>
          <w:tcW w:w="669" w:type="dxa"/>
        </w:tcPr>
        <w:p w14:paraId="2397CFB8" w14:textId="77777777" w:rsidR="00282F0B" w:rsidRDefault="00282F0B" w:rsidP="009B4BC3">
          <w:pPr>
            <w:jc w:val="right"/>
            <w:rPr>
              <w:sz w:val="18"/>
            </w:rPr>
          </w:pPr>
          <w:r w:rsidRPr="007A1328">
            <w:rPr>
              <w:i/>
              <w:sz w:val="18"/>
            </w:rPr>
            <w:fldChar w:fldCharType="begin"/>
          </w:r>
          <w:r w:rsidRPr="007A1328">
            <w:rPr>
              <w:i/>
              <w:sz w:val="18"/>
            </w:rPr>
            <w:instrText xml:space="preserve"> PAGE </w:instrText>
          </w:r>
          <w:r w:rsidRPr="007A1328">
            <w:rPr>
              <w:i/>
              <w:sz w:val="18"/>
            </w:rPr>
            <w:fldChar w:fldCharType="separate"/>
          </w:r>
          <w:r w:rsidR="00B43472">
            <w:rPr>
              <w:i/>
              <w:noProof/>
              <w:sz w:val="18"/>
            </w:rPr>
            <w:t>1</w:t>
          </w:r>
          <w:r w:rsidRPr="007A1328">
            <w:rPr>
              <w:i/>
              <w:sz w:val="18"/>
            </w:rPr>
            <w:fldChar w:fldCharType="end"/>
          </w:r>
        </w:p>
      </w:tc>
    </w:tr>
  </w:tbl>
  <w:p w14:paraId="6EB4FBD3" w14:textId="77777777" w:rsidR="00282F0B" w:rsidRPr="00A961C4" w:rsidRDefault="00282F0B" w:rsidP="00055B5C">
    <w:pPr>
      <w:jc w:val="right"/>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EA1C3E" w14:textId="77777777" w:rsidR="00282F0B" w:rsidRDefault="00282F0B" w:rsidP="0048364F">
      <w:pPr>
        <w:spacing w:line="240" w:lineRule="auto"/>
      </w:pPr>
      <w:r>
        <w:separator/>
      </w:r>
    </w:p>
  </w:footnote>
  <w:footnote w:type="continuationSeparator" w:id="0">
    <w:p w14:paraId="26AF4055" w14:textId="77777777" w:rsidR="00282F0B" w:rsidRDefault="00282F0B" w:rsidP="0048364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69B0C" w14:textId="77777777" w:rsidR="002E46EE" w:rsidRPr="005F1388" w:rsidRDefault="002E46EE" w:rsidP="00D477C3">
    <w:pPr>
      <w:pStyle w:val="Header"/>
      <w:tabs>
        <w:tab w:val="clear" w:pos="4150"/>
        <w:tab w:val="clear" w:pos="8307"/>
      </w:tabs>
      <w:spacing w:after="120"/>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9CEE7F" w14:textId="380357E7" w:rsidR="00A67344" w:rsidRPr="00A961C4" w:rsidRDefault="00A67344" w:rsidP="0048364F">
    <w:pPr>
      <w:rPr>
        <w:b/>
        <w:sz w:val="20"/>
      </w:rPr>
    </w:pPr>
    <w:r>
      <w:rPr>
        <w:b/>
        <w:sz w:val="20"/>
      </w:rPr>
      <w:fldChar w:fldCharType="begin"/>
    </w:r>
    <w:r>
      <w:rPr>
        <w:b/>
        <w:sz w:val="20"/>
      </w:rPr>
      <w:instrText xml:space="preserve"> STYLEREF CharAmSchNo </w:instrText>
    </w:r>
    <w:r>
      <w:rPr>
        <w:b/>
        <w:sz w:val="20"/>
      </w:rPr>
      <w:fldChar w:fldCharType="separate"/>
    </w:r>
    <w:r w:rsidR="00B975DC">
      <w:rPr>
        <w:b/>
        <w:noProof/>
        <w:sz w:val="20"/>
      </w:rPr>
      <w:t>Schedule 1</w:t>
    </w:r>
    <w:r>
      <w:rPr>
        <w:b/>
        <w:sz w:val="20"/>
      </w:rPr>
      <w:fldChar w:fldCharType="end"/>
    </w:r>
    <w:r>
      <w:rPr>
        <w:sz w:val="20"/>
      </w:rPr>
      <w:fldChar w:fldCharType="begin"/>
    </w:r>
    <w:r>
      <w:rPr>
        <w:sz w:val="20"/>
      </w:rPr>
      <w:instrText xml:space="preserve"> STYLEREF CharAmSchText </w:instrText>
    </w:r>
    <w:r>
      <w:rPr>
        <w:sz w:val="20"/>
      </w:rPr>
      <w:fldChar w:fldCharType="separate"/>
    </w:r>
    <w:r w:rsidR="00B975DC">
      <w:rPr>
        <w:noProof/>
        <w:sz w:val="20"/>
      </w:rPr>
      <w:t>Amendments</w:t>
    </w:r>
    <w:r>
      <w:rPr>
        <w:sz w:val="20"/>
      </w:rPr>
      <w:fldChar w:fldCharType="end"/>
    </w:r>
  </w:p>
  <w:p w14:paraId="15766730" w14:textId="54464B6A" w:rsidR="00A67344" w:rsidRPr="00A961C4" w:rsidRDefault="00A67344" w:rsidP="0048364F">
    <w:pPr>
      <w:rPr>
        <w:b/>
        <w:sz w:val="20"/>
      </w:rPr>
    </w:pPr>
    <w:r>
      <w:rPr>
        <w:b/>
        <w:sz w:val="20"/>
      </w:rPr>
      <w:fldChar w:fldCharType="begin"/>
    </w:r>
    <w:r>
      <w:rPr>
        <w:b/>
        <w:sz w:val="20"/>
      </w:rPr>
      <w:instrText xml:space="preserve"> STYLEREF CharAmPartNo </w:instrText>
    </w:r>
    <w:r>
      <w:rPr>
        <w:b/>
        <w:sz w:val="20"/>
      </w:rPr>
      <w:fldChar w:fldCharType="end"/>
    </w:r>
    <w:r>
      <w:rPr>
        <w:sz w:val="20"/>
      </w:rPr>
      <w:fldChar w:fldCharType="begin"/>
    </w:r>
    <w:r>
      <w:rPr>
        <w:sz w:val="20"/>
      </w:rPr>
      <w:instrText xml:space="preserve"> STYLEREF CharAmPartText </w:instrText>
    </w:r>
    <w:r>
      <w:rPr>
        <w:sz w:val="20"/>
      </w:rPr>
      <w:fldChar w:fldCharType="end"/>
    </w:r>
  </w:p>
  <w:p w14:paraId="7A616963" w14:textId="77777777" w:rsidR="00A67344" w:rsidRPr="00A961C4" w:rsidRDefault="00A67344" w:rsidP="00D477C3">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5B6EA" w14:textId="0385A24F" w:rsidR="00A67344" w:rsidRPr="00A961C4" w:rsidRDefault="00A67344" w:rsidP="0048364F">
    <w:pPr>
      <w:jc w:val="right"/>
      <w:rPr>
        <w:sz w:val="20"/>
      </w:rPr>
    </w:pPr>
  </w:p>
  <w:p w14:paraId="2FB6E9E7" w14:textId="66E8568D" w:rsidR="00A67344" w:rsidRPr="00A961C4" w:rsidRDefault="00A67344"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b/>
        <w:sz w:val="20"/>
      </w:rPr>
      <w:fldChar w:fldCharType="begin"/>
    </w:r>
    <w:r w:rsidRPr="00A961C4">
      <w:rPr>
        <w:b/>
        <w:sz w:val="20"/>
      </w:rPr>
      <w:instrText xml:space="preserve"> STYLEREF CharAmPartNo </w:instrText>
    </w:r>
    <w:r w:rsidRPr="00A961C4">
      <w:rPr>
        <w:b/>
        <w:sz w:val="20"/>
      </w:rPr>
      <w:fldChar w:fldCharType="end"/>
    </w:r>
  </w:p>
  <w:p w14:paraId="173813EB" w14:textId="77777777" w:rsidR="00A67344" w:rsidRPr="00A961C4" w:rsidRDefault="00A67344" w:rsidP="00D477C3">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FAA89" w14:textId="77777777" w:rsidR="00A67344" w:rsidRPr="00A961C4" w:rsidRDefault="00A67344"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2DFCE" w14:textId="77777777" w:rsidR="002E46EE" w:rsidRPr="005F1388" w:rsidRDefault="002E46EE" w:rsidP="00D477C3">
    <w:pPr>
      <w:pStyle w:val="Header"/>
      <w:tabs>
        <w:tab w:val="clear" w:pos="4150"/>
        <w:tab w:val="clear" w:pos="8307"/>
      </w:tabs>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E3F42" w14:textId="77777777" w:rsidR="002E46EE" w:rsidRPr="005F1388" w:rsidRDefault="002E46EE"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E62053" w14:textId="77777777" w:rsidR="002E46EE" w:rsidRPr="00ED79B6" w:rsidRDefault="002E46EE" w:rsidP="00D477C3">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3F92F" w14:textId="77777777" w:rsidR="002E46EE" w:rsidRPr="00ED79B6" w:rsidRDefault="002E46EE" w:rsidP="00D477C3">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BF9DA" w14:textId="77777777" w:rsidR="002E46EE" w:rsidRPr="00ED79B6" w:rsidRDefault="002E46EE"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BFD55" w14:textId="44C4C266" w:rsidR="00282F0B" w:rsidRPr="00A961C4" w:rsidRDefault="00282F0B" w:rsidP="0048364F">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0A4299CC" w14:textId="6DA50C62" w:rsidR="00282F0B" w:rsidRPr="00A961C4" w:rsidRDefault="00282F0B" w:rsidP="0048364F">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3812DA96" w14:textId="77777777" w:rsidR="00282F0B" w:rsidRPr="00A961C4" w:rsidRDefault="00282F0B" w:rsidP="00D477C3">
    <w:pPr>
      <w:pBdr>
        <w:bottom w:val="single" w:sz="6" w:space="1" w:color="auto"/>
      </w:pBdr>
      <w:spacing w:after="12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EAA6" w14:textId="24FB07F2" w:rsidR="00282F0B" w:rsidRPr="00A961C4" w:rsidRDefault="00282F0B" w:rsidP="0048364F">
    <w:pPr>
      <w:jc w:val="right"/>
      <w:rPr>
        <w:sz w:val="20"/>
      </w:rPr>
    </w:pPr>
    <w:r w:rsidRPr="00A961C4">
      <w:rPr>
        <w:sz w:val="20"/>
      </w:rPr>
      <w:fldChar w:fldCharType="begin"/>
    </w:r>
    <w:r w:rsidRPr="00A961C4">
      <w:rPr>
        <w:sz w:val="20"/>
      </w:rPr>
      <w:instrText xml:space="preserve"> STYLEREF CharAmSchText </w:instrText>
    </w:r>
    <w:r w:rsidR="00B975DC">
      <w:rPr>
        <w:sz w:val="20"/>
      </w:rPr>
      <w:fldChar w:fldCharType="separate"/>
    </w:r>
    <w:r w:rsidR="009D4F5B">
      <w:rPr>
        <w:noProof/>
        <w:sz w:val="20"/>
      </w:rPr>
      <w:t>Amendments</w: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sidR="00B975DC">
      <w:rPr>
        <w:b/>
        <w:sz w:val="20"/>
      </w:rPr>
      <w:fldChar w:fldCharType="separate"/>
    </w:r>
    <w:r w:rsidR="009D4F5B">
      <w:rPr>
        <w:b/>
        <w:noProof/>
        <w:sz w:val="20"/>
      </w:rPr>
      <w:t>Schedule 1</w:t>
    </w:r>
    <w:r>
      <w:rPr>
        <w:b/>
        <w:sz w:val="20"/>
      </w:rPr>
      <w:fldChar w:fldCharType="end"/>
    </w:r>
  </w:p>
  <w:p w14:paraId="5AF2B087" w14:textId="0F595B72" w:rsidR="00282F0B" w:rsidRPr="00A961C4" w:rsidRDefault="00282F0B" w:rsidP="0048364F">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2B6B1D29" w14:textId="77777777" w:rsidR="00282F0B" w:rsidRPr="00A961C4" w:rsidRDefault="00282F0B" w:rsidP="00D477C3">
    <w:pPr>
      <w:pBdr>
        <w:bottom w:val="single" w:sz="6" w:space="1" w:color="auto"/>
      </w:pBdr>
      <w:spacing w:after="120"/>
      <w:jc w:val="right"/>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59888" w14:textId="77777777" w:rsidR="00282F0B" w:rsidRPr="00A961C4" w:rsidRDefault="00282F0B" w:rsidP="0048364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211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275A"/>
    <w:rsid w:val="000000A9"/>
    <w:rsid w:val="00001F47"/>
    <w:rsid w:val="000062EB"/>
    <w:rsid w:val="00010F5D"/>
    <w:rsid w:val="000113BC"/>
    <w:rsid w:val="0001303B"/>
    <w:rsid w:val="000136AF"/>
    <w:rsid w:val="00020278"/>
    <w:rsid w:val="00025F43"/>
    <w:rsid w:val="0003535C"/>
    <w:rsid w:val="00035B38"/>
    <w:rsid w:val="000417C9"/>
    <w:rsid w:val="00044957"/>
    <w:rsid w:val="0004515F"/>
    <w:rsid w:val="00052C16"/>
    <w:rsid w:val="00053699"/>
    <w:rsid w:val="00055B5C"/>
    <w:rsid w:val="00056391"/>
    <w:rsid w:val="00060FF9"/>
    <w:rsid w:val="000614BF"/>
    <w:rsid w:val="000868A2"/>
    <w:rsid w:val="00091724"/>
    <w:rsid w:val="00094F6C"/>
    <w:rsid w:val="000A26CD"/>
    <w:rsid w:val="000A3D20"/>
    <w:rsid w:val="000A571B"/>
    <w:rsid w:val="000A5905"/>
    <w:rsid w:val="000B1FD2"/>
    <w:rsid w:val="000C012D"/>
    <w:rsid w:val="000C75DB"/>
    <w:rsid w:val="000D05EF"/>
    <w:rsid w:val="000D1001"/>
    <w:rsid w:val="000E3960"/>
    <w:rsid w:val="000E4CC6"/>
    <w:rsid w:val="000E7768"/>
    <w:rsid w:val="000F21C1"/>
    <w:rsid w:val="000F316E"/>
    <w:rsid w:val="000F6495"/>
    <w:rsid w:val="000F6E14"/>
    <w:rsid w:val="0010035A"/>
    <w:rsid w:val="00101D90"/>
    <w:rsid w:val="0010745C"/>
    <w:rsid w:val="00111734"/>
    <w:rsid w:val="00113BD1"/>
    <w:rsid w:val="00116D5E"/>
    <w:rsid w:val="001217F1"/>
    <w:rsid w:val="00122206"/>
    <w:rsid w:val="00132B8E"/>
    <w:rsid w:val="00140354"/>
    <w:rsid w:val="001403A2"/>
    <w:rsid w:val="00150DDC"/>
    <w:rsid w:val="0015646E"/>
    <w:rsid w:val="0016385F"/>
    <w:rsid w:val="001643C9"/>
    <w:rsid w:val="00165568"/>
    <w:rsid w:val="00166C2F"/>
    <w:rsid w:val="001716C9"/>
    <w:rsid w:val="00173363"/>
    <w:rsid w:val="00173B94"/>
    <w:rsid w:val="00181449"/>
    <w:rsid w:val="001854B4"/>
    <w:rsid w:val="00193814"/>
    <w:rsid w:val="00193915"/>
    <w:rsid w:val="001939E1"/>
    <w:rsid w:val="00195382"/>
    <w:rsid w:val="001A3658"/>
    <w:rsid w:val="001A759A"/>
    <w:rsid w:val="001B26AA"/>
    <w:rsid w:val="001B3AD1"/>
    <w:rsid w:val="001B633C"/>
    <w:rsid w:val="001B7A5D"/>
    <w:rsid w:val="001C2418"/>
    <w:rsid w:val="001C69C4"/>
    <w:rsid w:val="001D4F15"/>
    <w:rsid w:val="001D6168"/>
    <w:rsid w:val="001E3590"/>
    <w:rsid w:val="001E7252"/>
    <w:rsid w:val="001E7407"/>
    <w:rsid w:val="001F07BA"/>
    <w:rsid w:val="00201D27"/>
    <w:rsid w:val="00202618"/>
    <w:rsid w:val="00206083"/>
    <w:rsid w:val="00214DD8"/>
    <w:rsid w:val="0022249C"/>
    <w:rsid w:val="002253B4"/>
    <w:rsid w:val="00232AAA"/>
    <w:rsid w:val="002340B5"/>
    <w:rsid w:val="00240749"/>
    <w:rsid w:val="00242CD5"/>
    <w:rsid w:val="00245FB8"/>
    <w:rsid w:val="0025064F"/>
    <w:rsid w:val="00257F25"/>
    <w:rsid w:val="00263820"/>
    <w:rsid w:val="002723AC"/>
    <w:rsid w:val="00273F2B"/>
    <w:rsid w:val="00275197"/>
    <w:rsid w:val="00277B6C"/>
    <w:rsid w:val="00282F0B"/>
    <w:rsid w:val="00286F15"/>
    <w:rsid w:val="00293B89"/>
    <w:rsid w:val="00297ECB"/>
    <w:rsid w:val="002B5A30"/>
    <w:rsid w:val="002D043A"/>
    <w:rsid w:val="002D09B8"/>
    <w:rsid w:val="002D395A"/>
    <w:rsid w:val="002D52FA"/>
    <w:rsid w:val="002D628A"/>
    <w:rsid w:val="002D6F15"/>
    <w:rsid w:val="002E46EE"/>
    <w:rsid w:val="002F2A1F"/>
    <w:rsid w:val="003050D2"/>
    <w:rsid w:val="00307D24"/>
    <w:rsid w:val="00310525"/>
    <w:rsid w:val="0032375A"/>
    <w:rsid w:val="00330963"/>
    <w:rsid w:val="00332E21"/>
    <w:rsid w:val="0033385D"/>
    <w:rsid w:val="00341533"/>
    <w:rsid w:val="003415D3"/>
    <w:rsid w:val="00344247"/>
    <w:rsid w:val="00350417"/>
    <w:rsid w:val="00352B0F"/>
    <w:rsid w:val="00354A04"/>
    <w:rsid w:val="00362AA4"/>
    <w:rsid w:val="00373874"/>
    <w:rsid w:val="00375C6C"/>
    <w:rsid w:val="003776DB"/>
    <w:rsid w:val="00392B67"/>
    <w:rsid w:val="003A7B3C"/>
    <w:rsid w:val="003B4E3D"/>
    <w:rsid w:val="003C5F2B"/>
    <w:rsid w:val="003D0BFE"/>
    <w:rsid w:val="003D47CA"/>
    <w:rsid w:val="003D5700"/>
    <w:rsid w:val="003D5C34"/>
    <w:rsid w:val="003E0458"/>
    <w:rsid w:val="003E373D"/>
    <w:rsid w:val="003F7A8A"/>
    <w:rsid w:val="00400A29"/>
    <w:rsid w:val="00403B7D"/>
    <w:rsid w:val="00405579"/>
    <w:rsid w:val="00410B8E"/>
    <w:rsid w:val="004116CD"/>
    <w:rsid w:val="0041318B"/>
    <w:rsid w:val="00415A16"/>
    <w:rsid w:val="00416E59"/>
    <w:rsid w:val="00417BFA"/>
    <w:rsid w:val="00421FC1"/>
    <w:rsid w:val="004229C7"/>
    <w:rsid w:val="00424CA9"/>
    <w:rsid w:val="004279E6"/>
    <w:rsid w:val="00436785"/>
    <w:rsid w:val="00436BD5"/>
    <w:rsid w:val="00437E4B"/>
    <w:rsid w:val="0044291A"/>
    <w:rsid w:val="00447EEF"/>
    <w:rsid w:val="004578BB"/>
    <w:rsid w:val="004628A1"/>
    <w:rsid w:val="004639CE"/>
    <w:rsid w:val="00475DE9"/>
    <w:rsid w:val="0048196B"/>
    <w:rsid w:val="0048364F"/>
    <w:rsid w:val="00486D05"/>
    <w:rsid w:val="00486E0D"/>
    <w:rsid w:val="00496F97"/>
    <w:rsid w:val="004A017D"/>
    <w:rsid w:val="004A5181"/>
    <w:rsid w:val="004B0D2C"/>
    <w:rsid w:val="004B3AA0"/>
    <w:rsid w:val="004B711A"/>
    <w:rsid w:val="004C7C8C"/>
    <w:rsid w:val="004D0608"/>
    <w:rsid w:val="004E2A4A"/>
    <w:rsid w:val="004E39DF"/>
    <w:rsid w:val="004F0D23"/>
    <w:rsid w:val="004F1FAC"/>
    <w:rsid w:val="004F4E63"/>
    <w:rsid w:val="0050107C"/>
    <w:rsid w:val="0050176C"/>
    <w:rsid w:val="00505190"/>
    <w:rsid w:val="005131A4"/>
    <w:rsid w:val="00516B8D"/>
    <w:rsid w:val="005175F3"/>
    <w:rsid w:val="00517F27"/>
    <w:rsid w:val="00537FBC"/>
    <w:rsid w:val="00543469"/>
    <w:rsid w:val="005439DF"/>
    <w:rsid w:val="005476AF"/>
    <w:rsid w:val="00550B7A"/>
    <w:rsid w:val="00551B54"/>
    <w:rsid w:val="00560437"/>
    <w:rsid w:val="00562B12"/>
    <w:rsid w:val="00567063"/>
    <w:rsid w:val="00574F5D"/>
    <w:rsid w:val="00575AEB"/>
    <w:rsid w:val="00584811"/>
    <w:rsid w:val="005904DD"/>
    <w:rsid w:val="00593AA6"/>
    <w:rsid w:val="00594161"/>
    <w:rsid w:val="00594749"/>
    <w:rsid w:val="005A0D92"/>
    <w:rsid w:val="005B1AA9"/>
    <w:rsid w:val="005B4067"/>
    <w:rsid w:val="005C3F41"/>
    <w:rsid w:val="005C6658"/>
    <w:rsid w:val="005D2139"/>
    <w:rsid w:val="005E152A"/>
    <w:rsid w:val="005F4D4F"/>
    <w:rsid w:val="005F7292"/>
    <w:rsid w:val="00600219"/>
    <w:rsid w:val="00604B8B"/>
    <w:rsid w:val="006167FD"/>
    <w:rsid w:val="00625D96"/>
    <w:rsid w:val="00627817"/>
    <w:rsid w:val="00633ED4"/>
    <w:rsid w:val="00634E86"/>
    <w:rsid w:val="0063531B"/>
    <w:rsid w:val="00641DE5"/>
    <w:rsid w:val="0065478B"/>
    <w:rsid w:val="00656B40"/>
    <w:rsid w:val="00656F0C"/>
    <w:rsid w:val="006736E5"/>
    <w:rsid w:val="00677CC2"/>
    <w:rsid w:val="00681F92"/>
    <w:rsid w:val="006842C2"/>
    <w:rsid w:val="00685F42"/>
    <w:rsid w:val="006861BD"/>
    <w:rsid w:val="006911F9"/>
    <w:rsid w:val="0069207B"/>
    <w:rsid w:val="00693484"/>
    <w:rsid w:val="006A4B23"/>
    <w:rsid w:val="006A7695"/>
    <w:rsid w:val="006B10C4"/>
    <w:rsid w:val="006B228C"/>
    <w:rsid w:val="006B2C5B"/>
    <w:rsid w:val="006B39BB"/>
    <w:rsid w:val="006C2874"/>
    <w:rsid w:val="006C7F8C"/>
    <w:rsid w:val="006D1793"/>
    <w:rsid w:val="006D1C94"/>
    <w:rsid w:val="006D380D"/>
    <w:rsid w:val="006D70FA"/>
    <w:rsid w:val="006E0135"/>
    <w:rsid w:val="006E303A"/>
    <w:rsid w:val="006E7BE3"/>
    <w:rsid w:val="006F3777"/>
    <w:rsid w:val="006F7E19"/>
    <w:rsid w:val="00700B2C"/>
    <w:rsid w:val="00712D8D"/>
    <w:rsid w:val="00713084"/>
    <w:rsid w:val="00714330"/>
    <w:rsid w:val="00714B26"/>
    <w:rsid w:val="00724425"/>
    <w:rsid w:val="0072591E"/>
    <w:rsid w:val="0073023B"/>
    <w:rsid w:val="00731E00"/>
    <w:rsid w:val="007440B7"/>
    <w:rsid w:val="00752AE2"/>
    <w:rsid w:val="007634AD"/>
    <w:rsid w:val="00763672"/>
    <w:rsid w:val="0076399D"/>
    <w:rsid w:val="00763C11"/>
    <w:rsid w:val="007715C9"/>
    <w:rsid w:val="007742A1"/>
    <w:rsid w:val="00774EDD"/>
    <w:rsid w:val="007757EC"/>
    <w:rsid w:val="007945A2"/>
    <w:rsid w:val="007A66B2"/>
    <w:rsid w:val="007B039B"/>
    <w:rsid w:val="007B0B14"/>
    <w:rsid w:val="007B1A11"/>
    <w:rsid w:val="007B30AA"/>
    <w:rsid w:val="007D265F"/>
    <w:rsid w:val="007D30BE"/>
    <w:rsid w:val="007D3CED"/>
    <w:rsid w:val="007D7E09"/>
    <w:rsid w:val="007E25AD"/>
    <w:rsid w:val="007E7D4A"/>
    <w:rsid w:val="008006CC"/>
    <w:rsid w:val="00803761"/>
    <w:rsid w:val="00807DF7"/>
    <w:rsid w:val="00807F18"/>
    <w:rsid w:val="00810B34"/>
    <w:rsid w:val="00824903"/>
    <w:rsid w:val="00824C74"/>
    <w:rsid w:val="00826462"/>
    <w:rsid w:val="00831E8D"/>
    <w:rsid w:val="00833A82"/>
    <w:rsid w:val="00856A31"/>
    <w:rsid w:val="00857D6B"/>
    <w:rsid w:val="008754D0"/>
    <w:rsid w:val="00877D48"/>
    <w:rsid w:val="00882F08"/>
    <w:rsid w:val="00883781"/>
    <w:rsid w:val="00884206"/>
    <w:rsid w:val="00885570"/>
    <w:rsid w:val="00890542"/>
    <w:rsid w:val="00893958"/>
    <w:rsid w:val="00895AFE"/>
    <w:rsid w:val="008A079A"/>
    <w:rsid w:val="008A2E77"/>
    <w:rsid w:val="008A2E87"/>
    <w:rsid w:val="008A4B45"/>
    <w:rsid w:val="008B6E8D"/>
    <w:rsid w:val="008C3DD4"/>
    <w:rsid w:val="008C6F6F"/>
    <w:rsid w:val="008D0EE0"/>
    <w:rsid w:val="008D2950"/>
    <w:rsid w:val="008D3E94"/>
    <w:rsid w:val="008F2527"/>
    <w:rsid w:val="008F4F1C"/>
    <w:rsid w:val="008F6EAE"/>
    <w:rsid w:val="008F77C4"/>
    <w:rsid w:val="009021CC"/>
    <w:rsid w:val="00905392"/>
    <w:rsid w:val="009103F3"/>
    <w:rsid w:val="0091559E"/>
    <w:rsid w:val="00916286"/>
    <w:rsid w:val="00932377"/>
    <w:rsid w:val="009340FB"/>
    <w:rsid w:val="00935310"/>
    <w:rsid w:val="009430F3"/>
    <w:rsid w:val="00946CEC"/>
    <w:rsid w:val="009573FF"/>
    <w:rsid w:val="00961CB2"/>
    <w:rsid w:val="00966190"/>
    <w:rsid w:val="00967042"/>
    <w:rsid w:val="009670AA"/>
    <w:rsid w:val="00971F50"/>
    <w:rsid w:val="00975E55"/>
    <w:rsid w:val="0098255A"/>
    <w:rsid w:val="009845BE"/>
    <w:rsid w:val="00986941"/>
    <w:rsid w:val="009966DB"/>
    <w:rsid w:val="009969C9"/>
    <w:rsid w:val="009A1DD6"/>
    <w:rsid w:val="009A6A75"/>
    <w:rsid w:val="009B3901"/>
    <w:rsid w:val="009B442E"/>
    <w:rsid w:val="009B4BC3"/>
    <w:rsid w:val="009D4F5B"/>
    <w:rsid w:val="009E0ADA"/>
    <w:rsid w:val="009E2406"/>
    <w:rsid w:val="009E6F1D"/>
    <w:rsid w:val="009F400F"/>
    <w:rsid w:val="009F76A7"/>
    <w:rsid w:val="009F7BD0"/>
    <w:rsid w:val="00A048FF"/>
    <w:rsid w:val="00A075E0"/>
    <w:rsid w:val="00A10775"/>
    <w:rsid w:val="00A13EC9"/>
    <w:rsid w:val="00A16333"/>
    <w:rsid w:val="00A20ED2"/>
    <w:rsid w:val="00A231E2"/>
    <w:rsid w:val="00A26801"/>
    <w:rsid w:val="00A36C48"/>
    <w:rsid w:val="00A41E0B"/>
    <w:rsid w:val="00A503C1"/>
    <w:rsid w:val="00A55631"/>
    <w:rsid w:val="00A61D3E"/>
    <w:rsid w:val="00A64912"/>
    <w:rsid w:val="00A67344"/>
    <w:rsid w:val="00A70A74"/>
    <w:rsid w:val="00A83E81"/>
    <w:rsid w:val="00A90174"/>
    <w:rsid w:val="00A92432"/>
    <w:rsid w:val="00A92C7A"/>
    <w:rsid w:val="00AA3795"/>
    <w:rsid w:val="00AC0D96"/>
    <w:rsid w:val="00AC1E75"/>
    <w:rsid w:val="00AC43A8"/>
    <w:rsid w:val="00AD1D81"/>
    <w:rsid w:val="00AD5294"/>
    <w:rsid w:val="00AD5641"/>
    <w:rsid w:val="00AD6614"/>
    <w:rsid w:val="00AE1088"/>
    <w:rsid w:val="00AE4A87"/>
    <w:rsid w:val="00AE5385"/>
    <w:rsid w:val="00AF0FFA"/>
    <w:rsid w:val="00AF1BA4"/>
    <w:rsid w:val="00B009F0"/>
    <w:rsid w:val="00B032D8"/>
    <w:rsid w:val="00B116E4"/>
    <w:rsid w:val="00B11D61"/>
    <w:rsid w:val="00B20C4D"/>
    <w:rsid w:val="00B32BE2"/>
    <w:rsid w:val="00B33B3C"/>
    <w:rsid w:val="00B42D24"/>
    <w:rsid w:val="00B43472"/>
    <w:rsid w:val="00B452EB"/>
    <w:rsid w:val="00B6122E"/>
    <w:rsid w:val="00B6382D"/>
    <w:rsid w:val="00B6441C"/>
    <w:rsid w:val="00B66DA7"/>
    <w:rsid w:val="00B7426F"/>
    <w:rsid w:val="00B765D2"/>
    <w:rsid w:val="00B8142A"/>
    <w:rsid w:val="00B81E6C"/>
    <w:rsid w:val="00B96A95"/>
    <w:rsid w:val="00B975DC"/>
    <w:rsid w:val="00BA2636"/>
    <w:rsid w:val="00BA3DC5"/>
    <w:rsid w:val="00BA4BC7"/>
    <w:rsid w:val="00BA5026"/>
    <w:rsid w:val="00BB2161"/>
    <w:rsid w:val="00BB40BF"/>
    <w:rsid w:val="00BC0CD1"/>
    <w:rsid w:val="00BC18FC"/>
    <w:rsid w:val="00BC67DC"/>
    <w:rsid w:val="00BE719A"/>
    <w:rsid w:val="00BE720A"/>
    <w:rsid w:val="00BF0461"/>
    <w:rsid w:val="00BF4944"/>
    <w:rsid w:val="00BF56D4"/>
    <w:rsid w:val="00BF74A6"/>
    <w:rsid w:val="00C04409"/>
    <w:rsid w:val="00C064E6"/>
    <w:rsid w:val="00C067E5"/>
    <w:rsid w:val="00C164CA"/>
    <w:rsid w:val="00C176CF"/>
    <w:rsid w:val="00C207E0"/>
    <w:rsid w:val="00C25D70"/>
    <w:rsid w:val="00C26734"/>
    <w:rsid w:val="00C42BF8"/>
    <w:rsid w:val="00C432F2"/>
    <w:rsid w:val="00C460AE"/>
    <w:rsid w:val="00C50043"/>
    <w:rsid w:val="00C54E84"/>
    <w:rsid w:val="00C60E7B"/>
    <w:rsid w:val="00C61378"/>
    <w:rsid w:val="00C61E6A"/>
    <w:rsid w:val="00C6275A"/>
    <w:rsid w:val="00C7573B"/>
    <w:rsid w:val="00C76CF3"/>
    <w:rsid w:val="00C93C4C"/>
    <w:rsid w:val="00CA3E8F"/>
    <w:rsid w:val="00CA6FA9"/>
    <w:rsid w:val="00CB103E"/>
    <w:rsid w:val="00CB4B0A"/>
    <w:rsid w:val="00CC11D2"/>
    <w:rsid w:val="00CC1B59"/>
    <w:rsid w:val="00CD314B"/>
    <w:rsid w:val="00CE1283"/>
    <w:rsid w:val="00CE1E31"/>
    <w:rsid w:val="00CF0BB2"/>
    <w:rsid w:val="00CF1062"/>
    <w:rsid w:val="00CF52B4"/>
    <w:rsid w:val="00D00EAA"/>
    <w:rsid w:val="00D01516"/>
    <w:rsid w:val="00D05BC1"/>
    <w:rsid w:val="00D13441"/>
    <w:rsid w:val="00D243A3"/>
    <w:rsid w:val="00D2581E"/>
    <w:rsid w:val="00D377DA"/>
    <w:rsid w:val="00D406B6"/>
    <w:rsid w:val="00D42A4F"/>
    <w:rsid w:val="00D46B54"/>
    <w:rsid w:val="00D477C3"/>
    <w:rsid w:val="00D47F02"/>
    <w:rsid w:val="00D52EFE"/>
    <w:rsid w:val="00D63EF6"/>
    <w:rsid w:val="00D672FA"/>
    <w:rsid w:val="00D70DFB"/>
    <w:rsid w:val="00D71CB0"/>
    <w:rsid w:val="00D71D76"/>
    <w:rsid w:val="00D73029"/>
    <w:rsid w:val="00D766DF"/>
    <w:rsid w:val="00D86210"/>
    <w:rsid w:val="00DA17F5"/>
    <w:rsid w:val="00DB5E3A"/>
    <w:rsid w:val="00DB78F4"/>
    <w:rsid w:val="00DC0337"/>
    <w:rsid w:val="00DC7F28"/>
    <w:rsid w:val="00DD17CC"/>
    <w:rsid w:val="00DD7996"/>
    <w:rsid w:val="00DE2002"/>
    <w:rsid w:val="00DE3D82"/>
    <w:rsid w:val="00DE75B7"/>
    <w:rsid w:val="00DF6795"/>
    <w:rsid w:val="00DF7AE9"/>
    <w:rsid w:val="00E05704"/>
    <w:rsid w:val="00E06EC4"/>
    <w:rsid w:val="00E07D4E"/>
    <w:rsid w:val="00E119E7"/>
    <w:rsid w:val="00E15874"/>
    <w:rsid w:val="00E15FF5"/>
    <w:rsid w:val="00E24D66"/>
    <w:rsid w:val="00E26B8B"/>
    <w:rsid w:val="00E34F80"/>
    <w:rsid w:val="00E452DF"/>
    <w:rsid w:val="00E47E94"/>
    <w:rsid w:val="00E54292"/>
    <w:rsid w:val="00E57355"/>
    <w:rsid w:val="00E60C83"/>
    <w:rsid w:val="00E74DC7"/>
    <w:rsid w:val="00E77D2A"/>
    <w:rsid w:val="00E8127F"/>
    <w:rsid w:val="00E845E6"/>
    <w:rsid w:val="00E84ECA"/>
    <w:rsid w:val="00E85648"/>
    <w:rsid w:val="00E87699"/>
    <w:rsid w:val="00E947C6"/>
    <w:rsid w:val="00EA5C7A"/>
    <w:rsid w:val="00EB510C"/>
    <w:rsid w:val="00EB6BDA"/>
    <w:rsid w:val="00ED492F"/>
    <w:rsid w:val="00ED6589"/>
    <w:rsid w:val="00ED6BFA"/>
    <w:rsid w:val="00EE1694"/>
    <w:rsid w:val="00EE3E36"/>
    <w:rsid w:val="00EF2E3A"/>
    <w:rsid w:val="00EF4F23"/>
    <w:rsid w:val="00EF72BB"/>
    <w:rsid w:val="00EF7CC1"/>
    <w:rsid w:val="00F047E2"/>
    <w:rsid w:val="00F0623D"/>
    <w:rsid w:val="00F07502"/>
    <w:rsid w:val="00F078DC"/>
    <w:rsid w:val="00F13E86"/>
    <w:rsid w:val="00F17B00"/>
    <w:rsid w:val="00F207B8"/>
    <w:rsid w:val="00F24AA0"/>
    <w:rsid w:val="00F50AB0"/>
    <w:rsid w:val="00F53CD2"/>
    <w:rsid w:val="00F57059"/>
    <w:rsid w:val="00F677A9"/>
    <w:rsid w:val="00F67D27"/>
    <w:rsid w:val="00F82061"/>
    <w:rsid w:val="00F84CF5"/>
    <w:rsid w:val="00F92D35"/>
    <w:rsid w:val="00F941F7"/>
    <w:rsid w:val="00FA07C6"/>
    <w:rsid w:val="00FA420B"/>
    <w:rsid w:val="00FA6C1B"/>
    <w:rsid w:val="00FB1B27"/>
    <w:rsid w:val="00FD1E13"/>
    <w:rsid w:val="00FD4D87"/>
    <w:rsid w:val="00FD627C"/>
    <w:rsid w:val="00FD7EB1"/>
    <w:rsid w:val="00FE41C9"/>
    <w:rsid w:val="00FE7F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1185"/>
    <o:shapelayout v:ext="edit">
      <o:idmap v:ext="edit" data="1"/>
    </o:shapelayout>
  </w:shapeDefaults>
  <w:decimalSymbol w:val="."/>
  <w:listSeparator w:val=","/>
  <w14:docId w14:val="2A9CD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D265F"/>
    <w:pPr>
      <w:spacing w:line="260" w:lineRule="atLeast"/>
    </w:pPr>
    <w:rPr>
      <w:sz w:val="22"/>
    </w:rPr>
  </w:style>
  <w:style w:type="paragraph" w:styleId="Heading1">
    <w:name w:val="heading 1"/>
    <w:basedOn w:val="Normal"/>
    <w:next w:val="Normal"/>
    <w:link w:val="Heading1Char"/>
    <w:uiPriority w:val="9"/>
    <w:qFormat/>
    <w:rsid w:val="00C6275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C6275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C6275A"/>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C6275A"/>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C6275A"/>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6275A"/>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C6275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C6275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C6275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7D265F"/>
  </w:style>
  <w:style w:type="paragraph" w:customStyle="1" w:styleId="OPCParaBase">
    <w:name w:val="OPCParaBase"/>
    <w:qFormat/>
    <w:rsid w:val="007D265F"/>
    <w:pPr>
      <w:spacing w:line="260" w:lineRule="atLeast"/>
    </w:pPr>
    <w:rPr>
      <w:rFonts w:eastAsia="Times New Roman" w:cs="Times New Roman"/>
      <w:sz w:val="22"/>
      <w:lang w:eastAsia="en-AU"/>
    </w:rPr>
  </w:style>
  <w:style w:type="paragraph" w:customStyle="1" w:styleId="ShortT">
    <w:name w:val="ShortT"/>
    <w:basedOn w:val="OPCParaBase"/>
    <w:next w:val="Normal"/>
    <w:qFormat/>
    <w:rsid w:val="007D265F"/>
    <w:pPr>
      <w:spacing w:line="240" w:lineRule="auto"/>
    </w:pPr>
    <w:rPr>
      <w:b/>
      <w:sz w:val="40"/>
    </w:rPr>
  </w:style>
  <w:style w:type="paragraph" w:customStyle="1" w:styleId="ActHead1">
    <w:name w:val="ActHead 1"/>
    <w:aliases w:val="c"/>
    <w:basedOn w:val="OPCParaBase"/>
    <w:next w:val="Normal"/>
    <w:qFormat/>
    <w:rsid w:val="007D265F"/>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7D265F"/>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7D265F"/>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7D265F"/>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7D265F"/>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7D265F"/>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7D265F"/>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7D265F"/>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7D265F"/>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7D265F"/>
  </w:style>
  <w:style w:type="paragraph" w:customStyle="1" w:styleId="Blocks">
    <w:name w:val="Blocks"/>
    <w:aliases w:val="bb"/>
    <w:basedOn w:val="OPCParaBase"/>
    <w:qFormat/>
    <w:rsid w:val="007D265F"/>
    <w:pPr>
      <w:spacing w:line="240" w:lineRule="auto"/>
    </w:pPr>
    <w:rPr>
      <w:sz w:val="24"/>
    </w:rPr>
  </w:style>
  <w:style w:type="paragraph" w:customStyle="1" w:styleId="BoxText">
    <w:name w:val="BoxText"/>
    <w:aliases w:val="bt"/>
    <w:basedOn w:val="OPCParaBase"/>
    <w:qFormat/>
    <w:rsid w:val="007D265F"/>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7D265F"/>
    <w:rPr>
      <w:b/>
    </w:rPr>
  </w:style>
  <w:style w:type="paragraph" w:customStyle="1" w:styleId="BoxHeadItalic">
    <w:name w:val="BoxHeadItalic"/>
    <w:aliases w:val="bhi"/>
    <w:basedOn w:val="BoxText"/>
    <w:next w:val="BoxStep"/>
    <w:qFormat/>
    <w:rsid w:val="007D265F"/>
    <w:rPr>
      <w:i/>
    </w:rPr>
  </w:style>
  <w:style w:type="paragraph" w:customStyle="1" w:styleId="BoxList">
    <w:name w:val="BoxList"/>
    <w:aliases w:val="bl"/>
    <w:basedOn w:val="BoxText"/>
    <w:qFormat/>
    <w:rsid w:val="007D265F"/>
    <w:pPr>
      <w:ind w:left="1559" w:hanging="425"/>
    </w:pPr>
  </w:style>
  <w:style w:type="paragraph" w:customStyle="1" w:styleId="BoxNote">
    <w:name w:val="BoxNote"/>
    <w:aliases w:val="bn"/>
    <w:basedOn w:val="BoxText"/>
    <w:qFormat/>
    <w:rsid w:val="007D265F"/>
    <w:pPr>
      <w:tabs>
        <w:tab w:val="left" w:pos="1985"/>
      </w:tabs>
      <w:spacing w:before="122" w:line="198" w:lineRule="exact"/>
      <w:ind w:left="2948" w:hanging="1814"/>
    </w:pPr>
    <w:rPr>
      <w:sz w:val="18"/>
    </w:rPr>
  </w:style>
  <w:style w:type="paragraph" w:customStyle="1" w:styleId="BoxPara">
    <w:name w:val="BoxPara"/>
    <w:aliases w:val="bp"/>
    <w:basedOn w:val="BoxText"/>
    <w:qFormat/>
    <w:rsid w:val="007D265F"/>
    <w:pPr>
      <w:tabs>
        <w:tab w:val="right" w:pos="2268"/>
      </w:tabs>
      <w:ind w:left="2552" w:hanging="1418"/>
    </w:pPr>
  </w:style>
  <w:style w:type="paragraph" w:customStyle="1" w:styleId="BoxStep">
    <w:name w:val="BoxStep"/>
    <w:aliases w:val="bs"/>
    <w:basedOn w:val="BoxText"/>
    <w:qFormat/>
    <w:rsid w:val="007D265F"/>
    <w:pPr>
      <w:ind w:left="1985" w:hanging="851"/>
    </w:pPr>
  </w:style>
  <w:style w:type="character" w:customStyle="1" w:styleId="CharAmPartNo">
    <w:name w:val="CharAmPartNo"/>
    <w:basedOn w:val="OPCCharBase"/>
    <w:qFormat/>
    <w:rsid w:val="007D265F"/>
  </w:style>
  <w:style w:type="character" w:customStyle="1" w:styleId="CharAmPartText">
    <w:name w:val="CharAmPartText"/>
    <w:basedOn w:val="OPCCharBase"/>
    <w:qFormat/>
    <w:rsid w:val="007D265F"/>
  </w:style>
  <w:style w:type="character" w:customStyle="1" w:styleId="CharAmSchNo">
    <w:name w:val="CharAmSchNo"/>
    <w:basedOn w:val="OPCCharBase"/>
    <w:qFormat/>
    <w:rsid w:val="007D265F"/>
  </w:style>
  <w:style w:type="character" w:customStyle="1" w:styleId="CharAmSchText">
    <w:name w:val="CharAmSchText"/>
    <w:basedOn w:val="OPCCharBase"/>
    <w:qFormat/>
    <w:rsid w:val="007D265F"/>
  </w:style>
  <w:style w:type="character" w:customStyle="1" w:styleId="CharBoldItalic">
    <w:name w:val="CharBoldItalic"/>
    <w:basedOn w:val="OPCCharBase"/>
    <w:uiPriority w:val="1"/>
    <w:qFormat/>
    <w:rsid w:val="007D265F"/>
    <w:rPr>
      <w:b/>
      <w:i/>
    </w:rPr>
  </w:style>
  <w:style w:type="character" w:customStyle="1" w:styleId="CharChapNo">
    <w:name w:val="CharChapNo"/>
    <w:basedOn w:val="OPCCharBase"/>
    <w:uiPriority w:val="1"/>
    <w:qFormat/>
    <w:rsid w:val="007D265F"/>
  </w:style>
  <w:style w:type="character" w:customStyle="1" w:styleId="CharChapText">
    <w:name w:val="CharChapText"/>
    <w:basedOn w:val="OPCCharBase"/>
    <w:uiPriority w:val="1"/>
    <w:qFormat/>
    <w:rsid w:val="007D265F"/>
  </w:style>
  <w:style w:type="character" w:customStyle="1" w:styleId="CharDivNo">
    <w:name w:val="CharDivNo"/>
    <w:basedOn w:val="OPCCharBase"/>
    <w:uiPriority w:val="1"/>
    <w:qFormat/>
    <w:rsid w:val="007D265F"/>
  </w:style>
  <w:style w:type="character" w:customStyle="1" w:styleId="CharDivText">
    <w:name w:val="CharDivText"/>
    <w:basedOn w:val="OPCCharBase"/>
    <w:uiPriority w:val="1"/>
    <w:qFormat/>
    <w:rsid w:val="007D265F"/>
  </w:style>
  <w:style w:type="character" w:customStyle="1" w:styleId="CharItalic">
    <w:name w:val="CharItalic"/>
    <w:basedOn w:val="OPCCharBase"/>
    <w:uiPriority w:val="1"/>
    <w:qFormat/>
    <w:rsid w:val="007D265F"/>
    <w:rPr>
      <w:i/>
    </w:rPr>
  </w:style>
  <w:style w:type="character" w:customStyle="1" w:styleId="CharPartNo">
    <w:name w:val="CharPartNo"/>
    <w:basedOn w:val="OPCCharBase"/>
    <w:uiPriority w:val="1"/>
    <w:qFormat/>
    <w:rsid w:val="007D265F"/>
  </w:style>
  <w:style w:type="character" w:customStyle="1" w:styleId="CharPartText">
    <w:name w:val="CharPartText"/>
    <w:basedOn w:val="OPCCharBase"/>
    <w:uiPriority w:val="1"/>
    <w:qFormat/>
    <w:rsid w:val="007D265F"/>
  </w:style>
  <w:style w:type="character" w:customStyle="1" w:styleId="CharSectno">
    <w:name w:val="CharSectno"/>
    <w:basedOn w:val="OPCCharBase"/>
    <w:qFormat/>
    <w:rsid w:val="007D265F"/>
  </w:style>
  <w:style w:type="character" w:customStyle="1" w:styleId="CharSubdNo">
    <w:name w:val="CharSubdNo"/>
    <w:basedOn w:val="OPCCharBase"/>
    <w:uiPriority w:val="1"/>
    <w:qFormat/>
    <w:rsid w:val="007D265F"/>
  </w:style>
  <w:style w:type="character" w:customStyle="1" w:styleId="CharSubdText">
    <w:name w:val="CharSubdText"/>
    <w:basedOn w:val="OPCCharBase"/>
    <w:uiPriority w:val="1"/>
    <w:qFormat/>
    <w:rsid w:val="007D265F"/>
  </w:style>
  <w:style w:type="paragraph" w:customStyle="1" w:styleId="CTA--">
    <w:name w:val="CTA --"/>
    <w:basedOn w:val="OPCParaBase"/>
    <w:next w:val="Normal"/>
    <w:rsid w:val="007D265F"/>
    <w:pPr>
      <w:spacing w:before="60" w:line="240" w:lineRule="atLeast"/>
      <w:ind w:left="142" w:hanging="142"/>
    </w:pPr>
    <w:rPr>
      <w:sz w:val="20"/>
    </w:rPr>
  </w:style>
  <w:style w:type="paragraph" w:customStyle="1" w:styleId="CTA-">
    <w:name w:val="CTA -"/>
    <w:basedOn w:val="OPCParaBase"/>
    <w:rsid w:val="007D265F"/>
    <w:pPr>
      <w:spacing w:before="60" w:line="240" w:lineRule="atLeast"/>
      <w:ind w:left="85" w:hanging="85"/>
    </w:pPr>
    <w:rPr>
      <w:sz w:val="20"/>
    </w:rPr>
  </w:style>
  <w:style w:type="paragraph" w:customStyle="1" w:styleId="CTA---">
    <w:name w:val="CTA ---"/>
    <w:basedOn w:val="OPCParaBase"/>
    <w:next w:val="Normal"/>
    <w:rsid w:val="007D265F"/>
    <w:pPr>
      <w:spacing w:before="60" w:line="240" w:lineRule="atLeast"/>
      <w:ind w:left="198" w:hanging="198"/>
    </w:pPr>
    <w:rPr>
      <w:sz w:val="20"/>
    </w:rPr>
  </w:style>
  <w:style w:type="paragraph" w:customStyle="1" w:styleId="CTA----">
    <w:name w:val="CTA ----"/>
    <w:basedOn w:val="OPCParaBase"/>
    <w:next w:val="Normal"/>
    <w:rsid w:val="007D265F"/>
    <w:pPr>
      <w:spacing w:before="60" w:line="240" w:lineRule="atLeast"/>
      <w:ind w:left="255" w:hanging="255"/>
    </w:pPr>
    <w:rPr>
      <w:sz w:val="20"/>
    </w:rPr>
  </w:style>
  <w:style w:type="paragraph" w:customStyle="1" w:styleId="CTA1a">
    <w:name w:val="CTA 1(a)"/>
    <w:basedOn w:val="OPCParaBase"/>
    <w:rsid w:val="007D265F"/>
    <w:pPr>
      <w:tabs>
        <w:tab w:val="right" w:pos="414"/>
      </w:tabs>
      <w:spacing w:before="40" w:line="240" w:lineRule="atLeast"/>
      <w:ind w:left="675" w:hanging="675"/>
    </w:pPr>
    <w:rPr>
      <w:sz w:val="20"/>
    </w:rPr>
  </w:style>
  <w:style w:type="paragraph" w:customStyle="1" w:styleId="CTA1ai">
    <w:name w:val="CTA 1(a)(i)"/>
    <w:basedOn w:val="OPCParaBase"/>
    <w:rsid w:val="007D265F"/>
    <w:pPr>
      <w:tabs>
        <w:tab w:val="right" w:pos="1004"/>
      </w:tabs>
      <w:spacing w:before="40" w:line="240" w:lineRule="atLeast"/>
      <w:ind w:left="1253" w:hanging="1253"/>
    </w:pPr>
    <w:rPr>
      <w:sz w:val="20"/>
    </w:rPr>
  </w:style>
  <w:style w:type="paragraph" w:customStyle="1" w:styleId="CTA2a">
    <w:name w:val="CTA 2(a)"/>
    <w:basedOn w:val="OPCParaBase"/>
    <w:rsid w:val="007D265F"/>
    <w:pPr>
      <w:tabs>
        <w:tab w:val="right" w:pos="482"/>
      </w:tabs>
      <w:spacing w:before="40" w:line="240" w:lineRule="atLeast"/>
      <w:ind w:left="748" w:hanging="748"/>
    </w:pPr>
    <w:rPr>
      <w:sz w:val="20"/>
    </w:rPr>
  </w:style>
  <w:style w:type="paragraph" w:customStyle="1" w:styleId="CTA2ai">
    <w:name w:val="CTA 2(a)(i)"/>
    <w:basedOn w:val="OPCParaBase"/>
    <w:rsid w:val="007D265F"/>
    <w:pPr>
      <w:tabs>
        <w:tab w:val="right" w:pos="1089"/>
      </w:tabs>
      <w:spacing w:before="40" w:line="240" w:lineRule="atLeast"/>
      <w:ind w:left="1327" w:hanging="1327"/>
    </w:pPr>
    <w:rPr>
      <w:sz w:val="20"/>
    </w:rPr>
  </w:style>
  <w:style w:type="paragraph" w:customStyle="1" w:styleId="CTA3a">
    <w:name w:val="CTA 3(a)"/>
    <w:basedOn w:val="OPCParaBase"/>
    <w:rsid w:val="007D265F"/>
    <w:pPr>
      <w:tabs>
        <w:tab w:val="right" w:pos="556"/>
      </w:tabs>
      <w:spacing w:before="40" w:line="240" w:lineRule="atLeast"/>
      <w:ind w:left="805" w:hanging="805"/>
    </w:pPr>
    <w:rPr>
      <w:sz w:val="20"/>
    </w:rPr>
  </w:style>
  <w:style w:type="paragraph" w:customStyle="1" w:styleId="CTA3ai">
    <w:name w:val="CTA 3(a)(i)"/>
    <w:basedOn w:val="OPCParaBase"/>
    <w:rsid w:val="007D265F"/>
    <w:pPr>
      <w:tabs>
        <w:tab w:val="right" w:pos="1140"/>
      </w:tabs>
      <w:spacing w:before="40" w:line="240" w:lineRule="atLeast"/>
      <w:ind w:left="1361" w:hanging="1361"/>
    </w:pPr>
    <w:rPr>
      <w:sz w:val="20"/>
    </w:rPr>
  </w:style>
  <w:style w:type="paragraph" w:customStyle="1" w:styleId="CTA4a">
    <w:name w:val="CTA 4(a)"/>
    <w:basedOn w:val="OPCParaBase"/>
    <w:rsid w:val="007D265F"/>
    <w:pPr>
      <w:tabs>
        <w:tab w:val="right" w:pos="624"/>
      </w:tabs>
      <w:spacing w:before="40" w:line="240" w:lineRule="atLeast"/>
      <w:ind w:left="873" w:hanging="873"/>
    </w:pPr>
    <w:rPr>
      <w:sz w:val="20"/>
    </w:rPr>
  </w:style>
  <w:style w:type="paragraph" w:customStyle="1" w:styleId="CTA4ai">
    <w:name w:val="CTA 4(a)(i)"/>
    <w:basedOn w:val="OPCParaBase"/>
    <w:rsid w:val="007D265F"/>
    <w:pPr>
      <w:tabs>
        <w:tab w:val="right" w:pos="1213"/>
      </w:tabs>
      <w:spacing w:before="40" w:line="240" w:lineRule="atLeast"/>
      <w:ind w:left="1452" w:hanging="1452"/>
    </w:pPr>
    <w:rPr>
      <w:sz w:val="20"/>
    </w:rPr>
  </w:style>
  <w:style w:type="paragraph" w:customStyle="1" w:styleId="CTACAPS">
    <w:name w:val="CTA CAPS"/>
    <w:basedOn w:val="OPCParaBase"/>
    <w:rsid w:val="007D265F"/>
    <w:pPr>
      <w:spacing w:before="60" w:line="240" w:lineRule="atLeast"/>
    </w:pPr>
    <w:rPr>
      <w:sz w:val="20"/>
    </w:rPr>
  </w:style>
  <w:style w:type="paragraph" w:customStyle="1" w:styleId="CTAright">
    <w:name w:val="CTA right"/>
    <w:basedOn w:val="OPCParaBase"/>
    <w:rsid w:val="007D265F"/>
    <w:pPr>
      <w:spacing w:before="60" w:line="240" w:lineRule="auto"/>
      <w:jc w:val="right"/>
    </w:pPr>
    <w:rPr>
      <w:sz w:val="20"/>
    </w:rPr>
  </w:style>
  <w:style w:type="paragraph" w:customStyle="1" w:styleId="subsection">
    <w:name w:val="subsection"/>
    <w:aliases w:val="ss"/>
    <w:basedOn w:val="OPCParaBase"/>
    <w:link w:val="subsectionChar"/>
    <w:rsid w:val="007D265F"/>
    <w:pPr>
      <w:tabs>
        <w:tab w:val="right" w:pos="1021"/>
      </w:tabs>
      <w:spacing w:before="180" w:line="240" w:lineRule="auto"/>
      <w:ind w:left="1134" w:hanging="1134"/>
    </w:pPr>
  </w:style>
  <w:style w:type="paragraph" w:customStyle="1" w:styleId="Definition">
    <w:name w:val="Definition"/>
    <w:aliases w:val="dd"/>
    <w:basedOn w:val="OPCParaBase"/>
    <w:rsid w:val="007D265F"/>
    <w:pPr>
      <w:spacing w:before="180" w:line="240" w:lineRule="auto"/>
      <w:ind w:left="1134"/>
    </w:pPr>
  </w:style>
  <w:style w:type="paragraph" w:customStyle="1" w:styleId="ETAsubitem">
    <w:name w:val="ETA(subitem)"/>
    <w:basedOn w:val="OPCParaBase"/>
    <w:rsid w:val="007D265F"/>
    <w:pPr>
      <w:tabs>
        <w:tab w:val="right" w:pos="340"/>
      </w:tabs>
      <w:spacing w:before="60" w:line="240" w:lineRule="auto"/>
      <w:ind w:left="454" w:hanging="454"/>
    </w:pPr>
    <w:rPr>
      <w:sz w:val="20"/>
    </w:rPr>
  </w:style>
  <w:style w:type="paragraph" w:customStyle="1" w:styleId="ETApara">
    <w:name w:val="ETA(para)"/>
    <w:basedOn w:val="OPCParaBase"/>
    <w:rsid w:val="007D265F"/>
    <w:pPr>
      <w:tabs>
        <w:tab w:val="right" w:pos="754"/>
      </w:tabs>
      <w:spacing w:before="60" w:line="240" w:lineRule="auto"/>
      <w:ind w:left="828" w:hanging="828"/>
    </w:pPr>
    <w:rPr>
      <w:sz w:val="20"/>
    </w:rPr>
  </w:style>
  <w:style w:type="paragraph" w:customStyle="1" w:styleId="ETAsubpara">
    <w:name w:val="ETA(subpara)"/>
    <w:basedOn w:val="OPCParaBase"/>
    <w:rsid w:val="007D265F"/>
    <w:pPr>
      <w:tabs>
        <w:tab w:val="right" w:pos="1083"/>
      </w:tabs>
      <w:spacing w:before="60" w:line="240" w:lineRule="auto"/>
      <w:ind w:left="1191" w:hanging="1191"/>
    </w:pPr>
    <w:rPr>
      <w:sz w:val="20"/>
    </w:rPr>
  </w:style>
  <w:style w:type="paragraph" w:customStyle="1" w:styleId="ETAsub-subpara">
    <w:name w:val="ETA(sub-subpara)"/>
    <w:basedOn w:val="OPCParaBase"/>
    <w:rsid w:val="007D265F"/>
    <w:pPr>
      <w:tabs>
        <w:tab w:val="right" w:pos="1412"/>
      </w:tabs>
      <w:spacing w:before="60" w:line="240" w:lineRule="auto"/>
      <w:ind w:left="1525" w:hanging="1525"/>
    </w:pPr>
    <w:rPr>
      <w:sz w:val="20"/>
    </w:rPr>
  </w:style>
  <w:style w:type="paragraph" w:customStyle="1" w:styleId="Formula">
    <w:name w:val="Formula"/>
    <w:basedOn w:val="OPCParaBase"/>
    <w:rsid w:val="007D265F"/>
    <w:pPr>
      <w:spacing w:line="240" w:lineRule="auto"/>
      <w:ind w:left="1134"/>
    </w:pPr>
    <w:rPr>
      <w:sz w:val="20"/>
    </w:rPr>
  </w:style>
  <w:style w:type="paragraph" w:styleId="Header">
    <w:name w:val="header"/>
    <w:basedOn w:val="OPCParaBase"/>
    <w:link w:val="HeaderChar"/>
    <w:unhideWhenUsed/>
    <w:rsid w:val="007D265F"/>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7D265F"/>
    <w:rPr>
      <w:rFonts w:eastAsia="Times New Roman" w:cs="Times New Roman"/>
      <w:sz w:val="16"/>
      <w:lang w:eastAsia="en-AU"/>
    </w:rPr>
  </w:style>
  <w:style w:type="paragraph" w:customStyle="1" w:styleId="House">
    <w:name w:val="House"/>
    <w:basedOn w:val="OPCParaBase"/>
    <w:rsid w:val="007D265F"/>
    <w:pPr>
      <w:spacing w:line="240" w:lineRule="auto"/>
    </w:pPr>
    <w:rPr>
      <w:sz w:val="28"/>
    </w:rPr>
  </w:style>
  <w:style w:type="paragraph" w:customStyle="1" w:styleId="Item">
    <w:name w:val="Item"/>
    <w:aliases w:val="i"/>
    <w:basedOn w:val="OPCParaBase"/>
    <w:next w:val="ItemHead"/>
    <w:link w:val="ItemChar"/>
    <w:rsid w:val="007D265F"/>
    <w:pPr>
      <w:keepLines/>
      <w:spacing w:before="80" w:line="240" w:lineRule="auto"/>
      <w:ind w:left="709"/>
    </w:pPr>
  </w:style>
  <w:style w:type="paragraph" w:customStyle="1" w:styleId="ItemHead">
    <w:name w:val="ItemHead"/>
    <w:aliases w:val="ih"/>
    <w:basedOn w:val="OPCParaBase"/>
    <w:next w:val="Item"/>
    <w:link w:val="ItemHeadChar"/>
    <w:rsid w:val="007D265F"/>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7D265F"/>
    <w:pPr>
      <w:spacing w:line="240" w:lineRule="auto"/>
    </w:pPr>
    <w:rPr>
      <w:b/>
      <w:sz w:val="32"/>
    </w:rPr>
  </w:style>
  <w:style w:type="paragraph" w:customStyle="1" w:styleId="notedraft">
    <w:name w:val="note(draft)"/>
    <w:aliases w:val="nd"/>
    <w:basedOn w:val="OPCParaBase"/>
    <w:rsid w:val="007D265F"/>
    <w:pPr>
      <w:spacing w:before="240" w:line="240" w:lineRule="auto"/>
      <w:ind w:left="284" w:hanging="284"/>
    </w:pPr>
    <w:rPr>
      <w:i/>
      <w:sz w:val="24"/>
    </w:rPr>
  </w:style>
  <w:style w:type="paragraph" w:customStyle="1" w:styleId="notemargin">
    <w:name w:val="note(margin)"/>
    <w:aliases w:val="nm"/>
    <w:basedOn w:val="OPCParaBase"/>
    <w:rsid w:val="007D265F"/>
    <w:pPr>
      <w:tabs>
        <w:tab w:val="left" w:pos="709"/>
      </w:tabs>
      <w:spacing w:before="122" w:line="198" w:lineRule="exact"/>
      <w:ind w:left="709" w:hanging="709"/>
    </w:pPr>
    <w:rPr>
      <w:sz w:val="18"/>
    </w:rPr>
  </w:style>
  <w:style w:type="paragraph" w:customStyle="1" w:styleId="noteToPara">
    <w:name w:val="noteToPara"/>
    <w:aliases w:val="ntp"/>
    <w:basedOn w:val="OPCParaBase"/>
    <w:rsid w:val="007D265F"/>
    <w:pPr>
      <w:spacing w:before="122" w:line="198" w:lineRule="exact"/>
      <w:ind w:left="2353" w:hanging="709"/>
    </w:pPr>
    <w:rPr>
      <w:sz w:val="18"/>
    </w:rPr>
  </w:style>
  <w:style w:type="paragraph" w:customStyle="1" w:styleId="noteParlAmend">
    <w:name w:val="note(ParlAmend)"/>
    <w:aliases w:val="npp"/>
    <w:basedOn w:val="OPCParaBase"/>
    <w:next w:val="ParlAmend"/>
    <w:rsid w:val="007D265F"/>
    <w:pPr>
      <w:spacing w:line="240" w:lineRule="auto"/>
      <w:jc w:val="right"/>
    </w:pPr>
    <w:rPr>
      <w:rFonts w:ascii="Arial" w:hAnsi="Arial"/>
      <w:b/>
      <w:i/>
    </w:rPr>
  </w:style>
  <w:style w:type="paragraph" w:customStyle="1" w:styleId="Page1">
    <w:name w:val="Page1"/>
    <w:basedOn w:val="OPCParaBase"/>
    <w:rsid w:val="007D265F"/>
    <w:pPr>
      <w:spacing w:before="5600" w:line="240" w:lineRule="auto"/>
    </w:pPr>
    <w:rPr>
      <w:b/>
      <w:sz w:val="32"/>
    </w:rPr>
  </w:style>
  <w:style w:type="paragraph" w:customStyle="1" w:styleId="PageBreak">
    <w:name w:val="PageBreak"/>
    <w:aliases w:val="pb"/>
    <w:basedOn w:val="OPCParaBase"/>
    <w:rsid w:val="007D265F"/>
    <w:pPr>
      <w:spacing w:line="240" w:lineRule="auto"/>
    </w:pPr>
    <w:rPr>
      <w:sz w:val="20"/>
    </w:rPr>
  </w:style>
  <w:style w:type="paragraph" w:customStyle="1" w:styleId="paragraphsub">
    <w:name w:val="paragraph(sub)"/>
    <w:aliases w:val="aa"/>
    <w:basedOn w:val="OPCParaBase"/>
    <w:rsid w:val="007D265F"/>
    <w:pPr>
      <w:tabs>
        <w:tab w:val="right" w:pos="1985"/>
      </w:tabs>
      <w:spacing w:before="40" w:line="240" w:lineRule="auto"/>
      <w:ind w:left="2098" w:hanging="2098"/>
    </w:pPr>
  </w:style>
  <w:style w:type="paragraph" w:customStyle="1" w:styleId="paragraphsub-sub">
    <w:name w:val="paragraph(sub-sub)"/>
    <w:aliases w:val="aaa"/>
    <w:basedOn w:val="OPCParaBase"/>
    <w:rsid w:val="007D265F"/>
    <w:pPr>
      <w:tabs>
        <w:tab w:val="right" w:pos="2722"/>
      </w:tabs>
      <w:spacing w:before="40" w:line="240" w:lineRule="auto"/>
      <w:ind w:left="2835" w:hanging="2835"/>
    </w:pPr>
  </w:style>
  <w:style w:type="paragraph" w:customStyle="1" w:styleId="paragraph">
    <w:name w:val="paragraph"/>
    <w:aliases w:val="a"/>
    <w:basedOn w:val="OPCParaBase"/>
    <w:link w:val="paragraphChar"/>
    <w:rsid w:val="007D265F"/>
    <w:pPr>
      <w:tabs>
        <w:tab w:val="right" w:pos="1531"/>
      </w:tabs>
      <w:spacing w:before="40" w:line="240" w:lineRule="auto"/>
      <w:ind w:left="1644" w:hanging="1644"/>
    </w:pPr>
  </w:style>
  <w:style w:type="paragraph" w:customStyle="1" w:styleId="ParlAmend">
    <w:name w:val="ParlAmend"/>
    <w:aliases w:val="pp"/>
    <w:basedOn w:val="OPCParaBase"/>
    <w:rsid w:val="007D265F"/>
    <w:pPr>
      <w:spacing w:before="240" w:line="240" w:lineRule="atLeast"/>
      <w:ind w:hanging="567"/>
    </w:pPr>
    <w:rPr>
      <w:sz w:val="24"/>
    </w:rPr>
  </w:style>
  <w:style w:type="paragraph" w:customStyle="1" w:styleId="Penalty">
    <w:name w:val="Penalty"/>
    <w:basedOn w:val="OPCParaBase"/>
    <w:rsid w:val="007D265F"/>
    <w:pPr>
      <w:tabs>
        <w:tab w:val="left" w:pos="2977"/>
      </w:tabs>
      <w:spacing w:before="180" w:line="240" w:lineRule="auto"/>
      <w:ind w:left="1985" w:hanging="851"/>
    </w:pPr>
  </w:style>
  <w:style w:type="paragraph" w:customStyle="1" w:styleId="Portfolio">
    <w:name w:val="Portfolio"/>
    <w:basedOn w:val="OPCParaBase"/>
    <w:rsid w:val="007D265F"/>
    <w:pPr>
      <w:spacing w:line="240" w:lineRule="auto"/>
    </w:pPr>
    <w:rPr>
      <w:i/>
      <w:sz w:val="20"/>
    </w:rPr>
  </w:style>
  <w:style w:type="paragraph" w:customStyle="1" w:styleId="Preamble">
    <w:name w:val="Preamble"/>
    <w:basedOn w:val="OPCParaBase"/>
    <w:next w:val="Normal"/>
    <w:rsid w:val="007D265F"/>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7D265F"/>
    <w:pPr>
      <w:spacing w:line="240" w:lineRule="auto"/>
    </w:pPr>
    <w:rPr>
      <w:i/>
      <w:sz w:val="20"/>
    </w:rPr>
  </w:style>
  <w:style w:type="paragraph" w:customStyle="1" w:styleId="Session">
    <w:name w:val="Session"/>
    <w:basedOn w:val="OPCParaBase"/>
    <w:rsid w:val="007D265F"/>
    <w:pPr>
      <w:spacing w:line="240" w:lineRule="auto"/>
    </w:pPr>
    <w:rPr>
      <w:sz w:val="28"/>
    </w:rPr>
  </w:style>
  <w:style w:type="paragraph" w:customStyle="1" w:styleId="Sponsor">
    <w:name w:val="Sponsor"/>
    <w:basedOn w:val="OPCParaBase"/>
    <w:rsid w:val="007D265F"/>
    <w:pPr>
      <w:spacing w:line="240" w:lineRule="auto"/>
    </w:pPr>
    <w:rPr>
      <w:i/>
    </w:rPr>
  </w:style>
  <w:style w:type="paragraph" w:customStyle="1" w:styleId="Subitem">
    <w:name w:val="Subitem"/>
    <w:aliases w:val="iss"/>
    <w:basedOn w:val="OPCParaBase"/>
    <w:rsid w:val="007D265F"/>
    <w:pPr>
      <w:spacing w:before="180" w:line="240" w:lineRule="auto"/>
      <w:ind w:left="709" w:hanging="709"/>
    </w:pPr>
  </w:style>
  <w:style w:type="paragraph" w:customStyle="1" w:styleId="SubitemHead">
    <w:name w:val="SubitemHead"/>
    <w:aliases w:val="issh"/>
    <w:basedOn w:val="OPCParaBase"/>
    <w:rsid w:val="007D265F"/>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7D265F"/>
    <w:pPr>
      <w:spacing w:before="40" w:line="240" w:lineRule="auto"/>
      <w:ind w:left="1134"/>
    </w:pPr>
  </w:style>
  <w:style w:type="paragraph" w:customStyle="1" w:styleId="SubsectionHead">
    <w:name w:val="SubsectionHead"/>
    <w:aliases w:val="ssh"/>
    <w:basedOn w:val="OPCParaBase"/>
    <w:next w:val="subsection"/>
    <w:rsid w:val="007D265F"/>
    <w:pPr>
      <w:keepNext/>
      <w:keepLines/>
      <w:spacing w:before="240" w:line="240" w:lineRule="auto"/>
      <w:ind w:left="1134"/>
    </w:pPr>
    <w:rPr>
      <w:i/>
    </w:rPr>
  </w:style>
  <w:style w:type="paragraph" w:customStyle="1" w:styleId="Tablea">
    <w:name w:val="Table(a)"/>
    <w:aliases w:val="ta"/>
    <w:basedOn w:val="OPCParaBase"/>
    <w:rsid w:val="007D265F"/>
    <w:pPr>
      <w:spacing w:before="60" w:line="240" w:lineRule="auto"/>
      <w:ind w:left="284" w:hanging="284"/>
    </w:pPr>
    <w:rPr>
      <w:sz w:val="20"/>
    </w:rPr>
  </w:style>
  <w:style w:type="paragraph" w:customStyle="1" w:styleId="TableAA">
    <w:name w:val="Table(AA)"/>
    <w:aliases w:val="taaa"/>
    <w:basedOn w:val="OPCParaBase"/>
    <w:rsid w:val="007D265F"/>
    <w:pPr>
      <w:tabs>
        <w:tab w:val="left" w:pos="-6543"/>
        <w:tab w:val="left" w:pos="-6260"/>
      </w:tabs>
      <w:spacing w:line="240" w:lineRule="exact"/>
      <w:ind w:left="1055" w:hanging="284"/>
    </w:pPr>
    <w:rPr>
      <w:sz w:val="20"/>
    </w:rPr>
  </w:style>
  <w:style w:type="paragraph" w:customStyle="1" w:styleId="Tablei">
    <w:name w:val="Table(i)"/>
    <w:aliases w:val="taa"/>
    <w:basedOn w:val="OPCParaBase"/>
    <w:rsid w:val="007D265F"/>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7D265F"/>
    <w:pPr>
      <w:spacing w:before="60" w:line="240" w:lineRule="atLeast"/>
    </w:pPr>
    <w:rPr>
      <w:sz w:val="20"/>
    </w:rPr>
  </w:style>
  <w:style w:type="paragraph" w:customStyle="1" w:styleId="TLPBoxTextnote">
    <w:name w:val="TLPBoxText(note"/>
    <w:aliases w:val="right)"/>
    <w:basedOn w:val="OPCParaBase"/>
    <w:rsid w:val="007D265F"/>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7D265F"/>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7D265F"/>
    <w:pPr>
      <w:spacing w:before="122" w:line="198" w:lineRule="exact"/>
      <w:ind w:left="1985" w:hanging="851"/>
      <w:jc w:val="right"/>
    </w:pPr>
    <w:rPr>
      <w:sz w:val="18"/>
    </w:rPr>
  </w:style>
  <w:style w:type="paragraph" w:customStyle="1" w:styleId="TLPTableBullet">
    <w:name w:val="TLPTableBullet"/>
    <w:aliases w:val="ttb"/>
    <w:basedOn w:val="OPCParaBase"/>
    <w:rsid w:val="007D265F"/>
    <w:pPr>
      <w:spacing w:line="240" w:lineRule="exact"/>
      <w:ind w:left="284" w:hanging="284"/>
    </w:pPr>
    <w:rPr>
      <w:sz w:val="20"/>
    </w:rPr>
  </w:style>
  <w:style w:type="paragraph" w:styleId="TOC1">
    <w:name w:val="toc 1"/>
    <w:basedOn w:val="OPCParaBase"/>
    <w:next w:val="Normal"/>
    <w:uiPriority w:val="39"/>
    <w:semiHidden/>
    <w:unhideWhenUsed/>
    <w:rsid w:val="007D265F"/>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semiHidden/>
    <w:unhideWhenUsed/>
    <w:rsid w:val="007D265F"/>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7D265F"/>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7D265F"/>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7D265F"/>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7D265F"/>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7D265F"/>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7D265F"/>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7D265F"/>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7D265F"/>
    <w:pPr>
      <w:keepLines/>
      <w:spacing w:before="240" w:after="120" w:line="240" w:lineRule="auto"/>
      <w:ind w:left="794"/>
    </w:pPr>
    <w:rPr>
      <w:b/>
      <w:kern w:val="28"/>
      <w:sz w:val="20"/>
    </w:rPr>
  </w:style>
  <w:style w:type="paragraph" w:customStyle="1" w:styleId="TofSectsHeading">
    <w:name w:val="TofSects(Heading)"/>
    <w:basedOn w:val="OPCParaBase"/>
    <w:rsid w:val="007D265F"/>
    <w:pPr>
      <w:spacing w:before="240" w:after="120" w:line="240" w:lineRule="auto"/>
    </w:pPr>
    <w:rPr>
      <w:b/>
      <w:sz w:val="24"/>
    </w:rPr>
  </w:style>
  <w:style w:type="paragraph" w:customStyle="1" w:styleId="TofSectsSection">
    <w:name w:val="TofSects(Section)"/>
    <w:basedOn w:val="OPCParaBase"/>
    <w:rsid w:val="007D265F"/>
    <w:pPr>
      <w:keepLines/>
      <w:spacing w:before="40" w:line="240" w:lineRule="auto"/>
      <w:ind w:left="1588" w:hanging="794"/>
    </w:pPr>
    <w:rPr>
      <w:kern w:val="28"/>
      <w:sz w:val="18"/>
    </w:rPr>
  </w:style>
  <w:style w:type="paragraph" w:customStyle="1" w:styleId="TofSectsSubdiv">
    <w:name w:val="TofSects(Subdiv)"/>
    <w:basedOn w:val="OPCParaBase"/>
    <w:rsid w:val="007D265F"/>
    <w:pPr>
      <w:keepLines/>
      <w:spacing w:before="80" w:line="240" w:lineRule="auto"/>
      <w:ind w:left="1588" w:hanging="794"/>
    </w:pPr>
    <w:rPr>
      <w:kern w:val="28"/>
    </w:rPr>
  </w:style>
  <w:style w:type="paragraph" w:customStyle="1" w:styleId="WRStyle">
    <w:name w:val="WR Style"/>
    <w:aliases w:val="WR"/>
    <w:basedOn w:val="OPCParaBase"/>
    <w:rsid w:val="007D265F"/>
    <w:pPr>
      <w:spacing w:before="240" w:line="240" w:lineRule="auto"/>
      <w:ind w:left="284" w:hanging="284"/>
    </w:pPr>
    <w:rPr>
      <w:b/>
      <w:i/>
      <w:kern w:val="28"/>
      <w:sz w:val="24"/>
    </w:rPr>
  </w:style>
  <w:style w:type="paragraph" w:customStyle="1" w:styleId="notepara">
    <w:name w:val="note(para)"/>
    <w:aliases w:val="na"/>
    <w:basedOn w:val="OPCParaBase"/>
    <w:rsid w:val="007D265F"/>
    <w:pPr>
      <w:spacing w:before="40" w:line="198" w:lineRule="exact"/>
      <w:ind w:left="2354" w:hanging="369"/>
    </w:pPr>
    <w:rPr>
      <w:sz w:val="18"/>
    </w:rPr>
  </w:style>
  <w:style w:type="paragraph" w:styleId="Footer">
    <w:name w:val="footer"/>
    <w:link w:val="FooterChar"/>
    <w:rsid w:val="007D265F"/>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7D265F"/>
    <w:rPr>
      <w:rFonts w:eastAsia="Times New Roman" w:cs="Times New Roman"/>
      <w:sz w:val="22"/>
      <w:szCs w:val="24"/>
      <w:lang w:eastAsia="en-AU"/>
    </w:rPr>
  </w:style>
  <w:style w:type="character" w:styleId="LineNumber">
    <w:name w:val="line number"/>
    <w:basedOn w:val="OPCCharBase"/>
    <w:uiPriority w:val="99"/>
    <w:semiHidden/>
    <w:unhideWhenUsed/>
    <w:rsid w:val="007D265F"/>
    <w:rPr>
      <w:sz w:val="16"/>
    </w:rPr>
  </w:style>
  <w:style w:type="table" w:customStyle="1" w:styleId="CFlag">
    <w:name w:val="CFlag"/>
    <w:basedOn w:val="TableNormal"/>
    <w:uiPriority w:val="99"/>
    <w:rsid w:val="007D265F"/>
    <w:rPr>
      <w:rFonts w:eastAsia="Times New Roman" w:cs="Times New Roman"/>
      <w:lang w:eastAsia="en-AU"/>
    </w:rPr>
    <w:tblPr/>
  </w:style>
  <w:style w:type="paragraph" w:customStyle="1" w:styleId="NotesHeading1">
    <w:name w:val="NotesHeading 1"/>
    <w:basedOn w:val="OPCParaBase"/>
    <w:next w:val="Normal"/>
    <w:rsid w:val="007D265F"/>
    <w:rPr>
      <w:b/>
      <w:sz w:val="28"/>
      <w:szCs w:val="28"/>
    </w:rPr>
  </w:style>
  <w:style w:type="paragraph" w:customStyle="1" w:styleId="NotesHeading2">
    <w:name w:val="NotesHeading 2"/>
    <w:basedOn w:val="OPCParaBase"/>
    <w:next w:val="Normal"/>
    <w:rsid w:val="007D265F"/>
    <w:rPr>
      <w:b/>
      <w:sz w:val="28"/>
      <w:szCs w:val="28"/>
    </w:rPr>
  </w:style>
  <w:style w:type="paragraph" w:customStyle="1" w:styleId="SignCoverPageEnd">
    <w:name w:val="SignCoverPageEnd"/>
    <w:basedOn w:val="OPCParaBase"/>
    <w:next w:val="Normal"/>
    <w:rsid w:val="007D265F"/>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7D265F"/>
    <w:pPr>
      <w:pBdr>
        <w:top w:val="single" w:sz="4" w:space="1" w:color="auto"/>
      </w:pBdr>
      <w:spacing w:before="360"/>
      <w:ind w:right="397"/>
      <w:jc w:val="both"/>
    </w:pPr>
  </w:style>
  <w:style w:type="paragraph" w:customStyle="1" w:styleId="Paragraphsub-sub-sub">
    <w:name w:val="Paragraph(sub-sub-sub)"/>
    <w:aliases w:val="aaaa"/>
    <w:basedOn w:val="OPCParaBase"/>
    <w:rsid w:val="007D265F"/>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7D265F"/>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7D265F"/>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7D265F"/>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7D265F"/>
    <w:pPr>
      <w:tabs>
        <w:tab w:val="right" w:pos="1412"/>
      </w:tabs>
      <w:spacing w:before="60" w:line="240" w:lineRule="auto"/>
      <w:ind w:left="1525" w:hanging="1525"/>
    </w:pPr>
    <w:rPr>
      <w:sz w:val="20"/>
    </w:rPr>
  </w:style>
  <w:style w:type="paragraph" w:customStyle="1" w:styleId="ENotesText">
    <w:name w:val="ENotesText"/>
    <w:aliases w:val="Ent"/>
    <w:basedOn w:val="OPCParaBase"/>
    <w:next w:val="Normal"/>
    <w:rsid w:val="007D265F"/>
    <w:pPr>
      <w:spacing w:before="120"/>
    </w:pPr>
  </w:style>
  <w:style w:type="paragraph" w:customStyle="1" w:styleId="TableTextEndNotes">
    <w:name w:val="TableTextEndNotes"/>
    <w:aliases w:val="Tten"/>
    <w:basedOn w:val="Normal"/>
    <w:rsid w:val="007D265F"/>
    <w:pPr>
      <w:spacing w:before="60" w:line="240" w:lineRule="auto"/>
    </w:pPr>
    <w:rPr>
      <w:rFonts w:cs="Arial"/>
      <w:sz w:val="20"/>
      <w:szCs w:val="22"/>
    </w:rPr>
  </w:style>
  <w:style w:type="paragraph" w:customStyle="1" w:styleId="TableHeading">
    <w:name w:val="TableHeading"/>
    <w:aliases w:val="th"/>
    <w:basedOn w:val="OPCParaBase"/>
    <w:next w:val="Tabletext"/>
    <w:rsid w:val="007D265F"/>
    <w:pPr>
      <w:keepNext/>
      <w:spacing w:before="60" w:line="240" w:lineRule="atLeast"/>
    </w:pPr>
    <w:rPr>
      <w:b/>
      <w:sz w:val="20"/>
    </w:rPr>
  </w:style>
  <w:style w:type="paragraph" w:customStyle="1" w:styleId="NoteToSubpara">
    <w:name w:val="NoteToSubpara"/>
    <w:aliases w:val="nts"/>
    <w:basedOn w:val="OPCParaBase"/>
    <w:rsid w:val="007D265F"/>
    <w:pPr>
      <w:spacing w:before="40" w:line="198" w:lineRule="exact"/>
      <w:ind w:left="2835" w:hanging="709"/>
    </w:pPr>
    <w:rPr>
      <w:sz w:val="18"/>
    </w:rPr>
  </w:style>
  <w:style w:type="paragraph" w:customStyle="1" w:styleId="ENoteTableHeading">
    <w:name w:val="ENoteTableHeading"/>
    <w:aliases w:val="enth"/>
    <w:basedOn w:val="OPCParaBase"/>
    <w:rsid w:val="007D265F"/>
    <w:pPr>
      <w:keepNext/>
      <w:spacing w:before="60" w:line="240" w:lineRule="atLeast"/>
    </w:pPr>
    <w:rPr>
      <w:rFonts w:ascii="Arial" w:hAnsi="Arial"/>
      <w:b/>
      <w:sz w:val="16"/>
    </w:rPr>
  </w:style>
  <w:style w:type="paragraph" w:customStyle="1" w:styleId="ENoteTTi">
    <w:name w:val="ENoteTTi"/>
    <w:aliases w:val="entti"/>
    <w:basedOn w:val="OPCParaBase"/>
    <w:rsid w:val="007D265F"/>
    <w:pPr>
      <w:keepNext/>
      <w:spacing w:before="60" w:line="240" w:lineRule="atLeast"/>
      <w:ind w:left="170"/>
    </w:pPr>
    <w:rPr>
      <w:sz w:val="16"/>
    </w:rPr>
  </w:style>
  <w:style w:type="paragraph" w:customStyle="1" w:styleId="ENotesHeading1">
    <w:name w:val="ENotesHeading 1"/>
    <w:aliases w:val="Enh1"/>
    <w:basedOn w:val="OPCParaBase"/>
    <w:next w:val="Normal"/>
    <w:rsid w:val="007D265F"/>
    <w:pPr>
      <w:spacing w:before="120"/>
      <w:outlineLvl w:val="1"/>
    </w:pPr>
    <w:rPr>
      <w:b/>
      <w:sz w:val="28"/>
      <w:szCs w:val="28"/>
    </w:rPr>
  </w:style>
  <w:style w:type="paragraph" w:customStyle="1" w:styleId="ENotesHeading2">
    <w:name w:val="ENotesHeading 2"/>
    <w:aliases w:val="Enh2"/>
    <w:basedOn w:val="OPCParaBase"/>
    <w:next w:val="Normal"/>
    <w:rsid w:val="007D265F"/>
    <w:pPr>
      <w:spacing w:before="120" w:after="120"/>
      <w:outlineLvl w:val="2"/>
    </w:pPr>
    <w:rPr>
      <w:b/>
      <w:sz w:val="24"/>
      <w:szCs w:val="28"/>
    </w:rPr>
  </w:style>
  <w:style w:type="paragraph" w:customStyle="1" w:styleId="ENoteTTIndentHeading">
    <w:name w:val="ENoteTTIndentHeading"/>
    <w:aliases w:val="enTTHi"/>
    <w:basedOn w:val="OPCParaBase"/>
    <w:rsid w:val="007D265F"/>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7D265F"/>
    <w:pPr>
      <w:spacing w:before="60" w:line="240" w:lineRule="atLeast"/>
    </w:pPr>
    <w:rPr>
      <w:sz w:val="16"/>
    </w:rPr>
  </w:style>
  <w:style w:type="paragraph" w:customStyle="1" w:styleId="MadeunderText">
    <w:name w:val="MadeunderText"/>
    <w:basedOn w:val="OPCParaBase"/>
    <w:next w:val="Normal"/>
    <w:rsid w:val="007D265F"/>
    <w:pPr>
      <w:spacing w:before="240"/>
    </w:pPr>
    <w:rPr>
      <w:sz w:val="24"/>
      <w:szCs w:val="24"/>
    </w:rPr>
  </w:style>
  <w:style w:type="paragraph" w:customStyle="1" w:styleId="ENotesHeading3">
    <w:name w:val="ENotesHeading 3"/>
    <w:aliases w:val="Enh3"/>
    <w:basedOn w:val="OPCParaBase"/>
    <w:next w:val="Normal"/>
    <w:rsid w:val="007D265F"/>
    <w:pPr>
      <w:keepNext/>
      <w:spacing w:before="120" w:line="240" w:lineRule="auto"/>
      <w:outlineLvl w:val="4"/>
    </w:pPr>
    <w:rPr>
      <w:b/>
      <w:szCs w:val="24"/>
    </w:rPr>
  </w:style>
  <w:style w:type="paragraph" w:customStyle="1" w:styleId="SubPartCASA">
    <w:name w:val="SubPart(CASA)"/>
    <w:aliases w:val="csp"/>
    <w:basedOn w:val="OPCParaBase"/>
    <w:next w:val="ActHead3"/>
    <w:rsid w:val="007D265F"/>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7D265F"/>
  </w:style>
  <w:style w:type="character" w:customStyle="1" w:styleId="CharSubPartNoCASA">
    <w:name w:val="CharSubPartNo(CASA)"/>
    <w:basedOn w:val="OPCCharBase"/>
    <w:uiPriority w:val="1"/>
    <w:rsid w:val="007D265F"/>
  </w:style>
  <w:style w:type="paragraph" w:customStyle="1" w:styleId="ENoteTTIndentHeadingSub">
    <w:name w:val="ENoteTTIndentHeadingSub"/>
    <w:aliases w:val="enTTHis"/>
    <w:basedOn w:val="OPCParaBase"/>
    <w:rsid w:val="007D265F"/>
    <w:pPr>
      <w:keepNext/>
      <w:spacing w:before="60" w:line="240" w:lineRule="atLeast"/>
      <w:ind w:left="340"/>
    </w:pPr>
    <w:rPr>
      <w:b/>
      <w:sz w:val="16"/>
    </w:rPr>
  </w:style>
  <w:style w:type="paragraph" w:customStyle="1" w:styleId="ENoteTTiSub">
    <w:name w:val="ENoteTTiSub"/>
    <w:aliases w:val="enttis"/>
    <w:basedOn w:val="OPCParaBase"/>
    <w:rsid w:val="007D265F"/>
    <w:pPr>
      <w:keepNext/>
      <w:spacing w:before="60" w:line="240" w:lineRule="atLeast"/>
      <w:ind w:left="340"/>
    </w:pPr>
    <w:rPr>
      <w:sz w:val="16"/>
    </w:rPr>
  </w:style>
  <w:style w:type="paragraph" w:customStyle="1" w:styleId="SubDivisionMigration">
    <w:name w:val="SubDivisionMigration"/>
    <w:aliases w:val="sdm"/>
    <w:basedOn w:val="OPCParaBase"/>
    <w:rsid w:val="007D265F"/>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7D265F"/>
    <w:pPr>
      <w:keepNext/>
      <w:keepLines/>
      <w:spacing w:before="240" w:line="240" w:lineRule="auto"/>
      <w:ind w:left="1134" w:hanging="1134"/>
    </w:pPr>
    <w:rPr>
      <w:b/>
      <w:sz w:val="28"/>
    </w:rPr>
  </w:style>
  <w:style w:type="table" w:styleId="TableGrid">
    <w:name w:val="Table Grid"/>
    <w:basedOn w:val="TableNormal"/>
    <w:uiPriority w:val="59"/>
    <w:rsid w:val="007D2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OPCParaBase"/>
    <w:link w:val="notetextChar"/>
    <w:rsid w:val="007D265F"/>
    <w:pPr>
      <w:spacing w:before="122" w:line="240" w:lineRule="auto"/>
      <w:ind w:left="1985" w:hanging="851"/>
    </w:pPr>
    <w:rPr>
      <w:sz w:val="18"/>
    </w:rPr>
  </w:style>
  <w:style w:type="paragraph" w:customStyle="1" w:styleId="FreeForm">
    <w:name w:val="FreeForm"/>
    <w:rsid w:val="007D265F"/>
    <w:rPr>
      <w:rFonts w:ascii="Arial" w:hAnsi="Arial"/>
      <w:sz w:val="22"/>
    </w:rPr>
  </w:style>
  <w:style w:type="paragraph" w:customStyle="1" w:styleId="SOText">
    <w:name w:val="SO Text"/>
    <w:aliases w:val="sot"/>
    <w:link w:val="SOTextChar"/>
    <w:rsid w:val="007D265F"/>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7D265F"/>
    <w:rPr>
      <w:sz w:val="22"/>
    </w:rPr>
  </w:style>
  <w:style w:type="paragraph" w:customStyle="1" w:styleId="SOTextNote">
    <w:name w:val="SO TextNote"/>
    <w:aliases w:val="sont"/>
    <w:basedOn w:val="SOText"/>
    <w:qFormat/>
    <w:rsid w:val="007D265F"/>
    <w:pPr>
      <w:spacing w:before="122" w:line="198" w:lineRule="exact"/>
      <w:ind w:left="1843" w:hanging="709"/>
    </w:pPr>
    <w:rPr>
      <w:sz w:val="18"/>
    </w:rPr>
  </w:style>
  <w:style w:type="paragraph" w:customStyle="1" w:styleId="SOPara">
    <w:name w:val="SO Para"/>
    <w:aliases w:val="soa"/>
    <w:basedOn w:val="SOText"/>
    <w:link w:val="SOParaChar"/>
    <w:qFormat/>
    <w:rsid w:val="007D265F"/>
    <w:pPr>
      <w:tabs>
        <w:tab w:val="right" w:pos="1786"/>
      </w:tabs>
      <w:spacing w:before="40"/>
      <w:ind w:left="2070" w:hanging="936"/>
    </w:pPr>
  </w:style>
  <w:style w:type="character" w:customStyle="1" w:styleId="SOParaChar">
    <w:name w:val="SO Para Char"/>
    <w:aliases w:val="soa Char"/>
    <w:basedOn w:val="DefaultParagraphFont"/>
    <w:link w:val="SOPara"/>
    <w:rsid w:val="007D265F"/>
    <w:rPr>
      <w:sz w:val="22"/>
    </w:rPr>
  </w:style>
  <w:style w:type="paragraph" w:customStyle="1" w:styleId="FileName">
    <w:name w:val="FileName"/>
    <w:basedOn w:val="Normal"/>
    <w:rsid w:val="007D265F"/>
  </w:style>
  <w:style w:type="paragraph" w:customStyle="1" w:styleId="SOHeadBold">
    <w:name w:val="SO HeadBold"/>
    <w:aliases w:val="sohb"/>
    <w:basedOn w:val="SOText"/>
    <w:next w:val="SOText"/>
    <w:link w:val="SOHeadBoldChar"/>
    <w:qFormat/>
    <w:rsid w:val="007D265F"/>
    <w:rPr>
      <w:b/>
    </w:rPr>
  </w:style>
  <w:style w:type="character" w:customStyle="1" w:styleId="SOHeadBoldChar">
    <w:name w:val="SO HeadBold Char"/>
    <w:aliases w:val="sohb Char"/>
    <w:basedOn w:val="DefaultParagraphFont"/>
    <w:link w:val="SOHeadBold"/>
    <w:rsid w:val="007D265F"/>
    <w:rPr>
      <w:b/>
      <w:sz w:val="22"/>
    </w:rPr>
  </w:style>
  <w:style w:type="paragraph" w:customStyle="1" w:styleId="SOHeadItalic">
    <w:name w:val="SO HeadItalic"/>
    <w:aliases w:val="sohi"/>
    <w:basedOn w:val="SOText"/>
    <w:next w:val="SOText"/>
    <w:link w:val="SOHeadItalicChar"/>
    <w:qFormat/>
    <w:rsid w:val="007D265F"/>
    <w:rPr>
      <w:i/>
    </w:rPr>
  </w:style>
  <w:style w:type="character" w:customStyle="1" w:styleId="SOHeadItalicChar">
    <w:name w:val="SO HeadItalic Char"/>
    <w:aliases w:val="sohi Char"/>
    <w:basedOn w:val="DefaultParagraphFont"/>
    <w:link w:val="SOHeadItalic"/>
    <w:rsid w:val="007D265F"/>
    <w:rPr>
      <w:i/>
      <w:sz w:val="22"/>
    </w:rPr>
  </w:style>
  <w:style w:type="paragraph" w:customStyle="1" w:styleId="SOBullet">
    <w:name w:val="SO Bullet"/>
    <w:aliases w:val="sotb"/>
    <w:basedOn w:val="SOText"/>
    <w:link w:val="SOBulletChar"/>
    <w:qFormat/>
    <w:rsid w:val="007D265F"/>
    <w:pPr>
      <w:ind w:left="1559" w:hanging="425"/>
    </w:pPr>
  </w:style>
  <w:style w:type="character" w:customStyle="1" w:styleId="SOBulletChar">
    <w:name w:val="SO Bullet Char"/>
    <w:aliases w:val="sotb Char"/>
    <w:basedOn w:val="DefaultParagraphFont"/>
    <w:link w:val="SOBullet"/>
    <w:rsid w:val="007D265F"/>
    <w:rPr>
      <w:sz w:val="22"/>
    </w:rPr>
  </w:style>
  <w:style w:type="paragraph" w:customStyle="1" w:styleId="SOBulletNote">
    <w:name w:val="SO BulletNote"/>
    <w:aliases w:val="sonb"/>
    <w:basedOn w:val="SOTextNote"/>
    <w:link w:val="SOBulletNoteChar"/>
    <w:qFormat/>
    <w:rsid w:val="007D265F"/>
    <w:pPr>
      <w:tabs>
        <w:tab w:val="left" w:pos="1560"/>
      </w:tabs>
      <w:ind w:left="2268" w:hanging="1134"/>
    </w:pPr>
  </w:style>
  <w:style w:type="character" w:customStyle="1" w:styleId="SOBulletNoteChar">
    <w:name w:val="SO BulletNote Char"/>
    <w:aliases w:val="sonb Char"/>
    <w:basedOn w:val="DefaultParagraphFont"/>
    <w:link w:val="SOBulletNote"/>
    <w:rsid w:val="007D265F"/>
    <w:rPr>
      <w:sz w:val="18"/>
    </w:rPr>
  </w:style>
  <w:style w:type="paragraph" w:customStyle="1" w:styleId="SOText2">
    <w:name w:val="SO Text2"/>
    <w:aliases w:val="sot2"/>
    <w:basedOn w:val="Normal"/>
    <w:next w:val="SOText"/>
    <w:link w:val="SOText2Char"/>
    <w:rsid w:val="007D265F"/>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7D265F"/>
    <w:rPr>
      <w:sz w:val="22"/>
    </w:rPr>
  </w:style>
  <w:style w:type="paragraph" w:customStyle="1" w:styleId="Transitional">
    <w:name w:val="Transitional"/>
    <w:aliases w:val="tr"/>
    <w:basedOn w:val="ItemHead"/>
    <w:next w:val="Item"/>
    <w:rsid w:val="007D265F"/>
  </w:style>
  <w:style w:type="character" w:customStyle="1" w:styleId="ItemChar">
    <w:name w:val="Item Char"/>
    <w:aliases w:val="i Char"/>
    <w:basedOn w:val="DefaultParagraphFont"/>
    <w:link w:val="Item"/>
    <w:rsid w:val="00C6275A"/>
    <w:rPr>
      <w:rFonts w:eastAsia="Times New Roman" w:cs="Times New Roman"/>
      <w:sz w:val="22"/>
      <w:lang w:eastAsia="en-AU"/>
    </w:rPr>
  </w:style>
  <w:style w:type="character" w:customStyle="1" w:styleId="ItemHeadChar">
    <w:name w:val="ItemHead Char"/>
    <w:aliases w:val="ih Char"/>
    <w:basedOn w:val="DefaultParagraphFont"/>
    <w:link w:val="ItemHead"/>
    <w:rsid w:val="00C6275A"/>
    <w:rPr>
      <w:rFonts w:ascii="Arial" w:eastAsia="Times New Roman" w:hAnsi="Arial" w:cs="Times New Roman"/>
      <w:b/>
      <w:kern w:val="28"/>
      <w:sz w:val="24"/>
      <w:lang w:eastAsia="en-AU"/>
    </w:rPr>
  </w:style>
  <w:style w:type="character" w:customStyle="1" w:styleId="subsectionChar">
    <w:name w:val="subsection Char"/>
    <w:aliases w:val="ss Char"/>
    <w:basedOn w:val="DefaultParagraphFont"/>
    <w:link w:val="subsection"/>
    <w:rsid w:val="00C6275A"/>
    <w:rPr>
      <w:rFonts w:eastAsia="Times New Roman" w:cs="Times New Roman"/>
      <w:sz w:val="22"/>
      <w:lang w:eastAsia="en-AU"/>
    </w:rPr>
  </w:style>
  <w:style w:type="character" w:customStyle="1" w:styleId="ActHead5Char">
    <w:name w:val="ActHead 5 Char"/>
    <w:aliases w:val="s Char"/>
    <w:link w:val="ActHead5"/>
    <w:rsid w:val="00C6275A"/>
    <w:rPr>
      <w:rFonts w:eastAsia="Times New Roman" w:cs="Times New Roman"/>
      <w:b/>
      <w:kern w:val="28"/>
      <w:sz w:val="24"/>
      <w:lang w:eastAsia="en-AU"/>
    </w:rPr>
  </w:style>
  <w:style w:type="character" w:customStyle="1" w:styleId="notetextChar">
    <w:name w:val="note(text) Char"/>
    <w:aliases w:val="n Char"/>
    <w:basedOn w:val="DefaultParagraphFont"/>
    <w:link w:val="notetext"/>
    <w:rsid w:val="00C6275A"/>
    <w:rPr>
      <w:rFonts w:eastAsia="Times New Roman" w:cs="Times New Roman"/>
      <w:sz w:val="18"/>
      <w:lang w:eastAsia="en-AU"/>
    </w:rPr>
  </w:style>
  <w:style w:type="character" w:customStyle="1" w:styleId="Heading1Char">
    <w:name w:val="Heading 1 Char"/>
    <w:basedOn w:val="DefaultParagraphFont"/>
    <w:link w:val="Heading1"/>
    <w:uiPriority w:val="9"/>
    <w:rsid w:val="00C6275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C6275A"/>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C6275A"/>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semiHidden/>
    <w:rsid w:val="00C6275A"/>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semiHidden/>
    <w:rsid w:val="00C6275A"/>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semiHidden/>
    <w:rsid w:val="00C6275A"/>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semiHidden/>
    <w:rsid w:val="00C6275A"/>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C6275A"/>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C6275A"/>
    <w:rPr>
      <w:rFonts w:asciiTheme="majorHAnsi" w:eastAsiaTheme="majorEastAsia" w:hAnsiTheme="majorHAnsi" w:cstheme="majorBidi"/>
      <w:i/>
      <w:iCs/>
      <w:color w:val="404040" w:themeColor="text1" w:themeTint="BF"/>
    </w:rPr>
  </w:style>
  <w:style w:type="character" w:customStyle="1" w:styleId="paragraphChar">
    <w:name w:val="paragraph Char"/>
    <w:aliases w:val="a Char"/>
    <w:link w:val="paragraph"/>
    <w:rsid w:val="0033385D"/>
    <w:rPr>
      <w:rFonts w:eastAsia="Times New Roman" w:cs="Times New Roman"/>
      <w:sz w:val="22"/>
      <w:lang w:eastAsia="en-AU"/>
    </w:rPr>
  </w:style>
  <w:style w:type="character" w:styleId="Hyperlink">
    <w:name w:val="Hyperlink"/>
    <w:basedOn w:val="DefaultParagraphFont"/>
    <w:uiPriority w:val="99"/>
    <w:semiHidden/>
    <w:unhideWhenUsed/>
    <w:rsid w:val="00A67344"/>
    <w:rPr>
      <w:color w:val="0000FF" w:themeColor="hyperlink"/>
      <w:u w:val="single"/>
    </w:rPr>
  </w:style>
  <w:style w:type="character" w:styleId="FollowedHyperlink">
    <w:name w:val="FollowedHyperlink"/>
    <w:basedOn w:val="DefaultParagraphFont"/>
    <w:uiPriority w:val="99"/>
    <w:semiHidden/>
    <w:unhideWhenUsed/>
    <w:rsid w:val="00A67344"/>
    <w:rPr>
      <w:color w:val="0000FF" w:themeColor="hyperlink"/>
      <w:u w:val="single"/>
    </w:rPr>
  </w:style>
  <w:style w:type="paragraph" w:customStyle="1" w:styleId="ShortTP1">
    <w:name w:val="ShortTP1"/>
    <w:basedOn w:val="ShortT"/>
    <w:link w:val="ShortTP1Char"/>
    <w:rsid w:val="00A67344"/>
    <w:pPr>
      <w:spacing w:before="800"/>
    </w:pPr>
  </w:style>
  <w:style w:type="character" w:customStyle="1" w:styleId="ShortTP1Char">
    <w:name w:val="ShortTP1 Char"/>
    <w:basedOn w:val="DefaultParagraphFont"/>
    <w:link w:val="ShortTP1"/>
    <w:rsid w:val="00A67344"/>
    <w:rPr>
      <w:rFonts w:eastAsia="Times New Roman" w:cs="Times New Roman"/>
      <w:b/>
      <w:sz w:val="40"/>
      <w:lang w:eastAsia="en-AU"/>
    </w:rPr>
  </w:style>
  <w:style w:type="paragraph" w:customStyle="1" w:styleId="ActNoP1">
    <w:name w:val="ActNoP1"/>
    <w:basedOn w:val="Actno"/>
    <w:link w:val="ActNoP1Char"/>
    <w:rsid w:val="00A67344"/>
    <w:pPr>
      <w:spacing w:before="800"/>
    </w:pPr>
    <w:rPr>
      <w:sz w:val="28"/>
    </w:rPr>
  </w:style>
  <w:style w:type="character" w:customStyle="1" w:styleId="ActNoP1Char">
    <w:name w:val="ActNoP1 Char"/>
    <w:basedOn w:val="DefaultParagraphFont"/>
    <w:link w:val="ActNoP1"/>
    <w:rsid w:val="00A67344"/>
    <w:rPr>
      <w:rFonts w:eastAsia="Times New Roman" w:cs="Times New Roman"/>
      <w:b/>
      <w:sz w:val="28"/>
      <w:lang w:eastAsia="en-AU"/>
    </w:rPr>
  </w:style>
  <w:style w:type="paragraph" w:customStyle="1" w:styleId="AssentBk">
    <w:name w:val="AssentBk"/>
    <w:basedOn w:val="Normal"/>
    <w:rsid w:val="00A67344"/>
    <w:pPr>
      <w:spacing w:line="240" w:lineRule="auto"/>
    </w:pPr>
    <w:rPr>
      <w:rFonts w:eastAsia="Times New Roman" w:cs="Times New Roman"/>
      <w:sz w:val="20"/>
      <w:lang w:eastAsia="en-AU"/>
    </w:rPr>
  </w:style>
  <w:style w:type="paragraph" w:customStyle="1" w:styleId="AssentDt">
    <w:name w:val="AssentDt"/>
    <w:basedOn w:val="Normal"/>
    <w:rsid w:val="00B975DC"/>
    <w:pPr>
      <w:spacing w:line="240" w:lineRule="auto"/>
    </w:pPr>
    <w:rPr>
      <w:rFonts w:eastAsia="Times New Roman" w:cs="Times New Roman"/>
      <w:sz w:val="20"/>
      <w:lang w:eastAsia="en-AU"/>
    </w:rPr>
  </w:style>
  <w:style w:type="paragraph" w:customStyle="1" w:styleId="2ndRd">
    <w:name w:val="2ndRd"/>
    <w:basedOn w:val="Normal"/>
    <w:rsid w:val="00B975DC"/>
    <w:pPr>
      <w:spacing w:line="240" w:lineRule="auto"/>
    </w:pPr>
    <w:rPr>
      <w:rFonts w:eastAsia="Times New Roman" w:cs="Times New Roman"/>
      <w:sz w:val="20"/>
      <w:lang w:eastAsia="en-AU"/>
    </w:rPr>
  </w:style>
  <w:style w:type="paragraph" w:customStyle="1" w:styleId="ScalePlusRef">
    <w:name w:val="ScalePlusRef"/>
    <w:basedOn w:val="Normal"/>
    <w:rsid w:val="00B975DC"/>
    <w:pPr>
      <w:spacing w:line="240" w:lineRule="auto"/>
    </w:pPr>
    <w:rPr>
      <w:rFonts w:eastAsia="Times New Roman" w:cs="Times New Roman"/>
      <w:sz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8.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oleObject" Target="embeddings/oleObject2.bin"/><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oter" Target="footer6.xml"/><Relationship Id="rId28" Type="http://schemas.openxmlformats.org/officeDocument/2006/relationships/header" Target="header11.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legislation.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nceskij\AppData\Roaming\OPC-APH\bill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bill_amd.dotx</Template>
  <TotalTime>0</TotalTime>
  <Pages>18</Pages>
  <Words>3724</Words>
  <Characters>16017</Characters>
  <Application>Microsoft Office Word</Application>
  <DocSecurity>0</DocSecurity>
  <PresentationFormat/>
  <Lines>8008</Lines>
  <Paragraphs>3948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15793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2021-05-19T01:26:00Z</cp:lastPrinted>
  <dcterms:created xsi:type="dcterms:W3CDTF">2021-06-01T08:57:00Z</dcterms:created>
  <dcterms:modified xsi:type="dcterms:W3CDTF">2021-11-02T22:10:00Z</dcterms:modified>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National Disability Insurance Scheme Amendment (Improving Supports for At Risk Participants) Act 2021</vt:lpwstr>
  </property>
  <property fmtid="{D5CDD505-2E9C-101B-9397-08002B2CF9AE}" pid="3" name="ActNo">
    <vt:lpwstr>No. 116, 2021</vt:lpwstr>
  </property>
  <property fmtid="{D5CDD505-2E9C-101B-9397-08002B2CF9AE}" pid="4" name="Class">
    <vt:lpwstr>BILL</vt:lpwstr>
  </property>
  <property fmtid="{D5CDD505-2E9C-101B-9397-08002B2CF9AE}" pid="5" name="Type">
    <vt:lpwstr>BILL</vt:lpwstr>
  </property>
  <property fmtid="{D5CDD505-2E9C-101B-9397-08002B2CF9AE}" pid="6" name="DocType">
    <vt:lpwstr>AMD</vt:lpwstr>
  </property>
  <property fmtid="{D5CDD505-2E9C-101B-9397-08002B2CF9AE}" pid="7" name="DLM">
    <vt:lpwstr> </vt:lpwstr>
  </property>
  <property fmtid="{D5CDD505-2E9C-101B-9397-08002B2CF9AE}" pid="8" name="Classification">
    <vt:lpwstr> </vt:lpwstr>
  </property>
  <property fmtid="{D5CDD505-2E9C-101B-9397-08002B2CF9AE}" pid="9" name="ID">
    <vt:lpwstr>OPC7658</vt:lpwstr>
  </property>
</Properties>
</file>