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66691695"/>
    <w:p w14:paraId="0EF0ED25" w14:textId="5EFA4220" w:rsidR="002528CA" w:rsidRDefault="002528CA" w:rsidP="002528CA">
      <w:r>
        <w:object w:dxaOrig="2146" w:dyaOrig="1561" w14:anchorId="72D3E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05pt;height:78.25pt" o:ole="" fillcolor="window">
            <v:imagedata r:id="rId7" o:title=""/>
          </v:shape>
          <o:OLEObject Type="Embed" ProgID="Word.Picture.8" ShapeID="_x0000_i1026" DrawAspect="Content" ObjectID="_1693310454" r:id="rId8"/>
        </w:object>
      </w:r>
    </w:p>
    <w:p w14:paraId="44ED2AE7" w14:textId="77777777" w:rsidR="002528CA" w:rsidRDefault="002528CA" w:rsidP="002528CA"/>
    <w:p w14:paraId="50070E18" w14:textId="77777777" w:rsidR="002528CA" w:rsidRDefault="002528CA" w:rsidP="002528CA"/>
    <w:p w14:paraId="70B63ACB" w14:textId="77777777" w:rsidR="002528CA" w:rsidRDefault="002528CA" w:rsidP="002528CA"/>
    <w:p w14:paraId="5FD28CF0" w14:textId="77777777" w:rsidR="002528CA" w:rsidRDefault="002528CA" w:rsidP="002528CA"/>
    <w:p w14:paraId="4EF64BBA" w14:textId="77777777" w:rsidR="002528CA" w:rsidRDefault="002528CA" w:rsidP="002528CA"/>
    <w:p w14:paraId="48A13F13" w14:textId="77777777" w:rsidR="002528CA" w:rsidRDefault="002528CA" w:rsidP="002528CA"/>
    <w:p w14:paraId="4D22A26D" w14:textId="23018298" w:rsidR="0048364F" w:rsidRPr="00A62077" w:rsidRDefault="002528CA" w:rsidP="0048364F">
      <w:pPr>
        <w:pStyle w:val="ShortT"/>
      </w:pPr>
      <w:r>
        <w:t>Treasury Laws Ame</w:t>
      </w:r>
      <w:bookmarkStart w:id="1" w:name="_GoBack"/>
      <w:bookmarkEnd w:id="1"/>
      <w:r>
        <w:t>ndment (2021 Measures No. 2) Act 2021</w:t>
      </w:r>
    </w:p>
    <w:bookmarkEnd w:id="0"/>
    <w:p w14:paraId="44BE1619" w14:textId="77777777" w:rsidR="0048364F" w:rsidRPr="00A62077" w:rsidRDefault="0048364F" w:rsidP="0048364F"/>
    <w:p w14:paraId="4B62A981" w14:textId="7E00B32A" w:rsidR="0048364F" w:rsidRPr="00A62077" w:rsidRDefault="00C164CA" w:rsidP="002528CA">
      <w:pPr>
        <w:pStyle w:val="Actno"/>
        <w:spacing w:before="400"/>
      </w:pPr>
      <w:r w:rsidRPr="00A62077">
        <w:t>No.</w:t>
      </w:r>
      <w:r w:rsidR="009B4C5A">
        <w:t xml:space="preserve"> 110</w:t>
      </w:r>
      <w:r w:rsidRPr="00A62077">
        <w:t>, 20</w:t>
      </w:r>
      <w:r w:rsidR="009E186E" w:rsidRPr="00A62077">
        <w:t>21</w:t>
      </w:r>
    </w:p>
    <w:p w14:paraId="230D8D56" w14:textId="77777777" w:rsidR="0048364F" w:rsidRPr="00A62077" w:rsidRDefault="0048364F" w:rsidP="0048364F"/>
    <w:p w14:paraId="1E37A9D1" w14:textId="77777777" w:rsidR="00B85A36" w:rsidRDefault="00B85A36" w:rsidP="00B85A36">
      <w:pPr>
        <w:rPr>
          <w:lang w:eastAsia="en-AU"/>
        </w:rPr>
      </w:pPr>
    </w:p>
    <w:p w14:paraId="7B74407E" w14:textId="1B36BE85" w:rsidR="0048364F" w:rsidRPr="00A62077" w:rsidRDefault="0048364F" w:rsidP="0048364F"/>
    <w:p w14:paraId="35DB1CE2" w14:textId="77777777" w:rsidR="0048364F" w:rsidRPr="00A62077" w:rsidRDefault="0048364F" w:rsidP="0048364F"/>
    <w:p w14:paraId="31EFCE5D" w14:textId="77777777" w:rsidR="0048364F" w:rsidRPr="00A62077" w:rsidRDefault="0048364F" w:rsidP="0048364F"/>
    <w:p w14:paraId="48C42AF6" w14:textId="77777777" w:rsidR="002528CA" w:rsidRDefault="002528CA" w:rsidP="002528CA">
      <w:pPr>
        <w:pStyle w:val="LongT"/>
      </w:pPr>
      <w:r>
        <w:t>An Act to amend the law relating to taxation, and for related purposes</w:t>
      </w:r>
    </w:p>
    <w:p w14:paraId="5D0F5196" w14:textId="0FF518C6" w:rsidR="0048364F" w:rsidRPr="004B0398" w:rsidRDefault="0048364F" w:rsidP="0048364F">
      <w:pPr>
        <w:pStyle w:val="Header"/>
        <w:tabs>
          <w:tab w:val="clear" w:pos="4150"/>
          <w:tab w:val="clear" w:pos="8307"/>
        </w:tabs>
      </w:pPr>
      <w:r w:rsidRPr="004B0398">
        <w:rPr>
          <w:rStyle w:val="CharAmSchNo"/>
        </w:rPr>
        <w:t xml:space="preserve"> </w:t>
      </w:r>
      <w:r w:rsidRPr="004B0398">
        <w:rPr>
          <w:rStyle w:val="CharAmSchText"/>
        </w:rPr>
        <w:t xml:space="preserve"> </w:t>
      </w:r>
    </w:p>
    <w:p w14:paraId="2FB9BCE9" w14:textId="77777777" w:rsidR="0048364F" w:rsidRPr="004B0398" w:rsidRDefault="0048364F" w:rsidP="0048364F">
      <w:pPr>
        <w:pStyle w:val="Header"/>
        <w:tabs>
          <w:tab w:val="clear" w:pos="4150"/>
          <w:tab w:val="clear" w:pos="8307"/>
        </w:tabs>
      </w:pPr>
      <w:r w:rsidRPr="004B0398">
        <w:rPr>
          <w:rStyle w:val="CharAmPartNo"/>
        </w:rPr>
        <w:t xml:space="preserve"> </w:t>
      </w:r>
      <w:r w:rsidRPr="004B0398">
        <w:rPr>
          <w:rStyle w:val="CharAmPartText"/>
        </w:rPr>
        <w:t xml:space="preserve"> </w:t>
      </w:r>
    </w:p>
    <w:p w14:paraId="0391132F" w14:textId="77777777" w:rsidR="0048364F" w:rsidRPr="00A62077" w:rsidRDefault="0048364F" w:rsidP="0048364F">
      <w:pPr>
        <w:sectPr w:rsidR="0048364F" w:rsidRPr="00A62077" w:rsidSect="002528CA">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6F99B20F" w14:textId="77777777" w:rsidR="0048364F" w:rsidRPr="00A62077" w:rsidRDefault="0048364F" w:rsidP="0048364F">
      <w:pPr>
        <w:outlineLvl w:val="0"/>
        <w:rPr>
          <w:sz w:val="36"/>
        </w:rPr>
      </w:pPr>
      <w:r w:rsidRPr="00A62077">
        <w:rPr>
          <w:sz w:val="36"/>
        </w:rPr>
        <w:lastRenderedPageBreak/>
        <w:t>Contents</w:t>
      </w:r>
    </w:p>
    <w:p w14:paraId="121BBC08" w14:textId="2E9D8EF0" w:rsidR="009B4C5A" w:rsidRDefault="009B4C5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B4C5A">
        <w:rPr>
          <w:noProof/>
        </w:rPr>
        <w:tab/>
      </w:r>
      <w:r w:rsidRPr="009B4C5A">
        <w:rPr>
          <w:noProof/>
        </w:rPr>
        <w:fldChar w:fldCharType="begin"/>
      </w:r>
      <w:r w:rsidRPr="009B4C5A">
        <w:rPr>
          <w:noProof/>
        </w:rPr>
        <w:instrText xml:space="preserve"> PAGEREF _Toc82697335 \h </w:instrText>
      </w:r>
      <w:r w:rsidRPr="009B4C5A">
        <w:rPr>
          <w:noProof/>
        </w:rPr>
      </w:r>
      <w:r w:rsidRPr="009B4C5A">
        <w:rPr>
          <w:noProof/>
        </w:rPr>
        <w:fldChar w:fldCharType="separate"/>
      </w:r>
      <w:r w:rsidR="00132D98">
        <w:rPr>
          <w:noProof/>
        </w:rPr>
        <w:t>1</w:t>
      </w:r>
      <w:r w:rsidRPr="009B4C5A">
        <w:rPr>
          <w:noProof/>
        </w:rPr>
        <w:fldChar w:fldCharType="end"/>
      </w:r>
    </w:p>
    <w:p w14:paraId="4D094650" w14:textId="15384D4D" w:rsidR="009B4C5A" w:rsidRDefault="009B4C5A">
      <w:pPr>
        <w:pStyle w:val="TOC5"/>
        <w:rPr>
          <w:rFonts w:asciiTheme="minorHAnsi" w:eastAsiaTheme="minorEastAsia" w:hAnsiTheme="minorHAnsi" w:cstheme="minorBidi"/>
          <w:noProof/>
          <w:kern w:val="0"/>
          <w:sz w:val="22"/>
          <w:szCs w:val="22"/>
        </w:rPr>
      </w:pPr>
      <w:r>
        <w:rPr>
          <w:noProof/>
        </w:rPr>
        <w:t>2</w:t>
      </w:r>
      <w:r>
        <w:rPr>
          <w:noProof/>
        </w:rPr>
        <w:tab/>
        <w:t>Commencement</w:t>
      </w:r>
      <w:r w:rsidRPr="009B4C5A">
        <w:rPr>
          <w:noProof/>
        </w:rPr>
        <w:tab/>
      </w:r>
      <w:r w:rsidRPr="009B4C5A">
        <w:rPr>
          <w:noProof/>
        </w:rPr>
        <w:fldChar w:fldCharType="begin"/>
      </w:r>
      <w:r w:rsidRPr="009B4C5A">
        <w:rPr>
          <w:noProof/>
        </w:rPr>
        <w:instrText xml:space="preserve"> PAGEREF _Toc82697336 \h </w:instrText>
      </w:r>
      <w:r w:rsidRPr="009B4C5A">
        <w:rPr>
          <w:noProof/>
        </w:rPr>
      </w:r>
      <w:r w:rsidRPr="009B4C5A">
        <w:rPr>
          <w:noProof/>
        </w:rPr>
        <w:fldChar w:fldCharType="separate"/>
      </w:r>
      <w:r w:rsidR="00132D98">
        <w:rPr>
          <w:noProof/>
        </w:rPr>
        <w:t>2</w:t>
      </w:r>
      <w:r w:rsidRPr="009B4C5A">
        <w:rPr>
          <w:noProof/>
        </w:rPr>
        <w:fldChar w:fldCharType="end"/>
      </w:r>
    </w:p>
    <w:p w14:paraId="77DB48DF" w14:textId="38CE2E09" w:rsidR="009B4C5A" w:rsidRDefault="009B4C5A">
      <w:pPr>
        <w:pStyle w:val="TOC5"/>
        <w:rPr>
          <w:rFonts w:asciiTheme="minorHAnsi" w:eastAsiaTheme="minorEastAsia" w:hAnsiTheme="minorHAnsi" w:cstheme="minorBidi"/>
          <w:noProof/>
          <w:kern w:val="0"/>
          <w:sz w:val="22"/>
          <w:szCs w:val="22"/>
        </w:rPr>
      </w:pPr>
      <w:r>
        <w:rPr>
          <w:noProof/>
        </w:rPr>
        <w:t>3</w:t>
      </w:r>
      <w:r>
        <w:rPr>
          <w:noProof/>
        </w:rPr>
        <w:tab/>
        <w:t>Schedules</w:t>
      </w:r>
      <w:r w:rsidRPr="009B4C5A">
        <w:rPr>
          <w:noProof/>
        </w:rPr>
        <w:tab/>
      </w:r>
      <w:r w:rsidRPr="009B4C5A">
        <w:rPr>
          <w:noProof/>
        </w:rPr>
        <w:fldChar w:fldCharType="begin"/>
      </w:r>
      <w:r w:rsidRPr="009B4C5A">
        <w:rPr>
          <w:noProof/>
        </w:rPr>
        <w:instrText xml:space="preserve"> PAGEREF _Toc82697337 \h </w:instrText>
      </w:r>
      <w:r w:rsidRPr="009B4C5A">
        <w:rPr>
          <w:noProof/>
        </w:rPr>
      </w:r>
      <w:r w:rsidRPr="009B4C5A">
        <w:rPr>
          <w:noProof/>
        </w:rPr>
        <w:fldChar w:fldCharType="separate"/>
      </w:r>
      <w:r w:rsidR="00132D98">
        <w:rPr>
          <w:noProof/>
        </w:rPr>
        <w:t>2</w:t>
      </w:r>
      <w:r w:rsidRPr="009B4C5A">
        <w:rPr>
          <w:noProof/>
        </w:rPr>
        <w:fldChar w:fldCharType="end"/>
      </w:r>
    </w:p>
    <w:p w14:paraId="32877CBD" w14:textId="2F6CDFCB" w:rsidR="009B4C5A" w:rsidRDefault="009B4C5A">
      <w:pPr>
        <w:pStyle w:val="TOC6"/>
        <w:rPr>
          <w:rFonts w:asciiTheme="minorHAnsi" w:eastAsiaTheme="minorEastAsia" w:hAnsiTheme="minorHAnsi" w:cstheme="minorBidi"/>
          <w:b w:val="0"/>
          <w:noProof/>
          <w:kern w:val="0"/>
          <w:sz w:val="22"/>
          <w:szCs w:val="22"/>
        </w:rPr>
      </w:pPr>
      <w:r>
        <w:rPr>
          <w:noProof/>
        </w:rPr>
        <w:t>Schedule 1—Deductible gift recipients</w:t>
      </w:r>
      <w:r w:rsidRPr="009B4C5A">
        <w:rPr>
          <w:b w:val="0"/>
          <w:noProof/>
          <w:sz w:val="18"/>
        </w:rPr>
        <w:tab/>
      </w:r>
      <w:r w:rsidRPr="009B4C5A">
        <w:rPr>
          <w:b w:val="0"/>
          <w:noProof/>
          <w:sz w:val="18"/>
        </w:rPr>
        <w:fldChar w:fldCharType="begin"/>
      </w:r>
      <w:r w:rsidRPr="009B4C5A">
        <w:rPr>
          <w:b w:val="0"/>
          <w:noProof/>
          <w:sz w:val="18"/>
        </w:rPr>
        <w:instrText xml:space="preserve"> PAGEREF _Toc82697338 \h </w:instrText>
      </w:r>
      <w:r w:rsidRPr="009B4C5A">
        <w:rPr>
          <w:b w:val="0"/>
          <w:noProof/>
          <w:sz w:val="18"/>
        </w:rPr>
      </w:r>
      <w:r w:rsidRPr="009B4C5A">
        <w:rPr>
          <w:b w:val="0"/>
          <w:noProof/>
          <w:sz w:val="18"/>
        </w:rPr>
        <w:fldChar w:fldCharType="separate"/>
      </w:r>
      <w:r w:rsidR="00132D98">
        <w:rPr>
          <w:b w:val="0"/>
          <w:noProof/>
          <w:sz w:val="18"/>
        </w:rPr>
        <w:t>3</w:t>
      </w:r>
      <w:r w:rsidRPr="009B4C5A">
        <w:rPr>
          <w:b w:val="0"/>
          <w:noProof/>
          <w:sz w:val="18"/>
        </w:rPr>
        <w:fldChar w:fldCharType="end"/>
      </w:r>
    </w:p>
    <w:p w14:paraId="12C91D87" w14:textId="61299757" w:rsidR="009B4C5A" w:rsidRDefault="009B4C5A">
      <w:pPr>
        <w:pStyle w:val="TOC7"/>
        <w:rPr>
          <w:rFonts w:asciiTheme="minorHAnsi" w:eastAsiaTheme="minorEastAsia" w:hAnsiTheme="minorHAnsi" w:cstheme="minorBidi"/>
          <w:noProof/>
          <w:kern w:val="0"/>
          <w:sz w:val="22"/>
          <w:szCs w:val="22"/>
        </w:rPr>
      </w:pPr>
      <w:r>
        <w:rPr>
          <w:noProof/>
        </w:rPr>
        <w:t>Part 1—Amendments</w:t>
      </w:r>
      <w:r w:rsidRPr="009B4C5A">
        <w:rPr>
          <w:noProof/>
          <w:sz w:val="18"/>
        </w:rPr>
        <w:tab/>
      </w:r>
      <w:r w:rsidRPr="009B4C5A">
        <w:rPr>
          <w:noProof/>
          <w:sz w:val="18"/>
        </w:rPr>
        <w:fldChar w:fldCharType="begin"/>
      </w:r>
      <w:r w:rsidRPr="009B4C5A">
        <w:rPr>
          <w:noProof/>
          <w:sz w:val="18"/>
        </w:rPr>
        <w:instrText xml:space="preserve"> PAGEREF _Toc82697339 \h </w:instrText>
      </w:r>
      <w:r w:rsidRPr="009B4C5A">
        <w:rPr>
          <w:noProof/>
          <w:sz w:val="18"/>
        </w:rPr>
      </w:r>
      <w:r w:rsidRPr="009B4C5A">
        <w:rPr>
          <w:noProof/>
          <w:sz w:val="18"/>
        </w:rPr>
        <w:fldChar w:fldCharType="separate"/>
      </w:r>
      <w:r w:rsidR="00132D98">
        <w:rPr>
          <w:noProof/>
          <w:sz w:val="18"/>
        </w:rPr>
        <w:t>3</w:t>
      </w:r>
      <w:r w:rsidRPr="009B4C5A">
        <w:rPr>
          <w:noProof/>
          <w:sz w:val="18"/>
        </w:rPr>
        <w:fldChar w:fldCharType="end"/>
      </w:r>
    </w:p>
    <w:p w14:paraId="487E86BB" w14:textId="73905F1E" w:rsidR="009B4C5A" w:rsidRDefault="009B4C5A">
      <w:pPr>
        <w:pStyle w:val="TOC9"/>
        <w:rPr>
          <w:rFonts w:asciiTheme="minorHAnsi" w:eastAsiaTheme="minorEastAsia" w:hAnsiTheme="minorHAnsi" w:cstheme="minorBidi"/>
          <w:i w:val="0"/>
          <w:noProof/>
          <w:kern w:val="0"/>
          <w:sz w:val="22"/>
          <w:szCs w:val="22"/>
        </w:rPr>
      </w:pPr>
      <w:r>
        <w:rPr>
          <w:noProof/>
        </w:rPr>
        <w:t>Income Tax Assessment Act 1997</w:t>
      </w:r>
      <w:r w:rsidRPr="009B4C5A">
        <w:rPr>
          <w:i w:val="0"/>
          <w:noProof/>
          <w:sz w:val="18"/>
        </w:rPr>
        <w:tab/>
      </w:r>
      <w:r w:rsidRPr="009B4C5A">
        <w:rPr>
          <w:i w:val="0"/>
          <w:noProof/>
          <w:sz w:val="18"/>
        </w:rPr>
        <w:fldChar w:fldCharType="begin"/>
      </w:r>
      <w:r w:rsidRPr="009B4C5A">
        <w:rPr>
          <w:i w:val="0"/>
          <w:noProof/>
          <w:sz w:val="18"/>
        </w:rPr>
        <w:instrText xml:space="preserve"> PAGEREF _Toc82697340 \h </w:instrText>
      </w:r>
      <w:r w:rsidRPr="009B4C5A">
        <w:rPr>
          <w:i w:val="0"/>
          <w:noProof/>
          <w:sz w:val="18"/>
        </w:rPr>
      </w:r>
      <w:r w:rsidRPr="009B4C5A">
        <w:rPr>
          <w:i w:val="0"/>
          <w:noProof/>
          <w:sz w:val="18"/>
        </w:rPr>
        <w:fldChar w:fldCharType="separate"/>
      </w:r>
      <w:r w:rsidR="00132D98">
        <w:rPr>
          <w:i w:val="0"/>
          <w:noProof/>
          <w:sz w:val="18"/>
        </w:rPr>
        <w:t>3</w:t>
      </w:r>
      <w:r w:rsidRPr="009B4C5A">
        <w:rPr>
          <w:i w:val="0"/>
          <w:noProof/>
          <w:sz w:val="18"/>
        </w:rPr>
        <w:fldChar w:fldCharType="end"/>
      </w:r>
    </w:p>
    <w:p w14:paraId="566E8D1A" w14:textId="393CD9CD" w:rsidR="009B4C5A" w:rsidRDefault="009B4C5A">
      <w:pPr>
        <w:pStyle w:val="TOC7"/>
        <w:rPr>
          <w:rFonts w:asciiTheme="minorHAnsi" w:eastAsiaTheme="minorEastAsia" w:hAnsiTheme="minorHAnsi" w:cstheme="minorBidi"/>
          <w:noProof/>
          <w:kern w:val="0"/>
          <w:sz w:val="22"/>
          <w:szCs w:val="22"/>
        </w:rPr>
      </w:pPr>
      <w:r>
        <w:rPr>
          <w:noProof/>
        </w:rPr>
        <w:t>Part 2—Application and transitional provisions</w:t>
      </w:r>
      <w:r w:rsidRPr="009B4C5A">
        <w:rPr>
          <w:noProof/>
          <w:sz w:val="18"/>
        </w:rPr>
        <w:tab/>
      </w:r>
      <w:r w:rsidRPr="009B4C5A">
        <w:rPr>
          <w:noProof/>
          <w:sz w:val="18"/>
        </w:rPr>
        <w:fldChar w:fldCharType="begin"/>
      </w:r>
      <w:r w:rsidRPr="009B4C5A">
        <w:rPr>
          <w:noProof/>
          <w:sz w:val="18"/>
        </w:rPr>
        <w:instrText xml:space="preserve"> PAGEREF _Toc82697342 \h </w:instrText>
      </w:r>
      <w:r w:rsidRPr="009B4C5A">
        <w:rPr>
          <w:noProof/>
          <w:sz w:val="18"/>
        </w:rPr>
      </w:r>
      <w:r w:rsidRPr="009B4C5A">
        <w:rPr>
          <w:noProof/>
          <w:sz w:val="18"/>
        </w:rPr>
        <w:fldChar w:fldCharType="separate"/>
      </w:r>
      <w:r w:rsidR="00132D98">
        <w:rPr>
          <w:noProof/>
          <w:sz w:val="18"/>
        </w:rPr>
        <w:t>7</w:t>
      </w:r>
      <w:r w:rsidRPr="009B4C5A">
        <w:rPr>
          <w:noProof/>
          <w:sz w:val="18"/>
        </w:rPr>
        <w:fldChar w:fldCharType="end"/>
      </w:r>
    </w:p>
    <w:p w14:paraId="6A28125B" w14:textId="3501A055" w:rsidR="009B4C5A" w:rsidRDefault="009B4C5A">
      <w:pPr>
        <w:pStyle w:val="TOC6"/>
        <w:rPr>
          <w:rFonts w:asciiTheme="minorHAnsi" w:eastAsiaTheme="minorEastAsia" w:hAnsiTheme="minorHAnsi" w:cstheme="minorBidi"/>
          <w:b w:val="0"/>
          <w:noProof/>
          <w:kern w:val="0"/>
          <w:sz w:val="22"/>
          <w:szCs w:val="22"/>
        </w:rPr>
      </w:pPr>
      <w:r>
        <w:rPr>
          <w:noProof/>
        </w:rPr>
        <w:t>Schedule 2—Offshore banking units</w:t>
      </w:r>
      <w:r w:rsidRPr="009B4C5A">
        <w:rPr>
          <w:b w:val="0"/>
          <w:noProof/>
          <w:sz w:val="18"/>
        </w:rPr>
        <w:tab/>
      </w:r>
      <w:r w:rsidRPr="009B4C5A">
        <w:rPr>
          <w:b w:val="0"/>
          <w:noProof/>
          <w:sz w:val="18"/>
        </w:rPr>
        <w:fldChar w:fldCharType="begin"/>
      </w:r>
      <w:r w:rsidRPr="009B4C5A">
        <w:rPr>
          <w:b w:val="0"/>
          <w:noProof/>
          <w:sz w:val="18"/>
        </w:rPr>
        <w:instrText xml:space="preserve"> PAGEREF _Toc82697343 \h </w:instrText>
      </w:r>
      <w:r w:rsidRPr="009B4C5A">
        <w:rPr>
          <w:b w:val="0"/>
          <w:noProof/>
          <w:sz w:val="18"/>
        </w:rPr>
      </w:r>
      <w:r w:rsidRPr="009B4C5A">
        <w:rPr>
          <w:b w:val="0"/>
          <w:noProof/>
          <w:sz w:val="18"/>
        </w:rPr>
        <w:fldChar w:fldCharType="separate"/>
      </w:r>
      <w:r w:rsidR="00132D98">
        <w:rPr>
          <w:b w:val="0"/>
          <w:noProof/>
          <w:sz w:val="18"/>
        </w:rPr>
        <w:t>10</w:t>
      </w:r>
      <w:r w:rsidRPr="009B4C5A">
        <w:rPr>
          <w:b w:val="0"/>
          <w:noProof/>
          <w:sz w:val="18"/>
        </w:rPr>
        <w:fldChar w:fldCharType="end"/>
      </w:r>
    </w:p>
    <w:p w14:paraId="1E552D30" w14:textId="6E10A5B1" w:rsidR="009B4C5A" w:rsidRDefault="009B4C5A">
      <w:pPr>
        <w:pStyle w:val="TOC7"/>
        <w:rPr>
          <w:rFonts w:asciiTheme="minorHAnsi" w:eastAsiaTheme="minorEastAsia" w:hAnsiTheme="minorHAnsi" w:cstheme="minorBidi"/>
          <w:noProof/>
          <w:kern w:val="0"/>
          <w:sz w:val="22"/>
          <w:szCs w:val="22"/>
        </w:rPr>
      </w:pPr>
      <w:r>
        <w:rPr>
          <w:noProof/>
        </w:rPr>
        <w:t>Part 1—OBU income etc.</w:t>
      </w:r>
      <w:r w:rsidRPr="009B4C5A">
        <w:rPr>
          <w:noProof/>
          <w:sz w:val="18"/>
        </w:rPr>
        <w:tab/>
      </w:r>
      <w:r w:rsidRPr="009B4C5A">
        <w:rPr>
          <w:noProof/>
          <w:sz w:val="18"/>
        </w:rPr>
        <w:fldChar w:fldCharType="begin"/>
      </w:r>
      <w:r w:rsidRPr="009B4C5A">
        <w:rPr>
          <w:noProof/>
          <w:sz w:val="18"/>
        </w:rPr>
        <w:instrText xml:space="preserve"> PAGEREF _Toc82697344 \h </w:instrText>
      </w:r>
      <w:r w:rsidRPr="009B4C5A">
        <w:rPr>
          <w:noProof/>
          <w:sz w:val="18"/>
        </w:rPr>
      </w:r>
      <w:r w:rsidRPr="009B4C5A">
        <w:rPr>
          <w:noProof/>
          <w:sz w:val="18"/>
        </w:rPr>
        <w:fldChar w:fldCharType="separate"/>
      </w:r>
      <w:r w:rsidR="00132D98">
        <w:rPr>
          <w:noProof/>
          <w:sz w:val="18"/>
        </w:rPr>
        <w:t>10</w:t>
      </w:r>
      <w:r w:rsidRPr="009B4C5A">
        <w:rPr>
          <w:noProof/>
          <w:sz w:val="18"/>
        </w:rPr>
        <w:fldChar w:fldCharType="end"/>
      </w:r>
    </w:p>
    <w:p w14:paraId="44B35524" w14:textId="21B3561E" w:rsidR="009B4C5A" w:rsidRDefault="009B4C5A">
      <w:pPr>
        <w:pStyle w:val="TOC9"/>
        <w:rPr>
          <w:rFonts w:asciiTheme="minorHAnsi" w:eastAsiaTheme="minorEastAsia" w:hAnsiTheme="minorHAnsi" w:cstheme="minorBidi"/>
          <w:i w:val="0"/>
          <w:noProof/>
          <w:kern w:val="0"/>
          <w:sz w:val="22"/>
          <w:szCs w:val="22"/>
        </w:rPr>
      </w:pPr>
      <w:r>
        <w:rPr>
          <w:noProof/>
        </w:rPr>
        <w:t>Income Tax Assessment Act 1936</w:t>
      </w:r>
      <w:r w:rsidRPr="009B4C5A">
        <w:rPr>
          <w:i w:val="0"/>
          <w:noProof/>
          <w:sz w:val="18"/>
        </w:rPr>
        <w:tab/>
      </w:r>
      <w:r w:rsidRPr="009B4C5A">
        <w:rPr>
          <w:i w:val="0"/>
          <w:noProof/>
          <w:sz w:val="18"/>
        </w:rPr>
        <w:fldChar w:fldCharType="begin"/>
      </w:r>
      <w:r w:rsidRPr="009B4C5A">
        <w:rPr>
          <w:i w:val="0"/>
          <w:noProof/>
          <w:sz w:val="18"/>
        </w:rPr>
        <w:instrText xml:space="preserve"> PAGEREF _Toc82697345 \h </w:instrText>
      </w:r>
      <w:r w:rsidRPr="009B4C5A">
        <w:rPr>
          <w:i w:val="0"/>
          <w:noProof/>
          <w:sz w:val="18"/>
        </w:rPr>
      </w:r>
      <w:r w:rsidRPr="009B4C5A">
        <w:rPr>
          <w:i w:val="0"/>
          <w:noProof/>
          <w:sz w:val="18"/>
        </w:rPr>
        <w:fldChar w:fldCharType="separate"/>
      </w:r>
      <w:r w:rsidR="00132D98">
        <w:rPr>
          <w:i w:val="0"/>
          <w:noProof/>
          <w:sz w:val="18"/>
        </w:rPr>
        <w:t>10</w:t>
      </w:r>
      <w:r w:rsidRPr="009B4C5A">
        <w:rPr>
          <w:i w:val="0"/>
          <w:noProof/>
          <w:sz w:val="18"/>
        </w:rPr>
        <w:fldChar w:fldCharType="end"/>
      </w:r>
    </w:p>
    <w:p w14:paraId="2ED62397" w14:textId="089390B1" w:rsidR="009B4C5A" w:rsidRDefault="009B4C5A">
      <w:pPr>
        <w:pStyle w:val="TOC9"/>
        <w:rPr>
          <w:rFonts w:asciiTheme="minorHAnsi" w:eastAsiaTheme="minorEastAsia" w:hAnsiTheme="minorHAnsi" w:cstheme="minorBidi"/>
          <w:i w:val="0"/>
          <w:noProof/>
          <w:kern w:val="0"/>
          <w:sz w:val="22"/>
          <w:szCs w:val="22"/>
        </w:rPr>
      </w:pPr>
      <w:r>
        <w:rPr>
          <w:noProof/>
        </w:rPr>
        <w:t>Income Tax Assessment Act 1997</w:t>
      </w:r>
      <w:r w:rsidRPr="009B4C5A">
        <w:rPr>
          <w:i w:val="0"/>
          <w:noProof/>
          <w:sz w:val="18"/>
        </w:rPr>
        <w:tab/>
      </w:r>
      <w:r w:rsidRPr="009B4C5A">
        <w:rPr>
          <w:i w:val="0"/>
          <w:noProof/>
          <w:sz w:val="18"/>
        </w:rPr>
        <w:fldChar w:fldCharType="begin"/>
      </w:r>
      <w:r w:rsidRPr="009B4C5A">
        <w:rPr>
          <w:i w:val="0"/>
          <w:noProof/>
          <w:sz w:val="18"/>
        </w:rPr>
        <w:instrText xml:space="preserve"> PAGEREF _Toc82697346 \h </w:instrText>
      </w:r>
      <w:r w:rsidRPr="009B4C5A">
        <w:rPr>
          <w:i w:val="0"/>
          <w:noProof/>
          <w:sz w:val="18"/>
        </w:rPr>
      </w:r>
      <w:r w:rsidRPr="009B4C5A">
        <w:rPr>
          <w:i w:val="0"/>
          <w:noProof/>
          <w:sz w:val="18"/>
        </w:rPr>
        <w:fldChar w:fldCharType="separate"/>
      </w:r>
      <w:r w:rsidR="00132D98">
        <w:rPr>
          <w:i w:val="0"/>
          <w:noProof/>
          <w:sz w:val="18"/>
        </w:rPr>
        <w:t>10</w:t>
      </w:r>
      <w:r w:rsidRPr="009B4C5A">
        <w:rPr>
          <w:i w:val="0"/>
          <w:noProof/>
          <w:sz w:val="18"/>
        </w:rPr>
        <w:fldChar w:fldCharType="end"/>
      </w:r>
    </w:p>
    <w:p w14:paraId="682025B4" w14:textId="678DEEA7" w:rsidR="009B4C5A" w:rsidRDefault="009B4C5A">
      <w:pPr>
        <w:pStyle w:val="TOC7"/>
        <w:rPr>
          <w:rFonts w:asciiTheme="minorHAnsi" w:eastAsiaTheme="minorEastAsia" w:hAnsiTheme="minorHAnsi" w:cstheme="minorBidi"/>
          <w:noProof/>
          <w:kern w:val="0"/>
          <w:sz w:val="22"/>
          <w:szCs w:val="22"/>
        </w:rPr>
      </w:pPr>
      <w:r>
        <w:rPr>
          <w:noProof/>
        </w:rPr>
        <w:t>Part 2—Ministerial declarations and determinations</w:t>
      </w:r>
      <w:r w:rsidRPr="009B4C5A">
        <w:rPr>
          <w:noProof/>
          <w:sz w:val="18"/>
        </w:rPr>
        <w:tab/>
      </w:r>
      <w:r w:rsidRPr="009B4C5A">
        <w:rPr>
          <w:noProof/>
          <w:sz w:val="18"/>
        </w:rPr>
        <w:fldChar w:fldCharType="begin"/>
      </w:r>
      <w:r w:rsidRPr="009B4C5A">
        <w:rPr>
          <w:noProof/>
          <w:sz w:val="18"/>
        </w:rPr>
        <w:instrText xml:space="preserve"> PAGEREF _Toc82697347 \h </w:instrText>
      </w:r>
      <w:r w:rsidRPr="009B4C5A">
        <w:rPr>
          <w:noProof/>
          <w:sz w:val="18"/>
        </w:rPr>
      </w:r>
      <w:r w:rsidRPr="009B4C5A">
        <w:rPr>
          <w:noProof/>
          <w:sz w:val="18"/>
        </w:rPr>
        <w:fldChar w:fldCharType="separate"/>
      </w:r>
      <w:r w:rsidR="00132D98">
        <w:rPr>
          <w:noProof/>
          <w:sz w:val="18"/>
        </w:rPr>
        <w:t>12</w:t>
      </w:r>
      <w:r w:rsidRPr="009B4C5A">
        <w:rPr>
          <w:noProof/>
          <w:sz w:val="18"/>
        </w:rPr>
        <w:fldChar w:fldCharType="end"/>
      </w:r>
    </w:p>
    <w:p w14:paraId="34536007" w14:textId="44649B91" w:rsidR="009B4C5A" w:rsidRDefault="009B4C5A">
      <w:pPr>
        <w:pStyle w:val="TOC9"/>
        <w:rPr>
          <w:rFonts w:asciiTheme="minorHAnsi" w:eastAsiaTheme="minorEastAsia" w:hAnsiTheme="minorHAnsi" w:cstheme="minorBidi"/>
          <w:i w:val="0"/>
          <w:noProof/>
          <w:kern w:val="0"/>
          <w:sz w:val="22"/>
          <w:szCs w:val="22"/>
        </w:rPr>
      </w:pPr>
      <w:r>
        <w:rPr>
          <w:noProof/>
        </w:rPr>
        <w:t>Income Tax Assessment Act 1936</w:t>
      </w:r>
      <w:r w:rsidRPr="009B4C5A">
        <w:rPr>
          <w:i w:val="0"/>
          <w:noProof/>
          <w:sz w:val="18"/>
        </w:rPr>
        <w:tab/>
      </w:r>
      <w:r w:rsidRPr="009B4C5A">
        <w:rPr>
          <w:i w:val="0"/>
          <w:noProof/>
          <w:sz w:val="18"/>
        </w:rPr>
        <w:fldChar w:fldCharType="begin"/>
      </w:r>
      <w:r w:rsidRPr="009B4C5A">
        <w:rPr>
          <w:i w:val="0"/>
          <w:noProof/>
          <w:sz w:val="18"/>
        </w:rPr>
        <w:instrText xml:space="preserve"> PAGEREF _Toc82697348 \h </w:instrText>
      </w:r>
      <w:r w:rsidRPr="009B4C5A">
        <w:rPr>
          <w:i w:val="0"/>
          <w:noProof/>
          <w:sz w:val="18"/>
        </w:rPr>
      </w:r>
      <w:r w:rsidRPr="009B4C5A">
        <w:rPr>
          <w:i w:val="0"/>
          <w:noProof/>
          <w:sz w:val="18"/>
        </w:rPr>
        <w:fldChar w:fldCharType="separate"/>
      </w:r>
      <w:r w:rsidR="00132D98">
        <w:rPr>
          <w:i w:val="0"/>
          <w:noProof/>
          <w:sz w:val="18"/>
        </w:rPr>
        <w:t>12</w:t>
      </w:r>
      <w:r w:rsidRPr="009B4C5A">
        <w:rPr>
          <w:i w:val="0"/>
          <w:noProof/>
          <w:sz w:val="18"/>
        </w:rPr>
        <w:fldChar w:fldCharType="end"/>
      </w:r>
    </w:p>
    <w:p w14:paraId="7D97CD1F" w14:textId="3532265A" w:rsidR="009B4C5A" w:rsidRDefault="009B4C5A">
      <w:pPr>
        <w:pStyle w:val="TOC6"/>
        <w:rPr>
          <w:rFonts w:asciiTheme="minorHAnsi" w:eastAsiaTheme="minorEastAsia" w:hAnsiTheme="minorHAnsi" w:cstheme="minorBidi"/>
          <w:b w:val="0"/>
          <w:noProof/>
          <w:kern w:val="0"/>
          <w:sz w:val="22"/>
          <w:szCs w:val="22"/>
        </w:rPr>
      </w:pPr>
      <w:r>
        <w:rPr>
          <w:noProof/>
        </w:rPr>
        <w:t>Schedule 3—Disclosure of information</w:t>
      </w:r>
      <w:r w:rsidRPr="009B4C5A">
        <w:rPr>
          <w:b w:val="0"/>
          <w:noProof/>
          <w:sz w:val="18"/>
        </w:rPr>
        <w:tab/>
      </w:r>
      <w:r w:rsidRPr="009B4C5A">
        <w:rPr>
          <w:b w:val="0"/>
          <w:noProof/>
          <w:sz w:val="18"/>
        </w:rPr>
        <w:fldChar w:fldCharType="begin"/>
      </w:r>
      <w:r w:rsidRPr="009B4C5A">
        <w:rPr>
          <w:b w:val="0"/>
          <w:noProof/>
          <w:sz w:val="18"/>
        </w:rPr>
        <w:instrText xml:space="preserve"> PAGEREF _Toc82697349 \h </w:instrText>
      </w:r>
      <w:r w:rsidRPr="009B4C5A">
        <w:rPr>
          <w:b w:val="0"/>
          <w:noProof/>
          <w:sz w:val="18"/>
        </w:rPr>
      </w:r>
      <w:r w:rsidRPr="009B4C5A">
        <w:rPr>
          <w:b w:val="0"/>
          <w:noProof/>
          <w:sz w:val="18"/>
        </w:rPr>
        <w:fldChar w:fldCharType="separate"/>
      </w:r>
      <w:r w:rsidR="00132D98">
        <w:rPr>
          <w:b w:val="0"/>
          <w:noProof/>
          <w:sz w:val="18"/>
        </w:rPr>
        <w:t>13</w:t>
      </w:r>
      <w:r w:rsidRPr="009B4C5A">
        <w:rPr>
          <w:b w:val="0"/>
          <w:noProof/>
          <w:sz w:val="18"/>
        </w:rPr>
        <w:fldChar w:fldCharType="end"/>
      </w:r>
    </w:p>
    <w:p w14:paraId="43A523A2" w14:textId="01182B1E" w:rsidR="009B4C5A" w:rsidRDefault="009B4C5A">
      <w:pPr>
        <w:pStyle w:val="TOC9"/>
        <w:rPr>
          <w:rFonts w:asciiTheme="minorHAnsi" w:eastAsiaTheme="minorEastAsia" w:hAnsiTheme="minorHAnsi" w:cstheme="minorBidi"/>
          <w:i w:val="0"/>
          <w:noProof/>
          <w:kern w:val="0"/>
          <w:sz w:val="22"/>
          <w:szCs w:val="22"/>
        </w:rPr>
      </w:pPr>
      <w:r>
        <w:rPr>
          <w:noProof/>
        </w:rPr>
        <w:t>Corporations Act 2001</w:t>
      </w:r>
      <w:r w:rsidRPr="009B4C5A">
        <w:rPr>
          <w:i w:val="0"/>
          <w:noProof/>
          <w:sz w:val="18"/>
        </w:rPr>
        <w:tab/>
      </w:r>
      <w:r w:rsidRPr="009B4C5A">
        <w:rPr>
          <w:i w:val="0"/>
          <w:noProof/>
          <w:sz w:val="18"/>
        </w:rPr>
        <w:fldChar w:fldCharType="begin"/>
      </w:r>
      <w:r w:rsidRPr="009B4C5A">
        <w:rPr>
          <w:i w:val="0"/>
          <w:noProof/>
          <w:sz w:val="18"/>
        </w:rPr>
        <w:instrText xml:space="preserve"> PAGEREF _Toc82697350 \h </w:instrText>
      </w:r>
      <w:r w:rsidRPr="009B4C5A">
        <w:rPr>
          <w:i w:val="0"/>
          <w:noProof/>
          <w:sz w:val="18"/>
        </w:rPr>
      </w:r>
      <w:r w:rsidRPr="009B4C5A">
        <w:rPr>
          <w:i w:val="0"/>
          <w:noProof/>
          <w:sz w:val="18"/>
        </w:rPr>
        <w:fldChar w:fldCharType="separate"/>
      </w:r>
      <w:r w:rsidR="00132D98">
        <w:rPr>
          <w:i w:val="0"/>
          <w:noProof/>
          <w:sz w:val="18"/>
        </w:rPr>
        <w:t>13</w:t>
      </w:r>
      <w:r w:rsidRPr="009B4C5A">
        <w:rPr>
          <w:i w:val="0"/>
          <w:noProof/>
          <w:sz w:val="18"/>
        </w:rPr>
        <w:fldChar w:fldCharType="end"/>
      </w:r>
    </w:p>
    <w:p w14:paraId="5A5A1688" w14:textId="27048B48" w:rsidR="00060FF9" w:rsidRPr="009B4C5A" w:rsidRDefault="009B4C5A" w:rsidP="0048364F">
      <w:pPr>
        <w:rPr>
          <w:rFonts w:cs="Times New Roman"/>
          <w:sz w:val="18"/>
        </w:rPr>
      </w:pPr>
      <w:r>
        <w:rPr>
          <w:rFonts w:cs="Times New Roman"/>
          <w:sz w:val="18"/>
        </w:rPr>
        <w:fldChar w:fldCharType="end"/>
      </w:r>
    </w:p>
    <w:p w14:paraId="4D1F4336" w14:textId="77777777" w:rsidR="00FE7F93" w:rsidRPr="00A62077" w:rsidRDefault="00FE7F93" w:rsidP="0048364F">
      <w:pPr>
        <w:sectPr w:rsidR="00FE7F93" w:rsidRPr="00A62077" w:rsidSect="002528CA">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C247320" w14:textId="77777777" w:rsidR="002528CA" w:rsidRDefault="002528CA">
      <w:r>
        <w:object w:dxaOrig="2146" w:dyaOrig="1561" w14:anchorId="00E0D3A8">
          <v:shape id="_x0000_i1027" type="#_x0000_t75" alt="Commonwealth Coat of Arms of Australia" style="width:110.2pt;height:80.15pt" o:ole="" fillcolor="window">
            <v:imagedata r:id="rId7" o:title=""/>
          </v:shape>
          <o:OLEObject Type="Embed" ProgID="Word.Picture.8" ShapeID="_x0000_i1027" DrawAspect="Content" ObjectID="_1693310455" r:id="rId20"/>
        </w:object>
      </w:r>
    </w:p>
    <w:p w14:paraId="2D617B14" w14:textId="77777777" w:rsidR="002528CA" w:rsidRDefault="002528CA"/>
    <w:p w14:paraId="0FBB7527" w14:textId="77777777" w:rsidR="002528CA" w:rsidRDefault="002528CA" w:rsidP="000178F8">
      <w:pPr>
        <w:spacing w:line="240" w:lineRule="auto"/>
      </w:pPr>
    </w:p>
    <w:p w14:paraId="258A0634" w14:textId="46CF9DED" w:rsidR="002528CA" w:rsidRDefault="003D772A" w:rsidP="000178F8">
      <w:pPr>
        <w:pStyle w:val="ShortTP1"/>
      </w:pPr>
      <w:fldSimple w:instr=" STYLEREF ShortT ">
        <w:r w:rsidR="00132D98">
          <w:rPr>
            <w:noProof/>
          </w:rPr>
          <w:t>Treasury Laws Amendment (2021 Measures No. 2) Act 2021</w:t>
        </w:r>
      </w:fldSimple>
    </w:p>
    <w:p w14:paraId="3B1CB2BC" w14:textId="2E185457" w:rsidR="002528CA" w:rsidRDefault="003D772A" w:rsidP="000178F8">
      <w:pPr>
        <w:pStyle w:val="ActNoP1"/>
      </w:pPr>
      <w:fldSimple w:instr=" STYLEREF Actno ">
        <w:r w:rsidR="00132D98">
          <w:rPr>
            <w:noProof/>
          </w:rPr>
          <w:t>No. 110, 2021</w:t>
        </w:r>
      </w:fldSimple>
    </w:p>
    <w:p w14:paraId="5701B8D4" w14:textId="77777777" w:rsidR="002528CA" w:rsidRPr="009A0728" w:rsidRDefault="002528CA" w:rsidP="009A0728">
      <w:pPr>
        <w:pBdr>
          <w:bottom w:val="single" w:sz="6" w:space="0" w:color="auto"/>
        </w:pBdr>
        <w:spacing w:before="400" w:line="240" w:lineRule="auto"/>
        <w:rPr>
          <w:rFonts w:eastAsia="Times New Roman"/>
          <w:b/>
          <w:sz w:val="28"/>
        </w:rPr>
      </w:pPr>
    </w:p>
    <w:p w14:paraId="781C7162" w14:textId="77777777" w:rsidR="002528CA" w:rsidRPr="009A0728" w:rsidRDefault="002528CA" w:rsidP="009A0728">
      <w:pPr>
        <w:spacing w:line="40" w:lineRule="exact"/>
        <w:rPr>
          <w:rFonts w:eastAsia="Calibri"/>
          <w:b/>
          <w:sz w:val="28"/>
        </w:rPr>
      </w:pPr>
    </w:p>
    <w:p w14:paraId="7636AAAB" w14:textId="77777777" w:rsidR="002528CA" w:rsidRPr="009A0728" w:rsidRDefault="002528CA" w:rsidP="009A0728">
      <w:pPr>
        <w:pBdr>
          <w:top w:val="single" w:sz="12" w:space="0" w:color="auto"/>
        </w:pBdr>
        <w:spacing w:line="240" w:lineRule="auto"/>
        <w:rPr>
          <w:rFonts w:eastAsia="Times New Roman"/>
          <w:b/>
          <w:sz w:val="28"/>
        </w:rPr>
      </w:pPr>
    </w:p>
    <w:p w14:paraId="61615D08" w14:textId="77777777" w:rsidR="002528CA" w:rsidRDefault="002528CA" w:rsidP="002528CA">
      <w:pPr>
        <w:pStyle w:val="Page1"/>
        <w:spacing w:before="400"/>
      </w:pPr>
      <w:r>
        <w:t>An Act to amend the law relating to taxation, and for related purposes</w:t>
      </w:r>
    </w:p>
    <w:p w14:paraId="5E7398DB" w14:textId="57E99003" w:rsidR="009B4C5A" w:rsidRPr="009B4C5A" w:rsidRDefault="009B4C5A" w:rsidP="009B4C5A">
      <w:pPr>
        <w:pStyle w:val="AssentDt"/>
        <w:spacing w:before="240"/>
        <w:rPr>
          <w:sz w:val="24"/>
        </w:rPr>
      </w:pPr>
      <w:r>
        <w:rPr>
          <w:sz w:val="24"/>
        </w:rPr>
        <w:t>[</w:t>
      </w:r>
      <w:r>
        <w:rPr>
          <w:i/>
          <w:sz w:val="24"/>
        </w:rPr>
        <w:t>Assented to 13 September 2021</w:t>
      </w:r>
      <w:r>
        <w:rPr>
          <w:sz w:val="24"/>
        </w:rPr>
        <w:t>]</w:t>
      </w:r>
    </w:p>
    <w:p w14:paraId="2C3205CC" w14:textId="4D512A03" w:rsidR="0048364F" w:rsidRPr="00A62077" w:rsidRDefault="0048364F" w:rsidP="00A62077">
      <w:pPr>
        <w:spacing w:before="240" w:line="240" w:lineRule="auto"/>
        <w:rPr>
          <w:sz w:val="32"/>
        </w:rPr>
      </w:pPr>
      <w:r w:rsidRPr="00A62077">
        <w:rPr>
          <w:sz w:val="32"/>
        </w:rPr>
        <w:t>The Parliament of Australia enacts:</w:t>
      </w:r>
    </w:p>
    <w:p w14:paraId="16153CCD" w14:textId="77777777" w:rsidR="0048364F" w:rsidRPr="00A62077" w:rsidRDefault="0048364F" w:rsidP="00A62077">
      <w:pPr>
        <w:pStyle w:val="ActHead5"/>
      </w:pPr>
      <w:bookmarkStart w:id="2" w:name="_Toc82697335"/>
      <w:r w:rsidRPr="004B0398">
        <w:rPr>
          <w:rStyle w:val="CharSectno"/>
        </w:rPr>
        <w:t>1</w:t>
      </w:r>
      <w:r w:rsidRPr="00A62077">
        <w:t xml:space="preserve">  Short title</w:t>
      </w:r>
      <w:bookmarkEnd w:id="2"/>
    </w:p>
    <w:p w14:paraId="47CA4835" w14:textId="77777777" w:rsidR="0048364F" w:rsidRPr="00A62077" w:rsidRDefault="0048364F" w:rsidP="00A62077">
      <w:pPr>
        <w:pStyle w:val="subsection"/>
      </w:pPr>
      <w:r w:rsidRPr="00A62077">
        <w:tab/>
      </w:r>
      <w:r w:rsidRPr="00A62077">
        <w:tab/>
        <w:t xml:space="preserve">This Act </w:t>
      </w:r>
      <w:r w:rsidR="00275197" w:rsidRPr="00A62077">
        <w:t xml:space="preserve">is </w:t>
      </w:r>
      <w:r w:rsidRPr="00A62077">
        <w:t xml:space="preserve">the </w:t>
      </w:r>
      <w:r w:rsidR="00326325" w:rsidRPr="00A62077">
        <w:rPr>
          <w:i/>
        </w:rPr>
        <w:t>Treasury Laws Amendment (2021 Measures No. 2)</w:t>
      </w:r>
      <w:r w:rsidR="00EE3E36" w:rsidRPr="00A62077">
        <w:rPr>
          <w:i/>
        </w:rPr>
        <w:t xml:space="preserve"> Act 20</w:t>
      </w:r>
      <w:r w:rsidR="009E186E" w:rsidRPr="00A62077">
        <w:rPr>
          <w:i/>
        </w:rPr>
        <w:t>21</w:t>
      </w:r>
      <w:r w:rsidRPr="00A62077">
        <w:t>.</w:t>
      </w:r>
    </w:p>
    <w:p w14:paraId="3640FAE3" w14:textId="77777777" w:rsidR="0048364F" w:rsidRPr="00A62077" w:rsidRDefault="0048364F" w:rsidP="00A62077">
      <w:pPr>
        <w:pStyle w:val="ActHead5"/>
      </w:pPr>
      <w:bookmarkStart w:id="3" w:name="_Toc82697336"/>
      <w:r w:rsidRPr="004B0398">
        <w:rPr>
          <w:rStyle w:val="CharSectno"/>
        </w:rPr>
        <w:t>2</w:t>
      </w:r>
      <w:r w:rsidRPr="00A62077">
        <w:t xml:space="preserve">  Commencement</w:t>
      </w:r>
      <w:bookmarkEnd w:id="3"/>
    </w:p>
    <w:p w14:paraId="75E5A3F0" w14:textId="77777777" w:rsidR="0048364F" w:rsidRPr="00A62077" w:rsidRDefault="0048364F" w:rsidP="00A62077">
      <w:pPr>
        <w:pStyle w:val="subsection"/>
      </w:pPr>
      <w:r w:rsidRPr="00A62077">
        <w:tab/>
        <w:t>(1)</w:t>
      </w:r>
      <w:r w:rsidRPr="00A62077">
        <w:tab/>
        <w:t>Each provision of this Act specified in column 1 of the table commences, or is taken to have commenced, in accordance with column 2 of the table. Any other statement in column 2 has effect according to its terms.</w:t>
      </w:r>
    </w:p>
    <w:p w14:paraId="05CF275A" w14:textId="77777777" w:rsidR="0048364F" w:rsidRPr="00A62077" w:rsidRDefault="0048364F" w:rsidP="00A62077">
      <w:pPr>
        <w:pStyle w:val="Tabletext"/>
      </w:pPr>
    </w:p>
    <w:tbl>
      <w:tblPr>
        <w:tblW w:w="7111" w:type="dxa"/>
        <w:tblInd w:w="214"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A62077" w14:paraId="6D83CB89" w14:textId="77777777" w:rsidTr="0061724D">
        <w:trPr>
          <w:tblHeader/>
        </w:trPr>
        <w:tc>
          <w:tcPr>
            <w:tcW w:w="7111" w:type="dxa"/>
            <w:gridSpan w:val="3"/>
            <w:tcBorders>
              <w:top w:val="single" w:sz="12" w:space="0" w:color="auto"/>
              <w:bottom w:val="single" w:sz="6" w:space="0" w:color="auto"/>
            </w:tcBorders>
            <w:shd w:val="clear" w:color="auto" w:fill="auto"/>
          </w:tcPr>
          <w:p w14:paraId="7725503A" w14:textId="77777777" w:rsidR="0048364F" w:rsidRPr="00A62077" w:rsidRDefault="0048364F" w:rsidP="00A62077">
            <w:pPr>
              <w:pStyle w:val="TableHeading"/>
            </w:pPr>
            <w:r w:rsidRPr="00A62077">
              <w:lastRenderedPageBreak/>
              <w:t>Commencement information</w:t>
            </w:r>
          </w:p>
        </w:tc>
      </w:tr>
      <w:tr w:rsidR="0048364F" w:rsidRPr="00A62077" w14:paraId="61C4CE29" w14:textId="77777777" w:rsidTr="0061724D">
        <w:trPr>
          <w:tblHeader/>
        </w:trPr>
        <w:tc>
          <w:tcPr>
            <w:tcW w:w="1701" w:type="dxa"/>
            <w:tcBorders>
              <w:top w:val="single" w:sz="6" w:space="0" w:color="auto"/>
              <w:bottom w:val="single" w:sz="6" w:space="0" w:color="auto"/>
            </w:tcBorders>
            <w:shd w:val="clear" w:color="auto" w:fill="auto"/>
          </w:tcPr>
          <w:p w14:paraId="74243A62" w14:textId="77777777" w:rsidR="0048364F" w:rsidRPr="00A62077" w:rsidRDefault="0048364F" w:rsidP="00A62077">
            <w:pPr>
              <w:pStyle w:val="TableHeading"/>
            </w:pPr>
            <w:r w:rsidRPr="00A62077">
              <w:t>Column 1</w:t>
            </w:r>
          </w:p>
        </w:tc>
        <w:tc>
          <w:tcPr>
            <w:tcW w:w="3828" w:type="dxa"/>
            <w:tcBorders>
              <w:top w:val="single" w:sz="6" w:space="0" w:color="auto"/>
              <w:bottom w:val="single" w:sz="6" w:space="0" w:color="auto"/>
            </w:tcBorders>
            <w:shd w:val="clear" w:color="auto" w:fill="auto"/>
          </w:tcPr>
          <w:p w14:paraId="2CE0A5EF" w14:textId="77777777" w:rsidR="0048364F" w:rsidRPr="00A62077" w:rsidRDefault="0048364F" w:rsidP="00A62077">
            <w:pPr>
              <w:pStyle w:val="TableHeading"/>
            </w:pPr>
            <w:r w:rsidRPr="00A62077">
              <w:t>Column 2</w:t>
            </w:r>
          </w:p>
        </w:tc>
        <w:tc>
          <w:tcPr>
            <w:tcW w:w="1582" w:type="dxa"/>
            <w:tcBorders>
              <w:top w:val="single" w:sz="6" w:space="0" w:color="auto"/>
              <w:bottom w:val="single" w:sz="6" w:space="0" w:color="auto"/>
            </w:tcBorders>
            <w:shd w:val="clear" w:color="auto" w:fill="auto"/>
          </w:tcPr>
          <w:p w14:paraId="414A7DB1" w14:textId="77777777" w:rsidR="0048364F" w:rsidRPr="00A62077" w:rsidRDefault="0048364F" w:rsidP="00A62077">
            <w:pPr>
              <w:pStyle w:val="TableHeading"/>
            </w:pPr>
            <w:r w:rsidRPr="00A62077">
              <w:t>Column 3</w:t>
            </w:r>
          </w:p>
        </w:tc>
      </w:tr>
      <w:tr w:rsidR="0048364F" w:rsidRPr="00A62077" w14:paraId="71825ECF" w14:textId="77777777" w:rsidTr="0061724D">
        <w:trPr>
          <w:tblHeader/>
        </w:trPr>
        <w:tc>
          <w:tcPr>
            <w:tcW w:w="1701" w:type="dxa"/>
            <w:tcBorders>
              <w:top w:val="single" w:sz="6" w:space="0" w:color="auto"/>
              <w:bottom w:val="single" w:sz="12" w:space="0" w:color="auto"/>
            </w:tcBorders>
            <w:shd w:val="clear" w:color="auto" w:fill="auto"/>
          </w:tcPr>
          <w:p w14:paraId="5625D316" w14:textId="77777777" w:rsidR="0048364F" w:rsidRPr="00A62077" w:rsidRDefault="0048364F" w:rsidP="00A62077">
            <w:pPr>
              <w:pStyle w:val="TableHeading"/>
            </w:pPr>
            <w:r w:rsidRPr="00A62077">
              <w:t>Provisions</w:t>
            </w:r>
          </w:p>
        </w:tc>
        <w:tc>
          <w:tcPr>
            <w:tcW w:w="3828" w:type="dxa"/>
            <w:tcBorders>
              <w:top w:val="single" w:sz="6" w:space="0" w:color="auto"/>
              <w:bottom w:val="single" w:sz="12" w:space="0" w:color="auto"/>
            </w:tcBorders>
            <w:shd w:val="clear" w:color="auto" w:fill="auto"/>
          </w:tcPr>
          <w:p w14:paraId="041FC4D1" w14:textId="77777777" w:rsidR="0048364F" w:rsidRPr="00A62077" w:rsidRDefault="0048364F" w:rsidP="00A62077">
            <w:pPr>
              <w:pStyle w:val="TableHeading"/>
            </w:pPr>
            <w:r w:rsidRPr="00A62077">
              <w:t>Commencement</w:t>
            </w:r>
          </w:p>
        </w:tc>
        <w:tc>
          <w:tcPr>
            <w:tcW w:w="1582" w:type="dxa"/>
            <w:tcBorders>
              <w:top w:val="single" w:sz="6" w:space="0" w:color="auto"/>
              <w:bottom w:val="single" w:sz="12" w:space="0" w:color="auto"/>
            </w:tcBorders>
            <w:shd w:val="clear" w:color="auto" w:fill="auto"/>
          </w:tcPr>
          <w:p w14:paraId="51CE46E3" w14:textId="77777777" w:rsidR="0048364F" w:rsidRPr="00A62077" w:rsidRDefault="0048364F" w:rsidP="00A62077">
            <w:pPr>
              <w:pStyle w:val="TableHeading"/>
            </w:pPr>
            <w:r w:rsidRPr="00A62077">
              <w:t>Date/Details</w:t>
            </w:r>
          </w:p>
        </w:tc>
      </w:tr>
      <w:tr w:rsidR="00800EAF" w:rsidRPr="00A62077" w14:paraId="0C9E326A" w14:textId="77777777" w:rsidTr="00B85A36">
        <w:tc>
          <w:tcPr>
            <w:tcW w:w="1701" w:type="dxa"/>
            <w:tcBorders>
              <w:top w:val="single" w:sz="12" w:space="0" w:color="auto"/>
              <w:bottom w:val="single" w:sz="4" w:space="0" w:color="auto"/>
            </w:tcBorders>
            <w:shd w:val="clear" w:color="auto" w:fill="auto"/>
          </w:tcPr>
          <w:p w14:paraId="317C1E11" w14:textId="72AE25AE" w:rsidR="00800EAF" w:rsidRPr="00A62077" w:rsidRDefault="00800EAF" w:rsidP="00800EAF">
            <w:pPr>
              <w:pStyle w:val="Tabletext"/>
            </w:pPr>
            <w:r>
              <w:t>1.  Sections 1 to 3 and anything in this Act not elsewhere covered by this table</w:t>
            </w:r>
          </w:p>
        </w:tc>
        <w:tc>
          <w:tcPr>
            <w:tcW w:w="3828" w:type="dxa"/>
            <w:tcBorders>
              <w:top w:val="single" w:sz="12" w:space="0" w:color="auto"/>
              <w:bottom w:val="single" w:sz="4" w:space="0" w:color="auto"/>
            </w:tcBorders>
            <w:shd w:val="clear" w:color="auto" w:fill="auto"/>
          </w:tcPr>
          <w:p w14:paraId="019A3730" w14:textId="34C5C140" w:rsidR="00800EAF" w:rsidRPr="00A62077" w:rsidRDefault="00800EAF" w:rsidP="00800EAF">
            <w:pPr>
              <w:pStyle w:val="Tabletext"/>
            </w:pPr>
            <w:r>
              <w:t>The day this Act receives the Royal Assent.</w:t>
            </w:r>
          </w:p>
        </w:tc>
        <w:tc>
          <w:tcPr>
            <w:tcW w:w="1582" w:type="dxa"/>
            <w:tcBorders>
              <w:top w:val="single" w:sz="12" w:space="0" w:color="auto"/>
              <w:bottom w:val="single" w:sz="4" w:space="0" w:color="auto"/>
            </w:tcBorders>
            <w:shd w:val="clear" w:color="auto" w:fill="auto"/>
          </w:tcPr>
          <w:p w14:paraId="1443EB15" w14:textId="248C5168" w:rsidR="00800EAF" w:rsidRPr="00A62077" w:rsidRDefault="009B4C5A" w:rsidP="00800EAF">
            <w:pPr>
              <w:pStyle w:val="Tabletext"/>
            </w:pPr>
            <w:r>
              <w:t>13 September 2021</w:t>
            </w:r>
          </w:p>
        </w:tc>
      </w:tr>
      <w:tr w:rsidR="00800EAF" w:rsidRPr="00B85A36" w14:paraId="18A3E13B" w14:textId="77777777" w:rsidTr="00B85A36">
        <w:tc>
          <w:tcPr>
            <w:tcW w:w="1701" w:type="dxa"/>
            <w:tcBorders>
              <w:top w:val="single" w:sz="4" w:space="0" w:color="auto"/>
              <w:bottom w:val="single" w:sz="4" w:space="0" w:color="auto"/>
            </w:tcBorders>
            <w:shd w:val="clear" w:color="auto" w:fill="auto"/>
          </w:tcPr>
          <w:p w14:paraId="41B6B5B3" w14:textId="62044669" w:rsidR="00800EAF" w:rsidRDefault="00800EAF" w:rsidP="00800EAF">
            <w:pPr>
              <w:pStyle w:val="Tabletext"/>
            </w:pPr>
            <w:r>
              <w:t>2.  Schedules 1 and 2</w:t>
            </w:r>
          </w:p>
        </w:tc>
        <w:tc>
          <w:tcPr>
            <w:tcW w:w="3828" w:type="dxa"/>
            <w:tcBorders>
              <w:top w:val="single" w:sz="4" w:space="0" w:color="auto"/>
              <w:bottom w:val="single" w:sz="4" w:space="0" w:color="auto"/>
            </w:tcBorders>
            <w:shd w:val="clear" w:color="auto" w:fill="auto"/>
          </w:tcPr>
          <w:p w14:paraId="19656FE4" w14:textId="08A5FE75" w:rsidR="00800EAF" w:rsidRPr="00A62077" w:rsidRDefault="00800EAF" w:rsidP="00800EAF">
            <w:pPr>
              <w:pStyle w:val="Tabletext"/>
            </w:pPr>
            <w:r>
              <w:t>The first 1 January, 1 April, 1 July or 1 October to occur after the day this Act receives the Royal Assent.</w:t>
            </w:r>
          </w:p>
        </w:tc>
        <w:tc>
          <w:tcPr>
            <w:tcW w:w="1582" w:type="dxa"/>
            <w:tcBorders>
              <w:top w:val="single" w:sz="4" w:space="0" w:color="auto"/>
              <w:bottom w:val="single" w:sz="4" w:space="0" w:color="auto"/>
            </w:tcBorders>
            <w:shd w:val="clear" w:color="auto" w:fill="auto"/>
          </w:tcPr>
          <w:p w14:paraId="63824BD4" w14:textId="7087946C" w:rsidR="00800EAF" w:rsidRPr="00A62077" w:rsidRDefault="009B4C5A" w:rsidP="00800EAF">
            <w:pPr>
              <w:pStyle w:val="Tabletext"/>
            </w:pPr>
            <w:r>
              <w:t>1 October 2021</w:t>
            </w:r>
          </w:p>
        </w:tc>
      </w:tr>
      <w:tr w:rsidR="00800EAF" w:rsidRPr="00B85A36" w14:paraId="1EC1780F" w14:textId="77777777" w:rsidTr="00B85A36">
        <w:tc>
          <w:tcPr>
            <w:tcW w:w="1701" w:type="dxa"/>
            <w:tcBorders>
              <w:top w:val="single" w:sz="4" w:space="0" w:color="auto"/>
              <w:bottom w:val="single" w:sz="12" w:space="0" w:color="auto"/>
            </w:tcBorders>
            <w:shd w:val="clear" w:color="auto" w:fill="auto"/>
          </w:tcPr>
          <w:p w14:paraId="23D0EF8B" w14:textId="7F27A200" w:rsidR="00800EAF" w:rsidRDefault="00800EAF" w:rsidP="00800EAF">
            <w:pPr>
              <w:pStyle w:val="Tabletext"/>
            </w:pPr>
            <w:r>
              <w:t>3</w:t>
            </w:r>
            <w:r w:rsidRPr="00B768D5">
              <w:t xml:space="preserve">.  </w:t>
            </w:r>
            <w:r>
              <w:t>Schedule 3</w:t>
            </w:r>
          </w:p>
        </w:tc>
        <w:tc>
          <w:tcPr>
            <w:tcW w:w="3828" w:type="dxa"/>
            <w:tcBorders>
              <w:top w:val="single" w:sz="4" w:space="0" w:color="auto"/>
              <w:bottom w:val="single" w:sz="12" w:space="0" w:color="auto"/>
            </w:tcBorders>
            <w:shd w:val="clear" w:color="auto" w:fill="auto"/>
          </w:tcPr>
          <w:p w14:paraId="21826996" w14:textId="691B1E8D" w:rsidR="00800EAF" w:rsidRPr="00A62077" w:rsidRDefault="00800EAF" w:rsidP="00800EAF">
            <w:pPr>
              <w:pStyle w:val="Tabletext"/>
            </w:pPr>
            <w:r w:rsidRPr="00B768D5">
              <w:t>The day after this Act receives the Royal Assent.</w:t>
            </w:r>
          </w:p>
        </w:tc>
        <w:tc>
          <w:tcPr>
            <w:tcW w:w="1582" w:type="dxa"/>
            <w:tcBorders>
              <w:top w:val="single" w:sz="4" w:space="0" w:color="auto"/>
              <w:bottom w:val="single" w:sz="12" w:space="0" w:color="auto"/>
            </w:tcBorders>
            <w:shd w:val="clear" w:color="auto" w:fill="auto"/>
          </w:tcPr>
          <w:p w14:paraId="23195AEA" w14:textId="7500CBF9" w:rsidR="00800EAF" w:rsidRPr="00A62077" w:rsidRDefault="009B4C5A" w:rsidP="00800EAF">
            <w:pPr>
              <w:pStyle w:val="Tabletext"/>
            </w:pPr>
            <w:r>
              <w:t>14 September 2021</w:t>
            </w:r>
          </w:p>
        </w:tc>
      </w:tr>
    </w:tbl>
    <w:p w14:paraId="2C00CAD0" w14:textId="77777777" w:rsidR="0048364F" w:rsidRPr="00A62077" w:rsidRDefault="00201D27" w:rsidP="00A62077">
      <w:pPr>
        <w:pStyle w:val="notetext"/>
      </w:pPr>
      <w:r w:rsidRPr="00A62077">
        <w:t>Note:</w:t>
      </w:r>
      <w:r w:rsidRPr="00A62077">
        <w:tab/>
        <w:t>This table relates only to the provisions of this Act as originally enacted. It will not be amended to deal with any later amendments of this Act.</w:t>
      </w:r>
    </w:p>
    <w:p w14:paraId="35715588" w14:textId="77777777" w:rsidR="0048364F" w:rsidRPr="00A62077" w:rsidRDefault="0048364F" w:rsidP="00A62077">
      <w:pPr>
        <w:pStyle w:val="subsection"/>
      </w:pPr>
      <w:r w:rsidRPr="00A62077">
        <w:tab/>
        <w:t>(2)</w:t>
      </w:r>
      <w:r w:rsidRPr="00A62077">
        <w:tab/>
      </w:r>
      <w:r w:rsidR="00201D27" w:rsidRPr="00A62077">
        <w:t xml:space="preserve">Any information in </w:t>
      </w:r>
      <w:r w:rsidR="00877D48" w:rsidRPr="00A62077">
        <w:t>c</w:t>
      </w:r>
      <w:r w:rsidR="00201D27" w:rsidRPr="00A62077">
        <w:t>olumn 3 of the table is not part of this Act. Information may be inserted in this column, or information in it may be edited, in any published version of this Act.</w:t>
      </w:r>
    </w:p>
    <w:p w14:paraId="57EB1AEF" w14:textId="77777777" w:rsidR="0048364F" w:rsidRPr="00A62077" w:rsidRDefault="0048364F" w:rsidP="00A62077">
      <w:pPr>
        <w:pStyle w:val="ActHead5"/>
      </w:pPr>
      <w:bookmarkStart w:id="4" w:name="_Toc82697337"/>
      <w:r w:rsidRPr="004B0398">
        <w:rPr>
          <w:rStyle w:val="CharSectno"/>
        </w:rPr>
        <w:t>3</w:t>
      </w:r>
      <w:r w:rsidRPr="00A62077">
        <w:t xml:space="preserve">  Schedules</w:t>
      </w:r>
      <w:bookmarkEnd w:id="4"/>
    </w:p>
    <w:p w14:paraId="717520C8" w14:textId="77777777" w:rsidR="0048364F" w:rsidRPr="00A62077" w:rsidRDefault="0048364F" w:rsidP="00A62077">
      <w:pPr>
        <w:pStyle w:val="subsection"/>
      </w:pPr>
      <w:r w:rsidRPr="00A62077">
        <w:tab/>
      </w:r>
      <w:r w:rsidRPr="00A62077">
        <w:tab/>
      </w:r>
      <w:r w:rsidR="00202618" w:rsidRPr="00A62077">
        <w:t>Legislation that is specified in a Schedule to this Act is amended or repealed as set out in the applicable items in the Schedule concerned, and any other item in a Schedule to this Act has effect according to its terms.</w:t>
      </w:r>
    </w:p>
    <w:p w14:paraId="35779051" w14:textId="77777777" w:rsidR="000C4CA5" w:rsidRPr="00A62077" w:rsidRDefault="000C4CA5" w:rsidP="00A62077">
      <w:pPr>
        <w:pStyle w:val="ActHead6"/>
        <w:pageBreakBefore/>
      </w:pPr>
      <w:bookmarkStart w:id="5" w:name="opcAmSched"/>
      <w:bookmarkStart w:id="6" w:name="opcCurrentFind"/>
      <w:bookmarkStart w:id="7" w:name="_Toc82697338"/>
      <w:r w:rsidRPr="004B0398">
        <w:rPr>
          <w:rStyle w:val="CharAmSchNo"/>
        </w:rPr>
        <w:lastRenderedPageBreak/>
        <w:t>Schedule 1</w:t>
      </w:r>
      <w:r w:rsidRPr="00A62077">
        <w:t>—</w:t>
      </w:r>
      <w:r w:rsidRPr="004B0398">
        <w:rPr>
          <w:rStyle w:val="CharAmSchText"/>
        </w:rPr>
        <w:t>Deductible gift recipients</w:t>
      </w:r>
      <w:bookmarkEnd w:id="7"/>
    </w:p>
    <w:p w14:paraId="46E85069" w14:textId="77777777" w:rsidR="000C4CA5" w:rsidRPr="00A62077" w:rsidRDefault="00486039" w:rsidP="00A62077">
      <w:pPr>
        <w:pStyle w:val="ActHead7"/>
      </w:pPr>
      <w:bookmarkStart w:id="8" w:name="_Toc82697339"/>
      <w:bookmarkEnd w:id="5"/>
      <w:bookmarkEnd w:id="6"/>
      <w:r w:rsidRPr="004B0398">
        <w:rPr>
          <w:rStyle w:val="CharAmPartNo"/>
        </w:rPr>
        <w:t>Part 1</w:t>
      </w:r>
      <w:r w:rsidR="000C4CA5" w:rsidRPr="00A62077">
        <w:t>—</w:t>
      </w:r>
      <w:r w:rsidR="000C4CA5" w:rsidRPr="004B0398">
        <w:rPr>
          <w:rStyle w:val="CharAmPartText"/>
        </w:rPr>
        <w:t>Amendments</w:t>
      </w:r>
      <w:bookmarkEnd w:id="8"/>
    </w:p>
    <w:p w14:paraId="5961B5F1" w14:textId="77777777" w:rsidR="000C4CA5" w:rsidRPr="00A62077" w:rsidRDefault="000C4CA5" w:rsidP="00A62077">
      <w:pPr>
        <w:pStyle w:val="ActHead9"/>
        <w:rPr>
          <w:i w:val="0"/>
        </w:rPr>
      </w:pPr>
      <w:bookmarkStart w:id="9" w:name="_Toc82697340"/>
      <w:r w:rsidRPr="00A62077">
        <w:t>Income Tax Assessment Act 1997</w:t>
      </w:r>
      <w:bookmarkEnd w:id="9"/>
    </w:p>
    <w:p w14:paraId="148DCAAD" w14:textId="77777777" w:rsidR="000C4CA5" w:rsidRPr="00A62077" w:rsidRDefault="000C4CA5" w:rsidP="00A62077">
      <w:pPr>
        <w:pStyle w:val="ItemHead"/>
      </w:pPr>
      <w:r w:rsidRPr="00A62077">
        <w:t>1  Subsection 30</w:t>
      </w:r>
      <w:r w:rsidR="00A62077">
        <w:noBreakHyphen/>
      </w:r>
      <w:r w:rsidRPr="00A62077">
        <w:t>20(1) (table item 1.1.3, column headed “Special conditions—fund, authority or institution”, paragraph (b))</w:t>
      </w:r>
    </w:p>
    <w:p w14:paraId="1EA50672" w14:textId="77777777" w:rsidR="000C4CA5" w:rsidRPr="00A62077" w:rsidRDefault="000C4CA5" w:rsidP="00A62077">
      <w:pPr>
        <w:pStyle w:val="Item"/>
      </w:pPr>
      <w:r w:rsidRPr="00A62077">
        <w:t>Repeal the paragraph, substitute:</w:t>
      </w:r>
    </w:p>
    <w:p w14:paraId="3BF514B6" w14:textId="77777777" w:rsidR="000C4CA5" w:rsidRPr="00A62077" w:rsidRDefault="000C4CA5" w:rsidP="00A62077">
      <w:pPr>
        <w:pStyle w:val="Tablea"/>
      </w:pPr>
      <w:r w:rsidRPr="00A62077">
        <w:t xml:space="preserve">(b) the public fund must be, or be operated by, an </w:t>
      </w:r>
      <w:r w:rsidR="00A62077" w:rsidRPr="00A62077">
        <w:rPr>
          <w:position w:val="6"/>
          <w:sz w:val="16"/>
        </w:rPr>
        <w:t>*</w:t>
      </w:r>
      <w:r w:rsidRPr="00A62077">
        <w:t xml:space="preserve">Australian government agency or a </w:t>
      </w:r>
      <w:r w:rsidR="00A62077" w:rsidRPr="00A62077">
        <w:rPr>
          <w:position w:val="6"/>
          <w:sz w:val="16"/>
        </w:rPr>
        <w:t>*</w:t>
      </w:r>
      <w:r w:rsidRPr="00A62077">
        <w:t>registered charity; and</w:t>
      </w:r>
    </w:p>
    <w:p w14:paraId="44286707" w14:textId="77777777" w:rsidR="000C4CA5" w:rsidRPr="00A62077" w:rsidRDefault="000C4CA5" w:rsidP="00A62077">
      <w:pPr>
        <w:pStyle w:val="ItemHead"/>
      </w:pPr>
      <w:r w:rsidRPr="00A62077">
        <w:t>2  Subsection 30</w:t>
      </w:r>
      <w:r w:rsidR="00A62077">
        <w:noBreakHyphen/>
      </w:r>
      <w:r w:rsidRPr="00A62077">
        <w:t>20(1) (table item 1.1.8, column headed “Special conditions—fund, authority or institution”, paragraph (a))</w:t>
      </w:r>
    </w:p>
    <w:p w14:paraId="5D055A5F" w14:textId="77777777" w:rsidR="000C4CA5" w:rsidRPr="00A62077" w:rsidRDefault="000C4CA5" w:rsidP="00A62077">
      <w:pPr>
        <w:pStyle w:val="Item"/>
      </w:pPr>
      <w:r w:rsidRPr="00A62077">
        <w:t>Repeal the paragraph, substitute:</w:t>
      </w:r>
    </w:p>
    <w:p w14:paraId="3168DEC1" w14:textId="77777777" w:rsidR="000C4CA5" w:rsidRPr="00A62077" w:rsidRDefault="000C4CA5" w:rsidP="00A62077">
      <w:pPr>
        <w:pStyle w:val="Tablea"/>
      </w:pPr>
      <w:r w:rsidRPr="00A62077">
        <w:t xml:space="preserve">(a) the public fund must be, or be operated by, an </w:t>
      </w:r>
      <w:r w:rsidR="00A62077" w:rsidRPr="00A62077">
        <w:rPr>
          <w:position w:val="6"/>
          <w:sz w:val="16"/>
        </w:rPr>
        <w:t>*</w:t>
      </w:r>
      <w:r w:rsidRPr="00A62077">
        <w:t xml:space="preserve">Australian government agency or a </w:t>
      </w:r>
      <w:r w:rsidR="00A62077" w:rsidRPr="00A62077">
        <w:rPr>
          <w:position w:val="6"/>
          <w:sz w:val="16"/>
        </w:rPr>
        <w:t>*</w:t>
      </w:r>
      <w:r w:rsidRPr="00A62077">
        <w:t>registered charity; and</w:t>
      </w:r>
    </w:p>
    <w:p w14:paraId="1F366FB3" w14:textId="77777777" w:rsidR="000C4CA5" w:rsidRPr="00A62077" w:rsidRDefault="000C4CA5" w:rsidP="00A62077">
      <w:pPr>
        <w:pStyle w:val="ItemHead"/>
      </w:pPr>
      <w:r w:rsidRPr="00A62077">
        <w:t>3  Subsection 30</w:t>
      </w:r>
      <w:r w:rsidR="00A62077">
        <w:noBreakHyphen/>
      </w:r>
      <w:r w:rsidRPr="00A62077">
        <w:t>25(1) (cell at table item 2.1.8, column headed “Special conditions—fund, authority or institution”)</w:t>
      </w:r>
    </w:p>
    <w:p w14:paraId="0667FADA" w14:textId="77777777" w:rsidR="000C4CA5" w:rsidRPr="00A62077" w:rsidRDefault="000C4CA5" w:rsidP="00A62077">
      <w:pPr>
        <w:pStyle w:val="Item"/>
      </w:pPr>
      <w:r w:rsidRPr="00A62077">
        <w:t>Repeal the cell, substitute:</w:t>
      </w:r>
    </w:p>
    <w:tbl>
      <w:tblPr>
        <w:tblW w:w="0" w:type="auto"/>
        <w:tblInd w:w="817" w:type="dxa"/>
        <w:tblLayout w:type="fixed"/>
        <w:tblLook w:val="0000" w:firstRow="0" w:lastRow="0" w:firstColumn="0" w:lastColumn="0" w:noHBand="0" w:noVBand="0"/>
      </w:tblPr>
      <w:tblGrid>
        <w:gridCol w:w="2637"/>
      </w:tblGrid>
      <w:tr w:rsidR="000C4CA5" w:rsidRPr="00A62077" w14:paraId="7FAB5ACB" w14:textId="77777777" w:rsidTr="000C4CA5">
        <w:trPr>
          <w:cantSplit/>
        </w:trPr>
        <w:tc>
          <w:tcPr>
            <w:tcW w:w="2637" w:type="dxa"/>
          </w:tcPr>
          <w:p w14:paraId="5E0F21FC" w14:textId="77777777" w:rsidR="000C4CA5" w:rsidRPr="00A62077" w:rsidRDefault="000C4CA5" w:rsidP="00A62077">
            <w:pPr>
              <w:pStyle w:val="Tabletext"/>
            </w:pPr>
            <w:r w:rsidRPr="00A62077">
              <w:t>the public fund must be:</w:t>
            </w:r>
          </w:p>
          <w:p w14:paraId="0597A182" w14:textId="77777777" w:rsidR="000C4CA5" w:rsidRPr="00A62077" w:rsidRDefault="000C4CA5" w:rsidP="00A62077">
            <w:pPr>
              <w:pStyle w:val="Tablea"/>
            </w:pPr>
            <w:r w:rsidRPr="00A62077">
              <w:t xml:space="preserve">(a) an </w:t>
            </w:r>
            <w:r w:rsidR="00A62077" w:rsidRPr="00A62077">
              <w:rPr>
                <w:position w:val="6"/>
                <w:sz w:val="16"/>
              </w:rPr>
              <w:t>*</w:t>
            </w:r>
            <w:r w:rsidRPr="00A62077">
              <w:t>Australian government agency; or</w:t>
            </w:r>
          </w:p>
          <w:p w14:paraId="251BAD5A" w14:textId="77777777" w:rsidR="000C4CA5" w:rsidRPr="00A62077" w:rsidRDefault="000C4CA5" w:rsidP="00A62077">
            <w:pPr>
              <w:pStyle w:val="Tablea"/>
            </w:pPr>
            <w:r w:rsidRPr="00A62077">
              <w:t xml:space="preserve">(b) a </w:t>
            </w:r>
            <w:r w:rsidR="00A62077" w:rsidRPr="00A62077">
              <w:rPr>
                <w:position w:val="6"/>
                <w:sz w:val="16"/>
              </w:rPr>
              <w:t>*</w:t>
            </w:r>
            <w:r w:rsidRPr="00A62077">
              <w:t>registered charity; or</w:t>
            </w:r>
          </w:p>
          <w:p w14:paraId="31D62738" w14:textId="77777777" w:rsidR="000C4CA5" w:rsidRPr="00A62077" w:rsidRDefault="000C4CA5" w:rsidP="00A62077">
            <w:pPr>
              <w:pStyle w:val="Tablea"/>
            </w:pPr>
            <w:r w:rsidRPr="00A62077">
              <w:t>(c) operated by an Australian government agency or a registered charity</w:t>
            </w:r>
          </w:p>
        </w:tc>
      </w:tr>
    </w:tbl>
    <w:p w14:paraId="6BC71A93" w14:textId="77777777" w:rsidR="000C4CA5" w:rsidRPr="00A62077" w:rsidRDefault="000C4CA5" w:rsidP="00A62077">
      <w:pPr>
        <w:pStyle w:val="ItemHead"/>
      </w:pPr>
      <w:r w:rsidRPr="00A62077">
        <w:t>4  Subsection 30</w:t>
      </w:r>
      <w:r w:rsidR="00A62077">
        <w:noBreakHyphen/>
      </w:r>
      <w:r w:rsidRPr="00A62077">
        <w:t>25(1) (cell at table item 2.1.9, column headed “Special conditions—fund, authority or institution”)</w:t>
      </w:r>
    </w:p>
    <w:p w14:paraId="50536AEB" w14:textId="77777777" w:rsidR="000C4CA5" w:rsidRPr="00A62077" w:rsidRDefault="000C4CA5" w:rsidP="00A62077">
      <w:pPr>
        <w:pStyle w:val="Item"/>
      </w:pPr>
      <w:r w:rsidRPr="00A62077">
        <w:t>Repeal the cell, substitute:</w:t>
      </w:r>
    </w:p>
    <w:tbl>
      <w:tblPr>
        <w:tblW w:w="0" w:type="auto"/>
        <w:tblInd w:w="817" w:type="dxa"/>
        <w:tblLayout w:type="fixed"/>
        <w:tblLook w:val="0000" w:firstRow="0" w:lastRow="0" w:firstColumn="0" w:lastColumn="0" w:noHBand="0" w:noVBand="0"/>
      </w:tblPr>
      <w:tblGrid>
        <w:gridCol w:w="2637"/>
      </w:tblGrid>
      <w:tr w:rsidR="000C4CA5" w:rsidRPr="00A62077" w14:paraId="22A0FB36" w14:textId="77777777" w:rsidTr="000C4CA5">
        <w:trPr>
          <w:cantSplit/>
        </w:trPr>
        <w:tc>
          <w:tcPr>
            <w:tcW w:w="2637" w:type="dxa"/>
          </w:tcPr>
          <w:p w14:paraId="2B399A68" w14:textId="77777777" w:rsidR="000C4CA5" w:rsidRPr="00A62077" w:rsidRDefault="000C4CA5" w:rsidP="00A62077">
            <w:pPr>
              <w:pStyle w:val="Tabletext"/>
            </w:pPr>
            <w:r w:rsidRPr="00A62077">
              <w:lastRenderedPageBreak/>
              <w:t>the public fund must be:</w:t>
            </w:r>
          </w:p>
          <w:p w14:paraId="5BE543DF" w14:textId="77777777" w:rsidR="000C4CA5" w:rsidRPr="00A62077" w:rsidRDefault="000C4CA5" w:rsidP="00A62077">
            <w:pPr>
              <w:pStyle w:val="Tablea"/>
            </w:pPr>
            <w:r w:rsidRPr="00A62077">
              <w:t xml:space="preserve">(a) an </w:t>
            </w:r>
            <w:r w:rsidR="00A62077" w:rsidRPr="00A62077">
              <w:rPr>
                <w:position w:val="6"/>
                <w:sz w:val="16"/>
              </w:rPr>
              <w:t>*</w:t>
            </w:r>
            <w:r w:rsidRPr="00A62077">
              <w:t>Australian government agency; or</w:t>
            </w:r>
          </w:p>
          <w:p w14:paraId="0569B5C8" w14:textId="77777777" w:rsidR="000C4CA5" w:rsidRPr="00A62077" w:rsidRDefault="000C4CA5" w:rsidP="00A62077">
            <w:pPr>
              <w:pStyle w:val="Tablea"/>
            </w:pPr>
            <w:r w:rsidRPr="00A62077">
              <w:t xml:space="preserve">(b) a </w:t>
            </w:r>
            <w:r w:rsidR="00A62077" w:rsidRPr="00A62077">
              <w:rPr>
                <w:position w:val="6"/>
                <w:sz w:val="16"/>
              </w:rPr>
              <w:t>*</w:t>
            </w:r>
            <w:r w:rsidRPr="00A62077">
              <w:t>registered charity; or</w:t>
            </w:r>
          </w:p>
          <w:p w14:paraId="436F5F1F" w14:textId="77777777" w:rsidR="000C4CA5" w:rsidRPr="00A62077" w:rsidRDefault="000C4CA5" w:rsidP="00A62077">
            <w:pPr>
              <w:pStyle w:val="Tablea"/>
            </w:pPr>
            <w:r w:rsidRPr="00A62077">
              <w:t>(c) operated by an Australian government agency or a registered charity</w:t>
            </w:r>
          </w:p>
        </w:tc>
      </w:tr>
    </w:tbl>
    <w:p w14:paraId="14D1FD05" w14:textId="77777777" w:rsidR="000C4CA5" w:rsidRPr="00A62077" w:rsidRDefault="000C4CA5" w:rsidP="00A62077">
      <w:pPr>
        <w:pStyle w:val="ItemHead"/>
      </w:pPr>
      <w:r w:rsidRPr="00A62077">
        <w:t>5  Subsection 30</w:t>
      </w:r>
      <w:r w:rsidR="00A62077">
        <w:noBreakHyphen/>
      </w:r>
      <w:r w:rsidRPr="00A62077">
        <w:t>25(1) (cell at table item 2.1.10, column headed “Special conditions—fund, authority or institution”)</w:t>
      </w:r>
    </w:p>
    <w:p w14:paraId="56E45759" w14:textId="77777777" w:rsidR="000C4CA5" w:rsidRPr="00A62077" w:rsidRDefault="000C4CA5" w:rsidP="00A62077">
      <w:pPr>
        <w:pStyle w:val="Item"/>
      </w:pPr>
      <w:r w:rsidRPr="00A62077">
        <w:t>Repeal the cell, substitute:</w:t>
      </w:r>
    </w:p>
    <w:tbl>
      <w:tblPr>
        <w:tblW w:w="0" w:type="auto"/>
        <w:tblInd w:w="817" w:type="dxa"/>
        <w:tblLayout w:type="fixed"/>
        <w:tblLook w:val="0000" w:firstRow="0" w:lastRow="0" w:firstColumn="0" w:lastColumn="0" w:noHBand="0" w:noVBand="0"/>
      </w:tblPr>
      <w:tblGrid>
        <w:gridCol w:w="2637"/>
      </w:tblGrid>
      <w:tr w:rsidR="000C4CA5" w:rsidRPr="00A62077" w14:paraId="1E293A9E" w14:textId="77777777" w:rsidTr="000C4CA5">
        <w:trPr>
          <w:cantSplit/>
        </w:trPr>
        <w:tc>
          <w:tcPr>
            <w:tcW w:w="2637" w:type="dxa"/>
          </w:tcPr>
          <w:p w14:paraId="10F7C375" w14:textId="77777777" w:rsidR="000C4CA5" w:rsidRPr="00A62077" w:rsidRDefault="000C4CA5" w:rsidP="00A62077">
            <w:pPr>
              <w:pStyle w:val="Tabletext"/>
            </w:pPr>
            <w:r w:rsidRPr="00A62077">
              <w:t>the public fund must be:</w:t>
            </w:r>
          </w:p>
          <w:p w14:paraId="0C1215FB" w14:textId="77777777" w:rsidR="000C4CA5" w:rsidRPr="00A62077" w:rsidRDefault="000C4CA5" w:rsidP="00A62077">
            <w:pPr>
              <w:pStyle w:val="Tablea"/>
            </w:pPr>
            <w:r w:rsidRPr="00A62077">
              <w:t xml:space="preserve">(a) an </w:t>
            </w:r>
            <w:r w:rsidR="00A62077" w:rsidRPr="00A62077">
              <w:rPr>
                <w:position w:val="6"/>
                <w:sz w:val="16"/>
              </w:rPr>
              <w:t>*</w:t>
            </w:r>
            <w:r w:rsidRPr="00A62077">
              <w:t>Australian government agency; or</w:t>
            </w:r>
          </w:p>
          <w:p w14:paraId="2CE1F3AF" w14:textId="77777777" w:rsidR="000C4CA5" w:rsidRPr="00A62077" w:rsidRDefault="000C4CA5" w:rsidP="00A62077">
            <w:pPr>
              <w:pStyle w:val="Tablea"/>
            </w:pPr>
            <w:r w:rsidRPr="00A62077">
              <w:t xml:space="preserve">(b) a </w:t>
            </w:r>
            <w:r w:rsidR="00A62077" w:rsidRPr="00A62077">
              <w:rPr>
                <w:position w:val="6"/>
                <w:sz w:val="16"/>
              </w:rPr>
              <w:t>*</w:t>
            </w:r>
            <w:r w:rsidRPr="00A62077">
              <w:t>registered charity; or</w:t>
            </w:r>
          </w:p>
          <w:p w14:paraId="734E4E92" w14:textId="77777777" w:rsidR="000C4CA5" w:rsidRPr="00A62077" w:rsidRDefault="000C4CA5" w:rsidP="00A62077">
            <w:pPr>
              <w:pStyle w:val="Tablea"/>
            </w:pPr>
            <w:r w:rsidRPr="00A62077">
              <w:t>(c) operated by an Australian government agency or a registered charity</w:t>
            </w:r>
          </w:p>
        </w:tc>
      </w:tr>
    </w:tbl>
    <w:p w14:paraId="2EBA7161" w14:textId="77777777" w:rsidR="000C4CA5" w:rsidRPr="00A62077" w:rsidRDefault="000C4CA5" w:rsidP="00A62077">
      <w:pPr>
        <w:pStyle w:val="ItemHead"/>
      </w:pPr>
      <w:r w:rsidRPr="00A62077">
        <w:t>6  Subsection 30</w:t>
      </w:r>
      <w:r w:rsidR="00A62077">
        <w:noBreakHyphen/>
      </w:r>
      <w:r w:rsidRPr="00A62077">
        <w:t>25(1) (cell at table item 2.1.11, column headed “Special conditions—fund, authority or institution”)</w:t>
      </w:r>
    </w:p>
    <w:p w14:paraId="419C4FA2" w14:textId="77777777" w:rsidR="000C4CA5" w:rsidRPr="00A62077" w:rsidRDefault="000C4CA5" w:rsidP="00A62077">
      <w:pPr>
        <w:pStyle w:val="Item"/>
      </w:pPr>
      <w:r w:rsidRPr="00A62077">
        <w:t>Repeal the cell, substitute:</w:t>
      </w:r>
    </w:p>
    <w:tbl>
      <w:tblPr>
        <w:tblW w:w="0" w:type="auto"/>
        <w:tblInd w:w="817" w:type="dxa"/>
        <w:tblLayout w:type="fixed"/>
        <w:tblLook w:val="0000" w:firstRow="0" w:lastRow="0" w:firstColumn="0" w:lastColumn="0" w:noHBand="0" w:noVBand="0"/>
      </w:tblPr>
      <w:tblGrid>
        <w:gridCol w:w="2637"/>
      </w:tblGrid>
      <w:tr w:rsidR="000C4CA5" w:rsidRPr="00A62077" w14:paraId="4A1F3D08" w14:textId="77777777" w:rsidTr="000C4CA5">
        <w:trPr>
          <w:cantSplit/>
        </w:trPr>
        <w:tc>
          <w:tcPr>
            <w:tcW w:w="2637" w:type="dxa"/>
          </w:tcPr>
          <w:p w14:paraId="24A7D8F0" w14:textId="77777777" w:rsidR="000C4CA5" w:rsidRPr="00A62077" w:rsidRDefault="000C4CA5" w:rsidP="00A62077">
            <w:pPr>
              <w:pStyle w:val="Tabletext"/>
            </w:pPr>
            <w:r w:rsidRPr="00A62077">
              <w:t>the public fund must be:</w:t>
            </w:r>
          </w:p>
          <w:p w14:paraId="563A35EB" w14:textId="77777777" w:rsidR="000C4CA5" w:rsidRPr="00A62077" w:rsidRDefault="000C4CA5" w:rsidP="00A62077">
            <w:pPr>
              <w:pStyle w:val="Tablea"/>
            </w:pPr>
            <w:r w:rsidRPr="00A62077">
              <w:t xml:space="preserve">(a) an </w:t>
            </w:r>
            <w:r w:rsidR="00A62077" w:rsidRPr="00A62077">
              <w:rPr>
                <w:position w:val="6"/>
                <w:sz w:val="16"/>
              </w:rPr>
              <w:t>*</w:t>
            </w:r>
            <w:r w:rsidRPr="00A62077">
              <w:t>Australian government agency; or</w:t>
            </w:r>
          </w:p>
          <w:p w14:paraId="12336432" w14:textId="77777777" w:rsidR="000C4CA5" w:rsidRPr="00A62077" w:rsidRDefault="000C4CA5" w:rsidP="00A62077">
            <w:pPr>
              <w:pStyle w:val="Tablea"/>
            </w:pPr>
            <w:r w:rsidRPr="00A62077">
              <w:t xml:space="preserve">(b) a </w:t>
            </w:r>
            <w:r w:rsidR="00A62077" w:rsidRPr="00A62077">
              <w:rPr>
                <w:position w:val="6"/>
                <w:sz w:val="16"/>
              </w:rPr>
              <w:t>*</w:t>
            </w:r>
            <w:r w:rsidRPr="00A62077">
              <w:t>registered charity; or</w:t>
            </w:r>
          </w:p>
          <w:p w14:paraId="58979440" w14:textId="77777777" w:rsidR="000C4CA5" w:rsidRPr="00A62077" w:rsidRDefault="000C4CA5" w:rsidP="00A62077">
            <w:pPr>
              <w:pStyle w:val="Tablea"/>
            </w:pPr>
            <w:r w:rsidRPr="00A62077">
              <w:t>(c) operated by an Australian government agency or a registered charity</w:t>
            </w:r>
          </w:p>
        </w:tc>
      </w:tr>
    </w:tbl>
    <w:p w14:paraId="2B753752" w14:textId="77777777" w:rsidR="000C4CA5" w:rsidRPr="00A62077" w:rsidRDefault="000C4CA5" w:rsidP="00A62077">
      <w:pPr>
        <w:pStyle w:val="ItemHead"/>
      </w:pPr>
      <w:r w:rsidRPr="00A62077">
        <w:t>7  Subsection 30</w:t>
      </w:r>
      <w:r w:rsidR="00A62077">
        <w:noBreakHyphen/>
      </w:r>
      <w:r w:rsidRPr="00A62077">
        <w:t>40(1) (cell at table item 3.1.1, column headed “Special conditions—fund, authority or institution”)</w:t>
      </w:r>
    </w:p>
    <w:p w14:paraId="4AD80F58" w14:textId="77777777" w:rsidR="000C4CA5" w:rsidRPr="00A62077" w:rsidRDefault="000C4CA5" w:rsidP="00A62077">
      <w:pPr>
        <w:pStyle w:val="Item"/>
      </w:pPr>
      <w:r w:rsidRPr="00A62077">
        <w:t>Repeal the cell, substitute:</w:t>
      </w:r>
    </w:p>
    <w:tbl>
      <w:tblPr>
        <w:tblW w:w="0" w:type="auto"/>
        <w:tblInd w:w="817" w:type="dxa"/>
        <w:tblLayout w:type="fixed"/>
        <w:tblLook w:val="0000" w:firstRow="0" w:lastRow="0" w:firstColumn="0" w:lastColumn="0" w:noHBand="0" w:noVBand="0"/>
      </w:tblPr>
      <w:tblGrid>
        <w:gridCol w:w="2637"/>
      </w:tblGrid>
      <w:tr w:rsidR="000C4CA5" w:rsidRPr="00A62077" w14:paraId="5EDF3B24" w14:textId="77777777" w:rsidTr="000C4CA5">
        <w:trPr>
          <w:cantSplit/>
        </w:trPr>
        <w:tc>
          <w:tcPr>
            <w:tcW w:w="2637" w:type="dxa"/>
          </w:tcPr>
          <w:p w14:paraId="5DD1728B" w14:textId="77777777" w:rsidR="000C4CA5" w:rsidRPr="00A62077" w:rsidRDefault="000C4CA5" w:rsidP="00A62077">
            <w:pPr>
              <w:pStyle w:val="Tabletext"/>
            </w:pPr>
            <w:r w:rsidRPr="00A62077">
              <w:lastRenderedPageBreak/>
              <w:t>the approved research institute must be:</w:t>
            </w:r>
          </w:p>
          <w:p w14:paraId="47241497" w14:textId="77777777" w:rsidR="000C4CA5" w:rsidRPr="00A62077" w:rsidRDefault="000C4CA5" w:rsidP="00A62077">
            <w:pPr>
              <w:pStyle w:val="Tablea"/>
            </w:pPr>
            <w:r w:rsidRPr="00A62077">
              <w:t xml:space="preserve">(a) an </w:t>
            </w:r>
            <w:r w:rsidR="00A62077" w:rsidRPr="00A62077">
              <w:rPr>
                <w:position w:val="6"/>
                <w:sz w:val="16"/>
              </w:rPr>
              <w:t>*</w:t>
            </w:r>
            <w:r w:rsidRPr="00A62077">
              <w:t>Australian government agency; or</w:t>
            </w:r>
          </w:p>
          <w:p w14:paraId="4E36B361" w14:textId="77777777" w:rsidR="000C4CA5" w:rsidRPr="00A62077" w:rsidRDefault="000C4CA5" w:rsidP="00A62077">
            <w:pPr>
              <w:pStyle w:val="Tablea"/>
            </w:pPr>
            <w:r w:rsidRPr="00A62077">
              <w:t xml:space="preserve">(b) a </w:t>
            </w:r>
            <w:r w:rsidR="00A62077" w:rsidRPr="00A62077">
              <w:rPr>
                <w:position w:val="6"/>
                <w:sz w:val="16"/>
              </w:rPr>
              <w:t>*</w:t>
            </w:r>
            <w:r w:rsidRPr="00A62077">
              <w:t>registered charity; or</w:t>
            </w:r>
          </w:p>
          <w:p w14:paraId="238C77DE" w14:textId="77777777" w:rsidR="000C4CA5" w:rsidRPr="00A62077" w:rsidRDefault="000C4CA5" w:rsidP="00A62077">
            <w:pPr>
              <w:pStyle w:val="Tablea"/>
            </w:pPr>
            <w:r w:rsidRPr="00A62077">
              <w:t>(c) operated by an Australian government agency or a registered charity</w:t>
            </w:r>
          </w:p>
        </w:tc>
      </w:tr>
    </w:tbl>
    <w:p w14:paraId="34ECB676" w14:textId="77777777" w:rsidR="000C4CA5" w:rsidRPr="00A62077" w:rsidRDefault="000C4CA5" w:rsidP="00A62077">
      <w:pPr>
        <w:pStyle w:val="ItemHead"/>
      </w:pPr>
      <w:r w:rsidRPr="00A62077">
        <w:t>8  Subsection 30</w:t>
      </w:r>
      <w:r w:rsidR="00A62077">
        <w:noBreakHyphen/>
      </w:r>
      <w:r w:rsidRPr="00A62077">
        <w:t>45(1) (cell at table item 4.1.3, column headed “Special conditions—fund, authority or institution”)</w:t>
      </w:r>
    </w:p>
    <w:p w14:paraId="7820934C" w14:textId="77777777" w:rsidR="000C4CA5" w:rsidRPr="00A62077" w:rsidRDefault="000C4CA5" w:rsidP="00A62077">
      <w:pPr>
        <w:pStyle w:val="Item"/>
      </w:pPr>
      <w:r w:rsidRPr="00A62077">
        <w:t>Repeal the cell, substitute:</w:t>
      </w:r>
    </w:p>
    <w:tbl>
      <w:tblPr>
        <w:tblW w:w="0" w:type="auto"/>
        <w:tblInd w:w="817" w:type="dxa"/>
        <w:tblLayout w:type="fixed"/>
        <w:tblLook w:val="0000" w:firstRow="0" w:lastRow="0" w:firstColumn="0" w:lastColumn="0" w:noHBand="0" w:noVBand="0"/>
      </w:tblPr>
      <w:tblGrid>
        <w:gridCol w:w="2064"/>
      </w:tblGrid>
      <w:tr w:rsidR="000C4CA5" w:rsidRPr="00A62077" w14:paraId="15DFD602" w14:textId="77777777" w:rsidTr="000C4CA5">
        <w:trPr>
          <w:cantSplit/>
        </w:trPr>
        <w:tc>
          <w:tcPr>
            <w:tcW w:w="2064" w:type="dxa"/>
          </w:tcPr>
          <w:p w14:paraId="14BFC0ED" w14:textId="77777777" w:rsidR="000C4CA5" w:rsidRPr="00A62077" w:rsidRDefault="000C4CA5" w:rsidP="00A62077">
            <w:pPr>
              <w:pStyle w:val="Tabletext"/>
            </w:pPr>
            <w:r w:rsidRPr="00A62077">
              <w:t>the public fund must be:</w:t>
            </w:r>
          </w:p>
          <w:p w14:paraId="1B58F062" w14:textId="77777777" w:rsidR="000C4CA5" w:rsidRPr="00A62077" w:rsidRDefault="000C4CA5" w:rsidP="00A62077">
            <w:pPr>
              <w:pStyle w:val="Tablea"/>
            </w:pPr>
            <w:r w:rsidRPr="00A62077">
              <w:t xml:space="preserve">(a) an </w:t>
            </w:r>
            <w:r w:rsidR="00A62077" w:rsidRPr="00A62077">
              <w:rPr>
                <w:position w:val="6"/>
                <w:sz w:val="16"/>
              </w:rPr>
              <w:t>*</w:t>
            </w:r>
            <w:r w:rsidRPr="00A62077">
              <w:t>Australian government agency; or</w:t>
            </w:r>
          </w:p>
          <w:p w14:paraId="3E0AA07D" w14:textId="77777777" w:rsidR="000C4CA5" w:rsidRPr="00A62077" w:rsidRDefault="000C4CA5" w:rsidP="00A62077">
            <w:pPr>
              <w:pStyle w:val="Tablea"/>
            </w:pPr>
            <w:r w:rsidRPr="00A62077">
              <w:t xml:space="preserve">(b) a </w:t>
            </w:r>
            <w:r w:rsidR="00A62077" w:rsidRPr="00A62077">
              <w:rPr>
                <w:position w:val="6"/>
                <w:sz w:val="16"/>
              </w:rPr>
              <w:t>*</w:t>
            </w:r>
            <w:r w:rsidRPr="00A62077">
              <w:t>registered charity; or</w:t>
            </w:r>
          </w:p>
          <w:p w14:paraId="38BBC0CA" w14:textId="77777777" w:rsidR="000C4CA5" w:rsidRPr="00A62077" w:rsidRDefault="000C4CA5" w:rsidP="00A62077">
            <w:pPr>
              <w:pStyle w:val="Tablea"/>
            </w:pPr>
            <w:r w:rsidRPr="00A62077">
              <w:t>(c) operated by an Australian government agency or a registered charity</w:t>
            </w:r>
          </w:p>
        </w:tc>
      </w:tr>
    </w:tbl>
    <w:p w14:paraId="4721CF49" w14:textId="77777777" w:rsidR="000C4CA5" w:rsidRPr="00A62077" w:rsidRDefault="000C4CA5" w:rsidP="00A62077">
      <w:pPr>
        <w:pStyle w:val="ItemHead"/>
      </w:pPr>
      <w:r w:rsidRPr="00A62077">
        <w:t>9  Section 30</w:t>
      </w:r>
      <w:r w:rsidR="00A62077">
        <w:noBreakHyphen/>
      </w:r>
      <w:r w:rsidRPr="00A62077">
        <w:t>102 (table item 12A.1.3, column headed “Fund, authority or institution”, paragraph (a))</w:t>
      </w:r>
    </w:p>
    <w:p w14:paraId="771A0513" w14:textId="77777777" w:rsidR="000C4CA5" w:rsidRPr="00A62077" w:rsidRDefault="000C4CA5" w:rsidP="00A62077">
      <w:pPr>
        <w:pStyle w:val="Item"/>
      </w:pPr>
      <w:r w:rsidRPr="00A62077">
        <w:t>Repeal the paragraph, substitute:</w:t>
      </w:r>
    </w:p>
    <w:p w14:paraId="3C4196C6" w14:textId="77777777" w:rsidR="000C4CA5" w:rsidRPr="00A62077" w:rsidRDefault="000C4CA5" w:rsidP="00A62077">
      <w:pPr>
        <w:pStyle w:val="Tablea"/>
      </w:pPr>
      <w:r w:rsidRPr="00A62077">
        <w:t xml:space="preserve">(a) the fund is established and maintained by a </w:t>
      </w:r>
      <w:r w:rsidR="00A62077" w:rsidRPr="00A62077">
        <w:rPr>
          <w:position w:val="6"/>
          <w:sz w:val="16"/>
        </w:rPr>
        <w:t>*</w:t>
      </w:r>
      <w:r w:rsidRPr="00A62077">
        <w:t xml:space="preserve">registered charity or an </w:t>
      </w:r>
      <w:r w:rsidR="00A62077" w:rsidRPr="00A62077">
        <w:rPr>
          <w:position w:val="6"/>
          <w:sz w:val="16"/>
        </w:rPr>
        <w:t>*</w:t>
      </w:r>
      <w:r w:rsidRPr="00A62077">
        <w:t>Australian government agency;</w:t>
      </w:r>
    </w:p>
    <w:p w14:paraId="3B4200EC" w14:textId="77777777" w:rsidR="000C4CA5" w:rsidRPr="00A62077" w:rsidRDefault="000C4CA5" w:rsidP="00A62077">
      <w:pPr>
        <w:pStyle w:val="ItemHead"/>
      </w:pPr>
      <w:r w:rsidRPr="00A62077">
        <w:t>10  Section 30</w:t>
      </w:r>
      <w:r w:rsidR="00A62077">
        <w:noBreakHyphen/>
      </w:r>
      <w:r w:rsidRPr="00A62077">
        <w:t>260</w:t>
      </w:r>
    </w:p>
    <w:p w14:paraId="6E2A3326" w14:textId="77777777" w:rsidR="000C4CA5" w:rsidRPr="00A62077" w:rsidRDefault="000C4CA5" w:rsidP="00A62077">
      <w:pPr>
        <w:pStyle w:val="Item"/>
      </w:pPr>
      <w:r w:rsidRPr="00A62077">
        <w:t>Repeal the section, substitute:</w:t>
      </w:r>
    </w:p>
    <w:p w14:paraId="63F93BB4" w14:textId="77777777" w:rsidR="000C4CA5" w:rsidRPr="00A62077" w:rsidRDefault="000C4CA5" w:rsidP="00A62077">
      <w:pPr>
        <w:pStyle w:val="ActHead5"/>
        <w:rPr>
          <w:i/>
        </w:rPr>
      </w:pPr>
      <w:bookmarkStart w:id="10" w:name="_Toc82697341"/>
      <w:r w:rsidRPr="004B0398">
        <w:rPr>
          <w:rStyle w:val="CharSectno"/>
        </w:rPr>
        <w:t>30</w:t>
      </w:r>
      <w:r w:rsidR="00A62077" w:rsidRPr="004B0398">
        <w:rPr>
          <w:rStyle w:val="CharSectno"/>
        </w:rPr>
        <w:noBreakHyphen/>
      </w:r>
      <w:r w:rsidRPr="004B0398">
        <w:rPr>
          <w:rStyle w:val="CharSectno"/>
        </w:rPr>
        <w:t>260</w:t>
      </w:r>
      <w:r w:rsidRPr="00A62077">
        <w:t xml:space="preserve">  Meaning of </w:t>
      </w:r>
      <w:r w:rsidRPr="00A62077">
        <w:rPr>
          <w:i/>
        </w:rPr>
        <w:t>environmental organisation</w:t>
      </w:r>
      <w:bookmarkEnd w:id="10"/>
    </w:p>
    <w:p w14:paraId="6B744ED1" w14:textId="77777777" w:rsidR="000C4CA5" w:rsidRPr="00A62077" w:rsidRDefault="000C4CA5" w:rsidP="00A62077">
      <w:pPr>
        <w:pStyle w:val="subsection"/>
      </w:pPr>
      <w:r w:rsidRPr="00A62077">
        <w:tab/>
      </w:r>
      <w:r w:rsidRPr="00A62077">
        <w:tab/>
        <w:t xml:space="preserve">An </w:t>
      </w:r>
      <w:r w:rsidRPr="00A62077">
        <w:rPr>
          <w:b/>
          <w:i/>
        </w:rPr>
        <w:t>environmental organisation</w:t>
      </w:r>
      <w:r w:rsidRPr="00A62077">
        <w:t xml:space="preserve"> is an entity that meets the following criteria:</w:t>
      </w:r>
    </w:p>
    <w:p w14:paraId="68008D60" w14:textId="77777777" w:rsidR="000C4CA5" w:rsidRPr="00A62077" w:rsidRDefault="000C4CA5" w:rsidP="00A62077">
      <w:pPr>
        <w:pStyle w:val="paragraph"/>
      </w:pPr>
      <w:r w:rsidRPr="00A62077">
        <w:tab/>
        <w:t>(a)</w:t>
      </w:r>
      <w:r w:rsidRPr="00A62077">
        <w:tab/>
        <w:t>the entity satisfies each requirement in sections 30</w:t>
      </w:r>
      <w:r w:rsidR="00A62077">
        <w:noBreakHyphen/>
      </w:r>
      <w:r w:rsidRPr="00A62077">
        <w:t>265 and 30</w:t>
      </w:r>
      <w:r w:rsidR="00A62077">
        <w:noBreakHyphen/>
      </w:r>
      <w:r w:rsidRPr="00A62077">
        <w:t>270;</w:t>
      </w:r>
    </w:p>
    <w:p w14:paraId="783C99FA" w14:textId="77777777" w:rsidR="000C4CA5" w:rsidRPr="00A62077" w:rsidRDefault="000C4CA5" w:rsidP="00A62077">
      <w:pPr>
        <w:pStyle w:val="paragraph"/>
      </w:pPr>
      <w:r w:rsidRPr="00A62077">
        <w:tab/>
        <w:t>(b)</w:t>
      </w:r>
      <w:r w:rsidRPr="00A62077">
        <w:tab/>
        <w:t xml:space="preserve">the entity is a </w:t>
      </w:r>
      <w:r w:rsidR="00A62077" w:rsidRPr="00A62077">
        <w:rPr>
          <w:position w:val="6"/>
          <w:sz w:val="16"/>
        </w:rPr>
        <w:t>*</w:t>
      </w:r>
      <w:r w:rsidRPr="00A62077">
        <w:t xml:space="preserve">registered charity or an </w:t>
      </w:r>
      <w:r w:rsidR="00A62077" w:rsidRPr="00A62077">
        <w:rPr>
          <w:position w:val="6"/>
          <w:sz w:val="16"/>
        </w:rPr>
        <w:t>*</w:t>
      </w:r>
      <w:r w:rsidRPr="00A62077">
        <w:t>Australian government agency.</w:t>
      </w:r>
    </w:p>
    <w:p w14:paraId="47EC008F" w14:textId="77777777" w:rsidR="000C4CA5" w:rsidRPr="00A62077" w:rsidRDefault="000C4CA5" w:rsidP="00A62077">
      <w:pPr>
        <w:pStyle w:val="notetext"/>
      </w:pPr>
      <w:r w:rsidRPr="00A62077">
        <w:t>Note:</w:t>
      </w:r>
      <w:r w:rsidRPr="00A62077">
        <w:tab/>
        <w:t>A body corporate or a cooperative society must satisfy a further requirement: see section 30</w:t>
      </w:r>
      <w:r w:rsidR="00A62077">
        <w:noBreakHyphen/>
      </w:r>
      <w:r w:rsidRPr="00A62077">
        <w:t>275.</w:t>
      </w:r>
    </w:p>
    <w:p w14:paraId="43DE47CA" w14:textId="77777777" w:rsidR="000C4CA5" w:rsidRPr="00A62077" w:rsidRDefault="000C4CA5" w:rsidP="00A62077">
      <w:pPr>
        <w:pStyle w:val="ItemHead"/>
      </w:pPr>
      <w:r w:rsidRPr="00A62077">
        <w:t>11  Subsection 30</w:t>
      </w:r>
      <w:r w:rsidR="00A62077">
        <w:noBreakHyphen/>
      </w:r>
      <w:r w:rsidRPr="00A62077">
        <w:t>300(1)</w:t>
      </w:r>
    </w:p>
    <w:p w14:paraId="4174E20E" w14:textId="77777777" w:rsidR="000C4CA5" w:rsidRPr="00A62077" w:rsidRDefault="000C4CA5" w:rsidP="00A62077">
      <w:pPr>
        <w:pStyle w:val="Item"/>
      </w:pPr>
      <w:r w:rsidRPr="00A62077">
        <w:t>Repeal the subsection, substitute:</w:t>
      </w:r>
    </w:p>
    <w:p w14:paraId="3C110C7A" w14:textId="77777777" w:rsidR="000C4CA5" w:rsidRPr="00A62077" w:rsidRDefault="000C4CA5" w:rsidP="00A62077">
      <w:pPr>
        <w:pStyle w:val="subsection"/>
      </w:pPr>
      <w:r w:rsidRPr="00A62077">
        <w:tab/>
        <w:t>(1)</w:t>
      </w:r>
      <w:r w:rsidRPr="00A62077">
        <w:tab/>
        <w:t xml:space="preserve">A </w:t>
      </w:r>
      <w:r w:rsidRPr="00A62077">
        <w:rPr>
          <w:b/>
          <w:i/>
        </w:rPr>
        <w:t>cultural organisation</w:t>
      </w:r>
      <w:r w:rsidRPr="00A62077">
        <w:t xml:space="preserve"> is a </w:t>
      </w:r>
      <w:r w:rsidR="00A62077" w:rsidRPr="00A62077">
        <w:rPr>
          <w:position w:val="6"/>
          <w:sz w:val="16"/>
        </w:rPr>
        <w:t>*</w:t>
      </w:r>
      <w:r w:rsidRPr="00A62077">
        <w:t xml:space="preserve">registered charity, or an </w:t>
      </w:r>
      <w:r w:rsidR="00A62077" w:rsidRPr="00A62077">
        <w:rPr>
          <w:position w:val="6"/>
          <w:sz w:val="16"/>
        </w:rPr>
        <w:t>*</w:t>
      </w:r>
      <w:r w:rsidRPr="00A62077">
        <w:t>Australian government agency, that satisfies each requirement in this section.</w:t>
      </w:r>
    </w:p>
    <w:p w14:paraId="7518728B" w14:textId="77777777" w:rsidR="000C4CA5" w:rsidRPr="00A62077" w:rsidRDefault="00486039" w:rsidP="00A62077">
      <w:pPr>
        <w:pStyle w:val="ActHead7"/>
        <w:pageBreakBefore/>
      </w:pPr>
      <w:bookmarkStart w:id="11" w:name="_Toc82697342"/>
      <w:r w:rsidRPr="004B0398">
        <w:rPr>
          <w:rStyle w:val="CharAmPartNo"/>
        </w:rPr>
        <w:t>Part 2</w:t>
      </w:r>
      <w:r w:rsidR="000C4CA5" w:rsidRPr="00A62077">
        <w:t>—</w:t>
      </w:r>
      <w:r w:rsidR="000C4CA5" w:rsidRPr="004B0398">
        <w:rPr>
          <w:rStyle w:val="CharAmPartText"/>
        </w:rPr>
        <w:t>Application and transitional provisions</w:t>
      </w:r>
      <w:bookmarkEnd w:id="11"/>
    </w:p>
    <w:p w14:paraId="45EF309D" w14:textId="77777777" w:rsidR="000C4CA5" w:rsidRPr="00A62077" w:rsidRDefault="000C4CA5" w:rsidP="00A62077">
      <w:pPr>
        <w:pStyle w:val="Transitional"/>
      </w:pPr>
      <w:r w:rsidRPr="00A62077">
        <w:t>12  Interpretation</w:t>
      </w:r>
    </w:p>
    <w:p w14:paraId="0428C317" w14:textId="77777777" w:rsidR="000C4CA5" w:rsidRPr="00A62077" w:rsidRDefault="000C4CA5" w:rsidP="00A62077">
      <w:pPr>
        <w:pStyle w:val="Item"/>
      </w:pPr>
      <w:r w:rsidRPr="00A62077">
        <w:t>In this Part:</w:t>
      </w:r>
    </w:p>
    <w:p w14:paraId="2AD10AD8" w14:textId="77777777" w:rsidR="000C4CA5" w:rsidRPr="00A62077" w:rsidRDefault="000C4CA5" w:rsidP="00A62077">
      <w:pPr>
        <w:pStyle w:val="Item"/>
      </w:pPr>
      <w:r w:rsidRPr="00A62077">
        <w:rPr>
          <w:b/>
          <w:i/>
        </w:rPr>
        <w:t>application date</w:t>
      </w:r>
      <w:r w:rsidRPr="00A62077">
        <w:t xml:space="preserve"> means the day that is 3 months after the day on which this Act receives the Royal Assent.</w:t>
      </w:r>
    </w:p>
    <w:p w14:paraId="3099D0DE" w14:textId="77777777" w:rsidR="000C4CA5" w:rsidRPr="00A62077" w:rsidRDefault="000C4CA5" w:rsidP="00A62077">
      <w:pPr>
        <w:pStyle w:val="Item"/>
      </w:pPr>
      <w:r w:rsidRPr="00A62077">
        <w:rPr>
          <w:b/>
          <w:i/>
        </w:rPr>
        <w:t>extended application date</w:t>
      </w:r>
      <w:r w:rsidRPr="00A62077">
        <w:t>, for a fund, authority or institution, means the day that is determined under subitem 16(1) or that applies because of subitem 16(5).</w:t>
      </w:r>
    </w:p>
    <w:p w14:paraId="17EEAAAB" w14:textId="77777777" w:rsidR="000C4CA5" w:rsidRPr="00A62077" w:rsidRDefault="000C4CA5" w:rsidP="00A62077">
      <w:pPr>
        <w:pStyle w:val="Item"/>
      </w:pPr>
      <w:r w:rsidRPr="00A62077">
        <w:rPr>
          <w:b/>
          <w:i/>
        </w:rPr>
        <w:t>transitional application date</w:t>
      </w:r>
      <w:r w:rsidRPr="00A62077">
        <w:t xml:space="preserve"> means the day that is 12 months after the application date.</w:t>
      </w:r>
    </w:p>
    <w:p w14:paraId="3A1629AE" w14:textId="77777777" w:rsidR="000C4CA5" w:rsidRPr="00A62077" w:rsidRDefault="000C4CA5" w:rsidP="00A62077">
      <w:pPr>
        <w:pStyle w:val="Transitional"/>
      </w:pPr>
      <w:r w:rsidRPr="00A62077">
        <w:t>13  Application—general</w:t>
      </w:r>
    </w:p>
    <w:p w14:paraId="7F49BD97" w14:textId="77777777" w:rsidR="000C4CA5" w:rsidRPr="00A62077" w:rsidRDefault="000C4CA5" w:rsidP="00A62077">
      <w:pPr>
        <w:pStyle w:val="Item"/>
      </w:pPr>
      <w:r w:rsidRPr="00A62077">
        <w:t>The amendments made by this Schedule do not apply in relation to a fund, authority or institution before the application date.</w:t>
      </w:r>
    </w:p>
    <w:p w14:paraId="4AFB51B3" w14:textId="77777777" w:rsidR="000C4CA5" w:rsidRPr="00A62077" w:rsidRDefault="000C4CA5" w:rsidP="00A62077">
      <w:pPr>
        <w:pStyle w:val="Transitional"/>
      </w:pPr>
      <w:r w:rsidRPr="00A62077">
        <w:t>14  Transitional—existing deductible gift recipients</w:t>
      </w:r>
    </w:p>
    <w:p w14:paraId="267A2602" w14:textId="77777777" w:rsidR="000C4CA5" w:rsidRPr="00A62077" w:rsidRDefault="000C4CA5" w:rsidP="00A62077">
      <w:pPr>
        <w:pStyle w:val="Subitem"/>
      </w:pPr>
      <w:r w:rsidRPr="00A62077">
        <w:t>(1)</w:t>
      </w:r>
      <w:r w:rsidRPr="00A62077">
        <w:tab/>
        <w:t>This item applies if:</w:t>
      </w:r>
    </w:p>
    <w:p w14:paraId="3710D65F" w14:textId="77777777" w:rsidR="000C4CA5" w:rsidRPr="00A62077" w:rsidRDefault="000C4CA5" w:rsidP="00A62077">
      <w:pPr>
        <w:pStyle w:val="paragraph"/>
      </w:pPr>
      <w:r w:rsidRPr="00A62077">
        <w:tab/>
        <w:t>(a)</w:t>
      </w:r>
      <w:r w:rsidRPr="00A62077">
        <w:tab/>
        <w:t xml:space="preserve">immediately before the application date, gifts or contributions to a fund, authority or institution were deductible because the fund, authority or institution satisfied a requirement of Division 30 of the </w:t>
      </w:r>
      <w:r w:rsidRPr="00A62077">
        <w:rPr>
          <w:i/>
        </w:rPr>
        <w:t>Income Tax Assessment Act 1997</w:t>
      </w:r>
      <w:r w:rsidRPr="00A62077">
        <w:t>; and</w:t>
      </w:r>
    </w:p>
    <w:p w14:paraId="1BFCC478" w14:textId="77777777" w:rsidR="000C4CA5" w:rsidRPr="00A62077" w:rsidRDefault="000C4CA5" w:rsidP="00A62077">
      <w:pPr>
        <w:pStyle w:val="paragraph"/>
      </w:pPr>
      <w:r w:rsidRPr="00A62077">
        <w:tab/>
        <w:t>(b)</w:t>
      </w:r>
      <w:r w:rsidRPr="00A62077">
        <w:tab/>
        <w:t xml:space="preserve">at that date, the fund, authority or institution no longer satisfies the requirement because of the amendments made by </w:t>
      </w:r>
      <w:r w:rsidR="00486039" w:rsidRPr="00A62077">
        <w:t>Part 1</w:t>
      </w:r>
      <w:r w:rsidRPr="00A62077">
        <w:t xml:space="preserve"> of this Schedule (disregarding this item).</w:t>
      </w:r>
    </w:p>
    <w:p w14:paraId="4B09EDC9" w14:textId="77777777" w:rsidR="000C4CA5" w:rsidRPr="00A62077" w:rsidRDefault="000C4CA5" w:rsidP="00A62077">
      <w:pPr>
        <w:pStyle w:val="Subitem"/>
      </w:pPr>
      <w:r w:rsidRPr="00A62077">
        <w:t>(2)</w:t>
      </w:r>
      <w:r w:rsidRPr="00A62077">
        <w:tab/>
        <w:t>The amendments made by this Schedule do not apply in relation to the fund, authority or institution during the period that:</w:t>
      </w:r>
    </w:p>
    <w:p w14:paraId="56F408B7" w14:textId="77777777" w:rsidR="000C4CA5" w:rsidRPr="00A62077" w:rsidRDefault="000C4CA5" w:rsidP="00A62077">
      <w:pPr>
        <w:pStyle w:val="paragraph"/>
      </w:pPr>
      <w:r w:rsidRPr="00A62077">
        <w:tab/>
        <w:t>(a)</w:t>
      </w:r>
      <w:r w:rsidRPr="00A62077">
        <w:tab/>
        <w:t>starts on the application date; and</w:t>
      </w:r>
    </w:p>
    <w:p w14:paraId="6AFF465F" w14:textId="77777777" w:rsidR="000C4CA5" w:rsidRPr="00A62077" w:rsidRDefault="000C4CA5" w:rsidP="00A62077">
      <w:pPr>
        <w:pStyle w:val="paragraph"/>
      </w:pPr>
      <w:r w:rsidRPr="00A62077">
        <w:tab/>
        <w:t>(b)</w:t>
      </w:r>
      <w:r w:rsidRPr="00A62077">
        <w:tab/>
        <w:t>ends on the earliest of:</w:t>
      </w:r>
    </w:p>
    <w:p w14:paraId="5E3B87F2" w14:textId="77777777" w:rsidR="000C4CA5" w:rsidRPr="00A62077" w:rsidRDefault="000C4CA5" w:rsidP="00A62077">
      <w:pPr>
        <w:pStyle w:val="paragraphsub"/>
      </w:pPr>
      <w:r w:rsidRPr="00A62077">
        <w:tab/>
        <w:t>(</w:t>
      </w:r>
      <w:proofErr w:type="spellStart"/>
      <w:r w:rsidRPr="00A62077">
        <w:t>i</w:t>
      </w:r>
      <w:proofErr w:type="spellEnd"/>
      <w:r w:rsidRPr="00A62077">
        <w:t>)</w:t>
      </w:r>
      <w:r w:rsidRPr="00A62077">
        <w:tab/>
        <w:t>the time at which the fund, authority or institution first satisfies the requirement mentioned in subitem (1) (as amended by this Schedule); and</w:t>
      </w:r>
    </w:p>
    <w:p w14:paraId="2CDB3C3C" w14:textId="77777777" w:rsidR="000C4CA5" w:rsidRPr="00A62077" w:rsidRDefault="000C4CA5" w:rsidP="00A62077">
      <w:pPr>
        <w:pStyle w:val="paragraphsub"/>
      </w:pPr>
      <w:r w:rsidRPr="00A62077">
        <w:tab/>
        <w:t>(ii)</w:t>
      </w:r>
      <w:r w:rsidRPr="00A62077">
        <w:tab/>
        <w:t>if the fund, authority or institution does not have an extended application date—the transitional application date; and</w:t>
      </w:r>
    </w:p>
    <w:p w14:paraId="71A2A428" w14:textId="77777777" w:rsidR="000C4CA5" w:rsidRPr="00A62077" w:rsidRDefault="000C4CA5" w:rsidP="00A62077">
      <w:pPr>
        <w:pStyle w:val="paragraphsub"/>
      </w:pPr>
      <w:r w:rsidRPr="00A62077">
        <w:tab/>
        <w:t>(iii)</w:t>
      </w:r>
      <w:r w:rsidRPr="00A62077">
        <w:tab/>
        <w:t>if the fund, authority or institution has an extended application date—the extended application date.</w:t>
      </w:r>
    </w:p>
    <w:p w14:paraId="078094FC" w14:textId="77777777" w:rsidR="000C4CA5" w:rsidRPr="00A62077" w:rsidRDefault="000C4CA5" w:rsidP="00A62077">
      <w:pPr>
        <w:pStyle w:val="Transitional"/>
      </w:pPr>
      <w:r w:rsidRPr="00A62077">
        <w:t>15  Transitional—new applicants</w:t>
      </w:r>
    </w:p>
    <w:p w14:paraId="6AE04429" w14:textId="77777777" w:rsidR="000C4CA5" w:rsidRPr="00A62077" w:rsidRDefault="000C4CA5" w:rsidP="00A62077">
      <w:pPr>
        <w:pStyle w:val="Subitem"/>
      </w:pPr>
      <w:r w:rsidRPr="00A62077">
        <w:t>(1)</w:t>
      </w:r>
      <w:r w:rsidRPr="00A62077">
        <w:tab/>
        <w:t>This item applies if, immediately before the application date:</w:t>
      </w:r>
    </w:p>
    <w:p w14:paraId="38A3D713" w14:textId="77777777" w:rsidR="000C4CA5" w:rsidRPr="00A62077" w:rsidRDefault="000C4CA5" w:rsidP="00A62077">
      <w:pPr>
        <w:pStyle w:val="paragraph"/>
      </w:pPr>
      <w:r w:rsidRPr="00A62077">
        <w:tab/>
        <w:t>(a)</w:t>
      </w:r>
      <w:r w:rsidRPr="00A62077">
        <w:tab/>
        <w:t>either:</w:t>
      </w:r>
    </w:p>
    <w:p w14:paraId="007EC940" w14:textId="77777777" w:rsidR="000C4CA5" w:rsidRPr="00A62077" w:rsidRDefault="000C4CA5" w:rsidP="00A62077">
      <w:pPr>
        <w:pStyle w:val="paragraphsub"/>
      </w:pPr>
      <w:r w:rsidRPr="00A62077">
        <w:tab/>
        <w:t>(</w:t>
      </w:r>
      <w:proofErr w:type="spellStart"/>
      <w:r w:rsidRPr="00A62077">
        <w:t>i</w:t>
      </w:r>
      <w:proofErr w:type="spellEnd"/>
      <w:r w:rsidRPr="00A62077">
        <w:t>)</w:t>
      </w:r>
      <w:r w:rsidRPr="00A62077">
        <w:tab/>
        <w:t>a fund, authority or institution had made an application under section 426</w:t>
      </w:r>
      <w:r w:rsidR="00A62077">
        <w:noBreakHyphen/>
      </w:r>
      <w:r w:rsidRPr="00A62077">
        <w:t xml:space="preserve">15 in Schedule 1 to the </w:t>
      </w:r>
      <w:r w:rsidRPr="00A62077">
        <w:rPr>
          <w:i/>
        </w:rPr>
        <w:t>Taxation Administration Act 1953</w:t>
      </w:r>
      <w:r w:rsidRPr="00A62077">
        <w:t xml:space="preserve"> for endorsement as a deductible gift recipient; or</w:t>
      </w:r>
    </w:p>
    <w:p w14:paraId="1AFB4B75" w14:textId="77777777" w:rsidR="000C4CA5" w:rsidRPr="00A62077" w:rsidRDefault="000C4CA5" w:rsidP="00A62077">
      <w:pPr>
        <w:pStyle w:val="paragraphsub"/>
      </w:pPr>
      <w:r w:rsidRPr="00A62077">
        <w:tab/>
        <w:t>(ii)</w:t>
      </w:r>
      <w:r w:rsidRPr="00A62077">
        <w:tab/>
        <w:t>another entity made an application under that section for endorsement as a deductible gift recipient for the operation of the fund, authority or institution; and</w:t>
      </w:r>
    </w:p>
    <w:p w14:paraId="358A8B9E" w14:textId="77777777" w:rsidR="000C4CA5" w:rsidRPr="00A62077" w:rsidRDefault="000C4CA5" w:rsidP="00A62077">
      <w:pPr>
        <w:pStyle w:val="paragraph"/>
      </w:pPr>
      <w:r w:rsidRPr="00A62077">
        <w:tab/>
        <w:t>(b)</w:t>
      </w:r>
      <w:r w:rsidRPr="00A62077">
        <w:tab/>
        <w:t>the Commissioner had not decided the application.</w:t>
      </w:r>
    </w:p>
    <w:p w14:paraId="1F1AEFA6" w14:textId="77777777" w:rsidR="000C4CA5" w:rsidRPr="00A62077" w:rsidRDefault="000C4CA5" w:rsidP="00A62077">
      <w:pPr>
        <w:pStyle w:val="Subitem"/>
      </w:pPr>
      <w:r w:rsidRPr="00A62077">
        <w:t>(2)</w:t>
      </w:r>
      <w:r w:rsidRPr="00A62077">
        <w:tab/>
        <w:t>The amendments made by this Schedule do not apply in relation to the fund, authority or institution during the period that:</w:t>
      </w:r>
    </w:p>
    <w:p w14:paraId="67687AC9" w14:textId="77777777" w:rsidR="000C4CA5" w:rsidRPr="00A62077" w:rsidRDefault="000C4CA5" w:rsidP="00A62077">
      <w:pPr>
        <w:pStyle w:val="paragraph"/>
      </w:pPr>
      <w:r w:rsidRPr="00A62077">
        <w:tab/>
        <w:t>(a)</w:t>
      </w:r>
      <w:r w:rsidRPr="00A62077">
        <w:tab/>
        <w:t>starts on the application date; and</w:t>
      </w:r>
    </w:p>
    <w:p w14:paraId="2E3B55CD" w14:textId="77777777" w:rsidR="000C4CA5" w:rsidRPr="00A62077" w:rsidRDefault="000C4CA5" w:rsidP="00A62077">
      <w:pPr>
        <w:pStyle w:val="paragraph"/>
      </w:pPr>
      <w:r w:rsidRPr="00A62077">
        <w:tab/>
        <w:t>(b)</w:t>
      </w:r>
      <w:r w:rsidRPr="00A62077">
        <w:tab/>
        <w:t>ends on the earliest of:</w:t>
      </w:r>
    </w:p>
    <w:p w14:paraId="355758B7" w14:textId="77777777" w:rsidR="000C4CA5" w:rsidRPr="00A62077" w:rsidRDefault="000C4CA5" w:rsidP="00A62077">
      <w:pPr>
        <w:pStyle w:val="paragraphsub"/>
      </w:pPr>
      <w:r w:rsidRPr="00A62077">
        <w:tab/>
        <w:t>(</w:t>
      </w:r>
      <w:proofErr w:type="spellStart"/>
      <w:r w:rsidRPr="00A62077">
        <w:t>i</w:t>
      </w:r>
      <w:proofErr w:type="spellEnd"/>
      <w:r w:rsidRPr="00A62077">
        <w:t>)</w:t>
      </w:r>
      <w:r w:rsidRPr="00A62077">
        <w:tab/>
        <w:t>if the application mentioned in subitem (1) is refused—the day on which notice is given of the refusal under section 426</w:t>
      </w:r>
      <w:r w:rsidR="00A62077">
        <w:noBreakHyphen/>
      </w:r>
      <w:r w:rsidRPr="00A62077">
        <w:t xml:space="preserve">25 in Schedule 1 to the </w:t>
      </w:r>
      <w:r w:rsidRPr="00A62077">
        <w:rPr>
          <w:i/>
        </w:rPr>
        <w:t>Taxation Administration Act 1953</w:t>
      </w:r>
      <w:r w:rsidRPr="00A62077">
        <w:t>; and</w:t>
      </w:r>
    </w:p>
    <w:p w14:paraId="72F323A4" w14:textId="77777777" w:rsidR="000C4CA5" w:rsidRPr="00A62077" w:rsidRDefault="000C4CA5" w:rsidP="00A62077">
      <w:pPr>
        <w:pStyle w:val="paragraphsub"/>
      </w:pPr>
      <w:r w:rsidRPr="00A62077">
        <w:tab/>
        <w:t>(ii)</w:t>
      </w:r>
      <w:r w:rsidRPr="00A62077">
        <w:tab/>
        <w:t>if the fund, authority or institution does not have an extended application date—the transitional application date; and</w:t>
      </w:r>
    </w:p>
    <w:p w14:paraId="74AB4F7F" w14:textId="77777777" w:rsidR="000C4CA5" w:rsidRPr="00A62077" w:rsidRDefault="000C4CA5" w:rsidP="00A62077">
      <w:pPr>
        <w:pStyle w:val="paragraphsub"/>
      </w:pPr>
      <w:r w:rsidRPr="00A62077">
        <w:tab/>
        <w:t>(iii)</w:t>
      </w:r>
      <w:r w:rsidRPr="00A62077">
        <w:tab/>
        <w:t>if the fund, authority or institution has an extended application date—the extended application date.</w:t>
      </w:r>
    </w:p>
    <w:p w14:paraId="6B15C454" w14:textId="77777777" w:rsidR="000C4CA5" w:rsidRPr="00A62077" w:rsidRDefault="000C4CA5" w:rsidP="00A62077">
      <w:pPr>
        <w:pStyle w:val="notemargin"/>
      </w:pPr>
      <w:r w:rsidRPr="00A62077">
        <w:t>Note:</w:t>
      </w:r>
      <w:r w:rsidRPr="00A62077">
        <w:tab/>
        <w:t>If an application is refused it will be for a reason other than the amendments made by this Schedule. This is because this subitem disapplies the amendments to the Commissioner’s determination of eligibility for endorsement.</w:t>
      </w:r>
    </w:p>
    <w:p w14:paraId="3D19BAD5" w14:textId="77777777" w:rsidR="000C4CA5" w:rsidRPr="00A62077" w:rsidRDefault="000C4CA5" w:rsidP="00A62077">
      <w:pPr>
        <w:pStyle w:val="Transitional"/>
      </w:pPr>
      <w:r w:rsidRPr="00A62077" w:rsidDel="005E7377">
        <w:t xml:space="preserve"> </w:t>
      </w:r>
      <w:r w:rsidRPr="00A62077">
        <w:t>16  Extended application dates</w:t>
      </w:r>
    </w:p>
    <w:p w14:paraId="1F216203" w14:textId="77777777" w:rsidR="000C4CA5" w:rsidRPr="00A62077" w:rsidRDefault="000C4CA5" w:rsidP="00A62077">
      <w:pPr>
        <w:pStyle w:val="SubitemHead"/>
      </w:pPr>
      <w:r w:rsidRPr="00A62077">
        <w:t>Determining extended application dates</w:t>
      </w:r>
    </w:p>
    <w:p w14:paraId="5EB9BE64" w14:textId="77777777" w:rsidR="000C4CA5" w:rsidRPr="00A62077" w:rsidRDefault="000C4CA5" w:rsidP="00A62077">
      <w:pPr>
        <w:pStyle w:val="Subitem"/>
      </w:pPr>
      <w:r w:rsidRPr="00A62077">
        <w:t>(1)</w:t>
      </w:r>
      <w:r w:rsidRPr="00A62077">
        <w:tab/>
        <w:t>The Commissioner may, by notice in writing, determine that a fund, authority or institution has an extended application date that is the day that occurs 3 years after the transitional application date.</w:t>
      </w:r>
    </w:p>
    <w:p w14:paraId="16C9F01A" w14:textId="77777777" w:rsidR="000C4CA5" w:rsidRPr="00A62077" w:rsidRDefault="000C4CA5" w:rsidP="00A62077">
      <w:pPr>
        <w:pStyle w:val="Subitem"/>
      </w:pPr>
      <w:r w:rsidRPr="00A62077">
        <w:t>(2)</w:t>
      </w:r>
      <w:r w:rsidRPr="00A62077">
        <w:tab/>
        <w:t>A determination under subitem (1) is not a legislative instrument.</w:t>
      </w:r>
    </w:p>
    <w:p w14:paraId="5C0CCCE4" w14:textId="77777777" w:rsidR="000C4CA5" w:rsidRPr="00A62077" w:rsidRDefault="000C4CA5" w:rsidP="00A62077">
      <w:pPr>
        <w:pStyle w:val="SubitemHead"/>
      </w:pPr>
      <w:r w:rsidRPr="00A62077">
        <w:t>Applications for extended application dates</w:t>
      </w:r>
    </w:p>
    <w:p w14:paraId="721D308D" w14:textId="77777777" w:rsidR="000C4CA5" w:rsidRPr="00A62077" w:rsidRDefault="000C4CA5" w:rsidP="00A62077">
      <w:pPr>
        <w:pStyle w:val="Subitem"/>
      </w:pPr>
      <w:r w:rsidRPr="00A62077">
        <w:t>(3)</w:t>
      </w:r>
      <w:r w:rsidRPr="00A62077">
        <w:tab/>
        <w:t>The Commissioner may make a determination under subitem (1) only if the fund, authority or institution, or an entity that operates it, applies to the Commissioner to have an extended application date.</w:t>
      </w:r>
    </w:p>
    <w:p w14:paraId="64DC7660" w14:textId="77777777" w:rsidR="000C4CA5" w:rsidRPr="00A62077" w:rsidRDefault="000C4CA5" w:rsidP="00A62077">
      <w:pPr>
        <w:pStyle w:val="Subitem"/>
      </w:pPr>
      <w:r w:rsidRPr="00A62077">
        <w:t>(4)</w:t>
      </w:r>
      <w:r w:rsidRPr="00A62077">
        <w:tab/>
        <w:t>An application is not valid unless it is in the approved form and made before the transitional application date.</w:t>
      </w:r>
    </w:p>
    <w:p w14:paraId="78B6231A" w14:textId="77777777" w:rsidR="000C4CA5" w:rsidRPr="00A62077" w:rsidRDefault="000C4CA5" w:rsidP="00A62077">
      <w:pPr>
        <w:pStyle w:val="Subitem"/>
      </w:pPr>
      <w:r w:rsidRPr="00A62077">
        <w:t>(5)</w:t>
      </w:r>
      <w:r w:rsidRPr="00A62077">
        <w:tab/>
        <w:t>If the transitional application date passes before an application under subitem (3) is determined, the fund, authority or institution has, subject to subitem (1), an extended application date of the day on which the application is determined.</w:t>
      </w:r>
    </w:p>
    <w:p w14:paraId="7E6DA1AA" w14:textId="77777777" w:rsidR="000C4CA5" w:rsidRPr="00A62077" w:rsidRDefault="000C4CA5" w:rsidP="00A62077">
      <w:pPr>
        <w:pStyle w:val="SubitemHead"/>
      </w:pPr>
      <w:r w:rsidRPr="00A62077">
        <w:t>Mandatory considerations for the Commissioner in determining an extended application date</w:t>
      </w:r>
    </w:p>
    <w:p w14:paraId="4EDFF576" w14:textId="77777777" w:rsidR="000C4CA5" w:rsidRPr="00A62077" w:rsidRDefault="000C4CA5" w:rsidP="00A62077">
      <w:pPr>
        <w:pStyle w:val="Subitem"/>
      </w:pPr>
      <w:r w:rsidRPr="00A62077">
        <w:t>(6)</w:t>
      </w:r>
      <w:r w:rsidRPr="00A62077">
        <w:tab/>
        <w:t>The Commissioner may make a determination under subitem (1) only if:</w:t>
      </w:r>
    </w:p>
    <w:p w14:paraId="00D88FB4" w14:textId="77777777" w:rsidR="000C4CA5" w:rsidRPr="00A62077" w:rsidRDefault="000C4CA5" w:rsidP="00A62077">
      <w:pPr>
        <w:pStyle w:val="paragraph"/>
      </w:pPr>
      <w:r w:rsidRPr="00A62077">
        <w:tab/>
        <w:t>(a)</w:t>
      </w:r>
      <w:r w:rsidRPr="00A62077">
        <w:tab/>
        <w:t>the Commissioner considers that the prescribed criteria, if any, in relation to the application are satisfied; and</w:t>
      </w:r>
    </w:p>
    <w:p w14:paraId="0F0DAC15" w14:textId="77777777" w:rsidR="000C4CA5" w:rsidRPr="00A62077" w:rsidRDefault="000C4CA5" w:rsidP="00A62077">
      <w:pPr>
        <w:pStyle w:val="paragraph"/>
      </w:pPr>
      <w:r w:rsidRPr="00A62077">
        <w:tab/>
        <w:t>(b)</w:t>
      </w:r>
      <w:r w:rsidRPr="00A62077">
        <w:tab/>
        <w:t>the Commissioner has regard to the prescribed matters, if any, in relation to the application.</w:t>
      </w:r>
    </w:p>
    <w:p w14:paraId="1A8F643E" w14:textId="77777777" w:rsidR="000C4CA5" w:rsidRPr="00A62077" w:rsidRDefault="000C4CA5" w:rsidP="00A62077">
      <w:pPr>
        <w:pStyle w:val="Subitem"/>
      </w:pPr>
      <w:r w:rsidRPr="00A62077">
        <w:t>(7)</w:t>
      </w:r>
      <w:r w:rsidRPr="00A62077">
        <w:tab/>
        <w:t>The Minister may, by legislative instrument, prescribe for subitem (6) criteria that an application must satisfy and matters to which the Commissioner is to have regard.</w:t>
      </w:r>
    </w:p>
    <w:p w14:paraId="0A056FDD" w14:textId="77777777" w:rsidR="000C4CA5" w:rsidRPr="00A62077" w:rsidRDefault="000C4CA5" w:rsidP="00A62077">
      <w:pPr>
        <w:pStyle w:val="SubitemHead"/>
      </w:pPr>
      <w:r w:rsidRPr="00A62077">
        <w:t>Objections</w:t>
      </w:r>
    </w:p>
    <w:p w14:paraId="0DA11824" w14:textId="77777777" w:rsidR="000C4CA5" w:rsidRPr="00A62077" w:rsidRDefault="000C4CA5" w:rsidP="00A62077">
      <w:pPr>
        <w:pStyle w:val="Subitem"/>
      </w:pPr>
      <w:r w:rsidRPr="00A62077">
        <w:t>(8)</w:t>
      </w:r>
      <w:r w:rsidRPr="00A62077">
        <w:tab/>
        <w:t>An applicant may object, in the manner set out in Part </w:t>
      </w:r>
      <w:proofErr w:type="spellStart"/>
      <w:r w:rsidRPr="00A62077">
        <w:t>IVC</w:t>
      </w:r>
      <w:proofErr w:type="spellEnd"/>
      <w:r w:rsidRPr="00A62077">
        <w:t xml:space="preserve"> of the </w:t>
      </w:r>
      <w:r w:rsidRPr="00A62077">
        <w:rPr>
          <w:i/>
        </w:rPr>
        <w:t>Taxation Administration Act 1953</w:t>
      </w:r>
      <w:r w:rsidRPr="00A62077">
        <w:t>, against a decision of the Commissioner under subitem (1).</w:t>
      </w:r>
    </w:p>
    <w:p w14:paraId="7827C44D" w14:textId="77777777" w:rsidR="00486039" w:rsidRPr="00A62077" w:rsidRDefault="00486039" w:rsidP="00A62077">
      <w:pPr>
        <w:pStyle w:val="ActHead6"/>
        <w:pageBreakBefore/>
      </w:pPr>
      <w:bookmarkStart w:id="12" w:name="_Toc82697343"/>
      <w:r w:rsidRPr="004B0398">
        <w:rPr>
          <w:rStyle w:val="CharAmSchNo"/>
        </w:rPr>
        <w:t>Schedule 2</w:t>
      </w:r>
      <w:r w:rsidRPr="00A62077">
        <w:t>—</w:t>
      </w:r>
      <w:r w:rsidRPr="004B0398">
        <w:rPr>
          <w:rStyle w:val="CharAmSchText"/>
        </w:rPr>
        <w:t>Offshore banking units</w:t>
      </w:r>
      <w:bookmarkEnd w:id="12"/>
    </w:p>
    <w:p w14:paraId="28A2AE68" w14:textId="77777777" w:rsidR="00486039" w:rsidRPr="00A62077" w:rsidRDefault="00486039" w:rsidP="00A62077">
      <w:pPr>
        <w:pStyle w:val="ActHead7"/>
      </w:pPr>
      <w:bookmarkStart w:id="13" w:name="_Toc82697344"/>
      <w:r w:rsidRPr="004B0398">
        <w:rPr>
          <w:rStyle w:val="CharAmPartNo"/>
        </w:rPr>
        <w:t>Part 1</w:t>
      </w:r>
      <w:r w:rsidRPr="00A62077">
        <w:t>—</w:t>
      </w:r>
      <w:proofErr w:type="spellStart"/>
      <w:r w:rsidRPr="004B0398">
        <w:rPr>
          <w:rStyle w:val="CharAmPartText"/>
        </w:rPr>
        <w:t>OBU</w:t>
      </w:r>
      <w:proofErr w:type="spellEnd"/>
      <w:r w:rsidRPr="004B0398">
        <w:rPr>
          <w:rStyle w:val="CharAmPartText"/>
        </w:rPr>
        <w:t xml:space="preserve"> income etc.</w:t>
      </w:r>
      <w:bookmarkEnd w:id="13"/>
    </w:p>
    <w:p w14:paraId="0409815C" w14:textId="77777777" w:rsidR="00486039" w:rsidRPr="00A62077" w:rsidRDefault="00486039" w:rsidP="00A62077">
      <w:pPr>
        <w:pStyle w:val="ActHead9"/>
      </w:pPr>
      <w:bookmarkStart w:id="14" w:name="_Toc82697345"/>
      <w:r w:rsidRPr="00A62077">
        <w:t>Income Tax Assessment Act 1936</w:t>
      </w:r>
      <w:bookmarkEnd w:id="14"/>
    </w:p>
    <w:p w14:paraId="7BB45506" w14:textId="77777777" w:rsidR="00486039" w:rsidRPr="00A62077" w:rsidRDefault="00486039" w:rsidP="00A62077">
      <w:pPr>
        <w:pStyle w:val="ItemHead"/>
      </w:pPr>
      <w:r w:rsidRPr="00A62077">
        <w:t>1  Section 121A</w:t>
      </w:r>
    </w:p>
    <w:p w14:paraId="502EC6A2" w14:textId="77777777" w:rsidR="00486039" w:rsidRPr="00A62077" w:rsidRDefault="00486039" w:rsidP="00A62077">
      <w:pPr>
        <w:pStyle w:val="Item"/>
      </w:pPr>
      <w:r w:rsidRPr="00A62077">
        <w:t>Repeal the section.</w:t>
      </w:r>
    </w:p>
    <w:p w14:paraId="2D870DA5" w14:textId="77777777" w:rsidR="00486039" w:rsidRPr="00A62077" w:rsidRDefault="00486039" w:rsidP="00A62077">
      <w:pPr>
        <w:pStyle w:val="ItemHead"/>
      </w:pPr>
      <w:r w:rsidRPr="00A62077">
        <w:t>2  Paragraph 121B(3)(a) and (b)</w:t>
      </w:r>
    </w:p>
    <w:p w14:paraId="31232FC9" w14:textId="77777777" w:rsidR="00486039" w:rsidRPr="00A62077" w:rsidRDefault="00486039" w:rsidP="00A62077">
      <w:pPr>
        <w:pStyle w:val="Item"/>
      </w:pPr>
      <w:r w:rsidRPr="00A62077">
        <w:t>Repeal the paragraphs.</w:t>
      </w:r>
    </w:p>
    <w:p w14:paraId="2DECF861" w14:textId="77777777" w:rsidR="00486039" w:rsidRPr="00A62077" w:rsidRDefault="00486039" w:rsidP="00A62077">
      <w:pPr>
        <w:pStyle w:val="ItemHead"/>
      </w:pPr>
      <w:r w:rsidRPr="00A62077">
        <w:t>3  Paragraph 121EAA(5)(e)</w:t>
      </w:r>
    </w:p>
    <w:p w14:paraId="77016A37" w14:textId="77777777" w:rsidR="00486039" w:rsidRPr="00A62077" w:rsidRDefault="00486039" w:rsidP="00A62077">
      <w:pPr>
        <w:pStyle w:val="Item"/>
      </w:pPr>
      <w:r w:rsidRPr="00A62077">
        <w:t>Omit “whole);”, substitute “whole).”.</w:t>
      </w:r>
    </w:p>
    <w:p w14:paraId="0C54BD0A" w14:textId="77777777" w:rsidR="00486039" w:rsidRPr="00A62077" w:rsidRDefault="00486039" w:rsidP="00A62077">
      <w:pPr>
        <w:pStyle w:val="ItemHead"/>
      </w:pPr>
      <w:r w:rsidRPr="00A62077">
        <w:t>4  Paragraph 121EAA(5)(f)</w:t>
      </w:r>
    </w:p>
    <w:p w14:paraId="29E4E241" w14:textId="77777777" w:rsidR="00486039" w:rsidRPr="00A62077" w:rsidRDefault="00486039" w:rsidP="00A62077">
      <w:pPr>
        <w:pStyle w:val="Item"/>
      </w:pPr>
      <w:r w:rsidRPr="00A62077">
        <w:t>Repeal the paragraph.</w:t>
      </w:r>
    </w:p>
    <w:p w14:paraId="4CC8A53D" w14:textId="77777777" w:rsidR="00486039" w:rsidRPr="00A62077" w:rsidRDefault="00486039" w:rsidP="00A62077">
      <w:pPr>
        <w:pStyle w:val="ItemHead"/>
      </w:pPr>
      <w:r w:rsidRPr="00A62077">
        <w:t>5  Subsection 121EAA(6)</w:t>
      </w:r>
    </w:p>
    <w:p w14:paraId="4877F5E4" w14:textId="77777777" w:rsidR="00486039" w:rsidRPr="00A62077" w:rsidRDefault="00486039" w:rsidP="00A62077">
      <w:pPr>
        <w:pStyle w:val="Item"/>
      </w:pPr>
      <w:r w:rsidRPr="00A62077">
        <w:t>Omit “paragraphs (5)(a) to (f)”, substitute “paragraphs (5)(a) to (e)”.</w:t>
      </w:r>
    </w:p>
    <w:p w14:paraId="3D2118C6" w14:textId="77777777" w:rsidR="00486039" w:rsidRPr="00A62077" w:rsidRDefault="00486039" w:rsidP="00A62077">
      <w:pPr>
        <w:pStyle w:val="ItemHead"/>
      </w:pPr>
      <w:r w:rsidRPr="00A62077">
        <w:t>6  Section 121EG</w:t>
      </w:r>
    </w:p>
    <w:p w14:paraId="39C041D1" w14:textId="77777777" w:rsidR="00486039" w:rsidRPr="00A62077" w:rsidRDefault="00486039" w:rsidP="00A62077">
      <w:pPr>
        <w:pStyle w:val="Item"/>
      </w:pPr>
      <w:r w:rsidRPr="00A62077">
        <w:t>Repeal the section.</w:t>
      </w:r>
    </w:p>
    <w:p w14:paraId="1FA9B942" w14:textId="77777777" w:rsidR="00486039" w:rsidRPr="00A62077" w:rsidRDefault="00486039" w:rsidP="00A62077">
      <w:pPr>
        <w:pStyle w:val="ItemHead"/>
      </w:pPr>
      <w:r w:rsidRPr="00A62077">
        <w:t>7  Section 121EH</w:t>
      </w:r>
    </w:p>
    <w:p w14:paraId="4D34D3A5" w14:textId="77777777" w:rsidR="00486039" w:rsidRPr="00A62077" w:rsidRDefault="00486039" w:rsidP="00A62077">
      <w:pPr>
        <w:pStyle w:val="Item"/>
      </w:pPr>
      <w:r w:rsidRPr="00A62077">
        <w:t>Repeal the section.</w:t>
      </w:r>
    </w:p>
    <w:p w14:paraId="7EA84365" w14:textId="77777777" w:rsidR="00486039" w:rsidRPr="00A62077" w:rsidRDefault="00486039" w:rsidP="00A62077">
      <w:pPr>
        <w:pStyle w:val="ActHead9"/>
      </w:pPr>
      <w:bookmarkStart w:id="15" w:name="_Toc82697346"/>
      <w:r w:rsidRPr="00A62077">
        <w:t>Income Tax Assessment Act 1997</w:t>
      </w:r>
      <w:bookmarkEnd w:id="15"/>
    </w:p>
    <w:p w14:paraId="182E6D75" w14:textId="77777777" w:rsidR="00486039" w:rsidRPr="00A62077" w:rsidRDefault="00486039" w:rsidP="00A62077">
      <w:pPr>
        <w:pStyle w:val="ItemHead"/>
      </w:pPr>
      <w:r w:rsidRPr="00A62077">
        <w:t>8  Section 10</w:t>
      </w:r>
      <w:r w:rsidR="00A62077">
        <w:noBreakHyphen/>
      </w:r>
      <w:r w:rsidRPr="00A62077">
        <w:t>5 (table item headed “banking”)</w:t>
      </w:r>
    </w:p>
    <w:p w14:paraId="4829ED68" w14:textId="77777777" w:rsidR="00486039" w:rsidRPr="00A62077" w:rsidRDefault="00486039" w:rsidP="00A62077">
      <w:pPr>
        <w:pStyle w:val="Item"/>
      </w:pPr>
      <w:r w:rsidRPr="00A62077">
        <w:t>Omit:</w:t>
      </w:r>
    </w:p>
    <w:tbl>
      <w:tblPr>
        <w:tblW w:w="7200"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0"/>
        <w:gridCol w:w="1980"/>
      </w:tblGrid>
      <w:tr w:rsidR="00486039" w:rsidRPr="00A62077" w14:paraId="6F719E9A" w14:textId="77777777" w:rsidTr="00565252">
        <w:tc>
          <w:tcPr>
            <w:tcW w:w="5220" w:type="dxa"/>
            <w:tcBorders>
              <w:top w:val="nil"/>
              <w:bottom w:val="nil"/>
            </w:tcBorders>
            <w:shd w:val="clear" w:color="auto" w:fill="auto"/>
          </w:tcPr>
          <w:p w14:paraId="0B8588B3" w14:textId="77777777" w:rsidR="00486039" w:rsidRPr="00A62077" w:rsidRDefault="00486039" w:rsidP="00A62077">
            <w:pPr>
              <w:pStyle w:val="tableIndentText"/>
              <w:rPr>
                <w:rFonts w:ascii="Times New Roman" w:hAnsi="Times New Roman"/>
              </w:rPr>
            </w:pPr>
            <w:r w:rsidRPr="00A62077">
              <w:rPr>
                <w:rFonts w:ascii="Times New Roman" w:hAnsi="Times New Roman"/>
              </w:rPr>
              <w:t xml:space="preserve">offshore banking activities, income from </w:t>
            </w:r>
            <w:r w:rsidRPr="00A62077">
              <w:rPr>
                <w:rFonts w:ascii="Times New Roman" w:hAnsi="Times New Roman"/>
              </w:rPr>
              <w:tab/>
            </w:r>
          </w:p>
        </w:tc>
        <w:tc>
          <w:tcPr>
            <w:tcW w:w="1980" w:type="dxa"/>
            <w:tcBorders>
              <w:top w:val="nil"/>
              <w:bottom w:val="nil"/>
            </w:tcBorders>
            <w:shd w:val="clear" w:color="auto" w:fill="auto"/>
          </w:tcPr>
          <w:p w14:paraId="1CD9ED4F" w14:textId="77777777" w:rsidR="00486039" w:rsidRPr="00A62077" w:rsidRDefault="00486039" w:rsidP="00A62077">
            <w:pPr>
              <w:pStyle w:val="tableText0"/>
              <w:tabs>
                <w:tab w:val="left" w:leader="dot" w:pos="5245"/>
              </w:tabs>
              <w:spacing w:line="240" w:lineRule="auto"/>
              <w:rPr>
                <w:b/>
              </w:rPr>
            </w:pPr>
            <w:r w:rsidRPr="00A62077">
              <w:rPr>
                <w:b/>
              </w:rPr>
              <w:t>121EG(1)</w:t>
            </w:r>
          </w:p>
        </w:tc>
      </w:tr>
    </w:tbl>
    <w:p w14:paraId="74DE6EE8" w14:textId="77777777" w:rsidR="00486039" w:rsidRPr="00A62077" w:rsidRDefault="00486039" w:rsidP="00A62077">
      <w:pPr>
        <w:pStyle w:val="ItemHead"/>
      </w:pPr>
      <w:r w:rsidRPr="00A62077">
        <w:t>9  Section 11</w:t>
      </w:r>
      <w:r w:rsidR="00A62077">
        <w:noBreakHyphen/>
      </w:r>
      <w:r w:rsidRPr="00A62077">
        <w:t>55 (table item headed “offshore banking units”)</w:t>
      </w:r>
    </w:p>
    <w:p w14:paraId="1451A8F4" w14:textId="77777777" w:rsidR="00486039" w:rsidRPr="00A62077" w:rsidRDefault="00486039" w:rsidP="00A62077">
      <w:pPr>
        <w:pStyle w:val="Item"/>
      </w:pPr>
      <w:r w:rsidRPr="00A62077">
        <w:t>Repeal the item.</w:t>
      </w:r>
    </w:p>
    <w:p w14:paraId="1BCB570F" w14:textId="77777777" w:rsidR="00486039" w:rsidRPr="00A62077" w:rsidRDefault="00486039" w:rsidP="00A62077">
      <w:pPr>
        <w:pStyle w:val="ItemHead"/>
      </w:pPr>
      <w:r w:rsidRPr="00A62077">
        <w:t>10  Section 12</w:t>
      </w:r>
      <w:r w:rsidR="00A62077">
        <w:noBreakHyphen/>
      </w:r>
      <w:r w:rsidRPr="00A62077">
        <w:t>5 (table item headed “offshore banking units”)</w:t>
      </w:r>
    </w:p>
    <w:p w14:paraId="62D799B0" w14:textId="77777777" w:rsidR="00486039" w:rsidRPr="00A62077" w:rsidRDefault="00486039" w:rsidP="00A62077">
      <w:pPr>
        <w:pStyle w:val="Item"/>
      </w:pPr>
      <w:r w:rsidRPr="00A62077">
        <w:t>Repeal the item, substitute:</w:t>
      </w:r>
    </w:p>
    <w:tbl>
      <w:tblPr>
        <w:tblW w:w="720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2"/>
        <w:gridCol w:w="1979"/>
      </w:tblGrid>
      <w:tr w:rsidR="00486039" w:rsidRPr="00A62077" w14:paraId="47685910" w14:textId="77777777" w:rsidTr="00565252">
        <w:trPr>
          <w:trHeight w:val="220"/>
        </w:trPr>
        <w:tc>
          <w:tcPr>
            <w:tcW w:w="5222" w:type="dxa"/>
            <w:tcBorders>
              <w:top w:val="nil"/>
              <w:bottom w:val="nil"/>
            </w:tcBorders>
            <w:shd w:val="clear" w:color="auto" w:fill="auto"/>
          </w:tcPr>
          <w:p w14:paraId="042FDA78" w14:textId="77777777" w:rsidR="00486039" w:rsidRPr="00A62077" w:rsidRDefault="00486039" w:rsidP="00A62077">
            <w:pPr>
              <w:pStyle w:val="tableSub-heading"/>
              <w:tabs>
                <w:tab w:val="clear" w:pos="6124"/>
                <w:tab w:val="left" w:leader="dot" w:pos="5245"/>
              </w:tabs>
            </w:pPr>
            <w:r w:rsidRPr="00A62077">
              <w:t>offshore banking units</w:t>
            </w:r>
          </w:p>
        </w:tc>
        <w:tc>
          <w:tcPr>
            <w:tcW w:w="1979" w:type="dxa"/>
            <w:tcBorders>
              <w:top w:val="nil"/>
              <w:bottom w:val="nil"/>
            </w:tcBorders>
            <w:shd w:val="clear" w:color="auto" w:fill="auto"/>
          </w:tcPr>
          <w:p w14:paraId="3ADCE5CA" w14:textId="77777777" w:rsidR="00486039" w:rsidRPr="00A62077" w:rsidRDefault="00486039" w:rsidP="00A62077">
            <w:pPr>
              <w:pStyle w:val="tableText0"/>
              <w:tabs>
                <w:tab w:val="left" w:leader="dot" w:pos="5245"/>
              </w:tabs>
              <w:spacing w:line="240" w:lineRule="auto"/>
              <w:rPr>
                <w:b/>
              </w:rPr>
            </w:pPr>
          </w:p>
        </w:tc>
      </w:tr>
      <w:tr w:rsidR="00486039" w:rsidRPr="00A62077" w14:paraId="0A0B4CA5" w14:textId="77777777" w:rsidTr="00565252">
        <w:trPr>
          <w:trHeight w:val="220"/>
        </w:trPr>
        <w:tc>
          <w:tcPr>
            <w:tcW w:w="5222" w:type="dxa"/>
            <w:tcBorders>
              <w:top w:val="nil"/>
              <w:bottom w:val="nil"/>
            </w:tcBorders>
            <w:shd w:val="clear" w:color="auto" w:fill="auto"/>
          </w:tcPr>
          <w:p w14:paraId="092D9D1F" w14:textId="77777777" w:rsidR="00486039" w:rsidRPr="00A62077" w:rsidRDefault="00486039" w:rsidP="00A62077">
            <w:pPr>
              <w:pStyle w:val="tableIndentText"/>
              <w:rPr>
                <w:rFonts w:ascii="Times New Roman" w:hAnsi="Times New Roman"/>
              </w:rPr>
            </w:pPr>
            <w:r w:rsidRPr="00A62077">
              <w:rPr>
                <w:rFonts w:ascii="Times New Roman" w:hAnsi="Times New Roman"/>
              </w:rPr>
              <w:t xml:space="preserve">generally </w:t>
            </w:r>
            <w:r w:rsidRPr="00A62077">
              <w:rPr>
                <w:rFonts w:ascii="Times New Roman" w:hAnsi="Times New Roman"/>
              </w:rPr>
              <w:tab/>
            </w:r>
          </w:p>
        </w:tc>
        <w:tc>
          <w:tcPr>
            <w:tcW w:w="1979" w:type="dxa"/>
            <w:tcBorders>
              <w:top w:val="nil"/>
              <w:bottom w:val="nil"/>
            </w:tcBorders>
            <w:shd w:val="clear" w:color="auto" w:fill="auto"/>
          </w:tcPr>
          <w:p w14:paraId="35F16DBA" w14:textId="77777777" w:rsidR="00486039" w:rsidRPr="00A62077" w:rsidRDefault="00486039" w:rsidP="00A62077">
            <w:pPr>
              <w:pStyle w:val="tableText0"/>
              <w:tabs>
                <w:tab w:val="left" w:leader="dot" w:pos="5245"/>
              </w:tabs>
              <w:spacing w:line="240" w:lineRule="auto"/>
              <w:rPr>
                <w:b/>
              </w:rPr>
            </w:pPr>
            <w:r w:rsidRPr="00A62077">
              <w:rPr>
                <w:b/>
              </w:rPr>
              <w:t>121B to 121EL</w:t>
            </w:r>
          </w:p>
        </w:tc>
      </w:tr>
    </w:tbl>
    <w:p w14:paraId="6E8801C6" w14:textId="77777777" w:rsidR="00486039" w:rsidRPr="00A62077" w:rsidRDefault="00486039" w:rsidP="00A62077">
      <w:pPr>
        <w:pStyle w:val="ItemHead"/>
      </w:pPr>
      <w:r w:rsidRPr="00A62077">
        <w:t>11  Subsection 118</w:t>
      </w:r>
      <w:r w:rsidR="00A62077">
        <w:noBreakHyphen/>
      </w:r>
      <w:r w:rsidRPr="00A62077">
        <w:t>20(4) (note)</w:t>
      </w:r>
    </w:p>
    <w:p w14:paraId="72B8ECBB" w14:textId="77777777" w:rsidR="00486039" w:rsidRPr="00A62077" w:rsidRDefault="00486039" w:rsidP="00A62077">
      <w:pPr>
        <w:pStyle w:val="Item"/>
      </w:pPr>
      <w:r w:rsidRPr="00A62077">
        <w:t>Repeal the note.</w:t>
      </w:r>
    </w:p>
    <w:p w14:paraId="3B5EC00A" w14:textId="77777777" w:rsidR="00486039" w:rsidRPr="00A62077" w:rsidRDefault="00486039" w:rsidP="00A62077">
      <w:pPr>
        <w:pStyle w:val="ItemHead"/>
      </w:pPr>
      <w:r w:rsidRPr="00A62077">
        <w:t>12  Subsection 770</w:t>
      </w:r>
      <w:r w:rsidR="00A62077">
        <w:noBreakHyphen/>
      </w:r>
      <w:r w:rsidRPr="00A62077">
        <w:t>10(1) (note 3)</w:t>
      </w:r>
    </w:p>
    <w:p w14:paraId="3CFA0E15" w14:textId="77777777" w:rsidR="00486039" w:rsidRPr="00A62077" w:rsidRDefault="00486039" w:rsidP="00A62077">
      <w:pPr>
        <w:pStyle w:val="Item"/>
      </w:pPr>
      <w:r w:rsidRPr="00A62077">
        <w:t>Repeal the note.</w:t>
      </w:r>
    </w:p>
    <w:p w14:paraId="5FFB1C49" w14:textId="77777777" w:rsidR="00486039" w:rsidRPr="00A62077" w:rsidRDefault="00486039" w:rsidP="00A62077">
      <w:pPr>
        <w:pStyle w:val="Transitional"/>
      </w:pPr>
      <w:r w:rsidRPr="00A62077">
        <w:t>13  Application</w:t>
      </w:r>
    </w:p>
    <w:p w14:paraId="3F79027F" w14:textId="77777777" w:rsidR="00486039" w:rsidRPr="00A62077" w:rsidRDefault="00486039" w:rsidP="00A62077">
      <w:pPr>
        <w:pStyle w:val="Item"/>
      </w:pPr>
      <w:r w:rsidRPr="00A62077">
        <w:t>The amendments made by this Part apply in relation to assessments for the 2023</w:t>
      </w:r>
      <w:r w:rsidR="00A62077">
        <w:noBreakHyphen/>
      </w:r>
      <w:r w:rsidRPr="00A62077">
        <w:t>24 year of income and later years of income.</w:t>
      </w:r>
    </w:p>
    <w:p w14:paraId="2061A425" w14:textId="77777777" w:rsidR="00486039" w:rsidRPr="00A62077" w:rsidRDefault="00486039" w:rsidP="00A62077">
      <w:pPr>
        <w:pStyle w:val="ActHead7"/>
        <w:pageBreakBefore/>
      </w:pPr>
      <w:bookmarkStart w:id="16" w:name="_Toc82697347"/>
      <w:r w:rsidRPr="004B0398">
        <w:rPr>
          <w:rStyle w:val="CharAmPartNo"/>
        </w:rPr>
        <w:t>Part 2</w:t>
      </w:r>
      <w:r w:rsidRPr="00A62077">
        <w:t>—</w:t>
      </w:r>
      <w:r w:rsidRPr="004B0398">
        <w:rPr>
          <w:rStyle w:val="CharAmPartText"/>
        </w:rPr>
        <w:t>Ministerial declarations and determinations</w:t>
      </w:r>
      <w:bookmarkEnd w:id="16"/>
    </w:p>
    <w:p w14:paraId="5CE2E965" w14:textId="77777777" w:rsidR="00486039" w:rsidRPr="00A62077" w:rsidRDefault="00486039" w:rsidP="00A62077">
      <w:pPr>
        <w:pStyle w:val="ActHead9"/>
      </w:pPr>
      <w:bookmarkStart w:id="17" w:name="_Toc82697348"/>
      <w:r w:rsidRPr="00A62077">
        <w:t>Income Tax Assessment Act 1936</w:t>
      </w:r>
      <w:bookmarkEnd w:id="17"/>
    </w:p>
    <w:p w14:paraId="0820AC40" w14:textId="77777777" w:rsidR="00486039" w:rsidRPr="00A62077" w:rsidRDefault="00486039" w:rsidP="00A62077">
      <w:pPr>
        <w:pStyle w:val="ItemHead"/>
      </w:pPr>
      <w:r w:rsidRPr="00A62077">
        <w:t>14  After subsection 128AE(1)</w:t>
      </w:r>
    </w:p>
    <w:p w14:paraId="687CBD95" w14:textId="77777777" w:rsidR="00486039" w:rsidRPr="00A62077" w:rsidRDefault="00486039" w:rsidP="00A62077">
      <w:pPr>
        <w:pStyle w:val="Item"/>
      </w:pPr>
      <w:r w:rsidRPr="00A62077">
        <w:t>Insert:</w:t>
      </w:r>
    </w:p>
    <w:p w14:paraId="1481EF06" w14:textId="77777777" w:rsidR="00486039" w:rsidRPr="00A62077" w:rsidRDefault="00486039" w:rsidP="00A62077">
      <w:pPr>
        <w:pStyle w:val="subsection"/>
      </w:pPr>
      <w:r w:rsidRPr="00A62077">
        <w:tab/>
        <w:t>(1A)</w:t>
      </w:r>
      <w:r w:rsidRPr="00A62077">
        <w:tab/>
        <w:t xml:space="preserve">The Minister must not </w:t>
      </w:r>
      <w:bookmarkStart w:id="18" w:name="opcCurrentPosition"/>
      <w:bookmarkEnd w:id="18"/>
      <w:r w:rsidRPr="00A62077">
        <w:t xml:space="preserve">make a declaration under subsection (2), or a determination under subsection (2AA), after the day on which the </w:t>
      </w:r>
      <w:r w:rsidRPr="00A62077">
        <w:rPr>
          <w:i/>
        </w:rPr>
        <w:t>Treasury Laws Amendment (2021 Measures No. 2) Act 2021</w:t>
      </w:r>
      <w:r w:rsidR="001449CB">
        <w:t xml:space="preserve"> </w:t>
      </w:r>
      <w:r w:rsidRPr="00A62077">
        <w:t>received the Royal Assent.</w:t>
      </w:r>
    </w:p>
    <w:p w14:paraId="57BB7040" w14:textId="77777777" w:rsidR="00486039" w:rsidRPr="00A62077" w:rsidRDefault="00486039" w:rsidP="00A62077">
      <w:pPr>
        <w:pStyle w:val="ItemHead"/>
      </w:pPr>
      <w:r w:rsidRPr="00A62077">
        <w:t>15  After subsection 128GB(1)</w:t>
      </w:r>
    </w:p>
    <w:p w14:paraId="4CCE347F" w14:textId="77777777" w:rsidR="00486039" w:rsidRPr="00A62077" w:rsidRDefault="00486039" w:rsidP="00A62077">
      <w:pPr>
        <w:pStyle w:val="Item"/>
      </w:pPr>
      <w:r w:rsidRPr="00A62077">
        <w:t>Insert:</w:t>
      </w:r>
    </w:p>
    <w:p w14:paraId="1DC0BF89" w14:textId="77777777" w:rsidR="00486039" w:rsidRPr="00A62077" w:rsidRDefault="00486039" w:rsidP="00A62077">
      <w:pPr>
        <w:pStyle w:val="subsection"/>
      </w:pPr>
      <w:r w:rsidRPr="00A62077">
        <w:tab/>
        <w:t>(1A)</w:t>
      </w:r>
      <w:r w:rsidRPr="00A62077">
        <w:tab/>
        <w:t>However, this section does not apply to:</w:t>
      </w:r>
    </w:p>
    <w:p w14:paraId="0680A49E" w14:textId="77777777" w:rsidR="00486039" w:rsidRPr="00A62077" w:rsidRDefault="00486039" w:rsidP="00A62077">
      <w:pPr>
        <w:pStyle w:val="paragraph"/>
      </w:pPr>
      <w:r w:rsidRPr="00A62077">
        <w:tab/>
        <w:t>(a)</w:t>
      </w:r>
      <w:r w:rsidRPr="00A62077">
        <w:tab/>
        <w:t>interest paid on or after 1 January 2024; and</w:t>
      </w:r>
    </w:p>
    <w:p w14:paraId="1037FD92" w14:textId="77777777" w:rsidR="00486039" w:rsidRPr="00A62077" w:rsidRDefault="00486039" w:rsidP="00A62077">
      <w:pPr>
        <w:pStyle w:val="paragraph"/>
      </w:pPr>
      <w:r w:rsidRPr="00A62077">
        <w:tab/>
        <w:t>(b)</w:t>
      </w:r>
      <w:r w:rsidRPr="00A62077">
        <w:tab/>
        <w:t>interest consisting of gold paid on or after 1 January 2024.</w:t>
      </w:r>
    </w:p>
    <w:p w14:paraId="66B09979" w14:textId="77777777" w:rsidR="00B85A36" w:rsidRPr="00B768D5" w:rsidRDefault="00B85A36" w:rsidP="00B85A36">
      <w:pPr>
        <w:pStyle w:val="ActHead6"/>
        <w:pageBreakBefore/>
        <w:spacing w:before="280"/>
      </w:pPr>
      <w:bookmarkStart w:id="19" w:name="_Toc82697349"/>
      <w:r w:rsidRPr="005E3D3D">
        <w:rPr>
          <w:rStyle w:val="CharAmSchNo"/>
        </w:rPr>
        <w:t>Schedule 3</w:t>
      </w:r>
      <w:r w:rsidRPr="00B768D5">
        <w:t>—</w:t>
      </w:r>
      <w:r w:rsidRPr="005E3D3D">
        <w:rPr>
          <w:rStyle w:val="CharAmSchText"/>
        </w:rPr>
        <w:t>Disclosure of information</w:t>
      </w:r>
      <w:bookmarkEnd w:id="19"/>
    </w:p>
    <w:p w14:paraId="1FFC94B2" w14:textId="77777777" w:rsidR="00B85A36" w:rsidRPr="00B768D5" w:rsidRDefault="00B85A36" w:rsidP="00B85A36">
      <w:pPr>
        <w:pStyle w:val="Header"/>
      </w:pPr>
      <w:r w:rsidRPr="005E3D3D">
        <w:rPr>
          <w:rStyle w:val="CharAmPartNo"/>
        </w:rPr>
        <w:t xml:space="preserve"> </w:t>
      </w:r>
      <w:r w:rsidRPr="005E3D3D">
        <w:rPr>
          <w:rStyle w:val="CharAmPartText"/>
        </w:rPr>
        <w:t xml:space="preserve"> </w:t>
      </w:r>
    </w:p>
    <w:p w14:paraId="37E12D0F" w14:textId="77777777" w:rsidR="00B85A36" w:rsidRPr="00B768D5" w:rsidRDefault="00B85A36" w:rsidP="00B85A36">
      <w:pPr>
        <w:pStyle w:val="ActHead9"/>
        <w:rPr>
          <w:i w:val="0"/>
        </w:rPr>
      </w:pPr>
      <w:bookmarkStart w:id="20" w:name="_Toc82697350"/>
      <w:r w:rsidRPr="00B768D5">
        <w:t>Corporations Act 2001</w:t>
      </w:r>
      <w:bookmarkEnd w:id="20"/>
    </w:p>
    <w:p w14:paraId="548A5B5C" w14:textId="77777777" w:rsidR="00B85A36" w:rsidRPr="00B768D5" w:rsidRDefault="00B85A36" w:rsidP="00B85A36">
      <w:pPr>
        <w:pStyle w:val="ItemHead"/>
      </w:pPr>
      <w:r w:rsidRPr="00B768D5">
        <w:t xml:space="preserve">1  At the end of </w:t>
      </w:r>
      <w:r>
        <w:t>Part 2</w:t>
      </w:r>
      <w:r w:rsidRPr="00B768D5">
        <w:t>M.3</w:t>
      </w:r>
    </w:p>
    <w:p w14:paraId="5ADFBA21" w14:textId="77777777" w:rsidR="00B85A36" w:rsidRPr="00B768D5" w:rsidRDefault="00B85A36" w:rsidP="00B85A36">
      <w:pPr>
        <w:pStyle w:val="Item"/>
      </w:pPr>
      <w:r w:rsidRPr="00B768D5">
        <w:t>Add:</w:t>
      </w:r>
    </w:p>
    <w:p w14:paraId="53F4586E" w14:textId="77777777" w:rsidR="00B85A36" w:rsidRPr="00B768D5" w:rsidRDefault="00B85A36" w:rsidP="00B85A36">
      <w:pPr>
        <w:pStyle w:val="ActHead3"/>
      </w:pPr>
      <w:bookmarkStart w:id="21" w:name="_Toc82697351"/>
      <w:r w:rsidRPr="005E3D3D">
        <w:rPr>
          <w:rStyle w:val="CharDivNo"/>
        </w:rPr>
        <w:t>Division 9</w:t>
      </w:r>
      <w:r w:rsidRPr="00B768D5">
        <w:t>—</w:t>
      </w:r>
      <w:r w:rsidRPr="005E3D3D">
        <w:rPr>
          <w:rStyle w:val="CharDivText"/>
        </w:rPr>
        <w:t xml:space="preserve">Disclosure by listed entities of information about </w:t>
      </w:r>
      <w:proofErr w:type="spellStart"/>
      <w:r w:rsidRPr="005E3D3D">
        <w:rPr>
          <w:rStyle w:val="CharDivText"/>
        </w:rPr>
        <w:t>jobkeeper</w:t>
      </w:r>
      <w:proofErr w:type="spellEnd"/>
      <w:r w:rsidRPr="005E3D3D">
        <w:rPr>
          <w:rStyle w:val="CharDivText"/>
        </w:rPr>
        <w:t xml:space="preserve"> payments</w:t>
      </w:r>
      <w:bookmarkEnd w:id="21"/>
    </w:p>
    <w:p w14:paraId="5FF168FF" w14:textId="77777777" w:rsidR="00B85A36" w:rsidRPr="00B768D5" w:rsidRDefault="00B85A36" w:rsidP="00B85A36">
      <w:pPr>
        <w:pStyle w:val="ActHead5"/>
      </w:pPr>
      <w:bookmarkStart w:id="22" w:name="_Toc82697352"/>
      <w:r w:rsidRPr="005E3D3D">
        <w:rPr>
          <w:rStyle w:val="CharSectno"/>
        </w:rPr>
        <w:t>323DB</w:t>
      </w:r>
      <w:r w:rsidRPr="00B768D5">
        <w:t xml:space="preserve">  Requirement to notify market operator about </w:t>
      </w:r>
      <w:proofErr w:type="spellStart"/>
      <w:r w:rsidRPr="00B768D5">
        <w:t>jobkeeper</w:t>
      </w:r>
      <w:proofErr w:type="spellEnd"/>
      <w:r w:rsidRPr="00B768D5">
        <w:t xml:space="preserve"> payments</w:t>
      </w:r>
      <w:bookmarkEnd w:id="22"/>
    </w:p>
    <w:p w14:paraId="4B55F433" w14:textId="77777777" w:rsidR="00B85A36" w:rsidRPr="00B768D5" w:rsidRDefault="00B85A36" w:rsidP="00B85A36">
      <w:pPr>
        <w:pStyle w:val="subsection"/>
      </w:pPr>
      <w:r w:rsidRPr="00B768D5">
        <w:tab/>
        <w:t>(1)</w:t>
      </w:r>
      <w:r w:rsidRPr="00B768D5">
        <w:tab/>
        <w:t xml:space="preserve">A listed </w:t>
      </w:r>
      <w:r>
        <w:t>entity</w:t>
      </w:r>
      <w:r w:rsidRPr="00B768D5">
        <w:t xml:space="preserve"> must give each relevant market operator a notice</w:t>
      </w:r>
      <w:r>
        <w:t>, for release to the market,</w:t>
      </w:r>
      <w:r w:rsidRPr="00B768D5">
        <w:t xml:space="preserve"> in accordance with this section for a financial year if</w:t>
      </w:r>
      <w:r>
        <w:t xml:space="preserve"> </w:t>
      </w:r>
      <w:r w:rsidRPr="00B768D5">
        <w:t xml:space="preserve">the </w:t>
      </w:r>
      <w:r>
        <w:t xml:space="preserve">listed entity, or </w:t>
      </w:r>
      <w:r w:rsidRPr="00B768D5">
        <w:t xml:space="preserve">a subsidiary of the listed </w:t>
      </w:r>
      <w:r>
        <w:t xml:space="preserve">entity, </w:t>
      </w:r>
      <w:r w:rsidRPr="00B768D5">
        <w:t xml:space="preserve">received a </w:t>
      </w:r>
      <w:proofErr w:type="spellStart"/>
      <w:r w:rsidRPr="00B768D5">
        <w:t>jobkeeper</w:t>
      </w:r>
      <w:proofErr w:type="spellEnd"/>
      <w:r w:rsidRPr="00B768D5">
        <w:t xml:space="preserve"> payment (within the meaning of the </w:t>
      </w:r>
      <w:r w:rsidRPr="00B768D5">
        <w:rPr>
          <w:i/>
        </w:rPr>
        <w:t>Coronavirus Economic Response Package (Payments and Benefits) Rules 2020</w:t>
      </w:r>
      <w:r w:rsidRPr="00B768D5">
        <w:t>) in the financial year</w:t>
      </w:r>
      <w:r>
        <w:t>.</w:t>
      </w:r>
    </w:p>
    <w:p w14:paraId="3B862224" w14:textId="77777777" w:rsidR="00B85A36" w:rsidRPr="00B768D5" w:rsidRDefault="00B85A36" w:rsidP="00B85A36">
      <w:pPr>
        <w:pStyle w:val="subsection"/>
      </w:pPr>
      <w:r w:rsidRPr="00B768D5">
        <w:tab/>
        <w:t>(2)</w:t>
      </w:r>
      <w:r w:rsidRPr="00B768D5">
        <w:tab/>
        <w:t>The notice must set out the following information for the financial year:</w:t>
      </w:r>
    </w:p>
    <w:p w14:paraId="23D8A236" w14:textId="77777777" w:rsidR="00B85A36" w:rsidRPr="00B768D5" w:rsidRDefault="00B85A36" w:rsidP="00B85A36">
      <w:pPr>
        <w:pStyle w:val="paragraph"/>
      </w:pPr>
      <w:r w:rsidRPr="00B768D5">
        <w:tab/>
        <w:t>(a)</w:t>
      </w:r>
      <w:r w:rsidRPr="00B768D5">
        <w:tab/>
        <w:t xml:space="preserve">the </w:t>
      </w:r>
      <w:r>
        <w:t>listed entity’s</w:t>
      </w:r>
      <w:r w:rsidRPr="00B768D5">
        <w:t xml:space="preserve"> name and ABN;</w:t>
      </w:r>
    </w:p>
    <w:p w14:paraId="48D3B102" w14:textId="77777777" w:rsidR="00B85A36" w:rsidRPr="00B768D5" w:rsidRDefault="00B85A36" w:rsidP="00B85A36">
      <w:pPr>
        <w:pStyle w:val="paragraph"/>
      </w:pPr>
      <w:r w:rsidRPr="00B768D5">
        <w:tab/>
        <w:t>(</w:t>
      </w:r>
      <w:r>
        <w:t>b</w:t>
      </w:r>
      <w:r w:rsidRPr="00B768D5">
        <w:t>)</w:t>
      </w:r>
      <w:r w:rsidRPr="00B768D5">
        <w:tab/>
        <w:t xml:space="preserve">the number of individuals for whom the </w:t>
      </w:r>
      <w:r>
        <w:t xml:space="preserve">listed entity or a subsidiary of the listed entity </w:t>
      </w:r>
      <w:r w:rsidRPr="00B768D5">
        <w:t xml:space="preserve">received a </w:t>
      </w:r>
      <w:proofErr w:type="spellStart"/>
      <w:r w:rsidRPr="00B768D5">
        <w:t>jobkeeper</w:t>
      </w:r>
      <w:proofErr w:type="spellEnd"/>
      <w:r w:rsidRPr="00B768D5">
        <w:t xml:space="preserve"> payment</w:t>
      </w:r>
      <w:r>
        <w:t xml:space="preserve"> for a </w:t>
      </w:r>
      <w:proofErr w:type="spellStart"/>
      <w:r>
        <w:t>jobkeeper</w:t>
      </w:r>
      <w:proofErr w:type="spellEnd"/>
      <w:r>
        <w:t xml:space="preserve"> fortnight (within the meaning of </w:t>
      </w:r>
      <w:r w:rsidRPr="00B768D5">
        <w:t xml:space="preserve">the </w:t>
      </w:r>
      <w:r w:rsidRPr="00B768D5">
        <w:rPr>
          <w:i/>
        </w:rPr>
        <w:t>Coronavirus Economic Response Package (Payments and Benefits) Rules 2020</w:t>
      </w:r>
      <w:r>
        <w:t xml:space="preserve">) that ended </w:t>
      </w:r>
      <w:r w:rsidRPr="00B768D5">
        <w:t>in the financial year;</w:t>
      </w:r>
    </w:p>
    <w:p w14:paraId="7C3A66D3" w14:textId="77777777" w:rsidR="00B85A36" w:rsidRPr="00B768D5" w:rsidRDefault="00B85A36" w:rsidP="00B85A36">
      <w:pPr>
        <w:pStyle w:val="paragraph"/>
      </w:pPr>
      <w:r w:rsidRPr="00B768D5">
        <w:tab/>
        <w:t>(</w:t>
      </w:r>
      <w:r>
        <w:t>c</w:t>
      </w:r>
      <w:r w:rsidRPr="00B768D5">
        <w:t>)</w:t>
      </w:r>
      <w:r w:rsidRPr="00B768D5">
        <w:tab/>
        <w:t xml:space="preserve">the sum of all </w:t>
      </w:r>
      <w:proofErr w:type="spellStart"/>
      <w:r w:rsidRPr="00B768D5">
        <w:t>jobkeeper</w:t>
      </w:r>
      <w:proofErr w:type="spellEnd"/>
      <w:r w:rsidRPr="00B768D5">
        <w:t xml:space="preserve"> payments the </w:t>
      </w:r>
      <w:r>
        <w:t>listed entity and each subsidiary of the listed entity</w:t>
      </w:r>
      <w:r w:rsidRPr="00B768D5">
        <w:t xml:space="preserve"> received in </w:t>
      </w:r>
      <w:r>
        <w:t xml:space="preserve">a </w:t>
      </w:r>
      <w:proofErr w:type="spellStart"/>
      <w:r>
        <w:t>jobkeeper</w:t>
      </w:r>
      <w:proofErr w:type="spellEnd"/>
      <w:r>
        <w:t xml:space="preserve"> fortnight that ended in </w:t>
      </w:r>
      <w:r w:rsidRPr="00B768D5">
        <w:t>the financial year;</w:t>
      </w:r>
    </w:p>
    <w:p w14:paraId="6787A955" w14:textId="77777777" w:rsidR="00B85A36" w:rsidRPr="00B768D5" w:rsidRDefault="00B85A36" w:rsidP="00B85A36">
      <w:pPr>
        <w:pStyle w:val="paragraph"/>
      </w:pPr>
      <w:r w:rsidRPr="00B768D5">
        <w:tab/>
        <w:t>(</w:t>
      </w:r>
      <w:r>
        <w:t>d</w:t>
      </w:r>
      <w:r w:rsidRPr="00B768D5">
        <w:t>)</w:t>
      </w:r>
      <w:r w:rsidRPr="00B768D5">
        <w:tab/>
        <w:t xml:space="preserve">whether or not the </w:t>
      </w:r>
      <w:r>
        <w:t>listed entity or a subsidiary of the listed entity</w:t>
      </w:r>
      <w:r w:rsidRPr="00B768D5">
        <w:t xml:space="preserve"> has made one or more voluntary payments </w:t>
      </w:r>
      <w:r w:rsidRPr="00625C91">
        <w:t>(whether or not in the financial year)</w:t>
      </w:r>
      <w:r w:rsidRPr="00B768D5">
        <w:t xml:space="preserve"> to the Commonwealth by way of a repayment of </w:t>
      </w:r>
      <w:proofErr w:type="spellStart"/>
      <w:r w:rsidRPr="00B768D5">
        <w:t>jobkeeper</w:t>
      </w:r>
      <w:proofErr w:type="spellEnd"/>
      <w:r w:rsidRPr="00B768D5">
        <w:t xml:space="preserve"> payments received by the </w:t>
      </w:r>
      <w:r>
        <w:t>listed entity or a subsidiary of the listed entity</w:t>
      </w:r>
      <w:r w:rsidRPr="00B768D5">
        <w:t xml:space="preserve"> in the financial year;</w:t>
      </w:r>
    </w:p>
    <w:p w14:paraId="5A78054F" w14:textId="77777777" w:rsidR="00B85A36" w:rsidRDefault="00B85A36" w:rsidP="00B85A36">
      <w:pPr>
        <w:pStyle w:val="paragraph"/>
      </w:pPr>
      <w:r w:rsidRPr="00B768D5">
        <w:tab/>
        <w:t>(</w:t>
      </w:r>
      <w:r>
        <w:t>e</w:t>
      </w:r>
      <w:r w:rsidRPr="00B768D5">
        <w:t>)</w:t>
      </w:r>
      <w:r w:rsidRPr="00B768D5">
        <w:tab/>
        <w:t xml:space="preserve">if the </w:t>
      </w:r>
      <w:r>
        <w:t xml:space="preserve">listed entity or a subsidiary of the listed entity </w:t>
      </w:r>
      <w:r w:rsidRPr="00B768D5">
        <w:t xml:space="preserve">has made such a voluntary payment or payments—the sum of </w:t>
      </w:r>
      <w:r>
        <w:t xml:space="preserve">those </w:t>
      </w:r>
      <w:r w:rsidRPr="00B768D5">
        <w:t>payments</w:t>
      </w:r>
      <w:r>
        <w:t>.</w:t>
      </w:r>
    </w:p>
    <w:p w14:paraId="497082F6" w14:textId="77777777" w:rsidR="00B85A36" w:rsidRPr="00B768D5" w:rsidRDefault="00B85A36" w:rsidP="00B85A36">
      <w:pPr>
        <w:pStyle w:val="subsection"/>
      </w:pPr>
      <w:r w:rsidRPr="00B768D5">
        <w:tab/>
        <w:t>(3)</w:t>
      </w:r>
      <w:r w:rsidRPr="00B768D5">
        <w:tab/>
        <w:t>The notice must be given:</w:t>
      </w:r>
    </w:p>
    <w:p w14:paraId="7C5CFA58" w14:textId="77777777" w:rsidR="00B85A36" w:rsidRPr="00B768D5" w:rsidRDefault="00B85A36" w:rsidP="00B85A36">
      <w:pPr>
        <w:pStyle w:val="paragraph"/>
      </w:pPr>
      <w:r w:rsidRPr="00B768D5">
        <w:tab/>
        <w:t>(a)</w:t>
      </w:r>
      <w:r w:rsidRPr="00B768D5">
        <w:tab/>
        <w:t xml:space="preserve">if the </w:t>
      </w:r>
      <w:r>
        <w:t>listed entity</w:t>
      </w:r>
      <w:r w:rsidRPr="00B768D5">
        <w:t xml:space="preserve"> has lodged a report for the financial year under </w:t>
      </w:r>
      <w:r>
        <w:t>Division 1</w:t>
      </w:r>
      <w:r w:rsidRPr="00B768D5">
        <w:t xml:space="preserve"> with ASIC on or before the day on which </w:t>
      </w:r>
      <w:r>
        <w:t>Schedule 3</w:t>
      </w:r>
      <w:r w:rsidRPr="00B768D5">
        <w:t xml:space="preserve"> of the </w:t>
      </w:r>
      <w:r w:rsidRPr="00B768D5">
        <w:rPr>
          <w:i/>
        </w:rPr>
        <w:t>Treasury Laws Amendment (202</w:t>
      </w:r>
      <w:r>
        <w:rPr>
          <w:i/>
        </w:rPr>
        <w:t>1</w:t>
      </w:r>
      <w:r w:rsidRPr="00B768D5">
        <w:rPr>
          <w:i/>
        </w:rPr>
        <w:t xml:space="preserve"> Measures No. </w:t>
      </w:r>
      <w:r>
        <w:rPr>
          <w:i/>
        </w:rPr>
        <w:t>2</w:t>
      </w:r>
      <w:r w:rsidRPr="00B768D5">
        <w:rPr>
          <w:i/>
        </w:rPr>
        <w:t>) Act 2021</w:t>
      </w:r>
      <w:r w:rsidRPr="00B768D5">
        <w:t xml:space="preserve"> commenced—within 60 days after that day; or</w:t>
      </w:r>
    </w:p>
    <w:p w14:paraId="15FD0027" w14:textId="77777777" w:rsidR="00B85A36" w:rsidRDefault="00B85A36" w:rsidP="00B85A36">
      <w:pPr>
        <w:pStyle w:val="paragraph"/>
      </w:pPr>
      <w:r w:rsidRPr="00B768D5">
        <w:tab/>
        <w:t>(b)</w:t>
      </w:r>
      <w:r w:rsidRPr="00B768D5">
        <w:tab/>
        <w:t xml:space="preserve">otherwise—within 60 days after the </w:t>
      </w:r>
      <w:r>
        <w:t>listed entity</w:t>
      </w:r>
      <w:r w:rsidRPr="00B768D5">
        <w:t xml:space="preserve"> lodges a report for the financial year under </w:t>
      </w:r>
      <w:r>
        <w:t>Division 1</w:t>
      </w:r>
      <w:r w:rsidRPr="00B768D5">
        <w:t xml:space="preserve"> with ASIC.</w:t>
      </w:r>
    </w:p>
    <w:p w14:paraId="25FB8726" w14:textId="77777777" w:rsidR="00B85A36" w:rsidRPr="00783A06" w:rsidRDefault="00B85A36" w:rsidP="00B85A36">
      <w:pPr>
        <w:pStyle w:val="subsection"/>
      </w:pPr>
      <w:r>
        <w:tab/>
        <w:t>(4)</w:t>
      </w:r>
      <w:r>
        <w:tab/>
        <w:t>If the listed entity becomes aware that a notice given in accordance with this section for a financial year has become out of date or is otherwise not correct, the listed entity must give each relevant market operator, for release to the market, an updated notice within 60 days of becoming so aware.</w:t>
      </w:r>
    </w:p>
    <w:p w14:paraId="3D7C9260" w14:textId="77777777" w:rsidR="00B85A36" w:rsidRDefault="00B85A36" w:rsidP="00B85A36">
      <w:pPr>
        <w:pStyle w:val="subsection"/>
      </w:pPr>
      <w:r w:rsidRPr="00B768D5">
        <w:tab/>
        <w:t>(</w:t>
      </w:r>
      <w:r>
        <w:t>5</w:t>
      </w:r>
      <w:r w:rsidRPr="00B768D5">
        <w:t>)</w:t>
      </w:r>
      <w:r w:rsidRPr="00B768D5">
        <w:tab/>
        <w:t xml:space="preserve">An offence based on </w:t>
      </w:r>
      <w:r>
        <w:t>subsection (</w:t>
      </w:r>
      <w:r w:rsidRPr="00B768D5">
        <w:t xml:space="preserve">1) </w:t>
      </w:r>
      <w:r>
        <w:t xml:space="preserve">or (4) </w:t>
      </w:r>
      <w:r w:rsidRPr="00B768D5">
        <w:t>is an offence of strict liability.</w:t>
      </w:r>
    </w:p>
    <w:p w14:paraId="6F0830FB" w14:textId="77777777" w:rsidR="00B85A36" w:rsidRDefault="00B85A36" w:rsidP="00B85A36">
      <w:pPr>
        <w:pStyle w:val="ActHead5"/>
      </w:pPr>
      <w:bookmarkStart w:id="23" w:name="_Toc82697353"/>
      <w:r w:rsidRPr="005E3D3D">
        <w:rPr>
          <w:rStyle w:val="CharSectno"/>
        </w:rPr>
        <w:t>323DC</w:t>
      </w:r>
      <w:r>
        <w:t xml:space="preserve">  ASIC must publish report</w:t>
      </w:r>
      <w:bookmarkEnd w:id="23"/>
    </w:p>
    <w:p w14:paraId="284C11A9" w14:textId="77777777" w:rsidR="00B85A36" w:rsidRDefault="00B85A36" w:rsidP="00B85A36">
      <w:pPr>
        <w:pStyle w:val="subsection"/>
      </w:pPr>
      <w:r>
        <w:tab/>
        <w:t>(1)</w:t>
      </w:r>
      <w:r>
        <w:tab/>
        <w:t>ASIC must publish on its website a consolidated report of all notices given to relevant market regulators under section 323DB and released to the market.</w:t>
      </w:r>
    </w:p>
    <w:p w14:paraId="094E3945" w14:textId="77777777" w:rsidR="00B85A36" w:rsidRDefault="00B85A36" w:rsidP="00B85A36">
      <w:pPr>
        <w:pStyle w:val="subsection"/>
      </w:pPr>
      <w:r>
        <w:tab/>
        <w:t>(2)</w:t>
      </w:r>
      <w:r>
        <w:tab/>
        <w:t>ASIC must publish the consolidated report as soon as practicable after a notice or notices under that section are released to the market.</w:t>
      </w:r>
    </w:p>
    <w:p w14:paraId="18F7BA60" w14:textId="77777777" w:rsidR="00B85A36" w:rsidRPr="00845036" w:rsidRDefault="00B85A36" w:rsidP="00B85A36">
      <w:pPr>
        <w:pStyle w:val="subsection"/>
      </w:pPr>
      <w:r>
        <w:tab/>
        <w:t>(3)</w:t>
      </w:r>
      <w:r>
        <w:tab/>
        <w:t>ASIC must ensure the consolidated report is regularly updated.</w:t>
      </w:r>
    </w:p>
    <w:p w14:paraId="72B5B217" w14:textId="77777777" w:rsidR="00B85A36" w:rsidRPr="00B768D5" w:rsidRDefault="00B85A36" w:rsidP="00B85A36">
      <w:pPr>
        <w:pStyle w:val="ItemHead"/>
      </w:pPr>
      <w:r w:rsidRPr="00B768D5">
        <w:t xml:space="preserve">2  In the appropriate position in </w:t>
      </w:r>
      <w:r>
        <w:t>Schedule 3</w:t>
      </w:r>
    </w:p>
    <w:p w14:paraId="3F7E058E" w14:textId="77777777" w:rsidR="00B85A36" w:rsidRPr="00B768D5" w:rsidRDefault="00B85A36" w:rsidP="00B85A36">
      <w:pPr>
        <w:pStyle w:val="Item"/>
      </w:pPr>
      <w:r w:rsidRPr="00B768D5">
        <w:t>Insert:</w:t>
      </w:r>
    </w:p>
    <w:tbl>
      <w:tblPr>
        <w:tblW w:w="7371" w:type="dxa"/>
        <w:tblInd w:w="142" w:type="dxa"/>
        <w:tblLayout w:type="fixed"/>
        <w:tblCellMar>
          <w:left w:w="107" w:type="dxa"/>
          <w:right w:w="107" w:type="dxa"/>
        </w:tblCellMar>
        <w:tblLook w:val="0000" w:firstRow="0" w:lastRow="0" w:firstColumn="0" w:lastColumn="0" w:noHBand="0" w:noVBand="0"/>
      </w:tblPr>
      <w:tblGrid>
        <w:gridCol w:w="3260"/>
        <w:gridCol w:w="4111"/>
      </w:tblGrid>
      <w:tr w:rsidR="00B85A36" w:rsidRPr="00B768D5" w14:paraId="634C5424" w14:textId="77777777" w:rsidTr="00990AF5">
        <w:tc>
          <w:tcPr>
            <w:tcW w:w="3260" w:type="dxa"/>
            <w:shd w:val="clear" w:color="auto" w:fill="auto"/>
          </w:tcPr>
          <w:p w14:paraId="60A7F353" w14:textId="77777777" w:rsidR="00B85A36" w:rsidRPr="00B768D5" w:rsidRDefault="00B85A36" w:rsidP="00990AF5">
            <w:pPr>
              <w:pStyle w:val="Tabletext"/>
            </w:pPr>
            <w:r>
              <w:t>Subsection 3</w:t>
            </w:r>
            <w:r w:rsidRPr="00B768D5">
              <w:t>23DB(1)</w:t>
            </w:r>
          </w:p>
        </w:tc>
        <w:tc>
          <w:tcPr>
            <w:tcW w:w="4111" w:type="dxa"/>
            <w:shd w:val="clear" w:color="auto" w:fill="auto"/>
          </w:tcPr>
          <w:p w14:paraId="262E8FB8" w14:textId="77777777" w:rsidR="00B85A36" w:rsidRPr="00B768D5" w:rsidRDefault="00B85A36" w:rsidP="00990AF5">
            <w:pPr>
              <w:pStyle w:val="Tabletext"/>
            </w:pPr>
            <w:r w:rsidRPr="00B768D5">
              <w:t>60 penalty units</w:t>
            </w:r>
          </w:p>
        </w:tc>
      </w:tr>
      <w:tr w:rsidR="00B85A36" w:rsidRPr="00B768D5" w14:paraId="06C092CC" w14:textId="77777777" w:rsidTr="00990AF5">
        <w:tc>
          <w:tcPr>
            <w:tcW w:w="3260" w:type="dxa"/>
            <w:shd w:val="clear" w:color="auto" w:fill="auto"/>
          </w:tcPr>
          <w:p w14:paraId="0244E22B" w14:textId="77777777" w:rsidR="00B85A36" w:rsidRPr="00B768D5" w:rsidRDefault="00B85A36" w:rsidP="00990AF5">
            <w:pPr>
              <w:pStyle w:val="Tabletext"/>
            </w:pPr>
            <w:r>
              <w:t>Subsection 3</w:t>
            </w:r>
            <w:r w:rsidRPr="00B768D5">
              <w:t>23DB(</w:t>
            </w:r>
            <w:r>
              <w:t>4</w:t>
            </w:r>
            <w:r w:rsidRPr="00B768D5">
              <w:t>)</w:t>
            </w:r>
          </w:p>
        </w:tc>
        <w:tc>
          <w:tcPr>
            <w:tcW w:w="4111" w:type="dxa"/>
            <w:shd w:val="clear" w:color="auto" w:fill="auto"/>
          </w:tcPr>
          <w:p w14:paraId="27A52D1E" w14:textId="77777777" w:rsidR="00B85A36" w:rsidRPr="00B768D5" w:rsidRDefault="00B85A36" w:rsidP="00990AF5">
            <w:pPr>
              <w:pStyle w:val="Tabletext"/>
            </w:pPr>
            <w:r w:rsidRPr="00B768D5">
              <w:t>60 penalty units</w:t>
            </w:r>
          </w:p>
        </w:tc>
      </w:tr>
    </w:tbl>
    <w:p w14:paraId="187B9717" w14:textId="3EF45A02" w:rsidR="00B85A36" w:rsidRDefault="00B85A36">
      <w:pPr>
        <w:pStyle w:val="subsection"/>
      </w:pPr>
    </w:p>
    <w:p w14:paraId="2D618DE9" w14:textId="77777777" w:rsidR="002528CA" w:rsidRDefault="002528CA" w:rsidP="002528CA">
      <w:pPr>
        <w:pBdr>
          <w:bottom w:val="single" w:sz="4" w:space="1" w:color="auto"/>
        </w:pBdr>
        <w:sectPr w:rsidR="002528CA" w:rsidSect="002528CA">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5B88A08D" w14:textId="1361B575" w:rsidR="009B4C5A" w:rsidRDefault="009B4C5A" w:rsidP="000C5962">
      <w:pPr>
        <w:pStyle w:val="2ndRd"/>
        <w:keepNext/>
        <w:spacing w:line="260" w:lineRule="atLeast"/>
        <w:rPr>
          <w:i/>
        </w:rPr>
      </w:pPr>
      <w:r>
        <w:rPr>
          <w:i/>
        </w:rPr>
        <w:t>Minister’s second reading speech made in—</w:t>
      </w:r>
    </w:p>
    <w:p w14:paraId="23841A77" w14:textId="0E1F35FF" w:rsidR="009B4C5A" w:rsidRDefault="009B4C5A" w:rsidP="000C5962">
      <w:pPr>
        <w:pStyle w:val="2ndRd"/>
        <w:keepNext/>
        <w:spacing w:line="260" w:lineRule="atLeast"/>
        <w:rPr>
          <w:i/>
        </w:rPr>
      </w:pPr>
      <w:r>
        <w:rPr>
          <w:i/>
        </w:rPr>
        <w:t>House of Representatives on 17 March 2021</w:t>
      </w:r>
    </w:p>
    <w:p w14:paraId="1DF80785" w14:textId="5F1BEE9F" w:rsidR="009B4C5A" w:rsidRDefault="009B4C5A" w:rsidP="000C5962">
      <w:pPr>
        <w:pStyle w:val="2ndRd"/>
        <w:keepNext/>
        <w:spacing w:line="260" w:lineRule="atLeast"/>
        <w:rPr>
          <w:i/>
        </w:rPr>
      </w:pPr>
      <w:r>
        <w:rPr>
          <w:i/>
        </w:rPr>
        <w:t>Senate on 11 August 2021</w:t>
      </w:r>
      <w:r>
        <w:t>]</w:t>
      </w:r>
    </w:p>
    <w:p w14:paraId="4F454D4F" w14:textId="78B688C0" w:rsidR="009B4C5A" w:rsidRDefault="009B4C5A" w:rsidP="009B4C5A">
      <w:pPr>
        <w:framePr w:hSpace="180" w:wrap="around" w:vAnchor="text" w:hAnchor="page" w:x="2410" w:y="9441"/>
      </w:pPr>
      <w:r>
        <w:t>(32/21)</w:t>
      </w:r>
    </w:p>
    <w:p w14:paraId="21313B24" w14:textId="77777777" w:rsidR="009B4C5A" w:rsidRDefault="009B4C5A"/>
    <w:sectPr w:rsidR="009B4C5A" w:rsidSect="002528CA">
      <w:headerReference w:type="even" r:id="rId27"/>
      <w:headerReference w:type="default" r:id="rId28"/>
      <w:headerReference w:type="first" r:id="rId29"/>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87E9A" w14:textId="77777777" w:rsidR="000C4CA5" w:rsidRDefault="000C4CA5" w:rsidP="0048364F">
      <w:pPr>
        <w:spacing w:line="240" w:lineRule="auto"/>
      </w:pPr>
      <w:r>
        <w:separator/>
      </w:r>
    </w:p>
  </w:endnote>
  <w:endnote w:type="continuationSeparator" w:id="0">
    <w:p w14:paraId="26A72D9B" w14:textId="77777777" w:rsidR="000C4CA5" w:rsidRDefault="000C4CA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CB26" w14:textId="77777777" w:rsidR="000C4CA5" w:rsidRPr="005F1388" w:rsidRDefault="000C4CA5" w:rsidP="00A6207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17D1" w14:textId="2C4E4DFE" w:rsidR="009B4C5A" w:rsidRDefault="009B4C5A" w:rsidP="00CD12A5">
    <w:pPr>
      <w:pStyle w:val="ScalePlusRef"/>
    </w:pPr>
    <w:r>
      <w:t>Note: An electronic version of this Act is available on the Federal Register of Legislation (</w:t>
    </w:r>
    <w:hyperlink r:id="rId1" w:history="1">
      <w:r>
        <w:t>https://www.legislation.gov.au/</w:t>
      </w:r>
    </w:hyperlink>
    <w:r>
      <w:t>)</w:t>
    </w:r>
  </w:p>
  <w:p w14:paraId="5DA8B5AB" w14:textId="77777777" w:rsidR="009B4C5A" w:rsidRDefault="009B4C5A" w:rsidP="00CD12A5"/>
  <w:p w14:paraId="1D566660" w14:textId="1929E064" w:rsidR="000C4CA5" w:rsidRDefault="000C4CA5" w:rsidP="00A62077">
    <w:pPr>
      <w:pStyle w:val="Footer"/>
      <w:spacing w:before="120"/>
    </w:pPr>
  </w:p>
  <w:p w14:paraId="16A2234E" w14:textId="77777777" w:rsidR="000C4CA5" w:rsidRPr="005F1388" w:rsidRDefault="000C4CA5"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6B03" w14:textId="77777777" w:rsidR="000C4CA5" w:rsidRPr="00ED79B6" w:rsidRDefault="000C4CA5" w:rsidP="00A6207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7077" w14:textId="77777777" w:rsidR="000C4CA5" w:rsidRDefault="000C4CA5" w:rsidP="00A6207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4CA5" w14:paraId="14F8B3D2" w14:textId="77777777" w:rsidTr="000C4CA5">
      <w:tc>
        <w:tcPr>
          <w:tcW w:w="646" w:type="dxa"/>
        </w:tcPr>
        <w:p w14:paraId="382E405A" w14:textId="77777777" w:rsidR="000C4CA5" w:rsidRDefault="000C4CA5" w:rsidP="000C4CA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61677C3C" w14:textId="01174D31" w:rsidR="000C4CA5" w:rsidRDefault="000C4CA5" w:rsidP="000C4CA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32D98">
            <w:rPr>
              <w:i/>
              <w:sz w:val="18"/>
            </w:rPr>
            <w:t>Treasury Laws Amendment (2021 Measures No. 2) Act 2021</w:t>
          </w:r>
          <w:r w:rsidRPr="00ED79B6">
            <w:rPr>
              <w:i/>
              <w:sz w:val="18"/>
            </w:rPr>
            <w:fldChar w:fldCharType="end"/>
          </w:r>
        </w:p>
      </w:tc>
      <w:tc>
        <w:tcPr>
          <w:tcW w:w="1270" w:type="dxa"/>
        </w:tcPr>
        <w:p w14:paraId="5A15E4D5" w14:textId="6AA2066F" w:rsidR="000C4CA5" w:rsidRDefault="000C4CA5" w:rsidP="000C4CA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32D98">
            <w:rPr>
              <w:i/>
              <w:sz w:val="18"/>
            </w:rPr>
            <w:t>No. 110, 2021</w:t>
          </w:r>
          <w:r w:rsidRPr="00ED79B6">
            <w:rPr>
              <w:i/>
              <w:sz w:val="18"/>
            </w:rPr>
            <w:fldChar w:fldCharType="end"/>
          </w:r>
        </w:p>
      </w:tc>
    </w:tr>
  </w:tbl>
  <w:p w14:paraId="24173D1B" w14:textId="77777777" w:rsidR="000C4CA5" w:rsidRDefault="000C4CA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31AC" w14:textId="77777777" w:rsidR="000C4CA5" w:rsidRDefault="000C4CA5" w:rsidP="00A6207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4CA5" w14:paraId="50E9865A" w14:textId="77777777" w:rsidTr="000C4CA5">
      <w:tc>
        <w:tcPr>
          <w:tcW w:w="1247" w:type="dxa"/>
        </w:tcPr>
        <w:p w14:paraId="78F99568" w14:textId="28DB47A7" w:rsidR="000C4CA5" w:rsidRDefault="000C4CA5" w:rsidP="000C4CA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32D98">
            <w:rPr>
              <w:i/>
              <w:sz w:val="18"/>
            </w:rPr>
            <w:t>No. 110, 2021</w:t>
          </w:r>
          <w:r w:rsidRPr="00ED79B6">
            <w:rPr>
              <w:i/>
              <w:sz w:val="18"/>
            </w:rPr>
            <w:fldChar w:fldCharType="end"/>
          </w:r>
        </w:p>
      </w:tc>
      <w:tc>
        <w:tcPr>
          <w:tcW w:w="5387" w:type="dxa"/>
        </w:tcPr>
        <w:p w14:paraId="19E5B5CA" w14:textId="05B8C2EC" w:rsidR="000C4CA5" w:rsidRDefault="000C4CA5" w:rsidP="000C4CA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32D98">
            <w:rPr>
              <w:i/>
              <w:sz w:val="18"/>
            </w:rPr>
            <w:t>Treasury Laws Amendment (2021 Measures No. 2) Act 2021</w:t>
          </w:r>
          <w:r w:rsidRPr="00ED79B6">
            <w:rPr>
              <w:i/>
              <w:sz w:val="18"/>
            </w:rPr>
            <w:fldChar w:fldCharType="end"/>
          </w:r>
        </w:p>
      </w:tc>
      <w:tc>
        <w:tcPr>
          <w:tcW w:w="669" w:type="dxa"/>
        </w:tcPr>
        <w:p w14:paraId="1C7BB55E" w14:textId="77777777" w:rsidR="000C4CA5" w:rsidRDefault="000C4CA5" w:rsidP="000C4CA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1750">
            <w:rPr>
              <w:i/>
              <w:noProof/>
              <w:sz w:val="18"/>
            </w:rPr>
            <w:t>i</w:t>
          </w:r>
          <w:r w:rsidRPr="00ED79B6">
            <w:rPr>
              <w:i/>
              <w:sz w:val="18"/>
            </w:rPr>
            <w:fldChar w:fldCharType="end"/>
          </w:r>
        </w:p>
      </w:tc>
    </w:tr>
  </w:tbl>
  <w:p w14:paraId="29D4152C" w14:textId="77777777" w:rsidR="000C4CA5" w:rsidRPr="00ED79B6" w:rsidRDefault="000C4CA5"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E1C4B" w14:textId="77777777" w:rsidR="000C4CA5" w:rsidRPr="00A961C4" w:rsidRDefault="000C4CA5" w:rsidP="00A6207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4CA5" w14:paraId="4DBBA790" w14:textId="77777777" w:rsidTr="004B0398">
      <w:tc>
        <w:tcPr>
          <w:tcW w:w="646" w:type="dxa"/>
        </w:tcPr>
        <w:p w14:paraId="3C203BE4" w14:textId="77777777" w:rsidR="000C4CA5" w:rsidRDefault="000C4CA5" w:rsidP="000C4CA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01750">
            <w:rPr>
              <w:i/>
              <w:noProof/>
              <w:sz w:val="18"/>
            </w:rPr>
            <w:t>12</w:t>
          </w:r>
          <w:r w:rsidRPr="007A1328">
            <w:rPr>
              <w:i/>
              <w:sz w:val="18"/>
            </w:rPr>
            <w:fldChar w:fldCharType="end"/>
          </w:r>
        </w:p>
      </w:tc>
      <w:tc>
        <w:tcPr>
          <w:tcW w:w="5387" w:type="dxa"/>
        </w:tcPr>
        <w:p w14:paraId="3BA68114" w14:textId="7EF65DFE" w:rsidR="000C4CA5" w:rsidRDefault="000C4CA5" w:rsidP="000C4CA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32D98">
            <w:rPr>
              <w:i/>
              <w:sz w:val="18"/>
            </w:rPr>
            <w:t>Treasury Laws Amendment (2021 Measures No. 2) Act 2021</w:t>
          </w:r>
          <w:r w:rsidRPr="007A1328">
            <w:rPr>
              <w:i/>
              <w:sz w:val="18"/>
            </w:rPr>
            <w:fldChar w:fldCharType="end"/>
          </w:r>
        </w:p>
      </w:tc>
      <w:tc>
        <w:tcPr>
          <w:tcW w:w="1270" w:type="dxa"/>
        </w:tcPr>
        <w:p w14:paraId="7DB2C1A4" w14:textId="07F59A1F" w:rsidR="000C4CA5" w:rsidRDefault="000C4CA5" w:rsidP="000C4CA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32D98">
            <w:rPr>
              <w:i/>
              <w:sz w:val="18"/>
            </w:rPr>
            <w:t>No. 110, 2021</w:t>
          </w:r>
          <w:r w:rsidRPr="007A1328">
            <w:rPr>
              <w:i/>
              <w:sz w:val="18"/>
            </w:rPr>
            <w:fldChar w:fldCharType="end"/>
          </w:r>
        </w:p>
      </w:tc>
    </w:tr>
  </w:tbl>
  <w:p w14:paraId="33182A3C" w14:textId="77777777" w:rsidR="000C4CA5" w:rsidRPr="00A961C4" w:rsidRDefault="000C4CA5"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6690" w14:textId="77777777" w:rsidR="000C4CA5" w:rsidRPr="00A961C4" w:rsidRDefault="000C4CA5" w:rsidP="00A6207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4CA5" w14:paraId="015B5046" w14:textId="77777777" w:rsidTr="004B0398">
      <w:tc>
        <w:tcPr>
          <w:tcW w:w="1247" w:type="dxa"/>
        </w:tcPr>
        <w:p w14:paraId="28689F98" w14:textId="7AB7F5B8" w:rsidR="000C4CA5" w:rsidRDefault="000C4CA5" w:rsidP="000C4CA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32D98">
            <w:rPr>
              <w:i/>
              <w:sz w:val="18"/>
            </w:rPr>
            <w:t>No. 110, 2021</w:t>
          </w:r>
          <w:r w:rsidRPr="007A1328">
            <w:rPr>
              <w:i/>
              <w:sz w:val="18"/>
            </w:rPr>
            <w:fldChar w:fldCharType="end"/>
          </w:r>
        </w:p>
      </w:tc>
      <w:tc>
        <w:tcPr>
          <w:tcW w:w="5387" w:type="dxa"/>
        </w:tcPr>
        <w:p w14:paraId="50BF58AB" w14:textId="72A0F11B" w:rsidR="000C4CA5" w:rsidRDefault="000C4CA5" w:rsidP="000C4CA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32D98">
            <w:rPr>
              <w:i/>
              <w:sz w:val="18"/>
            </w:rPr>
            <w:t>Treasury Laws Amendment (2021 Measures No. 2) Act 2021</w:t>
          </w:r>
          <w:r w:rsidRPr="007A1328">
            <w:rPr>
              <w:i/>
              <w:sz w:val="18"/>
            </w:rPr>
            <w:fldChar w:fldCharType="end"/>
          </w:r>
        </w:p>
      </w:tc>
      <w:tc>
        <w:tcPr>
          <w:tcW w:w="669" w:type="dxa"/>
        </w:tcPr>
        <w:p w14:paraId="57B978C7" w14:textId="77777777" w:rsidR="000C4CA5" w:rsidRDefault="000C4CA5" w:rsidP="000C4CA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01750">
            <w:rPr>
              <w:i/>
              <w:noProof/>
              <w:sz w:val="18"/>
            </w:rPr>
            <w:t>11</w:t>
          </w:r>
          <w:r w:rsidRPr="007A1328">
            <w:rPr>
              <w:i/>
              <w:sz w:val="18"/>
            </w:rPr>
            <w:fldChar w:fldCharType="end"/>
          </w:r>
        </w:p>
      </w:tc>
    </w:tr>
  </w:tbl>
  <w:p w14:paraId="27234913" w14:textId="77777777" w:rsidR="000C4CA5" w:rsidRPr="00055B5C" w:rsidRDefault="000C4CA5"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DD58C" w14:textId="77777777" w:rsidR="000C4CA5" w:rsidRPr="00A961C4" w:rsidRDefault="000C4CA5" w:rsidP="00A6207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0C4CA5" w14:paraId="5CAFCD54" w14:textId="77777777" w:rsidTr="004B0398">
      <w:tc>
        <w:tcPr>
          <w:tcW w:w="1247" w:type="dxa"/>
        </w:tcPr>
        <w:p w14:paraId="10260B4B" w14:textId="17347227" w:rsidR="000C4CA5" w:rsidRDefault="000C4CA5" w:rsidP="000C4CA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32D98">
            <w:rPr>
              <w:i/>
              <w:sz w:val="18"/>
            </w:rPr>
            <w:t>No. 110, 2021</w:t>
          </w:r>
          <w:r w:rsidRPr="007A1328">
            <w:rPr>
              <w:i/>
              <w:sz w:val="18"/>
            </w:rPr>
            <w:fldChar w:fldCharType="end"/>
          </w:r>
        </w:p>
      </w:tc>
      <w:tc>
        <w:tcPr>
          <w:tcW w:w="5387" w:type="dxa"/>
        </w:tcPr>
        <w:p w14:paraId="1E8BEEE6" w14:textId="31F5146E" w:rsidR="000C4CA5" w:rsidRDefault="000C4CA5" w:rsidP="000C4CA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32D98">
            <w:rPr>
              <w:i/>
              <w:sz w:val="18"/>
            </w:rPr>
            <w:t>Treasury Laws Amendment (2021 Measures No. 2) Act 2021</w:t>
          </w:r>
          <w:r w:rsidRPr="007A1328">
            <w:rPr>
              <w:i/>
              <w:sz w:val="18"/>
            </w:rPr>
            <w:fldChar w:fldCharType="end"/>
          </w:r>
        </w:p>
      </w:tc>
      <w:tc>
        <w:tcPr>
          <w:tcW w:w="669" w:type="dxa"/>
        </w:tcPr>
        <w:p w14:paraId="7958BF4C" w14:textId="77777777" w:rsidR="000C4CA5" w:rsidRDefault="000C4CA5" w:rsidP="000C4CA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801750">
            <w:rPr>
              <w:i/>
              <w:noProof/>
              <w:sz w:val="18"/>
            </w:rPr>
            <w:t>1</w:t>
          </w:r>
          <w:r w:rsidRPr="007A1328">
            <w:rPr>
              <w:i/>
              <w:sz w:val="18"/>
            </w:rPr>
            <w:fldChar w:fldCharType="end"/>
          </w:r>
        </w:p>
      </w:tc>
    </w:tr>
  </w:tbl>
  <w:p w14:paraId="5F650022" w14:textId="77777777" w:rsidR="000C4CA5" w:rsidRPr="00A961C4" w:rsidRDefault="000C4CA5"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85B7F" w14:textId="77777777" w:rsidR="000C4CA5" w:rsidRDefault="000C4CA5" w:rsidP="0048364F">
      <w:pPr>
        <w:spacing w:line="240" w:lineRule="auto"/>
      </w:pPr>
      <w:r>
        <w:separator/>
      </w:r>
    </w:p>
  </w:footnote>
  <w:footnote w:type="continuationSeparator" w:id="0">
    <w:p w14:paraId="17947988" w14:textId="77777777" w:rsidR="000C4CA5" w:rsidRDefault="000C4CA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244BB" w14:textId="77777777" w:rsidR="000C4CA5" w:rsidRPr="005F1388" w:rsidRDefault="000C4CA5"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39C57" w14:textId="58AC6A43" w:rsidR="002528CA" w:rsidRPr="00A961C4" w:rsidRDefault="002528CA" w:rsidP="0048364F">
    <w:pPr>
      <w:rPr>
        <w:b/>
        <w:sz w:val="20"/>
      </w:rPr>
    </w:pPr>
    <w:r>
      <w:rPr>
        <w:b/>
        <w:sz w:val="20"/>
      </w:rPr>
      <w:fldChar w:fldCharType="begin"/>
    </w:r>
    <w:r>
      <w:rPr>
        <w:b/>
        <w:sz w:val="20"/>
      </w:rPr>
      <w:instrText xml:space="preserve"> STYLEREF CharAmSchNo </w:instrText>
    </w:r>
    <w:r>
      <w:rPr>
        <w:b/>
        <w:sz w:val="20"/>
      </w:rPr>
      <w:fldChar w:fldCharType="separate"/>
    </w:r>
    <w:r w:rsidR="00132D98">
      <w:rPr>
        <w:b/>
        <w:noProof/>
        <w:sz w:val="20"/>
      </w:rPr>
      <w:t>Schedule 3</w:t>
    </w:r>
    <w:r>
      <w:rPr>
        <w:b/>
        <w:sz w:val="20"/>
      </w:rPr>
      <w:fldChar w:fldCharType="end"/>
    </w:r>
    <w:r>
      <w:rPr>
        <w:sz w:val="20"/>
      </w:rPr>
      <w:fldChar w:fldCharType="begin"/>
    </w:r>
    <w:r>
      <w:rPr>
        <w:sz w:val="20"/>
      </w:rPr>
      <w:instrText xml:space="preserve"> STYLEREF CharAmSchText </w:instrText>
    </w:r>
    <w:r>
      <w:rPr>
        <w:sz w:val="20"/>
      </w:rPr>
      <w:fldChar w:fldCharType="separate"/>
    </w:r>
    <w:r w:rsidR="00132D98">
      <w:rPr>
        <w:noProof/>
        <w:sz w:val="20"/>
      </w:rPr>
      <w:t>Disclosure of information</w:t>
    </w:r>
    <w:r>
      <w:rPr>
        <w:sz w:val="20"/>
      </w:rPr>
      <w:fldChar w:fldCharType="end"/>
    </w:r>
  </w:p>
  <w:p w14:paraId="1DF17213" w14:textId="10349B26" w:rsidR="002528CA" w:rsidRPr="00A961C4" w:rsidRDefault="002528CA"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52B20CC8" w14:textId="77777777" w:rsidR="002528CA" w:rsidRPr="00A961C4" w:rsidRDefault="002528CA"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AC162" w14:textId="2167DC78" w:rsidR="002528CA" w:rsidRPr="00A961C4" w:rsidRDefault="002528CA" w:rsidP="0048364F">
    <w:pPr>
      <w:jc w:val="right"/>
      <w:rPr>
        <w:sz w:val="20"/>
      </w:rPr>
    </w:pPr>
  </w:p>
  <w:p w14:paraId="33B97E0E" w14:textId="69193201" w:rsidR="002528CA" w:rsidRPr="00A961C4" w:rsidRDefault="002528C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6E25B46D" w14:textId="77777777" w:rsidR="002528CA" w:rsidRPr="00A961C4" w:rsidRDefault="002528CA"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6254" w14:textId="77777777" w:rsidR="002528CA" w:rsidRPr="00A961C4" w:rsidRDefault="002528CA"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E8F8B" w14:textId="77777777" w:rsidR="000C4CA5" w:rsidRPr="005F1388" w:rsidRDefault="000C4CA5"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BF12" w14:textId="77777777" w:rsidR="000C4CA5" w:rsidRPr="005F1388" w:rsidRDefault="000C4CA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412BD" w14:textId="77777777" w:rsidR="000C4CA5" w:rsidRPr="00ED79B6" w:rsidRDefault="000C4CA5"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5023" w14:textId="77777777" w:rsidR="000C4CA5" w:rsidRPr="00ED79B6" w:rsidRDefault="000C4CA5"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152A" w14:textId="77777777" w:rsidR="000C4CA5" w:rsidRPr="00ED79B6" w:rsidRDefault="000C4CA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9E577" w14:textId="0ECB244E" w:rsidR="000C4CA5" w:rsidRPr="00A961C4" w:rsidRDefault="000C4CA5" w:rsidP="0048364F">
    <w:pPr>
      <w:rPr>
        <w:b/>
        <w:sz w:val="20"/>
      </w:rPr>
    </w:pPr>
    <w:r>
      <w:rPr>
        <w:b/>
        <w:sz w:val="20"/>
      </w:rPr>
      <w:fldChar w:fldCharType="begin"/>
    </w:r>
    <w:r>
      <w:rPr>
        <w:b/>
        <w:sz w:val="20"/>
      </w:rPr>
      <w:instrText xml:space="preserve"> STYLEREF CharAmSchNo </w:instrText>
    </w:r>
    <w:r w:rsidR="00132D98">
      <w:rPr>
        <w:b/>
        <w:sz w:val="20"/>
      </w:rPr>
      <w:fldChar w:fldCharType="separate"/>
    </w:r>
    <w:r w:rsidR="00132D98">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32D98">
      <w:rPr>
        <w:sz w:val="20"/>
      </w:rPr>
      <w:fldChar w:fldCharType="separate"/>
    </w:r>
    <w:r w:rsidR="00132D98">
      <w:rPr>
        <w:noProof/>
        <w:sz w:val="20"/>
      </w:rPr>
      <w:t>Disclosure of information</w:t>
    </w:r>
    <w:r>
      <w:rPr>
        <w:sz w:val="20"/>
      </w:rPr>
      <w:fldChar w:fldCharType="end"/>
    </w:r>
  </w:p>
  <w:p w14:paraId="70C4C910" w14:textId="04DE7776" w:rsidR="000C4CA5" w:rsidRPr="00A961C4" w:rsidRDefault="000C4CA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8626BEA" w14:textId="77777777" w:rsidR="000C4CA5" w:rsidRPr="00A961C4" w:rsidRDefault="000C4CA5"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09A8" w14:textId="2D4801E5" w:rsidR="000C4CA5" w:rsidRPr="00A961C4" w:rsidRDefault="000C4CA5" w:rsidP="0048364F">
    <w:pPr>
      <w:jc w:val="right"/>
      <w:rPr>
        <w:sz w:val="20"/>
      </w:rPr>
    </w:pPr>
    <w:r w:rsidRPr="00A961C4">
      <w:rPr>
        <w:sz w:val="20"/>
      </w:rPr>
      <w:fldChar w:fldCharType="begin"/>
    </w:r>
    <w:r w:rsidRPr="00A961C4">
      <w:rPr>
        <w:sz w:val="20"/>
      </w:rPr>
      <w:instrText xml:space="preserve"> STYLEREF CharAmSchText </w:instrText>
    </w:r>
    <w:r w:rsidR="00132D98">
      <w:rPr>
        <w:sz w:val="20"/>
      </w:rPr>
      <w:fldChar w:fldCharType="separate"/>
    </w:r>
    <w:r w:rsidR="00132D98">
      <w:rPr>
        <w:noProof/>
        <w:sz w:val="20"/>
      </w:rPr>
      <w:t>Disclosure of information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32D98">
      <w:rPr>
        <w:b/>
        <w:sz w:val="20"/>
      </w:rPr>
      <w:fldChar w:fldCharType="separate"/>
    </w:r>
    <w:r w:rsidR="00132D98">
      <w:rPr>
        <w:b/>
        <w:noProof/>
        <w:sz w:val="20"/>
      </w:rPr>
      <w:t>Schedule 3</w:t>
    </w:r>
    <w:r>
      <w:rPr>
        <w:b/>
        <w:sz w:val="20"/>
      </w:rPr>
      <w:fldChar w:fldCharType="end"/>
    </w:r>
  </w:p>
  <w:p w14:paraId="7436522A" w14:textId="6E4BE9EF" w:rsidR="000C4CA5" w:rsidRPr="00A961C4" w:rsidRDefault="000C4CA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2FB07D2" w14:textId="77777777" w:rsidR="000C4CA5" w:rsidRPr="00A961C4" w:rsidRDefault="000C4CA5"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EC9E" w14:textId="77777777" w:rsidR="000C4CA5" w:rsidRPr="00A961C4" w:rsidRDefault="000C4CA5"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F81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94AF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C20D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D8EE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F62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8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6C7F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FEB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BC83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703F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25"/>
    <w:rsid w:val="000113BC"/>
    <w:rsid w:val="000136AF"/>
    <w:rsid w:val="000417C9"/>
    <w:rsid w:val="00055B5C"/>
    <w:rsid w:val="00056391"/>
    <w:rsid w:val="00060FF9"/>
    <w:rsid w:val="000614BF"/>
    <w:rsid w:val="000B1FD2"/>
    <w:rsid w:val="000C4CA5"/>
    <w:rsid w:val="000D05EF"/>
    <w:rsid w:val="000F21C1"/>
    <w:rsid w:val="000F316E"/>
    <w:rsid w:val="00101D90"/>
    <w:rsid w:val="0010745C"/>
    <w:rsid w:val="00113BD1"/>
    <w:rsid w:val="00122206"/>
    <w:rsid w:val="00125D85"/>
    <w:rsid w:val="00132D98"/>
    <w:rsid w:val="001449CB"/>
    <w:rsid w:val="00154B98"/>
    <w:rsid w:val="0015646E"/>
    <w:rsid w:val="001643C9"/>
    <w:rsid w:val="00165568"/>
    <w:rsid w:val="00166C2F"/>
    <w:rsid w:val="001716C9"/>
    <w:rsid w:val="00173363"/>
    <w:rsid w:val="00173B94"/>
    <w:rsid w:val="001854B4"/>
    <w:rsid w:val="001939E1"/>
    <w:rsid w:val="00195382"/>
    <w:rsid w:val="00197C78"/>
    <w:rsid w:val="001A3658"/>
    <w:rsid w:val="001A759A"/>
    <w:rsid w:val="001B633C"/>
    <w:rsid w:val="001B7A5D"/>
    <w:rsid w:val="001C2418"/>
    <w:rsid w:val="001C38BE"/>
    <w:rsid w:val="001C69C4"/>
    <w:rsid w:val="001E3590"/>
    <w:rsid w:val="001E7407"/>
    <w:rsid w:val="00201D27"/>
    <w:rsid w:val="00202618"/>
    <w:rsid w:val="00206002"/>
    <w:rsid w:val="00240749"/>
    <w:rsid w:val="002528CA"/>
    <w:rsid w:val="00263820"/>
    <w:rsid w:val="00275197"/>
    <w:rsid w:val="00293B89"/>
    <w:rsid w:val="00297ECB"/>
    <w:rsid w:val="002B5A30"/>
    <w:rsid w:val="002D043A"/>
    <w:rsid w:val="002D395A"/>
    <w:rsid w:val="00301508"/>
    <w:rsid w:val="00326325"/>
    <w:rsid w:val="003415D3"/>
    <w:rsid w:val="00350417"/>
    <w:rsid w:val="00352B0F"/>
    <w:rsid w:val="00373874"/>
    <w:rsid w:val="00375C6C"/>
    <w:rsid w:val="003A7B3C"/>
    <w:rsid w:val="003B4E3D"/>
    <w:rsid w:val="003C5F2B"/>
    <w:rsid w:val="003D0BFE"/>
    <w:rsid w:val="003D5700"/>
    <w:rsid w:val="003D772A"/>
    <w:rsid w:val="00405579"/>
    <w:rsid w:val="00410B8E"/>
    <w:rsid w:val="004116CD"/>
    <w:rsid w:val="00421FC1"/>
    <w:rsid w:val="004229C7"/>
    <w:rsid w:val="00424CA9"/>
    <w:rsid w:val="00436785"/>
    <w:rsid w:val="00436BD5"/>
    <w:rsid w:val="00437E4B"/>
    <w:rsid w:val="0044291A"/>
    <w:rsid w:val="0048196B"/>
    <w:rsid w:val="0048364F"/>
    <w:rsid w:val="00486039"/>
    <w:rsid w:val="00486D05"/>
    <w:rsid w:val="00496F97"/>
    <w:rsid w:val="004B0398"/>
    <w:rsid w:val="004B6564"/>
    <w:rsid w:val="004C5763"/>
    <w:rsid w:val="004C7C8C"/>
    <w:rsid w:val="004E2A4A"/>
    <w:rsid w:val="004F0A96"/>
    <w:rsid w:val="004F0D23"/>
    <w:rsid w:val="004F1FAC"/>
    <w:rsid w:val="00516B8D"/>
    <w:rsid w:val="00523B27"/>
    <w:rsid w:val="00537FBC"/>
    <w:rsid w:val="00543469"/>
    <w:rsid w:val="00551B54"/>
    <w:rsid w:val="00552F7B"/>
    <w:rsid w:val="00564A40"/>
    <w:rsid w:val="00584811"/>
    <w:rsid w:val="00593AA6"/>
    <w:rsid w:val="00594161"/>
    <w:rsid w:val="00594749"/>
    <w:rsid w:val="005A0D92"/>
    <w:rsid w:val="005B4067"/>
    <w:rsid w:val="005C3F41"/>
    <w:rsid w:val="005E152A"/>
    <w:rsid w:val="00600219"/>
    <w:rsid w:val="00602986"/>
    <w:rsid w:val="006167FD"/>
    <w:rsid w:val="0061724D"/>
    <w:rsid w:val="00641DE5"/>
    <w:rsid w:val="00656F0C"/>
    <w:rsid w:val="00677CC2"/>
    <w:rsid w:val="00681F92"/>
    <w:rsid w:val="006842C2"/>
    <w:rsid w:val="00685F42"/>
    <w:rsid w:val="0069207B"/>
    <w:rsid w:val="006A4B23"/>
    <w:rsid w:val="006C2874"/>
    <w:rsid w:val="006C7F8C"/>
    <w:rsid w:val="006D380D"/>
    <w:rsid w:val="006E0135"/>
    <w:rsid w:val="006E303A"/>
    <w:rsid w:val="006F7E19"/>
    <w:rsid w:val="00700B2C"/>
    <w:rsid w:val="00712D8D"/>
    <w:rsid w:val="00713084"/>
    <w:rsid w:val="00714B26"/>
    <w:rsid w:val="0072311E"/>
    <w:rsid w:val="00731E00"/>
    <w:rsid w:val="007440B7"/>
    <w:rsid w:val="0075094F"/>
    <w:rsid w:val="007634AD"/>
    <w:rsid w:val="007715C9"/>
    <w:rsid w:val="007727D7"/>
    <w:rsid w:val="00774EDD"/>
    <w:rsid w:val="007757EC"/>
    <w:rsid w:val="007B30AA"/>
    <w:rsid w:val="007D4376"/>
    <w:rsid w:val="007E7D4A"/>
    <w:rsid w:val="008006CC"/>
    <w:rsid w:val="00800EAF"/>
    <w:rsid w:val="00801750"/>
    <w:rsid w:val="00807F18"/>
    <w:rsid w:val="0081306A"/>
    <w:rsid w:val="00831E8D"/>
    <w:rsid w:val="00833CBF"/>
    <w:rsid w:val="00856A31"/>
    <w:rsid w:val="00857D6B"/>
    <w:rsid w:val="008754D0"/>
    <w:rsid w:val="00877D48"/>
    <w:rsid w:val="00883781"/>
    <w:rsid w:val="00885570"/>
    <w:rsid w:val="00893958"/>
    <w:rsid w:val="008A2E77"/>
    <w:rsid w:val="008C6F6F"/>
    <w:rsid w:val="008D0EE0"/>
    <w:rsid w:val="008D3E94"/>
    <w:rsid w:val="008F4F1C"/>
    <w:rsid w:val="008F77C4"/>
    <w:rsid w:val="009103F3"/>
    <w:rsid w:val="00932377"/>
    <w:rsid w:val="00967042"/>
    <w:rsid w:val="0098255A"/>
    <w:rsid w:val="009845BE"/>
    <w:rsid w:val="00984AE7"/>
    <w:rsid w:val="009969C9"/>
    <w:rsid w:val="009B4C5A"/>
    <w:rsid w:val="009E186E"/>
    <w:rsid w:val="009F7BD0"/>
    <w:rsid w:val="00A048FF"/>
    <w:rsid w:val="00A10775"/>
    <w:rsid w:val="00A231E2"/>
    <w:rsid w:val="00A36C48"/>
    <w:rsid w:val="00A41E0B"/>
    <w:rsid w:val="00A55631"/>
    <w:rsid w:val="00A62077"/>
    <w:rsid w:val="00A64718"/>
    <w:rsid w:val="00A64912"/>
    <w:rsid w:val="00A70A74"/>
    <w:rsid w:val="00A85974"/>
    <w:rsid w:val="00AA3795"/>
    <w:rsid w:val="00AC1E75"/>
    <w:rsid w:val="00AD5641"/>
    <w:rsid w:val="00AE1088"/>
    <w:rsid w:val="00AF1BA4"/>
    <w:rsid w:val="00B032D8"/>
    <w:rsid w:val="00B32BE2"/>
    <w:rsid w:val="00B33B3C"/>
    <w:rsid w:val="00B54C70"/>
    <w:rsid w:val="00B6382D"/>
    <w:rsid w:val="00B85A36"/>
    <w:rsid w:val="00BA5026"/>
    <w:rsid w:val="00BB40BF"/>
    <w:rsid w:val="00BC0CD1"/>
    <w:rsid w:val="00BE719A"/>
    <w:rsid w:val="00BE720A"/>
    <w:rsid w:val="00BF0461"/>
    <w:rsid w:val="00BF4944"/>
    <w:rsid w:val="00BF56D4"/>
    <w:rsid w:val="00C04409"/>
    <w:rsid w:val="00C067E5"/>
    <w:rsid w:val="00C164CA"/>
    <w:rsid w:val="00C176CF"/>
    <w:rsid w:val="00C42BF8"/>
    <w:rsid w:val="00C460AE"/>
    <w:rsid w:val="00C50043"/>
    <w:rsid w:val="00C54E84"/>
    <w:rsid w:val="00C7573B"/>
    <w:rsid w:val="00C76CF3"/>
    <w:rsid w:val="00CE1E31"/>
    <w:rsid w:val="00CE2FA7"/>
    <w:rsid w:val="00CF0BB2"/>
    <w:rsid w:val="00D00EAA"/>
    <w:rsid w:val="00D13441"/>
    <w:rsid w:val="00D243A3"/>
    <w:rsid w:val="00D477C3"/>
    <w:rsid w:val="00D52EFE"/>
    <w:rsid w:val="00D620F8"/>
    <w:rsid w:val="00D63EF6"/>
    <w:rsid w:val="00D646F1"/>
    <w:rsid w:val="00D70DFB"/>
    <w:rsid w:val="00D73029"/>
    <w:rsid w:val="00D766DF"/>
    <w:rsid w:val="00DE2002"/>
    <w:rsid w:val="00DF7AE9"/>
    <w:rsid w:val="00E05704"/>
    <w:rsid w:val="00E24D66"/>
    <w:rsid w:val="00E54292"/>
    <w:rsid w:val="00E56468"/>
    <w:rsid w:val="00E74DC7"/>
    <w:rsid w:val="00E84ECA"/>
    <w:rsid w:val="00E87699"/>
    <w:rsid w:val="00E947C6"/>
    <w:rsid w:val="00EB510C"/>
    <w:rsid w:val="00EC5E62"/>
    <w:rsid w:val="00ED492F"/>
    <w:rsid w:val="00EE3E36"/>
    <w:rsid w:val="00EF2E3A"/>
    <w:rsid w:val="00F047E2"/>
    <w:rsid w:val="00F078DC"/>
    <w:rsid w:val="00F13E86"/>
    <w:rsid w:val="00F17B00"/>
    <w:rsid w:val="00F677A9"/>
    <w:rsid w:val="00F75F98"/>
    <w:rsid w:val="00F84CF5"/>
    <w:rsid w:val="00F92D35"/>
    <w:rsid w:val="00FA420B"/>
    <w:rsid w:val="00FC7CBF"/>
    <w:rsid w:val="00FD1E13"/>
    <w:rsid w:val="00FD7EB1"/>
    <w:rsid w:val="00FE41C9"/>
    <w:rsid w:val="00FE7F93"/>
    <w:rsid w:val="00FF72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478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2077"/>
    <w:pPr>
      <w:spacing w:line="260" w:lineRule="atLeast"/>
    </w:pPr>
    <w:rPr>
      <w:sz w:val="22"/>
    </w:rPr>
  </w:style>
  <w:style w:type="paragraph" w:styleId="Heading1">
    <w:name w:val="heading 1"/>
    <w:basedOn w:val="Normal"/>
    <w:next w:val="Normal"/>
    <w:link w:val="Heading1Char"/>
    <w:uiPriority w:val="9"/>
    <w:qFormat/>
    <w:rsid w:val="002528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528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528C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528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528C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528C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528C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528C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28C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62077"/>
  </w:style>
  <w:style w:type="paragraph" w:customStyle="1" w:styleId="OPCParaBase">
    <w:name w:val="OPCParaBase"/>
    <w:qFormat/>
    <w:rsid w:val="00A62077"/>
    <w:pPr>
      <w:spacing w:line="260" w:lineRule="atLeast"/>
    </w:pPr>
    <w:rPr>
      <w:rFonts w:eastAsia="Times New Roman" w:cs="Times New Roman"/>
      <w:sz w:val="22"/>
      <w:lang w:eastAsia="en-AU"/>
    </w:rPr>
  </w:style>
  <w:style w:type="paragraph" w:customStyle="1" w:styleId="ShortT">
    <w:name w:val="ShortT"/>
    <w:basedOn w:val="OPCParaBase"/>
    <w:next w:val="Normal"/>
    <w:qFormat/>
    <w:rsid w:val="00A62077"/>
    <w:pPr>
      <w:spacing w:line="240" w:lineRule="auto"/>
    </w:pPr>
    <w:rPr>
      <w:b/>
      <w:sz w:val="40"/>
    </w:rPr>
  </w:style>
  <w:style w:type="paragraph" w:customStyle="1" w:styleId="ActHead1">
    <w:name w:val="ActHead 1"/>
    <w:aliases w:val="c"/>
    <w:basedOn w:val="OPCParaBase"/>
    <w:next w:val="Normal"/>
    <w:qFormat/>
    <w:rsid w:val="00A6207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6207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6207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6207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6207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207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6207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6207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6207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62077"/>
  </w:style>
  <w:style w:type="paragraph" w:customStyle="1" w:styleId="Blocks">
    <w:name w:val="Blocks"/>
    <w:aliases w:val="bb"/>
    <w:basedOn w:val="OPCParaBase"/>
    <w:qFormat/>
    <w:rsid w:val="00A62077"/>
    <w:pPr>
      <w:spacing w:line="240" w:lineRule="auto"/>
    </w:pPr>
    <w:rPr>
      <w:sz w:val="24"/>
    </w:rPr>
  </w:style>
  <w:style w:type="paragraph" w:customStyle="1" w:styleId="BoxText">
    <w:name w:val="BoxText"/>
    <w:aliases w:val="bt"/>
    <w:basedOn w:val="OPCParaBase"/>
    <w:qFormat/>
    <w:rsid w:val="00A6207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62077"/>
    <w:rPr>
      <w:b/>
    </w:rPr>
  </w:style>
  <w:style w:type="paragraph" w:customStyle="1" w:styleId="BoxHeadItalic">
    <w:name w:val="BoxHeadItalic"/>
    <w:aliases w:val="bhi"/>
    <w:basedOn w:val="BoxText"/>
    <w:next w:val="BoxStep"/>
    <w:qFormat/>
    <w:rsid w:val="00A62077"/>
    <w:rPr>
      <w:i/>
    </w:rPr>
  </w:style>
  <w:style w:type="paragraph" w:customStyle="1" w:styleId="BoxList">
    <w:name w:val="BoxList"/>
    <w:aliases w:val="bl"/>
    <w:basedOn w:val="BoxText"/>
    <w:qFormat/>
    <w:rsid w:val="00A62077"/>
    <w:pPr>
      <w:ind w:left="1559" w:hanging="425"/>
    </w:pPr>
  </w:style>
  <w:style w:type="paragraph" w:customStyle="1" w:styleId="BoxNote">
    <w:name w:val="BoxNote"/>
    <w:aliases w:val="bn"/>
    <w:basedOn w:val="BoxText"/>
    <w:qFormat/>
    <w:rsid w:val="00A62077"/>
    <w:pPr>
      <w:tabs>
        <w:tab w:val="left" w:pos="1985"/>
      </w:tabs>
      <w:spacing w:before="122" w:line="198" w:lineRule="exact"/>
      <w:ind w:left="2948" w:hanging="1814"/>
    </w:pPr>
    <w:rPr>
      <w:sz w:val="18"/>
    </w:rPr>
  </w:style>
  <w:style w:type="paragraph" w:customStyle="1" w:styleId="BoxPara">
    <w:name w:val="BoxPara"/>
    <w:aliases w:val="bp"/>
    <w:basedOn w:val="BoxText"/>
    <w:qFormat/>
    <w:rsid w:val="00A62077"/>
    <w:pPr>
      <w:tabs>
        <w:tab w:val="right" w:pos="2268"/>
      </w:tabs>
      <w:ind w:left="2552" w:hanging="1418"/>
    </w:pPr>
  </w:style>
  <w:style w:type="paragraph" w:customStyle="1" w:styleId="BoxStep">
    <w:name w:val="BoxStep"/>
    <w:aliases w:val="bs"/>
    <w:basedOn w:val="BoxText"/>
    <w:qFormat/>
    <w:rsid w:val="00A62077"/>
    <w:pPr>
      <w:ind w:left="1985" w:hanging="851"/>
    </w:pPr>
  </w:style>
  <w:style w:type="character" w:customStyle="1" w:styleId="CharAmPartNo">
    <w:name w:val="CharAmPartNo"/>
    <w:basedOn w:val="OPCCharBase"/>
    <w:qFormat/>
    <w:rsid w:val="00A62077"/>
  </w:style>
  <w:style w:type="character" w:customStyle="1" w:styleId="CharAmPartText">
    <w:name w:val="CharAmPartText"/>
    <w:basedOn w:val="OPCCharBase"/>
    <w:qFormat/>
    <w:rsid w:val="00A62077"/>
  </w:style>
  <w:style w:type="character" w:customStyle="1" w:styleId="CharAmSchNo">
    <w:name w:val="CharAmSchNo"/>
    <w:basedOn w:val="OPCCharBase"/>
    <w:qFormat/>
    <w:rsid w:val="00A62077"/>
  </w:style>
  <w:style w:type="character" w:customStyle="1" w:styleId="CharAmSchText">
    <w:name w:val="CharAmSchText"/>
    <w:basedOn w:val="OPCCharBase"/>
    <w:qFormat/>
    <w:rsid w:val="00A62077"/>
  </w:style>
  <w:style w:type="character" w:customStyle="1" w:styleId="CharBoldItalic">
    <w:name w:val="CharBoldItalic"/>
    <w:basedOn w:val="OPCCharBase"/>
    <w:uiPriority w:val="1"/>
    <w:qFormat/>
    <w:rsid w:val="00A62077"/>
    <w:rPr>
      <w:b/>
      <w:i/>
    </w:rPr>
  </w:style>
  <w:style w:type="character" w:customStyle="1" w:styleId="CharChapNo">
    <w:name w:val="CharChapNo"/>
    <w:basedOn w:val="OPCCharBase"/>
    <w:uiPriority w:val="1"/>
    <w:qFormat/>
    <w:rsid w:val="00A62077"/>
  </w:style>
  <w:style w:type="character" w:customStyle="1" w:styleId="CharChapText">
    <w:name w:val="CharChapText"/>
    <w:basedOn w:val="OPCCharBase"/>
    <w:uiPriority w:val="1"/>
    <w:qFormat/>
    <w:rsid w:val="00A62077"/>
  </w:style>
  <w:style w:type="character" w:customStyle="1" w:styleId="CharDivNo">
    <w:name w:val="CharDivNo"/>
    <w:basedOn w:val="OPCCharBase"/>
    <w:uiPriority w:val="1"/>
    <w:qFormat/>
    <w:rsid w:val="00A62077"/>
  </w:style>
  <w:style w:type="character" w:customStyle="1" w:styleId="CharDivText">
    <w:name w:val="CharDivText"/>
    <w:basedOn w:val="OPCCharBase"/>
    <w:uiPriority w:val="1"/>
    <w:qFormat/>
    <w:rsid w:val="00A62077"/>
  </w:style>
  <w:style w:type="character" w:customStyle="1" w:styleId="CharItalic">
    <w:name w:val="CharItalic"/>
    <w:basedOn w:val="OPCCharBase"/>
    <w:uiPriority w:val="1"/>
    <w:qFormat/>
    <w:rsid w:val="00A62077"/>
    <w:rPr>
      <w:i/>
    </w:rPr>
  </w:style>
  <w:style w:type="character" w:customStyle="1" w:styleId="CharPartNo">
    <w:name w:val="CharPartNo"/>
    <w:basedOn w:val="OPCCharBase"/>
    <w:uiPriority w:val="1"/>
    <w:qFormat/>
    <w:rsid w:val="00A62077"/>
  </w:style>
  <w:style w:type="character" w:customStyle="1" w:styleId="CharPartText">
    <w:name w:val="CharPartText"/>
    <w:basedOn w:val="OPCCharBase"/>
    <w:uiPriority w:val="1"/>
    <w:qFormat/>
    <w:rsid w:val="00A62077"/>
  </w:style>
  <w:style w:type="character" w:customStyle="1" w:styleId="CharSectno">
    <w:name w:val="CharSectno"/>
    <w:basedOn w:val="OPCCharBase"/>
    <w:qFormat/>
    <w:rsid w:val="00A62077"/>
  </w:style>
  <w:style w:type="character" w:customStyle="1" w:styleId="CharSubdNo">
    <w:name w:val="CharSubdNo"/>
    <w:basedOn w:val="OPCCharBase"/>
    <w:uiPriority w:val="1"/>
    <w:qFormat/>
    <w:rsid w:val="00A62077"/>
  </w:style>
  <w:style w:type="character" w:customStyle="1" w:styleId="CharSubdText">
    <w:name w:val="CharSubdText"/>
    <w:basedOn w:val="OPCCharBase"/>
    <w:uiPriority w:val="1"/>
    <w:qFormat/>
    <w:rsid w:val="00A62077"/>
  </w:style>
  <w:style w:type="paragraph" w:customStyle="1" w:styleId="CTA--">
    <w:name w:val="CTA --"/>
    <w:basedOn w:val="OPCParaBase"/>
    <w:next w:val="Normal"/>
    <w:rsid w:val="00A62077"/>
    <w:pPr>
      <w:spacing w:before="60" w:line="240" w:lineRule="atLeast"/>
      <w:ind w:left="142" w:hanging="142"/>
    </w:pPr>
    <w:rPr>
      <w:sz w:val="20"/>
    </w:rPr>
  </w:style>
  <w:style w:type="paragraph" w:customStyle="1" w:styleId="CTA-">
    <w:name w:val="CTA -"/>
    <w:basedOn w:val="OPCParaBase"/>
    <w:rsid w:val="00A62077"/>
    <w:pPr>
      <w:spacing w:before="60" w:line="240" w:lineRule="atLeast"/>
      <w:ind w:left="85" w:hanging="85"/>
    </w:pPr>
    <w:rPr>
      <w:sz w:val="20"/>
    </w:rPr>
  </w:style>
  <w:style w:type="paragraph" w:customStyle="1" w:styleId="CTA---">
    <w:name w:val="CTA ---"/>
    <w:basedOn w:val="OPCParaBase"/>
    <w:next w:val="Normal"/>
    <w:rsid w:val="00A62077"/>
    <w:pPr>
      <w:spacing w:before="60" w:line="240" w:lineRule="atLeast"/>
      <w:ind w:left="198" w:hanging="198"/>
    </w:pPr>
    <w:rPr>
      <w:sz w:val="20"/>
    </w:rPr>
  </w:style>
  <w:style w:type="paragraph" w:customStyle="1" w:styleId="CTA----">
    <w:name w:val="CTA ----"/>
    <w:basedOn w:val="OPCParaBase"/>
    <w:next w:val="Normal"/>
    <w:rsid w:val="00A62077"/>
    <w:pPr>
      <w:spacing w:before="60" w:line="240" w:lineRule="atLeast"/>
      <w:ind w:left="255" w:hanging="255"/>
    </w:pPr>
    <w:rPr>
      <w:sz w:val="20"/>
    </w:rPr>
  </w:style>
  <w:style w:type="paragraph" w:customStyle="1" w:styleId="CTA1a">
    <w:name w:val="CTA 1(a)"/>
    <w:basedOn w:val="OPCParaBase"/>
    <w:rsid w:val="00A62077"/>
    <w:pPr>
      <w:tabs>
        <w:tab w:val="right" w:pos="414"/>
      </w:tabs>
      <w:spacing w:before="40" w:line="240" w:lineRule="atLeast"/>
      <w:ind w:left="675" w:hanging="675"/>
    </w:pPr>
    <w:rPr>
      <w:sz w:val="20"/>
    </w:rPr>
  </w:style>
  <w:style w:type="paragraph" w:customStyle="1" w:styleId="CTA1ai">
    <w:name w:val="CTA 1(a)(i)"/>
    <w:basedOn w:val="OPCParaBase"/>
    <w:rsid w:val="00A62077"/>
    <w:pPr>
      <w:tabs>
        <w:tab w:val="right" w:pos="1004"/>
      </w:tabs>
      <w:spacing w:before="40" w:line="240" w:lineRule="atLeast"/>
      <w:ind w:left="1253" w:hanging="1253"/>
    </w:pPr>
    <w:rPr>
      <w:sz w:val="20"/>
    </w:rPr>
  </w:style>
  <w:style w:type="paragraph" w:customStyle="1" w:styleId="CTA2a">
    <w:name w:val="CTA 2(a)"/>
    <w:basedOn w:val="OPCParaBase"/>
    <w:rsid w:val="00A62077"/>
    <w:pPr>
      <w:tabs>
        <w:tab w:val="right" w:pos="482"/>
      </w:tabs>
      <w:spacing w:before="40" w:line="240" w:lineRule="atLeast"/>
      <w:ind w:left="748" w:hanging="748"/>
    </w:pPr>
    <w:rPr>
      <w:sz w:val="20"/>
    </w:rPr>
  </w:style>
  <w:style w:type="paragraph" w:customStyle="1" w:styleId="CTA2ai">
    <w:name w:val="CTA 2(a)(i)"/>
    <w:basedOn w:val="OPCParaBase"/>
    <w:rsid w:val="00A62077"/>
    <w:pPr>
      <w:tabs>
        <w:tab w:val="right" w:pos="1089"/>
      </w:tabs>
      <w:spacing w:before="40" w:line="240" w:lineRule="atLeast"/>
      <w:ind w:left="1327" w:hanging="1327"/>
    </w:pPr>
    <w:rPr>
      <w:sz w:val="20"/>
    </w:rPr>
  </w:style>
  <w:style w:type="paragraph" w:customStyle="1" w:styleId="CTA3a">
    <w:name w:val="CTA 3(a)"/>
    <w:basedOn w:val="OPCParaBase"/>
    <w:rsid w:val="00A62077"/>
    <w:pPr>
      <w:tabs>
        <w:tab w:val="right" w:pos="556"/>
      </w:tabs>
      <w:spacing w:before="40" w:line="240" w:lineRule="atLeast"/>
      <w:ind w:left="805" w:hanging="805"/>
    </w:pPr>
    <w:rPr>
      <w:sz w:val="20"/>
    </w:rPr>
  </w:style>
  <w:style w:type="paragraph" w:customStyle="1" w:styleId="CTA3ai">
    <w:name w:val="CTA 3(a)(i)"/>
    <w:basedOn w:val="OPCParaBase"/>
    <w:rsid w:val="00A62077"/>
    <w:pPr>
      <w:tabs>
        <w:tab w:val="right" w:pos="1140"/>
      </w:tabs>
      <w:spacing w:before="40" w:line="240" w:lineRule="atLeast"/>
      <w:ind w:left="1361" w:hanging="1361"/>
    </w:pPr>
    <w:rPr>
      <w:sz w:val="20"/>
    </w:rPr>
  </w:style>
  <w:style w:type="paragraph" w:customStyle="1" w:styleId="CTA4a">
    <w:name w:val="CTA 4(a)"/>
    <w:basedOn w:val="OPCParaBase"/>
    <w:rsid w:val="00A62077"/>
    <w:pPr>
      <w:tabs>
        <w:tab w:val="right" w:pos="624"/>
      </w:tabs>
      <w:spacing w:before="40" w:line="240" w:lineRule="atLeast"/>
      <w:ind w:left="873" w:hanging="873"/>
    </w:pPr>
    <w:rPr>
      <w:sz w:val="20"/>
    </w:rPr>
  </w:style>
  <w:style w:type="paragraph" w:customStyle="1" w:styleId="CTA4ai">
    <w:name w:val="CTA 4(a)(i)"/>
    <w:basedOn w:val="OPCParaBase"/>
    <w:rsid w:val="00A62077"/>
    <w:pPr>
      <w:tabs>
        <w:tab w:val="right" w:pos="1213"/>
      </w:tabs>
      <w:spacing w:before="40" w:line="240" w:lineRule="atLeast"/>
      <w:ind w:left="1452" w:hanging="1452"/>
    </w:pPr>
    <w:rPr>
      <w:sz w:val="20"/>
    </w:rPr>
  </w:style>
  <w:style w:type="paragraph" w:customStyle="1" w:styleId="CTACAPS">
    <w:name w:val="CTA CAPS"/>
    <w:basedOn w:val="OPCParaBase"/>
    <w:rsid w:val="00A62077"/>
    <w:pPr>
      <w:spacing w:before="60" w:line="240" w:lineRule="atLeast"/>
    </w:pPr>
    <w:rPr>
      <w:sz w:val="20"/>
    </w:rPr>
  </w:style>
  <w:style w:type="paragraph" w:customStyle="1" w:styleId="CTAright">
    <w:name w:val="CTA right"/>
    <w:basedOn w:val="OPCParaBase"/>
    <w:rsid w:val="00A62077"/>
    <w:pPr>
      <w:spacing w:before="60" w:line="240" w:lineRule="auto"/>
      <w:jc w:val="right"/>
    </w:pPr>
    <w:rPr>
      <w:sz w:val="20"/>
    </w:rPr>
  </w:style>
  <w:style w:type="paragraph" w:customStyle="1" w:styleId="subsection">
    <w:name w:val="subsection"/>
    <w:aliases w:val="ss"/>
    <w:basedOn w:val="OPCParaBase"/>
    <w:link w:val="subsectionChar"/>
    <w:rsid w:val="00A62077"/>
    <w:pPr>
      <w:tabs>
        <w:tab w:val="right" w:pos="1021"/>
      </w:tabs>
      <w:spacing w:before="180" w:line="240" w:lineRule="auto"/>
      <w:ind w:left="1134" w:hanging="1134"/>
    </w:pPr>
  </w:style>
  <w:style w:type="paragraph" w:customStyle="1" w:styleId="Definition">
    <w:name w:val="Definition"/>
    <w:aliases w:val="dd"/>
    <w:basedOn w:val="OPCParaBase"/>
    <w:rsid w:val="00A62077"/>
    <w:pPr>
      <w:spacing w:before="180" w:line="240" w:lineRule="auto"/>
      <w:ind w:left="1134"/>
    </w:pPr>
  </w:style>
  <w:style w:type="paragraph" w:customStyle="1" w:styleId="ETAsubitem">
    <w:name w:val="ETA(subitem)"/>
    <w:basedOn w:val="OPCParaBase"/>
    <w:rsid w:val="00A62077"/>
    <w:pPr>
      <w:tabs>
        <w:tab w:val="right" w:pos="340"/>
      </w:tabs>
      <w:spacing w:before="60" w:line="240" w:lineRule="auto"/>
      <w:ind w:left="454" w:hanging="454"/>
    </w:pPr>
    <w:rPr>
      <w:sz w:val="20"/>
    </w:rPr>
  </w:style>
  <w:style w:type="paragraph" w:customStyle="1" w:styleId="ETApara">
    <w:name w:val="ETA(para)"/>
    <w:basedOn w:val="OPCParaBase"/>
    <w:rsid w:val="00A62077"/>
    <w:pPr>
      <w:tabs>
        <w:tab w:val="right" w:pos="754"/>
      </w:tabs>
      <w:spacing w:before="60" w:line="240" w:lineRule="auto"/>
      <w:ind w:left="828" w:hanging="828"/>
    </w:pPr>
    <w:rPr>
      <w:sz w:val="20"/>
    </w:rPr>
  </w:style>
  <w:style w:type="paragraph" w:customStyle="1" w:styleId="ETAsubpara">
    <w:name w:val="ETA(subpara)"/>
    <w:basedOn w:val="OPCParaBase"/>
    <w:rsid w:val="00A62077"/>
    <w:pPr>
      <w:tabs>
        <w:tab w:val="right" w:pos="1083"/>
      </w:tabs>
      <w:spacing w:before="60" w:line="240" w:lineRule="auto"/>
      <w:ind w:left="1191" w:hanging="1191"/>
    </w:pPr>
    <w:rPr>
      <w:sz w:val="20"/>
    </w:rPr>
  </w:style>
  <w:style w:type="paragraph" w:customStyle="1" w:styleId="ETAsub-subpara">
    <w:name w:val="ETA(sub-subpara)"/>
    <w:basedOn w:val="OPCParaBase"/>
    <w:rsid w:val="00A62077"/>
    <w:pPr>
      <w:tabs>
        <w:tab w:val="right" w:pos="1412"/>
      </w:tabs>
      <w:spacing w:before="60" w:line="240" w:lineRule="auto"/>
      <w:ind w:left="1525" w:hanging="1525"/>
    </w:pPr>
    <w:rPr>
      <w:sz w:val="20"/>
    </w:rPr>
  </w:style>
  <w:style w:type="paragraph" w:customStyle="1" w:styleId="Formula">
    <w:name w:val="Formula"/>
    <w:basedOn w:val="OPCParaBase"/>
    <w:rsid w:val="00A62077"/>
    <w:pPr>
      <w:spacing w:line="240" w:lineRule="auto"/>
      <w:ind w:left="1134"/>
    </w:pPr>
    <w:rPr>
      <w:sz w:val="20"/>
    </w:rPr>
  </w:style>
  <w:style w:type="paragraph" w:styleId="Header">
    <w:name w:val="header"/>
    <w:basedOn w:val="OPCParaBase"/>
    <w:link w:val="HeaderChar"/>
    <w:unhideWhenUsed/>
    <w:rsid w:val="00A6207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62077"/>
    <w:rPr>
      <w:rFonts w:eastAsia="Times New Roman" w:cs="Times New Roman"/>
      <w:sz w:val="16"/>
      <w:lang w:eastAsia="en-AU"/>
    </w:rPr>
  </w:style>
  <w:style w:type="paragraph" w:customStyle="1" w:styleId="House">
    <w:name w:val="House"/>
    <w:basedOn w:val="OPCParaBase"/>
    <w:rsid w:val="00A62077"/>
    <w:pPr>
      <w:spacing w:line="240" w:lineRule="auto"/>
    </w:pPr>
    <w:rPr>
      <w:sz w:val="28"/>
    </w:rPr>
  </w:style>
  <w:style w:type="paragraph" w:customStyle="1" w:styleId="Item">
    <w:name w:val="Item"/>
    <w:aliases w:val="i"/>
    <w:basedOn w:val="OPCParaBase"/>
    <w:next w:val="ItemHead"/>
    <w:link w:val="ItemChar"/>
    <w:rsid w:val="00A62077"/>
    <w:pPr>
      <w:keepLines/>
      <w:spacing w:before="80" w:line="240" w:lineRule="auto"/>
      <w:ind w:left="709"/>
    </w:pPr>
  </w:style>
  <w:style w:type="paragraph" w:customStyle="1" w:styleId="ItemHead">
    <w:name w:val="ItemHead"/>
    <w:aliases w:val="ih"/>
    <w:basedOn w:val="OPCParaBase"/>
    <w:next w:val="Item"/>
    <w:link w:val="ItemHeadChar"/>
    <w:rsid w:val="00A6207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62077"/>
    <w:pPr>
      <w:spacing w:line="240" w:lineRule="auto"/>
    </w:pPr>
    <w:rPr>
      <w:b/>
      <w:sz w:val="32"/>
    </w:rPr>
  </w:style>
  <w:style w:type="paragraph" w:customStyle="1" w:styleId="notedraft">
    <w:name w:val="note(draft)"/>
    <w:aliases w:val="nd"/>
    <w:basedOn w:val="OPCParaBase"/>
    <w:rsid w:val="00A62077"/>
    <w:pPr>
      <w:spacing w:before="240" w:line="240" w:lineRule="auto"/>
      <w:ind w:left="284" w:hanging="284"/>
    </w:pPr>
    <w:rPr>
      <w:i/>
      <w:sz w:val="24"/>
    </w:rPr>
  </w:style>
  <w:style w:type="paragraph" w:customStyle="1" w:styleId="notemargin">
    <w:name w:val="note(margin)"/>
    <w:aliases w:val="nm"/>
    <w:basedOn w:val="OPCParaBase"/>
    <w:rsid w:val="00A62077"/>
    <w:pPr>
      <w:tabs>
        <w:tab w:val="left" w:pos="709"/>
      </w:tabs>
      <w:spacing w:before="122" w:line="198" w:lineRule="exact"/>
      <w:ind w:left="709" w:hanging="709"/>
    </w:pPr>
    <w:rPr>
      <w:sz w:val="18"/>
    </w:rPr>
  </w:style>
  <w:style w:type="paragraph" w:customStyle="1" w:styleId="noteToPara">
    <w:name w:val="noteToPara"/>
    <w:aliases w:val="ntp"/>
    <w:basedOn w:val="OPCParaBase"/>
    <w:rsid w:val="00A62077"/>
    <w:pPr>
      <w:spacing w:before="122" w:line="198" w:lineRule="exact"/>
      <w:ind w:left="2353" w:hanging="709"/>
    </w:pPr>
    <w:rPr>
      <w:sz w:val="18"/>
    </w:rPr>
  </w:style>
  <w:style w:type="paragraph" w:customStyle="1" w:styleId="noteParlAmend">
    <w:name w:val="note(ParlAmend)"/>
    <w:aliases w:val="npp"/>
    <w:basedOn w:val="OPCParaBase"/>
    <w:next w:val="ParlAmend"/>
    <w:rsid w:val="00A62077"/>
    <w:pPr>
      <w:spacing w:line="240" w:lineRule="auto"/>
      <w:jc w:val="right"/>
    </w:pPr>
    <w:rPr>
      <w:rFonts w:ascii="Arial" w:hAnsi="Arial"/>
      <w:b/>
      <w:i/>
    </w:rPr>
  </w:style>
  <w:style w:type="paragraph" w:customStyle="1" w:styleId="Page1">
    <w:name w:val="Page1"/>
    <w:basedOn w:val="OPCParaBase"/>
    <w:rsid w:val="00A62077"/>
    <w:pPr>
      <w:spacing w:before="5600" w:line="240" w:lineRule="auto"/>
    </w:pPr>
    <w:rPr>
      <w:b/>
      <w:sz w:val="32"/>
    </w:rPr>
  </w:style>
  <w:style w:type="paragraph" w:customStyle="1" w:styleId="PageBreak">
    <w:name w:val="PageBreak"/>
    <w:aliases w:val="pb"/>
    <w:basedOn w:val="OPCParaBase"/>
    <w:rsid w:val="00A62077"/>
    <w:pPr>
      <w:spacing w:line="240" w:lineRule="auto"/>
    </w:pPr>
    <w:rPr>
      <w:sz w:val="20"/>
    </w:rPr>
  </w:style>
  <w:style w:type="paragraph" w:customStyle="1" w:styleId="paragraphsub">
    <w:name w:val="paragraph(sub)"/>
    <w:aliases w:val="aa"/>
    <w:basedOn w:val="OPCParaBase"/>
    <w:rsid w:val="00A62077"/>
    <w:pPr>
      <w:tabs>
        <w:tab w:val="right" w:pos="1985"/>
      </w:tabs>
      <w:spacing w:before="40" w:line="240" w:lineRule="auto"/>
      <w:ind w:left="2098" w:hanging="2098"/>
    </w:pPr>
  </w:style>
  <w:style w:type="paragraph" w:customStyle="1" w:styleId="paragraphsub-sub">
    <w:name w:val="paragraph(sub-sub)"/>
    <w:aliases w:val="aaa"/>
    <w:basedOn w:val="OPCParaBase"/>
    <w:rsid w:val="00A62077"/>
    <w:pPr>
      <w:tabs>
        <w:tab w:val="right" w:pos="2722"/>
      </w:tabs>
      <w:spacing w:before="40" w:line="240" w:lineRule="auto"/>
      <w:ind w:left="2835" w:hanging="2835"/>
    </w:pPr>
  </w:style>
  <w:style w:type="paragraph" w:customStyle="1" w:styleId="paragraph">
    <w:name w:val="paragraph"/>
    <w:aliases w:val="a"/>
    <w:basedOn w:val="OPCParaBase"/>
    <w:rsid w:val="00A62077"/>
    <w:pPr>
      <w:tabs>
        <w:tab w:val="right" w:pos="1531"/>
      </w:tabs>
      <w:spacing w:before="40" w:line="240" w:lineRule="auto"/>
      <w:ind w:left="1644" w:hanging="1644"/>
    </w:pPr>
  </w:style>
  <w:style w:type="paragraph" w:customStyle="1" w:styleId="ParlAmend">
    <w:name w:val="ParlAmend"/>
    <w:aliases w:val="pp"/>
    <w:basedOn w:val="OPCParaBase"/>
    <w:rsid w:val="00A62077"/>
    <w:pPr>
      <w:spacing w:before="240" w:line="240" w:lineRule="atLeast"/>
      <w:ind w:hanging="567"/>
    </w:pPr>
    <w:rPr>
      <w:sz w:val="24"/>
    </w:rPr>
  </w:style>
  <w:style w:type="paragraph" w:customStyle="1" w:styleId="Penalty">
    <w:name w:val="Penalty"/>
    <w:basedOn w:val="OPCParaBase"/>
    <w:rsid w:val="00A62077"/>
    <w:pPr>
      <w:tabs>
        <w:tab w:val="left" w:pos="2977"/>
      </w:tabs>
      <w:spacing w:before="180" w:line="240" w:lineRule="auto"/>
      <w:ind w:left="1985" w:hanging="851"/>
    </w:pPr>
  </w:style>
  <w:style w:type="paragraph" w:customStyle="1" w:styleId="Portfolio">
    <w:name w:val="Portfolio"/>
    <w:basedOn w:val="OPCParaBase"/>
    <w:rsid w:val="00A62077"/>
    <w:pPr>
      <w:spacing w:line="240" w:lineRule="auto"/>
    </w:pPr>
    <w:rPr>
      <w:i/>
      <w:sz w:val="20"/>
    </w:rPr>
  </w:style>
  <w:style w:type="paragraph" w:customStyle="1" w:styleId="Preamble">
    <w:name w:val="Preamble"/>
    <w:basedOn w:val="OPCParaBase"/>
    <w:next w:val="Normal"/>
    <w:rsid w:val="00A6207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62077"/>
    <w:pPr>
      <w:spacing w:line="240" w:lineRule="auto"/>
    </w:pPr>
    <w:rPr>
      <w:i/>
      <w:sz w:val="20"/>
    </w:rPr>
  </w:style>
  <w:style w:type="paragraph" w:customStyle="1" w:styleId="Session">
    <w:name w:val="Session"/>
    <w:basedOn w:val="OPCParaBase"/>
    <w:rsid w:val="00A62077"/>
    <w:pPr>
      <w:spacing w:line="240" w:lineRule="auto"/>
    </w:pPr>
    <w:rPr>
      <w:sz w:val="28"/>
    </w:rPr>
  </w:style>
  <w:style w:type="paragraph" w:customStyle="1" w:styleId="Sponsor">
    <w:name w:val="Sponsor"/>
    <w:basedOn w:val="OPCParaBase"/>
    <w:rsid w:val="00A62077"/>
    <w:pPr>
      <w:spacing w:line="240" w:lineRule="auto"/>
    </w:pPr>
    <w:rPr>
      <w:i/>
    </w:rPr>
  </w:style>
  <w:style w:type="paragraph" w:customStyle="1" w:styleId="Subitem">
    <w:name w:val="Subitem"/>
    <w:aliases w:val="iss"/>
    <w:basedOn w:val="OPCParaBase"/>
    <w:rsid w:val="00A62077"/>
    <w:pPr>
      <w:spacing w:before="180" w:line="240" w:lineRule="auto"/>
      <w:ind w:left="709" w:hanging="709"/>
    </w:pPr>
  </w:style>
  <w:style w:type="paragraph" w:customStyle="1" w:styleId="SubitemHead">
    <w:name w:val="SubitemHead"/>
    <w:aliases w:val="issh"/>
    <w:basedOn w:val="OPCParaBase"/>
    <w:rsid w:val="00A6207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62077"/>
    <w:pPr>
      <w:spacing w:before="40" w:line="240" w:lineRule="auto"/>
      <w:ind w:left="1134"/>
    </w:pPr>
  </w:style>
  <w:style w:type="paragraph" w:customStyle="1" w:styleId="SubsectionHead">
    <w:name w:val="SubsectionHead"/>
    <w:aliases w:val="ssh"/>
    <w:basedOn w:val="OPCParaBase"/>
    <w:next w:val="subsection"/>
    <w:rsid w:val="00A62077"/>
    <w:pPr>
      <w:keepNext/>
      <w:keepLines/>
      <w:spacing w:before="240" w:line="240" w:lineRule="auto"/>
      <w:ind w:left="1134"/>
    </w:pPr>
    <w:rPr>
      <w:i/>
    </w:rPr>
  </w:style>
  <w:style w:type="paragraph" w:customStyle="1" w:styleId="Tablea">
    <w:name w:val="Table(a)"/>
    <w:aliases w:val="ta"/>
    <w:basedOn w:val="OPCParaBase"/>
    <w:rsid w:val="00A62077"/>
    <w:pPr>
      <w:spacing w:before="60" w:line="240" w:lineRule="auto"/>
      <w:ind w:left="284" w:hanging="284"/>
    </w:pPr>
    <w:rPr>
      <w:sz w:val="20"/>
    </w:rPr>
  </w:style>
  <w:style w:type="paragraph" w:customStyle="1" w:styleId="TableAA">
    <w:name w:val="Table(AA)"/>
    <w:aliases w:val="taaa"/>
    <w:basedOn w:val="OPCParaBase"/>
    <w:rsid w:val="00A6207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6207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A62077"/>
    <w:pPr>
      <w:spacing w:before="60" w:line="240" w:lineRule="atLeast"/>
    </w:pPr>
    <w:rPr>
      <w:sz w:val="20"/>
    </w:rPr>
  </w:style>
  <w:style w:type="paragraph" w:customStyle="1" w:styleId="TLPBoxTextnote">
    <w:name w:val="TLPBoxText(note"/>
    <w:aliases w:val="right)"/>
    <w:basedOn w:val="OPCParaBase"/>
    <w:rsid w:val="00A620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6207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62077"/>
    <w:pPr>
      <w:spacing w:before="122" w:line="198" w:lineRule="exact"/>
      <w:ind w:left="1985" w:hanging="851"/>
      <w:jc w:val="right"/>
    </w:pPr>
    <w:rPr>
      <w:sz w:val="18"/>
    </w:rPr>
  </w:style>
  <w:style w:type="paragraph" w:customStyle="1" w:styleId="TLPTableBullet">
    <w:name w:val="TLPTableBullet"/>
    <w:aliases w:val="ttb"/>
    <w:basedOn w:val="OPCParaBase"/>
    <w:rsid w:val="00A62077"/>
    <w:pPr>
      <w:spacing w:line="240" w:lineRule="exact"/>
      <w:ind w:left="284" w:hanging="284"/>
    </w:pPr>
    <w:rPr>
      <w:sz w:val="20"/>
    </w:rPr>
  </w:style>
  <w:style w:type="paragraph" w:styleId="TOC1">
    <w:name w:val="toc 1"/>
    <w:basedOn w:val="OPCParaBase"/>
    <w:next w:val="Normal"/>
    <w:uiPriority w:val="39"/>
    <w:semiHidden/>
    <w:unhideWhenUsed/>
    <w:rsid w:val="00A6207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6207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6207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6207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23B2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6207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6207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6207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6207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62077"/>
    <w:pPr>
      <w:keepLines/>
      <w:spacing w:before="240" w:after="120" w:line="240" w:lineRule="auto"/>
      <w:ind w:left="794"/>
    </w:pPr>
    <w:rPr>
      <w:b/>
      <w:kern w:val="28"/>
      <w:sz w:val="20"/>
    </w:rPr>
  </w:style>
  <w:style w:type="paragraph" w:customStyle="1" w:styleId="TofSectsHeading">
    <w:name w:val="TofSects(Heading)"/>
    <w:basedOn w:val="OPCParaBase"/>
    <w:rsid w:val="00A62077"/>
    <w:pPr>
      <w:spacing w:before="240" w:after="120" w:line="240" w:lineRule="auto"/>
    </w:pPr>
    <w:rPr>
      <w:b/>
      <w:sz w:val="24"/>
    </w:rPr>
  </w:style>
  <w:style w:type="paragraph" w:customStyle="1" w:styleId="TofSectsSection">
    <w:name w:val="TofSects(Section)"/>
    <w:basedOn w:val="OPCParaBase"/>
    <w:rsid w:val="00A62077"/>
    <w:pPr>
      <w:keepLines/>
      <w:spacing w:before="40" w:line="240" w:lineRule="auto"/>
      <w:ind w:left="1588" w:hanging="794"/>
    </w:pPr>
    <w:rPr>
      <w:kern w:val="28"/>
      <w:sz w:val="18"/>
    </w:rPr>
  </w:style>
  <w:style w:type="paragraph" w:customStyle="1" w:styleId="TofSectsSubdiv">
    <w:name w:val="TofSects(Subdiv)"/>
    <w:basedOn w:val="OPCParaBase"/>
    <w:rsid w:val="00A62077"/>
    <w:pPr>
      <w:keepLines/>
      <w:spacing w:before="80" w:line="240" w:lineRule="auto"/>
      <w:ind w:left="1588" w:hanging="794"/>
    </w:pPr>
    <w:rPr>
      <w:kern w:val="28"/>
    </w:rPr>
  </w:style>
  <w:style w:type="paragraph" w:customStyle="1" w:styleId="WRStyle">
    <w:name w:val="WR Style"/>
    <w:aliases w:val="WR"/>
    <w:basedOn w:val="OPCParaBase"/>
    <w:rsid w:val="00A62077"/>
    <w:pPr>
      <w:spacing w:before="240" w:line="240" w:lineRule="auto"/>
      <w:ind w:left="284" w:hanging="284"/>
    </w:pPr>
    <w:rPr>
      <w:b/>
      <w:i/>
      <w:kern w:val="28"/>
      <w:sz w:val="24"/>
    </w:rPr>
  </w:style>
  <w:style w:type="paragraph" w:customStyle="1" w:styleId="notepara">
    <w:name w:val="note(para)"/>
    <w:aliases w:val="na"/>
    <w:basedOn w:val="OPCParaBase"/>
    <w:rsid w:val="00A62077"/>
    <w:pPr>
      <w:spacing w:before="40" w:line="198" w:lineRule="exact"/>
      <w:ind w:left="2354" w:hanging="369"/>
    </w:pPr>
    <w:rPr>
      <w:sz w:val="18"/>
    </w:rPr>
  </w:style>
  <w:style w:type="paragraph" w:styleId="Footer">
    <w:name w:val="footer"/>
    <w:link w:val="FooterChar"/>
    <w:rsid w:val="00A6207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62077"/>
    <w:rPr>
      <w:rFonts w:eastAsia="Times New Roman" w:cs="Times New Roman"/>
      <w:sz w:val="22"/>
      <w:szCs w:val="24"/>
      <w:lang w:eastAsia="en-AU"/>
    </w:rPr>
  </w:style>
  <w:style w:type="character" w:styleId="LineNumber">
    <w:name w:val="line number"/>
    <w:basedOn w:val="OPCCharBase"/>
    <w:uiPriority w:val="99"/>
    <w:semiHidden/>
    <w:unhideWhenUsed/>
    <w:rsid w:val="00A62077"/>
    <w:rPr>
      <w:sz w:val="16"/>
    </w:rPr>
  </w:style>
  <w:style w:type="table" w:customStyle="1" w:styleId="CFlag">
    <w:name w:val="CFlag"/>
    <w:basedOn w:val="TableNormal"/>
    <w:uiPriority w:val="99"/>
    <w:rsid w:val="00A62077"/>
    <w:rPr>
      <w:rFonts w:eastAsia="Times New Roman" w:cs="Times New Roman"/>
      <w:lang w:eastAsia="en-AU"/>
    </w:rPr>
    <w:tblPr/>
  </w:style>
  <w:style w:type="paragraph" w:customStyle="1" w:styleId="NotesHeading1">
    <w:name w:val="NotesHeading 1"/>
    <w:basedOn w:val="OPCParaBase"/>
    <w:next w:val="Normal"/>
    <w:rsid w:val="00A62077"/>
    <w:rPr>
      <w:b/>
      <w:sz w:val="28"/>
      <w:szCs w:val="28"/>
    </w:rPr>
  </w:style>
  <w:style w:type="paragraph" w:customStyle="1" w:styleId="NotesHeading2">
    <w:name w:val="NotesHeading 2"/>
    <w:basedOn w:val="OPCParaBase"/>
    <w:next w:val="Normal"/>
    <w:rsid w:val="00A62077"/>
    <w:rPr>
      <w:b/>
      <w:sz w:val="28"/>
      <w:szCs w:val="28"/>
    </w:rPr>
  </w:style>
  <w:style w:type="paragraph" w:customStyle="1" w:styleId="SignCoverPageEnd">
    <w:name w:val="SignCoverPageEnd"/>
    <w:basedOn w:val="OPCParaBase"/>
    <w:next w:val="Normal"/>
    <w:rsid w:val="00A6207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62077"/>
    <w:pPr>
      <w:pBdr>
        <w:top w:val="single" w:sz="4" w:space="1" w:color="auto"/>
      </w:pBdr>
      <w:spacing w:before="360"/>
      <w:ind w:right="397"/>
      <w:jc w:val="both"/>
    </w:pPr>
  </w:style>
  <w:style w:type="paragraph" w:customStyle="1" w:styleId="Paragraphsub-sub-sub">
    <w:name w:val="Paragraph(sub-sub-sub)"/>
    <w:aliases w:val="aaaa"/>
    <w:basedOn w:val="OPCParaBase"/>
    <w:rsid w:val="00A6207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6207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6207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6207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6207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62077"/>
    <w:pPr>
      <w:spacing w:before="120"/>
    </w:pPr>
  </w:style>
  <w:style w:type="paragraph" w:customStyle="1" w:styleId="TableTextEndNotes">
    <w:name w:val="TableTextEndNotes"/>
    <w:aliases w:val="Tten"/>
    <w:basedOn w:val="Normal"/>
    <w:rsid w:val="00A62077"/>
    <w:pPr>
      <w:spacing w:before="60" w:line="240" w:lineRule="auto"/>
    </w:pPr>
    <w:rPr>
      <w:rFonts w:cs="Arial"/>
      <w:sz w:val="20"/>
      <w:szCs w:val="22"/>
    </w:rPr>
  </w:style>
  <w:style w:type="paragraph" w:customStyle="1" w:styleId="TableHeading">
    <w:name w:val="TableHeading"/>
    <w:aliases w:val="th"/>
    <w:basedOn w:val="OPCParaBase"/>
    <w:next w:val="Tabletext"/>
    <w:rsid w:val="00A62077"/>
    <w:pPr>
      <w:keepNext/>
      <w:spacing w:before="60" w:line="240" w:lineRule="atLeast"/>
    </w:pPr>
    <w:rPr>
      <w:b/>
      <w:sz w:val="20"/>
    </w:rPr>
  </w:style>
  <w:style w:type="paragraph" w:customStyle="1" w:styleId="NoteToSubpara">
    <w:name w:val="NoteToSubpara"/>
    <w:aliases w:val="nts"/>
    <w:basedOn w:val="OPCParaBase"/>
    <w:rsid w:val="00A62077"/>
    <w:pPr>
      <w:spacing w:before="40" w:line="198" w:lineRule="exact"/>
      <w:ind w:left="2835" w:hanging="709"/>
    </w:pPr>
    <w:rPr>
      <w:sz w:val="18"/>
    </w:rPr>
  </w:style>
  <w:style w:type="paragraph" w:customStyle="1" w:styleId="ENoteTableHeading">
    <w:name w:val="ENoteTableHeading"/>
    <w:aliases w:val="enth"/>
    <w:basedOn w:val="OPCParaBase"/>
    <w:rsid w:val="00A62077"/>
    <w:pPr>
      <w:keepNext/>
      <w:spacing w:before="60" w:line="240" w:lineRule="atLeast"/>
    </w:pPr>
    <w:rPr>
      <w:rFonts w:ascii="Arial" w:hAnsi="Arial"/>
      <w:b/>
      <w:sz w:val="16"/>
    </w:rPr>
  </w:style>
  <w:style w:type="paragraph" w:customStyle="1" w:styleId="ENoteTTi">
    <w:name w:val="ENoteTTi"/>
    <w:aliases w:val="entti"/>
    <w:basedOn w:val="OPCParaBase"/>
    <w:rsid w:val="00A62077"/>
    <w:pPr>
      <w:keepNext/>
      <w:spacing w:before="60" w:line="240" w:lineRule="atLeast"/>
      <w:ind w:left="170"/>
    </w:pPr>
    <w:rPr>
      <w:sz w:val="16"/>
    </w:rPr>
  </w:style>
  <w:style w:type="paragraph" w:customStyle="1" w:styleId="ENotesHeading1">
    <w:name w:val="ENotesHeading 1"/>
    <w:aliases w:val="Enh1"/>
    <w:basedOn w:val="OPCParaBase"/>
    <w:next w:val="Normal"/>
    <w:rsid w:val="00A62077"/>
    <w:pPr>
      <w:spacing w:before="120"/>
      <w:outlineLvl w:val="1"/>
    </w:pPr>
    <w:rPr>
      <w:b/>
      <w:sz w:val="28"/>
      <w:szCs w:val="28"/>
    </w:rPr>
  </w:style>
  <w:style w:type="paragraph" w:customStyle="1" w:styleId="ENotesHeading2">
    <w:name w:val="ENotesHeading 2"/>
    <w:aliases w:val="Enh2"/>
    <w:basedOn w:val="OPCParaBase"/>
    <w:next w:val="Normal"/>
    <w:rsid w:val="00A62077"/>
    <w:pPr>
      <w:spacing w:before="120" w:after="120"/>
      <w:outlineLvl w:val="2"/>
    </w:pPr>
    <w:rPr>
      <w:b/>
      <w:sz w:val="24"/>
      <w:szCs w:val="28"/>
    </w:rPr>
  </w:style>
  <w:style w:type="paragraph" w:customStyle="1" w:styleId="ENoteTTIndentHeading">
    <w:name w:val="ENoteTTIndentHeading"/>
    <w:aliases w:val="enTTHi"/>
    <w:basedOn w:val="OPCParaBase"/>
    <w:rsid w:val="00A6207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62077"/>
    <w:pPr>
      <w:spacing w:before="60" w:line="240" w:lineRule="atLeast"/>
    </w:pPr>
    <w:rPr>
      <w:sz w:val="16"/>
    </w:rPr>
  </w:style>
  <w:style w:type="paragraph" w:customStyle="1" w:styleId="MadeunderText">
    <w:name w:val="MadeunderText"/>
    <w:basedOn w:val="OPCParaBase"/>
    <w:next w:val="Normal"/>
    <w:rsid w:val="00A62077"/>
    <w:pPr>
      <w:spacing w:before="240"/>
    </w:pPr>
    <w:rPr>
      <w:sz w:val="24"/>
      <w:szCs w:val="24"/>
    </w:rPr>
  </w:style>
  <w:style w:type="paragraph" w:customStyle="1" w:styleId="ENotesHeading3">
    <w:name w:val="ENotesHeading 3"/>
    <w:aliases w:val="Enh3"/>
    <w:basedOn w:val="OPCParaBase"/>
    <w:next w:val="Normal"/>
    <w:rsid w:val="00A62077"/>
    <w:pPr>
      <w:keepNext/>
      <w:spacing w:before="120" w:line="240" w:lineRule="auto"/>
      <w:outlineLvl w:val="4"/>
    </w:pPr>
    <w:rPr>
      <w:b/>
      <w:szCs w:val="24"/>
    </w:rPr>
  </w:style>
  <w:style w:type="paragraph" w:customStyle="1" w:styleId="SubPartCASA">
    <w:name w:val="SubPart(CASA)"/>
    <w:aliases w:val="csp"/>
    <w:basedOn w:val="OPCParaBase"/>
    <w:next w:val="ActHead3"/>
    <w:rsid w:val="00A6207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62077"/>
  </w:style>
  <w:style w:type="character" w:customStyle="1" w:styleId="CharSubPartNoCASA">
    <w:name w:val="CharSubPartNo(CASA)"/>
    <w:basedOn w:val="OPCCharBase"/>
    <w:uiPriority w:val="1"/>
    <w:rsid w:val="00A62077"/>
  </w:style>
  <w:style w:type="paragraph" w:customStyle="1" w:styleId="ENoteTTIndentHeadingSub">
    <w:name w:val="ENoteTTIndentHeadingSub"/>
    <w:aliases w:val="enTTHis"/>
    <w:basedOn w:val="OPCParaBase"/>
    <w:rsid w:val="00A62077"/>
    <w:pPr>
      <w:keepNext/>
      <w:spacing w:before="60" w:line="240" w:lineRule="atLeast"/>
      <w:ind w:left="340"/>
    </w:pPr>
    <w:rPr>
      <w:b/>
      <w:sz w:val="16"/>
    </w:rPr>
  </w:style>
  <w:style w:type="paragraph" w:customStyle="1" w:styleId="ENoteTTiSub">
    <w:name w:val="ENoteTTiSub"/>
    <w:aliases w:val="enttis"/>
    <w:basedOn w:val="OPCParaBase"/>
    <w:rsid w:val="00A62077"/>
    <w:pPr>
      <w:keepNext/>
      <w:spacing w:before="60" w:line="240" w:lineRule="atLeast"/>
      <w:ind w:left="340"/>
    </w:pPr>
    <w:rPr>
      <w:sz w:val="16"/>
    </w:rPr>
  </w:style>
  <w:style w:type="paragraph" w:customStyle="1" w:styleId="SubDivisionMigration">
    <w:name w:val="SubDivisionMigration"/>
    <w:aliases w:val="sdm"/>
    <w:basedOn w:val="OPCParaBase"/>
    <w:rsid w:val="00A6207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62077"/>
    <w:pPr>
      <w:keepNext/>
      <w:keepLines/>
      <w:spacing w:before="240" w:line="240" w:lineRule="auto"/>
      <w:ind w:left="1134" w:hanging="1134"/>
    </w:pPr>
    <w:rPr>
      <w:b/>
      <w:sz w:val="28"/>
    </w:rPr>
  </w:style>
  <w:style w:type="table" w:styleId="TableGrid">
    <w:name w:val="Table Grid"/>
    <w:basedOn w:val="TableNormal"/>
    <w:uiPriority w:val="59"/>
    <w:rsid w:val="00A62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A62077"/>
    <w:pPr>
      <w:spacing w:before="122" w:line="240" w:lineRule="auto"/>
      <w:ind w:left="1985" w:hanging="851"/>
    </w:pPr>
    <w:rPr>
      <w:sz w:val="18"/>
    </w:rPr>
  </w:style>
  <w:style w:type="paragraph" w:customStyle="1" w:styleId="FreeForm">
    <w:name w:val="FreeForm"/>
    <w:rsid w:val="00A62077"/>
    <w:rPr>
      <w:rFonts w:ascii="Arial" w:hAnsi="Arial"/>
      <w:sz w:val="22"/>
    </w:rPr>
  </w:style>
  <w:style w:type="paragraph" w:customStyle="1" w:styleId="SOText">
    <w:name w:val="SO Text"/>
    <w:aliases w:val="sot"/>
    <w:link w:val="SOTextChar"/>
    <w:rsid w:val="00A6207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62077"/>
    <w:rPr>
      <w:sz w:val="22"/>
    </w:rPr>
  </w:style>
  <w:style w:type="paragraph" w:customStyle="1" w:styleId="SOTextNote">
    <w:name w:val="SO TextNote"/>
    <w:aliases w:val="sont"/>
    <w:basedOn w:val="SOText"/>
    <w:qFormat/>
    <w:rsid w:val="00A62077"/>
    <w:pPr>
      <w:spacing w:before="122" w:line="198" w:lineRule="exact"/>
      <w:ind w:left="1843" w:hanging="709"/>
    </w:pPr>
    <w:rPr>
      <w:sz w:val="18"/>
    </w:rPr>
  </w:style>
  <w:style w:type="paragraph" w:customStyle="1" w:styleId="SOPara">
    <w:name w:val="SO Para"/>
    <w:aliases w:val="soa"/>
    <w:basedOn w:val="SOText"/>
    <w:link w:val="SOParaChar"/>
    <w:qFormat/>
    <w:rsid w:val="00A62077"/>
    <w:pPr>
      <w:tabs>
        <w:tab w:val="right" w:pos="1786"/>
      </w:tabs>
      <w:spacing w:before="40"/>
      <w:ind w:left="2070" w:hanging="936"/>
    </w:pPr>
  </w:style>
  <w:style w:type="character" w:customStyle="1" w:styleId="SOParaChar">
    <w:name w:val="SO Para Char"/>
    <w:aliases w:val="soa Char"/>
    <w:basedOn w:val="DefaultParagraphFont"/>
    <w:link w:val="SOPara"/>
    <w:rsid w:val="00A62077"/>
    <w:rPr>
      <w:sz w:val="22"/>
    </w:rPr>
  </w:style>
  <w:style w:type="paragraph" w:customStyle="1" w:styleId="FileName">
    <w:name w:val="FileName"/>
    <w:basedOn w:val="Normal"/>
    <w:rsid w:val="00A62077"/>
  </w:style>
  <w:style w:type="paragraph" w:customStyle="1" w:styleId="SOHeadBold">
    <w:name w:val="SO HeadBold"/>
    <w:aliases w:val="sohb"/>
    <w:basedOn w:val="SOText"/>
    <w:next w:val="SOText"/>
    <w:link w:val="SOHeadBoldChar"/>
    <w:qFormat/>
    <w:rsid w:val="00A62077"/>
    <w:rPr>
      <w:b/>
    </w:rPr>
  </w:style>
  <w:style w:type="character" w:customStyle="1" w:styleId="SOHeadBoldChar">
    <w:name w:val="SO HeadBold Char"/>
    <w:aliases w:val="sohb Char"/>
    <w:basedOn w:val="DefaultParagraphFont"/>
    <w:link w:val="SOHeadBold"/>
    <w:rsid w:val="00A62077"/>
    <w:rPr>
      <w:b/>
      <w:sz w:val="22"/>
    </w:rPr>
  </w:style>
  <w:style w:type="paragraph" w:customStyle="1" w:styleId="SOHeadItalic">
    <w:name w:val="SO HeadItalic"/>
    <w:aliases w:val="sohi"/>
    <w:basedOn w:val="SOText"/>
    <w:next w:val="SOText"/>
    <w:link w:val="SOHeadItalicChar"/>
    <w:qFormat/>
    <w:rsid w:val="00A62077"/>
    <w:rPr>
      <w:i/>
    </w:rPr>
  </w:style>
  <w:style w:type="character" w:customStyle="1" w:styleId="SOHeadItalicChar">
    <w:name w:val="SO HeadItalic Char"/>
    <w:aliases w:val="sohi Char"/>
    <w:basedOn w:val="DefaultParagraphFont"/>
    <w:link w:val="SOHeadItalic"/>
    <w:rsid w:val="00A62077"/>
    <w:rPr>
      <w:i/>
      <w:sz w:val="22"/>
    </w:rPr>
  </w:style>
  <w:style w:type="paragraph" w:customStyle="1" w:styleId="SOBullet">
    <w:name w:val="SO Bullet"/>
    <w:aliases w:val="sotb"/>
    <w:basedOn w:val="SOText"/>
    <w:link w:val="SOBulletChar"/>
    <w:qFormat/>
    <w:rsid w:val="00A62077"/>
    <w:pPr>
      <w:ind w:left="1559" w:hanging="425"/>
    </w:pPr>
  </w:style>
  <w:style w:type="character" w:customStyle="1" w:styleId="SOBulletChar">
    <w:name w:val="SO Bullet Char"/>
    <w:aliases w:val="sotb Char"/>
    <w:basedOn w:val="DefaultParagraphFont"/>
    <w:link w:val="SOBullet"/>
    <w:rsid w:val="00A62077"/>
    <w:rPr>
      <w:sz w:val="22"/>
    </w:rPr>
  </w:style>
  <w:style w:type="paragraph" w:customStyle="1" w:styleId="SOBulletNote">
    <w:name w:val="SO BulletNote"/>
    <w:aliases w:val="sonb"/>
    <w:basedOn w:val="SOTextNote"/>
    <w:link w:val="SOBulletNoteChar"/>
    <w:qFormat/>
    <w:rsid w:val="00A62077"/>
    <w:pPr>
      <w:tabs>
        <w:tab w:val="left" w:pos="1560"/>
      </w:tabs>
      <w:ind w:left="2268" w:hanging="1134"/>
    </w:pPr>
  </w:style>
  <w:style w:type="character" w:customStyle="1" w:styleId="SOBulletNoteChar">
    <w:name w:val="SO BulletNote Char"/>
    <w:aliases w:val="sonb Char"/>
    <w:basedOn w:val="DefaultParagraphFont"/>
    <w:link w:val="SOBulletNote"/>
    <w:rsid w:val="00A62077"/>
    <w:rPr>
      <w:sz w:val="18"/>
    </w:rPr>
  </w:style>
  <w:style w:type="paragraph" w:customStyle="1" w:styleId="SOText2">
    <w:name w:val="SO Text2"/>
    <w:aliases w:val="sot2"/>
    <w:basedOn w:val="Normal"/>
    <w:next w:val="SOText"/>
    <w:link w:val="SOText2Char"/>
    <w:rsid w:val="00A6207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62077"/>
    <w:rPr>
      <w:sz w:val="22"/>
    </w:rPr>
  </w:style>
  <w:style w:type="paragraph" w:customStyle="1" w:styleId="Transitional">
    <w:name w:val="Transitional"/>
    <w:aliases w:val="tr"/>
    <w:basedOn w:val="ItemHead"/>
    <w:next w:val="Item"/>
    <w:rsid w:val="00A62077"/>
  </w:style>
  <w:style w:type="character" w:customStyle="1" w:styleId="ItemChar">
    <w:name w:val="Item Char"/>
    <w:aliases w:val="i Char"/>
    <w:basedOn w:val="DefaultParagraphFont"/>
    <w:link w:val="Item"/>
    <w:rsid w:val="00326325"/>
    <w:rPr>
      <w:rFonts w:eastAsia="Times New Roman" w:cs="Times New Roman"/>
      <w:sz w:val="22"/>
      <w:lang w:eastAsia="en-AU"/>
    </w:rPr>
  </w:style>
  <w:style w:type="character" w:customStyle="1" w:styleId="subsectionChar">
    <w:name w:val="subsection Char"/>
    <w:aliases w:val="ss Char"/>
    <w:link w:val="subsection"/>
    <w:rsid w:val="00326325"/>
    <w:rPr>
      <w:rFonts w:eastAsia="Times New Roman" w:cs="Times New Roman"/>
      <w:sz w:val="22"/>
      <w:lang w:eastAsia="en-AU"/>
    </w:rPr>
  </w:style>
  <w:style w:type="character" w:customStyle="1" w:styleId="ItemHeadChar">
    <w:name w:val="ItemHead Char"/>
    <w:aliases w:val="ih Char"/>
    <w:basedOn w:val="DefaultParagraphFont"/>
    <w:link w:val="ItemHead"/>
    <w:rsid w:val="00326325"/>
    <w:rPr>
      <w:rFonts w:ascii="Arial" w:eastAsia="Times New Roman" w:hAnsi="Arial" w:cs="Times New Roman"/>
      <w:b/>
      <w:kern w:val="28"/>
      <w:sz w:val="24"/>
      <w:lang w:eastAsia="en-AU"/>
    </w:rPr>
  </w:style>
  <w:style w:type="paragraph" w:customStyle="1" w:styleId="tableText0">
    <w:name w:val="table.Text"/>
    <w:basedOn w:val="Normal"/>
    <w:rsid w:val="00326325"/>
    <w:pPr>
      <w:spacing w:before="24" w:after="24"/>
    </w:pPr>
    <w:rPr>
      <w:rFonts w:eastAsia="Calibri" w:cs="Arial"/>
      <w:sz w:val="20"/>
    </w:rPr>
  </w:style>
  <w:style w:type="paragraph" w:customStyle="1" w:styleId="tableIndentText">
    <w:name w:val="table.Indent.Text"/>
    <w:rsid w:val="00326325"/>
    <w:pPr>
      <w:tabs>
        <w:tab w:val="left" w:leader="dot" w:pos="5245"/>
      </w:tabs>
      <w:spacing w:before="24" w:after="24"/>
      <w:ind w:left="851" w:hanging="284"/>
    </w:pPr>
    <w:rPr>
      <w:rFonts w:ascii="Times" w:eastAsia="Times New Roman" w:hAnsi="Times" w:cs="Times New Roman"/>
    </w:rPr>
  </w:style>
  <w:style w:type="paragraph" w:customStyle="1" w:styleId="tableSub-heading">
    <w:name w:val="table.Sub-heading"/>
    <w:basedOn w:val="Normal"/>
    <w:rsid w:val="00326325"/>
    <w:pPr>
      <w:keepNext/>
      <w:tabs>
        <w:tab w:val="left" w:leader="dot" w:pos="6124"/>
      </w:tabs>
      <w:spacing w:before="24" w:after="24" w:line="240" w:lineRule="auto"/>
    </w:pPr>
    <w:rPr>
      <w:rFonts w:eastAsia="Calibri" w:cs="Times New Roman"/>
      <w:b/>
      <w:sz w:val="20"/>
    </w:rPr>
  </w:style>
  <w:style w:type="character" w:customStyle="1" w:styleId="TabletextChar">
    <w:name w:val="Tabletext Char"/>
    <w:aliases w:val="tt Char"/>
    <w:basedOn w:val="DefaultParagraphFont"/>
    <w:link w:val="Tabletext"/>
    <w:rsid w:val="00B85A36"/>
    <w:rPr>
      <w:rFonts w:eastAsia="Times New Roman" w:cs="Times New Roman"/>
      <w:lang w:eastAsia="en-AU"/>
    </w:rPr>
  </w:style>
  <w:style w:type="character" w:styleId="Hyperlink">
    <w:name w:val="Hyperlink"/>
    <w:basedOn w:val="DefaultParagraphFont"/>
    <w:uiPriority w:val="99"/>
    <w:semiHidden/>
    <w:unhideWhenUsed/>
    <w:rsid w:val="002528CA"/>
    <w:rPr>
      <w:color w:val="0000FF" w:themeColor="hyperlink"/>
      <w:u w:val="single"/>
    </w:rPr>
  </w:style>
  <w:style w:type="character" w:styleId="FollowedHyperlink">
    <w:name w:val="FollowedHyperlink"/>
    <w:basedOn w:val="DefaultParagraphFont"/>
    <w:uiPriority w:val="99"/>
    <w:semiHidden/>
    <w:unhideWhenUsed/>
    <w:rsid w:val="002528CA"/>
    <w:rPr>
      <w:color w:val="0000FF" w:themeColor="hyperlink"/>
      <w:u w:val="single"/>
    </w:rPr>
  </w:style>
  <w:style w:type="character" w:customStyle="1" w:styleId="Heading1Char">
    <w:name w:val="Heading 1 Char"/>
    <w:basedOn w:val="DefaultParagraphFont"/>
    <w:link w:val="Heading1"/>
    <w:uiPriority w:val="9"/>
    <w:rsid w:val="002528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528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528C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528C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2528C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2528C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2528C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2528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28CA"/>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2528CA"/>
    <w:pPr>
      <w:spacing w:before="800"/>
    </w:pPr>
  </w:style>
  <w:style w:type="character" w:customStyle="1" w:styleId="ShortTP1Char">
    <w:name w:val="ShortTP1 Char"/>
    <w:basedOn w:val="DefaultParagraphFont"/>
    <w:link w:val="ShortTP1"/>
    <w:rsid w:val="002528CA"/>
    <w:rPr>
      <w:rFonts w:eastAsia="Times New Roman" w:cs="Times New Roman"/>
      <w:b/>
      <w:sz w:val="40"/>
      <w:lang w:eastAsia="en-AU"/>
    </w:rPr>
  </w:style>
  <w:style w:type="paragraph" w:customStyle="1" w:styleId="ActNoP1">
    <w:name w:val="ActNoP1"/>
    <w:basedOn w:val="Actno"/>
    <w:link w:val="ActNoP1Char"/>
    <w:rsid w:val="002528CA"/>
    <w:pPr>
      <w:spacing w:before="800"/>
    </w:pPr>
    <w:rPr>
      <w:sz w:val="28"/>
    </w:rPr>
  </w:style>
  <w:style w:type="character" w:customStyle="1" w:styleId="ActNoP1Char">
    <w:name w:val="ActNoP1 Char"/>
    <w:basedOn w:val="DefaultParagraphFont"/>
    <w:link w:val="ActNoP1"/>
    <w:rsid w:val="002528CA"/>
    <w:rPr>
      <w:rFonts w:eastAsia="Times New Roman" w:cs="Times New Roman"/>
      <w:b/>
      <w:sz w:val="28"/>
      <w:lang w:eastAsia="en-AU"/>
    </w:rPr>
  </w:style>
  <w:style w:type="paragraph" w:customStyle="1" w:styleId="AssentBk">
    <w:name w:val="AssentBk"/>
    <w:basedOn w:val="Normal"/>
    <w:rsid w:val="002528CA"/>
    <w:pPr>
      <w:spacing w:line="240" w:lineRule="auto"/>
    </w:pPr>
    <w:rPr>
      <w:rFonts w:eastAsia="Times New Roman" w:cs="Times New Roman"/>
      <w:sz w:val="20"/>
      <w:lang w:eastAsia="en-AU"/>
    </w:rPr>
  </w:style>
  <w:style w:type="paragraph" w:customStyle="1" w:styleId="AssentDt">
    <w:name w:val="AssentDt"/>
    <w:basedOn w:val="Normal"/>
    <w:rsid w:val="009B4C5A"/>
    <w:pPr>
      <w:spacing w:line="240" w:lineRule="auto"/>
    </w:pPr>
    <w:rPr>
      <w:rFonts w:eastAsia="Times New Roman" w:cs="Times New Roman"/>
      <w:sz w:val="20"/>
      <w:lang w:eastAsia="en-AU"/>
    </w:rPr>
  </w:style>
  <w:style w:type="paragraph" w:customStyle="1" w:styleId="2ndRd">
    <w:name w:val="2ndRd"/>
    <w:basedOn w:val="Normal"/>
    <w:rsid w:val="009B4C5A"/>
    <w:pPr>
      <w:spacing w:line="240" w:lineRule="auto"/>
    </w:pPr>
    <w:rPr>
      <w:rFonts w:eastAsia="Times New Roman" w:cs="Times New Roman"/>
      <w:sz w:val="20"/>
      <w:lang w:eastAsia="en-AU"/>
    </w:rPr>
  </w:style>
  <w:style w:type="paragraph" w:customStyle="1" w:styleId="ScalePlusRef">
    <w:name w:val="ScalePlusRef"/>
    <w:basedOn w:val="Normal"/>
    <w:rsid w:val="009B4C5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g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19</Pages>
  <Words>2387</Words>
  <Characters>13188</Characters>
  <Application>Microsoft Office Word</Application>
  <DocSecurity>0</DocSecurity>
  <PresentationFormat/>
  <Lines>263</Lines>
  <Paragraphs>185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2021-09-16T05:06:00Z</dcterms:created>
  <dcterms:modified xsi:type="dcterms:W3CDTF">2021-09-16T05:13:00Z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(2021 Measures No. 2) Act 2021</vt:lpwstr>
  </property>
  <property fmtid="{D5CDD505-2E9C-101B-9397-08002B2CF9AE}" pid="3" name="ActNo">
    <vt:lpwstr>No. 110, 2021</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OPC7664</vt:lpwstr>
  </property>
</Properties>
</file>