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831366"/>
    <w:p w14:paraId="7B888337" w14:textId="485E51E1" w:rsidR="00BA4D25" w:rsidRDefault="00BA4D25" w:rsidP="00BA4D25">
      <w:r>
        <w:object w:dxaOrig="2146" w:dyaOrig="1561" w14:anchorId="2565B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86648790" r:id="rId8"/>
        </w:object>
      </w:r>
    </w:p>
    <w:p w14:paraId="266DC4FE" w14:textId="77777777" w:rsidR="00BA4D25" w:rsidRDefault="00BA4D25" w:rsidP="00BA4D25"/>
    <w:p w14:paraId="7D25A8F0" w14:textId="77777777" w:rsidR="00BA4D25" w:rsidRDefault="00BA4D25" w:rsidP="00BA4D25"/>
    <w:p w14:paraId="6BEFF008" w14:textId="77777777" w:rsidR="00BA4D25" w:rsidRDefault="00BA4D25" w:rsidP="00BA4D25"/>
    <w:p w14:paraId="056915A1" w14:textId="77777777" w:rsidR="00BA4D25" w:rsidRDefault="00BA4D25" w:rsidP="00BA4D25"/>
    <w:p w14:paraId="26FE9584" w14:textId="77777777" w:rsidR="00BA4D25" w:rsidRDefault="00BA4D25" w:rsidP="00BA4D25"/>
    <w:p w14:paraId="6AB720F2" w14:textId="77777777" w:rsidR="00BA4D25" w:rsidRDefault="00BA4D25" w:rsidP="00BA4D25"/>
    <w:p w14:paraId="12D89AEE" w14:textId="057454DF" w:rsidR="0048364F" w:rsidRPr="007C4FAB" w:rsidRDefault="00BA4D25" w:rsidP="0048364F">
      <w:pPr>
        <w:pStyle w:val="ShortT"/>
      </w:pPr>
      <w:r>
        <w:t>Aged Care and Other Legislation Amendment (Royal Commission Response No. 1) Act 2021</w:t>
      </w:r>
    </w:p>
    <w:bookmarkEnd w:id="0"/>
    <w:p w14:paraId="1ABC4D77" w14:textId="77777777" w:rsidR="0048364F" w:rsidRPr="007C4FAB" w:rsidRDefault="0048364F" w:rsidP="0048364F"/>
    <w:p w14:paraId="44F4A021" w14:textId="592426E1" w:rsidR="0048364F" w:rsidRPr="007C4FAB" w:rsidRDefault="00C164CA" w:rsidP="00BA4D25">
      <w:pPr>
        <w:pStyle w:val="Actno"/>
        <w:spacing w:before="400"/>
      </w:pPr>
      <w:r w:rsidRPr="007C4FAB">
        <w:t>No.</w:t>
      </w:r>
      <w:r w:rsidR="00A035FE">
        <w:t xml:space="preserve"> 57</w:t>
      </w:r>
      <w:r w:rsidRPr="007C4FAB">
        <w:t>, 20</w:t>
      </w:r>
      <w:r w:rsidR="009E186E" w:rsidRPr="007C4FAB">
        <w:t>21</w:t>
      </w:r>
    </w:p>
    <w:p w14:paraId="77AFD9EB" w14:textId="77777777" w:rsidR="0048364F" w:rsidRPr="007C4FAB" w:rsidRDefault="0048364F" w:rsidP="0048364F"/>
    <w:p w14:paraId="4B51BDF3" w14:textId="77777777" w:rsidR="00186FA5" w:rsidRDefault="00186FA5" w:rsidP="00186FA5">
      <w:pPr>
        <w:rPr>
          <w:lang w:eastAsia="en-AU"/>
        </w:rPr>
      </w:pPr>
    </w:p>
    <w:p w14:paraId="537F5E88" w14:textId="7D734CAF" w:rsidR="0048364F" w:rsidRPr="007C4FAB" w:rsidRDefault="0048364F" w:rsidP="0048364F"/>
    <w:p w14:paraId="585A7626" w14:textId="77777777" w:rsidR="0048364F" w:rsidRPr="007C4FAB" w:rsidRDefault="0048364F" w:rsidP="0048364F"/>
    <w:p w14:paraId="21737B7B" w14:textId="77777777" w:rsidR="0048364F" w:rsidRPr="007C4FAB" w:rsidRDefault="0048364F" w:rsidP="0048364F"/>
    <w:p w14:paraId="29D3C567" w14:textId="77777777" w:rsidR="00BA4D25" w:rsidRDefault="00BA4D25" w:rsidP="00BA4D25">
      <w:pPr>
        <w:pStyle w:val="LongT"/>
      </w:pPr>
      <w:r>
        <w:t>An Act to amend the law relating to aged care, and for related purposes</w:t>
      </w:r>
    </w:p>
    <w:p w14:paraId="5F02C267" w14:textId="5AE8A376" w:rsidR="0048364F" w:rsidRPr="00C11B80" w:rsidRDefault="0048364F" w:rsidP="0048364F">
      <w:pPr>
        <w:pStyle w:val="Header"/>
        <w:tabs>
          <w:tab w:val="clear" w:pos="4150"/>
          <w:tab w:val="clear" w:pos="8307"/>
        </w:tabs>
      </w:pPr>
      <w:r w:rsidRPr="00C11B80">
        <w:rPr>
          <w:rStyle w:val="CharAmSchNo"/>
        </w:rPr>
        <w:t xml:space="preserve"> </w:t>
      </w:r>
      <w:r w:rsidRPr="00C11B80">
        <w:rPr>
          <w:rStyle w:val="CharAmSchText"/>
        </w:rPr>
        <w:t xml:space="preserve"> </w:t>
      </w:r>
    </w:p>
    <w:p w14:paraId="07E8C416" w14:textId="77777777" w:rsidR="0048364F" w:rsidRPr="00C11B80" w:rsidRDefault="0048364F" w:rsidP="0048364F">
      <w:pPr>
        <w:pStyle w:val="Header"/>
        <w:tabs>
          <w:tab w:val="clear" w:pos="4150"/>
          <w:tab w:val="clear" w:pos="8307"/>
        </w:tabs>
      </w:pPr>
      <w:r w:rsidRPr="00C11B80">
        <w:rPr>
          <w:rStyle w:val="CharAmPartNo"/>
        </w:rPr>
        <w:t xml:space="preserve"> </w:t>
      </w:r>
      <w:r w:rsidRPr="00C11B80">
        <w:rPr>
          <w:rStyle w:val="CharAmPartText"/>
        </w:rPr>
        <w:t xml:space="preserve"> </w:t>
      </w:r>
    </w:p>
    <w:p w14:paraId="07B72B3B" w14:textId="77777777" w:rsidR="0048364F" w:rsidRPr="007C4FAB" w:rsidRDefault="0048364F" w:rsidP="0048364F">
      <w:pPr>
        <w:sectPr w:rsidR="0048364F" w:rsidRPr="007C4FAB" w:rsidSect="00BA4D2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902227E" w14:textId="77777777" w:rsidR="0048364F" w:rsidRPr="007C4FAB" w:rsidRDefault="0048364F" w:rsidP="0048364F">
      <w:pPr>
        <w:outlineLvl w:val="0"/>
        <w:rPr>
          <w:sz w:val="36"/>
        </w:rPr>
      </w:pPr>
      <w:r w:rsidRPr="007C4FAB">
        <w:rPr>
          <w:sz w:val="36"/>
        </w:rPr>
        <w:lastRenderedPageBreak/>
        <w:t>Contents</w:t>
      </w:r>
    </w:p>
    <w:p w14:paraId="38475579" w14:textId="77050F33" w:rsidR="00A035FE" w:rsidRDefault="00A035FE" w:rsidP="00A035F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035FE">
        <w:rPr>
          <w:noProof/>
        </w:rPr>
        <w:tab/>
      </w:r>
      <w:r w:rsidRPr="00A035FE">
        <w:rPr>
          <w:noProof/>
        </w:rPr>
        <w:fldChar w:fldCharType="begin"/>
      </w:r>
      <w:r w:rsidRPr="00A035FE">
        <w:rPr>
          <w:noProof/>
        </w:rPr>
        <w:instrText xml:space="preserve"> PAGEREF _Toc76035001 \h </w:instrText>
      </w:r>
      <w:r w:rsidRPr="00A035FE">
        <w:rPr>
          <w:noProof/>
        </w:rPr>
      </w:r>
      <w:r w:rsidRPr="00A035FE">
        <w:rPr>
          <w:noProof/>
        </w:rPr>
        <w:fldChar w:fldCharType="separate"/>
      </w:r>
      <w:r w:rsidR="00DD5BB9">
        <w:rPr>
          <w:noProof/>
        </w:rPr>
        <w:t>1</w:t>
      </w:r>
      <w:r w:rsidRPr="00A035FE">
        <w:rPr>
          <w:noProof/>
        </w:rPr>
        <w:fldChar w:fldCharType="end"/>
      </w:r>
    </w:p>
    <w:p w14:paraId="23A6DDD9" w14:textId="5F4BF270" w:rsidR="00A035FE" w:rsidRDefault="00A035FE" w:rsidP="00A035FE">
      <w:pPr>
        <w:pStyle w:val="TOC5"/>
        <w:rPr>
          <w:rFonts w:asciiTheme="minorHAnsi" w:eastAsiaTheme="minorEastAsia" w:hAnsiTheme="minorHAnsi" w:cstheme="minorBidi"/>
          <w:noProof/>
          <w:kern w:val="0"/>
          <w:sz w:val="22"/>
          <w:szCs w:val="22"/>
        </w:rPr>
      </w:pPr>
      <w:r>
        <w:rPr>
          <w:noProof/>
        </w:rPr>
        <w:t>2</w:t>
      </w:r>
      <w:r>
        <w:rPr>
          <w:noProof/>
        </w:rPr>
        <w:tab/>
        <w:t>Commencement</w:t>
      </w:r>
      <w:r w:rsidRPr="00A035FE">
        <w:rPr>
          <w:noProof/>
        </w:rPr>
        <w:tab/>
      </w:r>
      <w:r w:rsidRPr="00A035FE">
        <w:rPr>
          <w:noProof/>
        </w:rPr>
        <w:fldChar w:fldCharType="begin"/>
      </w:r>
      <w:r w:rsidRPr="00A035FE">
        <w:rPr>
          <w:noProof/>
        </w:rPr>
        <w:instrText xml:space="preserve"> PAGEREF _Toc76035002 \h </w:instrText>
      </w:r>
      <w:r w:rsidRPr="00A035FE">
        <w:rPr>
          <w:noProof/>
        </w:rPr>
      </w:r>
      <w:r w:rsidRPr="00A035FE">
        <w:rPr>
          <w:noProof/>
        </w:rPr>
        <w:fldChar w:fldCharType="separate"/>
      </w:r>
      <w:r w:rsidR="00DD5BB9">
        <w:rPr>
          <w:noProof/>
        </w:rPr>
        <w:t>2</w:t>
      </w:r>
      <w:r w:rsidRPr="00A035FE">
        <w:rPr>
          <w:noProof/>
        </w:rPr>
        <w:fldChar w:fldCharType="end"/>
      </w:r>
    </w:p>
    <w:p w14:paraId="53998DF8" w14:textId="5115DC5B" w:rsidR="00A035FE" w:rsidRDefault="00A035FE" w:rsidP="00A035FE">
      <w:pPr>
        <w:pStyle w:val="TOC5"/>
        <w:rPr>
          <w:rFonts w:asciiTheme="minorHAnsi" w:eastAsiaTheme="minorEastAsia" w:hAnsiTheme="minorHAnsi" w:cstheme="minorBidi"/>
          <w:noProof/>
          <w:kern w:val="0"/>
          <w:sz w:val="22"/>
          <w:szCs w:val="22"/>
        </w:rPr>
      </w:pPr>
      <w:r>
        <w:rPr>
          <w:noProof/>
        </w:rPr>
        <w:t>3</w:t>
      </w:r>
      <w:r>
        <w:rPr>
          <w:noProof/>
        </w:rPr>
        <w:tab/>
        <w:t>Schedules</w:t>
      </w:r>
      <w:r w:rsidRPr="00A035FE">
        <w:rPr>
          <w:noProof/>
        </w:rPr>
        <w:tab/>
      </w:r>
      <w:r w:rsidRPr="00A035FE">
        <w:rPr>
          <w:noProof/>
        </w:rPr>
        <w:fldChar w:fldCharType="begin"/>
      </w:r>
      <w:r w:rsidRPr="00A035FE">
        <w:rPr>
          <w:noProof/>
        </w:rPr>
        <w:instrText xml:space="preserve"> PAGEREF _Toc76035003 \h </w:instrText>
      </w:r>
      <w:r w:rsidRPr="00A035FE">
        <w:rPr>
          <w:noProof/>
        </w:rPr>
      </w:r>
      <w:r w:rsidRPr="00A035FE">
        <w:rPr>
          <w:noProof/>
        </w:rPr>
        <w:fldChar w:fldCharType="separate"/>
      </w:r>
      <w:r w:rsidR="00DD5BB9">
        <w:rPr>
          <w:noProof/>
        </w:rPr>
        <w:t>2</w:t>
      </w:r>
      <w:r w:rsidRPr="00A035FE">
        <w:rPr>
          <w:noProof/>
        </w:rPr>
        <w:fldChar w:fldCharType="end"/>
      </w:r>
    </w:p>
    <w:p w14:paraId="44E84F84" w14:textId="54A0C7A8" w:rsidR="00A035FE" w:rsidRDefault="00A035FE" w:rsidP="00A035FE">
      <w:pPr>
        <w:pStyle w:val="TOC6"/>
        <w:rPr>
          <w:rFonts w:asciiTheme="minorHAnsi" w:eastAsiaTheme="minorEastAsia" w:hAnsiTheme="minorHAnsi" w:cstheme="minorBidi"/>
          <w:b w:val="0"/>
          <w:noProof/>
          <w:kern w:val="0"/>
          <w:sz w:val="22"/>
          <w:szCs w:val="22"/>
        </w:rPr>
      </w:pPr>
      <w:r>
        <w:rPr>
          <w:noProof/>
        </w:rPr>
        <w:t>Schedule 1—Amendments relating to restrictive practices</w:t>
      </w:r>
      <w:r w:rsidRPr="00A035FE">
        <w:rPr>
          <w:b w:val="0"/>
          <w:noProof/>
          <w:sz w:val="18"/>
        </w:rPr>
        <w:tab/>
      </w:r>
      <w:r w:rsidRPr="00A035FE">
        <w:rPr>
          <w:b w:val="0"/>
          <w:noProof/>
          <w:sz w:val="18"/>
        </w:rPr>
        <w:fldChar w:fldCharType="begin"/>
      </w:r>
      <w:r w:rsidRPr="00A035FE">
        <w:rPr>
          <w:b w:val="0"/>
          <w:noProof/>
          <w:sz w:val="18"/>
        </w:rPr>
        <w:instrText xml:space="preserve"> PAGEREF _Toc76035004 \h </w:instrText>
      </w:r>
      <w:r w:rsidRPr="00A035FE">
        <w:rPr>
          <w:b w:val="0"/>
          <w:noProof/>
          <w:sz w:val="18"/>
        </w:rPr>
      </w:r>
      <w:r w:rsidRPr="00A035FE">
        <w:rPr>
          <w:b w:val="0"/>
          <w:noProof/>
          <w:sz w:val="18"/>
        </w:rPr>
        <w:fldChar w:fldCharType="separate"/>
      </w:r>
      <w:r w:rsidR="00DD5BB9">
        <w:rPr>
          <w:b w:val="0"/>
          <w:noProof/>
          <w:sz w:val="18"/>
        </w:rPr>
        <w:t>3</w:t>
      </w:r>
      <w:r w:rsidRPr="00A035FE">
        <w:rPr>
          <w:b w:val="0"/>
          <w:noProof/>
          <w:sz w:val="18"/>
        </w:rPr>
        <w:fldChar w:fldCharType="end"/>
      </w:r>
    </w:p>
    <w:p w14:paraId="1F3F4E6D" w14:textId="3B432719" w:rsidR="00A035FE" w:rsidRDefault="00A035FE" w:rsidP="00A035FE">
      <w:pPr>
        <w:pStyle w:val="TOC9"/>
        <w:rPr>
          <w:rFonts w:asciiTheme="minorHAnsi" w:eastAsiaTheme="minorEastAsia" w:hAnsiTheme="minorHAnsi" w:cstheme="minorBidi"/>
          <w:i w:val="0"/>
          <w:noProof/>
          <w:kern w:val="0"/>
          <w:sz w:val="22"/>
          <w:szCs w:val="22"/>
        </w:rPr>
      </w:pPr>
      <w:r>
        <w:rPr>
          <w:noProof/>
        </w:rPr>
        <w:t>Aged Care Act 1997</w:t>
      </w:r>
      <w:r w:rsidRPr="00A035FE">
        <w:rPr>
          <w:i w:val="0"/>
          <w:noProof/>
          <w:sz w:val="18"/>
        </w:rPr>
        <w:tab/>
      </w:r>
      <w:r w:rsidRPr="00A035FE">
        <w:rPr>
          <w:i w:val="0"/>
          <w:noProof/>
          <w:sz w:val="18"/>
        </w:rPr>
        <w:fldChar w:fldCharType="begin"/>
      </w:r>
      <w:r w:rsidRPr="00A035FE">
        <w:rPr>
          <w:i w:val="0"/>
          <w:noProof/>
          <w:sz w:val="18"/>
        </w:rPr>
        <w:instrText xml:space="preserve"> PAGEREF _Toc76035005 \h </w:instrText>
      </w:r>
      <w:r w:rsidRPr="00A035FE">
        <w:rPr>
          <w:i w:val="0"/>
          <w:noProof/>
          <w:sz w:val="18"/>
        </w:rPr>
      </w:r>
      <w:r w:rsidRPr="00A035FE">
        <w:rPr>
          <w:i w:val="0"/>
          <w:noProof/>
          <w:sz w:val="18"/>
        </w:rPr>
        <w:fldChar w:fldCharType="separate"/>
      </w:r>
      <w:r w:rsidR="00DD5BB9">
        <w:rPr>
          <w:i w:val="0"/>
          <w:noProof/>
          <w:sz w:val="18"/>
        </w:rPr>
        <w:t>3</w:t>
      </w:r>
      <w:r w:rsidRPr="00A035FE">
        <w:rPr>
          <w:i w:val="0"/>
          <w:noProof/>
          <w:sz w:val="18"/>
        </w:rPr>
        <w:fldChar w:fldCharType="end"/>
      </w:r>
    </w:p>
    <w:p w14:paraId="3BA2DA55" w14:textId="1A605103" w:rsidR="00A035FE" w:rsidRDefault="00A035FE" w:rsidP="00A035FE">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A035FE">
        <w:rPr>
          <w:i w:val="0"/>
          <w:noProof/>
          <w:sz w:val="18"/>
        </w:rPr>
        <w:tab/>
      </w:r>
      <w:r w:rsidRPr="00A035FE">
        <w:rPr>
          <w:i w:val="0"/>
          <w:noProof/>
          <w:sz w:val="18"/>
        </w:rPr>
        <w:fldChar w:fldCharType="begin"/>
      </w:r>
      <w:r w:rsidRPr="00A035FE">
        <w:rPr>
          <w:i w:val="0"/>
          <w:noProof/>
          <w:sz w:val="18"/>
        </w:rPr>
        <w:instrText xml:space="preserve"> PAGEREF _Toc76035008 \h </w:instrText>
      </w:r>
      <w:r w:rsidRPr="00A035FE">
        <w:rPr>
          <w:i w:val="0"/>
          <w:noProof/>
          <w:sz w:val="18"/>
        </w:rPr>
      </w:r>
      <w:r w:rsidRPr="00A035FE">
        <w:rPr>
          <w:i w:val="0"/>
          <w:noProof/>
          <w:sz w:val="18"/>
        </w:rPr>
        <w:fldChar w:fldCharType="separate"/>
      </w:r>
      <w:r w:rsidR="00DD5BB9">
        <w:rPr>
          <w:i w:val="0"/>
          <w:noProof/>
          <w:sz w:val="18"/>
        </w:rPr>
        <w:t>5</w:t>
      </w:r>
      <w:r w:rsidRPr="00A035FE">
        <w:rPr>
          <w:i w:val="0"/>
          <w:noProof/>
          <w:sz w:val="18"/>
        </w:rPr>
        <w:fldChar w:fldCharType="end"/>
      </w:r>
    </w:p>
    <w:p w14:paraId="719EB310" w14:textId="278EBE96" w:rsidR="00A035FE" w:rsidRDefault="00A035FE" w:rsidP="00A035FE">
      <w:pPr>
        <w:pStyle w:val="TOC6"/>
        <w:rPr>
          <w:rFonts w:asciiTheme="minorHAnsi" w:eastAsiaTheme="minorEastAsia" w:hAnsiTheme="minorHAnsi" w:cstheme="minorBidi"/>
          <w:b w:val="0"/>
          <w:noProof/>
          <w:kern w:val="0"/>
          <w:sz w:val="22"/>
          <w:szCs w:val="22"/>
        </w:rPr>
      </w:pPr>
      <w:r>
        <w:rPr>
          <w:noProof/>
        </w:rPr>
        <w:t>Schedule 2—Amendments relating to home care assurance reviews</w:t>
      </w:r>
      <w:r w:rsidRPr="00A035FE">
        <w:rPr>
          <w:b w:val="0"/>
          <w:noProof/>
          <w:sz w:val="18"/>
        </w:rPr>
        <w:tab/>
      </w:r>
      <w:r w:rsidRPr="00A035FE">
        <w:rPr>
          <w:b w:val="0"/>
          <w:noProof/>
          <w:sz w:val="18"/>
        </w:rPr>
        <w:fldChar w:fldCharType="begin"/>
      </w:r>
      <w:r w:rsidRPr="00A035FE">
        <w:rPr>
          <w:b w:val="0"/>
          <w:noProof/>
          <w:sz w:val="18"/>
        </w:rPr>
        <w:instrText xml:space="preserve"> PAGEREF _Toc76035009 \h </w:instrText>
      </w:r>
      <w:r w:rsidRPr="00A035FE">
        <w:rPr>
          <w:b w:val="0"/>
          <w:noProof/>
          <w:sz w:val="18"/>
        </w:rPr>
      </w:r>
      <w:r w:rsidRPr="00A035FE">
        <w:rPr>
          <w:b w:val="0"/>
          <w:noProof/>
          <w:sz w:val="18"/>
        </w:rPr>
        <w:fldChar w:fldCharType="separate"/>
      </w:r>
      <w:r w:rsidR="00DD5BB9">
        <w:rPr>
          <w:b w:val="0"/>
          <w:noProof/>
          <w:sz w:val="18"/>
        </w:rPr>
        <w:t>6</w:t>
      </w:r>
      <w:r w:rsidRPr="00A035FE">
        <w:rPr>
          <w:b w:val="0"/>
          <w:noProof/>
          <w:sz w:val="18"/>
        </w:rPr>
        <w:fldChar w:fldCharType="end"/>
      </w:r>
    </w:p>
    <w:p w14:paraId="704851E3" w14:textId="63F1F7E6" w:rsidR="00A035FE" w:rsidRDefault="00A035FE" w:rsidP="00A035FE">
      <w:pPr>
        <w:pStyle w:val="TOC9"/>
        <w:rPr>
          <w:rFonts w:asciiTheme="minorHAnsi" w:eastAsiaTheme="minorEastAsia" w:hAnsiTheme="minorHAnsi" w:cstheme="minorBidi"/>
          <w:i w:val="0"/>
          <w:noProof/>
          <w:kern w:val="0"/>
          <w:sz w:val="22"/>
          <w:szCs w:val="22"/>
        </w:rPr>
      </w:pPr>
      <w:r>
        <w:rPr>
          <w:noProof/>
        </w:rPr>
        <w:t>Aged Care Act 1997</w:t>
      </w:r>
      <w:r w:rsidRPr="00A035FE">
        <w:rPr>
          <w:i w:val="0"/>
          <w:noProof/>
          <w:sz w:val="18"/>
        </w:rPr>
        <w:tab/>
      </w:r>
      <w:r w:rsidRPr="00A035FE">
        <w:rPr>
          <w:i w:val="0"/>
          <w:noProof/>
          <w:sz w:val="18"/>
        </w:rPr>
        <w:fldChar w:fldCharType="begin"/>
      </w:r>
      <w:r w:rsidRPr="00A035FE">
        <w:rPr>
          <w:i w:val="0"/>
          <w:noProof/>
          <w:sz w:val="18"/>
        </w:rPr>
        <w:instrText xml:space="preserve"> PAGEREF _Toc76035010 \h </w:instrText>
      </w:r>
      <w:r w:rsidRPr="00A035FE">
        <w:rPr>
          <w:i w:val="0"/>
          <w:noProof/>
          <w:sz w:val="18"/>
        </w:rPr>
      </w:r>
      <w:r w:rsidRPr="00A035FE">
        <w:rPr>
          <w:i w:val="0"/>
          <w:noProof/>
          <w:sz w:val="18"/>
        </w:rPr>
        <w:fldChar w:fldCharType="separate"/>
      </w:r>
      <w:r w:rsidR="00DD5BB9">
        <w:rPr>
          <w:i w:val="0"/>
          <w:noProof/>
          <w:sz w:val="18"/>
        </w:rPr>
        <w:t>6</w:t>
      </w:r>
      <w:r w:rsidRPr="00A035FE">
        <w:rPr>
          <w:i w:val="0"/>
          <w:noProof/>
          <w:sz w:val="18"/>
        </w:rPr>
        <w:fldChar w:fldCharType="end"/>
      </w:r>
    </w:p>
    <w:p w14:paraId="6CD609B6" w14:textId="6C345079" w:rsidR="00A035FE" w:rsidRDefault="00A035FE" w:rsidP="00A035FE">
      <w:pPr>
        <w:pStyle w:val="TOC6"/>
        <w:rPr>
          <w:rFonts w:asciiTheme="minorHAnsi" w:eastAsiaTheme="minorEastAsia" w:hAnsiTheme="minorHAnsi" w:cstheme="minorBidi"/>
          <w:b w:val="0"/>
          <w:noProof/>
          <w:kern w:val="0"/>
          <w:sz w:val="22"/>
          <w:szCs w:val="22"/>
        </w:rPr>
      </w:pPr>
      <w:r>
        <w:rPr>
          <w:noProof/>
        </w:rPr>
        <w:t>Schedule 3—Amendments relating to the Aged Care Financing Authority</w:t>
      </w:r>
      <w:r w:rsidRPr="00A035FE">
        <w:rPr>
          <w:b w:val="0"/>
          <w:noProof/>
          <w:sz w:val="18"/>
        </w:rPr>
        <w:tab/>
      </w:r>
      <w:r w:rsidRPr="00A035FE">
        <w:rPr>
          <w:b w:val="0"/>
          <w:noProof/>
          <w:sz w:val="18"/>
        </w:rPr>
        <w:fldChar w:fldCharType="begin"/>
      </w:r>
      <w:r w:rsidRPr="00A035FE">
        <w:rPr>
          <w:b w:val="0"/>
          <w:noProof/>
          <w:sz w:val="18"/>
        </w:rPr>
        <w:instrText xml:space="preserve"> PAGEREF _Toc76035021 \h </w:instrText>
      </w:r>
      <w:r w:rsidRPr="00A035FE">
        <w:rPr>
          <w:b w:val="0"/>
          <w:noProof/>
          <w:sz w:val="18"/>
        </w:rPr>
      </w:r>
      <w:r w:rsidRPr="00A035FE">
        <w:rPr>
          <w:b w:val="0"/>
          <w:noProof/>
          <w:sz w:val="18"/>
        </w:rPr>
        <w:fldChar w:fldCharType="separate"/>
      </w:r>
      <w:r w:rsidR="00DD5BB9">
        <w:rPr>
          <w:b w:val="0"/>
          <w:noProof/>
          <w:sz w:val="18"/>
        </w:rPr>
        <w:t>11</w:t>
      </w:r>
      <w:r w:rsidRPr="00A035FE">
        <w:rPr>
          <w:b w:val="0"/>
          <w:noProof/>
          <w:sz w:val="18"/>
        </w:rPr>
        <w:fldChar w:fldCharType="end"/>
      </w:r>
    </w:p>
    <w:p w14:paraId="6A3F7FB4" w14:textId="581E25D0" w:rsidR="00A035FE" w:rsidRDefault="00A035FE" w:rsidP="00A035FE">
      <w:pPr>
        <w:pStyle w:val="TOC9"/>
        <w:rPr>
          <w:rFonts w:asciiTheme="minorHAnsi" w:eastAsiaTheme="minorEastAsia" w:hAnsiTheme="minorHAnsi" w:cstheme="minorBidi"/>
          <w:i w:val="0"/>
          <w:noProof/>
          <w:kern w:val="0"/>
          <w:sz w:val="22"/>
          <w:szCs w:val="22"/>
        </w:rPr>
      </w:pPr>
      <w:r>
        <w:rPr>
          <w:noProof/>
        </w:rPr>
        <w:t>Aged Care Act 1997</w:t>
      </w:r>
      <w:r w:rsidRPr="00A035FE">
        <w:rPr>
          <w:i w:val="0"/>
          <w:noProof/>
          <w:sz w:val="18"/>
        </w:rPr>
        <w:tab/>
      </w:r>
      <w:r w:rsidRPr="00A035FE">
        <w:rPr>
          <w:i w:val="0"/>
          <w:noProof/>
          <w:sz w:val="18"/>
        </w:rPr>
        <w:fldChar w:fldCharType="begin"/>
      </w:r>
      <w:r w:rsidRPr="00A035FE">
        <w:rPr>
          <w:i w:val="0"/>
          <w:noProof/>
          <w:sz w:val="18"/>
        </w:rPr>
        <w:instrText xml:space="preserve"> PAGEREF _Toc76035022 \h </w:instrText>
      </w:r>
      <w:r w:rsidRPr="00A035FE">
        <w:rPr>
          <w:i w:val="0"/>
          <w:noProof/>
          <w:sz w:val="18"/>
        </w:rPr>
      </w:r>
      <w:r w:rsidRPr="00A035FE">
        <w:rPr>
          <w:i w:val="0"/>
          <w:noProof/>
          <w:sz w:val="18"/>
        </w:rPr>
        <w:fldChar w:fldCharType="separate"/>
      </w:r>
      <w:r w:rsidR="00DD5BB9">
        <w:rPr>
          <w:i w:val="0"/>
          <w:noProof/>
          <w:sz w:val="18"/>
        </w:rPr>
        <w:t>11</w:t>
      </w:r>
      <w:r w:rsidRPr="00A035FE">
        <w:rPr>
          <w:i w:val="0"/>
          <w:noProof/>
          <w:sz w:val="18"/>
        </w:rPr>
        <w:fldChar w:fldCharType="end"/>
      </w:r>
    </w:p>
    <w:p w14:paraId="23BD9A40" w14:textId="2D19B911" w:rsidR="00060FF9" w:rsidRPr="007C4FAB" w:rsidRDefault="00A035FE" w:rsidP="00A035FE">
      <w:r>
        <w:fldChar w:fldCharType="end"/>
      </w:r>
    </w:p>
    <w:p w14:paraId="3BD355D4" w14:textId="77777777" w:rsidR="00FE7F93" w:rsidRPr="007C4FAB" w:rsidRDefault="00FE7F93" w:rsidP="0048364F">
      <w:pPr>
        <w:sectPr w:rsidR="00FE7F93" w:rsidRPr="007C4FAB" w:rsidSect="00BA4D2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498B1A9" w14:textId="77777777" w:rsidR="00BA4D25" w:rsidRDefault="00BA4D25">
      <w:r>
        <w:object w:dxaOrig="2146" w:dyaOrig="1561" w14:anchorId="36F65E9E">
          <v:shape id="_x0000_i1026" type="#_x0000_t75" alt="Commonwealth Coat of Arms of Australia" style="width:110.25pt;height:80.25pt" o:ole="" fillcolor="window">
            <v:imagedata r:id="rId7" o:title=""/>
          </v:shape>
          <o:OLEObject Type="Embed" ProgID="Word.Picture.8" ShapeID="_x0000_i1026" DrawAspect="Content" ObjectID="_1686648791" r:id="rId20"/>
        </w:object>
      </w:r>
    </w:p>
    <w:p w14:paraId="10E46734" w14:textId="77777777" w:rsidR="00BA4D25" w:rsidRDefault="00BA4D25"/>
    <w:p w14:paraId="25580252" w14:textId="77777777" w:rsidR="00BA4D25" w:rsidRDefault="00BA4D25" w:rsidP="000178F8">
      <w:pPr>
        <w:spacing w:line="240" w:lineRule="auto"/>
      </w:pPr>
    </w:p>
    <w:p w14:paraId="3C5DC1C1" w14:textId="6E766A9C" w:rsidR="00BA4D25" w:rsidRDefault="00DD5BB9" w:rsidP="000178F8">
      <w:pPr>
        <w:pStyle w:val="ShortTP1"/>
      </w:pPr>
      <w:r>
        <w:fldChar w:fldCharType="begin"/>
      </w:r>
      <w:r>
        <w:instrText xml:space="preserve"> STYLEREF ShortT </w:instrText>
      </w:r>
      <w:r>
        <w:fldChar w:fldCharType="separate"/>
      </w:r>
      <w:r>
        <w:rPr>
          <w:noProof/>
        </w:rPr>
        <w:t>Aged Care and Other Legislation Amendment (Royal Commission Response No. 1) Act 2021</w:t>
      </w:r>
      <w:r>
        <w:rPr>
          <w:noProof/>
        </w:rPr>
        <w:fldChar w:fldCharType="end"/>
      </w:r>
    </w:p>
    <w:p w14:paraId="73DEEB44" w14:textId="1B0E7B0E" w:rsidR="00BA4D25" w:rsidRDefault="00DD5BB9" w:rsidP="000178F8">
      <w:pPr>
        <w:pStyle w:val="ActNoP1"/>
      </w:pPr>
      <w:r>
        <w:fldChar w:fldCharType="begin"/>
      </w:r>
      <w:r>
        <w:instrText xml:space="preserve"> STYLEREF Actno </w:instrText>
      </w:r>
      <w:r>
        <w:fldChar w:fldCharType="separate"/>
      </w:r>
      <w:r>
        <w:rPr>
          <w:noProof/>
        </w:rPr>
        <w:t>No. 57, 2021</w:t>
      </w:r>
      <w:r>
        <w:rPr>
          <w:noProof/>
        </w:rPr>
        <w:fldChar w:fldCharType="end"/>
      </w:r>
    </w:p>
    <w:p w14:paraId="49F48DF5" w14:textId="77777777" w:rsidR="00BA4D25" w:rsidRPr="009A0728" w:rsidRDefault="00BA4D25" w:rsidP="009A0728">
      <w:pPr>
        <w:pBdr>
          <w:bottom w:val="single" w:sz="6" w:space="0" w:color="auto"/>
        </w:pBdr>
        <w:spacing w:before="400" w:line="240" w:lineRule="auto"/>
        <w:rPr>
          <w:rFonts w:eastAsia="Times New Roman"/>
          <w:b/>
          <w:sz w:val="28"/>
        </w:rPr>
      </w:pPr>
    </w:p>
    <w:p w14:paraId="45F6CC64" w14:textId="77777777" w:rsidR="00BA4D25" w:rsidRPr="009A0728" w:rsidRDefault="00BA4D25" w:rsidP="009A0728">
      <w:pPr>
        <w:spacing w:line="40" w:lineRule="exact"/>
        <w:rPr>
          <w:rFonts w:eastAsia="Calibri"/>
          <w:b/>
          <w:sz w:val="28"/>
        </w:rPr>
      </w:pPr>
    </w:p>
    <w:p w14:paraId="280BF0BF" w14:textId="77777777" w:rsidR="00BA4D25" w:rsidRPr="009A0728" w:rsidRDefault="00BA4D25" w:rsidP="009A0728">
      <w:pPr>
        <w:pBdr>
          <w:top w:val="single" w:sz="12" w:space="0" w:color="auto"/>
        </w:pBdr>
        <w:spacing w:line="240" w:lineRule="auto"/>
        <w:rPr>
          <w:rFonts w:eastAsia="Times New Roman"/>
          <w:b/>
          <w:sz w:val="28"/>
        </w:rPr>
      </w:pPr>
    </w:p>
    <w:p w14:paraId="4F9122AD" w14:textId="77777777" w:rsidR="00BA4D25" w:rsidRDefault="00BA4D25" w:rsidP="00BA4D25">
      <w:pPr>
        <w:pStyle w:val="Page1"/>
        <w:spacing w:before="400"/>
      </w:pPr>
      <w:r>
        <w:t>An Act to amend the law relating to aged care, and for related purposes</w:t>
      </w:r>
    </w:p>
    <w:p w14:paraId="30B1D693" w14:textId="7E147762" w:rsidR="00A035FE" w:rsidRDefault="00A035FE" w:rsidP="000C5962">
      <w:pPr>
        <w:pStyle w:val="AssentDt"/>
        <w:spacing w:before="240"/>
        <w:rPr>
          <w:sz w:val="24"/>
        </w:rPr>
      </w:pPr>
      <w:r>
        <w:rPr>
          <w:sz w:val="24"/>
        </w:rPr>
        <w:t>[</w:t>
      </w:r>
      <w:r>
        <w:rPr>
          <w:i/>
          <w:sz w:val="24"/>
        </w:rPr>
        <w:t>Assented to 28 June 2021</w:t>
      </w:r>
      <w:r>
        <w:rPr>
          <w:sz w:val="24"/>
        </w:rPr>
        <w:t>]</w:t>
      </w:r>
    </w:p>
    <w:p w14:paraId="016F1E4A" w14:textId="49C549ED" w:rsidR="0048364F" w:rsidRPr="007C4FAB" w:rsidRDefault="0048364F" w:rsidP="007C4FAB">
      <w:pPr>
        <w:spacing w:before="240" w:line="240" w:lineRule="auto"/>
        <w:rPr>
          <w:sz w:val="32"/>
        </w:rPr>
      </w:pPr>
      <w:r w:rsidRPr="007C4FAB">
        <w:rPr>
          <w:sz w:val="32"/>
        </w:rPr>
        <w:t>The Parliament of Australia enacts:</w:t>
      </w:r>
      <w:bookmarkStart w:id="1" w:name="_GoBack"/>
      <w:bookmarkEnd w:id="1"/>
    </w:p>
    <w:p w14:paraId="1EE9AF29" w14:textId="77777777" w:rsidR="0048364F" w:rsidRPr="007C4FAB" w:rsidRDefault="0048364F" w:rsidP="007C4FAB">
      <w:pPr>
        <w:pStyle w:val="ActHead5"/>
      </w:pPr>
      <w:bookmarkStart w:id="2" w:name="_Toc76035001"/>
      <w:r w:rsidRPr="00C11B80">
        <w:rPr>
          <w:rStyle w:val="CharSectno"/>
        </w:rPr>
        <w:t>1</w:t>
      </w:r>
      <w:r w:rsidRPr="007C4FAB">
        <w:t xml:space="preserve">  Short title</w:t>
      </w:r>
      <w:bookmarkEnd w:id="2"/>
    </w:p>
    <w:p w14:paraId="05F18D2B" w14:textId="77777777" w:rsidR="0048364F" w:rsidRPr="007C4FAB" w:rsidRDefault="0048364F" w:rsidP="007C4FAB">
      <w:pPr>
        <w:pStyle w:val="subsection"/>
      </w:pPr>
      <w:r w:rsidRPr="007C4FAB">
        <w:tab/>
      </w:r>
      <w:r w:rsidRPr="007C4FAB">
        <w:tab/>
        <w:t xml:space="preserve">This Act </w:t>
      </w:r>
      <w:r w:rsidR="00275197" w:rsidRPr="007C4FAB">
        <w:t xml:space="preserve">is </w:t>
      </w:r>
      <w:r w:rsidRPr="007C4FAB">
        <w:t xml:space="preserve">the </w:t>
      </w:r>
      <w:r w:rsidR="007D7D2C" w:rsidRPr="007C4FAB">
        <w:rPr>
          <w:i/>
        </w:rPr>
        <w:t>Aged Care and Other Legislation Amendment (Royal Commission Response No. 1)</w:t>
      </w:r>
      <w:r w:rsidR="00EE3E36" w:rsidRPr="007C4FAB">
        <w:rPr>
          <w:i/>
        </w:rPr>
        <w:t xml:space="preserve"> Act 20</w:t>
      </w:r>
      <w:r w:rsidR="009E186E" w:rsidRPr="007C4FAB">
        <w:rPr>
          <w:i/>
        </w:rPr>
        <w:t>21</w:t>
      </w:r>
      <w:r w:rsidRPr="007C4FAB">
        <w:t>.</w:t>
      </w:r>
    </w:p>
    <w:p w14:paraId="1EC15E5D" w14:textId="77777777" w:rsidR="0048364F" w:rsidRPr="007C4FAB" w:rsidRDefault="0048364F" w:rsidP="007C4FAB">
      <w:pPr>
        <w:pStyle w:val="ActHead5"/>
      </w:pPr>
      <w:bookmarkStart w:id="3" w:name="_Toc76035002"/>
      <w:r w:rsidRPr="00C11B80">
        <w:rPr>
          <w:rStyle w:val="CharSectno"/>
        </w:rPr>
        <w:lastRenderedPageBreak/>
        <w:t>2</w:t>
      </w:r>
      <w:r w:rsidRPr="007C4FAB">
        <w:t xml:space="preserve">  Commencement</w:t>
      </w:r>
      <w:bookmarkEnd w:id="3"/>
    </w:p>
    <w:p w14:paraId="7B4DC64C" w14:textId="77777777" w:rsidR="0048364F" w:rsidRPr="007C4FAB" w:rsidRDefault="0048364F" w:rsidP="007C4FAB">
      <w:pPr>
        <w:pStyle w:val="subsection"/>
      </w:pPr>
      <w:r w:rsidRPr="007C4FAB">
        <w:tab/>
        <w:t>(1)</w:t>
      </w:r>
      <w:r w:rsidRPr="007C4FAB">
        <w:tab/>
        <w:t>Each provision of this Act specified in column 1 of the table commences, or is taken to have commenced, in accordance with column 2 of the table. Any other statement in column 2 has effect according to its terms.</w:t>
      </w:r>
    </w:p>
    <w:p w14:paraId="71BD561E" w14:textId="77777777" w:rsidR="0048364F" w:rsidRPr="007C4FAB" w:rsidRDefault="0048364F" w:rsidP="007C4FA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C4FAB" w14:paraId="47E571C8" w14:textId="77777777" w:rsidTr="00FE4D15">
        <w:trPr>
          <w:tblHeader/>
        </w:trPr>
        <w:tc>
          <w:tcPr>
            <w:tcW w:w="7111" w:type="dxa"/>
            <w:gridSpan w:val="3"/>
            <w:tcBorders>
              <w:top w:val="single" w:sz="12" w:space="0" w:color="auto"/>
              <w:bottom w:val="single" w:sz="6" w:space="0" w:color="auto"/>
            </w:tcBorders>
            <w:shd w:val="clear" w:color="auto" w:fill="auto"/>
          </w:tcPr>
          <w:p w14:paraId="079DB2EA" w14:textId="77777777" w:rsidR="0048364F" w:rsidRPr="007C4FAB" w:rsidRDefault="0048364F" w:rsidP="007C4FAB">
            <w:pPr>
              <w:pStyle w:val="TableHeading"/>
            </w:pPr>
            <w:r w:rsidRPr="007C4FAB">
              <w:t>Commencement information</w:t>
            </w:r>
          </w:p>
        </w:tc>
      </w:tr>
      <w:tr w:rsidR="0048364F" w:rsidRPr="007C4FAB" w14:paraId="733C6A2A" w14:textId="77777777" w:rsidTr="00FE4D15">
        <w:trPr>
          <w:tblHeader/>
        </w:trPr>
        <w:tc>
          <w:tcPr>
            <w:tcW w:w="1701" w:type="dxa"/>
            <w:tcBorders>
              <w:top w:val="single" w:sz="6" w:space="0" w:color="auto"/>
              <w:bottom w:val="single" w:sz="6" w:space="0" w:color="auto"/>
            </w:tcBorders>
            <w:shd w:val="clear" w:color="auto" w:fill="auto"/>
          </w:tcPr>
          <w:p w14:paraId="484AD707" w14:textId="77777777" w:rsidR="0048364F" w:rsidRPr="007C4FAB" w:rsidRDefault="0048364F" w:rsidP="007C4FAB">
            <w:pPr>
              <w:pStyle w:val="TableHeading"/>
            </w:pPr>
            <w:r w:rsidRPr="007C4FAB">
              <w:t>Column 1</w:t>
            </w:r>
          </w:p>
        </w:tc>
        <w:tc>
          <w:tcPr>
            <w:tcW w:w="3828" w:type="dxa"/>
            <w:tcBorders>
              <w:top w:val="single" w:sz="6" w:space="0" w:color="auto"/>
              <w:bottom w:val="single" w:sz="6" w:space="0" w:color="auto"/>
            </w:tcBorders>
            <w:shd w:val="clear" w:color="auto" w:fill="auto"/>
          </w:tcPr>
          <w:p w14:paraId="7A280B6B" w14:textId="77777777" w:rsidR="0048364F" w:rsidRPr="007C4FAB" w:rsidRDefault="0048364F" w:rsidP="007C4FAB">
            <w:pPr>
              <w:pStyle w:val="TableHeading"/>
            </w:pPr>
            <w:r w:rsidRPr="007C4FAB">
              <w:t>Column 2</w:t>
            </w:r>
          </w:p>
        </w:tc>
        <w:tc>
          <w:tcPr>
            <w:tcW w:w="1582" w:type="dxa"/>
            <w:tcBorders>
              <w:top w:val="single" w:sz="6" w:space="0" w:color="auto"/>
              <w:bottom w:val="single" w:sz="6" w:space="0" w:color="auto"/>
            </w:tcBorders>
            <w:shd w:val="clear" w:color="auto" w:fill="auto"/>
          </w:tcPr>
          <w:p w14:paraId="6D4B0CF1" w14:textId="77777777" w:rsidR="0048364F" w:rsidRPr="007C4FAB" w:rsidRDefault="0048364F" w:rsidP="007C4FAB">
            <w:pPr>
              <w:pStyle w:val="TableHeading"/>
            </w:pPr>
            <w:r w:rsidRPr="007C4FAB">
              <w:t>Column 3</w:t>
            </w:r>
          </w:p>
        </w:tc>
      </w:tr>
      <w:tr w:rsidR="0048364F" w:rsidRPr="007C4FAB" w14:paraId="4936F98D" w14:textId="77777777" w:rsidTr="00FE4D15">
        <w:trPr>
          <w:tblHeader/>
        </w:trPr>
        <w:tc>
          <w:tcPr>
            <w:tcW w:w="1701" w:type="dxa"/>
            <w:tcBorders>
              <w:top w:val="single" w:sz="6" w:space="0" w:color="auto"/>
              <w:bottom w:val="single" w:sz="12" w:space="0" w:color="auto"/>
            </w:tcBorders>
            <w:shd w:val="clear" w:color="auto" w:fill="auto"/>
          </w:tcPr>
          <w:p w14:paraId="6FC1CDC2" w14:textId="77777777" w:rsidR="0048364F" w:rsidRPr="007C4FAB" w:rsidRDefault="0048364F" w:rsidP="007C4FAB">
            <w:pPr>
              <w:pStyle w:val="TableHeading"/>
            </w:pPr>
            <w:r w:rsidRPr="007C4FAB">
              <w:t>Provisions</w:t>
            </w:r>
          </w:p>
        </w:tc>
        <w:tc>
          <w:tcPr>
            <w:tcW w:w="3828" w:type="dxa"/>
            <w:tcBorders>
              <w:top w:val="single" w:sz="6" w:space="0" w:color="auto"/>
              <w:bottom w:val="single" w:sz="12" w:space="0" w:color="auto"/>
            </w:tcBorders>
            <w:shd w:val="clear" w:color="auto" w:fill="auto"/>
          </w:tcPr>
          <w:p w14:paraId="78FF7918" w14:textId="77777777" w:rsidR="0048364F" w:rsidRPr="007C4FAB" w:rsidRDefault="0048364F" w:rsidP="007C4FAB">
            <w:pPr>
              <w:pStyle w:val="TableHeading"/>
            </w:pPr>
            <w:r w:rsidRPr="007C4FAB">
              <w:t>Commencement</w:t>
            </w:r>
          </w:p>
        </w:tc>
        <w:tc>
          <w:tcPr>
            <w:tcW w:w="1582" w:type="dxa"/>
            <w:tcBorders>
              <w:top w:val="single" w:sz="6" w:space="0" w:color="auto"/>
              <w:bottom w:val="single" w:sz="12" w:space="0" w:color="auto"/>
            </w:tcBorders>
            <w:shd w:val="clear" w:color="auto" w:fill="auto"/>
          </w:tcPr>
          <w:p w14:paraId="7BD58407" w14:textId="77777777" w:rsidR="0048364F" w:rsidRPr="007C4FAB" w:rsidRDefault="0048364F" w:rsidP="007C4FAB">
            <w:pPr>
              <w:pStyle w:val="TableHeading"/>
            </w:pPr>
            <w:r w:rsidRPr="007C4FAB">
              <w:t>Date/Details</w:t>
            </w:r>
          </w:p>
        </w:tc>
      </w:tr>
      <w:tr w:rsidR="0048364F" w:rsidRPr="007C4FAB" w14:paraId="6DE45068" w14:textId="77777777" w:rsidTr="00FE4D15">
        <w:tc>
          <w:tcPr>
            <w:tcW w:w="1701" w:type="dxa"/>
            <w:tcBorders>
              <w:top w:val="single" w:sz="12" w:space="0" w:color="auto"/>
            </w:tcBorders>
            <w:shd w:val="clear" w:color="auto" w:fill="auto"/>
          </w:tcPr>
          <w:p w14:paraId="5D107D8C" w14:textId="77777777" w:rsidR="0048364F" w:rsidRPr="007C4FAB" w:rsidRDefault="0048364F" w:rsidP="007C4FAB">
            <w:pPr>
              <w:pStyle w:val="Tabletext"/>
            </w:pPr>
            <w:r w:rsidRPr="007C4FAB">
              <w:t xml:space="preserve">1.  </w:t>
            </w:r>
            <w:r w:rsidR="00791EF9" w:rsidRPr="007C4FAB">
              <w:t>Sections 1</w:t>
            </w:r>
            <w:r w:rsidRPr="007C4FAB">
              <w:t xml:space="preserve"> to 3 and anything in this Act not elsewhere covered by this table</w:t>
            </w:r>
          </w:p>
        </w:tc>
        <w:tc>
          <w:tcPr>
            <w:tcW w:w="3828" w:type="dxa"/>
            <w:tcBorders>
              <w:top w:val="single" w:sz="12" w:space="0" w:color="auto"/>
            </w:tcBorders>
            <w:shd w:val="clear" w:color="auto" w:fill="auto"/>
          </w:tcPr>
          <w:p w14:paraId="5CAD5034" w14:textId="77777777" w:rsidR="0048364F" w:rsidRPr="007C4FAB" w:rsidRDefault="0048364F" w:rsidP="007C4FAB">
            <w:pPr>
              <w:pStyle w:val="Tabletext"/>
            </w:pPr>
            <w:r w:rsidRPr="007C4FAB">
              <w:t>The day this Act receives the Royal Assent.</w:t>
            </w:r>
          </w:p>
        </w:tc>
        <w:tc>
          <w:tcPr>
            <w:tcW w:w="1582" w:type="dxa"/>
            <w:tcBorders>
              <w:top w:val="single" w:sz="12" w:space="0" w:color="auto"/>
            </w:tcBorders>
            <w:shd w:val="clear" w:color="auto" w:fill="auto"/>
          </w:tcPr>
          <w:p w14:paraId="7FEACDC1" w14:textId="7280D8CD" w:rsidR="0048364F" w:rsidRPr="007C4FAB" w:rsidRDefault="005D6511" w:rsidP="007C4FAB">
            <w:pPr>
              <w:pStyle w:val="Tabletext"/>
            </w:pPr>
            <w:r>
              <w:t>28 June 2021</w:t>
            </w:r>
          </w:p>
        </w:tc>
      </w:tr>
      <w:tr w:rsidR="007D7D2C" w:rsidRPr="007C4FAB" w14:paraId="5C2D2EA3" w14:textId="77777777" w:rsidTr="00FE4D15">
        <w:tc>
          <w:tcPr>
            <w:tcW w:w="1701" w:type="dxa"/>
            <w:shd w:val="clear" w:color="auto" w:fill="auto"/>
          </w:tcPr>
          <w:p w14:paraId="6AEDAA2D" w14:textId="77777777" w:rsidR="007D7D2C" w:rsidRPr="007C4FAB" w:rsidRDefault="006C0440" w:rsidP="007C4FAB">
            <w:pPr>
              <w:pStyle w:val="Tabletext"/>
            </w:pPr>
            <w:r w:rsidRPr="007C4FAB">
              <w:t>2</w:t>
            </w:r>
            <w:r w:rsidR="007D7D2C" w:rsidRPr="007C4FAB">
              <w:t xml:space="preserve">.  </w:t>
            </w:r>
            <w:r w:rsidR="00791EF9" w:rsidRPr="007C4FAB">
              <w:t>Schedule 1</w:t>
            </w:r>
          </w:p>
        </w:tc>
        <w:tc>
          <w:tcPr>
            <w:tcW w:w="3828" w:type="dxa"/>
            <w:shd w:val="clear" w:color="auto" w:fill="auto"/>
          </w:tcPr>
          <w:p w14:paraId="3AA67F0D" w14:textId="77777777" w:rsidR="007D7D2C" w:rsidRPr="007C4FAB" w:rsidRDefault="00791EF9" w:rsidP="007C4FAB">
            <w:pPr>
              <w:pStyle w:val="Tabletext"/>
            </w:pPr>
            <w:r w:rsidRPr="007C4FAB">
              <w:t>1 July</w:t>
            </w:r>
            <w:r w:rsidR="007D7D2C" w:rsidRPr="007C4FAB">
              <w:t xml:space="preserve"> 2021.</w:t>
            </w:r>
          </w:p>
        </w:tc>
        <w:tc>
          <w:tcPr>
            <w:tcW w:w="1582" w:type="dxa"/>
            <w:shd w:val="clear" w:color="auto" w:fill="auto"/>
          </w:tcPr>
          <w:p w14:paraId="2064F58F" w14:textId="77777777" w:rsidR="007D7D2C" w:rsidRPr="007C4FAB" w:rsidRDefault="00791EF9" w:rsidP="007C4FAB">
            <w:pPr>
              <w:pStyle w:val="Tabletext"/>
            </w:pPr>
            <w:r w:rsidRPr="007C4FAB">
              <w:t>1 July</w:t>
            </w:r>
            <w:r w:rsidR="007D7D2C" w:rsidRPr="007C4FAB">
              <w:t xml:space="preserve"> 2021</w:t>
            </w:r>
          </w:p>
        </w:tc>
      </w:tr>
      <w:tr w:rsidR="0048364F" w:rsidRPr="007C4FAB" w14:paraId="7E9065D4" w14:textId="77777777" w:rsidTr="00FE4D15">
        <w:tc>
          <w:tcPr>
            <w:tcW w:w="1701" w:type="dxa"/>
            <w:tcBorders>
              <w:bottom w:val="single" w:sz="2" w:space="0" w:color="auto"/>
            </w:tcBorders>
            <w:shd w:val="clear" w:color="auto" w:fill="auto"/>
          </w:tcPr>
          <w:p w14:paraId="4C630C30" w14:textId="77777777" w:rsidR="0048364F" w:rsidRPr="007C4FAB" w:rsidRDefault="006C0440" w:rsidP="007C4FAB">
            <w:pPr>
              <w:pStyle w:val="Tabletext"/>
            </w:pPr>
            <w:r w:rsidRPr="007C4FAB">
              <w:t>3</w:t>
            </w:r>
            <w:r w:rsidR="0048364F" w:rsidRPr="007C4FAB">
              <w:t xml:space="preserve">.  </w:t>
            </w:r>
            <w:r w:rsidR="00791EF9" w:rsidRPr="007C4FAB">
              <w:t>Schedule 2</w:t>
            </w:r>
          </w:p>
        </w:tc>
        <w:tc>
          <w:tcPr>
            <w:tcW w:w="3828" w:type="dxa"/>
            <w:tcBorders>
              <w:bottom w:val="single" w:sz="2" w:space="0" w:color="auto"/>
            </w:tcBorders>
            <w:shd w:val="clear" w:color="auto" w:fill="auto"/>
          </w:tcPr>
          <w:p w14:paraId="0ED779A3" w14:textId="77777777" w:rsidR="0048364F" w:rsidRPr="007C4FAB" w:rsidRDefault="005B2B6C" w:rsidP="007C4FAB">
            <w:pPr>
              <w:pStyle w:val="Tabletext"/>
            </w:pPr>
            <w:r w:rsidRPr="007C4FAB">
              <w:t>The day after this Act receives the Royal Assent.</w:t>
            </w:r>
          </w:p>
        </w:tc>
        <w:tc>
          <w:tcPr>
            <w:tcW w:w="1582" w:type="dxa"/>
            <w:tcBorders>
              <w:bottom w:val="single" w:sz="2" w:space="0" w:color="auto"/>
            </w:tcBorders>
            <w:shd w:val="clear" w:color="auto" w:fill="auto"/>
          </w:tcPr>
          <w:p w14:paraId="7B6220C7" w14:textId="3700BDDE" w:rsidR="0048364F" w:rsidRPr="007C4FAB" w:rsidRDefault="005D6511" w:rsidP="007C4FAB">
            <w:pPr>
              <w:pStyle w:val="Tabletext"/>
            </w:pPr>
            <w:r>
              <w:t>29 June 2021</w:t>
            </w:r>
          </w:p>
        </w:tc>
      </w:tr>
      <w:tr w:rsidR="0048364F" w:rsidRPr="007C4FAB" w14:paraId="1E63BE78" w14:textId="77777777" w:rsidTr="00FE4D15">
        <w:tc>
          <w:tcPr>
            <w:tcW w:w="1701" w:type="dxa"/>
            <w:tcBorders>
              <w:top w:val="single" w:sz="2" w:space="0" w:color="auto"/>
              <w:bottom w:val="single" w:sz="12" w:space="0" w:color="auto"/>
            </w:tcBorders>
            <w:shd w:val="clear" w:color="auto" w:fill="auto"/>
          </w:tcPr>
          <w:p w14:paraId="049F79D2" w14:textId="77777777" w:rsidR="0048364F" w:rsidRPr="007C4FAB" w:rsidRDefault="006C0440" w:rsidP="007C4FAB">
            <w:pPr>
              <w:pStyle w:val="Tabletext"/>
            </w:pPr>
            <w:r w:rsidRPr="007C4FAB">
              <w:t>4</w:t>
            </w:r>
            <w:r w:rsidR="0048364F" w:rsidRPr="007C4FAB">
              <w:t xml:space="preserve">.  </w:t>
            </w:r>
            <w:r w:rsidR="00791EF9" w:rsidRPr="007C4FAB">
              <w:t>Schedule 3</w:t>
            </w:r>
          </w:p>
        </w:tc>
        <w:tc>
          <w:tcPr>
            <w:tcW w:w="3828" w:type="dxa"/>
            <w:tcBorders>
              <w:top w:val="single" w:sz="2" w:space="0" w:color="auto"/>
              <w:bottom w:val="single" w:sz="12" w:space="0" w:color="auto"/>
            </w:tcBorders>
            <w:shd w:val="clear" w:color="auto" w:fill="auto"/>
          </w:tcPr>
          <w:p w14:paraId="75110DE1" w14:textId="77777777" w:rsidR="0048364F" w:rsidRPr="007C4FAB" w:rsidRDefault="00791EF9" w:rsidP="007C4FAB">
            <w:pPr>
              <w:pStyle w:val="Tabletext"/>
            </w:pPr>
            <w:r w:rsidRPr="007C4FAB">
              <w:t>1 July</w:t>
            </w:r>
            <w:r w:rsidR="005B2B6C" w:rsidRPr="007C4FAB">
              <w:t xml:space="preserve"> 2021.</w:t>
            </w:r>
          </w:p>
        </w:tc>
        <w:tc>
          <w:tcPr>
            <w:tcW w:w="1582" w:type="dxa"/>
            <w:tcBorders>
              <w:top w:val="single" w:sz="2" w:space="0" w:color="auto"/>
              <w:bottom w:val="single" w:sz="12" w:space="0" w:color="auto"/>
            </w:tcBorders>
            <w:shd w:val="clear" w:color="auto" w:fill="auto"/>
          </w:tcPr>
          <w:p w14:paraId="2A4E7177" w14:textId="77777777" w:rsidR="0048364F" w:rsidRPr="007C4FAB" w:rsidRDefault="00791EF9" w:rsidP="007C4FAB">
            <w:pPr>
              <w:pStyle w:val="Tabletext"/>
            </w:pPr>
            <w:r w:rsidRPr="007C4FAB">
              <w:t>1 July</w:t>
            </w:r>
            <w:r w:rsidR="005B2B6C" w:rsidRPr="007C4FAB">
              <w:t xml:space="preserve"> 20</w:t>
            </w:r>
            <w:r w:rsidR="00E32FE0" w:rsidRPr="007C4FAB">
              <w:t>21</w:t>
            </w:r>
          </w:p>
        </w:tc>
      </w:tr>
    </w:tbl>
    <w:p w14:paraId="738ECC12" w14:textId="77777777" w:rsidR="0048364F" w:rsidRPr="007C4FAB" w:rsidRDefault="00201D27" w:rsidP="007C4FAB">
      <w:pPr>
        <w:pStyle w:val="notetext"/>
      </w:pPr>
      <w:r w:rsidRPr="007C4FAB">
        <w:t>Note:</w:t>
      </w:r>
      <w:r w:rsidRPr="007C4FAB">
        <w:tab/>
        <w:t>This table relates only to the provisions of this Act as originally enacted. It will not be amended to deal with any later amendments of this Act.</w:t>
      </w:r>
    </w:p>
    <w:p w14:paraId="4837BD82" w14:textId="77777777" w:rsidR="0048364F" w:rsidRPr="007C4FAB" w:rsidRDefault="0048364F" w:rsidP="007C4FAB">
      <w:pPr>
        <w:pStyle w:val="subsection"/>
      </w:pPr>
      <w:r w:rsidRPr="007C4FAB">
        <w:tab/>
        <w:t>(2)</w:t>
      </w:r>
      <w:r w:rsidRPr="007C4FAB">
        <w:tab/>
      </w:r>
      <w:r w:rsidR="00201D27" w:rsidRPr="007C4FAB">
        <w:t xml:space="preserve">Any information in </w:t>
      </w:r>
      <w:r w:rsidR="00877D48" w:rsidRPr="007C4FAB">
        <w:t>c</w:t>
      </w:r>
      <w:r w:rsidR="00201D27" w:rsidRPr="007C4FAB">
        <w:t>olumn 3 of the table is not part of this Act. Information may be inserted in this column, or information in it may be edited, in any published version of this Act.</w:t>
      </w:r>
    </w:p>
    <w:p w14:paraId="1D6DFE85" w14:textId="77777777" w:rsidR="0048364F" w:rsidRPr="007C4FAB" w:rsidRDefault="0048364F" w:rsidP="007C4FAB">
      <w:pPr>
        <w:pStyle w:val="ActHead5"/>
      </w:pPr>
      <w:bookmarkStart w:id="4" w:name="_Toc76035003"/>
      <w:r w:rsidRPr="00C11B80">
        <w:rPr>
          <w:rStyle w:val="CharSectno"/>
        </w:rPr>
        <w:t>3</w:t>
      </w:r>
      <w:r w:rsidRPr="007C4FAB">
        <w:t xml:space="preserve">  Schedules</w:t>
      </w:r>
      <w:bookmarkEnd w:id="4"/>
    </w:p>
    <w:p w14:paraId="1FC9E313" w14:textId="77777777" w:rsidR="0048364F" w:rsidRPr="007C4FAB" w:rsidRDefault="0048364F" w:rsidP="007C4FAB">
      <w:pPr>
        <w:pStyle w:val="subsection"/>
      </w:pPr>
      <w:r w:rsidRPr="007C4FAB">
        <w:tab/>
      </w:r>
      <w:r w:rsidRPr="007C4FAB">
        <w:tab/>
      </w:r>
      <w:r w:rsidR="00202618" w:rsidRPr="007C4FAB">
        <w:t>Legislation that is specified in a Schedule to this Act is amended or repealed as set out in the applicable items in the Schedule concerned, and any other item in a Schedule to this Act has effect according to its terms.</w:t>
      </w:r>
    </w:p>
    <w:p w14:paraId="1F191091" w14:textId="77777777" w:rsidR="007D7D2C" w:rsidRPr="007C4FAB" w:rsidRDefault="00791EF9" w:rsidP="007C4FAB">
      <w:pPr>
        <w:pStyle w:val="ActHead6"/>
        <w:pageBreakBefore/>
      </w:pPr>
      <w:bookmarkStart w:id="5" w:name="_Toc76035004"/>
      <w:bookmarkStart w:id="6" w:name="opcAmSched"/>
      <w:r w:rsidRPr="00C11B80">
        <w:rPr>
          <w:rStyle w:val="CharAmSchNo"/>
        </w:rPr>
        <w:lastRenderedPageBreak/>
        <w:t>Schedule 1</w:t>
      </w:r>
      <w:r w:rsidR="007D7D2C" w:rsidRPr="007C4FAB">
        <w:t>—</w:t>
      </w:r>
      <w:r w:rsidR="007D7D2C" w:rsidRPr="00C11B80">
        <w:rPr>
          <w:rStyle w:val="CharAmSchText"/>
        </w:rPr>
        <w:t>Amendments relating to restrictive practices</w:t>
      </w:r>
      <w:bookmarkEnd w:id="5"/>
    </w:p>
    <w:bookmarkEnd w:id="6"/>
    <w:p w14:paraId="1F9D5B27" w14:textId="77777777" w:rsidR="006C0440" w:rsidRPr="00C11B80" w:rsidRDefault="006C0440" w:rsidP="007C4FAB">
      <w:pPr>
        <w:pStyle w:val="Header"/>
      </w:pPr>
      <w:r w:rsidRPr="00C11B80">
        <w:rPr>
          <w:rStyle w:val="CharAmPartNo"/>
        </w:rPr>
        <w:t xml:space="preserve"> </w:t>
      </w:r>
      <w:r w:rsidRPr="00C11B80">
        <w:rPr>
          <w:rStyle w:val="CharAmPartText"/>
        </w:rPr>
        <w:t xml:space="preserve"> </w:t>
      </w:r>
    </w:p>
    <w:p w14:paraId="72BE9DCA" w14:textId="77777777" w:rsidR="00E32FE0" w:rsidRPr="007C4FAB" w:rsidRDefault="00E32FE0" w:rsidP="007C4FAB">
      <w:pPr>
        <w:pStyle w:val="ActHead9"/>
        <w:rPr>
          <w:i w:val="0"/>
        </w:rPr>
      </w:pPr>
      <w:bookmarkStart w:id="7" w:name="_Toc76035005"/>
      <w:r w:rsidRPr="007C4FAB">
        <w:t>Aged Care Act 1997</w:t>
      </w:r>
      <w:bookmarkEnd w:id="7"/>
    </w:p>
    <w:p w14:paraId="15B8382F" w14:textId="77777777" w:rsidR="00E32FE0" w:rsidRPr="007C4FAB" w:rsidRDefault="00B32C39" w:rsidP="007C4FAB">
      <w:pPr>
        <w:pStyle w:val="ItemHead"/>
      </w:pPr>
      <w:r w:rsidRPr="007C4FAB">
        <w:t>1</w:t>
      </w:r>
      <w:r w:rsidR="00E32FE0" w:rsidRPr="007C4FAB">
        <w:t xml:space="preserve">  After paragraph 54</w:t>
      </w:r>
      <w:r w:rsidR="007C4FAB">
        <w:noBreakHyphen/>
      </w:r>
      <w:r w:rsidR="00E32FE0" w:rsidRPr="007C4FAB">
        <w:t>1(1)(e)</w:t>
      </w:r>
    </w:p>
    <w:p w14:paraId="575028D5" w14:textId="77777777" w:rsidR="00E32FE0" w:rsidRPr="007C4FAB" w:rsidRDefault="00E32FE0" w:rsidP="007C4FAB">
      <w:pPr>
        <w:pStyle w:val="Item"/>
      </w:pPr>
      <w:r w:rsidRPr="007C4FAB">
        <w:t>Insert:</w:t>
      </w:r>
    </w:p>
    <w:p w14:paraId="393B5157" w14:textId="77777777" w:rsidR="008D06E1" w:rsidRPr="007C4FAB" w:rsidRDefault="008D06E1" w:rsidP="007C4FAB">
      <w:pPr>
        <w:pStyle w:val="paragraph"/>
      </w:pPr>
      <w:r w:rsidRPr="007C4FAB">
        <w:tab/>
      </w:r>
      <w:r w:rsidR="004274A2" w:rsidRPr="007C4FAB">
        <w:t>(f)</w:t>
      </w:r>
      <w:r w:rsidR="004274A2" w:rsidRPr="007C4FAB">
        <w:tab/>
        <w:t xml:space="preserve">if the provider provides aged care of a kind specified in the Quality of Care Principles to care recipients—to ensure a </w:t>
      </w:r>
      <w:r w:rsidR="007C4FAB" w:rsidRPr="007C4FAB">
        <w:rPr>
          <w:position w:val="6"/>
          <w:sz w:val="16"/>
        </w:rPr>
        <w:t>*</w:t>
      </w:r>
      <w:r w:rsidR="004274A2" w:rsidRPr="007C4FAB">
        <w:t>restrictive practice in relation to those recipients is only used in the circumstances set out in those Principles;</w:t>
      </w:r>
    </w:p>
    <w:p w14:paraId="33AC47E7" w14:textId="77777777" w:rsidR="00E32FE0" w:rsidRPr="007C4FAB" w:rsidRDefault="00B32C39" w:rsidP="007C4FAB">
      <w:pPr>
        <w:pStyle w:val="ItemHead"/>
      </w:pPr>
      <w:r w:rsidRPr="007C4FAB">
        <w:t>2</w:t>
      </w:r>
      <w:r w:rsidR="00E32FE0" w:rsidRPr="007C4FAB">
        <w:t xml:space="preserve">  Paragraph 54</w:t>
      </w:r>
      <w:r w:rsidR="007C4FAB">
        <w:noBreakHyphen/>
      </w:r>
      <w:r w:rsidR="00E32FE0" w:rsidRPr="007C4FAB">
        <w:t>3(2)(g)</w:t>
      </w:r>
    </w:p>
    <w:p w14:paraId="734F45D4" w14:textId="77777777" w:rsidR="00E32FE0" w:rsidRPr="007C4FAB" w:rsidRDefault="00E32FE0" w:rsidP="007C4FAB">
      <w:pPr>
        <w:pStyle w:val="Item"/>
      </w:pPr>
      <w:r w:rsidRPr="007C4FAB">
        <w:t xml:space="preserve">Omit “physical restraint or chemical restraint”, substitute “a </w:t>
      </w:r>
      <w:r w:rsidR="007C4FAB" w:rsidRPr="007C4FAB">
        <w:rPr>
          <w:position w:val="6"/>
          <w:sz w:val="16"/>
        </w:rPr>
        <w:t>*</w:t>
      </w:r>
      <w:r w:rsidRPr="007C4FAB">
        <w:t>restrictive practice”.</w:t>
      </w:r>
    </w:p>
    <w:p w14:paraId="4336B8D9" w14:textId="77777777" w:rsidR="00E32FE0" w:rsidRPr="007C4FAB" w:rsidRDefault="00B32C39" w:rsidP="007C4FAB">
      <w:pPr>
        <w:pStyle w:val="ItemHead"/>
      </w:pPr>
      <w:r w:rsidRPr="007C4FAB">
        <w:t>3</w:t>
      </w:r>
      <w:r w:rsidR="00E32FE0" w:rsidRPr="007C4FAB">
        <w:t xml:space="preserve">  At the end of Division 54</w:t>
      </w:r>
    </w:p>
    <w:p w14:paraId="255E26CA" w14:textId="77777777" w:rsidR="00E32FE0" w:rsidRPr="007C4FAB" w:rsidRDefault="00E32FE0" w:rsidP="007C4FAB">
      <w:pPr>
        <w:pStyle w:val="Item"/>
      </w:pPr>
      <w:r w:rsidRPr="007C4FAB">
        <w:t>Add:</w:t>
      </w:r>
    </w:p>
    <w:p w14:paraId="2802D193" w14:textId="77777777" w:rsidR="00E32FE0" w:rsidRPr="007C4FAB" w:rsidRDefault="00E32FE0" w:rsidP="007C4FAB">
      <w:pPr>
        <w:pStyle w:val="ActHead5"/>
      </w:pPr>
      <w:bookmarkStart w:id="8" w:name="_Toc76035006"/>
      <w:r w:rsidRPr="00C11B80">
        <w:rPr>
          <w:rStyle w:val="CharSectno"/>
        </w:rPr>
        <w:t>54</w:t>
      </w:r>
      <w:r w:rsidR="007C4FAB" w:rsidRPr="00C11B80">
        <w:rPr>
          <w:rStyle w:val="CharSectno"/>
        </w:rPr>
        <w:noBreakHyphen/>
      </w:r>
      <w:r w:rsidRPr="00C11B80">
        <w:rPr>
          <w:rStyle w:val="CharSectno"/>
        </w:rPr>
        <w:t>9</w:t>
      </w:r>
      <w:r w:rsidRPr="007C4FAB">
        <w:t xml:space="preserve">  Restrictive practice in relation to a care recipient</w:t>
      </w:r>
      <w:bookmarkEnd w:id="8"/>
    </w:p>
    <w:p w14:paraId="0F2EC51A" w14:textId="77777777" w:rsidR="00E32FE0" w:rsidRPr="007C4FAB" w:rsidRDefault="00E32FE0" w:rsidP="007C4FAB">
      <w:pPr>
        <w:pStyle w:val="subsection"/>
      </w:pPr>
      <w:r w:rsidRPr="007C4FAB">
        <w:tab/>
        <w:t>(1)</w:t>
      </w:r>
      <w:r w:rsidRPr="007C4FAB">
        <w:tab/>
        <w:t xml:space="preserve">A </w:t>
      </w:r>
      <w:r w:rsidRPr="007C4FAB">
        <w:rPr>
          <w:b/>
          <w:i/>
        </w:rPr>
        <w:t>restrictive practice</w:t>
      </w:r>
      <w:r w:rsidRPr="007C4FAB">
        <w:t xml:space="preserve"> in relation to a care recipient is any practice or intervention that has the effect of restricting the rights or freedom of movement of the care recipient.</w:t>
      </w:r>
    </w:p>
    <w:p w14:paraId="104C41FA" w14:textId="77777777" w:rsidR="007B12EE" w:rsidRPr="007C4FAB" w:rsidRDefault="007B12EE" w:rsidP="007C4FAB">
      <w:pPr>
        <w:pStyle w:val="subsection"/>
      </w:pPr>
      <w:r w:rsidRPr="007C4FAB">
        <w:tab/>
        <w:t>(2)</w:t>
      </w:r>
      <w:r w:rsidRPr="007C4FAB">
        <w:tab/>
        <w:t xml:space="preserve">Without limiting </w:t>
      </w:r>
      <w:r w:rsidR="0083172F" w:rsidRPr="007C4FAB">
        <w:t>subsection (</w:t>
      </w:r>
      <w:r w:rsidRPr="007C4FAB">
        <w:t xml:space="preserve">1), the Quality of Care Principles may provide that a practice or intervention is a </w:t>
      </w:r>
      <w:r w:rsidRPr="007C4FAB">
        <w:rPr>
          <w:b/>
          <w:i/>
        </w:rPr>
        <w:t>restrictive practice</w:t>
      </w:r>
      <w:r w:rsidRPr="007C4FAB">
        <w:t xml:space="preserve"> in relation to a care recipient.</w:t>
      </w:r>
    </w:p>
    <w:p w14:paraId="588BCAE4" w14:textId="77777777" w:rsidR="00E32FE0" w:rsidRPr="007C4FAB" w:rsidRDefault="00E32FE0" w:rsidP="007C4FAB">
      <w:pPr>
        <w:pStyle w:val="ActHead5"/>
      </w:pPr>
      <w:bookmarkStart w:id="9" w:name="_Toc76035007"/>
      <w:r w:rsidRPr="00C11B80">
        <w:rPr>
          <w:rStyle w:val="CharSectno"/>
        </w:rPr>
        <w:t>54</w:t>
      </w:r>
      <w:r w:rsidR="007C4FAB" w:rsidRPr="00C11B80">
        <w:rPr>
          <w:rStyle w:val="CharSectno"/>
        </w:rPr>
        <w:noBreakHyphen/>
      </w:r>
      <w:r w:rsidRPr="00C11B80">
        <w:rPr>
          <w:rStyle w:val="CharSectno"/>
        </w:rPr>
        <w:t>10</w:t>
      </w:r>
      <w:r w:rsidRPr="007C4FAB">
        <w:t xml:space="preserve">  Matters that Quality of Care Principles must require etc.</w:t>
      </w:r>
      <w:bookmarkEnd w:id="9"/>
    </w:p>
    <w:p w14:paraId="05F37A14" w14:textId="77777777" w:rsidR="00E32FE0" w:rsidRPr="007C4FAB" w:rsidRDefault="00E32FE0" w:rsidP="007C4FAB">
      <w:pPr>
        <w:pStyle w:val="subsection"/>
      </w:pPr>
      <w:r w:rsidRPr="007C4FAB">
        <w:tab/>
        <w:t>(1)</w:t>
      </w:r>
      <w:r w:rsidRPr="007C4FAB">
        <w:tab/>
        <w:t>The Quality of Care Principles made for the purposes of paragraph 54</w:t>
      </w:r>
      <w:r w:rsidR="007C4FAB">
        <w:noBreakHyphen/>
      </w:r>
      <w:r w:rsidRPr="007C4FAB">
        <w:t>1(1)(f) must:</w:t>
      </w:r>
    </w:p>
    <w:p w14:paraId="689EFE4C" w14:textId="77777777" w:rsidR="007B12EE" w:rsidRPr="007C4FAB" w:rsidRDefault="007B12EE" w:rsidP="007C4FAB">
      <w:pPr>
        <w:pStyle w:val="paragraph"/>
      </w:pPr>
      <w:r w:rsidRPr="007C4FAB">
        <w:tab/>
        <w:t>(a)</w:t>
      </w:r>
      <w:r w:rsidRPr="007C4FAB">
        <w:tab/>
        <w:t xml:space="preserve">require that a </w:t>
      </w:r>
      <w:r w:rsidR="007C4FAB" w:rsidRPr="007C4FAB">
        <w:rPr>
          <w:position w:val="6"/>
          <w:sz w:val="16"/>
        </w:rPr>
        <w:t>*</w:t>
      </w:r>
      <w:r w:rsidRPr="007C4FAB">
        <w:t>restrictive practice in relation to a care recipient is used</w:t>
      </w:r>
      <w:r w:rsidR="002B1F6C" w:rsidRPr="007C4FAB">
        <w:t xml:space="preserve"> only</w:t>
      </w:r>
      <w:r w:rsidRPr="007C4FAB">
        <w:t>:</w:t>
      </w:r>
    </w:p>
    <w:p w14:paraId="368E89D1" w14:textId="77777777" w:rsidR="002B1F6C" w:rsidRPr="007C4FAB" w:rsidRDefault="002B1F6C" w:rsidP="007C4FAB">
      <w:pPr>
        <w:pStyle w:val="paragraphsub"/>
      </w:pPr>
      <w:r w:rsidRPr="007C4FAB">
        <w:tab/>
        <w:t>(i)</w:t>
      </w:r>
      <w:r w:rsidRPr="007C4FAB">
        <w:tab/>
        <w:t>as a last resort to prevent harm to the care recipient or other persons; and</w:t>
      </w:r>
    </w:p>
    <w:p w14:paraId="1549F976" w14:textId="77777777" w:rsidR="007B12EE" w:rsidRPr="007C4FAB" w:rsidRDefault="007B12EE" w:rsidP="007C4FAB">
      <w:pPr>
        <w:pStyle w:val="paragraphsub"/>
      </w:pPr>
      <w:r w:rsidRPr="007C4FAB">
        <w:lastRenderedPageBreak/>
        <w:tab/>
        <w:t>(</w:t>
      </w:r>
      <w:r w:rsidR="002B1F6C" w:rsidRPr="007C4FAB">
        <w:t>i</w:t>
      </w:r>
      <w:r w:rsidRPr="007C4FAB">
        <w:t>i)</w:t>
      </w:r>
      <w:r w:rsidRPr="007C4FAB">
        <w:tab/>
        <w:t>after consideration of the likely impact of the use of the practice on the care recipient; and</w:t>
      </w:r>
    </w:p>
    <w:p w14:paraId="51F3D1DF" w14:textId="77777777" w:rsidR="00E32FE0" w:rsidRPr="007C4FAB" w:rsidRDefault="00E32FE0" w:rsidP="007C4FAB">
      <w:pPr>
        <w:pStyle w:val="paragraph"/>
      </w:pPr>
      <w:r w:rsidRPr="007C4FAB">
        <w:tab/>
        <w:t>(b)</w:t>
      </w:r>
      <w:r w:rsidRPr="007C4FAB">
        <w:tab/>
        <w:t>require that, to the extent possible, alternative</w:t>
      </w:r>
      <w:r w:rsidR="00623C4A" w:rsidRPr="007C4FAB">
        <w:t xml:space="preserve"> strategies</w:t>
      </w:r>
      <w:r w:rsidRPr="007C4FAB">
        <w:t xml:space="preserve"> are used before </w:t>
      </w:r>
      <w:r w:rsidR="007B12EE" w:rsidRPr="007C4FAB">
        <w:t>a</w:t>
      </w:r>
      <w:r w:rsidRPr="007C4FAB">
        <w:t xml:space="preserve"> restrictive practice</w:t>
      </w:r>
      <w:r w:rsidR="007B12EE" w:rsidRPr="007C4FAB">
        <w:t xml:space="preserve"> in relation to a care recipient</w:t>
      </w:r>
      <w:r w:rsidRPr="007C4FAB">
        <w:t xml:space="preserve"> is used; and</w:t>
      </w:r>
    </w:p>
    <w:p w14:paraId="11C74616" w14:textId="77777777" w:rsidR="00E32FE0" w:rsidRPr="007C4FAB" w:rsidRDefault="00E32FE0" w:rsidP="007C4FAB">
      <w:pPr>
        <w:pStyle w:val="paragraph"/>
      </w:pPr>
      <w:r w:rsidRPr="007C4FAB">
        <w:tab/>
        <w:t>(c)</w:t>
      </w:r>
      <w:r w:rsidRPr="007C4FAB">
        <w:tab/>
        <w:t>require that alternative</w:t>
      </w:r>
      <w:r w:rsidR="00651837" w:rsidRPr="007C4FAB">
        <w:t xml:space="preserve"> strategies</w:t>
      </w:r>
      <w:r w:rsidRPr="007C4FAB">
        <w:t xml:space="preserve"> that have been considered or used</w:t>
      </w:r>
      <w:r w:rsidR="007B12EE" w:rsidRPr="007C4FAB">
        <w:t xml:space="preserve"> in relation to a care recipient</w:t>
      </w:r>
      <w:r w:rsidRPr="007C4FAB">
        <w:t xml:space="preserve"> are documented; and</w:t>
      </w:r>
    </w:p>
    <w:p w14:paraId="24D866F3" w14:textId="77777777" w:rsidR="00E32FE0" w:rsidRPr="007C4FAB" w:rsidRDefault="00E32FE0" w:rsidP="007C4FAB">
      <w:pPr>
        <w:pStyle w:val="paragraph"/>
      </w:pPr>
      <w:r w:rsidRPr="007C4FAB">
        <w:tab/>
        <w:t>(d)</w:t>
      </w:r>
      <w:r w:rsidRPr="007C4FAB">
        <w:tab/>
        <w:t>require that a restrictive practice in relation to a care recipient is used only to the extent that it is necessary and in proportion to the risk of harm to the care recipient or other persons; and</w:t>
      </w:r>
    </w:p>
    <w:p w14:paraId="1CF25185" w14:textId="77777777" w:rsidR="00E32FE0" w:rsidRPr="007C4FAB" w:rsidRDefault="00E32FE0" w:rsidP="007C4FAB">
      <w:pPr>
        <w:pStyle w:val="paragraph"/>
      </w:pPr>
      <w:r w:rsidRPr="007C4FAB">
        <w:tab/>
        <w:t>(e)</w:t>
      </w:r>
      <w:r w:rsidRPr="007C4FAB">
        <w:tab/>
        <w:t>require that, if a restrictive practice in relation to a care recipient is used, it is used in the least restrictive form, and for the shortest time, necessary to prevent harm to the care recipient or other persons; and</w:t>
      </w:r>
    </w:p>
    <w:p w14:paraId="172E1B9C" w14:textId="77777777" w:rsidR="00E32FE0" w:rsidRPr="007C4FAB" w:rsidRDefault="00E32FE0" w:rsidP="007C4FAB">
      <w:pPr>
        <w:pStyle w:val="paragraph"/>
      </w:pPr>
      <w:r w:rsidRPr="007C4FAB">
        <w:tab/>
        <w:t>(f)</w:t>
      </w:r>
      <w:r w:rsidRPr="007C4FAB">
        <w:tab/>
        <w:t>require that informed consent is given to the use of a restrictive practice in relation to a care recipient; and</w:t>
      </w:r>
    </w:p>
    <w:p w14:paraId="5EE5DD4D" w14:textId="77777777" w:rsidR="00E32FE0" w:rsidRPr="007C4FAB" w:rsidRDefault="00E32FE0" w:rsidP="007C4FAB">
      <w:pPr>
        <w:pStyle w:val="paragraph"/>
      </w:pPr>
      <w:r w:rsidRPr="007C4FAB">
        <w:tab/>
        <w:t>(g)</w:t>
      </w:r>
      <w:r w:rsidRPr="007C4FAB">
        <w:tab/>
        <w:t>require that the use of a restrictive practice in relation to a care recipient is not inconsistent with any rights and responsibilities of care recipients that are specified in the User Rights Principles made for the purposes of paragraph 56</w:t>
      </w:r>
      <w:r w:rsidR="007C4FAB">
        <w:noBreakHyphen/>
      </w:r>
      <w:r w:rsidRPr="007C4FAB">
        <w:t>1(m); and</w:t>
      </w:r>
    </w:p>
    <w:p w14:paraId="3367C491" w14:textId="77777777" w:rsidR="00E32FE0" w:rsidRPr="007C4FAB" w:rsidRDefault="00E32FE0" w:rsidP="007C4FAB">
      <w:pPr>
        <w:pStyle w:val="paragraph"/>
      </w:pPr>
      <w:r w:rsidRPr="007C4FAB">
        <w:tab/>
        <w:t>(h)</w:t>
      </w:r>
      <w:r w:rsidRPr="007C4FAB">
        <w:tab/>
        <w:t>make provision for, or in relation to, the monitoring and review of the use of a restrictive practice in relation to a care recipient.</w:t>
      </w:r>
    </w:p>
    <w:p w14:paraId="2EECB03D" w14:textId="77777777" w:rsidR="00E32FE0" w:rsidRPr="007C4FAB" w:rsidRDefault="00E32FE0" w:rsidP="007C4FAB">
      <w:pPr>
        <w:pStyle w:val="subsection"/>
      </w:pPr>
      <w:r w:rsidRPr="007C4FAB">
        <w:tab/>
        <w:t>(2)</w:t>
      </w:r>
      <w:r w:rsidRPr="007C4FAB">
        <w:tab/>
        <w:t>The Quality of Care Principles made for the purposes of paragraph 54</w:t>
      </w:r>
      <w:r w:rsidR="007C4FAB">
        <w:noBreakHyphen/>
      </w:r>
      <w:r w:rsidRPr="007C4FAB">
        <w:t xml:space="preserve">1(1)(f) may provide that a requirement specified in those Principles does not apply if the use of a </w:t>
      </w:r>
      <w:r w:rsidR="007C4FAB" w:rsidRPr="007C4FAB">
        <w:rPr>
          <w:position w:val="6"/>
          <w:sz w:val="16"/>
        </w:rPr>
        <w:t>*</w:t>
      </w:r>
      <w:r w:rsidRPr="007C4FAB">
        <w:t>restrictive practice in relation to a care recipient is necessary in an emergency.</w:t>
      </w:r>
    </w:p>
    <w:p w14:paraId="4931EB87" w14:textId="77777777" w:rsidR="00E32FE0" w:rsidRPr="007C4FAB" w:rsidRDefault="00E32FE0" w:rsidP="007C4FAB">
      <w:pPr>
        <w:pStyle w:val="subsection"/>
      </w:pPr>
      <w:r w:rsidRPr="007C4FAB">
        <w:tab/>
        <w:t>(3)</w:t>
      </w:r>
      <w:r w:rsidRPr="007C4FAB">
        <w:tab/>
        <w:t>Subsections (1) and (2) do not limit the matters that may be specified in the Quality of Care Principles made for the purposes of paragraph 54</w:t>
      </w:r>
      <w:r w:rsidR="007C4FAB">
        <w:noBreakHyphen/>
      </w:r>
      <w:r w:rsidRPr="007C4FAB">
        <w:t>1(1)(f).</w:t>
      </w:r>
    </w:p>
    <w:p w14:paraId="1B256BF1" w14:textId="77777777" w:rsidR="00E32FE0" w:rsidRPr="007C4FAB" w:rsidRDefault="00B32C39" w:rsidP="007C4FAB">
      <w:pPr>
        <w:pStyle w:val="ItemHead"/>
      </w:pPr>
      <w:r w:rsidRPr="007C4FAB">
        <w:t>4</w:t>
      </w:r>
      <w:r w:rsidR="00E32FE0" w:rsidRPr="007C4FAB">
        <w:t xml:space="preserve">  Clause 1 of Schedule 1</w:t>
      </w:r>
    </w:p>
    <w:p w14:paraId="05AAC47C" w14:textId="77777777" w:rsidR="00E32FE0" w:rsidRPr="007C4FAB" w:rsidRDefault="00E32FE0" w:rsidP="007C4FAB">
      <w:pPr>
        <w:pStyle w:val="Item"/>
      </w:pPr>
      <w:r w:rsidRPr="007C4FAB">
        <w:t>Insert:</w:t>
      </w:r>
    </w:p>
    <w:p w14:paraId="03408AEA" w14:textId="77777777" w:rsidR="00E32FE0" w:rsidRPr="007C4FAB" w:rsidRDefault="00E32FE0" w:rsidP="007C4FAB">
      <w:pPr>
        <w:pStyle w:val="Definition"/>
      </w:pPr>
      <w:r w:rsidRPr="007C4FAB">
        <w:rPr>
          <w:b/>
          <w:i/>
        </w:rPr>
        <w:t>restrictive practice</w:t>
      </w:r>
      <w:r w:rsidRPr="007C4FAB">
        <w:t>, in relation to a care recipient, has the meaning given by section 54</w:t>
      </w:r>
      <w:r w:rsidR="007C4FAB">
        <w:noBreakHyphen/>
      </w:r>
      <w:r w:rsidRPr="007C4FAB">
        <w:t>9.</w:t>
      </w:r>
    </w:p>
    <w:p w14:paraId="5E1DD985" w14:textId="77777777" w:rsidR="00E32FE0" w:rsidRPr="007C4FAB" w:rsidRDefault="00E32FE0" w:rsidP="007C4FAB">
      <w:pPr>
        <w:pStyle w:val="ActHead9"/>
        <w:rPr>
          <w:i w:val="0"/>
        </w:rPr>
      </w:pPr>
      <w:bookmarkStart w:id="10" w:name="_Toc76035008"/>
      <w:r w:rsidRPr="007C4FAB">
        <w:lastRenderedPageBreak/>
        <w:t>Aged Care Quality and Safety Commission Act 2018</w:t>
      </w:r>
      <w:bookmarkEnd w:id="10"/>
    </w:p>
    <w:p w14:paraId="3A2EAB18" w14:textId="77777777" w:rsidR="00E32FE0" w:rsidRPr="007C4FAB" w:rsidRDefault="00B32C39" w:rsidP="007C4FAB">
      <w:pPr>
        <w:pStyle w:val="ItemHead"/>
      </w:pPr>
      <w:r w:rsidRPr="007C4FAB">
        <w:t>5</w:t>
      </w:r>
      <w:r w:rsidR="00E32FE0" w:rsidRPr="007C4FAB">
        <w:t xml:space="preserve">  Section 7 (definition of </w:t>
      </w:r>
      <w:r w:rsidR="00E32FE0" w:rsidRPr="007C4FAB">
        <w:rPr>
          <w:i/>
        </w:rPr>
        <w:t>compliance notice</w:t>
      </w:r>
      <w:r w:rsidR="00E32FE0" w:rsidRPr="007C4FAB">
        <w:t>)</w:t>
      </w:r>
    </w:p>
    <w:p w14:paraId="2B669827" w14:textId="77777777" w:rsidR="00E32FE0" w:rsidRPr="007C4FAB" w:rsidRDefault="00E32FE0" w:rsidP="007C4FAB">
      <w:pPr>
        <w:pStyle w:val="Item"/>
      </w:pPr>
      <w:r w:rsidRPr="007C4FAB">
        <w:t>Omit “section 74EE”, substitute “subsection 74EE(1) or (1A)”.</w:t>
      </w:r>
    </w:p>
    <w:p w14:paraId="19E7E13E" w14:textId="77777777" w:rsidR="00E32FE0" w:rsidRPr="007C4FAB" w:rsidRDefault="00B32C39" w:rsidP="007C4FAB">
      <w:pPr>
        <w:pStyle w:val="ItemHead"/>
      </w:pPr>
      <w:r w:rsidRPr="007C4FAB">
        <w:t>6</w:t>
      </w:r>
      <w:r w:rsidR="00E32FE0" w:rsidRPr="007C4FAB">
        <w:t xml:space="preserve">  Section 74A (paragraph beginning “The Commissioner may give”)</w:t>
      </w:r>
    </w:p>
    <w:p w14:paraId="6FB8CF87" w14:textId="77777777" w:rsidR="00E32FE0" w:rsidRPr="007C4FAB" w:rsidRDefault="00E32FE0" w:rsidP="007C4FAB">
      <w:pPr>
        <w:pStyle w:val="Item"/>
      </w:pPr>
      <w:r w:rsidRPr="007C4FAB">
        <w:t>After “paragraph 54</w:t>
      </w:r>
      <w:r w:rsidR="007C4FAB">
        <w:noBreakHyphen/>
      </w:r>
      <w:r w:rsidRPr="007C4FAB">
        <w:t>1(1)(e)”, insert “or (f)”.</w:t>
      </w:r>
    </w:p>
    <w:p w14:paraId="1FFE5D3D" w14:textId="77777777" w:rsidR="00E32FE0" w:rsidRPr="007C4FAB" w:rsidRDefault="00B32C39" w:rsidP="007C4FAB">
      <w:pPr>
        <w:pStyle w:val="ItemHead"/>
      </w:pPr>
      <w:r w:rsidRPr="007C4FAB">
        <w:t>7</w:t>
      </w:r>
      <w:r w:rsidR="00E32FE0" w:rsidRPr="007C4FAB">
        <w:t xml:space="preserve">  Before subsection 74EE(1)</w:t>
      </w:r>
    </w:p>
    <w:p w14:paraId="7C4BB5EA" w14:textId="77777777" w:rsidR="00E32FE0" w:rsidRPr="007C4FAB" w:rsidRDefault="00E32FE0" w:rsidP="007C4FAB">
      <w:pPr>
        <w:pStyle w:val="Item"/>
      </w:pPr>
      <w:r w:rsidRPr="007C4FAB">
        <w:t>Insert:</w:t>
      </w:r>
    </w:p>
    <w:p w14:paraId="7F8EBA28" w14:textId="77777777" w:rsidR="00E32FE0" w:rsidRPr="007C4FAB" w:rsidRDefault="00E32FE0" w:rsidP="007C4FAB">
      <w:pPr>
        <w:pStyle w:val="SubsectionHead"/>
      </w:pPr>
      <w:r w:rsidRPr="007C4FAB">
        <w:t>Incident management provisions</w:t>
      </w:r>
    </w:p>
    <w:p w14:paraId="21887CF4" w14:textId="77777777" w:rsidR="00E32FE0" w:rsidRPr="007C4FAB" w:rsidRDefault="00B32C39" w:rsidP="007C4FAB">
      <w:pPr>
        <w:pStyle w:val="ItemHead"/>
      </w:pPr>
      <w:r w:rsidRPr="007C4FAB">
        <w:t>8</w:t>
      </w:r>
      <w:r w:rsidR="00E32FE0" w:rsidRPr="007C4FAB">
        <w:t xml:space="preserve">  Subsection 74EE(1)</w:t>
      </w:r>
    </w:p>
    <w:p w14:paraId="0C2E7030" w14:textId="77777777" w:rsidR="00E32FE0" w:rsidRPr="007C4FAB" w:rsidRDefault="00E32FE0" w:rsidP="007C4FAB">
      <w:pPr>
        <w:pStyle w:val="Item"/>
      </w:pPr>
      <w:r w:rsidRPr="007C4FAB">
        <w:t xml:space="preserve">Omit “(a </w:t>
      </w:r>
      <w:r w:rsidRPr="007C4FAB">
        <w:rPr>
          <w:b/>
          <w:i/>
        </w:rPr>
        <w:t>compliance notice</w:t>
      </w:r>
      <w:r w:rsidRPr="007C4FAB">
        <w:t>)”.</w:t>
      </w:r>
    </w:p>
    <w:p w14:paraId="6C92A937" w14:textId="77777777" w:rsidR="00E32FE0" w:rsidRPr="007C4FAB" w:rsidRDefault="00B32C39" w:rsidP="007C4FAB">
      <w:pPr>
        <w:pStyle w:val="ItemHead"/>
      </w:pPr>
      <w:r w:rsidRPr="007C4FAB">
        <w:t>9</w:t>
      </w:r>
      <w:r w:rsidR="00E32FE0" w:rsidRPr="007C4FAB">
        <w:t xml:space="preserve">  After subsection 74EE(1)</w:t>
      </w:r>
    </w:p>
    <w:p w14:paraId="5172A3A2" w14:textId="77777777" w:rsidR="00E32FE0" w:rsidRPr="007C4FAB" w:rsidRDefault="00E32FE0" w:rsidP="007C4FAB">
      <w:pPr>
        <w:pStyle w:val="Item"/>
      </w:pPr>
      <w:r w:rsidRPr="007C4FAB">
        <w:t>Insert:</w:t>
      </w:r>
    </w:p>
    <w:p w14:paraId="35FC530C" w14:textId="77777777" w:rsidR="00E32FE0" w:rsidRPr="007C4FAB" w:rsidRDefault="00E32FE0" w:rsidP="007C4FAB">
      <w:pPr>
        <w:pStyle w:val="SubsectionHead"/>
      </w:pPr>
      <w:r w:rsidRPr="007C4FAB">
        <w:t>Use of restrictive practices</w:t>
      </w:r>
    </w:p>
    <w:p w14:paraId="2C0ABAFE" w14:textId="77777777" w:rsidR="00E32FE0" w:rsidRPr="007C4FAB" w:rsidRDefault="00E32FE0" w:rsidP="007C4FAB">
      <w:pPr>
        <w:pStyle w:val="subsection"/>
      </w:pPr>
      <w:r w:rsidRPr="007C4FAB">
        <w:tab/>
        <w:t>(1A)</w:t>
      </w:r>
      <w:r w:rsidRPr="007C4FAB">
        <w:tab/>
        <w:t>The Commissioner may give to an approved provider a written notice if the Commissioner:</w:t>
      </w:r>
    </w:p>
    <w:p w14:paraId="32B46EA0" w14:textId="77777777" w:rsidR="00E32FE0" w:rsidRPr="007C4FAB" w:rsidRDefault="00E32FE0" w:rsidP="007C4FAB">
      <w:pPr>
        <w:pStyle w:val="paragraph"/>
      </w:pPr>
      <w:r w:rsidRPr="007C4FAB">
        <w:tab/>
        <w:t>(a)</w:t>
      </w:r>
      <w:r w:rsidRPr="007C4FAB">
        <w:tab/>
        <w:t>is satisfied that an approved provider is not complying with the provider’s responsibility under paragraph 54</w:t>
      </w:r>
      <w:r w:rsidR="007C4FAB">
        <w:noBreakHyphen/>
      </w:r>
      <w:r w:rsidRPr="007C4FAB">
        <w:t>1(1)(f) of the Aged Care Act; or</w:t>
      </w:r>
    </w:p>
    <w:p w14:paraId="4F04CD7C" w14:textId="77777777" w:rsidR="00E32FE0" w:rsidRPr="007C4FAB" w:rsidRDefault="00E32FE0" w:rsidP="007C4FAB">
      <w:pPr>
        <w:pStyle w:val="paragraph"/>
      </w:pPr>
      <w:r w:rsidRPr="007C4FAB">
        <w:tab/>
        <w:t>(b)</w:t>
      </w:r>
      <w:r w:rsidRPr="007C4FAB">
        <w:tab/>
        <w:t>is aware of information that suggests that an approved provider may not be complying with that responsibility.</w:t>
      </w:r>
    </w:p>
    <w:p w14:paraId="064BF454" w14:textId="77777777" w:rsidR="00E32FE0" w:rsidRPr="007C4FAB" w:rsidRDefault="00E32FE0" w:rsidP="007C4FAB">
      <w:pPr>
        <w:pStyle w:val="SubsectionHead"/>
      </w:pPr>
      <w:r w:rsidRPr="007C4FAB">
        <w:t>Compliance notice</w:t>
      </w:r>
    </w:p>
    <w:p w14:paraId="2AE8EBAC" w14:textId="77777777" w:rsidR="00E32FE0" w:rsidRPr="007C4FAB" w:rsidRDefault="00B32C39" w:rsidP="007C4FAB">
      <w:pPr>
        <w:pStyle w:val="ItemHead"/>
      </w:pPr>
      <w:r w:rsidRPr="007C4FAB">
        <w:t>10</w:t>
      </w:r>
      <w:r w:rsidR="00E32FE0" w:rsidRPr="007C4FAB">
        <w:t xml:space="preserve">  Section 74J (table item 6</w:t>
      </w:r>
      <w:r w:rsidR="00FF6C47" w:rsidRPr="007C4FAB">
        <w:t>, column 1</w:t>
      </w:r>
      <w:r w:rsidR="00E32FE0" w:rsidRPr="007C4FAB">
        <w:t>)</w:t>
      </w:r>
    </w:p>
    <w:p w14:paraId="44A5DEF4" w14:textId="77777777" w:rsidR="007D7D2C" w:rsidRPr="007C4FAB" w:rsidRDefault="00E32FE0" w:rsidP="007C4FAB">
      <w:pPr>
        <w:pStyle w:val="Item"/>
      </w:pPr>
      <w:r w:rsidRPr="007C4FAB">
        <w:t>Omit “section 74EE”, substitute “subsection 74EE(1) or (1A)”.</w:t>
      </w:r>
    </w:p>
    <w:p w14:paraId="2A671CB2" w14:textId="77777777" w:rsidR="00D70C53" w:rsidRPr="007C4FAB" w:rsidRDefault="00D70C53" w:rsidP="007C4FAB">
      <w:pPr>
        <w:pStyle w:val="ActHead6"/>
        <w:pageBreakBefore/>
      </w:pPr>
      <w:bookmarkStart w:id="11" w:name="_Toc76035009"/>
      <w:r w:rsidRPr="00C11B80">
        <w:rPr>
          <w:rStyle w:val="CharAmSchNo"/>
        </w:rPr>
        <w:lastRenderedPageBreak/>
        <w:t>Schedule 2</w:t>
      </w:r>
      <w:r w:rsidRPr="007C4FAB">
        <w:t>—</w:t>
      </w:r>
      <w:r w:rsidRPr="00C11B80">
        <w:rPr>
          <w:rStyle w:val="CharAmSchText"/>
        </w:rPr>
        <w:t>Amendments relating to home care assurance reviews</w:t>
      </w:r>
      <w:bookmarkEnd w:id="11"/>
    </w:p>
    <w:p w14:paraId="50C49B46" w14:textId="77777777" w:rsidR="00D70C53" w:rsidRPr="00C11B80" w:rsidRDefault="00D70C53" w:rsidP="007C4FAB">
      <w:pPr>
        <w:pStyle w:val="Header"/>
      </w:pPr>
      <w:r w:rsidRPr="00C11B80">
        <w:rPr>
          <w:rStyle w:val="CharAmPartNo"/>
        </w:rPr>
        <w:t xml:space="preserve"> </w:t>
      </w:r>
      <w:r w:rsidRPr="00C11B80">
        <w:rPr>
          <w:rStyle w:val="CharAmPartText"/>
        </w:rPr>
        <w:t xml:space="preserve"> </w:t>
      </w:r>
    </w:p>
    <w:p w14:paraId="2185B8A1" w14:textId="77777777" w:rsidR="00D70C53" w:rsidRPr="007C4FAB" w:rsidRDefault="00D70C53" w:rsidP="007C4FAB">
      <w:pPr>
        <w:pStyle w:val="ActHead9"/>
        <w:rPr>
          <w:i w:val="0"/>
        </w:rPr>
      </w:pPr>
      <w:bookmarkStart w:id="12" w:name="_Toc76035010"/>
      <w:r w:rsidRPr="007C4FAB">
        <w:t>Aged Care Act 1997</w:t>
      </w:r>
      <w:bookmarkEnd w:id="12"/>
    </w:p>
    <w:p w14:paraId="2208B70E" w14:textId="77777777" w:rsidR="00D70C53" w:rsidRPr="007C4FAB" w:rsidRDefault="00D70C53" w:rsidP="007C4FAB">
      <w:pPr>
        <w:pStyle w:val="ItemHead"/>
      </w:pPr>
      <w:r w:rsidRPr="007C4FAB">
        <w:t>1  At the end of section 84</w:t>
      </w:r>
      <w:r w:rsidR="007C4FAB">
        <w:noBreakHyphen/>
      </w:r>
      <w:r w:rsidRPr="007C4FAB">
        <w:t>1</w:t>
      </w:r>
    </w:p>
    <w:p w14:paraId="43636143" w14:textId="77777777" w:rsidR="00D70C53" w:rsidRPr="007C4FAB" w:rsidRDefault="00D70C53" w:rsidP="007C4FAB">
      <w:pPr>
        <w:pStyle w:val="Item"/>
      </w:pPr>
      <w:r w:rsidRPr="007C4FAB">
        <w:t>Add:</w:t>
      </w:r>
    </w:p>
    <w:p w14:paraId="569724A0" w14:textId="77777777" w:rsidR="00D70C53" w:rsidRPr="007C4FAB" w:rsidRDefault="00D70C53" w:rsidP="007C4FAB">
      <w:pPr>
        <w:pStyle w:val="SOPara"/>
      </w:pPr>
      <w:r w:rsidRPr="007C4FAB">
        <w:tab/>
        <w:t>; (i)</w:t>
      </w:r>
      <w:r w:rsidRPr="007C4FAB">
        <w:tab/>
        <w:t>home care assurance reviews (see Part 6</w:t>
      </w:r>
      <w:r w:rsidR="00CE5D53" w:rsidRPr="007C4FAB">
        <w:t>.</w:t>
      </w:r>
      <w:r w:rsidRPr="007C4FAB">
        <w:t>8).</w:t>
      </w:r>
    </w:p>
    <w:p w14:paraId="7F64ED6E" w14:textId="77777777" w:rsidR="00D70C53" w:rsidRPr="007C4FAB" w:rsidRDefault="00D70C53" w:rsidP="007C4FAB">
      <w:pPr>
        <w:pStyle w:val="ItemHead"/>
      </w:pPr>
      <w:r w:rsidRPr="007C4FAB">
        <w:t>2  After paragraph 86</w:t>
      </w:r>
      <w:r w:rsidR="007C4FAB">
        <w:noBreakHyphen/>
      </w:r>
      <w:r w:rsidRPr="007C4FAB">
        <w:t>9(1)(l)</w:t>
      </w:r>
    </w:p>
    <w:p w14:paraId="5DF596F6" w14:textId="77777777" w:rsidR="00D70C53" w:rsidRPr="007C4FAB" w:rsidRDefault="00D70C53" w:rsidP="007C4FAB">
      <w:pPr>
        <w:pStyle w:val="Item"/>
      </w:pPr>
      <w:r w:rsidRPr="007C4FAB">
        <w:t>Insert:</w:t>
      </w:r>
    </w:p>
    <w:p w14:paraId="31AD3AE7" w14:textId="77777777" w:rsidR="00D70C53" w:rsidRPr="007C4FAB" w:rsidRDefault="00D70C53" w:rsidP="007C4FAB">
      <w:pPr>
        <w:pStyle w:val="paragraph"/>
      </w:pPr>
      <w:r w:rsidRPr="007C4FAB">
        <w:tab/>
        <w:t>(la)</w:t>
      </w:r>
      <w:r w:rsidRPr="007C4FAB">
        <w:tab/>
        <w:t>information about any non</w:t>
      </w:r>
      <w:r w:rsidR="007C4FAB">
        <w:noBreakHyphen/>
      </w:r>
      <w:r w:rsidRPr="007C4FAB">
        <w:t xml:space="preserve">compliance with notices given to the approved provider under </w:t>
      </w:r>
      <w:r w:rsidR="0083172F" w:rsidRPr="007C4FAB">
        <w:t>section 9</w:t>
      </w:r>
      <w:r w:rsidRPr="007C4FAB">
        <w:t>5BA</w:t>
      </w:r>
      <w:r w:rsidR="007C4FAB">
        <w:noBreakHyphen/>
      </w:r>
      <w:r w:rsidRPr="007C4FAB">
        <w:t>5 or 95BA</w:t>
      </w:r>
      <w:r w:rsidR="007C4FAB">
        <w:noBreakHyphen/>
      </w:r>
      <w:r w:rsidRPr="007C4FAB">
        <w:t>6;</w:t>
      </w:r>
    </w:p>
    <w:p w14:paraId="5DB97A18" w14:textId="77777777" w:rsidR="00D70C53" w:rsidRPr="007C4FAB" w:rsidRDefault="00D70C53" w:rsidP="007C4FAB">
      <w:pPr>
        <w:pStyle w:val="paragraph"/>
      </w:pPr>
      <w:r w:rsidRPr="007C4FAB">
        <w:tab/>
        <w:t>(lb)</w:t>
      </w:r>
      <w:r w:rsidRPr="007C4FAB">
        <w:tab/>
        <w:t xml:space="preserve">information about any failure of the approved provider to comply with </w:t>
      </w:r>
      <w:r w:rsidR="0083172F" w:rsidRPr="007C4FAB">
        <w:t>section 9</w:t>
      </w:r>
      <w:r w:rsidRPr="007C4FAB">
        <w:t>5BA</w:t>
      </w:r>
      <w:r w:rsidR="007C4FAB">
        <w:noBreakHyphen/>
      </w:r>
      <w:r w:rsidRPr="007C4FAB">
        <w:t>7;</w:t>
      </w:r>
    </w:p>
    <w:p w14:paraId="2F8DE42E" w14:textId="77777777" w:rsidR="00D70C53" w:rsidRPr="007C4FAB" w:rsidRDefault="00D70C53" w:rsidP="007C4FAB">
      <w:pPr>
        <w:pStyle w:val="ItemHead"/>
      </w:pPr>
      <w:r w:rsidRPr="007C4FAB">
        <w:t>3  At the end of Chapter 6</w:t>
      </w:r>
    </w:p>
    <w:p w14:paraId="71777D0B" w14:textId="77777777" w:rsidR="00D70C53" w:rsidRPr="007C4FAB" w:rsidRDefault="00D70C53" w:rsidP="007C4FAB">
      <w:pPr>
        <w:pStyle w:val="Item"/>
      </w:pPr>
      <w:r w:rsidRPr="007C4FAB">
        <w:t>Add:</w:t>
      </w:r>
    </w:p>
    <w:p w14:paraId="10050204" w14:textId="77777777" w:rsidR="00D70C53" w:rsidRPr="007C4FAB" w:rsidRDefault="00D70C53" w:rsidP="007C4FAB">
      <w:pPr>
        <w:pStyle w:val="ActHead2"/>
      </w:pPr>
      <w:bookmarkStart w:id="13" w:name="_Toc76035011"/>
      <w:bookmarkStart w:id="14" w:name="_Hlk70001630"/>
      <w:r w:rsidRPr="00C11B80">
        <w:rPr>
          <w:rStyle w:val="CharPartNo"/>
        </w:rPr>
        <w:t>Part 6</w:t>
      </w:r>
      <w:r w:rsidR="00CE5D53" w:rsidRPr="00C11B80">
        <w:rPr>
          <w:rStyle w:val="CharPartNo"/>
        </w:rPr>
        <w:t>.</w:t>
      </w:r>
      <w:r w:rsidRPr="00C11B80">
        <w:rPr>
          <w:rStyle w:val="CharPartNo"/>
        </w:rPr>
        <w:t>8</w:t>
      </w:r>
      <w:r w:rsidRPr="007C4FAB">
        <w:t>—</w:t>
      </w:r>
      <w:r w:rsidRPr="00C11B80">
        <w:rPr>
          <w:rStyle w:val="CharPartText"/>
        </w:rPr>
        <w:t>Home care assurance reviews</w:t>
      </w:r>
      <w:bookmarkEnd w:id="13"/>
    </w:p>
    <w:p w14:paraId="2B2B0009" w14:textId="77777777" w:rsidR="00D70C53" w:rsidRPr="007C4FAB" w:rsidRDefault="00D70C53" w:rsidP="007C4FAB">
      <w:pPr>
        <w:pStyle w:val="ActHead3"/>
      </w:pPr>
      <w:bookmarkStart w:id="15" w:name="_Toc76035012"/>
      <w:r w:rsidRPr="00C11B80">
        <w:rPr>
          <w:rStyle w:val="CharDivNo"/>
        </w:rPr>
        <w:t>Division 95BA</w:t>
      </w:r>
      <w:r w:rsidRPr="007C4FAB">
        <w:t>—</w:t>
      </w:r>
      <w:r w:rsidRPr="00C11B80">
        <w:rPr>
          <w:rStyle w:val="CharDivText"/>
        </w:rPr>
        <w:t>Home care assurance reviews</w:t>
      </w:r>
      <w:bookmarkEnd w:id="15"/>
    </w:p>
    <w:p w14:paraId="2BAD3608" w14:textId="77777777" w:rsidR="00D70C53" w:rsidRPr="007C4FAB" w:rsidRDefault="00D70C53" w:rsidP="007C4FAB">
      <w:pPr>
        <w:pStyle w:val="ActHead5"/>
      </w:pPr>
      <w:bookmarkStart w:id="16" w:name="_Toc76035013"/>
      <w:r w:rsidRPr="00C11B80">
        <w:rPr>
          <w:rStyle w:val="CharSectno"/>
        </w:rPr>
        <w:t>95BA</w:t>
      </w:r>
      <w:r w:rsidR="007C4FAB" w:rsidRPr="00C11B80">
        <w:rPr>
          <w:rStyle w:val="CharSectno"/>
        </w:rPr>
        <w:noBreakHyphen/>
      </w:r>
      <w:r w:rsidRPr="00C11B80">
        <w:rPr>
          <w:rStyle w:val="CharSectno"/>
        </w:rPr>
        <w:t>1</w:t>
      </w:r>
      <w:r w:rsidRPr="007C4FAB">
        <w:t xml:space="preserve">  Home care assurance reviews</w:t>
      </w:r>
      <w:bookmarkEnd w:id="16"/>
    </w:p>
    <w:p w14:paraId="2EFEA5CD" w14:textId="77777777" w:rsidR="00D70C53" w:rsidRPr="007C4FAB" w:rsidRDefault="00D70C53" w:rsidP="007C4FAB">
      <w:pPr>
        <w:pStyle w:val="subsection"/>
        <w:rPr>
          <w:i/>
        </w:rPr>
      </w:pPr>
      <w:r w:rsidRPr="007C4FAB">
        <w:tab/>
      </w:r>
      <w:r w:rsidRPr="007C4FAB">
        <w:tab/>
        <w:t>The Secretary may from time to time conduct reviews (</w:t>
      </w:r>
      <w:r w:rsidRPr="007C4FAB">
        <w:rPr>
          <w:b/>
          <w:i/>
        </w:rPr>
        <w:t>assurance reviews</w:t>
      </w:r>
      <w:r w:rsidRPr="007C4FAB">
        <w:t>) for the purposes of:</w:t>
      </w:r>
    </w:p>
    <w:p w14:paraId="7A2B7B97" w14:textId="77777777" w:rsidR="00D70C53" w:rsidRPr="007C4FAB" w:rsidRDefault="00D70C53" w:rsidP="007C4FAB">
      <w:pPr>
        <w:pStyle w:val="paragraph"/>
      </w:pPr>
      <w:r w:rsidRPr="007C4FAB">
        <w:tab/>
        <w:t>(a)</w:t>
      </w:r>
      <w:r w:rsidRPr="007C4FAB">
        <w:tab/>
        <w:t>assuring that arrangements for the delivery and administration of home care are effective and efficient; and</w:t>
      </w:r>
    </w:p>
    <w:p w14:paraId="7131530D" w14:textId="77777777" w:rsidR="00D70C53" w:rsidRPr="007C4FAB" w:rsidRDefault="00D70C53" w:rsidP="007C4FAB">
      <w:pPr>
        <w:pStyle w:val="paragraph"/>
      </w:pPr>
      <w:r w:rsidRPr="007C4FAB">
        <w:tab/>
        <w:t>(b)</w:t>
      </w:r>
      <w:r w:rsidRPr="007C4FAB">
        <w:tab/>
        <w:t>informing development of home care policy and education of approved providers in relation to home care and home care services.</w:t>
      </w:r>
    </w:p>
    <w:p w14:paraId="0C4C1C07" w14:textId="77777777" w:rsidR="00D70C53" w:rsidRPr="007C4FAB" w:rsidRDefault="00D70C53" w:rsidP="007C4FAB">
      <w:pPr>
        <w:pStyle w:val="ActHead5"/>
      </w:pPr>
      <w:bookmarkStart w:id="17" w:name="_Toc76035014"/>
      <w:r w:rsidRPr="00C11B80">
        <w:rPr>
          <w:rStyle w:val="CharSectno"/>
        </w:rPr>
        <w:lastRenderedPageBreak/>
        <w:t>95BA</w:t>
      </w:r>
      <w:r w:rsidR="007C4FAB" w:rsidRPr="00C11B80">
        <w:rPr>
          <w:rStyle w:val="CharSectno"/>
        </w:rPr>
        <w:noBreakHyphen/>
      </w:r>
      <w:r w:rsidRPr="00C11B80">
        <w:rPr>
          <w:rStyle w:val="CharSectno"/>
        </w:rPr>
        <w:t>2</w:t>
      </w:r>
      <w:r w:rsidRPr="007C4FAB">
        <w:t xml:space="preserve">  Scope of assurance reviews</w:t>
      </w:r>
      <w:bookmarkEnd w:id="17"/>
    </w:p>
    <w:p w14:paraId="5EDBE739" w14:textId="77777777" w:rsidR="00D70C53" w:rsidRPr="007C4FAB" w:rsidRDefault="00D70C53" w:rsidP="007C4FAB">
      <w:pPr>
        <w:pStyle w:val="subsection"/>
      </w:pPr>
      <w:r w:rsidRPr="007C4FAB">
        <w:tab/>
        <w:t>(1)</w:t>
      </w:r>
      <w:r w:rsidRPr="007C4FAB">
        <w:tab/>
        <w:t xml:space="preserve">The Secretary may, in writing, specify terms of reference for an </w:t>
      </w:r>
      <w:r w:rsidR="007C4FAB" w:rsidRPr="007C4FAB">
        <w:rPr>
          <w:position w:val="6"/>
          <w:sz w:val="16"/>
        </w:rPr>
        <w:t>*</w:t>
      </w:r>
      <w:r w:rsidRPr="007C4FAB">
        <w:t>assurance review, including:</w:t>
      </w:r>
    </w:p>
    <w:p w14:paraId="354255C4" w14:textId="77777777" w:rsidR="00D70C53" w:rsidRPr="007C4FAB" w:rsidRDefault="00D70C53" w:rsidP="007C4FAB">
      <w:pPr>
        <w:pStyle w:val="paragraph"/>
      </w:pPr>
      <w:r w:rsidRPr="007C4FAB">
        <w:tab/>
        <w:t>(a)</w:t>
      </w:r>
      <w:r w:rsidRPr="007C4FAB">
        <w:tab/>
        <w:t>the approved providers, or class or classes of approved providers, to which the review is to relate; and</w:t>
      </w:r>
    </w:p>
    <w:p w14:paraId="4CE114CC" w14:textId="77777777" w:rsidR="00D70C53" w:rsidRPr="007C4FAB" w:rsidRDefault="00D70C53" w:rsidP="007C4FAB">
      <w:pPr>
        <w:pStyle w:val="paragraph"/>
      </w:pPr>
      <w:r w:rsidRPr="007C4FAB">
        <w:tab/>
        <w:t>(b)</w:t>
      </w:r>
      <w:r w:rsidRPr="007C4FAB">
        <w:tab/>
        <w:t>the subject matter of the review.</w:t>
      </w:r>
    </w:p>
    <w:p w14:paraId="71E7B2B8" w14:textId="77777777" w:rsidR="00D70C53" w:rsidRPr="007C4FAB" w:rsidRDefault="00D70C53" w:rsidP="007C4FAB">
      <w:pPr>
        <w:pStyle w:val="subsection"/>
      </w:pPr>
      <w:r w:rsidRPr="007C4FAB">
        <w:tab/>
        <w:t>(2)</w:t>
      </w:r>
      <w:r w:rsidRPr="007C4FAB">
        <w:tab/>
        <w:t>The subject matter of the review may be any or all of the following matters, so far as they relate to home care services undertaken by approved providers and the home care provided through those services:</w:t>
      </w:r>
    </w:p>
    <w:p w14:paraId="60C02A2A" w14:textId="77777777" w:rsidR="00D70C53" w:rsidRPr="007C4FAB" w:rsidRDefault="00D70C53" w:rsidP="007C4FAB">
      <w:pPr>
        <w:pStyle w:val="paragraph"/>
      </w:pPr>
      <w:r w:rsidRPr="007C4FAB">
        <w:tab/>
        <w:t>(a)</w:t>
      </w:r>
      <w:r w:rsidRPr="007C4FAB">
        <w:tab/>
        <w:t xml:space="preserve">how approved providers are using </w:t>
      </w:r>
      <w:r w:rsidR="007C4FAB" w:rsidRPr="007C4FAB">
        <w:rPr>
          <w:position w:val="6"/>
          <w:sz w:val="16"/>
        </w:rPr>
        <w:t>*</w:t>
      </w:r>
      <w:r w:rsidRPr="007C4FAB">
        <w:t>home care subsidy and charging for home care, including justifications for amounts charged to care recipients;</w:t>
      </w:r>
    </w:p>
    <w:p w14:paraId="471E67B2" w14:textId="77777777" w:rsidR="00D70C53" w:rsidRPr="007C4FAB" w:rsidRDefault="00D70C53" w:rsidP="007C4FAB">
      <w:pPr>
        <w:pStyle w:val="paragraph"/>
      </w:pPr>
      <w:r w:rsidRPr="007C4FAB">
        <w:tab/>
        <w:t>(b)</w:t>
      </w:r>
      <w:r w:rsidRPr="007C4FAB">
        <w:tab/>
        <w:t>how approved providers are structuring their financial accounting for home care services;</w:t>
      </w:r>
    </w:p>
    <w:p w14:paraId="747CFAB7" w14:textId="77777777" w:rsidR="00D70C53" w:rsidRPr="007C4FAB" w:rsidRDefault="00D70C53" w:rsidP="007C4FAB">
      <w:pPr>
        <w:pStyle w:val="paragraph"/>
      </w:pPr>
      <w:r w:rsidRPr="007C4FAB">
        <w:tab/>
        <w:t>(c)</w:t>
      </w:r>
      <w:r w:rsidRPr="007C4FAB">
        <w:tab/>
        <w:t>the nature and type of home care provided by approved providers;</w:t>
      </w:r>
    </w:p>
    <w:p w14:paraId="79AB43A0" w14:textId="77777777" w:rsidR="00D70C53" w:rsidRPr="007C4FAB" w:rsidRDefault="00D70C53" w:rsidP="007C4FAB">
      <w:pPr>
        <w:pStyle w:val="paragraph"/>
      </w:pPr>
      <w:r w:rsidRPr="007C4FAB">
        <w:tab/>
        <w:t>(d)</w:t>
      </w:r>
      <w:r w:rsidRPr="007C4FAB">
        <w:tab/>
        <w:t>the nature and type of approved providers’ dealings with care recipients to whom home care is provided;</w:t>
      </w:r>
    </w:p>
    <w:p w14:paraId="3A4E48C9" w14:textId="77777777" w:rsidR="00D70C53" w:rsidRPr="007C4FAB" w:rsidRDefault="00D70C53" w:rsidP="007C4FAB">
      <w:pPr>
        <w:pStyle w:val="paragraph"/>
      </w:pPr>
      <w:r w:rsidRPr="007C4FAB">
        <w:tab/>
        <w:t>(e)</w:t>
      </w:r>
      <w:r w:rsidRPr="007C4FAB">
        <w:tab/>
        <w:t xml:space="preserve">any other matters the Secretary considers relate to the purposes set out in </w:t>
      </w:r>
      <w:r w:rsidR="0083172F" w:rsidRPr="007C4FAB">
        <w:t>section 9</w:t>
      </w:r>
      <w:r w:rsidRPr="007C4FAB">
        <w:t>5BA</w:t>
      </w:r>
      <w:r w:rsidR="007C4FAB">
        <w:noBreakHyphen/>
      </w:r>
      <w:r w:rsidRPr="007C4FAB">
        <w:t>1;</w:t>
      </w:r>
    </w:p>
    <w:p w14:paraId="684B2401" w14:textId="77777777" w:rsidR="00D70C53" w:rsidRPr="007C4FAB" w:rsidRDefault="00D70C53" w:rsidP="007C4FAB">
      <w:pPr>
        <w:pStyle w:val="paragraph"/>
      </w:pPr>
      <w:r w:rsidRPr="007C4FAB">
        <w:tab/>
        <w:t>(f)</w:t>
      </w:r>
      <w:r w:rsidRPr="007C4FAB">
        <w:tab/>
        <w:t>approved providers’ procedures and documentation in relation to matters mentioned in any of the above paragraphs.</w:t>
      </w:r>
    </w:p>
    <w:p w14:paraId="25B1242A" w14:textId="77777777" w:rsidR="00D70C53" w:rsidRPr="007C4FAB" w:rsidRDefault="00D70C53" w:rsidP="007C4FAB">
      <w:pPr>
        <w:pStyle w:val="ActHead5"/>
      </w:pPr>
      <w:bookmarkStart w:id="18" w:name="_Toc76035015"/>
      <w:r w:rsidRPr="00C11B80">
        <w:rPr>
          <w:rStyle w:val="CharSectno"/>
        </w:rPr>
        <w:t>95BA</w:t>
      </w:r>
      <w:r w:rsidR="007C4FAB" w:rsidRPr="00C11B80">
        <w:rPr>
          <w:rStyle w:val="CharSectno"/>
        </w:rPr>
        <w:noBreakHyphen/>
      </w:r>
      <w:r w:rsidRPr="00C11B80">
        <w:rPr>
          <w:rStyle w:val="CharSectno"/>
        </w:rPr>
        <w:t>3</w:t>
      </w:r>
      <w:r w:rsidRPr="007C4FAB">
        <w:t xml:space="preserve">  Reports on assurance reviews</w:t>
      </w:r>
      <w:bookmarkEnd w:id="18"/>
    </w:p>
    <w:p w14:paraId="17C52505" w14:textId="77777777" w:rsidR="00D70C53" w:rsidRPr="007C4FAB" w:rsidRDefault="00D70C53" w:rsidP="007C4FAB">
      <w:pPr>
        <w:pStyle w:val="SubsectionHead"/>
      </w:pPr>
      <w:r w:rsidRPr="007C4FAB">
        <w:t>Reports for publication</w:t>
      </w:r>
    </w:p>
    <w:p w14:paraId="0129E86B" w14:textId="77777777" w:rsidR="00D70C53" w:rsidRPr="007C4FAB" w:rsidRDefault="00D70C53" w:rsidP="007C4FAB">
      <w:pPr>
        <w:pStyle w:val="subsection"/>
      </w:pPr>
      <w:r w:rsidRPr="007C4FAB">
        <w:tab/>
        <w:t>(1)</w:t>
      </w:r>
      <w:r w:rsidRPr="007C4FAB">
        <w:tab/>
        <w:t xml:space="preserve">The Secretary may prepare and publish reports on </w:t>
      </w:r>
      <w:r w:rsidR="007C4FAB" w:rsidRPr="007C4FAB">
        <w:rPr>
          <w:position w:val="6"/>
          <w:sz w:val="16"/>
        </w:rPr>
        <w:t>*</w:t>
      </w:r>
      <w:r w:rsidRPr="007C4FAB">
        <w:t>assurance reviews, dealing with any findings, conclusions or recommendations made as a result of the reviews.</w:t>
      </w:r>
    </w:p>
    <w:p w14:paraId="3FC5FBCE" w14:textId="77777777" w:rsidR="00D70C53" w:rsidRPr="007C4FAB" w:rsidRDefault="00D70C53" w:rsidP="007C4FAB">
      <w:pPr>
        <w:pStyle w:val="subsection"/>
      </w:pPr>
      <w:r w:rsidRPr="007C4FAB">
        <w:tab/>
        <w:t>(2)</w:t>
      </w:r>
      <w:r w:rsidRPr="007C4FAB">
        <w:tab/>
        <w:t xml:space="preserve">A report under </w:t>
      </w:r>
      <w:r w:rsidR="0083172F" w:rsidRPr="007C4FAB">
        <w:t>subsection (</w:t>
      </w:r>
      <w:r w:rsidRPr="007C4FAB">
        <w:t xml:space="preserve">1) must not include </w:t>
      </w:r>
      <w:r w:rsidR="007C4FAB" w:rsidRPr="007C4FAB">
        <w:rPr>
          <w:position w:val="6"/>
          <w:sz w:val="16"/>
        </w:rPr>
        <w:t>*</w:t>
      </w:r>
      <w:r w:rsidRPr="007C4FAB">
        <w:t>personal information.</w:t>
      </w:r>
    </w:p>
    <w:p w14:paraId="2959EAC0" w14:textId="77777777" w:rsidR="00D70C53" w:rsidRPr="007C4FAB" w:rsidRDefault="00D70C53" w:rsidP="007C4FAB">
      <w:pPr>
        <w:pStyle w:val="SubsectionHead"/>
      </w:pPr>
      <w:r w:rsidRPr="007C4FAB">
        <w:lastRenderedPageBreak/>
        <w:t>Other reports</w:t>
      </w:r>
    </w:p>
    <w:p w14:paraId="798F8FAE" w14:textId="77777777" w:rsidR="00D70C53" w:rsidRPr="007C4FAB" w:rsidRDefault="00D70C53" w:rsidP="007C4FAB">
      <w:pPr>
        <w:pStyle w:val="subsection"/>
      </w:pPr>
      <w:r w:rsidRPr="007C4FAB">
        <w:tab/>
        <w:t>(3)</w:t>
      </w:r>
      <w:r w:rsidRPr="007C4FAB">
        <w:tab/>
        <w:t xml:space="preserve">The Secretary may prepare a report on any particular </w:t>
      </w:r>
      <w:r w:rsidR="007C4FAB" w:rsidRPr="007C4FAB">
        <w:rPr>
          <w:position w:val="6"/>
          <w:sz w:val="16"/>
        </w:rPr>
        <w:t>*</w:t>
      </w:r>
      <w:r w:rsidRPr="007C4FAB">
        <w:t>assurance review</w:t>
      </w:r>
      <w:r w:rsidR="004B67D1" w:rsidRPr="007C4FAB">
        <w:t>,</w:t>
      </w:r>
      <w:r w:rsidRPr="007C4FAB">
        <w:t xml:space="preserve"> dealing with any findings, conclusions or recommendations made as a result of the review.</w:t>
      </w:r>
    </w:p>
    <w:p w14:paraId="1387EE70" w14:textId="77777777" w:rsidR="00D70C53" w:rsidRPr="007C4FAB" w:rsidRDefault="00D70C53" w:rsidP="007C4FAB">
      <w:pPr>
        <w:pStyle w:val="subsection"/>
      </w:pPr>
      <w:r w:rsidRPr="007C4FAB">
        <w:tab/>
        <w:t>(4)</w:t>
      </w:r>
      <w:r w:rsidRPr="007C4FAB">
        <w:tab/>
        <w:t xml:space="preserve">If the Secretary prepares a report under </w:t>
      </w:r>
      <w:r w:rsidR="0083172F" w:rsidRPr="007C4FAB">
        <w:t>subsection (</w:t>
      </w:r>
      <w:r w:rsidRPr="007C4FAB">
        <w:t>3), the Secretary may give a copy of the report to any approved provider to which the review relates.</w:t>
      </w:r>
    </w:p>
    <w:p w14:paraId="60D30BA3" w14:textId="77777777" w:rsidR="00D70C53" w:rsidRPr="007C4FAB" w:rsidRDefault="00D70C53" w:rsidP="007C4FAB">
      <w:pPr>
        <w:pStyle w:val="ActHead5"/>
      </w:pPr>
      <w:bookmarkStart w:id="19" w:name="_Toc76035016"/>
      <w:r w:rsidRPr="00C11B80">
        <w:rPr>
          <w:rStyle w:val="CharSectno"/>
        </w:rPr>
        <w:t>95BA</w:t>
      </w:r>
      <w:r w:rsidR="007C4FAB" w:rsidRPr="00C11B80">
        <w:rPr>
          <w:rStyle w:val="CharSectno"/>
        </w:rPr>
        <w:noBreakHyphen/>
      </w:r>
      <w:r w:rsidRPr="00C11B80">
        <w:rPr>
          <w:rStyle w:val="CharSectno"/>
        </w:rPr>
        <w:t>4</w:t>
      </w:r>
      <w:r w:rsidRPr="007C4FAB">
        <w:t xml:space="preserve">  Assistance in conducting and reporting on assurance reviews</w:t>
      </w:r>
      <w:bookmarkEnd w:id="19"/>
    </w:p>
    <w:p w14:paraId="1B725AF6" w14:textId="77777777" w:rsidR="00D70C53" w:rsidRPr="007C4FAB" w:rsidRDefault="00D70C53" w:rsidP="007C4FAB">
      <w:pPr>
        <w:pStyle w:val="subsection"/>
      </w:pPr>
      <w:r w:rsidRPr="007C4FAB">
        <w:tab/>
        <w:t>(1)</w:t>
      </w:r>
      <w:r w:rsidRPr="007C4FAB">
        <w:tab/>
        <w:t xml:space="preserve">The Secretary may be assisted in the conduct of </w:t>
      </w:r>
      <w:r w:rsidR="007C4FAB" w:rsidRPr="007C4FAB">
        <w:rPr>
          <w:position w:val="6"/>
          <w:sz w:val="16"/>
        </w:rPr>
        <w:t>*</w:t>
      </w:r>
      <w:r w:rsidRPr="007C4FAB">
        <w:t>assurance reviews and the preparation of any reports on the reviews by:</w:t>
      </w:r>
    </w:p>
    <w:p w14:paraId="0D1854AE" w14:textId="77777777" w:rsidR="00D70C53" w:rsidRPr="007C4FAB" w:rsidRDefault="00D70C53" w:rsidP="007C4FAB">
      <w:pPr>
        <w:pStyle w:val="paragraph"/>
      </w:pPr>
      <w:r w:rsidRPr="007C4FAB">
        <w:tab/>
        <w:t>(a)</w:t>
      </w:r>
      <w:r w:rsidRPr="007C4FAB">
        <w:tab/>
        <w:t>APS employees in the Department; or</w:t>
      </w:r>
    </w:p>
    <w:p w14:paraId="79754B5C" w14:textId="77777777" w:rsidR="00D70C53" w:rsidRPr="007C4FAB" w:rsidRDefault="00D70C53" w:rsidP="007C4FAB">
      <w:pPr>
        <w:pStyle w:val="paragraph"/>
      </w:pPr>
      <w:r w:rsidRPr="007C4FAB">
        <w:tab/>
        <w:t>(b)</w:t>
      </w:r>
      <w:r w:rsidRPr="007C4FAB">
        <w:tab/>
        <w:t>persons engaged under contract by the Secretary to assist in the exercise of the power and any of their employees who are providing that assistance.</w:t>
      </w:r>
    </w:p>
    <w:p w14:paraId="23D8F273" w14:textId="77777777" w:rsidR="00D70C53" w:rsidRPr="007C4FAB" w:rsidRDefault="00D70C53" w:rsidP="007C4FAB">
      <w:pPr>
        <w:pStyle w:val="subsection"/>
      </w:pPr>
      <w:r w:rsidRPr="007C4FAB">
        <w:tab/>
        <w:t>(2)</w:t>
      </w:r>
      <w:r w:rsidRPr="007C4FAB">
        <w:tab/>
        <w:t xml:space="preserve">However, the power to give an approved provider a notice under </w:t>
      </w:r>
      <w:r w:rsidR="0083172F" w:rsidRPr="007C4FAB">
        <w:t>section 9</w:t>
      </w:r>
      <w:r w:rsidRPr="007C4FAB">
        <w:t>5BA</w:t>
      </w:r>
      <w:r w:rsidR="007C4FAB">
        <w:noBreakHyphen/>
      </w:r>
      <w:r w:rsidRPr="007C4FAB">
        <w:t>5 (notice to give information or documents) or 95BA</w:t>
      </w:r>
      <w:r w:rsidR="007C4FAB">
        <w:noBreakHyphen/>
      </w:r>
      <w:r w:rsidRPr="007C4FAB">
        <w:t xml:space="preserve">6 (notice to answer questions) may not be exercised by a person assisting the Secretary under </w:t>
      </w:r>
      <w:r w:rsidR="0083172F" w:rsidRPr="007C4FAB">
        <w:t>subsection (</w:t>
      </w:r>
      <w:r w:rsidRPr="007C4FAB">
        <w:t xml:space="preserve">1) </w:t>
      </w:r>
      <w:r w:rsidR="00A5024D" w:rsidRPr="007C4FAB">
        <w:t xml:space="preserve">of this section </w:t>
      </w:r>
      <w:r w:rsidRPr="007C4FAB">
        <w:t xml:space="preserve">unless the power has been delegated to the person under </w:t>
      </w:r>
      <w:r w:rsidR="0083172F" w:rsidRPr="007C4FAB">
        <w:t>subsection 9</w:t>
      </w:r>
      <w:r w:rsidRPr="007C4FAB">
        <w:t>6</w:t>
      </w:r>
      <w:r w:rsidR="007C4FAB">
        <w:noBreakHyphen/>
      </w:r>
      <w:r w:rsidRPr="007C4FAB">
        <w:t>2(1A).</w:t>
      </w:r>
    </w:p>
    <w:p w14:paraId="54D9DA27" w14:textId="77777777" w:rsidR="00D70C53" w:rsidRPr="007C4FAB" w:rsidRDefault="00D70C53" w:rsidP="007C4FAB">
      <w:pPr>
        <w:pStyle w:val="ActHead5"/>
      </w:pPr>
      <w:bookmarkStart w:id="20" w:name="_Toc76035017"/>
      <w:r w:rsidRPr="00C11B80">
        <w:rPr>
          <w:rStyle w:val="CharSectno"/>
        </w:rPr>
        <w:t>95BA</w:t>
      </w:r>
      <w:r w:rsidR="007C4FAB" w:rsidRPr="00C11B80">
        <w:rPr>
          <w:rStyle w:val="CharSectno"/>
        </w:rPr>
        <w:noBreakHyphen/>
      </w:r>
      <w:r w:rsidRPr="00C11B80">
        <w:rPr>
          <w:rStyle w:val="CharSectno"/>
        </w:rPr>
        <w:t>5</w:t>
      </w:r>
      <w:r w:rsidRPr="007C4FAB">
        <w:t xml:space="preserve">  Notice to give information or documents</w:t>
      </w:r>
      <w:bookmarkEnd w:id="20"/>
    </w:p>
    <w:p w14:paraId="4492E2BC" w14:textId="77777777" w:rsidR="00D70C53" w:rsidRPr="007C4FAB" w:rsidRDefault="00D70C53" w:rsidP="007C4FAB">
      <w:pPr>
        <w:pStyle w:val="subsection"/>
      </w:pPr>
      <w:r w:rsidRPr="007C4FAB">
        <w:tab/>
        <w:t>(1)</w:t>
      </w:r>
      <w:r w:rsidRPr="007C4FAB">
        <w:tab/>
        <w:t xml:space="preserve">If the Secretary reasonably believes that an approved provider that is a </w:t>
      </w:r>
      <w:r w:rsidR="007C4FAB" w:rsidRPr="007C4FAB">
        <w:rPr>
          <w:position w:val="6"/>
          <w:sz w:val="16"/>
        </w:rPr>
        <w:t>*</w:t>
      </w:r>
      <w:r w:rsidRPr="007C4FAB">
        <w:t xml:space="preserve">corporation has information or documents relevant to the subject matter of an </w:t>
      </w:r>
      <w:r w:rsidR="007C4FAB" w:rsidRPr="007C4FAB">
        <w:rPr>
          <w:position w:val="6"/>
          <w:sz w:val="16"/>
        </w:rPr>
        <w:t>*</w:t>
      </w:r>
      <w:r w:rsidRPr="007C4FAB">
        <w:t>assurance review, the Secretary may, by written notice given to the provider, require the provider to give the Secretary such information or documents (or copies of documents) as are specified in the notice.</w:t>
      </w:r>
    </w:p>
    <w:p w14:paraId="52111499" w14:textId="77777777" w:rsidR="00D70C53" w:rsidRPr="007C4FAB" w:rsidRDefault="00D70C53" w:rsidP="007C4FAB">
      <w:pPr>
        <w:pStyle w:val="subsection"/>
      </w:pPr>
      <w:r w:rsidRPr="007C4FAB">
        <w:tab/>
        <w:t>(2)</w:t>
      </w:r>
      <w:r w:rsidRPr="007C4FAB">
        <w:tab/>
        <w:t>The notice:</w:t>
      </w:r>
    </w:p>
    <w:p w14:paraId="7450044D" w14:textId="77777777" w:rsidR="00D70C53" w:rsidRPr="007C4FAB" w:rsidRDefault="00D70C53" w:rsidP="007C4FAB">
      <w:pPr>
        <w:pStyle w:val="paragraph"/>
      </w:pPr>
      <w:r w:rsidRPr="007C4FAB">
        <w:tab/>
        <w:t>(a)</w:t>
      </w:r>
      <w:r w:rsidRPr="007C4FAB">
        <w:tab/>
        <w:t>must specify the period within which, and the manner in which, the information or documents (or copies) are to be given; and</w:t>
      </w:r>
    </w:p>
    <w:p w14:paraId="3CC1EC31" w14:textId="77777777" w:rsidR="00D70C53" w:rsidRPr="007C4FAB" w:rsidRDefault="00D70C53" w:rsidP="007C4FAB">
      <w:pPr>
        <w:pStyle w:val="paragraph"/>
      </w:pPr>
      <w:r w:rsidRPr="007C4FAB">
        <w:tab/>
        <w:t>(b)</w:t>
      </w:r>
      <w:r w:rsidRPr="007C4FAB">
        <w:tab/>
        <w:t>may specify the form in which information is to be given.</w:t>
      </w:r>
    </w:p>
    <w:p w14:paraId="768EF521" w14:textId="77777777" w:rsidR="00D70C53" w:rsidRPr="007C4FAB" w:rsidRDefault="00D70C53" w:rsidP="007C4FAB">
      <w:pPr>
        <w:pStyle w:val="subsection"/>
      </w:pPr>
      <w:r w:rsidRPr="007C4FAB">
        <w:lastRenderedPageBreak/>
        <w:tab/>
        <w:t>(3)</w:t>
      </w:r>
      <w:r w:rsidRPr="007C4FAB">
        <w:tab/>
        <w:t>The period specified under paragraph (2)(a) must not end earlier than 14 days after the day the notice is given.</w:t>
      </w:r>
    </w:p>
    <w:p w14:paraId="655EF151" w14:textId="77777777" w:rsidR="00D70C53" w:rsidRPr="007C4FAB" w:rsidRDefault="00D70C53" w:rsidP="007C4FAB">
      <w:pPr>
        <w:pStyle w:val="subsection"/>
      </w:pPr>
      <w:r w:rsidRPr="007C4FAB">
        <w:tab/>
        <w:t>(4)</w:t>
      </w:r>
      <w:r w:rsidRPr="007C4FAB">
        <w:tab/>
        <w:t>The approved provider must comply with the notice.</w:t>
      </w:r>
    </w:p>
    <w:p w14:paraId="065C93DC" w14:textId="77777777" w:rsidR="00D70C53" w:rsidRPr="007C4FAB" w:rsidRDefault="00D70C53" w:rsidP="007C4FAB">
      <w:pPr>
        <w:pStyle w:val="Penalty"/>
      </w:pPr>
      <w:r w:rsidRPr="007C4FAB">
        <w:t>Civil penalty:</w:t>
      </w:r>
      <w:r w:rsidRPr="007C4FAB">
        <w:tab/>
        <w:t>30 penalty units.</w:t>
      </w:r>
    </w:p>
    <w:p w14:paraId="28A113D3" w14:textId="77777777" w:rsidR="00D70C53" w:rsidRPr="007C4FAB" w:rsidRDefault="00D70C53" w:rsidP="007C4FAB">
      <w:pPr>
        <w:pStyle w:val="subsection"/>
      </w:pPr>
      <w:r w:rsidRPr="007C4FAB">
        <w:tab/>
        <w:t>(5)</w:t>
      </w:r>
      <w:r w:rsidRPr="007C4FAB">
        <w:tab/>
        <w:t xml:space="preserve">An approved provider is entitled to be paid by the Commonwealth reasonable compensation for complying with a requirement of a notice given to the provider under </w:t>
      </w:r>
      <w:r w:rsidR="0083172F" w:rsidRPr="007C4FAB">
        <w:t>subsection (</w:t>
      </w:r>
      <w:r w:rsidRPr="007C4FAB">
        <w:t>1) to give copies of documents.</w:t>
      </w:r>
    </w:p>
    <w:p w14:paraId="46824245" w14:textId="77777777" w:rsidR="00D70C53" w:rsidRPr="007C4FAB" w:rsidRDefault="00D70C53" w:rsidP="007C4FAB">
      <w:pPr>
        <w:pStyle w:val="ActHead5"/>
      </w:pPr>
      <w:bookmarkStart w:id="21" w:name="_Toc76035018"/>
      <w:r w:rsidRPr="00C11B80">
        <w:rPr>
          <w:rStyle w:val="CharSectno"/>
        </w:rPr>
        <w:t>95BA</w:t>
      </w:r>
      <w:r w:rsidR="007C4FAB" w:rsidRPr="00C11B80">
        <w:rPr>
          <w:rStyle w:val="CharSectno"/>
        </w:rPr>
        <w:noBreakHyphen/>
      </w:r>
      <w:r w:rsidRPr="00C11B80">
        <w:rPr>
          <w:rStyle w:val="CharSectno"/>
        </w:rPr>
        <w:t>6</w:t>
      </w:r>
      <w:r w:rsidRPr="007C4FAB">
        <w:t xml:space="preserve">  Notice to answer questions</w:t>
      </w:r>
      <w:bookmarkEnd w:id="21"/>
    </w:p>
    <w:p w14:paraId="0E3528E3" w14:textId="77777777" w:rsidR="00D70C53" w:rsidRPr="007C4FAB" w:rsidRDefault="00D70C53" w:rsidP="007C4FAB">
      <w:pPr>
        <w:pStyle w:val="subsection"/>
      </w:pPr>
      <w:r w:rsidRPr="007C4FAB">
        <w:tab/>
        <w:t>(1)</w:t>
      </w:r>
      <w:r w:rsidRPr="007C4FAB">
        <w:tab/>
        <w:t xml:space="preserve">If the Secretary reasonably believes that an approved provider that is a </w:t>
      </w:r>
      <w:r w:rsidR="007C4FAB" w:rsidRPr="007C4FAB">
        <w:rPr>
          <w:position w:val="6"/>
          <w:sz w:val="16"/>
        </w:rPr>
        <w:t>*</w:t>
      </w:r>
      <w:r w:rsidRPr="007C4FAB">
        <w:t xml:space="preserve">corporation has information relevant to the subject matter of an </w:t>
      </w:r>
      <w:r w:rsidR="007C4FAB" w:rsidRPr="007C4FAB">
        <w:rPr>
          <w:position w:val="6"/>
          <w:sz w:val="16"/>
        </w:rPr>
        <w:t>*</w:t>
      </w:r>
      <w:r w:rsidRPr="007C4FAB">
        <w:t>assurance review, the Secretary may, by written notice given to the provider, require the provider to make available appropriate officers, employees or agents to answer questions relating to the information.</w:t>
      </w:r>
    </w:p>
    <w:p w14:paraId="286E3B72" w14:textId="77777777" w:rsidR="00D70C53" w:rsidRPr="007C4FAB" w:rsidRDefault="00D70C53" w:rsidP="007C4FAB">
      <w:pPr>
        <w:pStyle w:val="subsection"/>
      </w:pPr>
      <w:r w:rsidRPr="007C4FAB">
        <w:tab/>
        <w:t>(2)</w:t>
      </w:r>
      <w:r w:rsidRPr="007C4FAB">
        <w:tab/>
        <w:t>The notice must specify:</w:t>
      </w:r>
    </w:p>
    <w:p w14:paraId="27EB59FC" w14:textId="77777777" w:rsidR="00D70C53" w:rsidRPr="007C4FAB" w:rsidRDefault="00D70C53" w:rsidP="007C4FAB">
      <w:pPr>
        <w:pStyle w:val="paragraph"/>
      </w:pPr>
      <w:r w:rsidRPr="007C4FAB">
        <w:tab/>
        <w:t>(a)</w:t>
      </w:r>
      <w:r w:rsidRPr="007C4FAB">
        <w:tab/>
        <w:t xml:space="preserve">the person or persons assisting the Secretary in the conduct of the review (as mentioned in </w:t>
      </w:r>
      <w:r w:rsidR="0083172F" w:rsidRPr="007C4FAB">
        <w:t>subsection 9</w:t>
      </w:r>
      <w:r w:rsidRPr="007C4FAB">
        <w:t>5BA</w:t>
      </w:r>
      <w:r w:rsidR="007C4FAB">
        <w:noBreakHyphen/>
      </w:r>
      <w:r w:rsidRPr="007C4FAB">
        <w:t>4(1)) who will be asking the questions; and</w:t>
      </w:r>
    </w:p>
    <w:p w14:paraId="0AE7DCA9" w14:textId="77777777" w:rsidR="00D70C53" w:rsidRPr="007C4FAB" w:rsidRDefault="00D70C53" w:rsidP="007C4FAB">
      <w:pPr>
        <w:pStyle w:val="paragraph"/>
      </w:pPr>
      <w:r w:rsidRPr="007C4FAB">
        <w:tab/>
        <w:t>(b)</w:t>
      </w:r>
      <w:r w:rsidRPr="007C4FAB">
        <w:tab/>
        <w:t>the time or times at which, and the means by which, the questions are to be asked and answered.</w:t>
      </w:r>
    </w:p>
    <w:p w14:paraId="7C08F723" w14:textId="77777777" w:rsidR="00D70C53" w:rsidRPr="007C4FAB" w:rsidRDefault="00D70C53" w:rsidP="007C4FAB">
      <w:pPr>
        <w:pStyle w:val="subsection"/>
      </w:pPr>
      <w:r w:rsidRPr="007C4FAB">
        <w:tab/>
        <w:t>(3)</w:t>
      </w:r>
      <w:r w:rsidRPr="007C4FAB">
        <w:tab/>
        <w:t>The time, or the earliest time, specified under paragraph (2)(b) must be at least 14 days after the notice is given.</w:t>
      </w:r>
    </w:p>
    <w:p w14:paraId="7EFDFF4F" w14:textId="77777777" w:rsidR="00D70C53" w:rsidRPr="007C4FAB" w:rsidRDefault="00D70C53" w:rsidP="007C4FAB">
      <w:pPr>
        <w:pStyle w:val="subsection"/>
      </w:pPr>
      <w:r w:rsidRPr="007C4FAB">
        <w:tab/>
        <w:t>(4)</w:t>
      </w:r>
      <w:r w:rsidRPr="007C4FAB">
        <w:tab/>
        <w:t>The approved provider must comply with the notice.</w:t>
      </w:r>
    </w:p>
    <w:p w14:paraId="713874CE" w14:textId="77777777" w:rsidR="00D70C53" w:rsidRPr="007C4FAB" w:rsidRDefault="00D70C53" w:rsidP="007C4FAB">
      <w:pPr>
        <w:pStyle w:val="Penalty"/>
      </w:pPr>
      <w:r w:rsidRPr="007C4FAB">
        <w:t>Civil penalty:</w:t>
      </w:r>
      <w:r w:rsidRPr="007C4FAB">
        <w:tab/>
        <w:t>30 penalty units.</w:t>
      </w:r>
    </w:p>
    <w:p w14:paraId="1DE5ED76" w14:textId="77777777" w:rsidR="00D70C53" w:rsidRPr="007C4FAB" w:rsidRDefault="00D70C53" w:rsidP="007C4FAB">
      <w:pPr>
        <w:pStyle w:val="ActHead5"/>
      </w:pPr>
      <w:bookmarkStart w:id="22" w:name="_Toc76035019"/>
      <w:r w:rsidRPr="00C11B80">
        <w:rPr>
          <w:rStyle w:val="CharSectno"/>
        </w:rPr>
        <w:t>95BA</w:t>
      </w:r>
      <w:r w:rsidR="007C4FAB" w:rsidRPr="00C11B80">
        <w:rPr>
          <w:rStyle w:val="CharSectno"/>
        </w:rPr>
        <w:noBreakHyphen/>
      </w:r>
      <w:r w:rsidRPr="00C11B80">
        <w:rPr>
          <w:rStyle w:val="CharSectno"/>
        </w:rPr>
        <w:t>7</w:t>
      </w:r>
      <w:r w:rsidRPr="007C4FAB">
        <w:t xml:space="preserve">  Duty to provide all reasonable facilities and assistance</w:t>
      </w:r>
      <w:bookmarkEnd w:id="22"/>
    </w:p>
    <w:p w14:paraId="18D38DA1" w14:textId="77777777" w:rsidR="00D70C53" w:rsidRPr="007C4FAB" w:rsidRDefault="00D70C53" w:rsidP="007C4FAB">
      <w:pPr>
        <w:pStyle w:val="subsection"/>
      </w:pPr>
      <w:r w:rsidRPr="007C4FAB">
        <w:tab/>
      </w:r>
      <w:r w:rsidRPr="007C4FAB">
        <w:tab/>
        <w:t xml:space="preserve">An approved provider that is a </w:t>
      </w:r>
      <w:r w:rsidR="007C4FAB" w:rsidRPr="007C4FAB">
        <w:rPr>
          <w:position w:val="6"/>
          <w:sz w:val="16"/>
        </w:rPr>
        <w:t>*</w:t>
      </w:r>
      <w:r w:rsidRPr="007C4FAB">
        <w:t xml:space="preserve">corporation to which an </w:t>
      </w:r>
      <w:r w:rsidR="007C4FAB" w:rsidRPr="007C4FAB">
        <w:rPr>
          <w:position w:val="6"/>
          <w:sz w:val="16"/>
        </w:rPr>
        <w:t>*</w:t>
      </w:r>
      <w:r w:rsidRPr="007C4FAB">
        <w:t>assurance review relates must provide the person conducting the review, and any individuals assisting that person, with all reasonable facilities and assistance necessary for the effective exercise of the person’s duties in relation to the review.</w:t>
      </w:r>
    </w:p>
    <w:p w14:paraId="06ED1117" w14:textId="77777777" w:rsidR="00D70C53" w:rsidRPr="007C4FAB" w:rsidRDefault="00D70C53" w:rsidP="007C4FAB">
      <w:pPr>
        <w:pStyle w:val="Penalty"/>
      </w:pPr>
      <w:r w:rsidRPr="007C4FAB">
        <w:lastRenderedPageBreak/>
        <w:t>Civil penalty:</w:t>
      </w:r>
      <w:r w:rsidRPr="007C4FAB">
        <w:tab/>
        <w:t>30 penalty units.</w:t>
      </w:r>
    </w:p>
    <w:p w14:paraId="4FB54A4A" w14:textId="77777777" w:rsidR="00D70C53" w:rsidRPr="007C4FAB" w:rsidRDefault="00D70C53" w:rsidP="007C4FAB">
      <w:pPr>
        <w:pStyle w:val="ActHead5"/>
      </w:pPr>
      <w:bookmarkStart w:id="23" w:name="_Toc76035020"/>
      <w:r w:rsidRPr="00C11B80">
        <w:rPr>
          <w:rStyle w:val="CharSectno"/>
        </w:rPr>
        <w:t>95BA</w:t>
      </w:r>
      <w:r w:rsidR="007C4FAB" w:rsidRPr="00C11B80">
        <w:rPr>
          <w:rStyle w:val="CharSectno"/>
        </w:rPr>
        <w:noBreakHyphen/>
      </w:r>
      <w:r w:rsidRPr="00C11B80">
        <w:rPr>
          <w:rStyle w:val="CharSectno"/>
        </w:rPr>
        <w:t>8</w:t>
      </w:r>
      <w:r w:rsidRPr="007C4FAB">
        <w:t xml:space="preserve">  Request for information or documents</w:t>
      </w:r>
      <w:bookmarkEnd w:id="23"/>
    </w:p>
    <w:p w14:paraId="78EFD5CA" w14:textId="77777777" w:rsidR="00D70C53" w:rsidRPr="007C4FAB" w:rsidRDefault="00D70C53" w:rsidP="007C4FAB">
      <w:pPr>
        <w:pStyle w:val="subsection"/>
      </w:pPr>
      <w:r w:rsidRPr="007C4FAB">
        <w:tab/>
        <w:t>(1)</w:t>
      </w:r>
      <w:r w:rsidRPr="007C4FAB">
        <w:tab/>
        <w:t xml:space="preserve">If the Secretary reasonably believes that a person (including an approved provider that is not a </w:t>
      </w:r>
      <w:r w:rsidR="007C4FAB" w:rsidRPr="007C4FAB">
        <w:rPr>
          <w:position w:val="6"/>
          <w:sz w:val="16"/>
        </w:rPr>
        <w:t>*</w:t>
      </w:r>
      <w:r w:rsidRPr="007C4FAB">
        <w:t xml:space="preserve">corporation) has information or documents relevant to the subject matter of an </w:t>
      </w:r>
      <w:r w:rsidR="007C4FAB" w:rsidRPr="007C4FAB">
        <w:rPr>
          <w:position w:val="6"/>
          <w:sz w:val="16"/>
        </w:rPr>
        <w:t>*</w:t>
      </w:r>
      <w:r w:rsidRPr="007C4FAB">
        <w:t>assurance review, the Secretary may request the person to give the Secretary any such information or documents (or copies of any such documents).</w:t>
      </w:r>
    </w:p>
    <w:p w14:paraId="23E9AF94" w14:textId="77777777" w:rsidR="00D70C53" w:rsidRPr="007C4FAB" w:rsidRDefault="00D70C53" w:rsidP="007C4FAB">
      <w:pPr>
        <w:pStyle w:val="subsection"/>
      </w:pPr>
      <w:r w:rsidRPr="007C4FAB">
        <w:tab/>
        <w:t>(2)</w:t>
      </w:r>
      <w:r w:rsidRPr="007C4FAB">
        <w:tab/>
        <w:t>The person is not required to comply with the request.</w:t>
      </w:r>
    </w:p>
    <w:p w14:paraId="57018AB8" w14:textId="77777777" w:rsidR="00D70C53" w:rsidRPr="007C4FAB" w:rsidRDefault="00D70C53" w:rsidP="007C4FAB">
      <w:pPr>
        <w:pStyle w:val="ItemHead"/>
      </w:pPr>
      <w:r w:rsidRPr="007C4FAB">
        <w:t xml:space="preserve">4  After </w:t>
      </w:r>
      <w:r w:rsidR="0083172F" w:rsidRPr="007C4FAB">
        <w:t>subsection 9</w:t>
      </w:r>
      <w:r w:rsidRPr="007C4FAB">
        <w:t>6</w:t>
      </w:r>
      <w:r w:rsidR="007C4FAB">
        <w:noBreakHyphen/>
      </w:r>
      <w:r w:rsidRPr="007C4FAB">
        <w:t>2(1)</w:t>
      </w:r>
    </w:p>
    <w:p w14:paraId="71339965" w14:textId="77777777" w:rsidR="00D70C53" w:rsidRPr="007C4FAB" w:rsidRDefault="00D70C53" w:rsidP="007C4FAB">
      <w:pPr>
        <w:pStyle w:val="Item"/>
      </w:pPr>
      <w:r w:rsidRPr="007C4FAB">
        <w:t>Insert:</w:t>
      </w:r>
    </w:p>
    <w:p w14:paraId="6390AEC0" w14:textId="77777777" w:rsidR="00D70C53" w:rsidRPr="007C4FAB" w:rsidRDefault="00D70C53" w:rsidP="007C4FAB">
      <w:pPr>
        <w:pStyle w:val="subsection"/>
      </w:pPr>
      <w:r w:rsidRPr="007C4FAB">
        <w:tab/>
        <w:t>(1A)</w:t>
      </w:r>
      <w:r w:rsidRPr="007C4FAB">
        <w:tab/>
        <w:t xml:space="preserve">Subsection (1) does not apply in relation to the Secretary’s power to give a notice under </w:t>
      </w:r>
      <w:r w:rsidR="0083172F" w:rsidRPr="007C4FAB">
        <w:t>section 9</w:t>
      </w:r>
      <w:r w:rsidRPr="007C4FAB">
        <w:t>5BA</w:t>
      </w:r>
      <w:r w:rsidR="007C4FAB">
        <w:noBreakHyphen/>
      </w:r>
      <w:r w:rsidRPr="007C4FAB">
        <w:t>5 or 95BA</w:t>
      </w:r>
      <w:r w:rsidR="007C4FAB">
        <w:noBreakHyphen/>
      </w:r>
      <w:r w:rsidRPr="007C4FAB">
        <w:t>6. However, the Secretary may, in writing, delegate the Secretary’s powers under either or both of those sections to an SES employee, or acting SES employee, in the Department.</w:t>
      </w:r>
    </w:p>
    <w:p w14:paraId="408CEDB7" w14:textId="77777777" w:rsidR="00D70C53" w:rsidRPr="007C4FAB" w:rsidRDefault="00D70C53" w:rsidP="007C4FAB">
      <w:pPr>
        <w:pStyle w:val="notetext"/>
        <w:rPr>
          <w:b/>
        </w:rPr>
      </w:pPr>
      <w:r w:rsidRPr="007C4FAB">
        <w:t>Note:</w:t>
      </w:r>
      <w:r w:rsidRPr="007C4FAB">
        <w:tab/>
        <w:t xml:space="preserve">The expressions </w:t>
      </w:r>
      <w:r w:rsidRPr="007C4FAB">
        <w:rPr>
          <w:b/>
          <w:i/>
        </w:rPr>
        <w:t>SES employee</w:t>
      </w:r>
      <w:r w:rsidRPr="007C4FAB">
        <w:t xml:space="preserve"> and </w:t>
      </w:r>
      <w:r w:rsidRPr="007C4FAB">
        <w:rPr>
          <w:b/>
          <w:i/>
        </w:rPr>
        <w:t>acting SES employee</w:t>
      </w:r>
      <w:r w:rsidRPr="007C4FAB">
        <w:t xml:space="preserve"> are defined in </w:t>
      </w:r>
      <w:r w:rsidR="00454D72" w:rsidRPr="007C4FAB">
        <w:t>section 2</w:t>
      </w:r>
      <w:r w:rsidRPr="007C4FAB">
        <w:t xml:space="preserve">B of the </w:t>
      </w:r>
      <w:r w:rsidRPr="007C4FAB">
        <w:rPr>
          <w:i/>
        </w:rPr>
        <w:t>Acts Interpretation Act 1901</w:t>
      </w:r>
      <w:r w:rsidRPr="007C4FAB">
        <w:t>.</w:t>
      </w:r>
    </w:p>
    <w:p w14:paraId="798869E2" w14:textId="77777777" w:rsidR="00D70C53" w:rsidRPr="007C4FAB" w:rsidRDefault="00D70C53" w:rsidP="007C4FAB">
      <w:pPr>
        <w:pStyle w:val="ItemHead"/>
      </w:pPr>
      <w:r w:rsidRPr="007C4FAB">
        <w:t>5  Clause 1 of Schedule 1</w:t>
      </w:r>
    </w:p>
    <w:p w14:paraId="0152EC3B" w14:textId="77777777" w:rsidR="00D70C53" w:rsidRPr="007C4FAB" w:rsidRDefault="00D70C53" w:rsidP="007C4FAB">
      <w:pPr>
        <w:pStyle w:val="Item"/>
      </w:pPr>
      <w:r w:rsidRPr="007C4FAB">
        <w:t>Insert:</w:t>
      </w:r>
    </w:p>
    <w:p w14:paraId="653D40EA" w14:textId="77777777" w:rsidR="007B3B52" w:rsidRPr="007C4FAB" w:rsidRDefault="00D70C53" w:rsidP="007C4FAB">
      <w:pPr>
        <w:pStyle w:val="Definition"/>
      </w:pPr>
      <w:r w:rsidRPr="007C4FAB">
        <w:rPr>
          <w:b/>
          <w:i/>
        </w:rPr>
        <w:t>assurance review</w:t>
      </w:r>
      <w:r w:rsidRPr="007C4FAB">
        <w:t xml:space="preserve">: see </w:t>
      </w:r>
      <w:bookmarkEnd w:id="14"/>
      <w:r w:rsidR="0083172F" w:rsidRPr="007C4FAB">
        <w:t>section 9</w:t>
      </w:r>
      <w:r w:rsidRPr="007C4FAB">
        <w:t>5BA</w:t>
      </w:r>
      <w:r w:rsidR="007C4FAB">
        <w:noBreakHyphen/>
      </w:r>
      <w:r w:rsidRPr="007C4FAB">
        <w:t>1.</w:t>
      </w:r>
    </w:p>
    <w:p w14:paraId="79F034A9" w14:textId="77777777" w:rsidR="00FE4D15" w:rsidRPr="007C4FAB" w:rsidRDefault="00791EF9" w:rsidP="007C4FAB">
      <w:pPr>
        <w:pStyle w:val="ActHead6"/>
        <w:pageBreakBefore/>
      </w:pPr>
      <w:bookmarkStart w:id="24" w:name="_Toc76035021"/>
      <w:bookmarkStart w:id="25" w:name="opcCurrentFind"/>
      <w:r w:rsidRPr="00C11B80">
        <w:rPr>
          <w:rStyle w:val="CharAmSchNo"/>
        </w:rPr>
        <w:lastRenderedPageBreak/>
        <w:t>Schedule </w:t>
      </w:r>
      <w:r w:rsidR="001345BF" w:rsidRPr="00C11B80">
        <w:rPr>
          <w:rStyle w:val="CharAmSchNo"/>
        </w:rPr>
        <w:t>3</w:t>
      </w:r>
      <w:r w:rsidR="00FE4D15" w:rsidRPr="007C4FAB">
        <w:t>—</w:t>
      </w:r>
      <w:r w:rsidR="00FE4D15" w:rsidRPr="00C11B80">
        <w:rPr>
          <w:rStyle w:val="CharAmSchText"/>
        </w:rPr>
        <w:t>Amendments relating to the Aged Care Financing Authority</w:t>
      </w:r>
      <w:bookmarkEnd w:id="24"/>
    </w:p>
    <w:bookmarkEnd w:id="25"/>
    <w:p w14:paraId="0F213308" w14:textId="77777777" w:rsidR="00FE4D15" w:rsidRPr="00C11B80" w:rsidRDefault="00FE4D15" w:rsidP="007C4FAB">
      <w:pPr>
        <w:pStyle w:val="Header"/>
      </w:pPr>
      <w:r w:rsidRPr="00C11B80">
        <w:rPr>
          <w:rStyle w:val="CharAmPartNo"/>
        </w:rPr>
        <w:t xml:space="preserve"> </w:t>
      </w:r>
      <w:r w:rsidRPr="00C11B80">
        <w:rPr>
          <w:rStyle w:val="CharAmPartText"/>
        </w:rPr>
        <w:t xml:space="preserve"> </w:t>
      </w:r>
    </w:p>
    <w:p w14:paraId="07AF624C" w14:textId="77777777" w:rsidR="00FE4D15" w:rsidRPr="007C4FAB" w:rsidRDefault="00FE4D15" w:rsidP="007C4FAB">
      <w:pPr>
        <w:pStyle w:val="ActHead9"/>
        <w:rPr>
          <w:i w:val="0"/>
        </w:rPr>
      </w:pPr>
      <w:bookmarkStart w:id="26" w:name="_Toc76035022"/>
      <w:r w:rsidRPr="007C4FAB">
        <w:t>Aged Care Act 1997</w:t>
      </w:r>
      <w:bookmarkEnd w:id="26"/>
    </w:p>
    <w:p w14:paraId="6E5AAD69" w14:textId="77777777" w:rsidR="00FE4D15" w:rsidRPr="007C4FAB" w:rsidRDefault="00FE4D15" w:rsidP="007C4FAB">
      <w:pPr>
        <w:pStyle w:val="ItemHead"/>
      </w:pPr>
      <w:r w:rsidRPr="007C4FAB">
        <w:t xml:space="preserve">1 </w:t>
      </w:r>
      <w:bookmarkStart w:id="27" w:name="opcCurrentPosition"/>
      <w:bookmarkEnd w:id="27"/>
      <w:r w:rsidRPr="007C4FAB">
        <w:t xml:space="preserve"> Sub</w:t>
      </w:r>
      <w:r w:rsidR="0083172F" w:rsidRPr="007C4FAB">
        <w:t>section 9</w:t>
      </w:r>
      <w:r w:rsidRPr="007C4FAB">
        <w:t>6</w:t>
      </w:r>
      <w:r w:rsidR="007C4FAB">
        <w:noBreakHyphen/>
      </w:r>
      <w:r w:rsidRPr="007C4FAB">
        <w:t>3(1)</w:t>
      </w:r>
    </w:p>
    <w:p w14:paraId="27BB9101" w14:textId="77777777" w:rsidR="00FE4D15" w:rsidRPr="007C4FAB" w:rsidRDefault="00FE4D15" w:rsidP="007C4FAB">
      <w:pPr>
        <w:pStyle w:val="Item"/>
      </w:pPr>
      <w:r w:rsidRPr="007C4FAB">
        <w:t>Repeal the subsection, substitute:</w:t>
      </w:r>
    </w:p>
    <w:p w14:paraId="61B69094" w14:textId="56581A06" w:rsidR="005B2B6C" w:rsidRDefault="00FE4D15" w:rsidP="007C4FAB">
      <w:pPr>
        <w:pStyle w:val="subsection"/>
      </w:pPr>
      <w:r w:rsidRPr="007C4FAB">
        <w:tab/>
        <w:t>(1)</w:t>
      </w:r>
      <w:r w:rsidRPr="007C4FAB">
        <w:tab/>
        <w:t xml:space="preserve">For the purposes of this Act and the </w:t>
      </w:r>
      <w:r w:rsidRPr="007C4FAB">
        <w:rPr>
          <w:i/>
        </w:rPr>
        <w:t>Aged Care (Transitional Provisions) Act 1997</w:t>
      </w:r>
      <w:r w:rsidRPr="007C4FAB">
        <w:t>, the Minister may establish one or more committees.</w:t>
      </w:r>
    </w:p>
    <w:p w14:paraId="03F4D057" w14:textId="77777777" w:rsidR="00A035FE" w:rsidRPr="00F02B56" w:rsidRDefault="00A035FE" w:rsidP="00A035FE"/>
    <w:p w14:paraId="61E94057" w14:textId="77777777" w:rsidR="00A035FE" w:rsidRDefault="00A035FE" w:rsidP="00A035FE">
      <w:pPr>
        <w:pStyle w:val="AssentBk"/>
        <w:keepNext/>
      </w:pPr>
    </w:p>
    <w:p w14:paraId="4C564649" w14:textId="77777777" w:rsidR="00A035FE" w:rsidRDefault="00A035FE" w:rsidP="00A035FE">
      <w:pPr>
        <w:pStyle w:val="AssentBk"/>
        <w:keepNext/>
      </w:pPr>
    </w:p>
    <w:p w14:paraId="24D341F4" w14:textId="77777777" w:rsidR="00A035FE" w:rsidRDefault="00A035FE" w:rsidP="00A035FE">
      <w:pPr>
        <w:pStyle w:val="2ndRd"/>
        <w:keepNext/>
        <w:pBdr>
          <w:top w:val="single" w:sz="2" w:space="1" w:color="auto"/>
        </w:pBdr>
      </w:pPr>
    </w:p>
    <w:p w14:paraId="7838C479" w14:textId="77777777" w:rsidR="00A035FE" w:rsidRDefault="00A035FE" w:rsidP="000C5962">
      <w:pPr>
        <w:pStyle w:val="2ndRd"/>
        <w:keepNext/>
        <w:spacing w:line="260" w:lineRule="atLeast"/>
        <w:rPr>
          <w:i/>
        </w:rPr>
      </w:pPr>
      <w:r>
        <w:t>[</w:t>
      </w:r>
      <w:r>
        <w:rPr>
          <w:i/>
        </w:rPr>
        <w:t>Minister’s second reading speech made in—</w:t>
      </w:r>
    </w:p>
    <w:p w14:paraId="34D64587" w14:textId="2414512C" w:rsidR="00A035FE" w:rsidRDefault="00A035FE" w:rsidP="000C5962">
      <w:pPr>
        <w:pStyle w:val="2ndRd"/>
        <w:keepNext/>
        <w:spacing w:line="260" w:lineRule="atLeast"/>
        <w:rPr>
          <w:i/>
        </w:rPr>
      </w:pPr>
      <w:r>
        <w:rPr>
          <w:i/>
        </w:rPr>
        <w:t>House of Representatives on 27 May 2021</w:t>
      </w:r>
    </w:p>
    <w:p w14:paraId="1B36115B" w14:textId="4E61843E" w:rsidR="00A035FE" w:rsidRDefault="00A035FE" w:rsidP="000C5962">
      <w:pPr>
        <w:pStyle w:val="2ndRd"/>
        <w:keepNext/>
        <w:spacing w:line="260" w:lineRule="atLeast"/>
        <w:rPr>
          <w:i/>
        </w:rPr>
      </w:pPr>
      <w:r>
        <w:rPr>
          <w:i/>
        </w:rPr>
        <w:t>Senate on 23 June 2021</w:t>
      </w:r>
      <w:r>
        <w:t>]</w:t>
      </w:r>
    </w:p>
    <w:p w14:paraId="04448436" w14:textId="77777777" w:rsidR="00A035FE" w:rsidRDefault="00A035FE" w:rsidP="000C5962"/>
    <w:p w14:paraId="50420BBA" w14:textId="0ADC888B" w:rsidR="00BA4D25" w:rsidRPr="00A035FE" w:rsidRDefault="00A035FE" w:rsidP="00E036FA">
      <w:pPr>
        <w:framePr w:hSpace="180" w:wrap="around" w:vAnchor="text" w:hAnchor="page" w:x="2461" w:y="4984"/>
      </w:pPr>
      <w:r>
        <w:t>(66/21)</w:t>
      </w:r>
    </w:p>
    <w:p w14:paraId="4EE6E498" w14:textId="77777777" w:rsidR="00A035FE" w:rsidRDefault="00A035FE"/>
    <w:sectPr w:rsidR="00A035FE" w:rsidSect="00BA4D25">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7752" w14:textId="77777777" w:rsidR="00A973C5" w:rsidRDefault="00A973C5" w:rsidP="0048364F">
      <w:pPr>
        <w:spacing w:line="240" w:lineRule="auto"/>
      </w:pPr>
      <w:r>
        <w:separator/>
      </w:r>
    </w:p>
  </w:endnote>
  <w:endnote w:type="continuationSeparator" w:id="0">
    <w:p w14:paraId="2C86AB5C" w14:textId="77777777" w:rsidR="00A973C5" w:rsidRDefault="00A973C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7EFF" w14:textId="77777777" w:rsidR="00A973C5" w:rsidRPr="005F1388" w:rsidRDefault="00A973C5" w:rsidP="007C4FA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8933" w14:textId="7970DEEB" w:rsidR="00A035FE" w:rsidRDefault="00A035FE" w:rsidP="00CD12A5">
    <w:pPr>
      <w:pStyle w:val="ScalePlusRef"/>
    </w:pPr>
    <w:r>
      <w:t>Note: An electronic version of this Act is available on the Federal Register of Legislation (</w:t>
    </w:r>
    <w:hyperlink r:id="rId1" w:history="1">
      <w:r>
        <w:t>https://www.legislation.gov.au/</w:t>
      </w:r>
    </w:hyperlink>
    <w:r>
      <w:t>)</w:t>
    </w:r>
  </w:p>
  <w:p w14:paraId="2D5D5773" w14:textId="77777777" w:rsidR="00A035FE" w:rsidRDefault="00A035FE" w:rsidP="00CD12A5"/>
  <w:p w14:paraId="2EB63482" w14:textId="71481E0B" w:rsidR="00A973C5" w:rsidRDefault="00A973C5" w:rsidP="007C4FAB">
    <w:pPr>
      <w:pStyle w:val="Footer"/>
      <w:spacing w:before="120"/>
    </w:pPr>
  </w:p>
  <w:p w14:paraId="1F091939" w14:textId="77777777" w:rsidR="00A973C5" w:rsidRPr="005F1388" w:rsidRDefault="00A973C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30C0" w14:textId="77777777" w:rsidR="00A973C5" w:rsidRPr="00ED79B6" w:rsidRDefault="00A973C5" w:rsidP="007C4F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7865" w14:textId="77777777" w:rsidR="00A973C5" w:rsidRDefault="00A973C5" w:rsidP="007C4F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73C5" w14:paraId="5638F19C" w14:textId="77777777" w:rsidTr="006F6098">
      <w:tc>
        <w:tcPr>
          <w:tcW w:w="646" w:type="dxa"/>
        </w:tcPr>
        <w:p w14:paraId="35618878" w14:textId="77777777" w:rsidR="00A973C5" w:rsidRDefault="00A973C5" w:rsidP="006F609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1B07">
            <w:rPr>
              <w:i/>
              <w:noProof/>
              <w:sz w:val="18"/>
            </w:rPr>
            <w:t>xi</w:t>
          </w:r>
          <w:r w:rsidRPr="00ED79B6">
            <w:rPr>
              <w:i/>
              <w:sz w:val="18"/>
            </w:rPr>
            <w:fldChar w:fldCharType="end"/>
          </w:r>
        </w:p>
      </w:tc>
      <w:tc>
        <w:tcPr>
          <w:tcW w:w="5387" w:type="dxa"/>
        </w:tcPr>
        <w:p w14:paraId="79BD2BE5" w14:textId="6F86ADEA" w:rsidR="00A973C5" w:rsidRDefault="00A973C5" w:rsidP="006F60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D5BB9">
            <w:rPr>
              <w:i/>
              <w:sz w:val="18"/>
            </w:rPr>
            <w:t>Aged Care and Other Legislation Amendment (Royal Commission Response No. 1) Act 2021</w:t>
          </w:r>
          <w:r w:rsidRPr="00ED79B6">
            <w:rPr>
              <w:i/>
              <w:sz w:val="18"/>
            </w:rPr>
            <w:fldChar w:fldCharType="end"/>
          </w:r>
        </w:p>
      </w:tc>
      <w:tc>
        <w:tcPr>
          <w:tcW w:w="1270" w:type="dxa"/>
        </w:tcPr>
        <w:p w14:paraId="6949FB42" w14:textId="2C1E12AE" w:rsidR="00A973C5" w:rsidRDefault="00A973C5" w:rsidP="006F60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D5BB9">
            <w:rPr>
              <w:i/>
              <w:sz w:val="18"/>
            </w:rPr>
            <w:t>No. 57, 2021</w:t>
          </w:r>
          <w:r w:rsidRPr="00ED79B6">
            <w:rPr>
              <w:i/>
              <w:sz w:val="18"/>
            </w:rPr>
            <w:fldChar w:fldCharType="end"/>
          </w:r>
        </w:p>
      </w:tc>
    </w:tr>
  </w:tbl>
  <w:p w14:paraId="6199D752" w14:textId="77777777" w:rsidR="00A973C5" w:rsidRDefault="00A973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30A9" w14:textId="77777777" w:rsidR="00A973C5" w:rsidRDefault="00A973C5" w:rsidP="007C4F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73C5" w14:paraId="231B54A2" w14:textId="77777777" w:rsidTr="006F6098">
      <w:tc>
        <w:tcPr>
          <w:tcW w:w="1247" w:type="dxa"/>
        </w:tcPr>
        <w:p w14:paraId="2EEB93F2" w14:textId="03472AE9" w:rsidR="00A973C5" w:rsidRDefault="00A973C5" w:rsidP="006F609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D5BB9">
            <w:rPr>
              <w:i/>
              <w:sz w:val="18"/>
            </w:rPr>
            <w:t>No. 57, 2021</w:t>
          </w:r>
          <w:r w:rsidRPr="00ED79B6">
            <w:rPr>
              <w:i/>
              <w:sz w:val="18"/>
            </w:rPr>
            <w:fldChar w:fldCharType="end"/>
          </w:r>
        </w:p>
      </w:tc>
      <w:tc>
        <w:tcPr>
          <w:tcW w:w="5387" w:type="dxa"/>
        </w:tcPr>
        <w:p w14:paraId="1E976882" w14:textId="7D1BD4CF" w:rsidR="00A973C5" w:rsidRDefault="00A973C5" w:rsidP="006F609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D5BB9">
            <w:rPr>
              <w:i/>
              <w:sz w:val="18"/>
            </w:rPr>
            <w:t>Aged Care and Other Legislation Amendment (Royal Commission Response No. 1) Act 2021</w:t>
          </w:r>
          <w:r w:rsidRPr="00ED79B6">
            <w:rPr>
              <w:i/>
              <w:sz w:val="18"/>
            </w:rPr>
            <w:fldChar w:fldCharType="end"/>
          </w:r>
        </w:p>
      </w:tc>
      <w:tc>
        <w:tcPr>
          <w:tcW w:w="669" w:type="dxa"/>
        </w:tcPr>
        <w:p w14:paraId="3191028B" w14:textId="77777777" w:rsidR="00A973C5" w:rsidRDefault="00A973C5" w:rsidP="006F609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4163">
            <w:rPr>
              <w:i/>
              <w:noProof/>
              <w:sz w:val="18"/>
            </w:rPr>
            <w:t>i</w:t>
          </w:r>
          <w:r w:rsidRPr="00ED79B6">
            <w:rPr>
              <w:i/>
              <w:sz w:val="18"/>
            </w:rPr>
            <w:fldChar w:fldCharType="end"/>
          </w:r>
        </w:p>
      </w:tc>
    </w:tr>
  </w:tbl>
  <w:p w14:paraId="6A8A7EED" w14:textId="77777777" w:rsidR="00A973C5" w:rsidRPr="00ED79B6" w:rsidRDefault="00A973C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86EE" w14:textId="77777777" w:rsidR="00A973C5" w:rsidRPr="00A961C4" w:rsidRDefault="00A973C5" w:rsidP="007C4FA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973C5" w14:paraId="150A1D59" w14:textId="77777777" w:rsidTr="00C11B80">
      <w:tc>
        <w:tcPr>
          <w:tcW w:w="646" w:type="dxa"/>
        </w:tcPr>
        <w:p w14:paraId="25905179" w14:textId="77777777" w:rsidR="00A973C5" w:rsidRDefault="00A973C5" w:rsidP="006F609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04163">
            <w:rPr>
              <w:i/>
              <w:noProof/>
              <w:sz w:val="18"/>
            </w:rPr>
            <w:t>10</w:t>
          </w:r>
          <w:r w:rsidRPr="007A1328">
            <w:rPr>
              <w:i/>
              <w:sz w:val="18"/>
            </w:rPr>
            <w:fldChar w:fldCharType="end"/>
          </w:r>
        </w:p>
      </w:tc>
      <w:tc>
        <w:tcPr>
          <w:tcW w:w="5387" w:type="dxa"/>
        </w:tcPr>
        <w:p w14:paraId="2C924FEC" w14:textId="3B28CECE" w:rsidR="00A973C5" w:rsidRDefault="00A973C5" w:rsidP="006F60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5BB9">
            <w:rPr>
              <w:i/>
              <w:sz w:val="18"/>
            </w:rPr>
            <w:t>Aged Care and Other Legislation Amendment (Royal Commission Response No. 1) Act 2021</w:t>
          </w:r>
          <w:r w:rsidRPr="007A1328">
            <w:rPr>
              <w:i/>
              <w:sz w:val="18"/>
            </w:rPr>
            <w:fldChar w:fldCharType="end"/>
          </w:r>
        </w:p>
      </w:tc>
      <w:tc>
        <w:tcPr>
          <w:tcW w:w="1270" w:type="dxa"/>
        </w:tcPr>
        <w:p w14:paraId="0410D6B9" w14:textId="3D89683C" w:rsidR="00A973C5" w:rsidRDefault="00A973C5" w:rsidP="006F609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5BB9">
            <w:rPr>
              <w:i/>
              <w:sz w:val="18"/>
            </w:rPr>
            <w:t>No. 57, 2021</w:t>
          </w:r>
          <w:r w:rsidRPr="007A1328">
            <w:rPr>
              <w:i/>
              <w:sz w:val="18"/>
            </w:rPr>
            <w:fldChar w:fldCharType="end"/>
          </w:r>
        </w:p>
      </w:tc>
    </w:tr>
  </w:tbl>
  <w:p w14:paraId="4014A444" w14:textId="77777777" w:rsidR="00A973C5" w:rsidRPr="00A961C4" w:rsidRDefault="00A973C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04ED" w14:textId="77777777" w:rsidR="00A973C5" w:rsidRPr="00A961C4" w:rsidRDefault="00A973C5" w:rsidP="007C4F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973C5" w14:paraId="6B2412DA" w14:textId="77777777" w:rsidTr="00C11B80">
      <w:tc>
        <w:tcPr>
          <w:tcW w:w="1247" w:type="dxa"/>
        </w:tcPr>
        <w:p w14:paraId="5E57D109" w14:textId="0969F03F" w:rsidR="00A973C5" w:rsidRDefault="00A973C5" w:rsidP="006F609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5BB9">
            <w:rPr>
              <w:i/>
              <w:sz w:val="18"/>
            </w:rPr>
            <w:t>No. 57, 2021</w:t>
          </w:r>
          <w:r w:rsidRPr="007A1328">
            <w:rPr>
              <w:i/>
              <w:sz w:val="18"/>
            </w:rPr>
            <w:fldChar w:fldCharType="end"/>
          </w:r>
        </w:p>
      </w:tc>
      <w:tc>
        <w:tcPr>
          <w:tcW w:w="5387" w:type="dxa"/>
        </w:tcPr>
        <w:p w14:paraId="69FB3769" w14:textId="6559EB46" w:rsidR="00A973C5" w:rsidRDefault="00A973C5" w:rsidP="006F60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5BB9">
            <w:rPr>
              <w:i/>
              <w:sz w:val="18"/>
            </w:rPr>
            <w:t>Aged Care and Other Legislation Amendment (Royal Commission Response No. 1) Act 2021</w:t>
          </w:r>
          <w:r w:rsidRPr="007A1328">
            <w:rPr>
              <w:i/>
              <w:sz w:val="18"/>
            </w:rPr>
            <w:fldChar w:fldCharType="end"/>
          </w:r>
        </w:p>
      </w:tc>
      <w:tc>
        <w:tcPr>
          <w:tcW w:w="669" w:type="dxa"/>
        </w:tcPr>
        <w:p w14:paraId="65899B9F" w14:textId="77777777" w:rsidR="00A973C5" w:rsidRDefault="00A973C5" w:rsidP="006F60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04163">
            <w:rPr>
              <w:i/>
              <w:noProof/>
              <w:sz w:val="18"/>
            </w:rPr>
            <w:t>11</w:t>
          </w:r>
          <w:r w:rsidRPr="007A1328">
            <w:rPr>
              <w:i/>
              <w:sz w:val="18"/>
            </w:rPr>
            <w:fldChar w:fldCharType="end"/>
          </w:r>
        </w:p>
      </w:tc>
    </w:tr>
  </w:tbl>
  <w:p w14:paraId="61F42B35" w14:textId="77777777" w:rsidR="00A973C5" w:rsidRPr="00055B5C" w:rsidRDefault="00A973C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96BB" w14:textId="77777777" w:rsidR="00A973C5" w:rsidRPr="00A961C4" w:rsidRDefault="00A973C5" w:rsidP="007C4F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A973C5" w14:paraId="29179B3E" w14:textId="77777777" w:rsidTr="00C11B80">
      <w:tc>
        <w:tcPr>
          <w:tcW w:w="1247" w:type="dxa"/>
        </w:tcPr>
        <w:p w14:paraId="01D66C51" w14:textId="394E704B" w:rsidR="00A973C5" w:rsidRDefault="00A973C5" w:rsidP="006F609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D5BB9">
            <w:rPr>
              <w:i/>
              <w:sz w:val="18"/>
            </w:rPr>
            <w:t>No. 57, 2021</w:t>
          </w:r>
          <w:r w:rsidRPr="007A1328">
            <w:rPr>
              <w:i/>
              <w:sz w:val="18"/>
            </w:rPr>
            <w:fldChar w:fldCharType="end"/>
          </w:r>
        </w:p>
      </w:tc>
      <w:tc>
        <w:tcPr>
          <w:tcW w:w="5387" w:type="dxa"/>
        </w:tcPr>
        <w:p w14:paraId="1A060485" w14:textId="7C24984F" w:rsidR="00A973C5" w:rsidRDefault="00A973C5" w:rsidP="006F60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D5BB9">
            <w:rPr>
              <w:i/>
              <w:sz w:val="18"/>
            </w:rPr>
            <w:t>Aged Care and Other Legislation Amendment (Royal Commission Response No. 1) Act 2021</w:t>
          </w:r>
          <w:r w:rsidRPr="007A1328">
            <w:rPr>
              <w:i/>
              <w:sz w:val="18"/>
            </w:rPr>
            <w:fldChar w:fldCharType="end"/>
          </w:r>
        </w:p>
      </w:tc>
      <w:tc>
        <w:tcPr>
          <w:tcW w:w="669" w:type="dxa"/>
        </w:tcPr>
        <w:p w14:paraId="73E8126B" w14:textId="77777777" w:rsidR="00A973C5" w:rsidRDefault="00A973C5" w:rsidP="006F60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04163">
            <w:rPr>
              <w:i/>
              <w:noProof/>
              <w:sz w:val="18"/>
            </w:rPr>
            <w:t>1</w:t>
          </w:r>
          <w:r w:rsidRPr="007A1328">
            <w:rPr>
              <w:i/>
              <w:sz w:val="18"/>
            </w:rPr>
            <w:fldChar w:fldCharType="end"/>
          </w:r>
        </w:p>
      </w:tc>
    </w:tr>
  </w:tbl>
  <w:p w14:paraId="09AB637B" w14:textId="77777777" w:rsidR="00A973C5" w:rsidRPr="00A961C4" w:rsidRDefault="00A973C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BEC79" w14:textId="77777777" w:rsidR="00A973C5" w:rsidRDefault="00A973C5" w:rsidP="0048364F">
      <w:pPr>
        <w:spacing w:line="240" w:lineRule="auto"/>
      </w:pPr>
      <w:r>
        <w:separator/>
      </w:r>
    </w:p>
  </w:footnote>
  <w:footnote w:type="continuationSeparator" w:id="0">
    <w:p w14:paraId="22A64332" w14:textId="77777777" w:rsidR="00A973C5" w:rsidRDefault="00A973C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E0D1" w14:textId="77777777" w:rsidR="00A973C5" w:rsidRPr="005F1388" w:rsidRDefault="00A973C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ABCC" w14:textId="77777777" w:rsidR="00A973C5" w:rsidRPr="005F1388" w:rsidRDefault="00A973C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1CB0" w14:textId="77777777" w:rsidR="00A973C5" w:rsidRPr="005F1388" w:rsidRDefault="00A973C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74E1" w14:textId="77777777" w:rsidR="00A973C5" w:rsidRPr="00ED79B6" w:rsidRDefault="00A973C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9D17" w14:textId="77777777" w:rsidR="00A973C5" w:rsidRPr="00ED79B6" w:rsidRDefault="00A973C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0FF5" w14:textId="77777777" w:rsidR="00A973C5" w:rsidRPr="00ED79B6" w:rsidRDefault="00A973C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F83A" w14:textId="4514B4DE" w:rsidR="00A973C5" w:rsidRPr="00A961C4" w:rsidRDefault="00A973C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8A2B006" w14:textId="3CFA2241" w:rsidR="00A973C5" w:rsidRPr="00A961C4" w:rsidRDefault="00A973C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4479FB0" w14:textId="77777777" w:rsidR="00A973C5" w:rsidRPr="00A961C4" w:rsidRDefault="00A973C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45A3" w14:textId="6A0F955C" w:rsidR="00A973C5" w:rsidRPr="00A961C4" w:rsidRDefault="00A973C5" w:rsidP="0048364F">
    <w:pPr>
      <w:jc w:val="right"/>
      <w:rPr>
        <w:sz w:val="20"/>
      </w:rPr>
    </w:pPr>
    <w:r w:rsidRPr="00A961C4">
      <w:rPr>
        <w:sz w:val="20"/>
      </w:rPr>
      <w:fldChar w:fldCharType="begin"/>
    </w:r>
    <w:r w:rsidRPr="00A961C4">
      <w:rPr>
        <w:sz w:val="20"/>
      </w:rPr>
      <w:instrText xml:space="preserve"> STYLEREF CharAmSchText </w:instrText>
    </w:r>
    <w:r w:rsidR="00DD5BB9">
      <w:rPr>
        <w:sz w:val="20"/>
      </w:rPr>
      <w:fldChar w:fldCharType="separate"/>
    </w:r>
    <w:r w:rsidR="00DD5BB9">
      <w:rPr>
        <w:noProof/>
        <w:sz w:val="20"/>
      </w:rPr>
      <w:t>Amendments relating to the Aged Care Financing Authority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D5BB9">
      <w:rPr>
        <w:b/>
        <w:sz w:val="20"/>
      </w:rPr>
      <w:fldChar w:fldCharType="separate"/>
    </w:r>
    <w:r w:rsidR="00DD5BB9">
      <w:rPr>
        <w:b/>
        <w:noProof/>
        <w:sz w:val="20"/>
      </w:rPr>
      <w:t>Schedule 3</w:t>
    </w:r>
    <w:r>
      <w:rPr>
        <w:b/>
        <w:sz w:val="20"/>
      </w:rPr>
      <w:fldChar w:fldCharType="end"/>
    </w:r>
  </w:p>
  <w:p w14:paraId="6E3A477E" w14:textId="05D2223D" w:rsidR="00A973C5" w:rsidRPr="00A961C4" w:rsidRDefault="00A973C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CD59F57" w14:textId="77777777" w:rsidR="00A973C5" w:rsidRPr="00A961C4" w:rsidRDefault="00A973C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366B3" w14:textId="77777777" w:rsidR="00A973C5" w:rsidRPr="00A961C4" w:rsidRDefault="00A973C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8272E2"/>
    <w:multiLevelType w:val="hybridMultilevel"/>
    <w:tmpl w:val="83140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AEB6F82"/>
    <w:multiLevelType w:val="hybridMultilevel"/>
    <w:tmpl w:val="1DBE426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98"/>
    <w:rsid w:val="00001EE1"/>
    <w:rsid w:val="000113BC"/>
    <w:rsid w:val="000136AF"/>
    <w:rsid w:val="0003066E"/>
    <w:rsid w:val="000417C9"/>
    <w:rsid w:val="00055B5C"/>
    <w:rsid w:val="00056391"/>
    <w:rsid w:val="00060FF9"/>
    <w:rsid w:val="000614BF"/>
    <w:rsid w:val="000B1FD2"/>
    <w:rsid w:val="000D05EF"/>
    <w:rsid w:val="000E004C"/>
    <w:rsid w:val="000F21C1"/>
    <w:rsid w:val="000F316E"/>
    <w:rsid w:val="00101D90"/>
    <w:rsid w:val="0010745C"/>
    <w:rsid w:val="00113BD1"/>
    <w:rsid w:val="00122206"/>
    <w:rsid w:val="001345BF"/>
    <w:rsid w:val="001374BE"/>
    <w:rsid w:val="0015646E"/>
    <w:rsid w:val="001643C9"/>
    <w:rsid w:val="00165568"/>
    <w:rsid w:val="00165DBB"/>
    <w:rsid w:val="00166C2F"/>
    <w:rsid w:val="001716C9"/>
    <w:rsid w:val="00173363"/>
    <w:rsid w:val="00173B94"/>
    <w:rsid w:val="00175324"/>
    <w:rsid w:val="001854B4"/>
    <w:rsid w:val="00186FA5"/>
    <w:rsid w:val="001939E1"/>
    <w:rsid w:val="00195382"/>
    <w:rsid w:val="001A3171"/>
    <w:rsid w:val="001A3658"/>
    <w:rsid w:val="001A41A9"/>
    <w:rsid w:val="001A4CCE"/>
    <w:rsid w:val="001A759A"/>
    <w:rsid w:val="001A7F78"/>
    <w:rsid w:val="001B633C"/>
    <w:rsid w:val="001B670A"/>
    <w:rsid w:val="001B7A5D"/>
    <w:rsid w:val="001C2418"/>
    <w:rsid w:val="001C69C4"/>
    <w:rsid w:val="001E3590"/>
    <w:rsid w:val="001E7407"/>
    <w:rsid w:val="00201D27"/>
    <w:rsid w:val="00202618"/>
    <w:rsid w:val="00224679"/>
    <w:rsid w:val="00240749"/>
    <w:rsid w:val="00262E1C"/>
    <w:rsid w:val="00263820"/>
    <w:rsid w:val="002654FC"/>
    <w:rsid w:val="00275197"/>
    <w:rsid w:val="00293B89"/>
    <w:rsid w:val="00297AB8"/>
    <w:rsid w:val="00297ECB"/>
    <w:rsid w:val="002B1F6C"/>
    <w:rsid w:val="002B2232"/>
    <w:rsid w:val="002B5A30"/>
    <w:rsid w:val="002D043A"/>
    <w:rsid w:val="002D395A"/>
    <w:rsid w:val="003415D3"/>
    <w:rsid w:val="0034405D"/>
    <w:rsid w:val="00350417"/>
    <w:rsid w:val="00352B0F"/>
    <w:rsid w:val="00373874"/>
    <w:rsid w:val="00375C6C"/>
    <w:rsid w:val="003760AF"/>
    <w:rsid w:val="003816C1"/>
    <w:rsid w:val="003931E9"/>
    <w:rsid w:val="003A7B3C"/>
    <w:rsid w:val="003B4E3D"/>
    <w:rsid w:val="003C5F2B"/>
    <w:rsid w:val="003D0BFE"/>
    <w:rsid w:val="003D5700"/>
    <w:rsid w:val="003E4ED7"/>
    <w:rsid w:val="00405579"/>
    <w:rsid w:val="00410B8E"/>
    <w:rsid w:val="004116CD"/>
    <w:rsid w:val="00421FC1"/>
    <w:rsid w:val="004229C7"/>
    <w:rsid w:val="00424CA9"/>
    <w:rsid w:val="004274A2"/>
    <w:rsid w:val="00436785"/>
    <w:rsid w:val="00436BD5"/>
    <w:rsid w:val="00437E4B"/>
    <w:rsid w:val="0044291A"/>
    <w:rsid w:val="00451B07"/>
    <w:rsid w:val="00451C3F"/>
    <w:rsid w:val="00454085"/>
    <w:rsid w:val="00454D72"/>
    <w:rsid w:val="00473BE5"/>
    <w:rsid w:val="00474D29"/>
    <w:rsid w:val="0048196B"/>
    <w:rsid w:val="00483053"/>
    <w:rsid w:val="0048364F"/>
    <w:rsid w:val="00486D05"/>
    <w:rsid w:val="00494456"/>
    <w:rsid w:val="00496F97"/>
    <w:rsid w:val="004A2B7C"/>
    <w:rsid w:val="004B20E6"/>
    <w:rsid w:val="004B6219"/>
    <w:rsid w:val="004B67D1"/>
    <w:rsid w:val="004C7C8C"/>
    <w:rsid w:val="004E2A4A"/>
    <w:rsid w:val="004F0D23"/>
    <w:rsid w:val="004F1FAC"/>
    <w:rsid w:val="004F4CBB"/>
    <w:rsid w:val="004F6701"/>
    <w:rsid w:val="00503D5F"/>
    <w:rsid w:val="00504163"/>
    <w:rsid w:val="00516B8D"/>
    <w:rsid w:val="00537FBC"/>
    <w:rsid w:val="00540B1A"/>
    <w:rsid w:val="00543469"/>
    <w:rsid w:val="00551B54"/>
    <w:rsid w:val="00551DB1"/>
    <w:rsid w:val="00555322"/>
    <w:rsid w:val="00584811"/>
    <w:rsid w:val="005913D2"/>
    <w:rsid w:val="00593AA6"/>
    <w:rsid w:val="00594161"/>
    <w:rsid w:val="00594749"/>
    <w:rsid w:val="00596419"/>
    <w:rsid w:val="005A0D92"/>
    <w:rsid w:val="005A125B"/>
    <w:rsid w:val="005A53AD"/>
    <w:rsid w:val="005B2B6C"/>
    <w:rsid w:val="005B4067"/>
    <w:rsid w:val="005C3F41"/>
    <w:rsid w:val="005D6511"/>
    <w:rsid w:val="005E152A"/>
    <w:rsid w:val="005E4B9D"/>
    <w:rsid w:val="00600219"/>
    <w:rsid w:val="006167FD"/>
    <w:rsid w:val="00623C4A"/>
    <w:rsid w:val="0063233A"/>
    <w:rsid w:val="00632447"/>
    <w:rsid w:val="00641DE5"/>
    <w:rsid w:val="00651837"/>
    <w:rsid w:val="00656F0C"/>
    <w:rsid w:val="0066052C"/>
    <w:rsid w:val="00667FB7"/>
    <w:rsid w:val="006712D9"/>
    <w:rsid w:val="00677CC2"/>
    <w:rsid w:val="006804C7"/>
    <w:rsid w:val="00681F92"/>
    <w:rsid w:val="006842C2"/>
    <w:rsid w:val="00685F42"/>
    <w:rsid w:val="0069207B"/>
    <w:rsid w:val="006A4B23"/>
    <w:rsid w:val="006C0440"/>
    <w:rsid w:val="006C2874"/>
    <w:rsid w:val="006C38B4"/>
    <w:rsid w:val="006C7F8C"/>
    <w:rsid w:val="006D380D"/>
    <w:rsid w:val="006E0135"/>
    <w:rsid w:val="006E0FFA"/>
    <w:rsid w:val="006E303A"/>
    <w:rsid w:val="006F2EA2"/>
    <w:rsid w:val="006F6098"/>
    <w:rsid w:val="006F7E19"/>
    <w:rsid w:val="00700B2C"/>
    <w:rsid w:val="007046AF"/>
    <w:rsid w:val="00712D8D"/>
    <w:rsid w:val="00713084"/>
    <w:rsid w:val="00714B26"/>
    <w:rsid w:val="00731E00"/>
    <w:rsid w:val="007440B7"/>
    <w:rsid w:val="0076089E"/>
    <w:rsid w:val="007634AD"/>
    <w:rsid w:val="00764002"/>
    <w:rsid w:val="00770A09"/>
    <w:rsid w:val="007715C9"/>
    <w:rsid w:val="00774EDD"/>
    <w:rsid w:val="007757EC"/>
    <w:rsid w:val="007835CF"/>
    <w:rsid w:val="00791EF9"/>
    <w:rsid w:val="007978C5"/>
    <w:rsid w:val="007B12EE"/>
    <w:rsid w:val="007B30AA"/>
    <w:rsid w:val="007B3B52"/>
    <w:rsid w:val="007C4FAB"/>
    <w:rsid w:val="007D0286"/>
    <w:rsid w:val="007D1B89"/>
    <w:rsid w:val="007D7D2C"/>
    <w:rsid w:val="007E7D4A"/>
    <w:rsid w:val="008006CC"/>
    <w:rsid w:val="008039A2"/>
    <w:rsid w:val="00803C56"/>
    <w:rsid w:val="00806E0F"/>
    <w:rsid w:val="00807F18"/>
    <w:rsid w:val="00811BDB"/>
    <w:rsid w:val="00821EC8"/>
    <w:rsid w:val="008240DF"/>
    <w:rsid w:val="0083172F"/>
    <w:rsid w:val="00831E8D"/>
    <w:rsid w:val="00856A31"/>
    <w:rsid w:val="00857D6B"/>
    <w:rsid w:val="008754D0"/>
    <w:rsid w:val="00877D48"/>
    <w:rsid w:val="00883781"/>
    <w:rsid w:val="00885570"/>
    <w:rsid w:val="00893958"/>
    <w:rsid w:val="008A2E77"/>
    <w:rsid w:val="008A5A69"/>
    <w:rsid w:val="008A5DD2"/>
    <w:rsid w:val="008B630E"/>
    <w:rsid w:val="008C1575"/>
    <w:rsid w:val="008C6B55"/>
    <w:rsid w:val="008C6F6F"/>
    <w:rsid w:val="008D06E1"/>
    <w:rsid w:val="008D0EE0"/>
    <w:rsid w:val="008D3E94"/>
    <w:rsid w:val="008E2D8C"/>
    <w:rsid w:val="008E441A"/>
    <w:rsid w:val="008F3DDA"/>
    <w:rsid w:val="008F4F1C"/>
    <w:rsid w:val="008F6730"/>
    <w:rsid w:val="008F77C4"/>
    <w:rsid w:val="00906120"/>
    <w:rsid w:val="009103CD"/>
    <w:rsid w:val="009103F3"/>
    <w:rsid w:val="00925CFE"/>
    <w:rsid w:val="00932377"/>
    <w:rsid w:val="00966045"/>
    <w:rsid w:val="00967042"/>
    <w:rsid w:val="009707BB"/>
    <w:rsid w:val="0098255A"/>
    <w:rsid w:val="009845BE"/>
    <w:rsid w:val="009876B0"/>
    <w:rsid w:val="009930B0"/>
    <w:rsid w:val="009969C9"/>
    <w:rsid w:val="009A3237"/>
    <w:rsid w:val="009E186E"/>
    <w:rsid w:val="009E500B"/>
    <w:rsid w:val="009E54B2"/>
    <w:rsid w:val="009F7BD0"/>
    <w:rsid w:val="00A01046"/>
    <w:rsid w:val="00A035FE"/>
    <w:rsid w:val="00A048FF"/>
    <w:rsid w:val="00A10775"/>
    <w:rsid w:val="00A1611B"/>
    <w:rsid w:val="00A21B9C"/>
    <w:rsid w:val="00A223A8"/>
    <w:rsid w:val="00A231E2"/>
    <w:rsid w:val="00A36C48"/>
    <w:rsid w:val="00A41E0B"/>
    <w:rsid w:val="00A5024D"/>
    <w:rsid w:val="00A55631"/>
    <w:rsid w:val="00A64912"/>
    <w:rsid w:val="00A70A74"/>
    <w:rsid w:val="00A96983"/>
    <w:rsid w:val="00A973C5"/>
    <w:rsid w:val="00AA3795"/>
    <w:rsid w:val="00AA45E8"/>
    <w:rsid w:val="00AC1E75"/>
    <w:rsid w:val="00AD5641"/>
    <w:rsid w:val="00AE1088"/>
    <w:rsid w:val="00AF1BA4"/>
    <w:rsid w:val="00AF7F63"/>
    <w:rsid w:val="00B032D8"/>
    <w:rsid w:val="00B27DC3"/>
    <w:rsid w:val="00B30936"/>
    <w:rsid w:val="00B32BE2"/>
    <w:rsid w:val="00B32C39"/>
    <w:rsid w:val="00B334A0"/>
    <w:rsid w:val="00B33B3C"/>
    <w:rsid w:val="00B41DAD"/>
    <w:rsid w:val="00B42655"/>
    <w:rsid w:val="00B55112"/>
    <w:rsid w:val="00B55B10"/>
    <w:rsid w:val="00B6382D"/>
    <w:rsid w:val="00BA4D25"/>
    <w:rsid w:val="00BA5026"/>
    <w:rsid w:val="00BB40BF"/>
    <w:rsid w:val="00BC0CD1"/>
    <w:rsid w:val="00BD0197"/>
    <w:rsid w:val="00BD4388"/>
    <w:rsid w:val="00BE719A"/>
    <w:rsid w:val="00BE720A"/>
    <w:rsid w:val="00BF0461"/>
    <w:rsid w:val="00BF4944"/>
    <w:rsid w:val="00BF56D4"/>
    <w:rsid w:val="00C04409"/>
    <w:rsid w:val="00C067E5"/>
    <w:rsid w:val="00C11B80"/>
    <w:rsid w:val="00C164CA"/>
    <w:rsid w:val="00C176CF"/>
    <w:rsid w:val="00C25E0A"/>
    <w:rsid w:val="00C336AA"/>
    <w:rsid w:val="00C42BF8"/>
    <w:rsid w:val="00C460AE"/>
    <w:rsid w:val="00C50043"/>
    <w:rsid w:val="00C5287A"/>
    <w:rsid w:val="00C54E84"/>
    <w:rsid w:val="00C56864"/>
    <w:rsid w:val="00C7573B"/>
    <w:rsid w:val="00C76CF3"/>
    <w:rsid w:val="00C807B4"/>
    <w:rsid w:val="00C978C0"/>
    <w:rsid w:val="00CA069D"/>
    <w:rsid w:val="00CA7E65"/>
    <w:rsid w:val="00CB1AFD"/>
    <w:rsid w:val="00CC1B05"/>
    <w:rsid w:val="00CE1E31"/>
    <w:rsid w:val="00CE5D53"/>
    <w:rsid w:val="00CE715E"/>
    <w:rsid w:val="00CF0BB2"/>
    <w:rsid w:val="00CF5591"/>
    <w:rsid w:val="00D00EAA"/>
    <w:rsid w:val="00D13441"/>
    <w:rsid w:val="00D20ED6"/>
    <w:rsid w:val="00D243A3"/>
    <w:rsid w:val="00D2742B"/>
    <w:rsid w:val="00D477C3"/>
    <w:rsid w:val="00D52EFE"/>
    <w:rsid w:val="00D63EF6"/>
    <w:rsid w:val="00D70C53"/>
    <w:rsid w:val="00D70DFB"/>
    <w:rsid w:val="00D73029"/>
    <w:rsid w:val="00D7513D"/>
    <w:rsid w:val="00D766DF"/>
    <w:rsid w:val="00DA4E3D"/>
    <w:rsid w:val="00DB0B77"/>
    <w:rsid w:val="00DC04A0"/>
    <w:rsid w:val="00DC7AB1"/>
    <w:rsid w:val="00DD5BB9"/>
    <w:rsid w:val="00DE2002"/>
    <w:rsid w:val="00DE3CF6"/>
    <w:rsid w:val="00DE6E2D"/>
    <w:rsid w:val="00DF402B"/>
    <w:rsid w:val="00DF6D2B"/>
    <w:rsid w:val="00DF7716"/>
    <w:rsid w:val="00DF7AE9"/>
    <w:rsid w:val="00E036FA"/>
    <w:rsid w:val="00E05704"/>
    <w:rsid w:val="00E0640B"/>
    <w:rsid w:val="00E2413B"/>
    <w:rsid w:val="00E24D66"/>
    <w:rsid w:val="00E27DFD"/>
    <w:rsid w:val="00E32FE0"/>
    <w:rsid w:val="00E34DED"/>
    <w:rsid w:val="00E54292"/>
    <w:rsid w:val="00E74DC7"/>
    <w:rsid w:val="00E803F3"/>
    <w:rsid w:val="00E84ECA"/>
    <w:rsid w:val="00E87699"/>
    <w:rsid w:val="00E9167D"/>
    <w:rsid w:val="00E947C6"/>
    <w:rsid w:val="00E94D42"/>
    <w:rsid w:val="00EB510C"/>
    <w:rsid w:val="00ED492F"/>
    <w:rsid w:val="00EE3E36"/>
    <w:rsid w:val="00EE5DAB"/>
    <w:rsid w:val="00EF2E3A"/>
    <w:rsid w:val="00F047E2"/>
    <w:rsid w:val="00F078DC"/>
    <w:rsid w:val="00F13E86"/>
    <w:rsid w:val="00F151AE"/>
    <w:rsid w:val="00F17B00"/>
    <w:rsid w:val="00F24024"/>
    <w:rsid w:val="00F249FF"/>
    <w:rsid w:val="00F27809"/>
    <w:rsid w:val="00F52618"/>
    <w:rsid w:val="00F677A9"/>
    <w:rsid w:val="00F84CF5"/>
    <w:rsid w:val="00F92D35"/>
    <w:rsid w:val="00FA420B"/>
    <w:rsid w:val="00FA46B9"/>
    <w:rsid w:val="00FA75D5"/>
    <w:rsid w:val="00FC6D7C"/>
    <w:rsid w:val="00FD1E13"/>
    <w:rsid w:val="00FD7EB1"/>
    <w:rsid w:val="00FE0339"/>
    <w:rsid w:val="00FE41C9"/>
    <w:rsid w:val="00FE4D15"/>
    <w:rsid w:val="00FE7F93"/>
    <w:rsid w:val="00FF6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26C0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C4FAB"/>
    <w:pPr>
      <w:spacing w:line="260" w:lineRule="atLeast"/>
    </w:pPr>
    <w:rPr>
      <w:sz w:val="22"/>
    </w:rPr>
  </w:style>
  <w:style w:type="paragraph" w:styleId="Heading1">
    <w:name w:val="heading 1"/>
    <w:basedOn w:val="Normal"/>
    <w:next w:val="Normal"/>
    <w:link w:val="Heading1Char"/>
    <w:uiPriority w:val="9"/>
    <w:qFormat/>
    <w:rsid w:val="007B3B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3B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3B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3B5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7B3B52"/>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7B3B5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3B5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3B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3B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4FAB"/>
  </w:style>
  <w:style w:type="paragraph" w:customStyle="1" w:styleId="OPCParaBase">
    <w:name w:val="OPCParaBase"/>
    <w:qFormat/>
    <w:rsid w:val="007C4FAB"/>
    <w:pPr>
      <w:spacing w:line="260" w:lineRule="atLeast"/>
    </w:pPr>
    <w:rPr>
      <w:rFonts w:eastAsia="Times New Roman" w:cs="Times New Roman"/>
      <w:sz w:val="22"/>
      <w:lang w:eastAsia="en-AU"/>
    </w:rPr>
  </w:style>
  <w:style w:type="paragraph" w:customStyle="1" w:styleId="ShortT">
    <w:name w:val="ShortT"/>
    <w:basedOn w:val="OPCParaBase"/>
    <w:next w:val="Normal"/>
    <w:qFormat/>
    <w:rsid w:val="007C4FAB"/>
    <w:pPr>
      <w:spacing w:line="240" w:lineRule="auto"/>
    </w:pPr>
    <w:rPr>
      <w:b/>
      <w:sz w:val="40"/>
    </w:rPr>
  </w:style>
  <w:style w:type="paragraph" w:customStyle="1" w:styleId="ActHead1">
    <w:name w:val="ActHead 1"/>
    <w:aliases w:val="c"/>
    <w:basedOn w:val="OPCParaBase"/>
    <w:next w:val="Normal"/>
    <w:qFormat/>
    <w:rsid w:val="007C4F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C4F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4F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4F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4F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4F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4F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4F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4FA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4FAB"/>
  </w:style>
  <w:style w:type="paragraph" w:customStyle="1" w:styleId="Blocks">
    <w:name w:val="Blocks"/>
    <w:aliases w:val="bb"/>
    <w:basedOn w:val="OPCParaBase"/>
    <w:qFormat/>
    <w:rsid w:val="007C4FAB"/>
    <w:pPr>
      <w:spacing w:line="240" w:lineRule="auto"/>
    </w:pPr>
    <w:rPr>
      <w:sz w:val="24"/>
    </w:rPr>
  </w:style>
  <w:style w:type="paragraph" w:customStyle="1" w:styleId="BoxText">
    <w:name w:val="BoxText"/>
    <w:aliases w:val="bt"/>
    <w:basedOn w:val="OPCParaBase"/>
    <w:qFormat/>
    <w:rsid w:val="007C4F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4FAB"/>
    <w:rPr>
      <w:b/>
    </w:rPr>
  </w:style>
  <w:style w:type="paragraph" w:customStyle="1" w:styleId="BoxHeadItalic">
    <w:name w:val="BoxHeadItalic"/>
    <w:aliases w:val="bhi"/>
    <w:basedOn w:val="BoxText"/>
    <w:next w:val="BoxStep"/>
    <w:qFormat/>
    <w:rsid w:val="007C4FAB"/>
    <w:rPr>
      <w:i/>
    </w:rPr>
  </w:style>
  <w:style w:type="paragraph" w:customStyle="1" w:styleId="BoxList">
    <w:name w:val="BoxList"/>
    <w:aliases w:val="bl"/>
    <w:basedOn w:val="BoxText"/>
    <w:qFormat/>
    <w:rsid w:val="007C4FAB"/>
    <w:pPr>
      <w:ind w:left="1559" w:hanging="425"/>
    </w:pPr>
  </w:style>
  <w:style w:type="paragraph" w:customStyle="1" w:styleId="BoxNote">
    <w:name w:val="BoxNote"/>
    <w:aliases w:val="bn"/>
    <w:basedOn w:val="BoxText"/>
    <w:qFormat/>
    <w:rsid w:val="007C4FAB"/>
    <w:pPr>
      <w:tabs>
        <w:tab w:val="left" w:pos="1985"/>
      </w:tabs>
      <w:spacing w:before="122" w:line="198" w:lineRule="exact"/>
      <w:ind w:left="2948" w:hanging="1814"/>
    </w:pPr>
    <w:rPr>
      <w:sz w:val="18"/>
    </w:rPr>
  </w:style>
  <w:style w:type="paragraph" w:customStyle="1" w:styleId="BoxPara">
    <w:name w:val="BoxPara"/>
    <w:aliases w:val="bp"/>
    <w:basedOn w:val="BoxText"/>
    <w:qFormat/>
    <w:rsid w:val="007C4FAB"/>
    <w:pPr>
      <w:tabs>
        <w:tab w:val="right" w:pos="2268"/>
      </w:tabs>
      <w:ind w:left="2552" w:hanging="1418"/>
    </w:pPr>
  </w:style>
  <w:style w:type="paragraph" w:customStyle="1" w:styleId="BoxStep">
    <w:name w:val="BoxStep"/>
    <w:aliases w:val="bs"/>
    <w:basedOn w:val="BoxText"/>
    <w:qFormat/>
    <w:rsid w:val="007C4FAB"/>
    <w:pPr>
      <w:ind w:left="1985" w:hanging="851"/>
    </w:pPr>
  </w:style>
  <w:style w:type="character" w:customStyle="1" w:styleId="CharAmPartNo">
    <w:name w:val="CharAmPartNo"/>
    <w:basedOn w:val="OPCCharBase"/>
    <w:qFormat/>
    <w:rsid w:val="007C4FAB"/>
  </w:style>
  <w:style w:type="character" w:customStyle="1" w:styleId="CharAmPartText">
    <w:name w:val="CharAmPartText"/>
    <w:basedOn w:val="OPCCharBase"/>
    <w:qFormat/>
    <w:rsid w:val="007C4FAB"/>
  </w:style>
  <w:style w:type="character" w:customStyle="1" w:styleId="CharAmSchNo">
    <w:name w:val="CharAmSchNo"/>
    <w:basedOn w:val="OPCCharBase"/>
    <w:qFormat/>
    <w:rsid w:val="007C4FAB"/>
  </w:style>
  <w:style w:type="character" w:customStyle="1" w:styleId="CharAmSchText">
    <w:name w:val="CharAmSchText"/>
    <w:basedOn w:val="OPCCharBase"/>
    <w:qFormat/>
    <w:rsid w:val="007C4FAB"/>
  </w:style>
  <w:style w:type="character" w:customStyle="1" w:styleId="CharBoldItalic">
    <w:name w:val="CharBoldItalic"/>
    <w:basedOn w:val="OPCCharBase"/>
    <w:uiPriority w:val="1"/>
    <w:qFormat/>
    <w:rsid w:val="007C4FAB"/>
    <w:rPr>
      <w:b/>
      <w:i/>
    </w:rPr>
  </w:style>
  <w:style w:type="character" w:customStyle="1" w:styleId="CharChapNo">
    <w:name w:val="CharChapNo"/>
    <w:basedOn w:val="OPCCharBase"/>
    <w:uiPriority w:val="1"/>
    <w:qFormat/>
    <w:rsid w:val="007C4FAB"/>
  </w:style>
  <w:style w:type="character" w:customStyle="1" w:styleId="CharChapText">
    <w:name w:val="CharChapText"/>
    <w:basedOn w:val="OPCCharBase"/>
    <w:uiPriority w:val="1"/>
    <w:qFormat/>
    <w:rsid w:val="007C4FAB"/>
  </w:style>
  <w:style w:type="character" w:customStyle="1" w:styleId="CharDivNo">
    <w:name w:val="CharDivNo"/>
    <w:basedOn w:val="OPCCharBase"/>
    <w:uiPriority w:val="1"/>
    <w:qFormat/>
    <w:rsid w:val="007C4FAB"/>
  </w:style>
  <w:style w:type="character" w:customStyle="1" w:styleId="CharDivText">
    <w:name w:val="CharDivText"/>
    <w:basedOn w:val="OPCCharBase"/>
    <w:uiPriority w:val="1"/>
    <w:qFormat/>
    <w:rsid w:val="007C4FAB"/>
  </w:style>
  <w:style w:type="character" w:customStyle="1" w:styleId="CharItalic">
    <w:name w:val="CharItalic"/>
    <w:basedOn w:val="OPCCharBase"/>
    <w:uiPriority w:val="1"/>
    <w:qFormat/>
    <w:rsid w:val="007C4FAB"/>
    <w:rPr>
      <w:i/>
    </w:rPr>
  </w:style>
  <w:style w:type="character" w:customStyle="1" w:styleId="CharPartNo">
    <w:name w:val="CharPartNo"/>
    <w:basedOn w:val="OPCCharBase"/>
    <w:uiPriority w:val="1"/>
    <w:qFormat/>
    <w:rsid w:val="007C4FAB"/>
  </w:style>
  <w:style w:type="character" w:customStyle="1" w:styleId="CharPartText">
    <w:name w:val="CharPartText"/>
    <w:basedOn w:val="OPCCharBase"/>
    <w:uiPriority w:val="1"/>
    <w:qFormat/>
    <w:rsid w:val="007C4FAB"/>
  </w:style>
  <w:style w:type="character" w:customStyle="1" w:styleId="CharSectno">
    <w:name w:val="CharSectno"/>
    <w:basedOn w:val="OPCCharBase"/>
    <w:qFormat/>
    <w:rsid w:val="007C4FAB"/>
  </w:style>
  <w:style w:type="character" w:customStyle="1" w:styleId="CharSubdNo">
    <w:name w:val="CharSubdNo"/>
    <w:basedOn w:val="OPCCharBase"/>
    <w:uiPriority w:val="1"/>
    <w:qFormat/>
    <w:rsid w:val="007C4FAB"/>
  </w:style>
  <w:style w:type="character" w:customStyle="1" w:styleId="CharSubdText">
    <w:name w:val="CharSubdText"/>
    <w:basedOn w:val="OPCCharBase"/>
    <w:uiPriority w:val="1"/>
    <w:qFormat/>
    <w:rsid w:val="007C4FAB"/>
  </w:style>
  <w:style w:type="paragraph" w:customStyle="1" w:styleId="CTA--">
    <w:name w:val="CTA --"/>
    <w:basedOn w:val="OPCParaBase"/>
    <w:next w:val="Normal"/>
    <w:rsid w:val="007C4FAB"/>
    <w:pPr>
      <w:spacing w:before="60" w:line="240" w:lineRule="atLeast"/>
      <w:ind w:left="142" w:hanging="142"/>
    </w:pPr>
    <w:rPr>
      <w:sz w:val="20"/>
    </w:rPr>
  </w:style>
  <w:style w:type="paragraph" w:customStyle="1" w:styleId="CTA-">
    <w:name w:val="CTA -"/>
    <w:basedOn w:val="OPCParaBase"/>
    <w:rsid w:val="007C4FAB"/>
    <w:pPr>
      <w:spacing w:before="60" w:line="240" w:lineRule="atLeast"/>
      <w:ind w:left="85" w:hanging="85"/>
    </w:pPr>
    <w:rPr>
      <w:sz w:val="20"/>
    </w:rPr>
  </w:style>
  <w:style w:type="paragraph" w:customStyle="1" w:styleId="CTA---">
    <w:name w:val="CTA ---"/>
    <w:basedOn w:val="OPCParaBase"/>
    <w:next w:val="Normal"/>
    <w:rsid w:val="007C4FAB"/>
    <w:pPr>
      <w:spacing w:before="60" w:line="240" w:lineRule="atLeast"/>
      <w:ind w:left="198" w:hanging="198"/>
    </w:pPr>
    <w:rPr>
      <w:sz w:val="20"/>
    </w:rPr>
  </w:style>
  <w:style w:type="paragraph" w:customStyle="1" w:styleId="CTA----">
    <w:name w:val="CTA ----"/>
    <w:basedOn w:val="OPCParaBase"/>
    <w:next w:val="Normal"/>
    <w:rsid w:val="007C4FAB"/>
    <w:pPr>
      <w:spacing w:before="60" w:line="240" w:lineRule="atLeast"/>
      <w:ind w:left="255" w:hanging="255"/>
    </w:pPr>
    <w:rPr>
      <w:sz w:val="20"/>
    </w:rPr>
  </w:style>
  <w:style w:type="paragraph" w:customStyle="1" w:styleId="CTA1a">
    <w:name w:val="CTA 1(a)"/>
    <w:basedOn w:val="OPCParaBase"/>
    <w:rsid w:val="007C4FAB"/>
    <w:pPr>
      <w:tabs>
        <w:tab w:val="right" w:pos="414"/>
      </w:tabs>
      <w:spacing w:before="40" w:line="240" w:lineRule="atLeast"/>
      <w:ind w:left="675" w:hanging="675"/>
    </w:pPr>
    <w:rPr>
      <w:sz w:val="20"/>
    </w:rPr>
  </w:style>
  <w:style w:type="paragraph" w:customStyle="1" w:styleId="CTA1ai">
    <w:name w:val="CTA 1(a)(i)"/>
    <w:basedOn w:val="OPCParaBase"/>
    <w:rsid w:val="007C4FAB"/>
    <w:pPr>
      <w:tabs>
        <w:tab w:val="right" w:pos="1004"/>
      </w:tabs>
      <w:spacing w:before="40" w:line="240" w:lineRule="atLeast"/>
      <w:ind w:left="1253" w:hanging="1253"/>
    </w:pPr>
    <w:rPr>
      <w:sz w:val="20"/>
    </w:rPr>
  </w:style>
  <w:style w:type="paragraph" w:customStyle="1" w:styleId="CTA2a">
    <w:name w:val="CTA 2(a)"/>
    <w:basedOn w:val="OPCParaBase"/>
    <w:rsid w:val="007C4FAB"/>
    <w:pPr>
      <w:tabs>
        <w:tab w:val="right" w:pos="482"/>
      </w:tabs>
      <w:spacing w:before="40" w:line="240" w:lineRule="atLeast"/>
      <w:ind w:left="748" w:hanging="748"/>
    </w:pPr>
    <w:rPr>
      <w:sz w:val="20"/>
    </w:rPr>
  </w:style>
  <w:style w:type="paragraph" w:customStyle="1" w:styleId="CTA2ai">
    <w:name w:val="CTA 2(a)(i)"/>
    <w:basedOn w:val="OPCParaBase"/>
    <w:rsid w:val="007C4FAB"/>
    <w:pPr>
      <w:tabs>
        <w:tab w:val="right" w:pos="1089"/>
      </w:tabs>
      <w:spacing w:before="40" w:line="240" w:lineRule="atLeast"/>
      <w:ind w:left="1327" w:hanging="1327"/>
    </w:pPr>
    <w:rPr>
      <w:sz w:val="20"/>
    </w:rPr>
  </w:style>
  <w:style w:type="paragraph" w:customStyle="1" w:styleId="CTA3a">
    <w:name w:val="CTA 3(a)"/>
    <w:basedOn w:val="OPCParaBase"/>
    <w:rsid w:val="007C4FAB"/>
    <w:pPr>
      <w:tabs>
        <w:tab w:val="right" w:pos="556"/>
      </w:tabs>
      <w:spacing w:before="40" w:line="240" w:lineRule="atLeast"/>
      <w:ind w:left="805" w:hanging="805"/>
    </w:pPr>
    <w:rPr>
      <w:sz w:val="20"/>
    </w:rPr>
  </w:style>
  <w:style w:type="paragraph" w:customStyle="1" w:styleId="CTA3ai">
    <w:name w:val="CTA 3(a)(i)"/>
    <w:basedOn w:val="OPCParaBase"/>
    <w:rsid w:val="007C4FAB"/>
    <w:pPr>
      <w:tabs>
        <w:tab w:val="right" w:pos="1140"/>
      </w:tabs>
      <w:spacing w:before="40" w:line="240" w:lineRule="atLeast"/>
      <w:ind w:left="1361" w:hanging="1361"/>
    </w:pPr>
    <w:rPr>
      <w:sz w:val="20"/>
    </w:rPr>
  </w:style>
  <w:style w:type="paragraph" w:customStyle="1" w:styleId="CTA4a">
    <w:name w:val="CTA 4(a)"/>
    <w:basedOn w:val="OPCParaBase"/>
    <w:rsid w:val="007C4FAB"/>
    <w:pPr>
      <w:tabs>
        <w:tab w:val="right" w:pos="624"/>
      </w:tabs>
      <w:spacing w:before="40" w:line="240" w:lineRule="atLeast"/>
      <w:ind w:left="873" w:hanging="873"/>
    </w:pPr>
    <w:rPr>
      <w:sz w:val="20"/>
    </w:rPr>
  </w:style>
  <w:style w:type="paragraph" w:customStyle="1" w:styleId="CTA4ai">
    <w:name w:val="CTA 4(a)(i)"/>
    <w:basedOn w:val="OPCParaBase"/>
    <w:rsid w:val="007C4FAB"/>
    <w:pPr>
      <w:tabs>
        <w:tab w:val="right" w:pos="1213"/>
      </w:tabs>
      <w:spacing w:before="40" w:line="240" w:lineRule="atLeast"/>
      <w:ind w:left="1452" w:hanging="1452"/>
    </w:pPr>
    <w:rPr>
      <w:sz w:val="20"/>
    </w:rPr>
  </w:style>
  <w:style w:type="paragraph" w:customStyle="1" w:styleId="CTACAPS">
    <w:name w:val="CTA CAPS"/>
    <w:basedOn w:val="OPCParaBase"/>
    <w:rsid w:val="007C4FAB"/>
    <w:pPr>
      <w:spacing w:before="60" w:line="240" w:lineRule="atLeast"/>
    </w:pPr>
    <w:rPr>
      <w:sz w:val="20"/>
    </w:rPr>
  </w:style>
  <w:style w:type="paragraph" w:customStyle="1" w:styleId="CTAright">
    <w:name w:val="CTA right"/>
    <w:basedOn w:val="OPCParaBase"/>
    <w:rsid w:val="007C4FAB"/>
    <w:pPr>
      <w:spacing w:before="60" w:line="240" w:lineRule="auto"/>
      <w:jc w:val="right"/>
    </w:pPr>
    <w:rPr>
      <w:sz w:val="20"/>
    </w:rPr>
  </w:style>
  <w:style w:type="paragraph" w:customStyle="1" w:styleId="subsection">
    <w:name w:val="subsection"/>
    <w:aliases w:val="ss"/>
    <w:basedOn w:val="OPCParaBase"/>
    <w:link w:val="subsectionChar"/>
    <w:rsid w:val="007C4FAB"/>
    <w:pPr>
      <w:tabs>
        <w:tab w:val="right" w:pos="1021"/>
      </w:tabs>
      <w:spacing w:before="180" w:line="240" w:lineRule="auto"/>
      <w:ind w:left="1134" w:hanging="1134"/>
    </w:pPr>
  </w:style>
  <w:style w:type="paragraph" w:customStyle="1" w:styleId="Definition">
    <w:name w:val="Definition"/>
    <w:aliases w:val="dd"/>
    <w:basedOn w:val="OPCParaBase"/>
    <w:rsid w:val="007C4FAB"/>
    <w:pPr>
      <w:spacing w:before="180" w:line="240" w:lineRule="auto"/>
      <w:ind w:left="1134"/>
    </w:pPr>
  </w:style>
  <w:style w:type="paragraph" w:customStyle="1" w:styleId="ETAsubitem">
    <w:name w:val="ETA(subitem)"/>
    <w:basedOn w:val="OPCParaBase"/>
    <w:rsid w:val="007C4FAB"/>
    <w:pPr>
      <w:tabs>
        <w:tab w:val="right" w:pos="340"/>
      </w:tabs>
      <w:spacing w:before="60" w:line="240" w:lineRule="auto"/>
      <w:ind w:left="454" w:hanging="454"/>
    </w:pPr>
    <w:rPr>
      <w:sz w:val="20"/>
    </w:rPr>
  </w:style>
  <w:style w:type="paragraph" w:customStyle="1" w:styleId="ETApara">
    <w:name w:val="ETA(para)"/>
    <w:basedOn w:val="OPCParaBase"/>
    <w:rsid w:val="007C4FAB"/>
    <w:pPr>
      <w:tabs>
        <w:tab w:val="right" w:pos="754"/>
      </w:tabs>
      <w:spacing w:before="60" w:line="240" w:lineRule="auto"/>
      <w:ind w:left="828" w:hanging="828"/>
    </w:pPr>
    <w:rPr>
      <w:sz w:val="20"/>
    </w:rPr>
  </w:style>
  <w:style w:type="paragraph" w:customStyle="1" w:styleId="ETAsubpara">
    <w:name w:val="ETA(subpara)"/>
    <w:basedOn w:val="OPCParaBase"/>
    <w:rsid w:val="007C4FAB"/>
    <w:pPr>
      <w:tabs>
        <w:tab w:val="right" w:pos="1083"/>
      </w:tabs>
      <w:spacing w:before="60" w:line="240" w:lineRule="auto"/>
      <w:ind w:left="1191" w:hanging="1191"/>
    </w:pPr>
    <w:rPr>
      <w:sz w:val="20"/>
    </w:rPr>
  </w:style>
  <w:style w:type="paragraph" w:customStyle="1" w:styleId="ETAsub-subpara">
    <w:name w:val="ETA(sub-subpara)"/>
    <w:basedOn w:val="OPCParaBase"/>
    <w:rsid w:val="007C4FAB"/>
    <w:pPr>
      <w:tabs>
        <w:tab w:val="right" w:pos="1412"/>
      </w:tabs>
      <w:spacing w:before="60" w:line="240" w:lineRule="auto"/>
      <w:ind w:left="1525" w:hanging="1525"/>
    </w:pPr>
    <w:rPr>
      <w:sz w:val="20"/>
    </w:rPr>
  </w:style>
  <w:style w:type="paragraph" w:customStyle="1" w:styleId="Formula">
    <w:name w:val="Formula"/>
    <w:basedOn w:val="OPCParaBase"/>
    <w:rsid w:val="007C4FAB"/>
    <w:pPr>
      <w:spacing w:line="240" w:lineRule="auto"/>
      <w:ind w:left="1134"/>
    </w:pPr>
    <w:rPr>
      <w:sz w:val="20"/>
    </w:rPr>
  </w:style>
  <w:style w:type="paragraph" w:styleId="Header">
    <w:name w:val="header"/>
    <w:basedOn w:val="OPCParaBase"/>
    <w:link w:val="HeaderChar"/>
    <w:unhideWhenUsed/>
    <w:rsid w:val="007C4F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4FAB"/>
    <w:rPr>
      <w:rFonts w:eastAsia="Times New Roman" w:cs="Times New Roman"/>
      <w:sz w:val="16"/>
      <w:lang w:eastAsia="en-AU"/>
    </w:rPr>
  </w:style>
  <w:style w:type="paragraph" w:customStyle="1" w:styleId="House">
    <w:name w:val="House"/>
    <w:basedOn w:val="OPCParaBase"/>
    <w:rsid w:val="007C4FAB"/>
    <w:pPr>
      <w:spacing w:line="240" w:lineRule="auto"/>
    </w:pPr>
    <w:rPr>
      <w:sz w:val="28"/>
    </w:rPr>
  </w:style>
  <w:style w:type="paragraph" w:customStyle="1" w:styleId="Item">
    <w:name w:val="Item"/>
    <w:aliases w:val="i"/>
    <w:basedOn w:val="OPCParaBase"/>
    <w:next w:val="ItemHead"/>
    <w:rsid w:val="007C4FAB"/>
    <w:pPr>
      <w:keepLines/>
      <w:spacing w:before="80" w:line="240" w:lineRule="auto"/>
      <w:ind w:left="709"/>
    </w:pPr>
  </w:style>
  <w:style w:type="paragraph" w:customStyle="1" w:styleId="ItemHead">
    <w:name w:val="ItemHead"/>
    <w:aliases w:val="ih"/>
    <w:basedOn w:val="OPCParaBase"/>
    <w:next w:val="Item"/>
    <w:rsid w:val="007C4F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4FAB"/>
    <w:pPr>
      <w:spacing w:line="240" w:lineRule="auto"/>
    </w:pPr>
    <w:rPr>
      <w:b/>
      <w:sz w:val="32"/>
    </w:rPr>
  </w:style>
  <w:style w:type="paragraph" w:customStyle="1" w:styleId="notedraft">
    <w:name w:val="note(draft)"/>
    <w:aliases w:val="nd"/>
    <w:basedOn w:val="OPCParaBase"/>
    <w:rsid w:val="007C4FAB"/>
    <w:pPr>
      <w:spacing w:before="240" w:line="240" w:lineRule="auto"/>
      <w:ind w:left="284" w:hanging="284"/>
    </w:pPr>
    <w:rPr>
      <w:i/>
      <w:sz w:val="24"/>
    </w:rPr>
  </w:style>
  <w:style w:type="paragraph" w:customStyle="1" w:styleId="notemargin">
    <w:name w:val="note(margin)"/>
    <w:aliases w:val="nm"/>
    <w:basedOn w:val="OPCParaBase"/>
    <w:rsid w:val="007C4FAB"/>
    <w:pPr>
      <w:tabs>
        <w:tab w:val="left" w:pos="709"/>
      </w:tabs>
      <w:spacing w:before="122" w:line="198" w:lineRule="exact"/>
      <w:ind w:left="709" w:hanging="709"/>
    </w:pPr>
    <w:rPr>
      <w:sz w:val="18"/>
    </w:rPr>
  </w:style>
  <w:style w:type="paragraph" w:customStyle="1" w:styleId="noteToPara">
    <w:name w:val="noteToPara"/>
    <w:aliases w:val="ntp"/>
    <w:basedOn w:val="OPCParaBase"/>
    <w:rsid w:val="007C4FAB"/>
    <w:pPr>
      <w:spacing w:before="122" w:line="198" w:lineRule="exact"/>
      <w:ind w:left="2353" w:hanging="709"/>
    </w:pPr>
    <w:rPr>
      <w:sz w:val="18"/>
    </w:rPr>
  </w:style>
  <w:style w:type="paragraph" w:customStyle="1" w:styleId="noteParlAmend">
    <w:name w:val="note(ParlAmend)"/>
    <w:aliases w:val="npp"/>
    <w:basedOn w:val="OPCParaBase"/>
    <w:next w:val="ParlAmend"/>
    <w:rsid w:val="007C4FAB"/>
    <w:pPr>
      <w:spacing w:line="240" w:lineRule="auto"/>
      <w:jc w:val="right"/>
    </w:pPr>
    <w:rPr>
      <w:rFonts w:ascii="Arial" w:hAnsi="Arial"/>
      <w:b/>
      <w:i/>
    </w:rPr>
  </w:style>
  <w:style w:type="paragraph" w:customStyle="1" w:styleId="Page1">
    <w:name w:val="Page1"/>
    <w:basedOn w:val="OPCParaBase"/>
    <w:rsid w:val="007C4FAB"/>
    <w:pPr>
      <w:spacing w:before="5600" w:line="240" w:lineRule="auto"/>
    </w:pPr>
    <w:rPr>
      <w:b/>
      <w:sz w:val="32"/>
    </w:rPr>
  </w:style>
  <w:style w:type="paragraph" w:customStyle="1" w:styleId="PageBreak">
    <w:name w:val="PageBreak"/>
    <w:aliases w:val="pb"/>
    <w:basedOn w:val="OPCParaBase"/>
    <w:rsid w:val="007C4FAB"/>
    <w:pPr>
      <w:spacing w:line="240" w:lineRule="auto"/>
    </w:pPr>
    <w:rPr>
      <w:sz w:val="20"/>
    </w:rPr>
  </w:style>
  <w:style w:type="paragraph" w:customStyle="1" w:styleId="paragraphsub">
    <w:name w:val="paragraph(sub)"/>
    <w:aliases w:val="aa"/>
    <w:basedOn w:val="OPCParaBase"/>
    <w:rsid w:val="007C4FAB"/>
    <w:pPr>
      <w:tabs>
        <w:tab w:val="right" w:pos="1985"/>
      </w:tabs>
      <w:spacing w:before="40" w:line="240" w:lineRule="auto"/>
      <w:ind w:left="2098" w:hanging="2098"/>
    </w:pPr>
  </w:style>
  <w:style w:type="paragraph" w:customStyle="1" w:styleId="paragraphsub-sub">
    <w:name w:val="paragraph(sub-sub)"/>
    <w:aliases w:val="aaa"/>
    <w:basedOn w:val="OPCParaBase"/>
    <w:rsid w:val="007C4FAB"/>
    <w:pPr>
      <w:tabs>
        <w:tab w:val="right" w:pos="2722"/>
      </w:tabs>
      <w:spacing w:before="40" w:line="240" w:lineRule="auto"/>
      <w:ind w:left="2835" w:hanging="2835"/>
    </w:pPr>
  </w:style>
  <w:style w:type="paragraph" w:customStyle="1" w:styleId="paragraph">
    <w:name w:val="paragraph"/>
    <w:aliases w:val="a"/>
    <w:basedOn w:val="OPCParaBase"/>
    <w:link w:val="paragraphChar"/>
    <w:rsid w:val="007C4FAB"/>
    <w:pPr>
      <w:tabs>
        <w:tab w:val="right" w:pos="1531"/>
      </w:tabs>
      <w:spacing w:before="40" w:line="240" w:lineRule="auto"/>
      <w:ind w:left="1644" w:hanging="1644"/>
    </w:pPr>
  </w:style>
  <w:style w:type="paragraph" w:customStyle="1" w:styleId="ParlAmend">
    <w:name w:val="ParlAmend"/>
    <w:aliases w:val="pp"/>
    <w:basedOn w:val="OPCParaBase"/>
    <w:rsid w:val="007C4FAB"/>
    <w:pPr>
      <w:spacing w:before="240" w:line="240" w:lineRule="atLeast"/>
      <w:ind w:hanging="567"/>
    </w:pPr>
    <w:rPr>
      <w:sz w:val="24"/>
    </w:rPr>
  </w:style>
  <w:style w:type="paragraph" w:customStyle="1" w:styleId="Penalty">
    <w:name w:val="Penalty"/>
    <w:basedOn w:val="OPCParaBase"/>
    <w:rsid w:val="007C4FAB"/>
    <w:pPr>
      <w:tabs>
        <w:tab w:val="left" w:pos="2977"/>
      </w:tabs>
      <w:spacing w:before="180" w:line="240" w:lineRule="auto"/>
      <w:ind w:left="1985" w:hanging="851"/>
    </w:pPr>
  </w:style>
  <w:style w:type="paragraph" w:customStyle="1" w:styleId="Portfolio">
    <w:name w:val="Portfolio"/>
    <w:basedOn w:val="OPCParaBase"/>
    <w:rsid w:val="007C4FAB"/>
    <w:pPr>
      <w:spacing w:line="240" w:lineRule="auto"/>
    </w:pPr>
    <w:rPr>
      <w:i/>
      <w:sz w:val="20"/>
    </w:rPr>
  </w:style>
  <w:style w:type="paragraph" w:customStyle="1" w:styleId="Preamble">
    <w:name w:val="Preamble"/>
    <w:basedOn w:val="OPCParaBase"/>
    <w:next w:val="Normal"/>
    <w:rsid w:val="007C4F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4FAB"/>
    <w:pPr>
      <w:spacing w:line="240" w:lineRule="auto"/>
    </w:pPr>
    <w:rPr>
      <w:i/>
      <w:sz w:val="20"/>
    </w:rPr>
  </w:style>
  <w:style w:type="paragraph" w:customStyle="1" w:styleId="Session">
    <w:name w:val="Session"/>
    <w:basedOn w:val="OPCParaBase"/>
    <w:rsid w:val="007C4FAB"/>
    <w:pPr>
      <w:spacing w:line="240" w:lineRule="auto"/>
    </w:pPr>
    <w:rPr>
      <w:sz w:val="28"/>
    </w:rPr>
  </w:style>
  <w:style w:type="paragraph" w:customStyle="1" w:styleId="Sponsor">
    <w:name w:val="Sponsor"/>
    <w:basedOn w:val="OPCParaBase"/>
    <w:rsid w:val="007C4FAB"/>
    <w:pPr>
      <w:spacing w:line="240" w:lineRule="auto"/>
    </w:pPr>
    <w:rPr>
      <w:i/>
    </w:rPr>
  </w:style>
  <w:style w:type="paragraph" w:customStyle="1" w:styleId="Subitem">
    <w:name w:val="Subitem"/>
    <w:aliases w:val="iss"/>
    <w:basedOn w:val="OPCParaBase"/>
    <w:rsid w:val="007C4FAB"/>
    <w:pPr>
      <w:spacing w:before="180" w:line="240" w:lineRule="auto"/>
      <w:ind w:left="709" w:hanging="709"/>
    </w:pPr>
  </w:style>
  <w:style w:type="paragraph" w:customStyle="1" w:styleId="SubitemHead">
    <w:name w:val="SubitemHead"/>
    <w:aliases w:val="issh"/>
    <w:basedOn w:val="OPCParaBase"/>
    <w:rsid w:val="007C4F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4FAB"/>
    <w:pPr>
      <w:spacing w:before="40" w:line="240" w:lineRule="auto"/>
      <w:ind w:left="1134"/>
    </w:pPr>
  </w:style>
  <w:style w:type="paragraph" w:customStyle="1" w:styleId="SubsectionHead">
    <w:name w:val="SubsectionHead"/>
    <w:aliases w:val="ssh"/>
    <w:basedOn w:val="OPCParaBase"/>
    <w:next w:val="subsection"/>
    <w:rsid w:val="007C4FAB"/>
    <w:pPr>
      <w:keepNext/>
      <w:keepLines/>
      <w:spacing w:before="240" w:line="240" w:lineRule="auto"/>
      <w:ind w:left="1134"/>
    </w:pPr>
    <w:rPr>
      <w:i/>
    </w:rPr>
  </w:style>
  <w:style w:type="paragraph" w:customStyle="1" w:styleId="Tablea">
    <w:name w:val="Table(a)"/>
    <w:aliases w:val="ta"/>
    <w:basedOn w:val="OPCParaBase"/>
    <w:rsid w:val="007C4FAB"/>
    <w:pPr>
      <w:spacing w:before="60" w:line="240" w:lineRule="auto"/>
      <w:ind w:left="284" w:hanging="284"/>
    </w:pPr>
    <w:rPr>
      <w:sz w:val="20"/>
    </w:rPr>
  </w:style>
  <w:style w:type="paragraph" w:customStyle="1" w:styleId="TableAA">
    <w:name w:val="Table(AA)"/>
    <w:aliases w:val="taaa"/>
    <w:basedOn w:val="OPCParaBase"/>
    <w:rsid w:val="007C4F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4F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4FAB"/>
    <w:pPr>
      <w:spacing w:before="60" w:line="240" w:lineRule="atLeast"/>
    </w:pPr>
    <w:rPr>
      <w:sz w:val="20"/>
    </w:rPr>
  </w:style>
  <w:style w:type="paragraph" w:customStyle="1" w:styleId="TLPBoxTextnote">
    <w:name w:val="TLPBoxText(note"/>
    <w:aliases w:val="right)"/>
    <w:basedOn w:val="OPCParaBase"/>
    <w:rsid w:val="007C4F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4F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4FAB"/>
    <w:pPr>
      <w:spacing w:before="122" w:line="198" w:lineRule="exact"/>
      <w:ind w:left="1985" w:hanging="851"/>
      <w:jc w:val="right"/>
    </w:pPr>
    <w:rPr>
      <w:sz w:val="18"/>
    </w:rPr>
  </w:style>
  <w:style w:type="paragraph" w:customStyle="1" w:styleId="TLPTableBullet">
    <w:name w:val="TLPTableBullet"/>
    <w:aliases w:val="ttb"/>
    <w:basedOn w:val="OPCParaBase"/>
    <w:rsid w:val="007C4FAB"/>
    <w:pPr>
      <w:spacing w:line="240" w:lineRule="exact"/>
      <w:ind w:left="284" w:hanging="284"/>
    </w:pPr>
    <w:rPr>
      <w:sz w:val="20"/>
    </w:rPr>
  </w:style>
  <w:style w:type="paragraph" w:styleId="TOC1">
    <w:name w:val="toc 1"/>
    <w:basedOn w:val="OPCParaBase"/>
    <w:next w:val="Normal"/>
    <w:uiPriority w:val="39"/>
    <w:unhideWhenUsed/>
    <w:rsid w:val="007C4FA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4FA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C4FA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4FA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035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4F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4F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4F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4F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4FAB"/>
    <w:pPr>
      <w:keepLines/>
      <w:spacing w:before="240" w:after="120" w:line="240" w:lineRule="auto"/>
      <w:ind w:left="794"/>
    </w:pPr>
    <w:rPr>
      <w:b/>
      <w:kern w:val="28"/>
      <w:sz w:val="20"/>
    </w:rPr>
  </w:style>
  <w:style w:type="paragraph" w:customStyle="1" w:styleId="TofSectsHeading">
    <w:name w:val="TofSects(Heading)"/>
    <w:basedOn w:val="OPCParaBase"/>
    <w:rsid w:val="007C4FAB"/>
    <w:pPr>
      <w:spacing w:before="240" w:after="120" w:line="240" w:lineRule="auto"/>
    </w:pPr>
    <w:rPr>
      <w:b/>
      <w:sz w:val="24"/>
    </w:rPr>
  </w:style>
  <w:style w:type="paragraph" w:customStyle="1" w:styleId="TofSectsSection">
    <w:name w:val="TofSects(Section)"/>
    <w:basedOn w:val="OPCParaBase"/>
    <w:rsid w:val="007C4FAB"/>
    <w:pPr>
      <w:keepLines/>
      <w:spacing w:before="40" w:line="240" w:lineRule="auto"/>
      <w:ind w:left="1588" w:hanging="794"/>
    </w:pPr>
    <w:rPr>
      <w:kern w:val="28"/>
      <w:sz w:val="18"/>
    </w:rPr>
  </w:style>
  <w:style w:type="paragraph" w:customStyle="1" w:styleId="TofSectsSubdiv">
    <w:name w:val="TofSects(Subdiv)"/>
    <w:basedOn w:val="OPCParaBase"/>
    <w:rsid w:val="007C4FAB"/>
    <w:pPr>
      <w:keepLines/>
      <w:spacing w:before="80" w:line="240" w:lineRule="auto"/>
      <w:ind w:left="1588" w:hanging="794"/>
    </w:pPr>
    <w:rPr>
      <w:kern w:val="28"/>
    </w:rPr>
  </w:style>
  <w:style w:type="paragraph" w:customStyle="1" w:styleId="WRStyle">
    <w:name w:val="WR Style"/>
    <w:aliases w:val="WR"/>
    <w:basedOn w:val="OPCParaBase"/>
    <w:rsid w:val="007C4FAB"/>
    <w:pPr>
      <w:spacing w:before="240" w:line="240" w:lineRule="auto"/>
      <w:ind w:left="284" w:hanging="284"/>
    </w:pPr>
    <w:rPr>
      <w:b/>
      <w:i/>
      <w:kern w:val="28"/>
      <w:sz w:val="24"/>
    </w:rPr>
  </w:style>
  <w:style w:type="paragraph" w:customStyle="1" w:styleId="notepara">
    <w:name w:val="note(para)"/>
    <w:aliases w:val="na"/>
    <w:basedOn w:val="OPCParaBase"/>
    <w:rsid w:val="007C4FAB"/>
    <w:pPr>
      <w:spacing w:before="40" w:line="198" w:lineRule="exact"/>
      <w:ind w:left="2354" w:hanging="369"/>
    </w:pPr>
    <w:rPr>
      <w:sz w:val="18"/>
    </w:rPr>
  </w:style>
  <w:style w:type="paragraph" w:styleId="Footer">
    <w:name w:val="footer"/>
    <w:link w:val="FooterChar"/>
    <w:rsid w:val="007C4F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4FAB"/>
    <w:rPr>
      <w:rFonts w:eastAsia="Times New Roman" w:cs="Times New Roman"/>
      <w:sz w:val="22"/>
      <w:szCs w:val="24"/>
      <w:lang w:eastAsia="en-AU"/>
    </w:rPr>
  </w:style>
  <w:style w:type="character" w:styleId="LineNumber">
    <w:name w:val="line number"/>
    <w:basedOn w:val="OPCCharBase"/>
    <w:uiPriority w:val="99"/>
    <w:semiHidden/>
    <w:unhideWhenUsed/>
    <w:rsid w:val="007C4FAB"/>
    <w:rPr>
      <w:sz w:val="16"/>
    </w:rPr>
  </w:style>
  <w:style w:type="table" w:customStyle="1" w:styleId="CFlag">
    <w:name w:val="CFlag"/>
    <w:basedOn w:val="TableNormal"/>
    <w:uiPriority w:val="99"/>
    <w:rsid w:val="007C4FAB"/>
    <w:rPr>
      <w:rFonts w:eastAsia="Times New Roman" w:cs="Times New Roman"/>
      <w:lang w:eastAsia="en-AU"/>
    </w:rPr>
    <w:tblPr/>
  </w:style>
  <w:style w:type="paragraph" w:customStyle="1" w:styleId="NotesHeading1">
    <w:name w:val="NotesHeading 1"/>
    <w:basedOn w:val="OPCParaBase"/>
    <w:next w:val="Normal"/>
    <w:rsid w:val="007C4FAB"/>
    <w:rPr>
      <w:b/>
      <w:sz w:val="28"/>
      <w:szCs w:val="28"/>
    </w:rPr>
  </w:style>
  <w:style w:type="paragraph" w:customStyle="1" w:styleId="NotesHeading2">
    <w:name w:val="NotesHeading 2"/>
    <w:basedOn w:val="OPCParaBase"/>
    <w:next w:val="Normal"/>
    <w:rsid w:val="007C4FAB"/>
    <w:rPr>
      <w:b/>
      <w:sz w:val="28"/>
      <w:szCs w:val="28"/>
    </w:rPr>
  </w:style>
  <w:style w:type="paragraph" w:customStyle="1" w:styleId="SignCoverPageEnd">
    <w:name w:val="SignCoverPageEnd"/>
    <w:basedOn w:val="OPCParaBase"/>
    <w:next w:val="Normal"/>
    <w:rsid w:val="007C4F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4FAB"/>
    <w:pPr>
      <w:pBdr>
        <w:top w:val="single" w:sz="4" w:space="1" w:color="auto"/>
      </w:pBdr>
      <w:spacing w:before="360"/>
      <w:ind w:right="397"/>
      <w:jc w:val="both"/>
    </w:pPr>
  </w:style>
  <w:style w:type="paragraph" w:customStyle="1" w:styleId="Paragraphsub-sub-sub">
    <w:name w:val="Paragraph(sub-sub-sub)"/>
    <w:aliases w:val="aaaa"/>
    <w:basedOn w:val="OPCParaBase"/>
    <w:rsid w:val="007C4F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4F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4F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4F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4FA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C4FAB"/>
    <w:pPr>
      <w:spacing w:before="120"/>
    </w:pPr>
  </w:style>
  <w:style w:type="paragraph" w:customStyle="1" w:styleId="TableTextEndNotes">
    <w:name w:val="TableTextEndNotes"/>
    <w:aliases w:val="Tten"/>
    <w:basedOn w:val="Normal"/>
    <w:rsid w:val="007C4FAB"/>
    <w:pPr>
      <w:spacing w:before="60" w:line="240" w:lineRule="auto"/>
    </w:pPr>
    <w:rPr>
      <w:rFonts w:cs="Arial"/>
      <w:sz w:val="20"/>
      <w:szCs w:val="22"/>
    </w:rPr>
  </w:style>
  <w:style w:type="paragraph" w:customStyle="1" w:styleId="TableHeading">
    <w:name w:val="TableHeading"/>
    <w:aliases w:val="th"/>
    <w:basedOn w:val="OPCParaBase"/>
    <w:next w:val="Tabletext"/>
    <w:rsid w:val="007C4FAB"/>
    <w:pPr>
      <w:keepNext/>
      <w:spacing w:before="60" w:line="240" w:lineRule="atLeast"/>
    </w:pPr>
    <w:rPr>
      <w:b/>
      <w:sz w:val="20"/>
    </w:rPr>
  </w:style>
  <w:style w:type="paragraph" w:customStyle="1" w:styleId="NoteToSubpara">
    <w:name w:val="NoteToSubpara"/>
    <w:aliases w:val="nts"/>
    <w:basedOn w:val="OPCParaBase"/>
    <w:rsid w:val="007C4FAB"/>
    <w:pPr>
      <w:spacing w:before="40" w:line="198" w:lineRule="exact"/>
      <w:ind w:left="2835" w:hanging="709"/>
    </w:pPr>
    <w:rPr>
      <w:sz w:val="18"/>
    </w:rPr>
  </w:style>
  <w:style w:type="paragraph" w:customStyle="1" w:styleId="ENoteTableHeading">
    <w:name w:val="ENoteTableHeading"/>
    <w:aliases w:val="enth"/>
    <w:basedOn w:val="OPCParaBase"/>
    <w:rsid w:val="007C4FAB"/>
    <w:pPr>
      <w:keepNext/>
      <w:spacing w:before="60" w:line="240" w:lineRule="atLeast"/>
    </w:pPr>
    <w:rPr>
      <w:rFonts w:ascii="Arial" w:hAnsi="Arial"/>
      <w:b/>
      <w:sz w:val="16"/>
    </w:rPr>
  </w:style>
  <w:style w:type="paragraph" w:customStyle="1" w:styleId="ENoteTTi">
    <w:name w:val="ENoteTTi"/>
    <w:aliases w:val="entti"/>
    <w:basedOn w:val="OPCParaBase"/>
    <w:rsid w:val="007C4FAB"/>
    <w:pPr>
      <w:keepNext/>
      <w:spacing w:before="60" w:line="240" w:lineRule="atLeast"/>
      <w:ind w:left="170"/>
    </w:pPr>
    <w:rPr>
      <w:sz w:val="16"/>
    </w:rPr>
  </w:style>
  <w:style w:type="paragraph" w:customStyle="1" w:styleId="ENotesHeading1">
    <w:name w:val="ENotesHeading 1"/>
    <w:aliases w:val="Enh1"/>
    <w:basedOn w:val="OPCParaBase"/>
    <w:next w:val="Normal"/>
    <w:rsid w:val="007C4FAB"/>
    <w:pPr>
      <w:spacing w:before="120"/>
      <w:outlineLvl w:val="1"/>
    </w:pPr>
    <w:rPr>
      <w:b/>
      <w:sz w:val="28"/>
      <w:szCs w:val="28"/>
    </w:rPr>
  </w:style>
  <w:style w:type="paragraph" w:customStyle="1" w:styleId="ENotesHeading2">
    <w:name w:val="ENotesHeading 2"/>
    <w:aliases w:val="Enh2"/>
    <w:basedOn w:val="OPCParaBase"/>
    <w:next w:val="Normal"/>
    <w:rsid w:val="007C4FAB"/>
    <w:pPr>
      <w:spacing w:before="120" w:after="120"/>
      <w:outlineLvl w:val="2"/>
    </w:pPr>
    <w:rPr>
      <w:b/>
      <w:sz w:val="24"/>
      <w:szCs w:val="28"/>
    </w:rPr>
  </w:style>
  <w:style w:type="paragraph" w:customStyle="1" w:styleId="ENoteTTIndentHeading">
    <w:name w:val="ENoteTTIndentHeading"/>
    <w:aliases w:val="enTTHi"/>
    <w:basedOn w:val="OPCParaBase"/>
    <w:rsid w:val="007C4F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4FAB"/>
    <w:pPr>
      <w:spacing w:before="60" w:line="240" w:lineRule="atLeast"/>
    </w:pPr>
    <w:rPr>
      <w:sz w:val="16"/>
    </w:rPr>
  </w:style>
  <w:style w:type="paragraph" w:customStyle="1" w:styleId="MadeunderText">
    <w:name w:val="MadeunderText"/>
    <w:basedOn w:val="OPCParaBase"/>
    <w:next w:val="Normal"/>
    <w:rsid w:val="007C4FAB"/>
    <w:pPr>
      <w:spacing w:before="240"/>
    </w:pPr>
    <w:rPr>
      <w:sz w:val="24"/>
      <w:szCs w:val="24"/>
    </w:rPr>
  </w:style>
  <w:style w:type="paragraph" w:customStyle="1" w:styleId="ENotesHeading3">
    <w:name w:val="ENotesHeading 3"/>
    <w:aliases w:val="Enh3"/>
    <w:basedOn w:val="OPCParaBase"/>
    <w:next w:val="Normal"/>
    <w:rsid w:val="007C4FAB"/>
    <w:pPr>
      <w:keepNext/>
      <w:spacing w:before="120" w:line="240" w:lineRule="auto"/>
      <w:outlineLvl w:val="4"/>
    </w:pPr>
    <w:rPr>
      <w:b/>
      <w:szCs w:val="24"/>
    </w:rPr>
  </w:style>
  <w:style w:type="paragraph" w:customStyle="1" w:styleId="SubPartCASA">
    <w:name w:val="SubPart(CASA)"/>
    <w:aliases w:val="csp"/>
    <w:basedOn w:val="OPCParaBase"/>
    <w:next w:val="ActHead3"/>
    <w:rsid w:val="007C4FA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C4FAB"/>
  </w:style>
  <w:style w:type="character" w:customStyle="1" w:styleId="CharSubPartNoCASA">
    <w:name w:val="CharSubPartNo(CASA)"/>
    <w:basedOn w:val="OPCCharBase"/>
    <w:uiPriority w:val="1"/>
    <w:rsid w:val="007C4FAB"/>
  </w:style>
  <w:style w:type="paragraph" w:customStyle="1" w:styleId="ENoteTTIndentHeadingSub">
    <w:name w:val="ENoteTTIndentHeadingSub"/>
    <w:aliases w:val="enTTHis"/>
    <w:basedOn w:val="OPCParaBase"/>
    <w:rsid w:val="007C4FAB"/>
    <w:pPr>
      <w:keepNext/>
      <w:spacing w:before="60" w:line="240" w:lineRule="atLeast"/>
      <w:ind w:left="340"/>
    </w:pPr>
    <w:rPr>
      <w:b/>
      <w:sz w:val="16"/>
    </w:rPr>
  </w:style>
  <w:style w:type="paragraph" w:customStyle="1" w:styleId="ENoteTTiSub">
    <w:name w:val="ENoteTTiSub"/>
    <w:aliases w:val="enttis"/>
    <w:basedOn w:val="OPCParaBase"/>
    <w:rsid w:val="007C4FAB"/>
    <w:pPr>
      <w:keepNext/>
      <w:spacing w:before="60" w:line="240" w:lineRule="atLeast"/>
      <w:ind w:left="340"/>
    </w:pPr>
    <w:rPr>
      <w:sz w:val="16"/>
    </w:rPr>
  </w:style>
  <w:style w:type="paragraph" w:customStyle="1" w:styleId="SubDivisionMigration">
    <w:name w:val="SubDivisionMigration"/>
    <w:aliases w:val="sdm"/>
    <w:basedOn w:val="OPCParaBase"/>
    <w:rsid w:val="007C4F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4FAB"/>
    <w:pPr>
      <w:keepNext/>
      <w:keepLines/>
      <w:spacing w:before="240" w:line="240" w:lineRule="auto"/>
      <w:ind w:left="1134" w:hanging="1134"/>
    </w:pPr>
    <w:rPr>
      <w:b/>
      <w:sz w:val="28"/>
    </w:rPr>
  </w:style>
  <w:style w:type="table" w:styleId="TableGrid">
    <w:name w:val="Table Grid"/>
    <w:basedOn w:val="TableNormal"/>
    <w:uiPriority w:val="59"/>
    <w:rsid w:val="007C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C4FAB"/>
    <w:pPr>
      <w:spacing w:before="122" w:line="240" w:lineRule="auto"/>
      <w:ind w:left="1985" w:hanging="851"/>
    </w:pPr>
    <w:rPr>
      <w:sz w:val="18"/>
    </w:rPr>
  </w:style>
  <w:style w:type="paragraph" w:customStyle="1" w:styleId="FreeForm">
    <w:name w:val="FreeForm"/>
    <w:rsid w:val="007C4FAB"/>
    <w:rPr>
      <w:rFonts w:ascii="Arial" w:hAnsi="Arial"/>
      <w:sz w:val="22"/>
    </w:rPr>
  </w:style>
  <w:style w:type="paragraph" w:customStyle="1" w:styleId="SOText">
    <w:name w:val="SO Text"/>
    <w:aliases w:val="sot"/>
    <w:link w:val="SOTextChar"/>
    <w:rsid w:val="007C4F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4FAB"/>
    <w:rPr>
      <w:sz w:val="22"/>
    </w:rPr>
  </w:style>
  <w:style w:type="paragraph" w:customStyle="1" w:styleId="SOTextNote">
    <w:name w:val="SO TextNote"/>
    <w:aliases w:val="sont"/>
    <w:basedOn w:val="SOText"/>
    <w:qFormat/>
    <w:rsid w:val="007C4FAB"/>
    <w:pPr>
      <w:spacing w:before="122" w:line="198" w:lineRule="exact"/>
      <w:ind w:left="1843" w:hanging="709"/>
    </w:pPr>
    <w:rPr>
      <w:sz w:val="18"/>
    </w:rPr>
  </w:style>
  <w:style w:type="paragraph" w:customStyle="1" w:styleId="SOPara">
    <w:name w:val="SO Para"/>
    <w:aliases w:val="soa"/>
    <w:basedOn w:val="SOText"/>
    <w:link w:val="SOParaChar"/>
    <w:qFormat/>
    <w:rsid w:val="007C4FAB"/>
    <w:pPr>
      <w:tabs>
        <w:tab w:val="right" w:pos="1786"/>
      </w:tabs>
      <w:spacing w:before="40"/>
      <w:ind w:left="2070" w:hanging="936"/>
    </w:pPr>
  </w:style>
  <w:style w:type="character" w:customStyle="1" w:styleId="SOParaChar">
    <w:name w:val="SO Para Char"/>
    <w:aliases w:val="soa Char"/>
    <w:basedOn w:val="DefaultParagraphFont"/>
    <w:link w:val="SOPara"/>
    <w:rsid w:val="007C4FAB"/>
    <w:rPr>
      <w:sz w:val="22"/>
    </w:rPr>
  </w:style>
  <w:style w:type="paragraph" w:customStyle="1" w:styleId="FileName">
    <w:name w:val="FileName"/>
    <w:basedOn w:val="Normal"/>
    <w:rsid w:val="007C4FAB"/>
  </w:style>
  <w:style w:type="paragraph" w:customStyle="1" w:styleId="SOHeadBold">
    <w:name w:val="SO HeadBold"/>
    <w:aliases w:val="sohb"/>
    <w:basedOn w:val="SOText"/>
    <w:next w:val="SOText"/>
    <w:link w:val="SOHeadBoldChar"/>
    <w:qFormat/>
    <w:rsid w:val="007C4FAB"/>
    <w:rPr>
      <w:b/>
    </w:rPr>
  </w:style>
  <w:style w:type="character" w:customStyle="1" w:styleId="SOHeadBoldChar">
    <w:name w:val="SO HeadBold Char"/>
    <w:aliases w:val="sohb Char"/>
    <w:basedOn w:val="DefaultParagraphFont"/>
    <w:link w:val="SOHeadBold"/>
    <w:rsid w:val="007C4FAB"/>
    <w:rPr>
      <w:b/>
      <w:sz w:val="22"/>
    </w:rPr>
  </w:style>
  <w:style w:type="paragraph" w:customStyle="1" w:styleId="SOHeadItalic">
    <w:name w:val="SO HeadItalic"/>
    <w:aliases w:val="sohi"/>
    <w:basedOn w:val="SOText"/>
    <w:next w:val="SOText"/>
    <w:link w:val="SOHeadItalicChar"/>
    <w:qFormat/>
    <w:rsid w:val="007C4FAB"/>
    <w:rPr>
      <w:i/>
    </w:rPr>
  </w:style>
  <w:style w:type="character" w:customStyle="1" w:styleId="SOHeadItalicChar">
    <w:name w:val="SO HeadItalic Char"/>
    <w:aliases w:val="sohi Char"/>
    <w:basedOn w:val="DefaultParagraphFont"/>
    <w:link w:val="SOHeadItalic"/>
    <w:rsid w:val="007C4FAB"/>
    <w:rPr>
      <w:i/>
      <w:sz w:val="22"/>
    </w:rPr>
  </w:style>
  <w:style w:type="paragraph" w:customStyle="1" w:styleId="SOBullet">
    <w:name w:val="SO Bullet"/>
    <w:aliases w:val="sotb"/>
    <w:basedOn w:val="SOText"/>
    <w:link w:val="SOBulletChar"/>
    <w:qFormat/>
    <w:rsid w:val="007C4FAB"/>
    <w:pPr>
      <w:ind w:left="1559" w:hanging="425"/>
    </w:pPr>
  </w:style>
  <w:style w:type="character" w:customStyle="1" w:styleId="SOBulletChar">
    <w:name w:val="SO Bullet Char"/>
    <w:aliases w:val="sotb Char"/>
    <w:basedOn w:val="DefaultParagraphFont"/>
    <w:link w:val="SOBullet"/>
    <w:rsid w:val="007C4FAB"/>
    <w:rPr>
      <w:sz w:val="22"/>
    </w:rPr>
  </w:style>
  <w:style w:type="paragraph" w:customStyle="1" w:styleId="SOBulletNote">
    <w:name w:val="SO BulletNote"/>
    <w:aliases w:val="sonb"/>
    <w:basedOn w:val="SOTextNote"/>
    <w:link w:val="SOBulletNoteChar"/>
    <w:qFormat/>
    <w:rsid w:val="007C4FAB"/>
    <w:pPr>
      <w:tabs>
        <w:tab w:val="left" w:pos="1560"/>
      </w:tabs>
      <w:ind w:left="2268" w:hanging="1134"/>
    </w:pPr>
  </w:style>
  <w:style w:type="character" w:customStyle="1" w:styleId="SOBulletNoteChar">
    <w:name w:val="SO BulletNote Char"/>
    <w:aliases w:val="sonb Char"/>
    <w:basedOn w:val="DefaultParagraphFont"/>
    <w:link w:val="SOBulletNote"/>
    <w:rsid w:val="007C4FAB"/>
    <w:rPr>
      <w:sz w:val="18"/>
    </w:rPr>
  </w:style>
  <w:style w:type="paragraph" w:customStyle="1" w:styleId="SOText2">
    <w:name w:val="SO Text2"/>
    <w:aliases w:val="sot2"/>
    <w:basedOn w:val="Normal"/>
    <w:next w:val="SOText"/>
    <w:link w:val="SOText2Char"/>
    <w:rsid w:val="007C4F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4FAB"/>
    <w:rPr>
      <w:sz w:val="22"/>
    </w:rPr>
  </w:style>
  <w:style w:type="paragraph" w:customStyle="1" w:styleId="Transitional">
    <w:name w:val="Transitional"/>
    <w:aliases w:val="tr"/>
    <w:basedOn w:val="ItemHead"/>
    <w:next w:val="Item"/>
    <w:rsid w:val="007C4FAB"/>
  </w:style>
  <w:style w:type="character" w:customStyle="1" w:styleId="subsectionChar">
    <w:name w:val="subsection Char"/>
    <w:aliases w:val="ss Char"/>
    <w:link w:val="subsection"/>
    <w:rsid w:val="007D7D2C"/>
    <w:rPr>
      <w:rFonts w:eastAsia="Times New Roman" w:cs="Times New Roman"/>
      <w:sz w:val="22"/>
      <w:lang w:eastAsia="en-AU"/>
    </w:rPr>
  </w:style>
  <w:style w:type="character" w:customStyle="1" w:styleId="ActHead5Char">
    <w:name w:val="ActHead 5 Char"/>
    <w:aliases w:val="s Char"/>
    <w:link w:val="ActHead5"/>
    <w:rsid w:val="007D7D2C"/>
    <w:rPr>
      <w:rFonts w:eastAsia="Times New Roman" w:cs="Times New Roman"/>
      <w:b/>
      <w:kern w:val="28"/>
      <w:sz w:val="24"/>
      <w:lang w:eastAsia="en-AU"/>
    </w:rPr>
  </w:style>
  <w:style w:type="character" w:customStyle="1" w:styleId="paragraphChar">
    <w:name w:val="paragraph Char"/>
    <w:aliases w:val="a Char"/>
    <w:link w:val="paragraph"/>
    <w:rsid w:val="007D7D2C"/>
    <w:rPr>
      <w:rFonts w:eastAsia="Times New Roman" w:cs="Times New Roman"/>
      <w:sz w:val="22"/>
      <w:lang w:eastAsia="en-AU"/>
    </w:rPr>
  </w:style>
  <w:style w:type="character" w:customStyle="1" w:styleId="notetextChar">
    <w:name w:val="note(text) Char"/>
    <w:aliases w:val="n Char"/>
    <w:link w:val="notetext"/>
    <w:rsid w:val="005B2B6C"/>
    <w:rPr>
      <w:rFonts w:eastAsia="Times New Roman" w:cs="Times New Roman"/>
      <w:sz w:val="18"/>
      <w:lang w:eastAsia="en-AU"/>
    </w:rPr>
  </w:style>
  <w:style w:type="paragraph" w:styleId="BalloonText">
    <w:name w:val="Balloon Text"/>
    <w:basedOn w:val="Normal"/>
    <w:link w:val="BalloonTextChar"/>
    <w:uiPriority w:val="99"/>
    <w:semiHidden/>
    <w:unhideWhenUsed/>
    <w:rsid w:val="00E32F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FE0"/>
    <w:rPr>
      <w:rFonts w:ascii="Segoe UI" w:hAnsi="Segoe UI" w:cs="Segoe UI"/>
      <w:sz w:val="18"/>
      <w:szCs w:val="18"/>
    </w:rPr>
  </w:style>
  <w:style w:type="character" w:customStyle="1" w:styleId="Heading1Char">
    <w:name w:val="Heading 1 Char"/>
    <w:basedOn w:val="DefaultParagraphFont"/>
    <w:link w:val="Heading1"/>
    <w:uiPriority w:val="9"/>
    <w:rsid w:val="007B3B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3B5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3B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3B5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7B3B52"/>
    <w:rPr>
      <w:rFonts w:eastAsia="Times New Roman" w:cs="Times New Roman"/>
      <w:b/>
      <w:kern w:val="28"/>
      <w:sz w:val="24"/>
      <w:lang w:eastAsia="en-AU"/>
    </w:rPr>
  </w:style>
  <w:style w:type="character" w:customStyle="1" w:styleId="Heading6Char">
    <w:name w:val="Heading 6 Char"/>
    <w:basedOn w:val="DefaultParagraphFont"/>
    <w:link w:val="Heading6"/>
    <w:uiPriority w:val="9"/>
    <w:semiHidden/>
    <w:rsid w:val="007B3B5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B3B5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B3B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3B52"/>
    <w:rPr>
      <w:rFonts w:asciiTheme="majorHAnsi" w:eastAsiaTheme="majorEastAsia" w:hAnsiTheme="majorHAnsi" w:cstheme="majorBidi"/>
      <w:i/>
      <w:iCs/>
      <w:color w:val="272727" w:themeColor="text1" w:themeTint="D8"/>
      <w:sz w:val="21"/>
      <w:szCs w:val="21"/>
    </w:rPr>
  </w:style>
  <w:style w:type="character" w:customStyle="1" w:styleId="ActHead2Char">
    <w:name w:val="ActHead 2 Char"/>
    <w:aliases w:val="p Char"/>
    <w:link w:val="ActHead2"/>
    <w:rsid w:val="007B3B52"/>
    <w:rPr>
      <w:rFonts w:eastAsia="Times New Roman" w:cs="Times New Roman"/>
      <w:b/>
      <w:kern w:val="28"/>
      <w:sz w:val="32"/>
      <w:lang w:eastAsia="en-AU"/>
    </w:rPr>
  </w:style>
  <w:style w:type="character" w:styleId="Hyperlink">
    <w:name w:val="Hyperlink"/>
    <w:basedOn w:val="DefaultParagraphFont"/>
    <w:uiPriority w:val="99"/>
    <w:semiHidden/>
    <w:unhideWhenUsed/>
    <w:rsid w:val="00E0640B"/>
    <w:rPr>
      <w:color w:val="0000FF" w:themeColor="hyperlink"/>
      <w:u w:val="single"/>
    </w:rPr>
  </w:style>
  <w:style w:type="character" w:styleId="FollowedHyperlink">
    <w:name w:val="FollowedHyperlink"/>
    <w:basedOn w:val="DefaultParagraphFont"/>
    <w:uiPriority w:val="99"/>
    <w:semiHidden/>
    <w:unhideWhenUsed/>
    <w:rsid w:val="00E0640B"/>
    <w:rPr>
      <w:color w:val="0000FF" w:themeColor="hyperlink"/>
      <w:u w:val="single"/>
    </w:rPr>
  </w:style>
  <w:style w:type="paragraph" w:customStyle="1" w:styleId="ShortTP1">
    <w:name w:val="ShortTP1"/>
    <w:basedOn w:val="ShortT"/>
    <w:link w:val="ShortTP1Char"/>
    <w:rsid w:val="00BA4D25"/>
    <w:pPr>
      <w:spacing w:before="800"/>
    </w:pPr>
  </w:style>
  <w:style w:type="character" w:customStyle="1" w:styleId="ShortTP1Char">
    <w:name w:val="ShortTP1 Char"/>
    <w:basedOn w:val="DefaultParagraphFont"/>
    <w:link w:val="ShortTP1"/>
    <w:rsid w:val="00BA4D25"/>
    <w:rPr>
      <w:rFonts w:eastAsia="Times New Roman" w:cs="Times New Roman"/>
      <w:b/>
      <w:sz w:val="40"/>
      <w:lang w:eastAsia="en-AU"/>
    </w:rPr>
  </w:style>
  <w:style w:type="paragraph" w:customStyle="1" w:styleId="ActNoP1">
    <w:name w:val="ActNoP1"/>
    <w:basedOn w:val="Actno"/>
    <w:link w:val="ActNoP1Char"/>
    <w:rsid w:val="00BA4D25"/>
    <w:pPr>
      <w:spacing w:before="800"/>
    </w:pPr>
    <w:rPr>
      <w:sz w:val="28"/>
    </w:rPr>
  </w:style>
  <w:style w:type="character" w:customStyle="1" w:styleId="ActNoP1Char">
    <w:name w:val="ActNoP1 Char"/>
    <w:basedOn w:val="DefaultParagraphFont"/>
    <w:link w:val="ActNoP1"/>
    <w:rsid w:val="00BA4D25"/>
    <w:rPr>
      <w:rFonts w:eastAsia="Times New Roman" w:cs="Times New Roman"/>
      <w:b/>
      <w:sz w:val="28"/>
      <w:lang w:eastAsia="en-AU"/>
    </w:rPr>
  </w:style>
  <w:style w:type="paragraph" w:customStyle="1" w:styleId="AssentBk">
    <w:name w:val="AssentBk"/>
    <w:basedOn w:val="Normal"/>
    <w:rsid w:val="00BA4D25"/>
    <w:pPr>
      <w:spacing w:line="240" w:lineRule="auto"/>
    </w:pPr>
    <w:rPr>
      <w:rFonts w:eastAsia="Times New Roman" w:cs="Times New Roman"/>
      <w:sz w:val="20"/>
      <w:lang w:eastAsia="en-AU"/>
    </w:rPr>
  </w:style>
  <w:style w:type="paragraph" w:customStyle="1" w:styleId="AssentDt">
    <w:name w:val="AssentDt"/>
    <w:basedOn w:val="Normal"/>
    <w:rsid w:val="00A035FE"/>
    <w:pPr>
      <w:spacing w:line="240" w:lineRule="auto"/>
    </w:pPr>
    <w:rPr>
      <w:rFonts w:eastAsia="Times New Roman" w:cs="Times New Roman"/>
      <w:sz w:val="20"/>
      <w:lang w:eastAsia="en-AU"/>
    </w:rPr>
  </w:style>
  <w:style w:type="paragraph" w:customStyle="1" w:styleId="2ndRd">
    <w:name w:val="2ndRd"/>
    <w:basedOn w:val="Normal"/>
    <w:rsid w:val="00A035FE"/>
    <w:pPr>
      <w:spacing w:line="240" w:lineRule="auto"/>
    </w:pPr>
    <w:rPr>
      <w:rFonts w:eastAsia="Times New Roman" w:cs="Times New Roman"/>
      <w:sz w:val="20"/>
      <w:lang w:eastAsia="en-AU"/>
    </w:rPr>
  </w:style>
  <w:style w:type="paragraph" w:customStyle="1" w:styleId="ScalePlusRef">
    <w:name w:val="ScalePlusRef"/>
    <w:basedOn w:val="Normal"/>
    <w:rsid w:val="00A035F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15</Pages>
  <Words>2168</Words>
  <Characters>11495</Characters>
  <Application>Microsoft Office Word</Application>
  <DocSecurity>0</DocSecurity>
  <PresentationFormat/>
  <Lines>359</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2021-05-20T05:27:00Z</cp:lastPrinted>
  <dcterms:created xsi:type="dcterms:W3CDTF">2021-07-01T01:56:00Z</dcterms:created>
  <dcterms:modified xsi:type="dcterms:W3CDTF">2021-07-01T02:45:00Z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and Other Legislation Amendment (Royal Commission Response No. 1) Act 2021</vt:lpwstr>
  </property>
  <property fmtid="{D5CDD505-2E9C-101B-9397-08002B2CF9AE}" pid="3" name="ActNo">
    <vt:lpwstr>No. 57,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OPC7629</vt:lpwstr>
  </property>
</Properties>
</file>