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5B0B5" w14:textId="75DB740B" w:rsidR="00A45E43" w:rsidRDefault="00A45E43" w:rsidP="00A45E43">
      <w:r>
        <w:object w:dxaOrig="2146" w:dyaOrig="1561" w14:anchorId="0CFED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3pt;height:78.1pt" o:ole="" fillcolor="window">
            <v:imagedata r:id="rId7" o:title=""/>
          </v:shape>
          <o:OLEObject Type="Embed" ProgID="Word.Picture.8" ShapeID="_x0000_i1026" DrawAspect="Content" ObjectID="_1686386711" r:id="rId8"/>
        </w:object>
      </w:r>
    </w:p>
    <w:p w14:paraId="2908F836" w14:textId="77777777" w:rsidR="00A45E43" w:rsidRDefault="00A45E43" w:rsidP="00A45E43"/>
    <w:p w14:paraId="2ECC0658" w14:textId="77777777" w:rsidR="00A45E43" w:rsidRDefault="00A45E43" w:rsidP="00A45E43"/>
    <w:p w14:paraId="685B9CAC" w14:textId="77777777" w:rsidR="00A45E43" w:rsidRDefault="00A45E43" w:rsidP="00A45E43"/>
    <w:p w14:paraId="6CD11A52" w14:textId="77777777" w:rsidR="00A45E43" w:rsidRDefault="00A45E43" w:rsidP="00A45E43"/>
    <w:p w14:paraId="01F3EA3F" w14:textId="77777777" w:rsidR="00A45E43" w:rsidRDefault="00A45E43" w:rsidP="00A45E43"/>
    <w:p w14:paraId="160E0539" w14:textId="77777777" w:rsidR="00A45E43" w:rsidRDefault="00A45E43" w:rsidP="00A45E43"/>
    <w:p w14:paraId="431A6E27" w14:textId="52E092CA" w:rsidR="0048364F" w:rsidRPr="00F03D51" w:rsidRDefault="00A45E43" w:rsidP="0048364F">
      <w:pPr>
        <w:pStyle w:val="ShortT"/>
      </w:pPr>
      <w:r>
        <w:t>Social Services Leg</w:t>
      </w:r>
      <w:bookmarkStart w:id="0" w:name="_GoBack"/>
      <w:bookmarkEnd w:id="0"/>
      <w:r>
        <w:t>islation Amendment (Portability Extensions) Act 2021</w:t>
      </w:r>
    </w:p>
    <w:p w14:paraId="6800A72E" w14:textId="77777777" w:rsidR="0048364F" w:rsidRPr="00F03D51" w:rsidRDefault="0048364F" w:rsidP="0048364F"/>
    <w:p w14:paraId="7C1A87D1" w14:textId="52637633" w:rsidR="0048364F" w:rsidRPr="00F03D51" w:rsidRDefault="00C164CA" w:rsidP="00A45E43">
      <w:pPr>
        <w:pStyle w:val="Actno"/>
        <w:spacing w:before="400"/>
      </w:pPr>
      <w:r w:rsidRPr="00F03D51">
        <w:t>No.</w:t>
      </w:r>
      <w:r w:rsidR="00FF28E6">
        <w:t xml:space="preserve"> 53</w:t>
      </w:r>
      <w:r w:rsidRPr="00F03D51">
        <w:t>, 20</w:t>
      </w:r>
      <w:r w:rsidR="009E186E" w:rsidRPr="00F03D51">
        <w:t>21</w:t>
      </w:r>
    </w:p>
    <w:p w14:paraId="20D963A6" w14:textId="77777777" w:rsidR="0048364F" w:rsidRPr="00F03D51" w:rsidRDefault="0048364F" w:rsidP="0048364F"/>
    <w:p w14:paraId="11A6B7A9" w14:textId="77777777" w:rsidR="009977F4" w:rsidRDefault="009977F4" w:rsidP="009977F4">
      <w:pPr>
        <w:rPr>
          <w:lang w:eastAsia="en-AU"/>
        </w:rPr>
      </w:pPr>
    </w:p>
    <w:p w14:paraId="34D2C504" w14:textId="5535F28C" w:rsidR="0048364F" w:rsidRPr="00F03D51" w:rsidRDefault="0048364F" w:rsidP="0048364F"/>
    <w:p w14:paraId="14DCEAAB" w14:textId="77777777" w:rsidR="0048364F" w:rsidRPr="00F03D51" w:rsidRDefault="0048364F" w:rsidP="0048364F"/>
    <w:p w14:paraId="7A236F25" w14:textId="77777777" w:rsidR="0048364F" w:rsidRPr="00F03D51" w:rsidRDefault="0048364F" w:rsidP="0048364F"/>
    <w:p w14:paraId="2EEEA4EE" w14:textId="77777777" w:rsidR="00A45E43" w:rsidRDefault="00A45E43" w:rsidP="00A45E43">
      <w:pPr>
        <w:pStyle w:val="LongT"/>
      </w:pPr>
      <w:r>
        <w:t>An Act to amend the law relating to social security, and for related purposes</w:t>
      </w:r>
    </w:p>
    <w:p w14:paraId="0FB6C3CC" w14:textId="0C6C39B6" w:rsidR="0048364F" w:rsidRPr="003E761A" w:rsidRDefault="0048364F" w:rsidP="0048364F">
      <w:pPr>
        <w:pStyle w:val="Header"/>
        <w:tabs>
          <w:tab w:val="clear" w:pos="4150"/>
          <w:tab w:val="clear" w:pos="8307"/>
        </w:tabs>
      </w:pPr>
      <w:r w:rsidRPr="003E761A">
        <w:rPr>
          <w:rStyle w:val="CharAmSchNo"/>
        </w:rPr>
        <w:t xml:space="preserve"> </w:t>
      </w:r>
      <w:r w:rsidRPr="003E761A">
        <w:rPr>
          <w:rStyle w:val="CharAmSchText"/>
        </w:rPr>
        <w:t xml:space="preserve"> </w:t>
      </w:r>
    </w:p>
    <w:p w14:paraId="7182249A" w14:textId="77777777" w:rsidR="0048364F" w:rsidRPr="003E761A" w:rsidRDefault="0048364F" w:rsidP="0048364F">
      <w:pPr>
        <w:pStyle w:val="Header"/>
        <w:tabs>
          <w:tab w:val="clear" w:pos="4150"/>
          <w:tab w:val="clear" w:pos="8307"/>
        </w:tabs>
      </w:pPr>
      <w:r w:rsidRPr="003E761A">
        <w:rPr>
          <w:rStyle w:val="CharAmPartNo"/>
        </w:rPr>
        <w:t xml:space="preserve"> </w:t>
      </w:r>
      <w:r w:rsidRPr="003E761A">
        <w:rPr>
          <w:rStyle w:val="CharAmPartText"/>
        </w:rPr>
        <w:t xml:space="preserve"> </w:t>
      </w:r>
    </w:p>
    <w:p w14:paraId="28C30A54" w14:textId="77777777" w:rsidR="0048364F" w:rsidRPr="00F03D51" w:rsidRDefault="0048364F" w:rsidP="0048364F">
      <w:pPr>
        <w:sectPr w:rsidR="0048364F" w:rsidRPr="00F03D51" w:rsidSect="00A45E4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D6FFF06" w14:textId="77777777" w:rsidR="0048364F" w:rsidRPr="00F03D51" w:rsidRDefault="0048364F" w:rsidP="0048364F">
      <w:pPr>
        <w:outlineLvl w:val="0"/>
        <w:rPr>
          <w:sz w:val="36"/>
        </w:rPr>
      </w:pPr>
      <w:r w:rsidRPr="00F03D51">
        <w:rPr>
          <w:sz w:val="36"/>
        </w:rPr>
        <w:lastRenderedPageBreak/>
        <w:t>Contents</w:t>
      </w:r>
    </w:p>
    <w:p w14:paraId="3142AC8F" w14:textId="1FDDEFA1" w:rsidR="00706D84" w:rsidRDefault="00706D8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06D84">
        <w:rPr>
          <w:noProof/>
        </w:rPr>
        <w:tab/>
      </w:r>
      <w:r w:rsidRPr="00706D84">
        <w:rPr>
          <w:noProof/>
        </w:rPr>
        <w:fldChar w:fldCharType="begin"/>
      </w:r>
      <w:r w:rsidRPr="00706D84">
        <w:rPr>
          <w:noProof/>
        </w:rPr>
        <w:instrText xml:space="preserve"> PAGEREF _Toc75773876 \h </w:instrText>
      </w:r>
      <w:r w:rsidRPr="00706D84">
        <w:rPr>
          <w:noProof/>
        </w:rPr>
      </w:r>
      <w:r w:rsidRPr="00706D84">
        <w:rPr>
          <w:noProof/>
        </w:rPr>
        <w:fldChar w:fldCharType="separate"/>
      </w:r>
      <w:r w:rsidRPr="00706D84">
        <w:rPr>
          <w:noProof/>
        </w:rPr>
        <w:t>1</w:t>
      </w:r>
      <w:r w:rsidRPr="00706D84">
        <w:rPr>
          <w:noProof/>
        </w:rPr>
        <w:fldChar w:fldCharType="end"/>
      </w:r>
    </w:p>
    <w:p w14:paraId="65E2BEC4" w14:textId="2371EB89" w:rsidR="00706D84" w:rsidRDefault="00706D84">
      <w:pPr>
        <w:pStyle w:val="TOC5"/>
        <w:rPr>
          <w:rFonts w:asciiTheme="minorHAnsi" w:eastAsiaTheme="minorEastAsia" w:hAnsiTheme="minorHAnsi" w:cstheme="minorBidi"/>
          <w:noProof/>
          <w:kern w:val="0"/>
          <w:sz w:val="22"/>
          <w:szCs w:val="22"/>
        </w:rPr>
      </w:pPr>
      <w:r>
        <w:rPr>
          <w:noProof/>
        </w:rPr>
        <w:t>2</w:t>
      </w:r>
      <w:r>
        <w:rPr>
          <w:noProof/>
        </w:rPr>
        <w:tab/>
        <w:t>Commencement</w:t>
      </w:r>
      <w:r w:rsidRPr="00706D84">
        <w:rPr>
          <w:noProof/>
        </w:rPr>
        <w:tab/>
      </w:r>
      <w:r w:rsidRPr="00706D84">
        <w:rPr>
          <w:noProof/>
        </w:rPr>
        <w:fldChar w:fldCharType="begin"/>
      </w:r>
      <w:r w:rsidRPr="00706D84">
        <w:rPr>
          <w:noProof/>
        </w:rPr>
        <w:instrText xml:space="preserve"> PAGEREF _Toc75773877 \h </w:instrText>
      </w:r>
      <w:r w:rsidRPr="00706D84">
        <w:rPr>
          <w:noProof/>
        </w:rPr>
      </w:r>
      <w:r w:rsidRPr="00706D84">
        <w:rPr>
          <w:noProof/>
        </w:rPr>
        <w:fldChar w:fldCharType="separate"/>
      </w:r>
      <w:r w:rsidRPr="00706D84">
        <w:rPr>
          <w:noProof/>
        </w:rPr>
        <w:t>2</w:t>
      </w:r>
      <w:r w:rsidRPr="00706D84">
        <w:rPr>
          <w:noProof/>
        </w:rPr>
        <w:fldChar w:fldCharType="end"/>
      </w:r>
    </w:p>
    <w:p w14:paraId="46BD56B8" w14:textId="2C33CE05" w:rsidR="00706D84" w:rsidRDefault="00706D84">
      <w:pPr>
        <w:pStyle w:val="TOC5"/>
        <w:rPr>
          <w:rFonts w:asciiTheme="minorHAnsi" w:eastAsiaTheme="minorEastAsia" w:hAnsiTheme="minorHAnsi" w:cstheme="minorBidi"/>
          <w:noProof/>
          <w:kern w:val="0"/>
          <w:sz w:val="22"/>
          <w:szCs w:val="22"/>
        </w:rPr>
      </w:pPr>
      <w:r>
        <w:rPr>
          <w:noProof/>
        </w:rPr>
        <w:t>3</w:t>
      </w:r>
      <w:r>
        <w:rPr>
          <w:noProof/>
        </w:rPr>
        <w:tab/>
        <w:t>Schedules</w:t>
      </w:r>
      <w:r w:rsidRPr="00706D84">
        <w:rPr>
          <w:noProof/>
        </w:rPr>
        <w:tab/>
      </w:r>
      <w:r w:rsidRPr="00706D84">
        <w:rPr>
          <w:noProof/>
        </w:rPr>
        <w:fldChar w:fldCharType="begin"/>
      </w:r>
      <w:r w:rsidRPr="00706D84">
        <w:rPr>
          <w:noProof/>
        </w:rPr>
        <w:instrText xml:space="preserve"> PAGEREF _Toc75773878 \h </w:instrText>
      </w:r>
      <w:r w:rsidRPr="00706D84">
        <w:rPr>
          <w:noProof/>
        </w:rPr>
      </w:r>
      <w:r w:rsidRPr="00706D84">
        <w:rPr>
          <w:noProof/>
        </w:rPr>
        <w:fldChar w:fldCharType="separate"/>
      </w:r>
      <w:r w:rsidRPr="00706D84">
        <w:rPr>
          <w:noProof/>
        </w:rPr>
        <w:t>2</w:t>
      </w:r>
      <w:r w:rsidRPr="00706D84">
        <w:rPr>
          <w:noProof/>
        </w:rPr>
        <w:fldChar w:fldCharType="end"/>
      </w:r>
    </w:p>
    <w:p w14:paraId="68B4B1CC" w14:textId="27A54E52" w:rsidR="00706D84" w:rsidRDefault="00706D84">
      <w:pPr>
        <w:pStyle w:val="TOC6"/>
        <w:rPr>
          <w:rFonts w:asciiTheme="minorHAnsi" w:eastAsiaTheme="minorEastAsia" w:hAnsiTheme="minorHAnsi" w:cstheme="minorBidi"/>
          <w:b w:val="0"/>
          <w:noProof/>
          <w:kern w:val="0"/>
          <w:sz w:val="22"/>
          <w:szCs w:val="22"/>
        </w:rPr>
      </w:pPr>
      <w:r>
        <w:rPr>
          <w:noProof/>
        </w:rPr>
        <w:t>Schedule 1—Amendments</w:t>
      </w:r>
      <w:r w:rsidRPr="00706D84">
        <w:rPr>
          <w:b w:val="0"/>
          <w:noProof/>
          <w:sz w:val="18"/>
        </w:rPr>
        <w:tab/>
      </w:r>
      <w:r w:rsidRPr="00706D84">
        <w:rPr>
          <w:b w:val="0"/>
          <w:noProof/>
          <w:sz w:val="18"/>
        </w:rPr>
        <w:fldChar w:fldCharType="begin"/>
      </w:r>
      <w:r w:rsidRPr="00706D84">
        <w:rPr>
          <w:b w:val="0"/>
          <w:noProof/>
          <w:sz w:val="18"/>
        </w:rPr>
        <w:instrText xml:space="preserve"> PAGEREF _Toc75773879 \h </w:instrText>
      </w:r>
      <w:r w:rsidRPr="00706D84">
        <w:rPr>
          <w:b w:val="0"/>
          <w:noProof/>
          <w:sz w:val="18"/>
        </w:rPr>
      </w:r>
      <w:r w:rsidRPr="00706D84">
        <w:rPr>
          <w:b w:val="0"/>
          <w:noProof/>
          <w:sz w:val="18"/>
        </w:rPr>
        <w:fldChar w:fldCharType="separate"/>
      </w:r>
      <w:r w:rsidRPr="00706D84">
        <w:rPr>
          <w:b w:val="0"/>
          <w:noProof/>
          <w:sz w:val="18"/>
        </w:rPr>
        <w:t>3</w:t>
      </w:r>
      <w:r w:rsidRPr="00706D84">
        <w:rPr>
          <w:b w:val="0"/>
          <w:noProof/>
          <w:sz w:val="18"/>
        </w:rPr>
        <w:fldChar w:fldCharType="end"/>
      </w:r>
    </w:p>
    <w:p w14:paraId="7715E0F5" w14:textId="23DC7F81" w:rsidR="00706D84" w:rsidRDefault="00706D84">
      <w:pPr>
        <w:pStyle w:val="TOC9"/>
        <w:rPr>
          <w:rFonts w:asciiTheme="minorHAnsi" w:eastAsiaTheme="minorEastAsia" w:hAnsiTheme="minorHAnsi" w:cstheme="minorBidi"/>
          <w:i w:val="0"/>
          <w:noProof/>
          <w:kern w:val="0"/>
          <w:sz w:val="22"/>
          <w:szCs w:val="22"/>
        </w:rPr>
      </w:pPr>
      <w:r>
        <w:rPr>
          <w:noProof/>
        </w:rPr>
        <w:t>Social Security Act 1991</w:t>
      </w:r>
      <w:r w:rsidRPr="00706D84">
        <w:rPr>
          <w:i w:val="0"/>
          <w:noProof/>
          <w:sz w:val="18"/>
        </w:rPr>
        <w:tab/>
      </w:r>
      <w:r w:rsidRPr="00706D84">
        <w:rPr>
          <w:i w:val="0"/>
          <w:noProof/>
          <w:sz w:val="18"/>
        </w:rPr>
        <w:fldChar w:fldCharType="begin"/>
      </w:r>
      <w:r w:rsidRPr="00706D84">
        <w:rPr>
          <w:i w:val="0"/>
          <w:noProof/>
          <w:sz w:val="18"/>
        </w:rPr>
        <w:instrText xml:space="preserve"> PAGEREF _Toc75773880 \h </w:instrText>
      </w:r>
      <w:r w:rsidRPr="00706D84">
        <w:rPr>
          <w:i w:val="0"/>
          <w:noProof/>
          <w:sz w:val="18"/>
        </w:rPr>
      </w:r>
      <w:r w:rsidRPr="00706D84">
        <w:rPr>
          <w:i w:val="0"/>
          <w:noProof/>
          <w:sz w:val="18"/>
        </w:rPr>
        <w:fldChar w:fldCharType="separate"/>
      </w:r>
      <w:r w:rsidRPr="00706D84">
        <w:rPr>
          <w:i w:val="0"/>
          <w:noProof/>
          <w:sz w:val="18"/>
        </w:rPr>
        <w:t>3</w:t>
      </w:r>
      <w:r w:rsidRPr="00706D84">
        <w:rPr>
          <w:i w:val="0"/>
          <w:noProof/>
          <w:sz w:val="18"/>
        </w:rPr>
        <w:fldChar w:fldCharType="end"/>
      </w:r>
    </w:p>
    <w:p w14:paraId="1D640EE4" w14:textId="7E958950" w:rsidR="00706D84" w:rsidRDefault="00706D84">
      <w:pPr>
        <w:pStyle w:val="TOC9"/>
        <w:rPr>
          <w:rFonts w:asciiTheme="minorHAnsi" w:eastAsiaTheme="minorEastAsia" w:hAnsiTheme="minorHAnsi" w:cstheme="minorBidi"/>
          <w:i w:val="0"/>
          <w:noProof/>
          <w:kern w:val="0"/>
          <w:sz w:val="22"/>
          <w:szCs w:val="22"/>
        </w:rPr>
      </w:pPr>
      <w:r>
        <w:rPr>
          <w:noProof/>
        </w:rPr>
        <w:t>Social Security (Administration) Act 1999</w:t>
      </w:r>
      <w:r w:rsidRPr="00706D84">
        <w:rPr>
          <w:i w:val="0"/>
          <w:noProof/>
          <w:sz w:val="18"/>
        </w:rPr>
        <w:tab/>
      </w:r>
      <w:r w:rsidRPr="00706D84">
        <w:rPr>
          <w:i w:val="0"/>
          <w:noProof/>
          <w:sz w:val="18"/>
        </w:rPr>
        <w:fldChar w:fldCharType="begin"/>
      </w:r>
      <w:r w:rsidRPr="00706D84">
        <w:rPr>
          <w:i w:val="0"/>
          <w:noProof/>
          <w:sz w:val="18"/>
        </w:rPr>
        <w:instrText xml:space="preserve"> PAGEREF _Toc75773881 \h </w:instrText>
      </w:r>
      <w:r w:rsidRPr="00706D84">
        <w:rPr>
          <w:i w:val="0"/>
          <w:noProof/>
          <w:sz w:val="18"/>
        </w:rPr>
      </w:r>
      <w:r w:rsidRPr="00706D84">
        <w:rPr>
          <w:i w:val="0"/>
          <w:noProof/>
          <w:sz w:val="18"/>
        </w:rPr>
        <w:fldChar w:fldCharType="separate"/>
      </w:r>
      <w:r w:rsidRPr="00706D84">
        <w:rPr>
          <w:i w:val="0"/>
          <w:noProof/>
          <w:sz w:val="18"/>
        </w:rPr>
        <w:t>8</w:t>
      </w:r>
      <w:r w:rsidRPr="00706D84">
        <w:rPr>
          <w:i w:val="0"/>
          <w:noProof/>
          <w:sz w:val="18"/>
        </w:rPr>
        <w:fldChar w:fldCharType="end"/>
      </w:r>
    </w:p>
    <w:p w14:paraId="578FFC9F" w14:textId="6E250FFA" w:rsidR="00706D84" w:rsidRDefault="00706D84">
      <w:pPr>
        <w:pStyle w:val="TOC9"/>
        <w:rPr>
          <w:rFonts w:asciiTheme="minorHAnsi" w:eastAsiaTheme="minorEastAsia" w:hAnsiTheme="minorHAnsi" w:cstheme="minorBidi"/>
          <w:i w:val="0"/>
          <w:noProof/>
          <w:kern w:val="0"/>
          <w:sz w:val="22"/>
          <w:szCs w:val="22"/>
        </w:rPr>
      </w:pPr>
      <w:r>
        <w:rPr>
          <w:noProof/>
        </w:rPr>
        <w:t>Social Services and Other Legislation Amendment Act 2014</w:t>
      </w:r>
      <w:r w:rsidRPr="00706D84">
        <w:rPr>
          <w:i w:val="0"/>
          <w:noProof/>
          <w:sz w:val="18"/>
        </w:rPr>
        <w:tab/>
      </w:r>
      <w:r w:rsidRPr="00706D84">
        <w:rPr>
          <w:i w:val="0"/>
          <w:noProof/>
          <w:sz w:val="18"/>
        </w:rPr>
        <w:fldChar w:fldCharType="begin"/>
      </w:r>
      <w:r w:rsidRPr="00706D84">
        <w:rPr>
          <w:i w:val="0"/>
          <w:noProof/>
          <w:sz w:val="18"/>
        </w:rPr>
        <w:instrText xml:space="preserve"> PAGEREF _Toc75773883 \h </w:instrText>
      </w:r>
      <w:r w:rsidRPr="00706D84">
        <w:rPr>
          <w:i w:val="0"/>
          <w:noProof/>
          <w:sz w:val="18"/>
        </w:rPr>
      </w:r>
      <w:r w:rsidRPr="00706D84">
        <w:rPr>
          <w:i w:val="0"/>
          <w:noProof/>
          <w:sz w:val="18"/>
        </w:rPr>
        <w:fldChar w:fldCharType="separate"/>
      </w:r>
      <w:r w:rsidRPr="00706D84">
        <w:rPr>
          <w:i w:val="0"/>
          <w:noProof/>
          <w:sz w:val="18"/>
        </w:rPr>
        <w:t>9</w:t>
      </w:r>
      <w:r w:rsidRPr="00706D84">
        <w:rPr>
          <w:i w:val="0"/>
          <w:noProof/>
          <w:sz w:val="18"/>
        </w:rPr>
        <w:fldChar w:fldCharType="end"/>
      </w:r>
    </w:p>
    <w:p w14:paraId="06624075" w14:textId="07DEA61B" w:rsidR="00060FF9" w:rsidRPr="00FF28E6" w:rsidRDefault="00706D84" w:rsidP="0048364F">
      <w:pPr>
        <w:rPr>
          <w:rFonts w:cs="Times New Roman"/>
          <w:sz w:val="18"/>
        </w:rPr>
      </w:pPr>
      <w:r>
        <w:rPr>
          <w:rFonts w:cs="Times New Roman"/>
          <w:sz w:val="18"/>
        </w:rPr>
        <w:fldChar w:fldCharType="end"/>
      </w:r>
    </w:p>
    <w:p w14:paraId="024F7F95" w14:textId="77777777" w:rsidR="00FE7F93" w:rsidRPr="00F03D51" w:rsidRDefault="00FE7F93" w:rsidP="0048364F">
      <w:pPr>
        <w:sectPr w:rsidR="00FE7F93" w:rsidRPr="00F03D51" w:rsidSect="00A45E43">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EFF56E1" w14:textId="77777777" w:rsidR="00A45E43" w:rsidRDefault="00A45E43">
      <w:r>
        <w:object w:dxaOrig="2146" w:dyaOrig="1561" w14:anchorId="45F40F64">
          <v:shape id="_x0000_i1027" type="#_x0000_t75" alt="Commonwealth Coat of Arms of Australia" style="width:110.05pt;height:80.15pt" o:ole="" fillcolor="window">
            <v:imagedata r:id="rId7" o:title=""/>
          </v:shape>
          <o:OLEObject Type="Embed" ProgID="Word.Picture.8" ShapeID="_x0000_i1027" DrawAspect="Content" ObjectID="_1686386712" r:id="rId20"/>
        </w:object>
      </w:r>
    </w:p>
    <w:p w14:paraId="64B4D0A0" w14:textId="77777777" w:rsidR="00A45E43" w:rsidRDefault="00A45E43"/>
    <w:p w14:paraId="07B470A1" w14:textId="77777777" w:rsidR="00A45E43" w:rsidRDefault="00A45E43" w:rsidP="000178F8">
      <w:pPr>
        <w:spacing w:line="240" w:lineRule="auto"/>
      </w:pPr>
    </w:p>
    <w:p w14:paraId="3051968C" w14:textId="0384BADB" w:rsidR="00A45E43" w:rsidRDefault="00706D84" w:rsidP="000178F8">
      <w:pPr>
        <w:pStyle w:val="ShortTP1"/>
      </w:pPr>
      <w:r>
        <w:fldChar w:fldCharType="begin"/>
      </w:r>
      <w:r>
        <w:instrText xml:space="preserve"> STYLEREF ShortT </w:instrText>
      </w:r>
      <w:r>
        <w:fldChar w:fldCharType="separate"/>
      </w:r>
      <w:r>
        <w:rPr>
          <w:noProof/>
        </w:rPr>
        <w:t>Social Services Legislation Amendment (Portability Extensions) Act 2021</w:t>
      </w:r>
      <w:r>
        <w:rPr>
          <w:noProof/>
        </w:rPr>
        <w:fldChar w:fldCharType="end"/>
      </w:r>
    </w:p>
    <w:p w14:paraId="45094C54" w14:textId="407F013B" w:rsidR="00A45E43" w:rsidRDefault="00706D84" w:rsidP="000178F8">
      <w:pPr>
        <w:pStyle w:val="ActNoP1"/>
      </w:pPr>
      <w:r>
        <w:fldChar w:fldCharType="begin"/>
      </w:r>
      <w:r>
        <w:instrText xml:space="preserve"> STYLEREF Actno </w:instrText>
      </w:r>
      <w:r>
        <w:fldChar w:fldCharType="separate"/>
      </w:r>
      <w:r>
        <w:rPr>
          <w:noProof/>
        </w:rPr>
        <w:t>No. 53, 2021</w:t>
      </w:r>
      <w:r>
        <w:rPr>
          <w:noProof/>
        </w:rPr>
        <w:fldChar w:fldCharType="end"/>
      </w:r>
    </w:p>
    <w:p w14:paraId="10C219B2" w14:textId="77777777" w:rsidR="00A45E43" w:rsidRPr="009A0728" w:rsidRDefault="00A45E43" w:rsidP="009A0728">
      <w:pPr>
        <w:pBdr>
          <w:bottom w:val="single" w:sz="6" w:space="0" w:color="auto"/>
        </w:pBdr>
        <w:spacing w:before="400" w:line="240" w:lineRule="auto"/>
        <w:rPr>
          <w:rFonts w:eastAsia="Times New Roman"/>
          <w:b/>
          <w:sz w:val="28"/>
        </w:rPr>
      </w:pPr>
    </w:p>
    <w:p w14:paraId="016079B7" w14:textId="77777777" w:rsidR="00A45E43" w:rsidRPr="009A0728" w:rsidRDefault="00A45E43" w:rsidP="009A0728">
      <w:pPr>
        <w:spacing w:line="40" w:lineRule="exact"/>
        <w:rPr>
          <w:rFonts w:eastAsia="Calibri"/>
          <w:b/>
          <w:sz w:val="28"/>
        </w:rPr>
      </w:pPr>
    </w:p>
    <w:p w14:paraId="6D2A0FDC" w14:textId="77777777" w:rsidR="00A45E43" w:rsidRPr="009A0728" w:rsidRDefault="00A45E43" w:rsidP="009A0728">
      <w:pPr>
        <w:pBdr>
          <w:top w:val="single" w:sz="12" w:space="0" w:color="auto"/>
        </w:pBdr>
        <w:spacing w:line="240" w:lineRule="auto"/>
        <w:rPr>
          <w:rFonts w:eastAsia="Times New Roman"/>
          <w:b/>
          <w:sz w:val="28"/>
        </w:rPr>
      </w:pPr>
    </w:p>
    <w:p w14:paraId="100E7E53" w14:textId="77777777" w:rsidR="00A45E43" w:rsidRDefault="00A45E43" w:rsidP="00A45E43">
      <w:pPr>
        <w:pStyle w:val="Page1"/>
        <w:spacing w:before="400"/>
      </w:pPr>
      <w:r>
        <w:t>An Act to amend the law relating to social security, and for related purposes</w:t>
      </w:r>
    </w:p>
    <w:p w14:paraId="17A79FC1" w14:textId="23CE960A" w:rsidR="00FF28E6" w:rsidRPr="00FF28E6" w:rsidRDefault="00FF28E6" w:rsidP="00FF28E6">
      <w:pPr>
        <w:pStyle w:val="AssentDt"/>
        <w:spacing w:before="240"/>
        <w:rPr>
          <w:sz w:val="24"/>
        </w:rPr>
      </w:pPr>
      <w:r>
        <w:rPr>
          <w:sz w:val="24"/>
        </w:rPr>
        <w:t>[</w:t>
      </w:r>
      <w:r>
        <w:rPr>
          <w:i/>
          <w:sz w:val="24"/>
        </w:rPr>
        <w:t>Assented to 24 June 2021</w:t>
      </w:r>
      <w:r>
        <w:rPr>
          <w:sz w:val="24"/>
        </w:rPr>
        <w:t>]</w:t>
      </w:r>
    </w:p>
    <w:p w14:paraId="693E0EB3" w14:textId="31785D4A" w:rsidR="0048364F" w:rsidRPr="00F03D51" w:rsidRDefault="0048364F" w:rsidP="00F03D51">
      <w:pPr>
        <w:spacing w:before="240" w:line="240" w:lineRule="auto"/>
        <w:rPr>
          <w:sz w:val="32"/>
        </w:rPr>
      </w:pPr>
      <w:r w:rsidRPr="00F03D51">
        <w:rPr>
          <w:sz w:val="32"/>
        </w:rPr>
        <w:t>The Parliament of Australia enacts:</w:t>
      </w:r>
    </w:p>
    <w:p w14:paraId="0CC6E03E" w14:textId="77777777" w:rsidR="0048364F" w:rsidRPr="00F03D51" w:rsidRDefault="0048364F" w:rsidP="00F03D51">
      <w:pPr>
        <w:pStyle w:val="ActHead5"/>
      </w:pPr>
      <w:bookmarkStart w:id="1" w:name="_Toc75773876"/>
      <w:r w:rsidRPr="003E761A">
        <w:rPr>
          <w:rStyle w:val="CharSectno"/>
        </w:rPr>
        <w:t>1</w:t>
      </w:r>
      <w:r w:rsidRPr="00F03D51">
        <w:t xml:space="preserve">  Short title</w:t>
      </w:r>
      <w:bookmarkEnd w:id="1"/>
    </w:p>
    <w:p w14:paraId="44955DA0" w14:textId="77777777" w:rsidR="0048364F" w:rsidRPr="00F03D51" w:rsidRDefault="0048364F" w:rsidP="00F03D51">
      <w:pPr>
        <w:pStyle w:val="subsection"/>
      </w:pPr>
      <w:r w:rsidRPr="00F03D51">
        <w:tab/>
      </w:r>
      <w:r w:rsidRPr="00F03D51">
        <w:tab/>
        <w:t xml:space="preserve">This Act </w:t>
      </w:r>
      <w:r w:rsidR="00275197" w:rsidRPr="00F03D51">
        <w:t xml:space="preserve">is </w:t>
      </w:r>
      <w:r w:rsidRPr="00F03D51">
        <w:t xml:space="preserve">the </w:t>
      </w:r>
      <w:r w:rsidR="00FA5E88" w:rsidRPr="00F03D51">
        <w:rPr>
          <w:i/>
        </w:rPr>
        <w:t>Social Services Legislation Amendment (Portability Extensions) Act 2021</w:t>
      </w:r>
      <w:r w:rsidRPr="00F03D51">
        <w:t>.</w:t>
      </w:r>
    </w:p>
    <w:p w14:paraId="31359852" w14:textId="77777777" w:rsidR="0048364F" w:rsidRPr="00F03D51" w:rsidRDefault="0048364F" w:rsidP="00F03D51">
      <w:pPr>
        <w:pStyle w:val="ActHead5"/>
      </w:pPr>
      <w:bookmarkStart w:id="2" w:name="_Toc75773877"/>
      <w:r w:rsidRPr="003E761A">
        <w:rPr>
          <w:rStyle w:val="CharSectno"/>
        </w:rPr>
        <w:lastRenderedPageBreak/>
        <w:t>2</w:t>
      </w:r>
      <w:r w:rsidRPr="00F03D51">
        <w:t xml:space="preserve">  Commencement</w:t>
      </w:r>
      <w:bookmarkEnd w:id="2"/>
    </w:p>
    <w:p w14:paraId="7021496B" w14:textId="77777777" w:rsidR="00FA5E88" w:rsidRPr="00F03D51" w:rsidRDefault="00FA5E88" w:rsidP="00F03D51">
      <w:pPr>
        <w:pStyle w:val="subsection"/>
      </w:pPr>
      <w:r w:rsidRPr="00F03D51">
        <w:tab/>
        <w:t>(1)</w:t>
      </w:r>
      <w:r w:rsidRPr="00F03D51">
        <w:tab/>
        <w:t>Each provision of this Act specified in column 1 of the table commences, or is taken to have commenced, in accordance with column 2 of the table. Any other statement in column 2 has effect according to its terms.</w:t>
      </w:r>
    </w:p>
    <w:p w14:paraId="480A8096" w14:textId="77777777" w:rsidR="00FA5E88" w:rsidRPr="00F03D51" w:rsidRDefault="00FA5E88" w:rsidP="00F03D5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FA5E88" w:rsidRPr="00F03D51" w14:paraId="06AF8C59" w14:textId="77777777" w:rsidTr="0032089E">
        <w:trPr>
          <w:tblHeader/>
        </w:trPr>
        <w:tc>
          <w:tcPr>
            <w:tcW w:w="7111" w:type="dxa"/>
            <w:gridSpan w:val="3"/>
            <w:tcBorders>
              <w:top w:val="single" w:sz="12" w:space="0" w:color="auto"/>
              <w:bottom w:val="single" w:sz="2" w:space="0" w:color="auto"/>
            </w:tcBorders>
            <w:shd w:val="clear" w:color="auto" w:fill="auto"/>
            <w:hideMark/>
          </w:tcPr>
          <w:p w14:paraId="55F3D7ED" w14:textId="77777777" w:rsidR="00FA5E88" w:rsidRPr="00F03D51" w:rsidRDefault="00FA5E88" w:rsidP="00F03D51">
            <w:pPr>
              <w:pStyle w:val="TableHeading"/>
            </w:pPr>
            <w:r w:rsidRPr="00F03D51">
              <w:t>Commencement information</w:t>
            </w:r>
          </w:p>
        </w:tc>
      </w:tr>
      <w:tr w:rsidR="00FA5E88" w:rsidRPr="00F03D51" w14:paraId="79F87F34" w14:textId="77777777" w:rsidTr="0032089E">
        <w:trPr>
          <w:tblHeader/>
        </w:trPr>
        <w:tc>
          <w:tcPr>
            <w:tcW w:w="1701" w:type="dxa"/>
            <w:tcBorders>
              <w:top w:val="single" w:sz="2" w:space="0" w:color="auto"/>
              <w:bottom w:val="single" w:sz="2" w:space="0" w:color="auto"/>
            </w:tcBorders>
            <w:shd w:val="clear" w:color="auto" w:fill="auto"/>
            <w:hideMark/>
          </w:tcPr>
          <w:p w14:paraId="17A7DF5E" w14:textId="77777777" w:rsidR="00FA5E88" w:rsidRPr="00F03D51" w:rsidRDefault="00FA5E88" w:rsidP="00F03D51">
            <w:pPr>
              <w:pStyle w:val="TableHeading"/>
            </w:pPr>
            <w:r w:rsidRPr="00F03D51">
              <w:t>Column 1</w:t>
            </w:r>
          </w:p>
        </w:tc>
        <w:tc>
          <w:tcPr>
            <w:tcW w:w="3828" w:type="dxa"/>
            <w:tcBorders>
              <w:top w:val="single" w:sz="2" w:space="0" w:color="auto"/>
              <w:bottom w:val="single" w:sz="2" w:space="0" w:color="auto"/>
            </w:tcBorders>
            <w:shd w:val="clear" w:color="auto" w:fill="auto"/>
            <w:hideMark/>
          </w:tcPr>
          <w:p w14:paraId="1E30D2FF" w14:textId="77777777" w:rsidR="00FA5E88" w:rsidRPr="00F03D51" w:rsidRDefault="00FA5E88" w:rsidP="00F03D51">
            <w:pPr>
              <w:pStyle w:val="TableHeading"/>
            </w:pPr>
            <w:r w:rsidRPr="00F03D51">
              <w:t>Column 2</w:t>
            </w:r>
          </w:p>
        </w:tc>
        <w:tc>
          <w:tcPr>
            <w:tcW w:w="1582" w:type="dxa"/>
            <w:tcBorders>
              <w:top w:val="single" w:sz="2" w:space="0" w:color="auto"/>
              <w:bottom w:val="single" w:sz="2" w:space="0" w:color="auto"/>
            </w:tcBorders>
            <w:shd w:val="clear" w:color="auto" w:fill="auto"/>
            <w:hideMark/>
          </w:tcPr>
          <w:p w14:paraId="521B3CCE" w14:textId="77777777" w:rsidR="00FA5E88" w:rsidRPr="00F03D51" w:rsidRDefault="00FA5E88" w:rsidP="00F03D51">
            <w:pPr>
              <w:pStyle w:val="TableHeading"/>
            </w:pPr>
            <w:r w:rsidRPr="00F03D51">
              <w:t>Column 3</w:t>
            </w:r>
          </w:p>
        </w:tc>
      </w:tr>
      <w:tr w:rsidR="00FA5E88" w:rsidRPr="00F03D51" w14:paraId="60233AE3" w14:textId="77777777" w:rsidTr="0032089E">
        <w:trPr>
          <w:tblHeader/>
        </w:trPr>
        <w:tc>
          <w:tcPr>
            <w:tcW w:w="1701" w:type="dxa"/>
            <w:tcBorders>
              <w:top w:val="single" w:sz="2" w:space="0" w:color="auto"/>
              <w:bottom w:val="single" w:sz="12" w:space="0" w:color="auto"/>
            </w:tcBorders>
            <w:shd w:val="clear" w:color="auto" w:fill="auto"/>
            <w:hideMark/>
          </w:tcPr>
          <w:p w14:paraId="4D34DBF6" w14:textId="77777777" w:rsidR="00FA5E88" w:rsidRPr="00F03D51" w:rsidRDefault="00FA5E88" w:rsidP="00F03D51">
            <w:pPr>
              <w:pStyle w:val="TableHeading"/>
            </w:pPr>
            <w:r w:rsidRPr="00F03D51">
              <w:t>Provisions</w:t>
            </w:r>
          </w:p>
        </w:tc>
        <w:tc>
          <w:tcPr>
            <w:tcW w:w="3828" w:type="dxa"/>
            <w:tcBorders>
              <w:top w:val="single" w:sz="2" w:space="0" w:color="auto"/>
              <w:bottom w:val="single" w:sz="12" w:space="0" w:color="auto"/>
            </w:tcBorders>
            <w:shd w:val="clear" w:color="auto" w:fill="auto"/>
            <w:hideMark/>
          </w:tcPr>
          <w:p w14:paraId="7FE73FC2" w14:textId="77777777" w:rsidR="00FA5E88" w:rsidRPr="00F03D51" w:rsidRDefault="00FA5E88" w:rsidP="00F03D51">
            <w:pPr>
              <w:pStyle w:val="TableHeading"/>
            </w:pPr>
            <w:r w:rsidRPr="00F03D51">
              <w:t>Commencement</w:t>
            </w:r>
          </w:p>
        </w:tc>
        <w:tc>
          <w:tcPr>
            <w:tcW w:w="1582" w:type="dxa"/>
            <w:tcBorders>
              <w:top w:val="single" w:sz="2" w:space="0" w:color="auto"/>
              <w:bottom w:val="single" w:sz="12" w:space="0" w:color="auto"/>
            </w:tcBorders>
            <w:shd w:val="clear" w:color="auto" w:fill="auto"/>
            <w:hideMark/>
          </w:tcPr>
          <w:p w14:paraId="6585FC0C" w14:textId="77777777" w:rsidR="00FA5E88" w:rsidRPr="00F03D51" w:rsidRDefault="00FA5E88" w:rsidP="00F03D51">
            <w:pPr>
              <w:pStyle w:val="TableHeading"/>
            </w:pPr>
            <w:r w:rsidRPr="00F03D51">
              <w:t>Date/Details</w:t>
            </w:r>
          </w:p>
        </w:tc>
      </w:tr>
      <w:tr w:rsidR="00FA5E88" w:rsidRPr="00F03D51" w14:paraId="6F046623" w14:textId="77777777" w:rsidTr="0032089E">
        <w:tc>
          <w:tcPr>
            <w:tcW w:w="1701" w:type="dxa"/>
            <w:tcBorders>
              <w:top w:val="single" w:sz="12" w:space="0" w:color="auto"/>
              <w:bottom w:val="single" w:sz="12" w:space="0" w:color="auto"/>
            </w:tcBorders>
            <w:shd w:val="clear" w:color="auto" w:fill="auto"/>
            <w:hideMark/>
          </w:tcPr>
          <w:p w14:paraId="42971133" w14:textId="77777777" w:rsidR="00FA5E88" w:rsidRPr="00F03D51" w:rsidRDefault="00FA5E88" w:rsidP="00F03D51">
            <w:pPr>
              <w:pStyle w:val="Tabletext"/>
            </w:pPr>
            <w:r w:rsidRPr="00F03D51">
              <w:t>1.  The whole of this Act</w:t>
            </w:r>
          </w:p>
        </w:tc>
        <w:tc>
          <w:tcPr>
            <w:tcW w:w="3828" w:type="dxa"/>
            <w:tcBorders>
              <w:top w:val="single" w:sz="12" w:space="0" w:color="auto"/>
              <w:bottom w:val="single" w:sz="12" w:space="0" w:color="auto"/>
            </w:tcBorders>
            <w:shd w:val="clear" w:color="auto" w:fill="auto"/>
            <w:hideMark/>
          </w:tcPr>
          <w:p w14:paraId="387B993C" w14:textId="77777777" w:rsidR="00FA5E88" w:rsidRPr="00F03D51" w:rsidRDefault="003E7726" w:rsidP="00F03D51">
            <w:pPr>
              <w:pStyle w:val="Tabletext"/>
            </w:pPr>
            <w:r w:rsidRPr="00F03D51">
              <w:t>1 July</w:t>
            </w:r>
            <w:r w:rsidR="00FA5E88" w:rsidRPr="00F03D51">
              <w:t xml:space="preserve"> 2021.</w:t>
            </w:r>
          </w:p>
        </w:tc>
        <w:tc>
          <w:tcPr>
            <w:tcW w:w="1582" w:type="dxa"/>
            <w:tcBorders>
              <w:top w:val="single" w:sz="12" w:space="0" w:color="auto"/>
              <w:bottom w:val="single" w:sz="12" w:space="0" w:color="auto"/>
            </w:tcBorders>
            <w:shd w:val="clear" w:color="auto" w:fill="auto"/>
          </w:tcPr>
          <w:p w14:paraId="78B2661D" w14:textId="77777777" w:rsidR="00FA5E88" w:rsidRPr="00F03D51" w:rsidRDefault="003E7726" w:rsidP="00F03D51">
            <w:pPr>
              <w:pStyle w:val="Tabletext"/>
            </w:pPr>
            <w:r w:rsidRPr="00F03D51">
              <w:t>1 July</w:t>
            </w:r>
            <w:r w:rsidR="00FA5E88" w:rsidRPr="00F03D51">
              <w:t xml:space="preserve"> 2021</w:t>
            </w:r>
          </w:p>
        </w:tc>
      </w:tr>
    </w:tbl>
    <w:p w14:paraId="16CF3372" w14:textId="77777777" w:rsidR="00FA5E88" w:rsidRPr="00F03D51" w:rsidRDefault="00FA5E88" w:rsidP="00F03D51">
      <w:pPr>
        <w:pStyle w:val="notetext"/>
      </w:pPr>
      <w:r w:rsidRPr="00F03D51">
        <w:rPr>
          <w:snapToGrid w:val="0"/>
          <w:lang w:eastAsia="en-US"/>
        </w:rPr>
        <w:t>Note:</w:t>
      </w:r>
      <w:r w:rsidRPr="00F03D51">
        <w:rPr>
          <w:snapToGrid w:val="0"/>
          <w:lang w:eastAsia="en-US"/>
        </w:rPr>
        <w:tab/>
        <w:t>This table relates only to the provisions of this Act as originally enacted. It will not be amended to deal with any later amendments of this Act.</w:t>
      </w:r>
    </w:p>
    <w:p w14:paraId="25F55117" w14:textId="77777777" w:rsidR="00FA5E88" w:rsidRPr="00F03D51" w:rsidRDefault="00FA5E88" w:rsidP="00F03D51">
      <w:pPr>
        <w:pStyle w:val="subsection"/>
      </w:pPr>
      <w:r w:rsidRPr="00F03D51">
        <w:tab/>
        <w:t>(2)</w:t>
      </w:r>
      <w:r w:rsidRPr="00F03D51">
        <w:tab/>
        <w:t>Any information in column 3 of the table is not part of this Act. Information may be inserted in this column, or information in it may be edited, in any published version of this Act.</w:t>
      </w:r>
    </w:p>
    <w:p w14:paraId="4F34AD6E" w14:textId="77777777" w:rsidR="0048364F" w:rsidRPr="00F03D51" w:rsidRDefault="0048364F" w:rsidP="00F03D51">
      <w:pPr>
        <w:pStyle w:val="ActHead5"/>
      </w:pPr>
      <w:bookmarkStart w:id="3" w:name="_Toc75773878"/>
      <w:r w:rsidRPr="003E761A">
        <w:rPr>
          <w:rStyle w:val="CharSectno"/>
        </w:rPr>
        <w:t>3</w:t>
      </w:r>
      <w:r w:rsidRPr="00F03D51">
        <w:t xml:space="preserve">  Schedules</w:t>
      </w:r>
      <w:bookmarkEnd w:id="3"/>
    </w:p>
    <w:p w14:paraId="32EE3924" w14:textId="77777777" w:rsidR="0048364F" w:rsidRPr="00F03D51" w:rsidRDefault="0048364F" w:rsidP="00F03D51">
      <w:pPr>
        <w:pStyle w:val="subsection"/>
      </w:pPr>
      <w:r w:rsidRPr="00F03D51">
        <w:tab/>
      </w:r>
      <w:r w:rsidRPr="00F03D51">
        <w:tab/>
      </w:r>
      <w:r w:rsidR="00202618" w:rsidRPr="00F03D51">
        <w:t>Legislation that is specified in a Schedule to this Act is amended or repealed as set out in the applicable items in the Schedule concerned, and any other item in a Schedule to this Act has effect according to its terms.</w:t>
      </w:r>
    </w:p>
    <w:p w14:paraId="7812EE4B" w14:textId="77777777" w:rsidR="008D3E94" w:rsidRPr="00F03D51" w:rsidRDefault="00270ECA" w:rsidP="00F03D51">
      <w:pPr>
        <w:pStyle w:val="ActHead6"/>
        <w:pageBreakBefore/>
      </w:pPr>
      <w:bookmarkStart w:id="4" w:name="opcAmSched"/>
      <w:bookmarkStart w:id="5" w:name="opcCurrentFind"/>
      <w:bookmarkStart w:id="6" w:name="_Toc75773879"/>
      <w:r w:rsidRPr="003E761A">
        <w:rPr>
          <w:rStyle w:val="CharAmSchNo"/>
        </w:rPr>
        <w:lastRenderedPageBreak/>
        <w:t>Schedule 1</w:t>
      </w:r>
      <w:r w:rsidR="0048364F" w:rsidRPr="00F03D51">
        <w:t>—</w:t>
      </w:r>
      <w:r w:rsidR="00FA5E88" w:rsidRPr="003E761A">
        <w:rPr>
          <w:rStyle w:val="CharAmSchText"/>
        </w:rPr>
        <w:t>Amendments</w:t>
      </w:r>
      <w:bookmarkEnd w:id="6"/>
    </w:p>
    <w:bookmarkEnd w:id="4"/>
    <w:bookmarkEnd w:id="5"/>
    <w:p w14:paraId="094CB9BF" w14:textId="77777777" w:rsidR="00FA5E88" w:rsidRPr="003E761A" w:rsidRDefault="00FA5E88" w:rsidP="00F03D51">
      <w:pPr>
        <w:pStyle w:val="Header"/>
      </w:pPr>
      <w:r w:rsidRPr="003E761A">
        <w:rPr>
          <w:rStyle w:val="CharAmPartNo"/>
        </w:rPr>
        <w:t xml:space="preserve"> </w:t>
      </w:r>
      <w:r w:rsidRPr="003E761A">
        <w:rPr>
          <w:rStyle w:val="CharAmPartText"/>
        </w:rPr>
        <w:t xml:space="preserve"> </w:t>
      </w:r>
    </w:p>
    <w:p w14:paraId="5F7E89A9" w14:textId="77777777" w:rsidR="00FA5E88" w:rsidRPr="00F03D51" w:rsidRDefault="00FA5E88" w:rsidP="00F03D51">
      <w:pPr>
        <w:pStyle w:val="ActHead9"/>
        <w:rPr>
          <w:i w:val="0"/>
        </w:rPr>
      </w:pPr>
      <w:bookmarkStart w:id="7" w:name="_Toc75773880"/>
      <w:r w:rsidRPr="00F03D51">
        <w:t>Social Security Act 1991</w:t>
      </w:r>
      <w:bookmarkEnd w:id="7"/>
    </w:p>
    <w:p w14:paraId="1473F7DB" w14:textId="77777777" w:rsidR="00FA5E88" w:rsidRPr="00F03D51" w:rsidRDefault="00C87F9F" w:rsidP="00F03D51">
      <w:pPr>
        <w:pStyle w:val="ItemHead"/>
      </w:pPr>
      <w:r w:rsidRPr="00F03D51">
        <w:t>1</w:t>
      </w:r>
      <w:r w:rsidR="00FA5E88" w:rsidRPr="00F03D51">
        <w:t xml:space="preserve">  </w:t>
      </w:r>
      <w:r w:rsidR="00270ECA" w:rsidRPr="00F03D51">
        <w:t>Subsections 1</w:t>
      </w:r>
      <w:r w:rsidR="0032089E" w:rsidRPr="00F03D51">
        <w:t>216(2) and (3)</w:t>
      </w:r>
    </w:p>
    <w:p w14:paraId="3FF84FC5" w14:textId="77777777" w:rsidR="0032089E" w:rsidRPr="00F03D51" w:rsidRDefault="0032089E" w:rsidP="00F03D51">
      <w:pPr>
        <w:pStyle w:val="Item"/>
      </w:pPr>
      <w:r w:rsidRPr="00F03D51">
        <w:t>Repeal the subsections, substitute:</w:t>
      </w:r>
    </w:p>
    <w:p w14:paraId="34190FC9" w14:textId="77777777" w:rsidR="00FA5E88" w:rsidRPr="00F03D51" w:rsidRDefault="00FA5E88" w:rsidP="00F03D51">
      <w:pPr>
        <w:pStyle w:val="subsection"/>
      </w:pPr>
      <w:r w:rsidRPr="00F03D51">
        <w:tab/>
        <w:t>(2)</w:t>
      </w:r>
      <w:r w:rsidRPr="00F03D51">
        <w:tab/>
        <w:t>If:</w:t>
      </w:r>
    </w:p>
    <w:p w14:paraId="407F55FB" w14:textId="77777777" w:rsidR="00FA5E88" w:rsidRPr="00F03D51" w:rsidRDefault="00FA5E88" w:rsidP="00F03D51">
      <w:pPr>
        <w:pStyle w:val="paragraph"/>
      </w:pPr>
      <w:r w:rsidRPr="00F03D51">
        <w:tab/>
        <w:t>(a)</w:t>
      </w:r>
      <w:r w:rsidRPr="00F03D51">
        <w:tab/>
        <w:t>the Secretary is satisfied that the person’s absence from Australia is temporary; and</w:t>
      </w:r>
    </w:p>
    <w:p w14:paraId="70124E5B" w14:textId="77777777" w:rsidR="00FA5E88" w:rsidRPr="00F03D51" w:rsidRDefault="00FA5E88" w:rsidP="00F03D51">
      <w:pPr>
        <w:pStyle w:val="paragraph"/>
      </w:pPr>
      <w:r w:rsidRPr="00F03D51">
        <w:tab/>
        <w:t>(b)</w:t>
      </w:r>
      <w:r w:rsidRPr="00F03D51">
        <w:tab/>
        <w:t>the Secretary is satisfied that the person is unable to return to Australia before the end of the 26 weeks mentioned in paragraph (1)(a) because of an event referred to in subsection (3);</w:t>
      </w:r>
    </w:p>
    <w:p w14:paraId="0954E08A" w14:textId="77777777" w:rsidR="00FA5E88" w:rsidRPr="00F03D51" w:rsidRDefault="00FA5E88" w:rsidP="00F03D51">
      <w:pPr>
        <w:pStyle w:val="subsection2"/>
      </w:pPr>
      <w:r w:rsidRPr="00F03D51">
        <w:t>the Secretary may, in relation to the person, determine that a reference to 26 weeks in paragraph (1)(a) is taken to be a reference to another number of weeks.</w:t>
      </w:r>
    </w:p>
    <w:p w14:paraId="1836BBC4" w14:textId="77777777" w:rsidR="00FA5E88" w:rsidRPr="00F03D51" w:rsidRDefault="00FA5E88" w:rsidP="00F03D51">
      <w:pPr>
        <w:pStyle w:val="subsection"/>
      </w:pPr>
      <w:r w:rsidRPr="00F03D51">
        <w:tab/>
        <w:t>(3)</w:t>
      </w:r>
      <w:r w:rsidRPr="00F03D51">
        <w:tab/>
        <w:t>The events are the following:</w:t>
      </w:r>
    </w:p>
    <w:p w14:paraId="06CE196F" w14:textId="77777777" w:rsidR="00FA5E88" w:rsidRPr="00F03D51" w:rsidRDefault="00FA5E88" w:rsidP="00F03D51">
      <w:pPr>
        <w:pStyle w:val="paragraph"/>
      </w:pPr>
      <w:r w:rsidRPr="00F03D51">
        <w:tab/>
        <w:t>(a)</w:t>
      </w:r>
      <w:r w:rsidRPr="00F03D51">
        <w:tab/>
        <w:t>a serious accident involving the person or a family member of the person;</w:t>
      </w:r>
    </w:p>
    <w:p w14:paraId="2BB278E3" w14:textId="77777777" w:rsidR="00FA5E88" w:rsidRPr="00F03D51" w:rsidRDefault="00FA5E88" w:rsidP="00F03D51">
      <w:pPr>
        <w:pStyle w:val="paragraph"/>
      </w:pPr>
      <w:r w:rsidRPr="00F03D51">
        <w:tab/>
        <w:t>(b)</w:t>
      </w:r>
      <w:r w:rsidRPr="00F03D51">
        <w:tab/>
        <w:t>a serious illness of the person or a family member of the person;</w:t>
      </w:r>
    </w:p>
    <w:p w14:paraId="78D473D4" w14:textId="77777777" w:rsidR="00FA5E88" w:rsidRPr="00F03D51" w:rsidRDefault="00FA5E88" w:rsidP="00F03D51">
      <w:pPr>
        <w:pStyle w:val="paragraph"/>
      </w:pPr>
      <w:r w:rsidRPr="00F03D51">
        <w:tab/>
        <w:t>(c)</w:t>
      </w:r>
      <w:r w:rsidRPr="00F03D51">
        <w:tab/>
        <w:t>the hospitalisation of the person or a family member of the person;</w:t>
      </w:r>
    </w:p>
    <w:p w14:paraId="096C8447" w14:textId="77777777" w:rsidR="00FA5E88" w:rsidRPr="00F03D51" w:rsidRDefault="00FA5E88" w:rsidP="00F03D51">
      <w:pPr>
        <w:pStyle w:val="paragraph"/>
      </w:pPr>
      <w:r w:rsidRPr="00F03D51">
        <w:tab/>
        <w:t>(d)</w:t>
      </w:r>
      <w:r w:rsidRPr="00F03D51">
        <w:tab/>
        <w:t>the death of a family member of the person;</w:t>
      </w:r>
    </w:p>
    <w:p w14:paraId="231B5FCD" w14:textId="77777777" w:rsidR="00FA5E88" w:rsidRPr="00F03D51" w:rsidRDefault="00FA5E88" w:rsidP="00F03D51">
      <w:pPr>
        <w:pStyle w:val="paragraph"/>
      </w:pPr>
      <w:r w:rsidRPr="00F03D51">
        <w:tab/>
        <w:t>(e)</w:t>
      </w:r>
      <w:r w:rsidRPr="00F03D51">
        <w:tab/>
        <w:t>the person’s involvement in custody proceedings in the country in which the person is located;</w:t>
      </w:r>
    </w:p>
    <w:p w14:paraId="6C37044D" w14:textId="77777777" w:rsidR="00FA5E88" w:rsidRPr="00F03D51" w:rsidRDefault="00FA5E88" w:rsidP="00F03D51">
      <w:pPr>
        <w:pStyle w:val="paragraph"/>
      </w:pPr>
      <w:r w:rsidRPr="00F03D51">
        <w:tab/>
        <w:t>(f)</w:t>
      </w:r>
      <w:r w:rsidRPr="00F03D51">
        <w:tab/>
        <w:t>a legal requirement for the person to remain outside Australia in connection with criminal proceedings (other than criminal proceedings in respect of a crime alleged to have been committed by the person);</w:t>
      </w:r>
    </w:p>
    <w:p w14:paraId="15ACED18" w14:textId="77777777" w:rsidR="00FA5E88" w:rsidRPr="00F03D51" w:rsidRDefault="00FA5E88" w:rsidP="00F03D51">
      <w:pPr>
        <w:pStyle w:val="paragraph"/>
      </w:pPr>
      <w:r w:rsidRPr="00F03D51">
        <w:tab/>
        <w:t>(g)</w:t>
      </w:r>
      <w:r w:rsidRPr="00F03D51">
        <w:tab/>
        <w:t>robbery or serious crime committed against the person or a family member of the person;</w:t>
      </w:r>
    </w:p>
    <w:p w14:paraId="26107395" w14:textId="77777777" w:rsidR="00FA5E88" w:rsidRPr="00F03D51" w:rsidRDefault="00FA5E88" w:rsidP="00F03D51">
      <w:pPr>
        <w:pStyle w:val="paragraph"/>
      </w:pPr>
      <w:r w:rsidRPr="00F03D51">
        <w:tab/>
        <w:t>(h)</w:t>
      </w:r>
      <w:r w:rsidRPr="00F03D51">
        <w:tab/>
        <w:t>a natural disaster in the country in which the person is located;</w:t>
      </w:r>
    </w:p>
    <w:p w14:paraId="602EE801" w14:textId="77777777" w:rsidR="00FA5E88" w:rsidRPr="00F03D51" w:rsidRDefault="00FA5E88" w:rsidP="00F03D51">
      <w:pPr>
        <w:pStyle w:val="paragraph"/>
      </w:pPr>
      <w:r w:rsidRPr="00F03D51">
        <w:lastRenderedPageBreak/>
        <w:tab/>
        <w:t>(</w:t>
      </w:r>
      <w:proofErr w:type="spellStart"/>
      <w:r w:rsidRPr="00F03D51">
        <w:t>i</w:t>
      </w:r>
      <w:proofErr w:type="spellEnd"/>
      <w:r w:rsidRPr="00F03D51">
        <w:t>)</w:t>
      </w:r>
      <w:r w:rsidRPr="00F03D51">
        <w:tab/>
        <w:t>a public health crisis affecting Australia or the country in which the person is located or both;</w:t>
      </w:r>
    </w:p>
    <w:p w14:paraId="02875625" w14:textId="77777777" w:rsidR="00FA5E88" w:rsidRPr="00F03D51" w:rsidRDefault="00FA5E88" w:rsidP="00F03D51">
      <w:pPr>
        <w:pStyle w:val="paragraph"/>
      </w:pPr>
      <w:r w:rsidRPr="00F03D51">
        <w:tab/>
        <w:t>(j)</w:t>
      </w:r>
      <w:r w:rsidRPr="00F03D51">
        <w:tab/>
        <w:t>political or social unrest in the country in which the person is located;</w:t>
      </w:r>
    </w:p>
    <w:p w14:paraId="1D006C83" w14:textId="77777777" w:rsidR="00FA5E88" w:rsidRPr="00F03D51" w:rsidRDefault="00FA5E88" w:rsidP="00F03D51">
      <w:pPr>
        <w:pStyle w:val="paragraph"/>
      </w:pPr>
      <w:r w:rsidRPr="00F03D51">
        <w:tab/>
        <w:t>(k)</w:t>
      </w:r>
      <w:r w:rsidRPr="00F03D51">
        <w:tab/>
        <w:t>industrial action in the country in which the person is located;</w:t>
      </w:r>
    </w:p>
    <w:p w14:paraId="344F915E" w14:textId="77777777" w:rsidR="00FA5E88" w:rsidRPr="00F03D51" w:rsidRDefault="00FA5E88" w:rsidP="00F03D51">
      <w:pPr>
        <w:pStyle w:val="paragraph"/>
      </w:pPr>
      <w:r w:rsidRPr="00F03D51">
        <w:tab/>
        <w:t>(l)</w:t>
      </w:r>
      <w:r w:rsidRPr="00F03D51">
        <w:tab/>
        <w:t>a war in the country in which the person is located.</w:t>
      </w:r>
    </w:p>
    <w:p w14:paraId="6B88A155" w14:textId="77777777" w:rsidR="00FA5E88" w:rsidRPr="00F03D51" w:rsidRDefault="00FA5E88" w:rsidP="00F03D51">
      <w:pPr>
        <w:pStyle w:val="subsection"/>
      </w:pPr>
      <w:r w:rsidRPr="00F03D51">
        <w:tab/>
        <w:t>(4)</w:t>
      </w:r>
      <w:r w:rsidRPr="00F03D51">
        <w:tab/>
        <w:t>The Secretary must not make a determination under subsection (2) unless:</w:t>
      </w:r>
    </w:p>
    <w:p w14:paraId="73A22014" w14:textId="77777777" w:rsidR="00FA5E88" w:rsidRPr="00F03D51" w:rsidRDefault="00FA5E88" w:rsidP="00F03D51">
      <w:pPr>
        <w:pStyle w:val="paragraph"/>
      </w:pPr>
      <w:r w:rsidRPr="00F03D51">
        <w:tab/>
        <w:t>(a)</w:t>
      </w:r>
      <w:r w:rsidRPr="00F03D51">
        <w:tab/>
        <w:t>the event occurred or began during the period of absence; and</w:t>
      </w:r>
    </w:p>
    <w:p w14:paraId="2DB5962E" w14:textId="77777777" w:rsidR="00FA5E88" w:rsidRPr="00F03D51" w:rsidRDefault="00FA5E88" w:rsidP="00F03D51">
      <w:pPr>
        <w:pStyle w:val="paragraph"/>
      </w:pPr>
      <w:r w:rsidRPr="00F03D51">
        <w:tab/>
        <w:t>(b)</w:t>
      </w:r>
      <w:r w:rsidRPr="00F03D51">
        <w:tab/>
        <w:t>if the event is political or social unrest, industrial action or war—the person is not willingly involved in, or willingly participating in, the event.</w:t>
      </w:r>
    </w:p>
    <w:p w14:paraId="2A4F2061" w14:textId="77777777" w:rsidR="00B27CE2" w:rsidRPr="00F03D51" w:rsidRDefault="00B27CE2" w:rsidP="00F03D51">
      <w:pPr>
        <w:pStyle w:val="subsection"/>
      </w:pPr>
      <w:bookmarkStart w:id="8" w:name="_Hlk72329193"/>
      <w:r w:rsidRPr="00F03D51">
        <w:tab/>
        <w:t>(5)</w:t>
      </w:r>
      <w:r w:rsidRPr="00F03D51">
        <w:tab/>
        <w:t xml:space="preserve">If the Secretary </w:t>
      </w:r>
      <w:r w:rsidR="00C57143" w:rsidRPr="00F03D51">
        <w:t xml:space="preserve">determines another number (the </w:t>
      </w:r>
      <w:r w:rsidR="00C57143" w:rsidRPr="00F03D51">
        <w:rPr>
          <w:b/>
          <w:i/>
        </w:rPr>
        <w:t>new number</w:t>
      </w:r>
      <w:r w:rsidR="00C57143" w:rsidRPr="00F03D51">
        <w:t>) of weeks</w:t>
      </w:r>
      <w:r w:rsidRPr="00F03D51">
        <w:t xml:space="preserve"> under subsection (2), then, immediately after that determination is made, a reference to </w:t>
      </w:r>
      <w:r w:rsidR="00C57143" w:rsidRPr="00F03D51">
        <w:t xml:space="preserve">a number of </w:t>
      </w:r>
      <w:r w:rsidRPr="00F03D51">
        <w:t xml:space="preserve">weeks in paragraph (1)(a), and each reference to </w:t>
      </w:r>
      <w:r w:rsidR="00C57143" w:rsidRPr="00F03D51">
        <w:t>a number of</w:t>
      </w:r>
      <w:r w:rsidRPr="00F03D51">
        <w:t xml:space="preserve"> weeks in subsection (2), is taken to be a reference to that </w:t>
      </w:r>
      <w:r w:rsidR="00C57143" w:rsidRPr="00F03D51">
        <w:t>new number</w:t>
      </w:r>
      <w:r w:rsidRPr="00F03D51">
        <w:t>.</w:t>
      </w:r>
    </w:p>
    <w:bookmarkEnd w:id="8"/>
    <w:p w14:paraId="3899EF86" w14:textId="77777777" w:rsidR="00FA5E88" w:rsidRPr="00F03D51" w:rsidRDefault="00C87F9F" w:rsidP="00F03D51">
      <w:pPr>
        <w:pStyle w:val="ItemHead"/>
      </w:pPr>
      <w:r w:rsidRPr="00F03D51">
        <w:t>2</w:t>
      </w:r>
      <w:r w:rsidR="00FA5E88" w:rsidRPr="00F03D51">
        <w:t xml:space="preserve">  After </w:t>
      </w:r>
      <w:r w:rsidR="00270ECA" w:rsidRPr="00F03D51">
        <w:t>subsection 1</w:t>
      </w:r>
      <w:r w:rsidR="00FA5E88" w:rsidRPr="00F03D51">
        <w:t>220A(1)</w:t>
      </w:r>
    </w:p>
    <w:p w14:paraId="0486A9B2" w14:textId="77777777" w:rsidR="00FA5E88" w:rsidRPr="00F03D51" w:rsidRDefault="00FA5E88" w:rsidP="00F03D51">
      <w:pPr>
        <w:pStyle w:val="Item"/>
      </w:pPr>
      <w:r w:rsidRPr="00F03D51">
        <w:t>Insert:</w:t>
      </w:r>
    </w:p>
    <w:p w14:paraId="3D28C61D" w14:textId="77777777" w:rsidR="00FA5E88" w:rsidRPr="00F03D51" w:rsidRDefault="00FA5E88" w:rsidP="00F03D51">
      <w:pPr>
        <w:pStyle w:val="subsection"/>
      </w:pPr>
      <w:r w:rsidRPr="00F03D51">
        <w:tab/>
        <w:t>(1A)</w:t>
      </w:r>
      <w:r w:rsidRPr="00F03D51">
        <w:tab/>
        <w:t>If:</w:t>
      </w:r>
    </w:p>
    <w:p w14:paraId="60452611" w14:textId="77777777" w:rsidR="00FA5E88" w:rsidRPr="00F03D51" w:rsidRDefault="00FA5E88" w:rsidP="00F03D51">
      <w:pPr>
        <w:pStyle w:val="paragraph"/>
      </w:pPr>
      <w:r w:rsidRPr="00F03D51">
        <w:tab/>
        <w:t>(a)</w:t>
      </w:r>
      <w:r w:rsidRPr="00F03D51">
        <w:tab/>
        <w:t>the Secretary is satisfied that the person’s absence from Australia is temporary; and</w:t>
      </w:r>
    </w:p>
    <w:p w14:paraId="57D24AB8" w14:textId="77777777" w:rsidR="00FA5E88" w:rsidRPr="00F03D51" w:rsidRDefault="00FA5E88" w:rsidP="00F03D51">
      <w:pPr>
        <w:pStyle w:val="paragraph"/>
      </w:pPr>
      <w:r w:rsidRPr="00F03D51">
        <w:tab/>
        <w:t>(b)</w:t>
      </w:r>
      <w:r w:rsidRPr="00F03D51">
        <w:tab/>
        <w:t>the Secretary is satisfied that the person is unable to return to Australia before the end of the 26 weeks mentioned in paragraph (1)(a) because of an event referred to in subsection (1B);</w:t>
      </w:r>
    </w:p>
    <w:p w14:paraId="398947F1" w14:textId="77777777" w:rsidR="00FA5E88" w:rsidRPr="00F03D51" w:rsidRDefault="00FA5E88" w:rsidP="00F03D51">
      <w:pPr>
        <w:pStyle w:val="subsection2"/>
      </w:pPr>
      <w:r w:rsidRPr="00F03D51">
        <w:t>the Secretary may, in relation to the person, determine that a reference to 26 weeks in paragraph (1)(a) is taken to be a reference to another number of weeks.</w:t>
      </w:r>
    </w:p>
    <w:p w14:paraId="6299ACE2" w14:textId="77777777" w:rsidR="00FA5E88" w:rsidRPr="00F03D51" w:rsidRDefault="00FA5E88" w:rsidP="00F03D51">
      <w:pPr>
        <w:pStyle w:val="subsection"/>
      </w:pPr>
      <w:r w:rsidRPr="00F03D51">
        <w:tab/>
        <w:t>(1B)</w:t>
      </w:r>
      <w:r w:rsidRPr="00F03D51">
        <w:tab/>
        <w:t>The events are the following:</w:t>
      </w:r>
    </w:p>
    <w:p w14:paraId="3C8A4D1E" w14:textId="77777777" w:rsidR="00FA5E88" w:rsidRPr="00F03D51" w:rsidRDefault="00FA5E88" w:rsidP="00F03D51">
      <w:pPr>
        <w:pStyle w:val="paragraph"/>
      </w:pPr>
      <w:r w:rsidRPr="00F03D51">
        <w:tab/>
        <w:t>(a)</w:t>
      </w:r>
      <w:r w:rsidRPr="00F03D51">
        <w:tab/>
        <w:t>a serious accident involving the person or a family member of the person;</w:t>
      </w:r>
    </w:p>
    <w:p w14:paraId="20BD4AC5" w14:textId="77777777" w:rsidR="00FA5E88" w:rsidRPr="00F03D51" w:rsidRDefault="00FA5E88" w:rsidP="00F03D51">
      <w:pPr>
        <w:pStyle w:val="paragraph"/>
      </w:pPr>
      <w:r w:rsidRPr="00F03D51">
        <w:tab/>
        <w:t>(b)</w:t>
      </w:r>
      <w:r w:rsidRPr="00F03D51">
        <w:tab/>
        <w:t>a serious illness of the person or a family member of the person;</w:t>
      </w:r>
    </w:p>
    <w:p w14:paraId="18EA3D5D" w14:textId="77777777" w:rsidR="00FA5E88" w:rsidRPr="00F03D51" w:rsidRDefault="00FA5E88" w:rsidP="00F03D51">
      <w:pPr>
        <w:pStyle w:val="paragraph"/>
      </w:pPr>
      <w:r w:rsidRPr="00F03D51">
        <w:lastRenderedPageBreak/>
        <w:tab/>
        <w:t>(c)</w:t>
      </w:r>
      <w:r w:rsidRPr="00F03D51">
        <w:tab/>
        <w:t>the hospitalisation of the person or a family member of the person;</w:t>
      </w:r>
    </w:p>
    <w:p w14:paraId="6D40CB6F" w14:textId="77777777" w:rsidR="00FA5E88" w:rsidRPr="00F03D51" w:rsidRDefault="00FA5E88" w:rsidP="00F03D51">
      <w:pPr>
        <w:pStyle w:val="paragraph"/>
      </w:pPr>
      <w:r w:rsidRPr="00F03D51">
        <w:tab/>
        <w:t>(d)</w:t>
      </w:r>
      <w:r w:rsidRPr="00F03D51">
        <w:tab/>
        <w:t>the death of a family member of the person;</w:t>
      </w:r>
    </w:p>
    <w:p w14:paraId="69C9596F" w14:textId="77777777" w:rsidR="00FA5E88" w:rsidRPr="00F03D51" w:rsidRDefault="00FA5E88" w:rsidP="00F03D51">
      <w:pPr>
        <w:pStyle w:val="paragraph"/>
      </w:pPr>
      <w:r w:rsidRPr="00F03D51">
        <w:tab/>
        <w:t>(e)</w:t>
      </w:r>
      <w:r w:rsidRPr="00F03D51">
        <w:tab/>
        <w:t>the person’s involvement in custody proceedings in the country in which the person is located;</w:t>
      </w:r>
    </w:p>
    <w:p w14:paraId="6C78D7C1" w14:textId="77777777" w:rsidR="00FA5E88" w:rsidRPr="00F03D51" w:rsidRDefault="00FA5E88" w:rsidP="00F03D51">
      <w:pPr>
        <w:pStyle w:val="paragraph"/>
      </w:pPr>
      <w:r w:rsidRPr="00F03D51">
        <w:tab/>
        <w:t>(f)</w:t>
      </w:r>
      <w:r w:rsidRPr="00F03D51">
        <w:tab/>
        <w:t>a legal requirement for the person to remain outside Australia in connection with criminal proceedings (other than criminal proceedings in respect of a crime alleged to have been committed by the person);</w:t>
      </w:r>
    </w:p>
    <w:p w14:paraId="72F9FE8C" w14:textId="77777777" w:rsidR="00FA5E88" w:rsidRPr="00F03D51" w:rsidRDefault="00FA5E88" w:rsidP="00F03D51">
      <w:pPr>
        <w:pStyle w:val="paragraph"/>
      </w:pPr>
      <w:r w:rsidRPr="00F03D51">
        <w:tab/>
        <w:t>(g)</w:t>
      </w:r>
      <w:r w:rsidRPr="00F03D51">
        <w:tab/>
        <w:t>robbery or serious crime committed against the person or a family member of the person;</w:t>
      </w:r>
    </w:p>
    <w:p w14:paraId="7BA72F60" w14:textId="77777777" w:rsidR="00FA5E88" w:rsidRPr="00F03D51" w:rsidRDefault="00FA5E88" w:rsidP="00F03D51">
      <w:pPr>
        <w:pStyle w:val="paragraph"/>
      </w:pPr>
      <w:r w:rsidRPr="00F03D51">
        <w:tab/>
        <w:t>(h)</w:t>
      </w:r>
      <w:r w:rsidRPr="00F03D51">
        <w:tab/>
        <w:t>a natural disaster in the country in which the person is located;</w:t>
      </w:r>
    </w:p>
    <w:p w14:paraId="57D17314" w14:textId="77777777" w:rsidR="00FA5E88" w:rsidRPr="00F03D51" w:rsidRDefault="00FA5E88" w:rsidP="00F03D51">
      <w:pPr>
        <w:pStyle w:val="paragraph"/>
      </w:pPr>
      <w:r w:rsidRPr="00F03D51">
        <w:tab/>
        <w:t>(</w:t>
      </w:r>
      <w:proofErr w:type="spellStart"/>
      <w:r w:rsidRPr="00F03D51">
        <w:t>i</w:t>
      </w:r>
      <w:proofErr w:type="spellEnd"/>
      <w:r w:rsidRPr="00F03D51">
        <w:t>)</w:t>
      </w:r>
      <w:r w:rsidRPr="00F03D51">
        <w:tab/>
        <w:t>a public health crisis affecting Australia or the country in which the person is located or both;</w:t>
      </w:r>
    </w:p>
    <w:p w14:paraId="1938B430" w14:textId="77777777" w:rsidR="00FA5E88" w:rsidRPr="00F03D51" w:rsidRDefault="00FA5E88" w:rsidP="00F03D51">
      <w:pPr>
        <w:pStyle w:val="paragraph"/>
      </w:pPr>
      <w:r w:rsidRPr="00F03D51">
        <w:tab/>
        <w:t>(j)</w:t>
      </w:r>
      <w:r w:rsidRPr="00F03D51">
        <w:tab/>
        <w:t>political or social unrest in the country in which the person is located;</w:t>
      </w:r>
    </w:p>
    <w:p w14:paraId="2F655AD3" w14:textId="77777777" w:rsidR="00FA5E88" w:rsidRPr="00F03D51" w:rsidRDefault="00FA5E88" w:rsidP="00F03D51">
      <w:pPr>
        <w:pStyle w:val="paragraph"/>
      </w:pPr>
      <w:r w:rsidRPr="00F03D51">
        <w:tab/>
        <w:t>(k)</w:t>
      </w:r>
      <w:r w:rsidRPr="00F03D51">
        <w:tab/>
        <w:t>industrial action in the country in which the person is located;</w:t>
      </w:r>
    </w:p>
    <w:p w14:paraId="5E5A0BC5" w14:textId="77777777" w:rsidR="00FA5E88" w:rsidRPr="00F03D51" w:rsidRDefault="00FA5E88" w:rsidP="00F03D51">
      <w:pPr>
        <w:pStyle w:val="paragraph"/>
      </w:pPr>
      <w:r w:rsidRPr="00F03D51">
        <w:tab/>
        <w:t>(l)</w:t>
      </w:r>
      <w:r w:rsidRPr="00F03D51">
        <w:tab/>
        <w:t>a war in the country in which the person is located.</w:t>
      </w:r>
    </w:p>
    <w:p w14:paraId="3F826A78" w14:textId="77777777" w:rsidR="00FA5E88" w:rsidRPr="00F03D51" w:rsidRDefault="00FA5E88" w:rsidP="00F03D51">
      <w:pPr>
        <w:pStyle w:val="subsection"/>
      </w:pPr>
      <w:r w:rsidRPr="00F03D51">
        <w:tab/>
        <w:t>(1C)</w:t>
      </w:r>
      <w:r w:rsidRPr="00F03D51">
        <w:tab/>
        <w:t>The Secretary must not make a determination under subsection (1A) unless:</w:t>
      </w:r>
    </w:p>
    <w:p w14:paraId="093B58A3" w14:textId="77777777" w:rsidR="00FA5E88" w:rsidRPr="00F03D51" w:rsidRDefault="00FA5E88" w:rsidP="00F03D51">
      <w:pPr>
        <w:pStyle w:val="paragraph"/>
      </w:pPr>
      <w:r w:rsidRPr="00F03D51">
        <w:tab/>
        <w:t>(a)</w:t>
      </w:r>
      <w:r w:rsidRPr="00F03D51">
        <w:tab/>
        <w:t>the event occurred or began during the period of absence; and</w:t>
      </w:r>
    </w:p>
    <w:p w14:paraId="44C40CED" w14:textId="77777777" w:rsidR="00FA5E88" w:rsidRPr="00F03D51" w:rsidRDefault="00FA5E88" w:rsidP="00F03D51">
      <w:pPr>
        <w:pStyle w:val="paragraph"/>
      </w:pPr>
      <w:r w:rsidRPr="00F03D51">
        <w:tab/>
        <w:t>(b)</w:t>
      </w:r>
      <w:r w:rsidRPr="00F03D51">
        <w:tab/>
        <w:t>if the event is political or social unrest, industrial action or war—the person is not willingly involved in, or willingly participating, in the event.</w:t>
      </w:r>
    </w:p>
    <w:p w14:paraId="3030C447" w14:textId="77777777" w:rsidR="00003DBE" w:rsidRPr="00F03D51" w:rsidRDefault="00003DBE" w:rsidP="00F03D51">
      <w:pPr>
        <w:pStyle w:val="subsection"/>
      </w:pPr>
      <w:r w:rsidRPr="00F03D51">
        <w:tab/>
        <w:t>(1D)</w:t>
      </w:r>
      <w:r w:rsidRPr="00F03D51">
        <w:tab/>
        <w:t xml:space="preserve">If the Secretary determines another number (the </w:t>
      </w:r>
      <w:r w:rsidRPr="00F03D51">
        <w:rPr>
          <w:b/>
          <w:i/>
        </w:rPr>
        <w:t>new number</w:t>
      </w:r>
      <w:r w:rsidRPr="00F03D51">
        <w:t>) of weeks under subsection (</w:t>
      </w:r>
      <w:r w:rsidR="003019E2" w:rsidRPr="00F03D51">
        <w:t>1A</w:t>
      </w:r>
      <w:r w:rsidRPr="00F03D51">
        <w:t>), then, immediately after that determination is made, a reference to a number of weeks in paragraph (1)(a), and each reference to a number of weeks in subsection (</w:t>
      </w:r>
      <w:r w:rsidR="003019E2" w:rsidRPr="00F03D51">
        <w:t>1A</w:t>
      </w:r>
      <w:r w:rsidRPr="00F03D51">
        <w:t>), is taken to be a reference to that new number.</w:t>
      </w:r>
    </w:p>
    <w:p w14:paraId="59E6AC03" w14:textId="77777777" w:rsidR="00193386" w:rsidRPr="00F03D51" w:rsidRDefault="00C87F9F" w:rsidP="00F03D51">
      <w:pPr>
        <w:pStyle w:val="ItemHead"/>
      </w:pPr>
      <w:r w:rsidRPr="00F03D51">
        <w:t>3</w:t>
      </w:r>
      <w:r w:rsidR="00193386" w:rsidRPr="00F03D51">
        <w:t xml:space="preserve">  </w:t>
      </w:r>
      <w:r w:rsidR="00270ECA" w:rsidRPr="00F03D51">
        <w:t>Subsections 1</w:t>
      </w:r>
      <w:r w:rsidR="00193386" w:rsidRPr="00F03D51">
        <w:t>220A(6) and (7)</w:t>
      </w:r>
    </w:p>
    <w:p w14:paraId="0161CF3A" w14:textId="77777777" w:rsidR="00193386" w:rsidRPr="00F03D51" w:rsidRDefault="00193386" w:rsidP="00F03D51">
      <w:pPr>
        <w:pStyle w:val="Item"/>
      </w:pPr>
      <w:r w:rsidRPr="00F03D51">
        <w:t>Repeal the subsections.</w:t>
      </w:r>
    </w:p>
    <w:p w14:paraId="20579946" w14:textId="77777777" w:rsidR="00FA5E88" w:rsidRPr="00F03D51" w:rsidRDefault="00C87F9F" w:rsidP="00F03D51">
      <w:pPr>
        <w:pStyle w:val="ItemHead"/>
      </w:pPr>
      <w:r w:rsidRPr="00F03D51">
        <w:t>4</w:t>
      </w:r>
      <w:r w:rsidR="00FA5E88" w:rsidRPr="00F03D51">
        <w:t xml:space="preserve">  After </w:t>
      </w:r>
      <w:r w:rsidR="00270ECA" w:rsidRPr="00F03D51">
        <w:t>subsection 1</w:t>
      </w:r>
      <w:r w:rsidR="00FA5E88" w:rsidRPr="00F03D51">
        <w:t>220B(1)</w:t>
      </w:r>
    </w:p>
    <w:p w14:paraId="5B9FC48E" w14:textId="77777777" w:rsidR="00FA5E88" w:rsidRPr="00F03D51" w:rsidRDefault="00FA5E88" w:rsidP="00F03D51">
      <w:pPr>
        <w:pStyle w:val="Item"/>
      </w:pPr>
      <w:r w:rsidRPr="00F03D51">
        <w:t>Insert:</w:t>
      </w:r>
    </w:p>
    <w:p w14:paraId="1B4474C9" w14:textId="77777777" w:rsidR="00FA5E88" w:rsidRPr="00F03D51" w:rsidRDefault="00FA5E88" w:rsidP="00F03D51">
      <w:pPr>
        <w:pStyle w:val="subsection"/>
      </w:pPr>
      <w:r w:rsidRPr="00F03D51">
        <w:lastRenderedPageBreak/>
        <w:tab/>
        <w:t>(1A)</w:t>
      </w:r>
      <w:r w:rsidRPr="00F03D51">
        <w:tab/>
        <w:t>If:</w:t>
      </w:r>
    </w:p>
    <w:p w14:paraId="2C41021C" w14:textId="77777777" w:rsidR="00FA5E88" w:rsidRPr="00F03D51" w:rsidRDefault="00FA5E88" w:rsidP="00F03D51">
      <w:pPr>
        <w:pStyle w:val="paragraph"/>
      </w:pPr>
      <w:r w:rsidRPr="00F03D51">
        <w:tab/>
        <w:t>(a)</w:t>
      </w:r>
      <w:r w:rsidRPr="00F03D51">
        <w:tab/>
        <w:t>the Secretary is satisfied that the person’s absence from Australia is temporary; and</w:t>
      </w:r>
    </w:p>
    <w:p w14:paraId="54FAC3C3" w14:textId="77777777" w:rsidR="00FA5E88" w:rsidRPr="00F03D51" w:rsidRDefault="00FA5E88" w:rsidP="00F03D51">
      <w:pPr>
        <w:pStyle w:val="paragraph"/>
      </w:pPr>
      <w:r w:rsidRPr="00F03D51">
        <w:tab/>
        <w:t>(b)</w:t>
      </w:r>
      <w:r w:rsidRPr="00F03D51">
        <w:tab/>
        <w:t xml:space="preserve">the Secretary is satisfied that the person is unable to return to Australia before the end of </w:t>
      </w:r>
      <w:r w:rsidR="0035460A" w:rsidRPr="00F03D51">
        <w:t xml:space="preserve">the </w:t>
      </w:r>
      <w:r w:rsidRPr="00F03D51">
        <w:t>26 weeks mentioned in paragraph (1)(a) because of an event referred to in subsection (1B);</w:t>
      </w:r>
    </w:p>
    <w:p w14:paraId="3334F6A4" w14:textId="77777777" w:rsidR="00FA5E88" w:rsidRPr="00F03D51" w:rsidRDefault="00FA5E88" w:rsidP="00F03D51">
      <w:pPr>
        <w:pStyle w:val="subsection2"/>
      </w:pPr>
      <w:r w:rsidRPr="00F03D51">
        <w:t>the Secretary may, in relation to the person, determine that a reference to 26 weeks in paragraph (1)(a) is taken to be a reference to another number of weeks.</w:t>
      </w:r>
    </w:p>
    <w:p w14:paraId="11E6D383" w14:textId="77777777" w:rsidR="00FA5E88" w:rsidRPr="00F03D51" w:rsidRDefault="00FA5E88" w:rsidP="00F03D51">
      <w:pPr>
        <w:pStyle w:val="subsection"/>
      </w:pPr>
      <w:r w:rsidRPr="00F03D51">
        <w:tab/>
        <w:t>(1B)</w:t>
      </w:r>
      <w:r w:rsidRPr="00F03D51">
        <w:tab/>
        <w:t>The events are the following:</w:t>
      </w:r>
    </w:p>
    <w:p w14:paraId="5F4D0B93" w14:textId="77777777" w:rsidR="00FA5E88" w:rsidRPr="00F03D51" w:rsidRDefault="00FA5E88" w:rsidP="00F03D51">
      <w:pPr>
        <w:pStyle w:val="paragraph"/>
      </w:pPr>
      <w:r w:rsidRPr="00F03D51">
        <w:tab/>
        <w:t>(a)</w:t>
      </w:r>
      <w:r w:rsidRPr="00F03D51">
        <w:tab/>
        <w:t>a serious accident involving the person or a family member of the person;</w:t>
      </w:r>
    </w:p>
    <w:p w14:paraId="29C1EF14" w14:textId="77777777" w:rsidR="00FA5E88" w:rsidRPr="00F03D51" w:rsidRDefault="00FA5E88" w:rsidP="00F03D51">
      <w:pPr>
        <w:pStyle w:val="paragraph"/>
      </w:pPr>
      <w:r w:rsidRPr="00F03D51">
        <w:tab/>
        <w:t>(b)</w:t>
      </w:r>
      <w:r w:rsidRPr="00F03D51">
        <w:tab/>
        <w:t>a serious illness of the person or a family member of the person;</w:t>
      </w:r>
    </w:p>
    <w:p w14:paraId="0FFDA298" w14:textId="77777777" w:rsidR="00FA5E88" w:rsidRPr="00F03D51" w:rsidRDefault="00FA5E88" w:rsidP="00F03D51">
      <w:pPr>
        <w:pStyle w:val="paragraph"/>
      </w:pPr>
      <w:r w:rsidRPr="00F03D51">
        <w:tab/>
        <w:t>(c)</w:t>
      </w:r>
      <w:r w:rsidRPr="00F03D51">
        <w:tab/>
        <w:t>the hospitalisation of the person or a family member of the person;</w:t>
      </w:r>
    </w:p>
    <w:p w14:paraId="105349E8" w14:textId="77777777" w:rsidR="00FA5E88" w:rsidRPr="00F03D51" w:rsidRDefault="00FA5E88" w:rsidP="00F03D51">
      <w:pPr>
        <w:pStyle w:val="paragraph"/>
      </w:pPr>
      <w:r w:rsidRPr="00F03D51">
        <w:tab/>
        <w:t>(d)</w:t>
      </w:r>
      <w:r w:rsidRPr="00F03D51">
        <w:tab/>
        <w:t>the death of a family member of the person;</w:t>
      </w:r>
    </w:p>
    <w:p w14:paraId="664714F5" w14:textId="77777777" w:rsidR="00FA5E88" w:rsidRPr="00F03D51" w:rsidRDefault="00FA5E88" w:rsidP="00F03D51">
      <w:pPr>
        <w:pStyle w:val="paragraph"/>
      </w:pPr>
      <w:r w:rsidRPr="00F03D51">
        <w:tab/>
        <w:t>(e)</w:t>
      </w:r>
      <w:r w:rsidRPr="00F03D51">
        <w:tab/>
        <w:t>the person’s involvement in custody proceedings in the country in which the person is located;</w:t>
      </w:r>
    </w:p>
    <w:p w14:paraId="4FFBE660" w14:textId="77777777" w:rsidR="00FA5E88" w:rsidRPr="00F03D51" w:rsidRDefault="00FA5E88" w:rsidP="00F03D51">
      <w:pPr>
        <w:pStyle w:val="paragraph"/>
      </w:pPr>
      <w:r w:rsidRPr="00F03D51">
        <w:tab/>
        <w:t>(f)</w:t>
      </w:r>
      <w:r w:rsidRPr="00F03D51">
        <w:tab/>
        <w:t>a legal requirement for the person to remain outside Australia in connection with criminal proceedings (other than criminal proceedings in respect of a crime alleged to have been committed by the person);</w:t>
      </w:r>
    </w:p>
    <w:p w14:paraId="0DC1D5E2" w14:textId="77777777" w:rsidR="00FA5E88" w:rsidRPr="00F03D51" w:rsidRDefault="00FA5E88" w:rsidP="00F03D51">
      <w:pPr>
        <w:pStyle w:val="paragraph"/>
      </w:pPr>
      <w:r w:rsidRPr="00F03D51">
        <w:tab/>
        <w:t>(g)</w:t>
      </w:r>
      <w:r w:rsidRPr="00F03D51">
        <w:tab/>
        <w:t>robbery or serious crime committed against the person or a family member of the person;</w:t>
      </w:r>
    </w:p>
    <w:p w14:paraId="6036ECE2" w14:textId="77777777" w:rsidR="00FA5E88" w:rsidRPr="00F03D51" w:rsidRDefault="00FA5E88" w:rsidP="00F03D51">
      <w:pPr>
        <w:pStyle w:val="paragraph"/>
      </w:pPr>
      <w:r w:rsidRPr="00F03D51">
        <w:tab/>
        <w:t>(h)</w:t>
      </w:r>
      <w:r w:rsidRPr="00F03D51">
        <w:tab/>
        <w:t>a natural disaster in the country in which the person is located;</w:t>
      </w:r>
    </w:p>
    <w:p w14:paraId="362A7344" w14:textId="77777777" w:rsidR="00FA5E88" w:rsidRPr="00F03D51" w:rsidRDefault="00FA5E88" w:rsidP="00F03D51">
      <w:pPr>
        <w:pStyle w:val="paragraph"/>
      </w:pPr>
      <w:r w:rsidRPr="00F03D51">
        <w:tab/>
        <w:t>(</w:t>
      </w:r>
      <w:proofErr w:type="spellStart"/>
      <w:r w:rsidRPr="00F03D51">
        <w:t>i</w:t>
      </w:r>
      <w:proofErr w:type="spellEnd"/>
      <w:r w:rsidRPr="00F03D51">
        <w:t>)</w:t>
      </w:r>
      <w:r w:rsidRPr="00F03D51">
        <w:tab/>
        <w:t>a public health crisis affecting Australia or the country in which the person is located or both;</w:t>
      </w:r>
    </w:p>
    <w:p w14:paraId="1594D764" w14:textId="77777777" w:rsidR="00FA5E88" w:rsidRPr="00F03D51" w:rsidRDefault="00FA5E88" w:rsidP="00F03D51">
      <w:pPr>
        <w:pStyle w:val="paragraph"/>
      </w:pPr>
      <w:r w:rsidRPr="00F03D51">
        <w:tab/>
        <w:t>(j)</w:t>
      </w:r>
      <w:r w:rsidRPr="00F03D51">
        <w:tab/>
        <w:t>political or social unrest in the country in which the person is located;</w:t>
      </w:r>
    </w:p>
    <w:p w14:paraId="0A17C916" w14:textId="77777777" w:rsidR="00FA5E88" w:rsidRPr="00F03D51" w:rsidRDefault="00FA5E88" w:rsidP="00F03D51">
      <w:pPr>
        <w:pStyle w:val="paragraph"/>
      </w:pPr>
      <w:r w:rsidRPr="00F03D51">
        <w:tab/>
        <w:t>(k)</w:t>
      </w:r>
      <w:r w:rsidRPr="00F03D51">
        <w:tab/>
        <w:t>industrial action in the country in which the person is located;</w:t>
      </w:r>
    </w:p>
    <w:p w14:paraId="4D89F57B" w14:textId="77777777" w:rsidR="00FA5E88" w:rsidRPr="00F03D51" w:rsidRDefault="00FA5E88" w:rsidP="00F03D51">
      <w:pPr>
        <w:pStyle w:val="paragraph"/>
      </w:pPr>
      <w:r w:rsidRPr="00F03D51">
        <w:tab/>
        <w:t>(l)</w:t>
      </w:r>
      <w:r w:rsidRPr="00F03D51">
        <w:tab/>
        <w:t>a war in the country in which the person is located.</w:t>
      </w:r>
    </w:p>
    <w:p w14:paraId="409B5B22" w14:textId="77777777" w:rsidR="00FA5E88" w:rsidRPr="00F03D51" w:rsidRDefault="00FA5E88" w:rsidP="00F03D51">
      <w:pPr>
        <w:pStyle w:val="subsection"/>
      </w:pPr>
      <w:r w:rsidRPr="00F03D51">
        <w:tab/>
        <w:t>(1C)</w:t>
      </w:r>
      <w:r w:rsidRPr="00F03D51">
        <w:tab/>
        <w:t>The Secretary must not make a determination under subsection (1A) unless:</w:t>
      </w:r>
    </w:p>
    <w:p w14:paraId="2303ECF6" w14:textId="77777777" w:rsidR="00FA5E88" w:rsidRPr="00F03D51" w:rsidRDefault="00FA5E88" w:rsidP="00F03D51">
      <w:pPr>
        <w:pStyle w:val="paragraph"/>
      </w:pPr>
      <w:r w:rsidRPr="00F03D51">
        <w:tab/>
        <w:t>(a)</w:t>
      </w:r>
      <w:r w:rsidRPr="00F03D51">
        <w:tab/>
        <w:t>the event occurred or began during the period of absence; and</w:t>
      </w:r>
    </w:p>
    <w:p w14:paraId="68A66963" w14:textId="77777777" w:rsidR="00FA5E88" w:rsidRPr="00F03D51" w:rsidRDefault="00FA5E88" w:rsidP="00F03D51">
      <w:pPr>
        <w:pStyle w:val="paragraph"/>
      </w:pPr>
      <w:r w:rsidRPr="00F03D51">
        <w:lastRenderedPageBreak/>
        <w:tab/>
        <w:t>(b)</w:t>
      </w:r>
      <w:r w:rsidRPr="00F03D51">
        <w:tab/>
        <w:t>if the event is political or social unrest, industrial action or war—the person is not willingly involved in, or willingly participating in, the event.</w:t>
      </w:r>
    </w:p>
    <w:p w14:paraId="5325FADE" w14:textId="77777777" w:rsidR="003019E2" w:rsidRPr="00F03D51" w:rsidRDefault="003019E2" w:rsidP="00F03D51">
      <w:pPr>
        <w:pStyle w:val="subsection"/>
      </w:pPr>
      <w:r w:rsidRPr="00F03D51">
        <w:tab/>
        <w:t>(1D)</w:t>
      </w:r>
      <w:r w:rsidRPr="00F03D51">
        <w:tab/>
        <w:t xml:space="preserve">If the Secretary determines another number (the </w:t>
      </w:r>
      <w:r w:rsidRPr="00F03D51">
        <w:rPr>
          <w:b/>
          <w:i/>
        </w:rPr>
        <w:t>new number</w:t>
      </w:r>
      <w:r w:rsidRPr="00F03D51">
        <w:t>) of weeks under subsection (1A), then, immediately after that determination is made, a reference to a number of weeks in paragraph (1)(a), and each reference to a number of weeks in subsection (1A), is taken to be a reference to that new number.</w:t>
      </w:r>
    </w:p>
    <w:p w14:paraId="7315F2CF" w14:textId="77777777" w:rsidR="00193386" w:rsidRPr="00F03D51" w:rsidRDefault="00C87F9F" w:rsidP="00F03D51">
      <w:pPr>
        <w:pStyle w:val="ItemHead"/>
      </w:pPr>
      <w:r w:rsidRPr="00F03D51">
        <w:t>5</w:t>
      </w:r>
      <w:r w:rsidR="00193386" w:rsidRPr="00F03D51">
        <w:t xml:space="preserve">  </w:t>
      </w:r>
      <w:r w:rsidR="00270ECA" w:rsidRPr="00F03D51">
        <w:t>Subsections 1</w:t>
      </w:r>
      <w:r w:rsidR="00193386" w:rsidRPr="00F03D51">
        <w:t>220B(3) and (4)</w:t>
      </w:r>
    </w:p>
    <w:p w14:paraId="2C10D913" w14:textId="77777777" w:rsidR="00193386" w:rsidRPr="00F03D51" w:rsidRDefault="00193386" w:rsidP="00F03D51">
      <w:pPr>
        <w:pStyle w:val="Item"/>
      </w:pPr>
      <w:r w:rsidRPr="00F03D51">
        <w:t>Repeal the subsections.</w:t>
      </w:r>
    </w:p>
    <w:p w14:paraId="1D647AB5" w14:textId="77777777" w:rsidR="00193386" w:rsidRPr="00F03D51" w:rsidRDefault="00C87F9F" w:rsidP="00F03D51">
      <w:pPr>
        <w:pStyle w:val="ItemHead"/>
      </w:pPr>
      <w:r w:rsidRPr="00F03D51">
        <w:t>6</w:t>
      </w:r>
      <w:r w:rsidR="00193386" w:rsidRPr="00F03D51">
        <w:t xml:space="preserve">  </w:t>
      </w:r>
      <w:r w:rsidR="00270ECA" w:rsidRPr="00F03D51">
        <w:t>Division 4</w:t>
      </w:r>
      <w:r w:rsidR="00193386" w:rsidRPr="00F03D51">
        <w:t xml:space="preserve"> of </w:t>
      </w:r>
      <w:r w:rsidR="00270ECA" w:rsidRPr="00F03D51">
        <w:t>Part 4</w:t>
      </w:r>
      <w:r w:rsidR="00193386" w:rsidRPr="00F03D51">
        <w:t>.2</w:t>
      </w:r>
    </w:p>
    <w:p w14:paraId="32C42C33" w14:textId="77777777" w:rsidR="00193386" w:rsidRPr="00F03D51" w:rsidRDefault="00193386" w:rsidP="00F03D51">
      <w:pPr>
        <w:pStyle w:val="Item"/>
      </w:pPr>
      <w:r w:rsidRPr="00F03D51">
        <w:t>Repeal the Division.</w:t>
      </w:r>
    </w:p>
    <w:p w14:paraId="2AE06E14" w14:textId="77777777" w:rsidR="00FA5E88" w:rsidRPr="00F03D51" w:rsidRDefault="00C87F9F" w:rsidP="00F03D51">
      <w:pPr>
        <w:pStyle w:val="ItemHead"/>
      </w:pPr>
      <w:r w:rsidRPr="00F03D51">
        <w:t>7</w:t>
      </w:r>
      <w:r w:rsidR="00FA5E88" w:rsidRPr="00F03D51">
        <w:t xml:space="preserve">  After </w:t>
      </w:r>
      <w:r w:rsidR="003E7726" w:rsidRPr="00F03D51">
        <w:t>subclause 1</w:t>
      </w:r>
      <w:r w:rsidR="00FA5E88" w:rsidRPr="00F03D51">
        <w:t xml:space="preserve">28(1) of </w:t>
      </w:r>
      <w:r w:rsidR="00270ECA" w:rsidRPr="00F03D51">
        <w:t>Schedule 1</w:t>
      </w:r>
      <w:r w:rsidR="00FA5E88" w:rsidRPr="00F03D51">
        <w:t>A</w:t>
      </w:r>
    </w:p>
    <w:p w14:paraId="7EEBCF07" w14:textId="77777777" w:rsidR="00FA5E88" w:rsidRPr="00F03D51" w:rsidRDefault="00FA5E88" w:rsidP="00F03D51">
      <w:pPr>
        <w:pStyle w:val="Item"/>
      </w:pPr>
      <w:r w:rsidRPr="00F03D51">
        <w:t>Insert:</w:t>
      </w:r>
    </w:p>
    <w:p w14:paraId="3772309C" w14:textId="77777777" w:rsidR="00FA5E88" w:rsidRPr="00F03D51" w:rsidRDefault="00FA5E88" w:rsidP="00F03D51">
      <w:pPr>
        <w:pStyle w:val="subsection"/>
      </w:pPr>
      <w:r w:rsidRPr="00F03D51">
        <w:tab/>
        <w:t>(1A)</w:t>
      </w:r>
      <w:r w:rsidRPr="00F03D51">
        <w:tab/>
        <w:t>If:</w:t>
      </w:r>
    </w:p>
    <w:p w14:paraId="32BFAE42" w14:textId="77777777" w:rsidR="00FA5E88" w:rsidRPr="00F03D51" w:rsidRDefault="00FA5E88" w:rsidP="00F03D51">
      <w:pPr>
        <w:pStyle w:val="paragraph"/>
      </w:pPr>
      <w:r w:rsidRPr="00F03D51">
        <w:tab/>
        <w:t>(a)</w:t>
      </w:r>
      <w:r w:rsidRPr="00F03D51">
        <w:tab/>
        <w:t>the Secretary is satisfied that the person’s return to Australia is temporary; and</w:t>
      </w:r>
    </w:p>
    <w:p w14:paraId="7E8CEECB" w14:textId="77777777" w:rsidR="00FA5E88" w:rsidRPr="00F03D51" w:rsidRDefault="00FA5E88" w:rsidP="00F03D51">
      <w:pPr>
        <w:pStyle w:val="paragraph"/>
      </w:pPr>
      <w:r w:rsidRPr="00F03D51">
        <w:tab/>
        <w:t>(</w:t>
      </w:r>
      <w:r w:rsidR="0035460A" w:rsidRPr="00F03D51">
        <w:t>b</w:t>
      </w:r>
      <w:r w:rsidRPr="00F03D51">
        <w:t>)</w:t>
      </w:r>
      <w:r w:rsidRPr="00F03D51">
        <w:tab/>
        <w:t>the Secretary is satisfied that the person is unable to leave Australia before the end of the 26 weeks mentioned in paragraph (1)(b) because of an event referred to in subclause (1B);</w:t>
      </w:r>
    </w:p>
    <w:p w14:paraId="7FB1D342" w14:textId="77777777" w:rsidR="00FA5E88" w:rsidRPr="00F03D51" w:rsidRDefault="00FA5E88" w:rsidP="00F03D51">
      <w:pPr>
        <w:pStyle w:val="subsection2"/>
      </w:pPr>
      <w:r w:rsidRPr="00F03D51">
        <w:t>the Secretary may, in relation to the person, determine that a reference to 26 weeks in paragraph (1)(b) is taken to be a reference to another number of weeks.</w:t>
      </w:r>
    </w:p>
    <w:p w14:paraId="6402925F" w14:textId="77777777" w:rsidR="00FA5E88" w:rsidRPr="00F03D51" w:rsidRDefault="00FA5E88" w:rsidP="00F03D51">
      <w:pPr>
        <w:pStyle w:val="subsection"/>
      </w:pPr>
      <w:r w:rsidRPr="00F03D51">
        <w:tab/>
        <w:t>(1B)</w:t>
      </w:r>
      <w:r w:rsidRPr="00F03D51">
        <w:tab/>
        <w:t>The events are the following:</w:t>
      </w:r>
    </w:p>
    <w:p w14:paraId="51B6290B" w14:textId="77777777" w:rsidR="00FA5E88" w:rsidRPr="00F03D51" w:rsidRDefault="00FA5E88" w:rsidP="00F03D51">
      <w:pPr>
        <w:pStyle w:val="paragraph"/>
      </w:pPr>
      <w:r w:rsidRPr="00F03D51">
        <w:tab/>
        <w:t>(a)</w:t>
      </w:r>
      <w:r w:rsidRPr="00F03D51">
        <w:tab/>
        <w:t>a serious accident involving the person or a family member of the person;</w:t>
      </w:r>
    </w:p>
    <w:p w14:paraId="54515F5D" w14:textId="77777777" w:rsidR="00FA5E88" w:rsidRPr="00F03D51" w:rsidRDefault="00FA5E88" w:rsidP="00F03D51">
      <w:pPr>
        <w:pStyle w:val="paragraph"/>
      </w:pPr>
      <w:r w:rsidRPr="00F03D51">
        <w:tab/>
        <w:t>(b)</w:t>
      </w:r>
      <w:r w:rsidRPr="00F03D51">
        <w:tab/>
        <w:t>a serious illness of the person or a family member of the person;</w:t>
      </w:r>
    </w:p>
    <w:p w14:paraId="50C460DB" w14:textId="77777777" w:rsidR="00FA5E88" w:rsidRPr="00F03D51" w:rsidRDefault="00FA5E88" w:rsidP="00F03D51">
      <w:pPr>
        <w:pStyle w:val="paragraph"/>
      </w:pPr>
      <w:r w:rsidRPr="00F03D51">
        <w:tab/>
        <w:t>(c)</w:t>
      </w:r>
      <w:r w:rsidRPr="00F03D51">
        <w:tab/>
        <w:t>the hospitalisation of the person or a family member of the person;</w:t>
      </w:r>
    </w:p>
    <w:p w14:paraId="18C484E2" w14:textId="77777777" w:rsidR="00FA5E88" w:rsidRPr="00F03D51" w:rsidRDefault="00FA5E88" w:rsidP="00F03D51">
      <w:pPr>
        <w:pStyle w:val="paragraph"/>
      </w:pPr>
      <w:r w:rsidRPr="00F03D51">
        <w:tab/>
        <w:t>(d)</w:t>
      </w:r>
      <w:r w:rsidRPr="00F03D51">
        <w:tab/>
        <w:t>the death of a family member of the person;</w:t>
      </w:r>
    </w:p>
    <w:p w14:paraId="462A84FA" w14:textId="77777777" w:rsidR="00FA5E88" w:rsidRPr="00F03D51" w:rsidRDefault="00FA5E88" w:rsidP="00F03D51">
      <w:pPr>
        <w:pStyle w:val="paragraph"/>
      </w:pPr>
      <w:r w:rsidRPr="00F03D51">
        <w:lastRenderedPageBreak/>
        <w:tab/>
        <w:t>(e)</w:t>
      </w:r>
      <w:r w:rsidRPr="00F03D51">
        <w:tab/>
        <w:t>the person’s involvement in custody proceedings in Australia;</w:t>
      </w:r>
    </w:p>
    <w:p w14:paraId="683C5178" w14:textId="77777777" w:rsidR="00FA5E88" w:rsidRPr="00F03D51" w:rsidRDefault="00FA5E88" w:rsidP="00F03D51">
      <w:pPr>
        <w:pStyle w:val="paragraph"/>
      </w:pPr>
      <w:r w:rsidRPr="00F03D51">
        <w:tab/>
        <w:t>(f)</w:t>
      </w:r>
      <w:r w:rsidRPr="00F03D51">
        <w:tab/>
        <w:t>a legal requirement for the person to remain in Australia in connection with criminal proceedings (other than criminal proceedings in respect of a crime alleged to have been committed by the person);</w:t>
      </w:r>
    </w:p>
    <w:p w14:paraId="6D0E62F3" w14:textId="77777777" w:rsidR="00FA5E88" w:rsidRPr="00F03D51" w:rsidRDefault="00FA5E88" w:rsidP="00F03D51">
      <w:pPr>
        <w:pStyle w:val="paragraph"/>
      </w:pPr>
      <w:r w:rsidRPr="00F03D51">
        <w:tab/>
        <w:t>(g)</w:t>
      </w:r>
      <w:r w:rsidRPr="00F03D51">
        <w:tab/>
        <w:t>robbery or serious crime committed against the person or a family member of the person;</w:t>
      </w:r>
    </w:p>
    <w:p w14:paraId="5BF6F5DE" w14:textId="77777777" w:rsidR="00FA5E88" w:rsidRPr="00F03D51" w:rsidRDefault="00FA5E88" w:rsidP="00F03D51">
      <w:pPr>
        <w:pStyle w:val="paragraph"/>
      </w:pPr>
      <w:r w:rsidRPr="00F03D51">
        <w:tab/>
        <w:t>(h)</w:t>
      </w:r>
      <w:r w:rsidRPr="00F03D51">
        <w:tab/>
        <w:t>a natural disaster in Australia;</w:t>
      </w:r>
    </w:p>
    <w:p w14:paraId="2C432D93" w14:textId="77777777" w:rsidR="00FA5E88" w:rsidRPr="00F03D51" w:rsidRDefault="00FA5E88" w:rsidP="00F03D51">
      <w:pPr>
        <w:pStyle w:val="paragraph"/>
      </w:pPr>
      <w:r w:rsidRPr="00F03D51">
        <w:tab/>
        <w:t>(</w:t>
      </w:r>
      <w:proofErr w:type="spellStart"/>
      <w:r w:rsidRPr="00F03D51">
        <w:t>i</w:t>
      </w:r>
      <w:proofErr w:type="spellEnd"/>
      <w:r w:rsidRPr="00F03D51">
        <w:t>)</w:t>
      </w:r>
      <w:r w:rsidRPr="00F03D51">
        <w:tab/>
        <w:t xml:space="preserve">a public health crisis affecting Australia or the country </w:t>
      </w:r>
      <w:r w:rsidR="003D443C" w:rsidRPr="00F03D51">
        <w:t>to</w:t>
      </w:r>
      <w:r w:rsidRPr="00F03D51">
        <w:t xml:space="preserve"> which the person intends to return to or both.</w:t>
      </w:r>
    </w:p>
    <w:p w14:paraId="283837C5" w14:textId="77777777" w:rsidR="00FA5E88" w:rsidRPr="00F03D51" w:rsidRDefault="00FA5E88" w:rsidP="00F03D51">
      <w:pPr>
        <w:pStyle w:val="subsection"/>
      </w:pPr>
      <w:r w:rsidRPr="00F03D51">
        <w:tab/>
        <w:t>(1C)</w:t>
      </w:r>
      <w:r w:rsidRPr="00F03D51">
        <w:tab/>
        <w:t>The Secretary must not make a determination under subclause (1A) unless the event occurred or began during the period of return</w:t>
      </w:r>
      <w:r w:rsidR="00581156" w:rsidRPr="00F03D51">
        <w:t xml:space="preserve"> to Australia</w:t>
      </w:r>
      <w:r w:rsidRPr="00F03D51">
        <w:t>.</w:t>
      </w:r>
    </w:p>
    <w:p w14:paraId="0FC05277" w14:textId="77777777" w:rsidR="003019E2" w:rsidRPr="00F03D51" w:rsidRDefault="003019E2" w:rsidP="00F03D51">
      <w:pPr>
        <w:pStyle w:val="subsection"/>
      </w:pPr>
      <w:r w:rsidRPr="00F03D51">
        <w:tab/>
        <w:t>(1D)</w:t>
      </w:r>
      <w:r w:rsidRPr="00F03D51">
        <w:tab/>
        <w:t xml:space="preserve">If the Secretary determines another number (the </w:t>
      </w:r>
      <w:r w:rsidRPr="00F03D51">
        <w:rPr>
          <w:b/>
          <w:i/>
        </w:rPr>
        <w:t>new number</w:t>
      </w:r>
      <w:r w:rsidRPr="00F03D51">
        <w:t>) of weeks under subclause (1A), then, immediately after that determination is made, a reference to a number of weeks in paragraph (1)(b), and each reference to a number of weeks in subclause (1A), is taken to be a reference to that new number.</w:t>
      </w:r>
    </w:p>
    <w:p w14:paraId="60286729" w14:textId="77777777" w:rsidR="00193386" w:rsidRPr="00F03D51" w:rsidRDefault="00C87F9F" w:rsidP="00F03D51">
      <w:pPr>
        <w:pStyle w:val="ItemHead"/>
      </w:pPr>
      <w:r w:rsidRPr="00F03D51">
        <w:t>8</w:t>
      </w:r>
      <w:r w:rsidR="00193386" w:rsidRPr="00F03D51">
        <w:t xml:space="preserve">  </w:t>
      </w:r>
      <w:r w:rsidR="00270ECA" w:rsidRPr="00F03D51">
        <w:t>Subclauses 1</w:t>
      </w:r>
      <w:r w:rsidR="00193386" w:rsidRPr="00F03D51">
        <w:t xml:space="preserve">28(4) and (5) of </w:t>
      </w:r>
      <w:r w:rsidR="00270ECA" w:rsidRPr="00F03D51">
        <w:t>Schedule 1</w:t>
      </w:r>
      <w:r w:rsidR="00193386" w:rsidRPr="00F03D51">
        <w:t>A</w:t>
      </w:r>
    </w:p>
    <w:p w14:paraId="090A7820" w14:textId="77777777" w:rsidR="00193386" w:rsidRPr="00F03D51" w:rsidRDefault="00193386" w:rsidP="00F03D51">
      <w:pPr>
        <w:pStyle w:val="Item"/>
      </w:pPr>
      <w:r w:rsidRPr="00F03D51">
        <w:t>Repeal the subclauses.</w:t>
      </w:r>
    </w:p>
    <w:p w14:paraId="71AF0A23" w14:textId="77777777" w:rsidR="00FA5E88" w:rsidRPr="00F03D51" w:rsidRDefault="00FA5E88" w:rsidP="00F03D51">
      <w:pPr>
        <w:pStyle w:val="ActHead9"/>
        <w:rPr>
          <w:i w:val="0"/>
        </w:rPr>
      </w:pPr>
      <w:bookmarkStart w:id="9" w:name="_Toc75773881"/>
      <w:r w:rsidRPr="00F03D51">
        <w:t>Social Security (Administration) Act 1999</w:t>
      </w:r>
      <w:bookmarkEnd w:id="9"/>
    </w:p>
    <w:p w14:paraId="6324C87D" w14:textId="77777777" w:rsidR="00FA5E88" w:rsidRPr="00F03D51" w:rsidRDefault="00C87F9F" w:rsidP="00F03D51">
      <w:pPr>
        <w:pStyle w:val="ItemHead"/>
      </w:pPr>
      <w:r w:rsidRPr="00F03D51">
        <w:t>9</w:t>
      </w:r>
      <w:r w:rsidR="00FA5E88" w:rsidRPr="00F03D51">
        <w:t xml:space="preserve">  At the end of Subdivision B of Division 9 of Part 3</w:t>
      </w:r>
    </w:p>
    <w:p w14:paraId="152C5348" w14:textId="77777777" w:rsidR="00FA5E88" w:rsidRPr="00F03D51" w:rsidRDefault="00FA5E88" w:rsidP="00F03D51">
      <w:pPr>
        <w:pStyle w:val="Item"/>
      </w:pPr>
      <w:r w:rsidRPr="00F03D51">
        <w:t>Add:</w:t>
      </w:r>
    </w:p>
    <w:p w14:paraId="6083ABE6" w14:textId="77777777" w:rsidR="00FA5E88" w:rsidRPr="00F03D51" w:rsidRDefault="00FA5E88" w:rsidP="00F03D51">
      <w:pPr>
        <w:pStyle w:val="ActHead5"/>
      </w:pPr>
      <w:bookmarkStart w:id="10" w:name="_Toc75773882"/>
      <w:r w:rsidRPr="003E761A">
        <w:rPr>
          <w:rStyle w:val="CharSectno"/>
        </w:rPr>
        <w:t>114A</w:t>
      </w:r>
      <w:r w:rsidRPr="00F03D51">
        <w:t xml:space="preserve">  Date of effect of favourable determination—</w:t>
      </w:r>
      <w:r w:rsidR="00F70169" w:rsidRPr="00F03D51">
        <w:t>portability extensions</w:t>
      </w:r>
      <w:bookmarkEnd w:id="10"/>
    </w:p>
    <w:p w14:paraId="36667FFB" w14:textId="77777777" w:rsidR="00FA5E88" w:rsidRPr="00F03D51" w:rsidRDefault="00FA5E88" w:rsidP="00F03D51">
      <w:pPr>
        <w:pStyle w:val="subsection"/>
      </w:pPr>
      <w:r w:rsidRPr="00F03D51">
        <w:tab/>
      </w:r>
      <w:r w:rsidRPr="00F03D51">
        <w:tab/>
        <w:t>A favourable determination that is made as a result of a determination referred to in:</w:t>
      </w:r>
    </w:p>
    <w:p w14:paraId="15488977" w14:textId="77777777" w:rsidR="00FA5E88" w:rsidRPr="00F03D51" w:rsidRDefault="00FA5E88" w:rsidP="00F03D51">
      <w:pPr>
        <w:pStyle w:val="paragraph"/>
      </w:pPr>
      <w:r w:rsidRPr="00F03D51">
        <w:tab/>
        <w:t>(a)</w:t>
      </w:r>
      <w:r w:rsidRPr="00F03D51">
        <w:tab/>
      </w:r>
      <w:r w:rsidR="00270ECA" w:rsidRPr="00F03D51">
        <w:t>subsection 1</w:t>
      </w:r>
      <w:r w:rsidRPr="00F03D51">
        <w:t>216(2), 1220A(1A) or 1220B(1A) of the 1991 Act; or</w:t>
      </w:r>
    </w:p>
    <w:p w14:paraId="1ACE666F" w14:textId="77777777" w:rsidR="00FA5E88" w:rsidRPr="00F03D51" w:rsidRDefault="00FA5E88" w:rsidP="00F03D51">
      <w:pPr>
        <w:pStyle w:val="paragraph"/>
      </w:pPr>
      <w:r w:rsidRPr="00F03D51">
        <w:tab/>
        <w:t>(b)</w:t>
      </w:r>
      <w:r w:rsidRPr="00F03D51">
        <w:tab/>
      </w:r>
      <w:r w:rsidR="003E7726" w:rsidRPr="00F03D51">
        <w:t>subclause 1</w:t>
      </w:r>
      <w:r w:rsidRPr="00F03D51">
        <w:t xml:space="preserve">28(1A) of </w:t>
      </w:r>
      <w:r w:rsidR="00270ECA" w:rsidRPr="00F03D51">
        <w:t>Schedule 1</w:t>
      </w:r>
      <w:r w:rsidRPr="00F03D51">
        <w:t>A to the 1991 Act; or</w:t>
      </w:r>
    </w:p>
    <w:p w14:paraId="7B3C7FBF" w14:textId="77777777" w:rsidR="00FA5E88" w:rsidRPr="00F03D51" w:rsidRDefault="00FA5E88" w:rsidP="00F03D51">
      <w:pPr>
        <w:pStyle w:val="paragraph"/>
      </w:pPr>
      <w:r w:rsidRPr="00F03D51">
        <w:lastRenderedPageBreak/>
        <w:tab/>
        <w:t>(c)</w:t>
      </w:r>
      <w:r w:rsidRPr="00F03D51">
        <w:tab/>
        <w:t xml:space="preserve">subitem 6(6) or 14(8) of Schedule 4 to the </w:t>
      </w:r>
      <w:r w:rsidRPr="00F03D51">
        <w:rPr>
          <w:i/>
        </w:rPr>
        <w:t>Social Services and Other Legislation Amendment Act 2014</w:t>
      </w:r>
      <w:r w:rsidRPr="00F03D51">
        <w:t>;</w:t>
      </w:r>
    </w:p>
    <w:p w14:paraId="5AFDB0E8" w14:textId="77777777" w:rsidR="00FA5E88" w:rsidRPr="00F03D51" w:rsidRDefault="00FA5E88" w:rsidP="00F03D51">
      <w:pPr>
        <w:pStyle w:val="subsection2"/>
      </w:pPr>
      <w:r w:rsidRPr="00F03D51">
        <w:t>may be expressed to take effect on a day earlier than otherwise permitted by this Subdivision.</w:t>
      </w:r>
    </w:p>
    <w:p w14:paraId="51788B1F" w14:textId="77777777" w:rsidR="00FA5E88" w:rsidRPr="00F03D51" w:rsidRDefault="00FA5E88" w:rsidP="00F03D51">
      <w:pPr>
        <w:pStyle w:val="ActHead9"/>
        <w:rPr>
          <w:i w:val="0"/>
        </w:rPr>
      </w:pPr>
      <w:bookmarkStart w:id="11" w:name="_Toc75773883"/>
      <w:r w:rsidRPr="00F03D51">
        <w:t>Social Services and Other Legislation Amendment Act 2014</w:t>
      </w:r>
      <w:bookmarkEnd w:id="11"/>
    </w:p>
    <w:p w14:paraId="187E121C" w14:textId="77777777" w:rsidR="00FA5E88" w:rsidRPr="00F03D51" w:rsidRDefault="00C87F9F" w:rsidP="00F03D51">
      <w:pPr>
        <w:pStyle w:val="ItemHead"/>
      </w:pPr>
      <w:r w:rsidRPr="00F03D51">
        <w:t>10</w:t>
      </w:r>
      <w:r w:rsidR="00FA5E88" w:rsidRPr="00F03D51">
        <w:t xml:space="preserve">  At the end of item 6 of Schedule 4</w:t>
      </w:r>
    </w:p>
    <w:p w14:paraId="37897A97" w14:textId="77777777" w:rsidR="00FA5E88" w:rsidRPr="00F03D51" w:rsidRDefault="00FA5E88" w:rsidP="00F03D51">
      <w:pPr>
        <w:pStyle w:val="Item"/>
      </w:pPr>
      <w:r w:rsidRPr="00F03D51">
        <w:t>Add:</w:t>
      </w:r>
    </w:p>
    <w:p w14:paraId="3030B219" w14:textId="77777777" w:rsidR="00FA5E88" w:rsidRPr="00F03D51" w:rsidRDefault="00022E25" w:rsidP="00F03D51">
      <w:pPr>
        <w:pStyle w:val="SubitemHead"/>
      </w:pPr>
      <w:r w:rsidRPr="00F03D51">
        <w:t>Portability extension</w:t>
      </w:r>
    </w:p>
    <w:p w14:paraId="572D283F" w14:textId="77777777" w:rsidR="00FA5E88" w:rsidRPr="00F03D51" w:rsidRDefault="00FA5E88" w:rsidP="00F03D51">
      <w:pPr>
        <w:pStyle w:val="Subitem"/>
      </w:pPr>
      <w:r w:rsidRPr="00F03D51">
        <w:t>(6)</w:t>
      </w:r>
      <w:r w:rsidRPr="00F03D51">
        <w:tab/>
        <w:t>If:</w:t>
      </w:r>
    </w:p>
    <w:p w14:paraId="7A6DD771" w14:textId="77777777" w:rsidR="00FA5E88" w:rsidRPr="00F03D51" w:rsidRDefault="00FA5E88" w:rsidP="00F03D51">
      <w:pPr>
        <w:pStyle w:val="paragraph"/>
      </w:pPr>
      <w:r w:rsidRPr="00F03D51">
        <w:tab/>
        <w:t>(a)</w:t>
      </w:r>
      <w:r w:rsidRPr="00F03D51">
        <w:tab/>
        <w:t>in relation to a person referred to in subitem (3) or (4), the Secretary is satisfied that the person’s return to Australia is temporary; and</w:t>
      </w:r>
    </w:p>
    <w:p w14:paraId="62EF1318" w14:textId="77777777" w:rsidR="00FA5E88" w:rsidRPr="00F03D51" w:rsidRDefault="00FA5E88" w:rsidP="00F03D51">
      <w:pPr>
        <w:pStyle w:val="paragraph"/>
      </w:pPr>
      <w:r w:rsidRPr="00F03D51">
        <w:tab/>
        <w:t>(b)</w:t>
      </w:r>
      <w:r w:rsidRPr="00F03D51">
        <w:tab/>
        <w:t>the Secretary is satisfied that the person is unable to leave Australia before the end of the 26 weeks mentioned in paragraph (3)(d) or (4)(d) because of an event referred to in subitem (7);</w:t>
      </w:r>
    </w:p>
    <w:p w14:paraId="08BC621A" w14:textId="77777777" w:rsidR="00FA5E88" w:rsidRPr="00F03D51" w:rsidRDefault="00FA5E88" w:rsidP="00F03D51">
      <w:pPr>
        <w:pStyle w:val="Item"/>
      </w:pPr>
      <w:r w:rsidRPr="00F03D51">
        <w:t>the Secretary may, in relation to the person, determine that a reference to 26 weeks in paragraph (3)(d) or (4)(d) is taken to be a reference to another number of weeks.</w:t>
      </w:r>
    </w:p>
    <w:p w14:paraId="3E0C45E1" w14:textId="77777777" w:rsidR="00FA5E88" w:rsidRPr="00F03D51" w:rsidRDefault="00FA5E88" w:rsidP="00F03D51">
      <w:pPr>
        <w:pStyle w:val="Subitem"/>
      </w:pPr>
      <w:r w:rsidRPr="00F03D51">
        <w:t>(7)</w:t>
      </w:r>
      <w:r w:rsidRPr="00F03D51">
        <w:tab/>
        <w:t>The events are the following:</w:t>
      </w:r>
    </w:p>
    <w:p w14:paraId="77E198AF" w14:textId="77777777" w:rsidR="00FA5E88" w:rsidRPr="00F03D51" w:rsidRDefault="00FA5E88" w:rsidP="00F03D51">
      <w:pPr>
        <w:pStyle w:val="paragraph"/>
      </w:pPr>
      <w:r w:rsidRPr="00F03D51">
        <w:tab/>
        <w:t>(a)</w:t>
      </w:r>
      <w:r w:rsidRPr="00F03D51">
        <w:tab/>
        <w:t>a serious accident involving the person or a family member of the person;</w:t>
      </w:r>
    </w:p>
    <w:p w14:paraId="24AB6A83" w14:textId="77777777" w:rsidR="00FA5E88" w:rsidRPr="00F03D51" w:rsidRDefault="00FA5E88" w:rsidP="00F03D51">
      <w:pPr>
        <w:pStyle w:val="paragraph"/>
      </w:pPr>
      <w:r w:rsidRPr="00F03D51">
        <w:tab/>
        <w:t>(b)</w:t>
      </w:r>
      <w:r w:rsidRPr="00F03D51">
        <w:tab/>
        <w:t>a serious illness of the person or a family member of the person;</w:t>
      </w:r>
    </w:p>
    <w:p w14:paraId="5F21DDA8" w14:textId="77777777" w:rsidR="00FA5E88" w:rsidRPr="00F03D51" w:rsidRDefault="00FA5E88" w:rsidP="00F03D51">
      <w:pPr>
        <w:pStyle w:val="paragraph"/>
      </w:pPr>
      <w:r w:rsidRPr="00F03D51">
        <w:tab/>
        <w:t>(c)</w:t>
      </w:r>
      <w:r w:rsidRPr="00F03D51">
        <w:tab/>
        <w:t>the hospitalisation of the person or a family member of the person;</w:t>
      </w:r>
    </w:p>
    <w:p w14:paraId="31416D78" w14:textId="77777777" w:rsidR="00FA5E88" w:rsidRPr="00F03D51" w:rsidRDefault="00FA5E88" w:rsidP="00F03D51">
      <w:pPr>
        <w:pStyle w:val="paragraph"/>
      </w:pPr>
      <w:r w:rsidRPr="00F03D51">
        <w:tab/>
        <w:t>(d)</w:t>
      </w:r>
      <w:r w:rsidRPr="00F03D51">
        <w:tab/>
        <w:t>the death of a family member of the person;</w:t>
      </w:r>
    </w:p>
    <w:p w14:paraId="36115C9A" w14:textId="77777777" w:rsidR="00FA5E88" w:rsidRPr="00F03D51" w:rsidRDefault="00FA5E88" w:rsidP="00F03D51">
      <w:pPr>
        <w:pStyle w:val="paragraph"/>
      </w:pPr>
      <w:r w:rsidRPr="00F03D51">
        <w:tab/>
        <w:t>(e)</w:t>
      </w:r>
      <w:r w:rsidRPr="00F03D51">
        <w:tab/>
        <w:t>the person’s involvement in custody proceedings in Australia;</w:t>
      </w:r>
    </w:p>
    <w:p w14:paraId="531A48C6" w14:textId="77777777" w:rsidR="00FA5E88" w:rsidRPr="00F03D51" w:rsidRDefault="00FA5E88" w:rsidP="00F03D51">
      <w:pPr>
        <w:pStyle w:val="paragraph"/>
      </w:pPr>
      <w:r w:rsidRPr="00F03D51">
        <w:tab/>
        <w:t>(f)</w:t>
      </w:r>
      <w:r w:rsidRPr="00F03D51">
        <w:tab/>
        <w:t>a legal requirement for the person to remain in Australia in connection with criminal proceedings (other than criminal proceedings in respect of a crime alleged to have been committed by the person);</w:t>
      </w:r>
    </w:p>
    <w:p w14:paraId="3266C30D" w14:textId="77777777" w:rsidR="00FA5E88" w:rsidRPr="00F03D51" w:rsidRDefault="00FA5E88" w:rsidP="00F03D51">
      <w:pPr>
        <w:pStyle w:val="paragraph"/>
      </w:pPr>
      <w:r w:rsidRPr="00F03D51">
        <w:lastRenderedPageBreak/>
        <w:tab/>
        <w:t>(g)</w:t>
      </w:r>
      <w:r w:rsidRPr="00F03D51">
        <w:tab/>
        <w:t>robbery or serious crime committed against the person or a family member of the person;</w:t>
      </w:r>
    </w:p>
    <w:p w14:paraId="2B558B83" w14:textId="77777777" w:rsidR="00FA5E88" w:rsidRPr="00F03D51" w:rsidRDefault="00FA5E88" w:rsidP="00F03D51">
      <w:pPr>
        <w:pStyle w:val="paragraph"/>
      </w:pPr>
      <w:r w:rsidRPr="00F03D51">
        <w:tab/>
        <w:t>(h)</w:t>
      </w:r>
      <w:r w:rsidRPr="00F03D51">
        <w:tab/>
        <w:t>a natural disaster in Australia;</w:t>
      </w:r>
    </w:p>
    <w:p w14:paraId="0BD5E680" w14:textId="77777777" w:rsidR="00FA5E88" w:rsidRPr="00F03D51" w:rsidRDefault="00FA5E88" w:rsidP="00F03D51">
      <w:pPr>
        <w:pStyle w:val="paragraph"/>
      </w:pPr>
      <w:r w:rsidRPr="00F03D51">
        <w:tab/>
        <w:t>(</w:t>
      </w:r>
      <w:proofErr w:type="spellStart"/>
      <w:r w:rsidRPr="00F03D51">
        <w:t>i</w:t>
      </w:r>
      <w:proofErr w:type="spellEnd"/>
      <w:r w:rsidRPr="00F03D51">
        <w:t>)</w:t>
      </w:r>
      <w:r w:rsidRPr="00F03D51">
        <w:tab/>
        <w:t xml:space="preserve">a public health crisis affecting Australia or the country </w:t>
      </w:r>
      <w:r w:rsidR="003D443C" w:rsidRPr="00F03D51">
        <w:t>to</w:t>
      </w:r>
      <w:r w:rsidRPr="00F03D51">
        <w:t xml:space="preserve"> which the person intends to return to or both.</w:t>
      </w:r>
    </w:p>
    <w:p w14:paraId="27F88209" w14:textId="77777777" w:rsidR="00FA5E88" w:rsidRPr="00F03D51" w:rsidRDefault="00FA5E88" w:rsidP="00F03D51">
      <w:pPr>
        <w:pStyle w:val="Subitem"/>
      </w:pPr>
      <w:r w:rsidRPr="00F03D51">
        <w:t>(8)</w:t>
      </w:r>
      <w:r w:rsidRPr="00F03D51">
        <w:tab/>
        <w:t>The Secretary must not make a determination under subitem (6) unless the event occurred or began during the period of return</w:t>
      </w:r>
      <w:r w:rsidR="00581156" w:rsidRPr="00F03D51">
        <w:t xml:space="preserve"> to Australia</w:t>
      </w:r>
      <w:r w:rsidRPr="00F03D51">
        <w:t>.</w:t>
      </w:r>
    </w:p>
    <w:p w14:paraId="03A15C54" w14:textId="77777777" w:rsidR="003019E2" w:rsidRPr="00F03D51" w:rsidRDefault="003019E2" w:rsidP="00F03D51">
      <w:pPr>
        <w:pStyle w:val="Subitem"/>
      </w:pPr>
      <w:r w:rsidRPr="00F03D51">
        <w:t>(9)</w:t>
      </w:r>
      <w:r w:rsidRPr="00F03D51">
        <w:tab/>
        <w:t xml:space="preserve">If the Secretary determines another number (the </w:t>
      </w:r>
      <w:r w:rsidRPr="00F03D51">
        <w:rPr>
          <w:b/>
          <w:i/>
        </w:rPr>
        <w:t>new number</w:t>
      </w:r>
      <w:r w:rsidRPr="00F03D51">
        <w:t>) of weeks under subitem (6), then, immediately after that determination is made, a reference to a number of weeks in paragraph (3)(d) or (4)(d), and each reference to a number of weeks in subitem (6), is taken to be a reference to that new number.</w:t>
      </w:r>
    </w:p>
    <w:p w14:paraId="605FB9D0" w14:textId="77777777" w:rsidR="00FA5E88" w:rsidRPr="00F03D51" w:rsidRDefault="00FA5E88" w:rsidP="00F03D51">
      <w:pPr>
        <w:pStyle w:val="Subitem"/>
      </w:pPr>
      <w:r w:rsidRPr="00F03D51">
        <w:t>(</w:t>
      </w:r>
      <w:r w:rsidR="003019E2" w:rsidRPr="00F03D51">
        <w:t>10</w:t>
      </w:r>
      <w:r w:rsidRPr="00F03D51">
        <w:t>)</w:t>
      </w:r>
      <w:r w:rsidRPr="00F03D51">
        <w:tab/>
        <w:t>Subitems (6) to (</w:t>
      </w:r>
      <w:r w:rsidR="003019E2" w:rsidRPr="00F03D51">
        <w:t>8</w:t>
      </w:r>
      <w:r w:rsidRPr="00F03D51">
        <w:t>) apply in relation to the following:</w:t>
      </w:r>
    </w:p>
    <w:p w14:paraId="53683C59" w14:textId="77777777" w:rsidR="00FA5E88" w:rsidRPr="00F03D51" w:rsidRDefault="00FA5E88" w:rsidP="00F03D51">
      <w:pPr>
        <w:pStyle w:val="paragraph"/>
      </w:pPr>
      <w:r w:rsidRPr="00F03D51">
        <w:tab/>
        <w:t>(a)</w:t>
      </w:r>
      <w:r w:rsidRPr="00F03D51">
        <w:tab/>
        <w:t>a period of return to Australia starting on or after the commencement of those subitems;</w:t>
      </w:r>
    </w:p>
    <w:p w14:paraId="60E00FBA" w14:textId="77777777" w:rsidR="00F26C46" w:rsidRPr="00F03D51" w:rsidRDefault="00F26C46" w:rsidP="00F03D51">
      <w:pPr>
        <w:pStyle w:val="paragraph"/>
      </w:pPr>
      <w:r w:rsidRPr="00F03D51">
        <w:tab/>
        <w:t>(b)</w:t>
      </w:r>
      <w:r w:rsidRPr="00F03D51">
        <w:tab/>
        <w:t>a period of return to Australia starting before that commencement, where the person is in Australia immediately before that commencement and where:</w:t>
      </w:r>
    </w:p>
    <w:p w14:paraId="0EC833E8" w14:textId="77777777" w:rsidR="00F26C46" w:rsidRPr="00F03D51" w:rsidRDefault="00F26C46" w:rsidP="00F03D51">
      <w:pPr>
        <w:pStyle w:val="paragraphsub"/>
      </w:pPr>
      <w:r w:rsidRPr="00F03D51">
        <w:tab/>
        <w:t>(</w:t>
      </w:r>
      <w:proofErr w:type="spellStart"/>
      <w:r w:rsidRPr="00F03D51">
        <w:t>i</w:t>
      </w:r>
      <w:proofErr w:type="spellEnd"/>
      <w:r w:rsidRPr="00F03D51">
        <w:t>)</w:t>
      </w:r>
      <w:r w:rsidRPr="00F03D51">
        <w:tab/>
        <w:t xml:space="preserve">the 26 weeks mentioned in paragraph (3)(d) or (4)(d) </w:t>
      </w:r>
      <w:r w:rsidR="00C87F9F" w:rsidRPr="00F03D51">
        <w:t xml:space="preserve">of this item </w:t>
      </w:r>
      <w:r w:rsidRPr="00F03D51">
        <w:t>had not ended immediately before that commencement; or</w:t>
      </w:r>
    </w:p>
    <w:p w14:paraId="317BFCE3" w14:textId="77777777" w:rsidR="00F26C46" w:rsidRPr="00F03D51" w:rsidRDefault="00F26C46" w:rsidP="00F03D51">
      <w:pPr>
        <w:pStyle w:val="paragraphsub"/>
      </w:pPr>
      <w:r w:rsidRPr="00F03D51">
        <w:tab/>
        <w:t>(ii)</w:t>
      </w:r>
      <w:r w:rsidRPr="00F03D51">
        <w:tab/>
        <w:t xml:space="preserve">under </w:t>
      </w:r>
      <w:r w:rsidR="00270ECA" w:rsidRPr="00F03D51">
        <w:t>subsection 1</w:t>
      </w:r>
      <w:r w:rsidRPr="00F03D51">
        <w:t xml:space="preserve">221A(1) of the </w:t>
      </w:r>
      <w:r w:rsidRPr="00F03D51">
        <w:rPr>
          <w:i/>
        </w:rPr>
        <w:t>Social Security Act 1991</w:t>
      </w:r>
      <w:r w:rsidRPr="00F03D51">
        <w:t xml:space="preserve">, as in force before 1 July 2021, the Secretary had determined another number of weeks with the result that the period referred to in </w:t>
      </w:r>
      <w:r w:rsidR="00C87F9F" w:rsidRPr="00F03D51">
        <w:t>paragraph (3)(d) or (4)(d) of this item</w:t>
      </w:r>
      <w:r w:rsidRPr="00F03D51">
        <w:rPr>
          <w:i/>
        </w:rPr>
        <w:t xml:space="preserve"> </w:t>
      </w:r>
      <w:r w:rsidRPr="00F03D51">
        <w:t>ended at the end of 30 June 2021.</w:t>
      </w:r>
    </w:p>
    <w:p w14:paraId="7CA14D61" w14:textId="77777777" w:rsidR="00FA5E88" w:rsidRPr="00F03D51" w:rsidRDefault="00FA5E88" w:rsidP="00F03D51">
      <w:pPr>
        <w:pStyle w:val="Subitem"/>
      </w:pPr>
      <w:r w:rsidRPr="00F03D51">
        <w:t>(1</w:t>
      </w:r>
      <w:r w:rsidR="003019E2" w:rsidRPr="00F03D51">
        <w:t>1</w:t>
      </w:r>
      <w:r w:rsidRPr="00F03D51">
        <w:t>)</w:t>
      </w:r>
      <w:r w:rsidRPr="00F03D51">
        <w:tab/>
        <w:t>If subitems (6) to (</w:t>
      </w:r>
      <w:r w:rsidR="003019E2" w:rsidRPr="00F03D51">
        <w:t>8</w:t>
      </w:r>
      <w:r w:rsidRPr="00F03D51">
        <w:t>) apply in relation to a period of return because of the operation of subparagraph (</w:t>
      </w:r>
      <w:r w:rsidR="003019E2" w:rsidRPr="00F03D51">
        <w:t>10</w:t>
      </w:r>
      <w:r w:rsidRPr="00F03D51">
        <w:t>)(b)(ii) of this item, then</w:t>
      </w:r>
      <w:r w:rsidR="008D62B8" w:rsidRPr="00F03D51">
        <w:t>, at the commencement of th</w:t>
      </w:r>
      <w:r w:rsidR="00B27CE2" w:rsidRPr="00F03D51">
        <w:t>is</w:t>
      </w:r>
      <w:r w:rsidR="008D62B8" w:rsidRPr="00F03D51">
        <w:t xml:space="preserve"> subitem</w:t>
      </w:r>
      <w:r w:rsidR="00B27CE2" w:rsidRPr="00F03D51">
        <w:t>,</w:t>
      </w:r>
      <w:r w:rsidRPr="00F03D51">
        <w:t xml:space="preserve"> a reference to 26 weeks in paragraph (3)(d) or (4)(d) of this item, and each reference to 26 weeks in subitem (6), is taken to be a reference to that other number of weeks.</w:t>
      </w:r>
    </w:p>
    <w:p w14:paraId="532275ED" w14:textId="77777777" w:rsidR="00FA5E88" w:rsidRPr="00F03D51" w:rsidRDefault="00C87F9F" w:rsidP="00F03D51">
      <w:pPr>
        <w:pStyle w:val="ItemHead"/>
      </w:pPr>
      <w:r w:rsidRPr="00F03D51">
        <w:t>11</w:t>
      </w:r>
      <w:r w:rsidR="00FA5E88" w:rsidRPr="00F03D51">
        <w:t xml:space="preserve">  At the end of item 14 of Schedule 4</w:t>
      </w:r>
    </w:p>
    <w:p w14:paraId="6C12F051" w14:textId="77777777" w:rsidR="00FA5E88" w:rsidRPr="00F03D51" w:rsidRDefault="00FA5E88" w:rsidP="00F03D51">
      <w:pPr>
        <w:pStyle w:val="Item"/>
      </w:pPr>
      <w:r w:rsidRPr="00F03D51">
        <w:t>Add:</w:t>
      </w:r>
    </w:p>
    <w:p w14:paraId="2D9A50DB" w14:textId="77777777" w:rsidR="00FA5E88" w:rsidRPr="00F03D51" w:rsidRDefault="00011379" w:rsidP="00F03D51">
      <w:pPr>
        <w:pStyle w:val="SubitemHead"/>
      </w:pPr>
      <w:r w:rsidRPr="00F03D51">
        <w:lastRenderedPageBreak/>
        <w:t>Portability extension</w:t>
      </w:r>
    </w:p>
    <w:p w14:paraId="141CBE19" w14:textId="77777777" w:rsidR="00FA5E88" w:rsidRPr="00F03D51" w:rsidRDefault="00FA5E88" w:rsidP="00F03D51">
      <w:pPr>
        <w:pStyle w:val="Subitem"/>
      </w:pPr>
      <w:r w:rsidRPr="00F03D51">
        <w:t>(8)</w:t>
      </w:r>
      <w:r w:rsidRPr="00F03D51">
        <w:tab/>
        <w:t>If:</w:t>
      </w:r>
    </w:p>
    <w:p w14:paraId="2DB58512" w14:textId="77777777" w:rsidR="00FA5E88" w:rsidRPr="00F03D51" w:rsidRDefault="00FA5E88" w:rsidP="00F03D51">
      <w:pPr>
        <w:pStyle w:val="paragraph"/>
      </w:pPr>
      <w:r w:rsidRPr="00F03D51">
        <w:tab/>
        <w:t>(a)</w:t>
      </w:r>
      <w:r w:rsidRPr="00F03D51">
        <w:tab/>
        <w:t>in relation to a person referred to in subitem (3) or (4), the Secretary is satisfied that the person’s return to Australia is temporary; and</w:t>
      </w:r>
    </w:p>
    <w:p w14:paraId="27BEE207" w14:textId="77777777" w:rsidR="00FA5E88" w:rsidRPr="00F03D51" w:rsidRDefault="00FA5E88" w:rsidP="00F03D51">
      <w:pPr>
        <w:pStyle w:val="paragraph"/>
      </w:pPr>
      <w:r w:rsidRPr="00F03D51">
        <w:tab/>
        <w:t>(b)</w:t>
      </w:r>
      <w:r w:rsidRPr="00F03D51">
        <w:tab/>
        <w:t xml:space="preserve">the Secretary is satisfied that the person is unable to leave Australia before the end of </w:t>
      </w:r>
      <w:r w:rsidR="0035460A" w:rsidRPr="00F03D51">
        <w:t xml:space="preserve">the </w:t>
      </w:r>
      <w:r w:rsidRPr="00F03D51">
        <w:t>26 weeks mentioned in paragraph (3)(d) or (4)(d) because of an event referred to in subitem (9);</w:t>
      </w:r>
    </w:p>
    <w:p w14:paraId="60F1DBE4" w14:textId="77777777" w:rsidR="00FA5E88" w:rsidRPr="00F03D51" w:rsidRDefault="00FA5E88" w:rsidP="00F03D51">
      <w:pPr>
        <w:pStyle w:val="Item"/>
      </w:pPr>
      <w:r w:rsidRPr="00F03D51">
        <w:t>the Secretary may, in relation to the person, determine that a reference to 26 weeks in paragraph (3)(d) or (4)(d) is taken to be a reference to another number of weeks.</w:t>
      </w:r>
    </w:p>
    <w:p w14:paraId="398DA041" w14:textId="77777777" w:rsidR="00FA5E88" w:rsidRPr="00F03D51" w:rsidRDefault="00FA5E88" w:rsidP="00F03D51">
      <w:pPr>
        <w:pStyle w:val="Subitem"/>
      </w:pPr>
      <w:r w:rsidRPr="00F03D51">
        <w:t>(9)</w:t>
      </w:r>
      <w:r w:rsidRPr="00F03D51">
        <w:tab/>
        <w:t>The events are the following:</w:t>
      </w:r>
    </w:p>
    <w:p w14:paraId="0949C312" w14:textId="77777777" w:rsidR="00FA5E88" w:rsidRPr="00F03D51" w:rsidRDefault="00FA5E88" w:rsidP="00F03D51">
      <w:pPr>
        <w:pStyle w:val="paragraph"/>
      </w:pPr>
      <w:r w:rsidRPr="00F03D51">
        <w:tab/>
        <w:t>(a)</w:t>
      </w:r>
      <w:r w:rsidRPr="00F03D51">
        <w:tab/>
        <w:t>a serious accident involving the person or a family member of the person;</w:t>
      </w:r>
    </w:p>
    <w:p w14:paraId="6DCD3AC4" w14:textId="77777777" w:rsidR="00FA5E88" w:rsidRPr="00F03D51" w:rsidRDefault="00FA5E88" w:rsidP="00F03D51">
      <w:pPr>
        <w:pStyle w:val="paragraph"/>
      </w:pPr>
      <w:r w:rsidRPr="00F03D51">
        <w:tab/>
        <w:t>(b)</w:t>
      </w:r>
      <w:r w:rsidRPr="00F03D51">
        <w:tab/>
        <w:t>a serious illness of the person or a family member of the person;</w:t>
      </w:r>
    </w:p>
    <w:p w14:paraId="75545800" w14:textId="77777777" w:rsidR="00FA5E88" w:rsidRPr="00F03D51" w:rsidRDefault="00FA5E88" w:rsidP="00F03D51">
      <w:pPr>
        <w:pStyle w:val="paragraph"/>
      </w:pPr>
      <w:r w:rsidRPr="00F03D51">
        <w:tab/>
        <w:t>(c)</w:t>
      </w:r>
      <w:r w:rsidRPr="00F03D51">
        <w:tab/>
        <w:t>the hospitalisation of the person or a family member of the person;</w:t>
      </w:r>
    </w:p>
    <w:p w14:paraId="3FC1004B" w14:textId="77777777" w:rsidR="00FA5E88" w:rsidRPr="00F03D51" w:rsidRDefault="00FA5E88" w:rsidP="00F03D51">
      <w:pPr>
        <w:pStyle w:val="paragraph"/>
      </w:pPr>
      <w:r w:rsidRPr="00F03D51">
        <w:tab/>
        <w:t>(d)</w:t>
      </w:r>
      <w:r w:rsidRPr="00F03D51">
        <w:tab/>
        <w:t>the death of a family member of the person;</w:t>
      </w:r>
    </w:p>
    <w:p w14:paraId="6A3526AB" w14:textId="77777777" w:rsidR="00FA5E88" w:rsidRPr="00F03D51" w:rsidRDefault="00FA5E88" w:rsidP="00F03D51">
      <w:pPr>
        <w:pStyle w:val="paragraph"/>
      </w:pPr>
      <w:r w:rsidRPr="00F03D51">
        <w:tab/>
        <w:t>(e)</w:t>
      </w:r>
      <w:r w:rsidRPr="00F03D51">
        <w:tab/>
        <w:t>the person’s involvement in custody proceedings in Australia;</w:t>
      </w:r>
    </w:p>
    <w:p w14:paraId="14195DC4" w14:textId="77777777" w:rsidR="00FA5E88" w:rsidRPr="00F03D51" w:rsidRDefault="00FA5E88" w:rsidP="00F03D51">
      <w:pPr>
        <w:pStyle w:val="paragraph"/>
      </w:pPr>
      <w:r w:rsidRPr="00F03D51">
        <w:tab/>
        <w:t>(f)</w:t>
      </w:r>
      <w:r w:rsidRPr="00F03D51">
        <w:tab/>
        <w:t>a legal requirement for the person to remain in Australia in connection with criminal proceedings (other than criminal proceedings in respect of a crime alleged to have been committed by the person);</w:t>
      </w:r>
    </w:p>
    <w:p w14:paraId="2C2EF468" w14:textId="77777777" w:rsidR="00FA5E88" w:rsidRPr="00F03D51" w:rsidRDefault="00FA5E88" w:rsidP="00F03D51">
      <w:pPr>
        <w:pStyle w:val="paragraph"/>
      </w:pPr>
      <w:r w:rsidRPr="00F03D51">
        <w:tab/>
        <w:t>(g)</w:t>
      </w:r>
      <w:r w:rsidRPr="00F03D51">
        <w:tab/>
        <w:t>robbery or serious crime committed against the person or a family member of the person;</w:t>
      </w:r>
    </w:p>
    <w:p w14:paraId="20630935" w14:textId="77777777" w:rsidR="00FA5E88" w:rsidRPr="00F03D51" w:rsidRDefault="00FA5E88" w:rsidP="00F03D51">
      <w:pPr>
        <w:pStyle w:val="paragraph"/>
      </w:pPr>
      <w:r w:rsidRPr="00F03D51">
        <w:tab/>
        <w:t>(h)</w:t>
      </w:r>
      <w:r w:rsidRPr="00F03D51">
        <w:tab/>
        <w:t>a natural disaster in Australia;</w:t>
      </w:r>
    </w:p>
    <w:p w14:paraId="1264FE6A" w14:textId="77777777" w:rsidR="00FA5E88" w:rsidRPr="00F03D51" w:rsidRDefault="00FA5E88" w:rsidP="00F03D51">
      <w:pPr>
        <w:pStyle w:val="paragraph"/>
      </w:pPr>
      <w:r w:rsidRPr="00F03D51">
        <w:tab/>
        <w:t>(</w:t>
      </w:r>
      <w:proofErr w:type="spellStart"/>
      <w:r w:rsidRPr="00F03D51">
        <w:t>i</w:t>
      </w:r>
      <w:proofErr w:type="spellEnd"/>
      <w:r w:rsidRPr="00F03D51">
        <w:t>)</w:t>
      </w:r>
      <w:r w:rsidRPr="00F03D51">
        <w:tab/>
        <w:t xml:space="preserve">a public health crisis affecting Australia or the country </w:t>
      </w:r>
      <w:r w:rsidR="003D443C" w:rsidRPr="00F03D51">
        <w:t>to</w:t>
      </w:r>
      <w:r w:rsidRPr="00F03D51">
        <w:t xml:space="preserve"> which the person intends to return to or both.</w:t>
      </w:r>
    </w:p>
    <w:p w14:paraId="4780D8E9" w14:textId="77777777" w:rsidR="00FA5E88" w:rsidRPr="00F03D51" w:rsidRDefault="00FA5E88" w:rsidP="00F03D51">
      <w:pPr>
        <w:pStyle w:val="Subitem"/>
      </w:pPr>
      <w:r w:rsidRPr="00F03D51">
        <w:t>(10)</w:t>
      </w:r>
      <w:r w:rsidRPr="00F03D51">
        <w:tab/>
        <w:t>The Secretary must not make a determination under subitem (8) unless the event occurred or began during the period of return</w:t>
      </w:r>
      <w:r w:rsidR="00581156" w:rsidRPr="00F03D51">
        <w:t xml:space="preserve"> to Australia</w:t>
      </w:r>
      <w:r w:rsidRPr="00F03D51">
        <w:t>.</w:t>
      </w:r>
    </w:p>
    <w:p w14:paraId="350E4986" w14:textId="77777777" w:rsidR="003019E2" w:rsidRPr="00F03D51" w:rsidRDefault="003019E2" w:rsidP="00F03D51">
      <w:pPr>
        <w:pStyle w:val="Subitem"/>
      </w:pPr>
      <w:r w:rsidRPr="00F03D51">
        <w:t>(11)</w:t>
      </w:r>
      <w:r w:rsidRPr="00F03D51">
        <w:tab/>
        <w:t xml:space="preserve">If the Secretary determines another number (the </w:t>
      </w:r>
      <w:r w:rsidRPr="00F03D51">
        <w:rPr>
          <w:b/>
          <w:i/>
        </w:rPr>
        <w:t>new number</w:t>
      </w:r>
      <w:r w:rsidRPr="00F03D51">
        <w:t xml:space="preserve">) of weeks under subitem (8), then, immediately after that determination is made, a reference to a number of weeks in paragraph (3)(d) or (4)(d), and each </w:t>
      </w:r>
      <w:r w:rsidRPr="00F03D51">
        <w:lastRenderedPageBreak/>
        <w:t>reference to a number of weeks in subitem (8), is taken to be a reference to that new number.</w:t>
      </w:r>
    </w:p>
    <w:p w14:paraId="00275C38" w14:textId="77777777" w:rsidR="00FA5E88" w:rsidRPr="00F03D51" w:rsidRDefault="00FA5E88" w:rsidP="00F03D51">
      <w:pPr>
        <w:pStyle w:val="Subitem"/>
      </w:pPr>
      <w:r w:rsidRPr="00F03D51">
        <w:t>(1</w:t>
      </w:r>
      <w:r w:rsidR="003019E2" w:rsidRPr="00F03D51">
        <w:t>2</w:t>
      </w:r>
      <w:r w:rsidRPr="00F03D51">
        <w:t>)</w:t>
      </w:r>
      <w:r w:rsidRPr="00F03D51">
        <w:tab/>
        <w:t>Subitems (8) to (10) apply in relation to the following:</w:t>
      </w:r>
    </w:p>
    <w:p w14:paraId="01098F36" w14:textId="77777777" w:rsidR="00FA5E88" w:rsidRPr="00F03D51" w:rsidRDefault="00FA5E88" w:rsidP="00F03D51">
      <w:pPr>
        <w:pStyle w:val="paragraph"/>
      </w:pPr>
      <w:r w:rsidRPr="00F03D51">
        <w:tab/>
        <w:t>(a)</w:t>
      </w:r>
      <w:r w:rsidRPr="00F03D51">
        <w:tab/>
        <w:t>a period of return to Australia starting on or after the commencement of those subitems;</w:t>
      </w:r>
    </w:p>
    <w:p w14:paraId="66C7CD4E" w14:textId="77777777" w:rsidR="00C87F9F" w:rsidRPr="00F03D51" w:rsidRDefault="00C87F9F" w:rsidP="00F03D51">
      <w:pPr>
        <w:pStyle w:val="paragraph"/>
      </w:pPr>
      <w:r w:rsidRPr="00F03D51">
        <w:tab/>
        <w:t>(b)</w:t>
      </w:r>
      <w:r w:rsidRPr="00F03D51">
        <w:tab/>
        <w:t>a period of return to Australia starting before that commencement, where the person is in Australia immediately before that commencement and where:</w:t>
      </w:r>
    </w:p>
    <w:p w14:paraId="1A1C0483" w14:textId="77777777" w:rsidR="00C87F9F" w:rsidRPr="00F03D51" w:rsidRDefault="00C87F9F" w:rsidP="00F03D51">
      <w:pPr>
        <w:pStyle w:val="paragraphsub"/>
      </w:pPr>
      <w:r w:rsidRPr="00F03D51">
        <w:tab/>
        <w:t>(</w:t>
      </w:r>
      <w:proofErr w:type="spellStart"/>
      <w:r w:rsidRPr="00F03D51">
        <w:t>i</w:t>
      </w:r>
      <w:proofErr w:type="spellEnd"/>
      <w:r w:rsidRPr="00F03D51">
        <w:t>)</w:t>
      </w:r>
      <w:r w:rsidRPr="00F03D51">
        <w:tab/>
        <w:t>the 26 weeks mentioned in paragraph (3)(d) or (4)(d) of this item had not ended immediately before that commencement; or</w:t>
      </w:r>
    </w:p>
    <w:p w14:paraId="3FE5E637" w14:textId="77777777" w:rsidR="00C87F9F" w:rsidRPr="00F03D51" w:rsidRDefault="00C87F9F" w:rsidP="00F03D51">
      <w:pPr>
        <w:pStyle w:val="paragraphsub"/>
      </w:pPr>
      <w:r w:rsidRPr="00F03D51">
        <w:tab/>
        <w:t>(ii)</w:t>
      </w:r>
      <w:r w:rsidRPr="00F03D51">
        <w:tab/>
        <w:t xml:space="preserve">under </w:t>
      </w:r>
      <w:r w:rsidR="00270ECA" w:rsidRPr="00F03D51">
        <w:t>subsection 1</w:t>
      </w:r>
      <w:r w:rsidRPr="00F03D51">
        <w:t xml:space="preserve">221A(1) of the </w:t>
      </w:r>
      <w:r w:rsidRPr="00F03D51">
        <w:rPr>
          <w:i/>
        </w:rPr>
        <w:t>Social Security Act 1991</w:t>
      </w:r>
      <w:r w:rsidRPr="00F03D51">
        <w:t>, as in force before 1 July 2021, the Secretary had determined another number of weeks with the result that the period referred to in paragraph (3)(d) or (4)(d) of this item</w:t>
      </w:r>
      <w:r w:rsidRPr="00F03D51">
        <w:rPr>
          <w:i/>
        </w:rPr>
        <w:t xml:space="preserve"> </w:t>
      </w:r>
      <w:r w:rsidRPr="00F03D51">
        <w:t>ended at the end of 30 June 2021.</w:t>
      </w:r>
    </w:p>
    <w:p w14:paraId="71BD908A" w14:textId="77777777" w:rsidR="00FA5E88" w:rsidRPr="00F03D51" w:rsidRDefault="00FA5E88" w:rsidP="00F03D51">
      <w:pPr>
        <w:pStyle w:val="Subitem"/>
      </w:pPr>
      <w:r w:rsidRPr="00F03D51">
        <w:t>(1</w:t>
      </w:r>
      <w:r w:rsidR="003019E2" w:rsidRPr="00F03D51">
        <w:t>3</w:t>
      </w:r>
      <w:r w:rsidRPr="00F03D51">
        <w:t>)</w:t>
      </w:r>
      <w:r w:rsidRPr="00F03D51">
        <w:tab/>
        <w:t>If subitems (8) to (10) apply in relation to a period of return because of the operation of subparagraph (1</w:t>
      </w:r>
      <w:r w:rsidR="003019E2" w:rsidRPr="00F03D51">
        <w:t>2</w:t>
      </w:r>
      <w:r w:rsidRPr="00F03D51">
        <w:t xml:space="preserve">)(b)(ii) of this item, </w:t>
      </w:r>
      <w:r w:rsidR="003019E2" w:rsidRPr="00F03D51">
        <w:t>then, at the commencement of this subitem, a</w:t>
      </w:r>
      <w:r w:rsidRPr="00F03D51">
        <w:t xml:space="preserve"> reference to 26 weeks in paragraph (3)(d) or (4)(d) of this item, and each reference to 26 weeks in subitem (8), is taken to be a reference to that other number of weeks.</w:t>
      </w:r>
    </w:p>
    <w:p w14:paraId="105EDFB1" w14:textId="77777777" w:rsidR="00FA5E88" w:rsidRPr="00F03D51" w:rsidRDefault="00C87F9F" w:rsidP="00F03D51">
      <w:pPr>
        <w:pStyle w:val="Transitional"/>
      </w:pPr>
      <w:r w:rsidRPr="00F03D51">
        <w:t>12</w:t>
      </w:r>
      <w:r w:rsidR="00FA5E88" w:rsidRPr="00F03D51">
        <w:t xml:space="preserve">  Application </w:t>
      </w:r>
      <w:r w:rsidR="00FC695D" w:rsidRPr="00F03D51">
        <w:t xml:space="preserve">and transitional </w:t>
      </w:r>
      <w:r w:rsidR="00FA5E88" w:rsidRPr="00F03D51">
        <w:t>provision</w:t>
      </w:r>
      <w:r w:rsidR="00FC695D" w:rsidRPr="00F03D51">
        <w:t>s</w:t>
      </w:r>
      <w:r w:rsidR="00FA5E88" w:rsidRPr="00F03D51">
        <w:t>—amounts added to rate</w:t>
      </w:r>
    </w:p>
    <w:p w14:paraId="22B84FF6" w14:textId="77777777" w:rsidR="00FA5E88" w:rsidRPr="00F03D51" w:rsidRDefault="00FA5E88" w:rsidP="00F03D51">
      <w:pPr>
        <w:pStyle w:val="Subitem"/>
      </w:pPr>
      <w:r w:rsidRPr="00F03D51">
        <w:t>(1)</w:t>
      </w:r>
      <w:r w:rsidRPr="00F03D51">
        <w:tab/>
        <w:t xml:space="preserve">The amendment of section 1216 of the </w:t>
      </w:r>
      <w:r w:rsidRPr="00F03D51">
        <w:rPr>
          <w:i/>
        </w:rPr>
        <w:t xml:space="preserve">Social Security Act 1991 </w:t>
      </w:r>
      <w:r w:rsidRPr="00F03D51">
        <w:t xml:space="preserve">made by this </w:t>
      </w:r>
      <w:r w:rsidR="00134C36" w:rsidRPr="00F03D51">
        <w:t>Schedule</w:t>
      </w:r>
      <w:r w:rsidRPr="00F03D51">
        <w:t xml:space="preserve"> appl</w:t>
      </w:r>
      <w:r w:rsidR="007E06C1" w:rsidRPr="00F03D51">
        <w:t>ies</w:t>
      </w:r>
      <w:r w:rsidRPr="00F03D51">
        <w:t xml:space="preserve"> in relation to the following:</w:t>
      </w:r>
    </w:p>
    <w:p w14:paraId="13E04EDC" w14:textId="77777777" w:rsidR="00FA5E88" w:rsidRPr="00F03D51" w:rsidRDefault="00FA5E88" w:rsidP="00F03D51">
      <w:pPr>
        <w:pStyle w:val="paragraph"/>
      </w:pPr>
      <w:r w:rsidRPr="00F03D51">
        <w:tab/>
        <w:t>(a)</w:t>
      </w:r>
      <w:r w:rsidRPr="00F03D51">
        <w:tab/>
        <w:t>a period of absence from Australia starting on or after the commencement of this item;</w:t>
      </w:r>
    </w:p>
    <w:p w14:paraId="1F3E1422" w14:textId="77777777" w:rsidR="00FA5E88" w:rsidRPr="00F03D51" w:rsidRDefault="00FA5E88" w:rsidP="00F03D51">
      <w:pPr>
        <w:pStyle w:val="paragraph"/>
      </w:pPr>
      <w:r w:rsidRPr="00F03D51">
        <w:tab/>
        <w:t>(b)</w:t>
      </w:r>
      <w:r w:rsidRPr="00F03D51">
        <w:tab/>
        <w:t>a period of absence from Australia starting before that commencement, where the person is absent from Australia immediately before that commencement and where:</w:t>
      </w:r>
    </w:p>
    <w:p w14:paraId="2B971766" w14:textId="77777777" w:rsidR="00FA5E88" w:rsidRPr="00F03D51" w:rsidRDefault="00FA5E88" w:rsidP="00F03D51">
      <w:pPr>
        <w:pStyle w:val="paragraphsub"/>
      </w:pPr>
      <w:r w:rsidRPr="00F03D51">
        <w:tab/>
        <w:t>(</w:t>
      </w:r>
      <w:proofErr w:type="spellStart"/>
      <w:r w:rsidRPr="00F03D51">
        <w:t>i</w:t>
      </w:r>
      <w:proofErr w:type="spellEnd"/>
      <w:r w:rsidRPr="00F03D51">
        <w:t>)</w:t>
      </w:r>
      <w:r w:rsidRPr="00F03D51">
        <w:tab/>
        <w:t>the 26 weeks mentioned in paragraph 1216(1)(a) of that Act had not ended immediately before that commencement; or</w:t>
      </w:r>
    </w:p>
    <w:p w14:paraId="5E695CA0" w14:textId="77777777" w:rsidR="00FA5E88" w:rsidRPr="00F03D51" w:rsidRDefault="00FA5E88" w:rsidP="00F03D51">
      <w:pPr>
        <w:pStyle w:val="paragraphsub"/>
      </w:pPr>
      <w:r w:rsidRPr="00F03D51">
        <w:tab/>
        <w:t>(ii)</w:t>
      </w:r>
      <w:r w:rsidRPr="00F03D51">
        <w:tab/>
        <w:t xml:space="preserve">under </w:t>
      </w:r>
      <w:r w:rsidR="00270ECA" w:rsidRPr="00F03D51">
        <w:t>subsection 1</w:t>
      </w:r>
      <w:r w:rsidRPr="00F03D51">
        <w:t xml:space="preserve">216(2) of that Act, as in force before </w:t>
      </w:r>
      <w:r w:rsidR="003E7726" w:rsidRPr="00F03D51">
        <w:t>1 July</w:t>
      </w:r>
      <w:r w:rsidRPr="00F03D51">
        <w:t xml:space="preserve"> 2021, the Secretary had determined another number of weeks with the result that the period referred </w:t>
      </w:r>
      <w:r w:rsidRPr="00F03D51">
        <w:lastRenderedPageBreak/>
        <w:t>to in paragraph 1216(1)(a) of that Act</w:t>
      </w:r>
      <w:r w:rsidRPr="00F03D51">
        <w:rPr>
          <w:i/>
        </w:rPr>
        <w:t xml:space="preserve"> </w:t>
      </w:r>
      <w:r w:rsidRPr="00F03D51">
        <w:t xml:space="preserve">ended at the end of </w:t>
      </w:r>
      <w:r w:rsidR="003E7726" w:rsidRPr="00F03D51">
        <w:t>30 June</w:t>
      </w:r>
      <w:r w:rsidRPr="00F03D51">
        <w:t xml:space="preserve"> 2021.</w:t>
      </w:r>
    </w:p>
    <w:p w14:paraId="0B13454A" w14:textId="77777777" w:rsidR="003921E9" w:rsidRPr="00F03D51" w:rsidRDefault="003921E9" w:rsidP="00F03D51">
      <w:pPr>
        <w:pStyle w:val="Subitem"/>
      </w:pPr>
      <w:r w:rsidRPr="00F03D51">
        <w:t>(2)</w:t>
      </w:r>
      <w:r w:rsidRPr="00F03D51">
        <w:tab/>
        <w:t xml:space="preserve">If the amendment of section 1216 of the </w:t>
      </w:r>
      <w:r w:rsidRPr="00F03D51">
        <w:rPr>
          <w:i/>
        </w:rPr>
        <w:t xml:space="preserve">Social Security Act 1991 </w:t>
      </w:r>
      <w:r w:rsidRPr="00F03D51">
        <w:t>made by this Schedule applies in relation to a period of absence because of the operation of subparagraph (1)(b)(ii) of this item, then, at the commencement of this subitem, a reference to 26 weeks in paragraph 1216(1)(a) of that Act, and each reference to 26 weeks in subsection 1216(2) of that Act (as substituted by this Schedule), is taken to be a reference to that other number of weeks.</w:t>
      </w:r>
    </w:p>
    <w:p w14:paraId="7D55CF37" w14:textId="77777777" w:rsidR="00FA5E88" w:rsidRPr="00F03D51" w:rsidRDefault="00C87F9F" w:rsidP="00F03D51">
      <w:pPr>
        <w:pStyle w:val="Transitional"/>
      </w:pPr>
      <w:r w:rsidRPr="00F03D51">
        <w:t>13</w:t>
      </w:r>
      <w:r w:rsidR="00FA5E88" w:rsidRPr="00F03D51">
        <w:t xml:space="preserve">  </w:t>
      </w:r>
      <w:r w:rsidR="00FC695D" w:rsidRPr="00F03D51">
        <w:t>Application and transitional provisions</w:t>
      </w:r>
      <w:r w:rsidR="00FA5E88" w:rsidRPr="00F03D51">
        <w:t>—age pension rate</w:t>
      </w:r>
    </w:p>
    <w:p w14:paraId="5FFB7F0B" w14:textId="77777777" w:rsidR="00FA5E88" w:rsidRPr="00F03D51" w:rsidRDefault="00FA5E88" w:rsidP="00F03D51">
      <w:pPr>
        <w:pStyle w:val="Subitem"/>
      </w:pPr>
      <w:r w:rsidRPr="00F03D51">
        <w:t>(1)</w:t>
      </w:r>
      <w:r w:rsidRPr="00F03D51">
        <w:tab/>
        <w:t>The amendment</w:t>
      </w:r>
      <w:r w:rsidR="00062A3D" w:rsidRPr="00F03D51">
        <w:t>s</w:t>
      </w:r>
      <w:r w:rsidRPr="00F03D51">
        <w:t xml:space="preserve"> of section 1220A of the </w:t>
      </w:r>
      <w:r w:rsidRPr="00F03D51">
        <w:rPr>
          <w:i/>
        </w:rPr>
        <w:t xml:space="preserve">Social Security Act 1991 </w:t>
      </w:r>
      <w:r w:rsidRPr="00F03D51">
        <w:t xml:space="preserve">made by this </w:t>
      </w:r>
      <w:r w:rsidR="00134C36" w:rsidRPr="00F03D51">
        <w:t>Schedule</w:t>
      </w:r>
      <w:r w:rsidRPr="00F03D51">
        <w:t xml:space="preserve"> appl</w:t>
      </w:r>
      <w:r w:rsidR="00062A3D" w:rsidRPr="00F03D51">
        <w:t>y</w:t>
      </w:r>
      <w:r w:rsidRPr="00F03D51">
        <w:t xml:space="preserve"> in relation to the following:</w:t>
      </w:r>
    </w:p>
    <w:p w14:paraId="4E45B1D2" w14:textId="77777777" w:rsidR="00FA5E88" w:rsidRPr="00F03D51" w:rsidRDefault="00FA5E88" w:rsidP="00F03D51">
      <w:pPr>
        <w:pStyle w:val="paragraph"/>
      </w:pPr>
      <w:r w:rsidRPr="00F03D51">
        <w:tab/>
        <w:t>(a)</w:t>
      </w:r>
      <w:r w:rsidRPr="00F03D51">
        <w:tab/>
        <w:t>a period of absence from Australia starting on or after the commencement of this item;</w:t>
      </w:r>
    </w:p>
    <w:p w14:paraId="62C3A38C" w14:textId="77777777" w:rsidR="00062A3D" w:rsidRPr="00F03D51" w:rsidRDefault="00062A3D" w:rsidP="00F03D51">
      <w:pPr>
        <w:pStyle w:val="paragraph"/>
      </w:pPr>
      <w:r w:rsidRPr="00F03D51">
        <w:tab/>
        <w:t>(b)</w:t>
      </w:r>
      <w:r w:rsidRPr="00F03D51">
        <w:tab/>
        <w:t>a period of absence from Australia starting before that commencement, where the person is absent from Australia immediately before that commencement and where:</w:t>
      </w:r>
    </w:p>
    <w:p w14:paraId="06661F09" w14:textId="77777777" w:rsidR="00062A3D" w:rsidRPr="00F03D51" w:rsidRDefault="00062A3D" w:rsidP="00F03D51">
      <w:pPr>
        <w:pStyle w:val="paragraphsub"/>
      </w:pPr>
      <w:r w:rsidRPr="00F03D51">
        <w:tab/>
        <w:t>(</w:t>
      </w:r>
      <w:proofErr w:type="spellStart"/>
      <w:r w:rsidRPr="00F03D51">
        <w:t>i</w:t>
      </w:r>
      <w:proofErr w:type="spellEnd"/>
      <w:r w:rsidRPr="00F03D51">
        <w:t>)</w:t>
      </w:r>
      <w:r w:rsidRPr="00F03D51">
        <w:tab/>
        <w:t>the 26 weeks mentioned in paragraph 1220A(1)(a) of that Act had not ended immediately before that commencement; or</w:t>
      </w:r>
    </w:p>
    <w:p w14:paraId="16C14256" w14:textId="77777777" w:rsidR="00062A3D" w:rsidRPr="00F03D51" w:rsidRDefault="00062A3D" w:rsidP="00F03D51">
      <w:pPr>
        <w:pStyle w:val="paragraphsub"/>
      </w:pPr>
      <w:r w:rsidRPr="00F03D51">
        <w:tab/>
        <w:t>(ii)</w:t>
      </w:r>
      <w:r w:rsidRPr="00F03D51">
        <w:tab/>
        <w:t xml:space="preserve">under </w:t>
      </w:r>
      <w:r w:rsidR="00270ECA" w:rsidRPr="00F03D51">
        <w:t>subsection 1</w:t>
      </w:r>
      <w:r w:rsidRPr="00F03D51">
        <w:t>220A(6) of that Act, as in force before 1 July 2021, the Secretary had determined another number of weeks with the result that the period referred to in paragraph 1220A(1)(a) of that Act</w:t>
      </w:r>
      <w:r w:rsidRPr="00F03D51">
        <w:rPr>
          <w:i/>
        </w:rPr>
        <w:t xml:space="preserve"> </w:t>
      </w:r>
      <w:r w:rsidRPr="00F03D51">
        <w:t>ended at the end of 30 June 2021.</w:t>
      </w:r>
    </w:p>
    <w:p w14:paraId="0F1A9B36" w14:textId="77777777" w:rsidR="00FA5E88" w:rsidRPr="00F03D51" w:rsidRDefault="00FA5E88" w:rsidP="00F03D51">
      <w:pPr>
        <w:pStyle w:val="Subitem"/>
      </w:pPr>
      <w:r w:rsidRPr="00F03D51">
        <w:t>(2)</w:t>
      </w:r>
      <w:r w:rsidRPr="00F03D51">
        <w:tab/>
        <w:t>If the amendment</w:t>
      </w:r>
      <w:r w:rsidR="00D6260B" w:rsidRPr="00F03D51">
        <w:t>s</w:t>
      </w:r>
      <w:r w:rsidRPr="00F03D51">
        <w:t xml:space="preserve"> of section 1220A of the </w:t>
      </w:r>
      <w:r w:rsidRPr="00F03D51">
        <w:rPr>
          <w:i/>
        </w:rPr>
        <w:t xml:space="preserve">Social Security Act 1991 </w:t>
      </w:r>
      <w:r w:rsidRPr="00F03D51">
        <w:t xml:space="preserve">made by this </w:t>
      </w:r>
      <w:r w:rsidR="00F26C46" w:rsidRPr="00F03D51">
        <w:t>Schedule</w:t>
      </w:r>
      <w:r w:rsidRPr="00F03D51">
        <w:t xml:space="preserve"> appl</w:t>
      </w:r>
      <w:r w:rsidR="00D6260B" w:rsidRPr="00F03D51">
        <w:t>y</w:t>
      </w:r>
      <w:r w:rsidRPr="00F03D51">
        <w:t xml:space="preserve"> in relation to a period of absence because of the operation of subparagraph (1)(b)(ii) of this item, </w:t>
      </w:r>
      <w:r w:rsidR="003019E2" w:rsidRPr="00F03D51">
        <w:t>then, at the commencement of this subitem, a</w:t>
      </w:r>
      <w:r w:rsidRPr="00F03D51">
        <w:t xml:space="preserve"> reference to 26 weeks in paragraph 1220A(1)(a) of that Act, and each reference to 26 weeks in </w:t>
      </w:r>
      <w:r w:rsidR="00270ECA" w:rsidRPr="00F03D51">
        <w:t>subsection 1</w:t>
      </w:r>
      <w:r w:rsidRPr="00F03D51">
        <w:t>220A(1A) of that Act, is taken to be a reference to that other number of weeks.</w:t>
      </w:r>
    </w:p>
    <w:p w14:paraId="0AC1226A" w14:textId="77777777" w:rsidR="00FA5E88" w:rsidRPr="00F03D51" w:rsidRDefault="00C87F9F" w:rsidP="00F03D51">
      <w:pPr>
        <w:pStyle w:val="Transitional"/>
      </w:pPr>
      <w:r w:rsidRPr="00F03D51">
        <w:lastRenderedPageBreak/>
        <w:t>14</w:t>
      </w:r>
      <w:r w:rsidR="00FA5E88" w:rsidRPr="00F03D51">
        <w:t xml:space="preserve">  </w:t>
      </w:r>
      <w:r w:rsidR="0085431E" w:rsidRPr="00F03D51">
        <w:t>Application and transitional provisions</w:t>
      </w:r>
      <w:r w:rsidR="00FA5E88" w:rsidRPr="00F03D51">
        <w:t>—disability support pension rate for a severely disabled person</w:t>
      </w:r>
    </w:p>
    <w:p w14:paraId="2E51EE09" w14:textId="77777777" w:rsidR="00FA5E88" w:rsidRPr="00F03D51" w:rsidRDefault="00FA5E88" w:rsidP="00F03D51">
      <w:pPr>
        <w:pStyle w:val="Subitem"/>
      </w:pPr>
      <w:r w:rsidRPr="00F03D51">
        <w:t>(1)</w:t>
      </w:r>
      <w:r w:rsidRPr="00F03D51">
        <w:tab/>
        <w:t>The amendment</w:t>
      </w:r>
      <w:r w:rsidR="00134C36" w:rsidRPr="00F03D51">
        <w:t>s</w:t>
      </w:r>
      <w:r w:rsidRPr="00F03D51">
        <w:t xml:space="preserve"> of section 1220B of the </w:t>
      </w:r>
      <w:r w:rsidRPr="00F03D51">
        <w:rPr>
          <w:i/>
        </w:rPr>
        <w:t xml:space="preserve">Social Security Act 1991 </w:t>
      </w:r>
      <w:r w:rsidRPr="00F03D51">
        <w:t xml:space="preserve">made by this </w:t>
      </w:r>
      <w:r w:rsidR="00134C36" w:rsidRPr="00F03D51">
        <w:t>Schedule</w:t>
      </w:r>
      <w:r w:rsidRPr="00F03D51">
        <w:t xml:space="preserve"> appl</w:t>
      </w:r>
      <w:r w:rsidR="00134C36" w:rsidRPr="00F03D51">
        <w:t>y</w:t>
      </w:r>
      <w:r w:rsidRPr="00F03D51">
        <w:t xml:space="preserve"> in relation to the following:</w:t>
      </w:r>
    </w:p>
    <w:p w14:paraId="1825AB95" w14:textId="77777777" w:rsidR="00FA5E88" w:rsidRPr="00F03D51" w:rsidRDefault="00FA5E88" w:rsidP="00F03D51">
      <w:pPr>
        <w:pStyle w:val="paragraph"/>
      </w:pPr>
      <w:r w:rsidRPr="00F03D51">
        <w:tab/>
        <w:t>(a)</w:t>
      </w:r>
      <w:r w:rsidRPr="00F03D51">
        <w:tab/>
        <w:t>a period of absence from Australia starting on or after the commencement of this item;</w:t>
      </w:r>
    </w:p>
    <w:p w14:paraId="78344493" w14:textId="77777777" w:rsidR="00062A3D" w:rsidRPr="00F03D51" w:rsidRDefault="00062A3D" w:rsidP="00F03D51">
      <w:pPr>
        <w:pStyle w:val="paragraph"/>
      </w:pPr>
      <w:r w:rsidRPr="00F03D51">
        <w:tab/>
        <w:t>(b)</w:t>
      </w:r>
      <w:r w:rsidRPr="00F03D51">
        <w:tab/>
        <w:t>a period of absence from Australia starting before that commencement, where the person is absent from Australia immediately before that commencement and where:</w:t>
      </w:r>
    </w:p>
    <w:p w14:paraId="0837A641" w14:textId="77777777" w:rsidR="00062A3D" w:rsidRPr="00F03D51" w:rsidRDefault="00062A3D" w:rsidP="00F03D51">
      <w:pPr>
        <w:pStyle w:val="paragraphsub"/>
      </w:pPr>
      <w:r w:rsidRPr="00F03D51">
        <w:tab/>
        <w:t>(</w:t>
      </w:r>
      <w:proofErr w:type="spellStart"/>
      <w:r w:rsidRPr="00F03D51">
        <w:t>i</w:t>
      </w:r>
      <w:proofErr w:type="spellEnd"/>
      <w:r w:rsidRPr="00F03D51">
        <w:t>)</w:t>
      </w:r>
      <w:r w:rsidRPr="00F03D51">
        <w:tab/>
        <w:t>the 26 weeks mentioned in paragraph 1220B(1)(a) of that Act had not ended immediately before that commencement; or</w:t>
      </w:r>
    </w:p>
    <w:p w14:paraId="59F1BFFD" w14:textId="77777777" w:rsidR="00062A3D" w:rsidRPr="00F03D51" w:rsidRDefault="00062A3D" w:rsidP="00F03D51">
      <w:pPr>
        <w:pStyle w:val="paragraphsub"/>
      </w:pPr>
      <w:r w:rsidRPr="00F03D51">
        <w:tab/>
        <w:t>(ii)</w:t>
      </w:r>
      <w:r w:rsidRPr="00F03D51">
        <w:tab/>
        <w:t xml:space="preserve">under </w:t>
      </w:r>
      <w:r w:rsidR="00270ECA" w:rsidRPr="00F03D51">
        <w:t>subsection 1</w:t>
      </w:r>
      <w:r w:rsidRPr="00F03D51">
        <w:t>220B(3) of that Act, as in force before 1 July 2021, the Secretary had determined another number of weeks with the result that the period referred to in paragraph 1220B(1)(a) of that Act</w:t>
      </w:r>
      <w:r w:rsidRPr="00F03D51">
        <w:rPr>
          <w:i/>
        </w:rPr>
        <w:t xml:space="preserve"> </w:t>
      </w:r>
      <w:r w:rsidRPr="00F03D51">
        <w:t>ended at the end of 30 June 2021.</w:t>
      </w:r>
    </w:p>
    <w:p w14:paraId="2A5F257A" w14:textId="77777777" w:rsidR="00FA5E88" w:rsidRPr="00F03D51" w:rsidRDefault="00FA5E88" w:rsidP="00F03D51">
      <w:pPr>
        <w:pStyle w:val="Subitem"/>
      </w:pPr>
      <w:r w:rsidRPr="00F03D51">
        <w:t>(2)</w:t>
      </w:r>
      <w:r w:rsidRPr="00F03D51">
        <w:tab/>
        <w:t>If the amendment</w:t>
      </w:r>
      <w:r w:rsidR="00D6260B" w:rsidRPr="00F03D51">
        <w:t>s</w:t>
      </w:r>
      <w:r w:rsidRPr="00F03D51">
        <w:t xml:space="preserve"> of section 1220B of the </w:t>
      </w:r>
      <w:r w:rsidRPr="00F03D51">
        <w:rPr>
          <w:i/>
        </w:rPr>
        <w:t xml:space="preserve">Social Security Act 1991 </w:t>
      </w:r>
      <w:r w:rsidRPr="00F03D51">
        <w:t xml:space="preserve">made by this </w:t>
      </w:r>
      <w:r w:rsidR="00F26C46" w:rsidRPr="00F03D51">
        <w:t>Schedule</w:t>
      </w:r>
      <w:r w:rsidRPr="00F03D51">
        <w:t xml:space="preserve"> appl</w:t>
      </w:r>
      <w:r w:rsidR="008F2D12" w:rsidRPr="00F03D51">
        <w:t>y</w:t>
      </w:r>
      <w:r w:rsidRPr="00F03D51">
        <w:t xml:space="preserve"> in relation to a period of absence because of the operation of subparagraph (1)(b)(ii) of this item, </w:t>
      </w:r>
      <w:r w:rsidR="003019E2" w:rsidRPr="00F03D51">
        <w:t>then, at the commencement of this subitem, a</w:t>
      </w:r>
      <w:r w:rsidRPr="00F03D51">
        <w:t xml:space="preserve"> reference to 26 weeks in paragraph 1220B(1)(a) of that Act, and each reference to 26 weeks in </w:t>
      </w:r>
      <w:r w:rsidR="00270ECA" w:rsidRPr="00F03D51">
        <w:t>subsection 1</w:t>
      </w:r>
      <w:r w:rsidRPr="00F03D51">
        <w:t>220B(1A) of that Act, is taken to be a reference to that other number of weeks.</w:t>
      </w:r>
    </w:p>
    <w:p w14:paraId="1F2D879F" w14:textId="77777777" w:rsidR="00FA5E88" w:rsidRPr="00F03D51" w:rsidRDefault="00C87F9F" w:rsidP="00F03D51">
      <w:pPr>
        <w:pStyle w:val="Transitional"/>
      </w:pPr>
      <w:r w:rsidRPr="00F03D51">
        <w:t>15</w:t>
      </w:r>
      <w:r w:rsidR="00FA5E88" w:rsidRPr="00F03D51">
        <w:t xml:space="preserve">  </w:t>
      </w:r>
      <w:r w:rsidR="007C4D67" w:rsidRPr="00F03D51">
        <w:t>Application and transitional provisions</w:t>
      </w:r>
      <w:r w:rsidR="00FA5E88" w:rsidRPr="00F03D51">
        <w:t>—portability rules relating to rates of pension</w:t>
      </w:r>
    </w:p>
    <w:p w14:paraId="30B8B17C" w14:textId="77777777" w:rsidR="00BC7C58" w:rsidRPr="00F03D51" w:rsidRDefault="00BC7C58" w:rsidP="00F03D51">
      <w:pPr>
        <w:pStyle w:val="Subitem"/>
      </w:pPr>
      <w:r w:rsidRPr="00F03D51">
        <w:t>(1)</w:t>
      </w:r>
      <w:r w:rsidRPr="00F03D51">
        <w:tab/>
        <w:t>The amendment</w:t>
      </w:r>
      <w:r w:rsidR="00134C36" w:rsidRPr="00F03D51">
        <w:t>s</w:t>
      </w:r>
      <w:r w:rsidRPr="00F03D51">
        <w:t xml:space="preserve"> of clause 128 of </w:t>
      </w:r>
      <w:r w:rsidR="00270ECA" w:rsidRPr="00F03D51">
        <w:t>Schedule 1</w:t>
      </w:r>
      <w:r w:rsidRPr="00F03D51">
        <w:t xml:space="preserve">A to the </w:t>
      </w:r>
      <w:r w:rsidRPr="00F03D51">
        <w:rPr>
          <w:i/>
        </w:rPr>
        <w:t xml:space="preserve">Social Security Act 1991 </w:t>
      </w:r>
      <w:r w:rsidRPr="00F03D51">
        <w:t xml:space="preserve">made by this </w:t>
      </w:r>
      <w:r w:rsidR="00134C36" w:rsidRPr="00F03D51">
        <w:t>Schedule</w:t>
      </w:r>
      <w:r w:rsidRPr="00F03D51">
        <w:t xml:space="preserve"> appl</w:t>
      </w:r>
      <w:r w:rsidR="00134C36" w:rsidRPr="00F03D51">
        <w:t>y</w:t>
      </w:r>
      <w:r w:rsidRPr="00F03D51">
        <w:t xml:space="preserve"> in relation to the following:</w:t>
      </w:r>
    </w:p>
    <w:p w14:paraId="387DA9E7" w14:textId="77777777" w:rsidR="00BC7C58" w:rsidRPr="00F03D51" w:rsidRDefault="00BC7C58" w:rsidP="00F03D51">
      <w:pPr>
        <w:pStyle w:val="paragraph"/>
      </w:pPr>
      <w:r w:rsidRPr="00F03D51">
        <w:tab/>
        <w:t>(a)</w:t>
      </w:r>
      <w:r w:rsidRPr="00F03D51">
        <w:tab/>
        <w:t>a period of return to Australia starting on or after the commencement of this item;</w:t>
      </w:r>
    </w:p>
    <w:p w14:paraId="47EBE42D" w14:textId="77777777" w:rsidR="00BC7C58" w:rsidRPr="00F03D51" w:rsidRDefault="00BC7C58" w:rsidP="00F03D51">
      <w:pPr>
        <w:pStyle w:val="paragraph"/>
      </w:pPr>
      <w:r w:rsidRPr="00F03D51">
        <w:tab/>
        <w:t>(b)</w:t>
      </w:r>
      <w:r w:rsidRPr="00F03D51">
        <w:tab/>
        <w:t xml:space="preserve">a period of </w:t>
      </w:r>
      <w:r w:rsidR="00134C36" w:rsidRPr="00F03D51">
        <w:t>return to</w:t>
      </w:r>
      <w:r w:rsidRPr="00F03D51">
        <w:t xml:space="preserve"> Australia starting before that commencement, where the person is </w:t>
      </w:r>
      <w:r w:rsidR="00134C36" w:rsidRPr="00F03D51">
        <w:t>in</w:t>
      </w:r>
      <w:r w:rsidRPr="00F03D51">
        <w:t xml:space="preserve"> Australia immediately before that commencement and where:</w:t>
      </w:r>
    </w:p>
    <w:p w14:paraId="3F9D6358" w14:textId="77777777" w:rsidR="00BC7C58" w:rsidRPr="00F03D51" w:rsidRDefault="00BC7C58" w:rsidP="00F03D51">
      <w:pPr>
        <w:pStyle w:val="paragraphsub"/>
      </w:pPr>
      <w:r w:rsidRPr="00F03D51">
        <w:tab/>
        <w:t>(</w:t>
      </w:r>
      <w:proofErr w:type="spellStart"/>
      <w:r w:rsidRPr="00F03D51">
        <w:t>i</w:t>
      </w:r>
      <w:proofErr w:type="spellEnd"/>
      <w:r w:rsidRPr="00F03D51">
        <w:t>)</w:t>
      </w:r>
      <w:r w:rsidRPr="00F03D51">
        <w:tab/>
        <w:t>the 26 weeks mentioned in paragraph </w:t>
      </w:r>
      <w:r w:rsidR="00134C36" w:rsidRPr="00F03D51">
        <w:t xml:space="preserve">128(1)(b) of </w:t>
      </w:r>
      <w:r w:rsidR="00270ECA" w:rsidRPr="00F03D51">
        <w:t>Schedule 1</w:t>
      </w:r>
      <w:r w:rsidR="00134C36" w:rsidRPr="00F03D51">
        <w:t>A to that Act</w:t>
      </w:r>
      <w:r w:rsidRPr="00F03D51">
        <w:t xml:space="preserve"> had not ended immediately before that commencement; or</w:t>
      </w:r>
    </w:p>
    <w:p w14:paraId="13F90E5F" w14:textId="77777777" w:rsidR="00BC7C58" w:rsidRPr="00F03D51" w:rsidRDefault="00BC7C58" w:rsidP="00F03D51">
      <w:pPr>
        <w:pStyle w:val="paragraphsub"/>
      </w:pPr>
      <w:r w:rsidRPr="00F03D51">
        <w:lastRenderedPageBreak/>
        <w:tab/>
        <w:t>(ii)</w:t>
      </w:r>
      <w:r w:rsidRPr="00F03D51">
        <w:tab/>
        <w:t xml:space="preserve">under </w:t>
      </w:r>
      <w:r w:rsidR="00C87F9F" w:rsidRPr="00F03D51">
        <w:t>subclause</w:t>
      </w:r>
      <w:r w:rsidRPr="00F03D51">
        <w:t> 12</w:t>
      </w:r>
      <w:r w:rsidR="00134C36" w:rsidRPr="00F03D51">
        <w:t>8(4)</w:t>
      </w:r>
      <w:r w:rsidRPr="00F03D51">
        <w:t xml:space="preserve"> of </w:t>
      </w:r>
      <w:r w:rsidR="00270ECA" w:rsidRPr="00F03D51">
        <w:t>Schedule 1</w:t>
      </w:r>
      <w:r w:rsidR="00134C36" w:rsidRPr="00F03D51">
        <w:t>A to that Act</w:t>
      </w:r>
      <w:r w:rsidRPr="00F03D51">
        <w:t xml:space="preserve">, as in force before 1 July 2021, the Secretary had determined another number of weeks with the result that the period referred to in </w:t>
      </w:r>
      <w:r w:rsidR="00D6260B" w:rsidRPr="00F03D51">
        <w:t xml:space="preserve">paragraph 128(1)(b) of </w:t>
      </w:r>
      <w:r w:rsidRPr="00F03D51">
        <w:t xml:space="preserve">that </w:t>
      </w:r>
      <w:r w:rsidR="00D6260B" w:rsidRPr="00F03D51">
        <w:t>Schedule</w:t>
      </w:r>
      <w:r w:rsidRPr="00F03D51">
        <w:rPr>
          <w:i/>
        </w:rPr>
        <w:t xml:space="preserve"> </w:t>
      </w:r>
      <w:r w:rsidRPr="00F03D51">
        <w:t>ended at the end of 30 June 2021.</w:t>
      </w:r>
    </w:p>
    <w:p w14:paraId="54A91F76" w14:textId="7534AC4B" w:rsidR="00FA5E88" w:rsidRDefault="00FA5E88" w:rsidP="00F03D51">
      <w:pPr>
        <w:pStyle w:val="Subitem"/>
      </w:pPr>
      <w:r w:rsidRPr="00F03D51">
        <w:t>(2)</w:t>
      </w:r>
      <w:r w:rsidRPr="00F03D51">
        <w:tab/>
        <w:t>If the amendment</w:t>
      </w:r>
      <w:r w:rsidR="00D6260B" w:rsidRPr="00F03D51">
        <w:t>s</w:t>
      </w:r>
      <w:r w:rsidRPr="00F03D51">
        <w:t xml:space="preserve"> of clause 128 of </w:t>
      </w:r>
      <w:r w:rsidR="00270ECA" w:rsidRPr="00F03D51">
        <w:t>Schedule 1</w:t>
      </w:r>
      <w:r w:rsidRPr="00F03D51">
        <w:t xml:space="preserve">A to the </w:t>
      </w:r>
      <w:r w:rsidRPr="00F03D51">
        <w:rPr>
          <w:i/>
        </w:rPr>
        <w:t xml:space="preserve">Social Security Act 1991 </w:t>
      </w:r>
      <w:r w:rsidRPr="00F03D51">
        <w:t xml:space="preserve">made by this </w:t>
      </w:r>
      <w:r w:rsidR="00F26C46" w:rsidRPr="00F03D51">
        <w:t>Schedule</w:t>
      </w:r>
      <w:r w:rsidRPr="00F03D51">
        <w:t xml:space="preserve"> appl</w:t>
      </w:r>
      <w:r w:rsidR="00D6260B" w:rsidRPr="00F03D51">
        <w:t>y</w:t>
      </w:r>
      <w:r w:rsidRPr="00F03D51">
        <w:t xml:space="preserve"> in relation to a period of return because of the operation of subparagraph (1)(b)(ii) of this item, </w:t>
      </w:r>
      <w:r w:rsidR="003019E2" w:rsidRPr="00F03D51">
        <w:t>then, at the commencement of this subitem, a</w:t>
      </w:r>
      <w:r w:rsidRPr="00F03D51">
        <w:t xml:space="preserve"> reference to 26 weeks in paragraph 128(1)(b) of </w:t>
      </w:r>
      <w:r w:rsidR="00270ECA" w:rsidRPr="00F03D51">
        <w:t>Schedule 1</w:t>
      </w:r>
      <w:r w:rsidR="00F26C46" w:rsidRPr="00F03D51">
        <w:t>A to that Act</w:t>
      </w:r>
      <w:r w:rsidRPr="00F03D51">
        <w:t xml:space="preserve">, and each reference to 26 </w:t>
      </w:r>
      <w:bookmarkStart w:id="12" w:name="opcCurrentPosition"/>
      <w:bookmarkEnd w:id="12"/>
      <w:r w:rsidRPr="00F03D51">
        <w:t xml:space="preserve">weeks in </w:t>
      </w:r>
      <w:r w:rsidR="003E7726" w:rsidRPr="00F03D51">
        <w:t>subclause 1</w:t>
      </w:r>
      <w:r w:rsidRPr="00F03D51">
        <w:t xml:space="preserve">28(1A) of </w:t>
      </w:r>
      <w:r w:rsidR="00270ECA" w:rsidRPr="00F03D51">
        <w:t>Schedule 1</w:t>
      </w:r>
      <w:r w:rsidR="00F26C46" w:rsidRPr="00F03D51">
        <w:t>A to that Act</w:t>
      </w:r>
      <w:r w:rsidRPr="00F03D51">
        <w:t>, is taken to b</w:t>
      </w:r>
      <w:r w:rsidR="00F26C46" w:rsidRPr="00F03D51">
        <w:t>e</w:t>
      </w:r>
      <w:r w:rsidRPr="00F03D51">
        <w:t xml:space="preserve"> a reference to that other number of weeks.</w:t>
      </w:r>
    </w:p>
    <w:p w14:paraId="57F75BA2" w14:textId="77777777" w:rsidR="00FF28E6" w:rsidRPr="00F02B56" w:rsidRDefault="00FF28E6" w:rsidP="00FF28E6"/>
    <w:p w14:paraId="47834306" w14:textId="77777777" w:rsidR="00FF28E6" w:rsidRDefault="00FF28E6" w:rsidP="00FF28E6">
      <w:pPr>
        <w:pStyle w:val="AssentBk"/>
        <w:keepNext/>
      </w:pPr>
    </w:p>
    <w:p w14:paraId="11AF099C" w14:textId="77777777" w:rsidR="00FF28E6" w:rsidRDefault="00FF28E6" w:rsidP="00FF28E6">
      <w:pPr>
        <w:pStyle w:val="AssentBk"/>
        <w:keepNext/>
      </w:pPr>
    </w:p>
    <w:p w14:paraId="031063A4" w14:textId="77777777" w:rsidR="00FF28E6" w:rsidRDefault="00FF28E6" w:rsidP="00FF28E6">
      <w:pPr>
        <w:pStyle w:val="2ndRd"/>
        <w:keepNext/>
        <w:pBdr>
          <w:top w:val="single" w:sz="2" w:space="1" w:color="auto"/>
        </w:pBdr>
      </w:pPr>
    </w:p>
    <w:p w14:paraId="53EF7F39" w14:textId="77777777" w:rsidR="00FF28E6" w:rsidRDefault="00FF28E6" w:rsidP="000C5962">
      <w:pPr>
        <w:pStyle w:val="2ndRd"/>
        <w:keepNext/>
        <w:spacing w:line="260" w:lineRule="atLeast"/>
        <w:rPr>
          <w:i/>
        </w:rPr>
      </w:pPr>
      <w:r>
        <w:t>[</w:t>
      </w:r>
      <w:r>
        <w:rPr>
          <w:i/>
        </w:rPr>
        <w:t>Minister’s second reading speech made in—</w:t>
      </w:r>
    </w:p>
    <w:p w14:paraId="25F093C3" w14:textId="7F77EA23" w:rsidR="00FF28E6" w:rsidRDefault="00FF28E6" w:rsidP="000C5962">
      <w:pPr>
        <w:pStyle w:val="2ndRd"/>
        <w:keepNext/>
        <w:spacing w:line="260" w:lineRule="atLeast"/>
        <w:rPr>
          <w:i/>
        </w:rPr>
      </w:pPr>
      <w:r>
        <w:rPr>
          <w:i/>
        </w:rPr>
        <w:t>House of Representatives on 27 May 2021</w:t>
      </w:r>
    </w:p>
    <w:p w14:paraId="19616274" w14:textId="4808B0DE" w:rsidR="00FF28E6" w:rsidRDefault="00FF28E6" w:rsidP="000C5962">
      <w:pPr>
        <w:pStyle w:val="2ndRd"/>
        <w:keepNext/>
        <w:spacing w:line="260" w:lineRule="atLeast"/>
        <w:rPr>
          <w:i/>
        </w:rPr>
      </w:pPr>
      <w:r>
        <w:rPr>
          <w:i/>
        </w:rPr>
        <w:t>Senate on 17 June 2021</w:t>
      </w:r>
      <w:r>
        <w:t>]</w:t>
      </w:r>
    </w:p>
    <w:p w14:paraId="480AC1F9" w14:textId="77777777" w:rsidR="00FF28E6" w:rsidRDefault="00FF28E6" w:rsidP="000C5962"/>
    <w:p w14:paraId="1D7C74C4" w14:textId="19821A8B" w:rsidR="00A45E43" w:rsidRPr="00FF28E6" w:rsidRDefault="00FF28E6" w:rsidP="00FF28E6">
      <w:pPr>
        <w:framePr w:hSpace="180" w:wrap="around" w:vAnchor="text" w:hAnchor="page" w:x="2410" w:y="5017"/>
      </w:pPr>
      <w:r>
        <w:t>(65/21)</w:t>
      </w:r>
    </w:p>
    <w:p w14:paraId="23C3618D" w14:textId="77777777" w:rsidR="00FF28E6" w:rsidRDefault="00FF28E6"/>
    <w:sectPr w:rsidR="00FF28E6" w:rsidSect="00A45E43">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51C8F" w14:textId="77777777" w:rsidR="003019E2" w:rsidRDefault="003019E2" w:rsidP="0048364F">
      <w:pPr>
        <w:spacing w:line="240" w:lineRule="auto"/>
      </w:pPr>
      <w:r>
        <w:separator/>
      </w:r>
    </w:p>
  </w:endnote>
  <w:endnote w:type="continuationSeparator" w:id="0">
    <w:p w14:paraId="2BC24E14" w14:textId="77777777" w:rsidR="003019E2" w:rsidRDefault="003019E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9D72" w14:textId="77777777" w:rsidR="003019E2" w:rsidRPr="005F1388" w:rsidRDefault="003019E2" w:rsidP="00F03D5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9884" w14:textId="0ED84730" w:rsidR="00FF28E6" w:rsidRDefault="00FF28E6" w:rsidP="00CD12A5">
    <w:pPr>
      <w:pStyle w:val="ScalePlusRef"/>
    </w:pPr>
    <w:r>
      <w:t>Note: An electronic version of this Act is available on the Federal Register of Legislation (</w:t>
    </w:r>
    <w:hyperlink r:id="rId1" w:history="1">
      <w:r>
        <w:t>https://www.legislation.gov.au/</w:t>
      </w:r>
    </w:hyperlink>
    <w:r>
      <w:t>)</w:t>
    </w:r>
  </w:p>
  <w:p w14:paraId="20E1BB39" w14:textId="77777777" w:rsidR="00FF28E6" w:rsidRDefault="00FF28E6" w:rsidP="00CD12A5"/>
  <w:p w14:paraId="079F22B1" w14:textId="101B6D73" w:rsidR="003019E2" w:rsidRDefault="003019E2" w:rsidP="00F03D51">
    <w:pPr>
      <w:pStyle w:val="Footer"/>
      <w:spacing w:before="120"/>
    </w:pPr>
  </w:p>
  <w:p w14:paraId="7F0283F7" w14:textId="77777777" w:rsidR="003019E2" w:rsidRPr="005F1388" w:rsidRDefault="003019E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EC32" w14:textId="77777777" w:rsidR="003019E2" w:rsidRPr="00ED79B6" w:rsidRDefault="003019E2" w:rsidP="00F03D5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55F6" w14:textId="77777777" w:rsidR="003019E2" w:rsidRDefault="003019E2" w:rsidP="00F03D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019E2" w14:paraId="0A103824" w14:textId="77777777" w:rsidTr="0032089E">
      <w:tc>
        <w:tcPr>
          <w:tcW w:w="646" w:type="dxa"/>
        </w:tcPr>
        <w:p w14:paraId="06308AB9" w14:textId="77777777" w:rsidR="003019E2" w:rsidRDefault="003019E2" w:rsidP="0032089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07F7">
            <w:rPr>
              <w:i/>
              <w:noProof/>
              <w:sz w:val="18"/>
            </w:rPr>
            <w:t>ix</w:t>
          </w:r>
          <w:r w:rsidRPr="00ED79B6">
            <w:rPr>
              <w:i/>
              <w:sz w:val="18"/>
            </w:rPr>
            <w:fldChar w:fldCharType="end"/>
          </w:r>
        </w:p>
      </w:tc>
      <w:tc>
        <w:tcPr>
          <w:tcW w:w="5387" w:type="dxa"/>
        </w:tcPr>
        <w:p w14:paraId="0F469235" w14:textId="15B7515F" w:rsidR="003019E2" w:rsidRDefault="003019E2" w:rsidP="0032089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06D84">
            <w:rPr>
              <w:i/>
              <w:sz w:val="18"/>
            </w:rPr>
            <w:t>Social Services Legislation Amendment (Portability Extensions) Act 2021</w:t>
          </w:r>
          <w:r w:rsidRPr="00ED79B6">
            <w:rPr>
              <w:i/>
              <w:sz w:val="18"/>
            </w:rPr>
            <w:fldChar w:fldCharType="end"/>
          </w:r>
        </w:p>
      </w:tc>
      <w:tc>
        <w:tcPr>
          <w:tcW w:w="1270" w:type="dxa"/>
        </w:tcPr>
        <w:p w14:paraId="2163BB2C" w14:textId="494D63C2" w:rsidR="003019E2" w:rsidRDefault="003019E2" w:rsidP="0032089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06D84">
            <w:rPr>
              <w:i/>
              <w:sz w:val="18"/>
            </w:rPr>
            <w:t>No. 53, 2021</w:t>
          </w:r>
          <w:r w:rsidRPr="00ED79B6">
            <w:rPr>
              <w:i/>
              <w:sz w:val="18"/>
            </w:rPr>
            <w:fldChar w:fldCharType="end"/>
          </w:r>
        </w:p>
      </w:tc>
    </w:tr>
  </w:tbl>
  <w:p w14:paraId="2B46768D" w14:textId="77777777" w:rsidR="003019E2" w:rsidRDefault="003019E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D99F" w14:textId="77777777" w:rsidR="003019E2" w:rsidRDefault="003019E2" w:rsidP="00F03D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019E2" w14:paraId="39697278" w14:textId="77777777" w:rsidTr="0032089E">
      <w:tc>
        <w:tcPr>
          <w:tcW w:w="1247" w:type="dxa"/>
        </w:tcPr>
        <w:p w14:paraId="2B5F6E99" w14:textId="4EB69BFE" w:rsidR="003019E2" w:rsidRDefault="003019E2" w:rsidP="0032089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06D84">
            <w:rPr>
              <w:i/>
              <w:sz w:val="18"/>
            </w:rPr>
            <w:t>No. 53, 2021</w:t>
          </w:r>
          <w:r w:rsidRPr="00ED79B6">
            <w:rPr>
              <w:i/>
              <w:sz w:val="18"/>
            </w:rPr>
            <w:fldChar w:fldCharType="end"/>
          </w:r>
        </w:p>
      </w:tc>
      <w:tc>
        <w:tcPr>
          <w:tcW w:w="5387" w:type="dxa"/>
        </w:tcPr>
        <w:p w14:paraId="0722A227" w14:textId="4E1DBF14" w:rsidR="003019E2" w:rsidRDefault="003019E2" w:rsidP="0032089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06D84">
            <w:rPr>
              <w:i/>
              <w:sz w:val="18"/>
            </w:rPr>
            <w:t>Social Services Legislation Amendment (Portability Extensions) Act 2021</w:t>
          </w:r>
          <w:r w:rsidRPr="00ED79B6">
            <w:rPr>
              <w:i/>
              <w:sz w:val="18"/>
            </w:rPr>
            <w:fldChar w:fldCharType="end"/>
          </w:r>
        </w:p>
      </w:tc>
      <w:tc>
        <w:tcPr>
          <w:tcW w:w="669" w:type="dxa"/>
        </w:tcPr>
        <w:p w14:paraId="56B358FB" w14:textId="77777777" w:rsidR="003019E2" w:rsidRDefault="003019E2" w:rsidP="0032089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1736">
            <w:rPr>
              <w:i/>
              <w:noProof/>
              <w:sz w:val="18"/>
            </w:rPr>
            <w:t>i</w:t>
          </w:r>
          <w:r w:rsidRPr="00ED79B6">
            <w:rPr>
              <w:i/>
              <w:sz w:val="18"/>
            </w:rPr>
            <w:fldChar w:fldCharType="end"/>
          </w:r>
        </w:p>
      </w:tc>
    </w:tr>
  </w:tbl>
  <w:p w14:paraId="1D5944E8" w14:textId="77777777" w:rsidR="003019E2" w:rsidRPr="00ED79B6" w:rsidRDefault="003019E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CC29" w14:textId="77777777" w:rsidR="003019E2" w:rsidRPr="00A961C4" w:rsidRDefault="003019E2" w:rsidP="00F03D5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019E2" w14:paraId="4DC648EC" w14:textId="77777777" w:rsidTr="003E761A">
      <w:tc>
        <w:tcPr>
          <w:tcW w:w="646" w:type="dxa"/>
        </w:tcPr>
        <w:p w14:paraId="32040BD3" w14:textId="77777777" w:rsidR="003019E2" w:rsidRDefault="003019E2" w:rsidP="0032089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C1736">
            <w:rPr>
              <w:i/>
              <w:noProof/>
              <w:sz w:val="18"/>
            </w:rPr>
            <w:t>14</w:t>
          </w:r>
          <w:r w:rsidRPr="007A1328">
            <w:rPr>
              <w:i/>
              <w:sz w:val="18"/>
            </w:rPr>
            <w:fldChar w:fldCharType="end"/>
          </w:r>
        </w:p>
      </w:tc>
      <w:tc>
        <w:tcPr>
          <w:tcW w:w="5387" w:type="dxa"/>
        </w:tcPr>
        <w:p w14:paraId="604669B4" w14:textId="6BF4EACD" w:rsidR="003019E2" w:rsidRDefault="003019E2" w:rsidP="0032089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6D84">
            <w:rPr>
              <w:i/>
              <w:sz w:val="18"/>
            </w:rPr>
            <w:t>Social Services Legislation Amendment (Portability Extensions) Act 2021</w:t>
          </w:r>
          <w:r w:rsidRPr="007A1328">
            <w:rPr>
              <w:i/>
              <w:sz w:val="18"/>
            </w:rPr>
            <w:fldChar w:fldCharType="end"/>
          </w:r>
        </w:p>
      </w:tc>
      <w:tc>
        <w:tcPr>
          <w:tcW w:w="1270" w:type="dxa"/>
        </w:tcPr>
        <w:p w14:paraId="0852063F" w14:textId="0ADF34C6" w:rsidR="003019E2" w:rsidRDefault="003019E2" w:rsidP="0032089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6D84">
            <w:rPr>
              <w:i/>
              <w:sz w:val="18"/>
            </w:rPr>
            <w:t>No. 53, 2021</w:t>
          </w:r>
          <w:r w:rsidRPr="007A1328">
            <w:rPr>
              <w:i/>
              <w:sz w:val="18"/>
            </w:rPr>
            <w:fldChar w:fldCharType="end"/>
          </w:r>
        </w:p>
      </w:tc>
    </w:tr>
  </w:tbl>
  <w:p w14:paraId="4AE85BC0" w14:textId="77777777" w:rsidR="003019E2" w:rsidRPr="00A961C4" w:rsidRDefault="003019E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D05DE" w14:textId="77777777" w:rsidR="003019E2" w:rsidRPr="00A961C4" w:rsidRDefault="003019E2" w:rsidP="00F03D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019E2" w14:paraId="106885CD" w14:textId="77777777" w:rsidTr="003E761A">
      <w:tc>
        <w:tcPr>
          <w:tcW w:w="1247" w:type="dxa"/>
        </w:tcPr>
        <w:p w14:paraId="5956F721" w14:textId="2E5782D6" w:rsidR="003019E2" w:rsidRDefault="003019E2" w:rsidP="0032089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6D84">
            <w:rPr>
              <w:i/>
              <w:sz w:val="18"/>
            </w:rPr>
            <w:t>No. 53, 2021</w:t>
          </w:r>
          <w:r w:rsidRPr="007A1328">
            <w:rPr>
              <w:i/>
              <w:sz w:val="18"/>
            </w:rPr>
            <w:fldChar w:fldCharType="end"/>
          </w:r>
        </w:p>
      </w:tc>
      <w:tc>
        <w:tcPr>
          <w:tcW w:w="5387" w:type="dxa"/>
        </w:tcPr>
        <w:p w14:paraId="785392E3" w14:textId="1BEDE1AE" w:rsidR="003019E2" w:rsidRDefault="003019E2" w:rsidP="0032089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6D84">
            <w:rPr>
              <w:i/>
              <w:sz w:val="18"/>
            </w:rPr>
            <w:t>Social Services Legislation Amendment (Portability Extensions) Act 2021</w:t>
          </w:r>
          <w:r w:rsidRPr="007A1328">
            <w:rPr>
              <w:i/>
              <w:sz w:val="18"/>
            </w:rPr>
            <w:fldChar w:fldCharType="end"/>
          </w:r>
        </w:p>
      </w:tc>
      <w:tc>
        <w:tcPr>
          <w:tcW w:w="669" w:type="dxa"/>
        </w:tcPr>
        <w:p w14:paraId="39370FDE" w14:textId="77777777" w:rsidR="003019E2" w:rsidRDefault="003019E2" w:rsidP="0032089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C1736">
            <w:rPr>
              <w:i/>
              <w:noProof/>
              <w:sz w:val="18"/>
            </w:rPr>
            <w:t>15</w:t>
          </w:r>
          <w:r w:rsidRPr="007A1328">
            <w:rPr>
              <w:i/>
              <w:sz w:val="18"/>
            </w:rPr>
            <w:fldChar w:fldCharType="end"/>
          </w:r>
        </w:p>
      </w:tc>
    </w:tr>
  </w:tbl>
  <w:p w14:paraId="14E1CE43" w14:textId="77777777" w:rsidR="003019E2" w:rsidRPr="00055B5C" w:rsidRDefault="003019E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7AC52" w14:textId="77777777" w:rsidR="003019E2" w:rsidRPr="00A961C4" w:rsidRDefault="003019E2" w:rsidP="00F03D5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3019E2" w14:paraId="20BDFCA0" w14:textId="77777777" w:rsidTr="003E761A">
      <w:tc>
        <w:tcPr>
          <w:tcW w:w="1247" w:type="dxa"/>
        </w:tcPr>
        <w:p w14:paraId="6D8AB55B" w14:textId="3E2BF0F1" w:rsidR="003019E2" w:rsidRDefault="003019E2" w:rsidP="0032089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6D84">
            <w:rPr>
              <w:i/>
              <w:sz w:val="18"/>
            </w:rPr>
            <w:t>No. 53, 2021</w:t>
          </w:r>
          <w:r w:rsidRPr="007A1328">
            <w:rPr>
              <w:i/>
              <w:sz w:val="18"/>
            </w:rPr>
            <w:fldChar w:fldCharType="end"/>
          </w:r>
        </w:p>
      </w:tc>
      <w:tc>
        <w:tcPr>
          <w:tcW w:w="5387" w:type="dxa"/>
        </w:tcPr>
        <w:p w14:paraId="7D5C4FA7" w14:textId="39B661C6" w:rsidR="003019E2" w:rsidRDefault="003019E2" w:rsidP="0032089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6D84">
            <w:rPr>
              <w:i/>
              <w:sz w:val="18"/>
            </w:rPr>
            <w:t>Social Services Legislation Amendment (Portability Extensions) Act 2021</w:t>
          </w:r>
          <w:r w:rsidRPr="007A1328">
            <w:rPr>
              <w:i/>
              <w:sz w:val="18"/>
            </w:rPr>
            <w:fldChar w:fldCharType="end"/>
          </w:r>
        </w:p>
      </w:tc>
      <w:tc>
        <w:tcPr>
          <w:tcW w:w="669" w:type="dxa"/>
        </w:tcPr>
        <w:p w14:paraId="5968B393" w14:textId="77777777" w:rsidR="003019E2" w:rsidRDefault="003019E2" w:rsidP="0032089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C1736">
            <w:rPr>
              <w:i/>
              <w:noProof/>
              <w:sz w:val="18"/>
            </w:rPr>
            <w:t>1</w:t>
          </w:r>
          <w:r w:rsidRPr="007A1328">
            <w:rPr>
              <w:i/>
              <w:sz w:val="18"/>
            </w:rPr>
            <w:fldChar w:fldCharType="end"/>
          </w:r>
        </w:p>
      </w:tc>
    </w:tr>
  </w:tbl>
  <w:p w14:paraId="33914105" w14:textId="77777777" w:rsidR="003019E2" w:rsidRPr="00A961C4" w:rsidRDefault="003019E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DAC57" w14:textId="77777777" w:rsidR="003019E2" w:rsidRDefault="003019E2" w:rsidP="0048364F">
      <w:pPr>
        <w:spacing w:line="240" w:lineRule="auto"/>
      </w:pPr>
      <w:r>
        <w:separator/>
      </w:r>
    </w:p>
  </w:footnote>
  <w:footnote w:type="continuationSeparator" w:id="0">
    <w:p w14:paraId="037BE6A8" w14:textId="77777777" w:rsidR="003019E2" w:rsidRDefault="003019E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89C6" w14:textId="77777777" w:rsidR="003019E2" w:rsidRPr="005F1388" w:rsidRDefault="003019E2"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754D" w14:textId="77777777" w:rsidR="003019E2" w:rsidRPr="005F1388" w:rsidRDefault="003019E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43844" w14:textId="77777777" w:rsidR="003019E2" w:rsidRPr="005F1388" w:rsidRDefault="003019E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E9D76" w14:textId="77777777" w:rsidR="003019E2" w:rsidRPr="00ED79B6" w:rsidRDefault="003019E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F563" w14:textId="77777777" w:rsidR="003019E2" w:rsidRPr="00ED79B6" w:rsidRDefault="003019E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1800C" w14:textId="77777777" w:rsidR="003019E2" w:rsidRPr="00ED79B6" w:rsidRDefault="003019E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2B41" w14:textId="25F58C8E" w:rsidR="003019E2" w:rsidRPr="00A961C4" w:rsidRDefault="003019E2" w:rsidP="0048364F">
    <w:pPr>
      <w:rPr>
        <w:b/>
        <w:sz w:val="20"/>
      </w:rPr>
    </w:pPr>
    <w:r>
      <w:rPr>
        <w:b/>
        <w:sz w:val="20"/>
      </w:rPr>
      <w:fldChar w:fldCharType="begin"/>
    </w:r>
    <w:r>
      <w:rPr>
        <w:b/>
        <w:sz w:val="20"/>
      </w:rPr>
      <w:instrText xml:space="preserve"> STYLEREF CharAmSchNo </w:instrText>
    </w:r>
    <w:r w:rsidR="00706D84">
      <w:rPr>
        <w:b/>
        <w:sz w:val="20"/>
      </w:rPr>
      <w:fldChar w:fldCharType="separate"/>
    </w:r>
    <w:r w:rsidR="00706D8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06D84">
      <w:rPr>
        <w:sz w:val="20"/>
      </w:rPr>
      <w:fldChar w:fldCharType="separate"/>
    </w:r>
    <w:r w:rsidR="00706D84">
      <w:rPr>
        <w:noProof/>
        <w:sz w:val="20"/>
      </w:rPr>
      <w:t>Amendments</w:t>
    </w:r>
    <w:r>
      <w:rPr>
        <w:sz w:val="20"/>
      </w:rPr>
      <w:fldChar w:fldCharType="end"/>
    </w:r>
  </w:p>
  <w:p w14:paraId="052C46F1" w14:textId="0B0B90FB" w:rsidR="003019E2" w:rsidRPr="00A961C4" w:rsidRDefault="003019E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EAA3570" w14:textId="77777777" w:rsidR="003019E2" w:rsidRPr="00A961C4" w:rsidRDefault="003019E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425E" w14:textId="240A3CCD" w:rsidR="003019E2" w:rsidRPr="00A961C4" w:rsidRDefault="003019E2" w:rsidP="0048364F">
    <w:pPr>
      <w:jc w:val="right"/>
      <w:rPr>
        <w:sz w:val="20"/>
      </w:rPr>
    </w:pPr>
    <w:r w:rsidRPr="00A961C4">
      <w:rPr>
        <w:sz w:val="20"/>
      </w:rPr>
      <w:fldChar w:fldCharType="begin"/>
    </w:r>
    <w:r w:rsidRPr="00A961C4">
      <w:rPr>
        <w:sz w:val="20"/>
      </w:rPr>
      <w:instrText xml:space="preserve"> STYLEREF CharAmSchText </w:instrText>
    </w:r>
    <w:r w:rsidR="00706D84">
      <w:rPr>
        <w:sz w:val="20"/>
      </w:rPr>
      <w:fldChar w:fldCharType="separate"/>
    </w:r>
    <w:r w:rsidR="00706D8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06D84">
      <w:rPr>
        <w:b/>
        <w:sz w:val="20"/>
      </w:rPr>
      <w:fldChar w:fldCharType="separate"/>
    </w:r>
    <w:r w:rsidR="00706D84">
      <w:rPr>
        <w:b/>
        <w:noProof/>
        <w:sz w:val="20"/>
      </w:rPr>
      <w:t>Schedule 1</w:t>
    </w:r>
    <w:r>
      <w:rPr>
        <w:b/>
        <w:sz w:val="20"/>
      </w:rPr>
      <w:fldChar w:fldCharType="end"/>
    </w:r>
  </w:p>
  <w:p w14:paraId="415AD4C8" w14:textId="6FD775F6" w:rsidR="003019E2" w:rsidRPr="00A961C4" w:rsidRDefault="003019E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4A1E52E" w14:textId="77777777" w:rsidR="003019E2" w:rsidRPr="00A961C4" w:rsidRDefault="003019E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DB6A" w14:textId="77777777" w:rsidR="003019E2" w:rsidRPr="00A961C4" w:rsidRDefault="003019E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7D"/>
    <w:rsid w:val="00003DBE"/>
    <w:rsid w:val="00011379"/>
    <w:rsid w:val="000113BC"/>
    <w:rsid w:val="000136AF"/>
    <w:rsid w:val="00022E25"/>
    <w:rsid w:val="000417C9"/>
    <w:rsid w:val="00050EEC"/>
    <w:rsid w:val="00055B5C"/>
    <w:rsid w:val="00056391"/>
    <w:rsid w:val="00060FF9"/>
    <w:rsid w:val="000614BF"/>
    <w:rsid w:val="00062A3D"/>
    <w:rsid w:val="00085E66"/>
    <w:rsid w:val="000B1FD2"/>
    <w:rsid w:val="000D05EF"/>
    <w:rsid w:val="000F21C1"/>
    <w:rsid w:val="000F316E"/>
    <w:rsid w:val="00101D90"/>
    <w:rsid w:val="0010745C"/>
    <w:rsid w:val="00113BD1"/>
    <w:rsid w:val="00122206"/>
    <w:rsid w:val="00134C36"/>
    <w:rsid w:val="0015646E"/>
    <w:rsid w:val="001643C9"/>
    <w:rsid w:val="00165568"/>
    <w:rsid w:val="00166C2F"/>
    <w:rsid w:val="001716C9"/>
    <w:rsid w:val="00173363"/>
    <w:rsid w:val="00173B94"/>
    <w:rsid w:val="001854B4"/>
    <w:rsid w:val="00192285"/>
    <w:rsid w:val="00193386"/>
    <w:rsid w:val="001939E1"/>
    <w:rsid w:val="00195382"/>
    <w:rsid w:val="001A3658"/>
    <w:rsid w:val="001A759A"/>
    <w:rsid w:val="001B633C"/>
    <w:rsid w:val="001B7A5D"/>
    <w:rsid w:val="001C0C41"/>
    <w:rsid w:val="001C2418"/>
    <w:rsid w:val="001C69C4"/>
    <w:rsid w:val="001E3590"/>
    <w:rsid w:val="001E7407"/>
    <w:rsid w:val="00201D27"/>
    <w:rsid w:val="00202618"/>
    <w:rsid w:val="00206D4C"/>
    <w:rsid w:val="00234663"/>
    <w:rsid w:val="00240749"/>
    <w:rsid w:val="00243126"/>
    <w:rsid w:val="002469B9"/>
    <w:rsid w:val="00263820"/>
    <w:rsid w:val="00270ECA"/>
    <w:rsid w:val="00275197"/>
    <w:rsid w:val="00293B89"/>
    <w:rsid w:val="00297ECB"/>
    <w:rsid w:val="002B5A30"/>
    <w:rsid w:val="002C5B3A"/>
    <w:rsid w:val="002D043A"/>
    <w:rsid w:val="002D395A"/>
    <w:rsid w:val="003019E2"/>
    <w:rsid w:val="0032089E"/>
    <w:rsid w:val="0032267F"/>
    <w:rsid w:val="003415D3"/>
    <w:rsid w:val="00350417"/>
    <w:rsid w:val="00352B0F"/>
    <w:rsid w:val="0035460A"/>
    <w:rsid w:val="00363F88"/>
    <w:rsid w:val="00373874"/>
    <w:rsid w:val="00375C6C"/>
    <w:rsid w:val="00384BF3"/>
    <w:rsid w:val="003921E9"/>
    <w:rsid w:val="003A7B3C"/>
    <w:rsid w:val="003B4E3D"/>
    <w:rsid w:val="003C5F2B"/>
    <w:rsid w:val="003D0BFE"/>
    <w:rsid w:val="003D443C"/>
    <w:rsid w:val="003D5700"/>
    <w:rsid w:val="003E761A"/>
    <w:rsid w:val="003E7726"/>
    <w:rsid w:val="00405579"/>
    <w:rsid w:val="00410B8E"/>
    <w:rsid w:val="004116CD"/>
    <w:rsid w:val="00411D1C"/>
    <w:rsid w:val="0041766B"/>
    <w:rsid w:val="00421FC1"/>
    <w:rsid w:val="004229C7"/>
    <w:rsid w:val="00424CA9"/>
    <w:rsid w:val="00425BE9"/>
    <w:rsid w:val="00436785"/>
    <w:rsid w:val="00436BD5"/>
    <w:rsid w:val="00437E4B"/>
    <w:rsid w:val="0044291A"/>
    <w:rsid w:val="0048196B"/>
    <w:rsid w:val="0048364F"/>
    <w:rsid w:val="00486D05"/>
    <w:rsid w:val="00496F97"/>
    <w:rsid w:val="004B1424"/>
    <w:rsid w:val="004C7C8C"/>
    <w:rsid w:val="004E2A4A"/>
    <w:rsid w:val="004F0D23"/>
    <w:rsid w:val="004F1FAC"/>
    <w:rsid w:val="00516B8D"/>
    <w:rsid w:val="00536C28"/>
    <w:rsid w:val="00537FBC"/>
    <w:rsid w:val="00543469"/>
    <w:rsid w:val="00551B54"/>
    <w:rsid w:val="00581156"/>
    <w:rsid w:val="005819B9"/>
    <w:rsid w:val="00584811"/>
    <w:rsid w:val="00593AA6"/>
    <w:rsid w:val="00594161"/>
    <w:rsid w:val="00594749"/>
    <w:rsid w:val="005A0D92"/>
    <w:rsid w:val="005B4067"/>
    <w:rsid w:val="005C3F41"/>
    <w:rsid w:val="005C74B6"/>
    <w:rsid w:val="005E152A"/>
    <w:rsid w:val="00600219"/>
    <w:rsid w:val="006167FD"/>
    <w:rsid w:val="00641DE5"/>
    <w:rsid w:val="00656F0C"/>
    <w:rsid w:val="00677CC2"/>
    <w:rsid w:val="00681F92"/>
    <w:rsid w:val="006842C2"/>
    <w:rsid w:val="00685F42"/>
    <w:rsid w:val="0069207B"/>
    <w:rsid w:val="006A4B23"/>
    <w:rsid w:val="006C2874"/>
    <w:rsid w:val="006C7F8C"/>
    <w:rsid w:val="006D380D"/>
    <w:rsid w:val="006E0135"/>
    <w:rsid w:val="006E303A"/>
    <w:rsid w:val="006F7E19"/>
    <w:rsid w:val="00700B2C"/>
    <w:rsid w:val="00702384"/>
    <w:rsid w:val="007052EF"/>
    <w:rsid w:val="00706D84"/>
    <w:rsid w:val="00712D8D"/>
    <w:rsid w:val="00713084"/>
    <w:rsid w:val="00714B26"/>
    <w:rsid w:val="00723A47"/>
    <w:rsid w:val="00731E00"/>
    <w:rsid w:val="00735524"/>
    <w:rsid w:val="007440B7"/>
    <w:rsid w:val="007634AD"/>
    <w:rsid w:val="007715C9"/>
    <w:rsid w:val="00774EDD"/>
    <w:rsid w:val="007757EC"/>
    <w:rsid w:val="007B0615"/>
    <w:rsid w:val="007B30AA"/>
    <w:rsid w:val="007C4D67"/>
    <w:rsid w:val="007E06C1"/>
    <w:rsid w:val="007E7D4A"/>
    <w:rsid w:val="008006CC"/>
    <w:rsid w:val="008017BC"/>
    <w:rsid w:val="00807F18"/>
    <w:rsid w:val="00831E8D"/>
    <w:rsid w:val="0085431E"/>
    <w:rsid w:val="00856A31"/>
    <w:rsid w:val="00857D6B"/>
    <w:rsid w:val="00865BBB"/>
    <w:rsid w:val="008754D0"/>
    <w:rsid w:val="00877D48"/>
    <w:rsid w:val="00883781"/>
    <w:rsid w:val="00885570"/>
    <w:rsid w:val="00893958"/>
    <w:rsid w:val="008A2E77"/>
    <w:rsid w:val="008B4005"/>
    <w:rsid w:val="008C6F6F"/>
    <w:rsid w:val="008D0EE0"/>
    <w:rsid w:val="008D3E94"/>
    <w:rsid w:val="008D62B8"/>
    <w:rsid w:val="008E1334"/>
    <w:rsid w:val="008F2D12"/>
    <w:rsid w:val="008F4F1C"/>
    <w:rsid w:val="008F77C4"/>
    <w:rsid w:val="009103F3"/>
    <w:rsid w:val="00932377"/>
    <w:rsid w:val="00967042"/>
    <w:rsid w:val="00972AF1"/>
    <w:rsid w:val="0098255A"/>
    <w:rsid w:val="009845BE"/>
    <w:rsid w:val="009969C9"/>
    <w:rsid w:val="009977F4"/>
    <w:rsid w:val="009E186E"/>
    <w:rsid w:val="009F7BD0"/>
    <w:rsid w:val="00A048FF"/>
    <w:rsid w:val="00A10775"/>
    <w:rsid w:val="00A231E2"/>
    <w:rsid w:val="00A25871"/>
    <w:rsid w:val="00A36C48"/>
    <w:rsid w:val="00A41E0B"/>
    <w:rsid w:val="00A45E43"/>
    <w:rsid w:val="00A55631"/>
    <w:rsid w:val="00A64912"/>
    <w:rsid w:val="00A70A74"/>
    <w:rsid w:val="00A87043"/>
    <w:rsid w:val="00A91871"/>
    <w:rsid w:val="00AA3795"/>
    <w:rsid w:val="00AA38BB"/>
    <w:rsid w:val="00AA6A57"/>
    <w:rsid w:val="00AC1E75"/>
    <w:rsid w:val="00AD5641"/>
    <w:rsid w:val="00AE1088"/>
    <w:rsid w:val="00AF1BA4"/>
    <w:rsid w:val="00B00E18"/>
    <w:rsid w:val="00B032D8"/>
    <w:rsid w:val="00B1650A"/>
    <w:rsid w:val="00B26C3C"/>
    <w:rsid w:val="00B27CE2"/>
    <w:rsid w:val="00B32BE2"/>
    <w:rsid w:val="00B33B3C"/>
    <w:rsid w:val="00B6382D"/>
    <w:rsid w:val="00BA5026"/>
    <w:rsid w:val="00BB40BF"/>
    <w:rsid w:val="00BC0CD1"/>
    <w:rsid w:val="00BC1736"/>
    <w:rsid w:val="00BC7C58"/>
    <w:rsid w:val="00BE467E"/>
    <w:rsid w:val="00BE529B"/>
    <w:rsid w:val="00BE719A"/>
    <w:rsid w:val="00BE720A"/>
    <w:rsid w:val="00BF0461"/>
    <w:rsid w:val="00BF4944"/>
    <w:rsid w:val="00BF56D4"/>
    <w:rsid w:val="00C04409"/>
    <w:rsid w:val="00C067E5"/>
    <w:rsid w:val="00C06C3B"/>
    <w:rsid w:val="00C149B5"/>
    <w:rsid w:val="00C164CA"/>
    <w:rsid w:val="00C176CF"/>
    <w:rsid w:val="00C42BF8"/>
    <w:rsid w:val="00C460AE"/>
    <w:rsid w:val="00C50043"/>
    <w:rsid w:val="00C54E84"/>
    <w:rsid w:val="00C57143"/>
    <w:rsid w:val="00C671D7"/>
    <w:rsid w:val="00C7573B"/>
    <w:rsid w:val="00C76CF3"/>
    <w:rsid w:val="00C87F9F"/>
    <w:rsid w:val="00C907F7"/>
    <w:rsid w:val="00CB61DE"/>
    <w:rsid w:val="00CC3729"/>
    <w:rsid w:val="00CE1E31"/>
    <w:rsid w:val="00CF0BB2"/>
    <w:rsid w:val="00D00EAA"/>
    <w:rsid w:val="00D13441"/>
    <w:rsid w:val="00D17F67"/>
    <w:rsid w:val="00D243A3"/>
    <w:rsid w:val="00D477C3"/>
    <w:rsid w:val="00D52EFE"/>
    <w:rsid w:val="00D6260B"/>
    <w:rsid w:val="00D63EF6"/>
    <w:rsid w:val="00D70DFB"/>
    <w:rsid w:val="00D73029"/>
    <w:rsid w:val="00D766DF"/>
    <w:rsid w:val="00D83C9B"/>
    <w:rsid w:val="00DA1137"/>
    <w:rsid w:val="00DC31E5"/>
    <w:rsid w:val="00DE2002"/>
    <w:rsid w:val="00DE22A2"/>
    <w:rsid w:val="00DF7AE9"/>
    <w:rsid w:val="00E05704"/>
    <w:rsid w:val="00E10A6B"/>
    <w:rsid w:val="00E24D66"/>
    <w:rsid w:val="00E54292"/>
    <w:rsid w:val="00E74B72"/>
    <w:rsid w:val="00E74DC7"/>
    <w:rsid w:val="00E8485F"/>
    <w:rsid w:val="00E84ECA"/>
    <w:rsid w:val="00E87699"/>
    <w:rsid w:val="00E87F7D"/>
    <w:rsid w:val="00E947C6"/>
    <w:rsid w:val="00EB510C"/>
    <w:rsid w:val="00EB756F"/>
    <w:rsid w:val="00ED492F"/>
    <w:rsid w:val="00EE3E36"/>
    <w:rsid w:val="00EF2E3A"/>
    <w:rsid w:val="00F03D51"/>
    <w:rsid w:val="00F047E2"/>
    <w:rsid w:val="00F078DC"/>
    <w:rsid w:val="00F11023"/>
    <w:rsid w:val="00F13E86"/>
    <w:rsid w:val="00F17B00"/>
    <w:rsid w:val="00F26C46"/>
    <w:rsid w:val="00F60551"/>
    <w:rsid w:val="00F677A9"/>
    <w:rsid w:val="00F70169"/>
    <w:rsid w:val="00F84CF5"/>
    <w:rsid w:val="00F92D35"/>
    <w:rsid w:val="00FA420B"/>
    <w:rsid w:val="00FA5E88"/>
    <w:rsid w:val="00FC695D"/>
    <w:rsid w:val="00FD1E13"/>
    <w:rsid w:val="00FD7EB1"/>
    <w:rsid w:val="00FE3FEB"/>
    <w:rsid w:val="00FE41C9"/>
    <w:rsid w:val="00FE7F93"/>
    <w:rsid w:val="00FF28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68D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03D51"/>
    <w:pPr>
      <w:spacing w:line="260" w:lineRule="atLeast"/>
    </w:pPr>
    <w:rPr>
      <w:sz w:val="22"/>
    </w:rPr>
  </w:style>
  <w:style w:type="paragraph" w:styleId="Heading1">
    <w:name w:val="heading 1"/>
    <w:basedOn w:val="Normal"/>
    <w:next w:val="Normal"/>
    <w:link w:val="Heading1Char"/>
    <w:uiPriority w:val="9"/>
    <w:qFormat/>
    <w:rsid w:val="00FA5E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5E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A5E8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A5E8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5E8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5E8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5E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5E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5E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03D51"/>
  </w:style>
  <w:style w:type="paragraph" w:customStyle="1" w:styleId="OPCParaBase">
    <w:name w:val="OPCParaBase"/>
    <w:qFormat/>
    <w:rsid w:val="00F03D51"/>
    <w:pPr>
      <w:spacing w:line="260" w:lineRule="atLeast"/>
    </w:pPr>
    <w:rPr>
      <w:rFonts w:eastAsia="Times New Roman" w:cs="Times New Roman"/>
      <w:sz w:val="22"/>
      <w:lang w:eastAsia="en-AU"/>
    </w:rPr>
  </w:style>
  <w:style w:type="paragraph" w:customStyle="1" w:styleId="ShortT">
    <w:name w:val="ShortT"/>
    <w:basedOn w:val="OPCParaBase"/>
    <w:next w:val="Normal"/>
    <w:qFormat/>
    <w:rsid w:val="00F03D51"/>
    <w:pPr>
      <w:spacing w:line="240" w:lineRule="auto"/>
    </w:pPr>
    <w:rPr>
      <w:b/>
      <w:sz w:val="40"/>
    </w:rPr>
  </w:style>
  <w:style w:type="paragraph" w:customStyle="1" w:styleId="ActHead1">
    <w:name w:val="ActHead 1"/>
    <w:aliases w:val="c"/>
    <w:basedOn w:val="OPCParaBase"/>
    <w:next w:val="Normal"/>
    <w:qFormat/>
    <w:rsid w:val="00F03D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03D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03D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03D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03D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03D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03D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03D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03D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03D51"/>
  </w:style>
  <w:style w:type="paragraph" w:customStyle="1" w:styleId="Blocks">
    <w:name w:val="Blocks"/>
    <w:aliases w:val="bb"/>
    <w:basedOn w:val="OPCParaBase"/>
    <w:qFormat/>
    <w:rsid w:val="00F03D51"/>
    <w:pPr>
      <w:spacing w:line="240" w:lineRule="auto"/>
    </w:pPr>
    <w:rPr>
      <w:sz w:val="24"/>
    </w:rPr>
  </w:style>
  <w:style w:type="paragraph" w:customStyle="1" w:styleId="BoxText">
    <w:name w:val="BoxText"/>
    <w:aliases w:val="bt"/>
    <w:basedOn w:val="OPCParaBase"/>
    <w:qFormat/>
    <w:rsid w:val="00F03D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03D51"/>
    <w:rPr>
      <w:b/>
    </w:rPr>
  </w:style>
  <w:style w:type="paragraph" w:customStyle="1" w:styleId="BoxHeadItalic">
    <w:name w:val="BoxHeadItalic"/>
    <w:aliases w:val="bhi"/>
    <w:basedOn w:val="BoxText"/>
    <w:next w:val="BoxStep"/>
    <w:qFormat/>
    <w:rsid w:val="00F03D51"/>
    <w:rPr>
      <w:i/>
    </w:rPr>
  </w:style>
  <w:style w:type="paragraph" w:customStyle="1" w:styleId="BoxList">
    <w:name w:val="BoxList"/>
    <w:aliases w:val="bl"/>
    <w:basedOn w:val="BoxText"/>
    <w:qFormat/>
    <w:rsid w:val="00F03D51"/>
    <w:pPr>
      <w:ind w:left="1559" w:hanging="425"/>
    </w:pPr>
  </w:style>
  <w:style w:type="paragraph" w:customStyle="1" w:styleId="BoxNote">
    <w:name w:val="BoxNote"/>
    <w:aliases w:val="bn"/>
    <w:basedOn w:val="BoxText"/>
    <w:qFormat/>
    <w:rsid w:val="00F03D51"/>
    <w:pPr>
      <w:tabs>
        <w:tab w:val="left" w:pos="1985"/>
      </w:tabs>
      <w:spacing w:before="122" w:line="198" w:lineRule="exact"/>
      <w:ind w:left="2948" w:hanging="1814"/>
    </w:pPr>
    <w:rPr>
      <w:sz w:val="18"/>
    </w:rPr>
  </w:style>
  <w:style w:type="paragraph" w:customStyle="1" w:styleId="BoxPara">
    <w:name w:val="BoxPara"/>
    <w:aliases w:val="bp"/>
    <w:basedOn w:val="BoxText"/>
    <w:qFormat/>
    <w:rsid w:val="00F03D51"/>
    <w:pPr>
      <w:tabs>
        <w:tab w:val="right" w:pos="2268"/>
      </w:tabs>
      <w:ind w:left="2552" w:hanging="1418"/>
    </w:pPr>
  </w:style>
  <w:style w:type="paragraph" w:customStyle="1" w:styleId="BoxStep">
    <w:name w:val="BoxStep"/>
    <w:aliases w:val="bs"/>
    <w:basedOn w:val="BoxText"/>
    <w:qFormat/>
    <w:rsid w:val="00F03D51"/>
    <w:pPr>
      <w:ind w:left="1985" w:hanging="851"/>
    </w:pPr>
  </w:style>
  <w:style w:type="character" w:customStyle="1" w:styleId="CharAmPartNo">
    <w:name w:val="CharAmPartNo"/>
    <w:basedOn w:val="OPCCharBase"/>
    <w:qFormat/>
    <w:rsid w:val="00F03D51"/>
  </w:style>
  <w:style w:type="character" w:customStyle="1" w:styleId="CharAmPartText">
    <w:name w:val="CharAmPartText"/>
    <w:basedOn w:val="OPCCharBase"/>
    <w:qFormat/>
    <w:rsid w:val="00F03D51"/>
  </w:style>
  <w:style w:type="character" w:customStyle="1" w:styleId="CharAmSchNo">
    <w:name w:val="CharAmSchNo"/>
    <w:basedOn w:val="OPCCharBase"/>
    <w:qFormat/>
    <w:rsid w:val="00F03D51"/>
  </w:style>
  <w:style w:type="character" w:customStyle="1" w:styleId="CharAmSchText">
    <w:name w:val="CharAmSchText"/>
    <w:basedOn w:val="OPCCharBase"/>
    <w:qFormat/>
    <w:rsid w:val="00F03D51"/>
  </w:style>
  <w:style w:type="character" w:customStyle="1" w:styleId="CharBoldItalic">
    <w:name w:val="CharBoldItalic"/>
    <w:basedOn w:val="OPCCharBase"/>
    <w:uiPriority w:val="1"/>
    <w:qFormat/>
    <w:rsid w:val="00F03D51"/>
    <w:rPr>
      <w:b/>
      <w:i/>
    </w:rPr>
  </w:style>
  <w:style w:type="character" w:customStyle="1" w:styleId="CharChapNo">
    <w:name w:val="CharChapNo"/>
    <w:basedOn w:val="OPCCharBase"/>
    <w:uiPriority w:val="1"/>
    <w:qFormat/>
    <w:rsid w:val="00F03D51"/>
  </w:style>
  <w:style w:type="character" w:customStyle="1" w:styleId="CharChapText">
    <w:name w:val="CharChapText"/>
    <w:basedOn w:val="OPCCharBase"/>
    <w:uiPriority w:val="1"/>
    <w:qFormat/>
    <w:rsid w:val="00F03D51"/>
  </w:style>
  <w:style w:type="character" w:customStyle="1" w:styleId="CharDivNo">
    <w:name w:val="CharDivNo"/>
    <w:basedOn w:val="OPCCharBase"/>
    <w:uiPriority w:val="1"/>
    <w:qFormat/>
    <w:rsid w:val="00F03D51"/>
  </w:style>
  <w:style w:type="character" w:customStyle="1" w:styleId="CharDivText">
    <w:name w:val="CharDivText"/>
    <w:basedOn w:val="OPCCharBase"/>
    <w:uiPriority w:val="1"/>
    <w:qFormat/>
    <w:rsid w:val="00F03D51"/>
  </w:style>
  <w:style w:type="character" w:customStyle="1" w:styleId="CharItalic">
    <w:name w:val="CharItalic"/>
    <w:basedOn w:val="OPCCharBase"/>
    <w:uiPriority w:val="1"/>
    <w:qFormat/>
    <w:rsid w:val="00F03D51"/>
    <w:rPr>
      <w:i/>
    </w:rPr>
  </w:style>
  <w:style w:type="character" w:customStyle="1" w:styleId="CharPartNo">
    <w:name w:val="CharPartNo"/>
    <w:basedOn w:val="OPCCharBase"/>
    <w:uiPriority w:val="1"/>
    <w:qFormat/>
    <w:rsid w:val="00F03D51"/>
  </w:style>
  <w:style w:type="character" w:customStyle="1" w:styleId="CharPartText">
    <w:name w:val="CharPartText"/>
    <w:basedOn w:val="OPCCharBase"/>
    <w:uiPriority w:val="1"/>
    <w:qFormat/>
    <w:rsid w:val="00F03D51"/>
  </w:style>
  <w:style w:type="character" w:customStyle="1" w:styleId="CharSectno">
    <w:name w:val="CharSectno"/>
    <w:basedOn w:val="OPCCharBase"/>
    <w:qFormat/>
    <w:rsid w:val="00F03D51"/>
  </w:style>
  <w:style w:type="character" w:customStyle="1" w:styleId="CharSubdNo">
    <w:name w:val="CharSubdNo"/>
    <w:basedOn w:val="OPCCharBase"/>
    <w:uiPriority w:val="1"/>
    <w:qFormat/>
    <w:rsid w:val="00F03D51"/>
  </w:style>
  <w:style w:type="character" w:customStyle="1" w:styleId="CharSubdText">
    <w:name w:val="CharSubdText"/>
    <w:basedOn w:val="OPCCharBase"/>
    <w:uiPriority w:val="1"/>
    <w:qFormat/>
    <w:rsid w:val="00F03D51"/>
  </w:style>
  <w:style w:type="paragraph" w:customStyle="1" w:styleId="CTA--">
    <w:name w:val="CTA --"/>
    <w:basedOn w:val="OPCParaBase"/>
    <w:next w:val="Normal"/>
    <w:rsid w:val="00F03D51"/>
    <w:pPr>
      <w:spacing w:before="60" w:line="240" w:lineRule="atLeast"/>
      <w:ind w:left="142" w:hanging="142"/>
    </w:pPr>
    <w:rPr>
      <w:sz w:val="20"/>
    </w:rPr>
  </w:style>
  <w:style w:type="paragraph" w:customStyle="1" w:styleId="CTA-">
    <w:name w:val="CTA -"/>
    <w:basedOn w:val="OPCParaBase"/>
    <w:rsid w:val="00F03D51"/>
    <w:pPr>
      <w:spacing w:before="60" w:line="240" w:lineRule="atLeast"/>
      <w:ind w:left="85" w:hanging="85"/>
    </w:pPr>
    <w:rPr>
      <w:sz w:val="20"/>
    </w:rPr>
  </w:style>
  <w:style w:type="paragraph" w:customStyle="1" w:styleId="CTA---">
    <w:name w:val="CTA ---"/>
    <w:basedOn w:val="OPCParaBase"/>
    <w:next w:val="Normal"/>
    <w:rsid w:val="00F03D51"/>
    <w:pPr>
      <w:spacing w:before="60" w:line="240" w:lineRule="atLeast"/>
      <w:ind w:left="198" w:hanging="198"/>
    </w:pPr>
    <w:rPr>
      <w:sz w:val="20"/>
    </w:rPr>
  </w:style>
  <w:style w:type="paragraph" w:customStyle="1" w:styleId="CTA----">
    <w:name w:val="CTA ----"/>
    <w:basedOn w:val="OPCParaBase"/>
    <w:next w:val="Normal"/>
    <w:rsid w:val="00F03D51"/>
    <w:pPr>
      <w:spacing w:before="60" w:line="240" w:lineRule="atLeast"/>
      <w:ind w:left="255" w:hanging="255"/>
    </w:pPr>
    <w:rPr>
      <w:sz w:val="20"/>
    </w:rPr>
  </w:style>
  <w:style w:type="paragraph" w:customStyle="1" w:styleId="CTA1a">
    <w:name w:val="CTA 1(a)"/>
    <w:basedOn w:val="OPCParaBase"/>
    <w:rsid w:val="00F03D51"/>
    <w:pPr>
      <w:tabs>
        <w:tab w:val="right" w:pos="414"/>
      </w:tabs>
      <w:spacing w:before="40" w:line="240" w:lineRule="atLeast"/>
      <w:ind w:left="675" w:hanging="675"/>
    </w:pPr>
    <w:rPr>
      <w:sz w:val="20"/>
    </w:rPr>
  </w:style>
  <w:style w:type="paragraph" w:customStyle="1" w:styleId="CTA1ai">
    <w:name w:val="CTA 1(a)(i)"/>
    <w:basedOn w:val="OPCParaBase"/>
    <w:rsid w:val="00F03D51"/>
    <w:pPr>
      <w:tabs>
        <w:tab w:val="right" w:pos="1004"/>
      </w:tabs>
      <w:spacing w:before="40" w:line="240" w:lineRule="atLeast"/>
      <w:ind w:left="1253" w:hanging="1253"/>
    </w:pPr>
    <w:rPr>
      <w:sz w:val="20"/>
    </w:rPr>
  </w:style>
  <w:style w:type="paragraph" w:customStyle="1" w:styleId="CTA2a">
    <w:name w:val="CTA 2(a)"/>
    <w:basedOn w:val="OPCParaBase"/>
    <w:rsid w:val="00F03D51"/>
    <w:pPr>
      <w:tabs>
        <w:tab w:val="right" w:pos="482"/>
      </w:tabs>
      <w:spacing w:before="40" w:line="240" w:lineRule="atLeast"/>
      <w:ind w:left="748" w:hanging="748"/>
    </w:pPr>
    <w:rPr>
      <w:sz w:val="20"/>
    </w:rPr>
  </w:style>
  <w:style w:type="paragraph" w:customStyle="1" w:styleId="CTA2ai">
    <w:name w:val="CTA 2(a)(i)"/>
    <w:basedOn w:val="OPCParaBase"/>
    <w:rsid w:val="00F03D51"/>
    <w:pPr>
      <w:tabs>
        <w:tab w:val="right" w:pos="1089"/>
      </w:tabs>
      <w:spacing w:before="40" w:line="240" w:lineRule="atLeast"/>
      <w:ind w:left="1327" w:hanging="1327"/>
    </w:pPr>
    <w:rPr>
      <w:sz w:val="20"/>
    </w:rPr>
  </w:style>
  <w:style w:type="paragraph" w:customStyle="1" w:styleId="CTA3a">
    <w:name w:val="CTA 3(a)"/>
    <w:basedOn w:val="OPCParaBase"/>
    <w:rsid w:val="00F03D51"/>
    <w:pPr>
      <w:tabs>
        <w:tab w:val="right" w:pos="556"/>
      </w:tabs>
      <w:spacing w:before="40" w:line="240" w:lineRule="atLeast"/>
      <w:ind w:left="805" w:hanging="805"/>
    </w:pPr>
    <w:rPr>
      <w:sz w:val="20"/>
    </w:rPr>
  </w:style>
  <w:style w:type="paragraph" w:customStyle="1" w:styleId="CTA3ai">
    <w:name w:val="CTA 3(a)(i)"/>
    <w:basedOn w:val="OPCParaBase"/>
    <w:rsid w:val="00F03D51"/>
    <w:pPr>
      <w:tabs>
        <w:tab w:val="right" w:pos="1140"/>
      </w:tabs>
      <w:spacing w:before="40" w:line="240" w:lineRule="atLeast"/>
      <w:ind w:left="1361" w:hanging="1361"/>
    </w:pPr>
    <w:rPr>
      <w:sz w:val="20"/>
    </w:rPr>
  </w:style>
  <w:style w:type="paragraph" w:customStyle="1" w:styleId="CTA4a">
    <w:name w:val="CTA 4(a)"/>
    <w:basedOn w:val="OPCParaBase"/>
    <w:rsid w:val="00F03D51"/>
    <w:pPr>
      <w:tabs>
        <w:tab w:val="right" w:pos="624"/>
      </w:tabs>
      <w:spacing w:before="40" w:line="240" w:lineRule="atLeast"/>
      <w:ind w:left="873" w:hanging="873"/>
    </w:pPr>
    <w:rPr>
      <w:sz w:val="20"/>
    </w:rPr>
  </w:style>
  <w:style w:type="paragraph" w:customStyle="1" w:styleId="CTA4ai">
    <w:name w:val="CTA 4(a)(i)"/>
    <w:basedOn w:val="OPCParaBase"/>
    <w:rsid w:val="00F03D51"/>
    <w:pPr>
      <w:tabs>
        <w:tab w:val="right" w:pos="1213"/>
      </w:tabs>
      <w:spacing w:before="40" w:line="240" w:lineRule="atLeast"/>
      <w:ind w:left="1452" w:hanging="1452"/>
    </w:pPr>
    <w:rPr>
      <w:sz w:val="20"/>
    </w:rPr>
  </w:style>
  <w:style w:type="paragraph" w:customStyle="1" w:styleId="CTACAPS">
    <w:name w:val="CTA CAPS"/>
    <w:basedOn w:val="OPCParaBase"/>
    <w:rsid w:val="00F03D51"/>
    <w:pPr>
      <w:spacing w:before="60" w:line="240" w:lineRule="atLeast"/>
    </w:pPr>
    <w:rPr>
      <w:sz w:val="20"/>
    </w:rPr>
  </w:style>
  <w:style w:type="paragraph" w:customStyle="1" w:styleId="CTAright">
    <w:name w:val="CTA right"/>
    <w:basedOn w:val="OPCParaBase"/>
    <w:rsid w:val="00F03D51"/>
    <w:pPr>
      <w:spacing w:before="60" w:line="240" w:lineRule="auto"/>
      <w:jc w:val="right"/>
    </w:pPr>
    <w:rPr>
      <w:sz w:val="20"/>
    </w:rPr>
  </w:style>
  <w:style w:type="paragraph" w:customStyle="1" w:styleId="subsection">
    <w:name w:val="subsection"/>
    <w:aliases w:val="ss"/>
    <w:basedOn w:val="OPCParaBase"/>
    <w:link w:val="subsectionChar"/>
    <w:rsid w:val="00F03D51"/>
    <w:pPr>
      <w:tabs>
        <w:tab w:val="right" w:pos="1021"/>
      </w:tabs>
      <w:spacing w:before="180" w:line="240" w:lineRule="auto"/>
      <w:ind w:left="1134" w:hanging="1134"/>
    </w:pPr>
  </w:style>
  <w:style w:type="paragraph" w:customStyle="1" w:styleId="Definition">
    <w:name w:val="Definition"/>
    <w:aliases w:val="dd"/>
    <w:basedOn w:val="OPCParaBase"/>
    <w:rsid w:val="00F03D51"/>
    <w:pPr>
      <w:spacing w:before="180" w:line="240" w:lineRule="auto"/>
      <w:ind w:left="1134"/>
    </w:pPr>
  </w:style>
  <w:style w:type="paragraph" w:customStyle="1" w:styleId="ETAsubitem">
    <w:name w:val="ETA(subitem)"/>
    <w:basedOn w:val="OPCParaBase"/>
    <w:rsid w:val="00F03D51"/>
    <w:pPr>
      <w:tabs>
        <w:tab w:val="right" w:pos="340"/>
      </w:tabs>
      <w:spacing w:before="60" w:line="240" w:lineRule="auto"/>
      <w:ind w:left="454" w:hanging="454"/>
    </w:pPr>
    <w:rPr>
      <w:sz w:val="20"/>
    </w:rPr>
  </w:style>
  <w:style w:type="paragraph" w:customStyle="1" w:styleId="ETApara">
    <w:name w:val="ETA(para)"/>
    <w:basedOn w:val="OPCParaBase"/>
    <w:rsid w:val="00F03D51"/>
    <w:pPr>
      <w:tabs>
        <w:tab w:val="right" w:pos="754"/>
      </w:tabs>
      <w:spacing w:before="60" w:line="240" w:lineRule="auto"/>
      <w:ind w:left="828" w:hanging="828"/>
    </w:pPr>
    <w:rPr>
      <w:sz w:val="20"/>
    </w:rPr>
  </w:style>
  <w:style w:type="paragraph" w:customStyle="1" w:styleId="ETAsubpara">
    <w:name w:val="ETA(subpara)"/>
    <w:basedOn w:val="OPCParaBase"/>
    <w:rsid w:val="00F03D51"/>
    <w:pPr>
      <w:tabs>
        <w:tab w:val="right" w:pos="1083"/>
      </w:tabs>
      <w:spacing w:before="60" w:line="240" w:lineRule="auto"/>
      <w:ind w:left="1191" w:hanging="1191"/>
    </w:pPr>
    <w:rPr>
      <w:sz w:val="20"/>
    </w:rPr>
  </w:style>
  <w:style w:type="paragraph" w:customStyle="1" w:styleId="ETAsub-subpara">
    <w:name w:val="ETA(sub-subpara)"/>
    <w:basedOn w:val="OPCParaBase"/>
    <w:rsid w:val="00F03D51"/>
    <w:pPr>
      <w:tabs>
        <w:tab w:val="right" w:pos="1412"/>
      </w:tabs>
      <w:spacing w:before="60" w:line="240" w:lineRule="auto"/>
      <w:ind w:left="1525" w:hanging="1525"/>
    </w:pPr>
    <w:rPr>
      <w:sz w:val="20"/>
    </w:rPr>
  </w:style>
  <w:style w:type="paragraph" w:customStyle="1" w:styleId="Formula">
    <w:name w:val="Formula"/>
    <w:basedOn w:val="OPCParaBase"/>
    <w:rsid w:val="00F03D51"/>
    <w:pPr>
      <w:spacing w:line="240" w:lineRule="auto"/>
      <w:ind w:left="1134"/>
    </w:pPr>
    <w:rPr>
      <w:sz w:val="20"/>
    </w:rPr>
  </w:style>
  <w:style w:type="paragraph" w:styleId="Header">
    <w:name w:val="header"/>
    <w:basedOn w:val="OPCParaBase"/>
    <w:link w:val="HeaderChar"/>
    <w:unhideWhenUsed/>
    <w:rsid w:val="00F03D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03D51"/>
    <w:rPr>
      <w:rFonts w:eastAsia="Times New Roman" w:cs="Times New Roman"/>
      <w:sz w:val="16"/>
      <w:lang w:eastAsia="en-AU"/>
    </w:rPr>
  </w:style>
  <w:style w:type="paragraph" w:customStyle="1" w:styleId="House">
    <w:name w:val="House"/>
    <w:basedOn w:val="OPCParaBase"/>
    <w:rsid w:val="00F03D51"/>
    <w:pPr>
      <w:spacing w:line="240" w:lineRule="auto"/>
    </w:pPr>
    <w:rPr>
      <w:sz w:val="28"/>
    </w:rPr>
  </w:style>
  <w:style w:type="paragraph" w:customStyle="1" w:styleId="Item">
    <w:name w:val="Item"/>
    <w:aliases w:val="i"/>
    <w:basedOn w:val="OPCParaBase"/>
    <w:next w:val="ItemHead"/>
    <w:link w:val="ItemChar"/>
    <w:rsid w:val="00F03D51"/>
    <w:pPr>
      <w:keepLines/>
      <w:spacing w:before="80" w:line="240" w:lineRule="auto"/>
      <w:ind w:left="709"/>
    </w:pPr>
  </w:style>
  <w:style w:type="paragraph" w:customStyle="1" w:styleId="ItemHead">
    <w:name w:val="ItemHead"/>
    <w:aliases w:val="ih"/>
    <w:basedOn w:val="OPCParaBase"/>
    <w:next w:val="Item"/>
    <w:link w:val="ItemHeadChar"/>
    <w:rsid w:val="00F03D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03D51"/>
    <w:pPr>
      <w:spacing w:line="240" w:lineRule="auto"/>
    </w:pPr>
    <w:rPr>
      <w:b/>
      <w:sz w:val="32"/>
    </w:rPr>
  </w:style>
  <w:style w:type="paragraph" w:customStyle="1" w:styleId="notedraft">
    <w:name w:val="note(draft)"/>
    <w:aliases w:val="nd"/>
    <w:basedOn w:val="OPCParaBase"/>
    <w:rsid w:val="00F03D51"/>
    <w:pPr>
      <w:spacing w:before="240" w:line="240" w:lineRule="auto"/>
      <w:ind w:left="284" w:hanging="284"/>
    </w:pPr>
    <w:rPr>
      <w:i/>
      <w:sz w:val="24"/>
    </w:rPr>
  </w:style>
  <w:style w:type="paragraph" w:customStyle="1" w:styleId="notemargin">
    <w:name w:val="note(margin)"/>
    <w:aliases w:val="nm"/>
    <w:basedOn w:val="OPCParaBase"/>
    <w:rsid w:val="00F03D51"/>
    <w:pPr>
      <w:tabs>
        <w:tab w:val="left" w:pos="709"/>
      </w:tabs>
      <w:spacing w:before="122" w:line="198" w:lineRule="exact"/>
      <w:ind w:left="709" w:hanging="709"/>
    </w:pPr>
    <w:rPr>
      <w:sz w:val="18"/>
    </w:rPr>
  </w:style>
  <w:style w:type="paragraph" w:customStyle="1" w:styleId="noteToPara">
    <w:name w:val="noteToPara"/>
    <w:aliases w:val="ntp"/>
    <w:basedOn w:val="OPCParaBase"/>
    <w:rsid w:val="00F03D51"/>
    <w:pPr>
      <w:spacing w:before="122" w:line="198" w:lineRule="exact"/>
      <w:ind w:left="2353" w:hanging="709"/>
    </w:pPr>
    <w:rPr>
      <w:sz w:val="18"/>
    </w:rPr>
  </w:style>
  <w:style w:type="paragraph" w:customStyle="1" w:styleId="noteParlAmend">
    <w:name w:val="note(ParlAmend)"/>
    <w:aliases w:val="npp"/>
    <w:basedOn w:val="OPCParaBase"/>
    <w:next w:val="ParlAmend"/>
    <w:rsid w:val="00F03D51"/>
    <w:pPr>
      <w:spacing w:line="240" w:lineRule="auto"/>
      <w:jc w:val="right"/>
    </w:pPr>
    <w:rPr>
      <w:rFonts w:ascii="Arial" w:hAnsi="Arial"/>
      <w:b/>
      <w:i/>
    </w:rPr>
  </w:style>
  <w:style w:type="paragraph" w:customStyle="1" w:styleId="Page1">
    <w:name w:val="Page1"/>
    <w:basedOn w:val="OPCParaBase"/>
    <w:rsid w:val="00F03D51"/>
    <w:pPr>
      <w:spacing w:before="5600" w:line="240" w:lineRule="auto"/>
    </w:pPr>
    <w:rPr>
      <w:b/>
      <w:sz w:val="32"/>
    </w:rPr>
  </w:style>
  <w:style w:type="paragraph" w:customStyle="1" w:styleId="PageBreak">
    <w:name w:val="PageBreak"/>
    <w:aliases w:val="pb"/>
    <w:basedOn w:val="OPCParaBase"/>
    <w:rsid w:val="00F03D51"/>
    <w:pPr>
      <w:spacing w:line="240" w:lineRule="auto"/>
    </w:pPr>
    <w:rPr>
      <w:sz w:val="20"/>
    </w:rPr>
  </w:style>
  <w:style w:type="paragraph" w:customStyle="1" w:styleId="paragraphsub">
    <w:name w:val="paragraph(sub)"/>
    <w:aliases w:val="aa"/>
    <w:basedOn w:val="OPCParaBase"/>
    <w:rsid w:val="00F03D51"/>
    <w:pPr>
      <w:tabs>
        <w:tab w:val="right" w:pos="1985"/>
      </w:tabs>
      <w:spacing w:before="40" w:line="240" w:lineRule="auto"/>
      <w:ind w:left="2098" w:hanging="2098"/>
    </w:pPr>
  </w:style>
  <w:style w:type="paragraph" w:customStyle="1" w:styleId="paragraphsub-sub">
    <w:name w:val="paragraph(sub-sub)"/>
    <w:aliases w:val="aaa"/>
    <w:basedOn w:val="OPCParaBase"/>
    <w:rsid w:val="00F03D51"/>
    <w:pPr>
      <w:tabs>
        <w:tab w:val="right" w:pos="2722"/>
      </w:tabs>
      <w:spacing w:before="40" w:line="240" w:lineRule="auto"/>
      <w:ind w:left="2835" w:hanging="2835"/>
    </w:pPr>
  </w:style>
  <w:style w:type="paragraph" w:customStyle="1" w:styleId="paragraph">
    <w:name w:val="paragraph"/>
    <w:aliases w:val="a"/>
    <w:basedOn w:val="OPCParaBase"/>
    <w:link w:val="paragraphChar"/>
    <w:rsid w:val="00F03D51"/>
    <w:pPr>
      <w:tabs>
        <w:tab w:val="right" w:pos="1531"/>
      </w:tabs>
      <w:spacing w:before="40" w:line="240" w:lineRule="auto"/>
      <w:ind w:left="1644" w:hanging="1644"/>
    </w:pPr>
  </w:style>
  <w:style w:type="paragraph" w:customStyle="1" w:styleId="ParlAmend">
    <w:name w:val="ParlAmend"/>
    <w:aliases w:val="pp"/>
    <w:basedOn w:val="OPCParaBase"/>
    <w:rsid w:val="00F03D51"/>
    <w:pPr>
      <w:spacing w:before="240" w:line="240" w:lineRule="atLeast"/>
      <w:ind w:hanging="567"/>
    </w:pPr>
    <w:rPr>
      <w:sz w:val="24"/>
    </w:rPr>
  </w:style>
  <w:style w:type="paragraph" w:customStyle="1" w:styleId="Penalty">
    <w:name w:val="Penalty"/>
    <w:basedOn w:val="OPCParaBase"/>
    <w:rsid w:val="00F03D51"/>
    <w:pPr>
      <w:tabs>
        <w:tab w:val="left" w:pos="2977"/>
      </w:tabs>
      <w:spacing w:before="180" w:line="240" w:lineRule="auto"/>
      <w:ind w:left="1985" w:hanging="851"/>
    </w:pPr>
  </w:style>
  <w:style w:type="paragraph" w:customStyle="1" w:styleId="Portfolio">
    <w:name w:val="Portfolio"/>
    <w:basedOn w:val="OPCParaBase"/>
    <w:rsid w:val="00F03D51"/>
    <w:pPr>
      <w:spacing w:line="240" w:lineRule="auto"/>
    </w:pPr>
    <w:rPr>
      <w:i/>
      <w:sz w:val="20"/>
    </w:rPr>
  </w:style>
  <w:style w:type="paragraph" w:customStyle="1" w:styleId="Preamble">
    <w:name w:val="Preamble"/>
    <w:basedOn w:val="OPCParaBase"/>
    <w:next w:val="Normal"/>
    <w:rsid w:val="00F03D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03D51"/>
    <w:pPr>
      <w:spacing w:line="240" w:lineRule="auto"/>
    </w:pPr>
    <w:rPr>
      <w:i/>
      <w:sz w:val="20"/>
    </w:rPr>
  </w:style>
  <w:style w:type="paragraph" w:customStyle="1" w:styleId="Session">
    <w:name w:val="Session"/>
    <w:basedOn w:val="OPCParaBase"/>
    <w:rsid w:val="00F03D51"/>
    <w:pPr>
      <w:spacing w:line="240" w:lineRule="auto"/>
    </w:pPr>
    <w:rPr>
      <w:sz w:val="28"/>
    </w:rPr>
  </w:style>
  <w:style w:type="paragraph" w:customStyle="1" w:styleId="Sponsor">
    <w:name w:val="Sponsor"/>
    <w:basedOn w:val="OPCParaBase"/>
    <w:rsid w:val="00F03D51"/>
    <w:pPr>
      <w:spacing w:line="240" w:lineRule="auto"/>
    </w:pPr>
    <w:rPr>
      <w:i/>
    </w:rPr>
  </w:style>
  <w:style w:type="paragraph" w:customStyle="1" w:styleId="Subitem">
    <w:name w:val="Subitem"/>
    <w:aliases w:val="iss"/>
    <w:basedOn w:val="OPCParaBase"/>
    <w:rsid w:val="00F03D51"/>
    <w:pPr>
      <w:spacing w:before="180" w:line="240" w:lineRule="auto"/>
      <w:ind w:left="709" w:hanging="709"/>
    </w:pPr>
  </w:style>
  <w:style w:type="paragraph" w:customStyle="1" w:styleId="SubitemHead">
    <w:name w:val="SubitemHead"/>
    <w:aliases w:val="issh"/>
    <w:basedOn w:val="OPCParaBase"/>
    <w:rsid w:val="00F03D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03D51"/>
    <w:pPr>
      <w:spacing w:before="40" w:line="240" w:lineRule="auto"/>
      <w:ind w:left="1134"/>
    </w:pPr>
  </w:style>
  <w:style w:type="paragraph" w:customStyle="1" w:styleId="SubsectionHead">
    <w:name w:val="SubsectionHead"/>
    <w:aliases w:val="ssh"/>
    <w:basedOn w:val="OPCParaBase"/>
    <w:next w:val="subsection"/>
    <w:rsid w:val="00F03D51"/>
    <w:pPr>
      <w:keepNext/>
      <w:keepLines/>
      <w:spacing w:before="240" w:line="240" w:lineRule="auto"/>
      <w:ind w:left="1134"/>
    </w:pPr>
    <w:rPr>
      <w:i/>
    </w:rPr>
  </w:style>
  <w:style w:type="paragraph" w:customStyle="1" w:styleId="Tablea">
    <w:name w:val="Table(a)"/>
    <w:aliases w:val="ta"/>
    <w:basedOn w:val="OPCParaBase"/>
    <w:rsid w:val="00F03D51"/>
    <w:pPr>
      <w:spacing w:before="60" w:line="240" w:lineRule="auto"/>
      <w:ind w:left="284" w:hanging="284"/>
    </w:pPr>
    <w:rPr>
      <w:sz w:val="20"/>
    </w:rPr>
  </w:style>
  <w:style w:type="paragraph" w:customStyle="1" w:styleId="TableAA">
    <w:name w:val="Table(AA)"/>
    <w:aliases w:val="taaa"/>
    <w:basedOn w:val="OPCParaBase"/>
    <w:rsid w:val="00F03D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03D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03D51"/>
    <w:pPr>
      <w:spacing w:before="60" w:line="240" w:lineRule="atLeast"/>
    </w:pPr>
    <w:rPr>
      <w:sz w:val="20"/>
    </w:rPr>
  </w:style>
  <w:style w:type="paragraph" w:customStyle="1" w:styleId="TLPBoxTextnote">
    <w:name w:val="TLPBoxText(note"/>
    <w:aliases w:val="right)"/>
    <w:basedOn w:val="OPCParaBase"/>
    <w:rsid w:val="00F03D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03D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03D51"/>
    <w:pPr>
      <w:spacing w:before="122" w:line="198" w:lineRule="exact"/>
      <w:ind w:left="1985" w:hanging="851"/>
      <w:jc w:val="right"/>
    </w:pPr>
    <w:rPr>
      <w:sz w:val="18"/>
    </w:rPr>
  </w:style>
  <w:style w:type="paragraph" w:customStyle="1" w:styleId="TLPTableBullet">
    <w:name w:val="TLPTableBullet"/>
    <w:aliases w:val="ttb"/>
    <w:basedOn w:val="OPCParaBase"/>
    <w:rsid w:val="00F03D51"/>
    <w:pPr>
      <w:spacing w:line="240" w:lineRule="exact"/>
      <w:ind w:left="284" w:hanging="284"/>
    </w:pPr>
    <w:rPr>
      <w:sz w:val="20"/>
    </w:rPr>
  </w:style>
  <w:style w:type="paragraph" w:styleId="TOC1">
    <w:name w:val="toc 1"/>
    <w:basedOn w:val="OPCParaBase"/>
    <w:next w:val="Normal"/>
    <w:uiPriority w:val="39"/>
    <w:semiHidden/>
    <w:unhideWhenUsed/>
    <w:rsid w:val="00F03D5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03D5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03D5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03D5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03D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03D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03D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03D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03D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03D51"/>
    <w:pPr>
      <w:keepLines/>
      <w:spacing w:before="240" w:after="120" w:line="240" w:lineRule="auto"/>
      <w:ind w:left="794"/>
    </w:pPr>
    <w:rPr>
      <w:b/>
      <w:kern w:val="28"/>
      <w:sz w:val="20"/>
    </w:rPr>
  </w:style>
  <w:style w:type="paragraph" w:customStyle="1" w:styleId="TofSectsHeading">
    <w:name w:val="TofSects(Heading)"/>
    <w:basedOn w:val="OPCParaBase"/>
    <w:rsid w:val="00F03D51"/>
    <w:pPr>
      <w:spacing w:before="240" w:after="120" w:line="240" w:lineRule="auto"/>
    </w:pPr>
    <w:rPr>
      <w:b/>
      <w:sz w:val="24"/>
    </w:rPr>
  </w:style>
  <w:style w:type="paragraph" w:customStyle="1" w:styleId="TofSectsSection">
    <w:name w:val="TofSects(Section)"/>
    <w:basedOn w:val="OPCParaBase"/>
    <w:rsid w:val="00F03D51"/>
    <w:pPr>
      <w:keepLines/>
      <w:spacing w:before="40" w:line="240" w:lineRule="auto"/>
      <w:ind w:left="1588" w:hanging="794"/>
    </w:pPr>
    <w:rPr>
      <w:kern w:val="28"/>
      <w:sz w:val="18"/>
    </w:rPr>
  </w:style>
  <w:style w:type="paragraph" w:customStyle="1" w:styleId="TofSectsSubdiv">
    <w:name w:val="TofSects(Subdiv)"/>
    <w:basedOn w:val="OPCParaBase"/>
    <w:rsid w:val="00F03D51"/>
    <w:pPr>
      <w:keepLines/>
      <w:spacing w:before="80" w:line="240" w:lineRule="auto"/>
      <w:ind w:left="1588" w:hanging="794"/>
    </w:pPr>
    <w:rPr>
      <w:kern w:val="28"/>
    </w:rPr>
  </w:style>
  <w:style w:type="paragraph" w:customStyle="1" w:styleId="WRStyle">
    <w:name w:val="WR Style"/>
    <w:aliases w:val="WR"/>
    <w:basedOn w:val="OPCParaBase"/>
    <w:rsid w:val="00F03D51"/>
    <w:pPr>
      <w:spacing w:before="240" w:line="240" w:lineRule="auto"/>
      <w:ind w:left="284" w:hanging="284"/>
    </w:pPr>
    <w:rPr>
      <w:b/>
      <w:i/>
      <w:kern w:val="28"/>
      <w:sz w:val="24"/>
    </w:rPr>
  </w:style>
  <w:style w:type="paragraph" w:customStyle="1" w:styleId="notepara">
    <w:name w:val="note(para)"/>
    <w:aliases w:val="na"/>
    <w:basedOn w:val="OPCParaBase"/>
    <w:rsid w:val="00F03D51"/>
    <w:pPr>
      <w:spacing w:before="40" w:line="198" w:lineRule="exact"/>
      <w:ind w:left="2354" w:hanging="369"/>
    </w:pPr>
    <w:rPr>
      <w:sz w:val="18"/>
    </w:rPr>
  </w:style>
  <w:style w:type="paragraph" w:styleId="Footer">
    <w:name w:val="footer"/>
    <w:link w:val="FooterChar"/>
    <w:rsid w:val="00F03D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03D51"/>
    <w:rPr>
      <w:rFonts w:eastAsia="Times New Roman" w:cs="Times New Roman"/>
      <w:sz w:val="22"/>
      <w:szCs w:val="24"/>
      <w:lang w:eastAsia="en-AU"/>
    </w:rPr>
  </w:style>
  <w:style w:type="character" w:styleId="LineNumber">
    <w:name w:val="line number"/>
    <w:basedOn w:val="OPCCharBase"/>
    <w:uiPriority w:val="99"/>
    <w:semiHidden/>
    <w:unhideWhenUsed/>
    <w:rsid w:val="00F03D51"/>
    <w:rPr>
      <w:sz w:val="16"/>
    </w:rPr>
  </w:style>
  <w:style w:type="table" w:customStyle="1" w:styleId="CFlag">
    <w:name w:val="CFlag"/>
    <w:basedOn w:val="TableNormal"/>
    <w:uiPriority w:val="99"/>
    <w:rsid w:val="00F03D51"/>
    <w:rPr>
      <w:rFonts w:eastAsia="Times New Roman" w:cs="Times New Roman"/>
      <w:lang w:eastAsia="en-AU"/>
    </w:rPr>
    <w:tblPr/>
  </w:style>
  <w:style w:type="paragraph" w:customStyle="1" w:styleId="NotesHeading1">
    <w:name w:val="NotesHeading 1"/>
    <w:basedOn w:val="OPCParaBase"/>
    <w:next w:val="Normal"/>
    <w:rsid w:val="00F03D51"/>
    <w:rPr>
      <w:b/>
      <w:sz w:val="28"/>
      <w:szCs w:val="28"/>
    </w:rPr>
  </w:style>
  <w:style w:type="paragraph" w:customStyle="1" w:styleId="NotesHeading2">
    <w:name w:val="NotesHeading 2"/>
    <w:basedOn w:val="OPCParaBase"/>
    <w:next w:val="Normal"/>
    <w:rsid w:val="00F03D51"/>
    <w:rPr>
      <w:b/>
      <w:sz w:val="28"/>
      <w:szCs w:val="28"/>
    </w:rPr>
  </w:style>
  <w:style w:type="paragraph" w:customStyle="1" w:styleId="SignCoverPageEnd">
    <w:name w:val="SignCoverPageEnd"/>
    <w:basedOn w:val="OPCParaBase"/>
    <w:next w:val="Normal"/>
    <w:rsid w:val="00F03D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03D51"/>
    <w:pPr>
      <w:pBdr>
        <w:top w:val="single" w:sz="4" w:space="1" w:color="auto"/>
      </w:pBdr>
      <w:spacing w:before="360"/>
      <w:ind w:right="397"/>
      <w:jc w:val="both"/>
    </w:pPr>
  </w:style>
  <w:style w:type="paragraph" w:customStyle="1" w:styleId="Paragraphsub-sub-sub">
    <w:name w:val="Paragraph(sub-sub-sub)"/>
    <w:aliases w:val="aaaa"/>
    <w:basedOn w:val="OPCParaBase"/>
    <w:rsid w:val="00F03D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03D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03D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03D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03D5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03D51"/>
    <w:pPr>
      <w:spacing w:before="120"/>
    </w:pPr>
  </w:style>
  <w:style w:type="paragraph" w:customStyle="1" w:styleId="TableTextEndNotes">
    <w:name w:val="TableTextEndNotes"/>
    <w:aliases w:val="Tten"/>
    <w:basedOn w:val="Normal"/>
    <w:rsid w:val="00F03D51"/>
    <w:pPr>
      <w:spacing w:before="60" w:line="240" w:lineRule="auto"/>
    </w:pPr>
    <w:rPr>
      <w:rFonts w:cs="Arial"/>
      <w:sz w:val="20"/>
      <w:szCs w:val="22"/>
    </w:rPr>
  </w:style>
  <w:style w:type="paragraph" w:customStyle="1" w:styleId="TableHeading">
    <w:name w:val="TableHeading"/>
    <w:aliases w:val="th"/>
    <w:basedOn w:val="OPCParaBase"/>
    <w:next w:val="Tabletext"/>
    <w:rsid w:val="00F03D51"/>
    <w:pPr>
      <w:keepNext/>
      <w:spacing w:before="60" w:line="240" w:lineRule="atLeast"/>
    </w:pPr>
    <w:rPr>
      <w:b/>
      <w:sz w:val="20"/>
    </w:rPr>
  </w:style>
  <w:style w:type="paragraph" w:customStyle="1" w:styleId="NoteToSubpara">
    <w:name w:val="NoteToSubpara"/>
    <w:aliases w:val="nts"/>
    <w:basedOn w:val="OPCParaBase"/>
    <w:rsid w:val="00F03D51"/>
    <w:pPr>
      <w:spacing w:before="40" w:line="198" w:lineRule="exact"/>
      <w:ind w:left="2835" w:hanging="709"/>
    </w:pPr>
    <w:rPr>
      <w:sz w:val="18"/>
    </w:rPr>
  </w:style>
  <w:style w:type="paragraph" w:customStyle="1" w:styleId="ENoteTableHeading">
    <w:name w:val="ENoteTableHeading"/>
    <w:aliases w:val="enth"/>
    <w:basedOn w:val="OPCParaBase"/>
    <w:rsid w:val="00F03D51"/>
    <w:pPr>
      <w:keepNext/>
      <w:spacing w:before="60" w:line="240" w:lineRule="atLeast"/>
    </w:pPr>
    <w:rPr>
      <w:rFonts w:ascii="Arial" w:hAnsi="Arial"/>
      <w:b/>
      <w:sz w:val="16"/>
    </w:rPr>
  </w:style>
  <w:style w:type="paragraph" w:customStyle="1" w:styleId="ENoteTTi">
    <w:name w:val="ENoteTTi"/>
    <w:aliases w:val="entti"/>
    <w:basedOn w:val="OPCParaBase"/>
    <w:rsid w:val="00F03D51"/>
    <w:pPr>
      <w:keepNext/>
      <w:spacing w:before="60" w:line="240" w:lineRule="atLeast"/>
      <w:ind w:left="170"/>
    </w:pPr>
    <w:rPr>
      <w:sz w:val="16"/>
    </w:rPr>
  </w:style>
  <w:style w:type="paragraph" w:customStyle="1" w:styleId="ENotesHeading1">
    <w:name w:val="ENotesHeading 1"/>
    <w:aliases w:val="Enh1"/>
    <w:basedOn w:val="OPCParaBase"/>
    <w:next w:val="Normal"/>
    <w:rsid w:val="00F03D51"/>
    <w:pPr>
      <w:spacing w:before="120"/>
      <w:outlineLvl w:val="1"/>
    </w:pPr>
    <w:rPr>
      <w:b/>
      <w:sz w:val="28"/>
      <w:szCs w:val="28"/>
    </w:rPr>
  </w:style>
  <w:style w:type="paragraph" w:customStyle="1" w:styleId="ENotesHeading2">
    <w:name w:val="ENotesHeading 2"/>
    <w:aliases w:val="Enh2"/>
    <w:basedOn w:val="OPCParaBase"/>
    <w:next w:val="Normal"/>
    <w:rsid w:val="00F03D51"/>
    <w:pPr>
      <w:spacing w:before="120" w:after="120"/>
      <w:outlineLvl w:val="2"/>
    </w:pPr>
    <w:rPr>
      <w:b/>
      <w:sz w:val="24"/>
      <w:szCs w:val="28"/>
    </w:rPr>
  </w:style>
  <w:style w:type="paragraph" w:customStyle="1" w:styleId="ENoteTTIndentHeading">
    <w:name w:val="ENoteTTIndentHeading"/>
    <w:aliases w:val="enTTHi"/>
    <w:basedOn w:val="OPCParaBase"/>
    <w:rsid w:val="00F03D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03D51"/>
    <w:pPr>
      <w:spacing w:before="60" w:line="240" w:lineRule="atLeast"/>
    </w:pPr>
    <w:rPr>
      <w:sz w:val="16"/>
    </w:rPr>
  </w:style>
  <w:style w:type="paragraph" w:customStyle="1" w:styleId="MadeunderText">
    <w:name w:val="MadeunderText"/>
    <w:basedOn w:val="OPCParaBase"/>
    <w:next w:val="Normal"/>
    <w:rsid w:val="00F03D51"/>
    <w:pPr>
      <w:spacing w:before="240"/>
    </w:pPr>
    <w:rPr>
      <w:sz w:val="24"/>
      <w:szCs w:val="24"/>
    </w:rPr>
  </w:style>
  <w:style w:type="paragraph" w:customStyle="1" w:styleId="ENotesHeading3">
    <w:name w:val="ENotesHeading 3"/>
    <w:aliases w:val="Enh3"/>
    <w:basedOn w:val="OPCParaBase"/>
    <w:next w:val="Normal"/>
    <w:rsid w:val="00F03D51"/>
    <w:pPr>
      <w:keepNext/>
      <w:spacing w:before="120" w:line="240" w:lineRule="auto"/>
      <w:outlineLvl w:val="4"/>
    </w:pPr>
    <w:rPr>
      <w:b/>
      <w:szCs w:val="24"/>
    </w:rPr>
  </w:style>
  <w:style w:type="paragraph" w:customStyle="1" w:styleId="SubPartCASA">
    <w:name w:val="SubPart(CASA)"/>
    <w:aliases w:val="csp"/>
    <w:basedOn w:val="OPCParaBase"/>
    <w:next w:val="ActHead3"/>
    <w:rsid w:val="00F03D5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03D51"/>
  </w:style>
  <w:style w:type="character" w:customStyle="1" w:styleId="CharSubPartNoCASA">
    <w:name w:val="CharSubPartNo(CASA)"/>
    <w:basedOn w:val="OPCCharBase"/>
    <w:uiPriority w:val="1"/>
    <w:rsid w:val="00F03D51"/>
  </w:style>
  <w:style w:type="paragraph" w:customStyle="1" w:styleId="ENoteTTIndentHeadingSub">
    <w:name w:val="ENoteTTIndentHeadingSub"/>
    <w:aliases w:val="enTTHis"/>
    <w:basedOn w:val="OPCParaBase"/>
    <w:rsid w:val="00F03D51"/>
    <w:pPr>
      <w:keepNext/>
      <w:spacing w:before="60" w:line="240" w:lineRule="atLeast"/>
      <w:ind w:left="340"/>
    </w:pPr>
    <w:rPr>
      <w:b/>
      <w:sz w:val="16"/>
    </w:rPr>
  </w:style>
  <w:style w:type="paragraph" w:customStyle="1" w:styleId="ENoteTTiSub">
    <w:name w:val="ENoteTTiSub"/>
    <w:aliases w:val="enttis"/>
    <w:basedOn w:val="OPCParaBase"/>
    <w:rsid w:val="00F03D51"/>
    <w:pPr>
      <w:keepNext/>
      <w:spacing w:before="60" w:line="240" w:lineRule="atLeast"/>
      <w:ind w:left="340"/>
    </w:pPr>
    <w:rPr>
      <w:sz w:val="16"/>
    </w:rPr>
  </w:style>
  <w:style w:type="paragraph" w:customStyle="1" w:styleId="SubDivisionMigration">
    <w:name w:val="SubDivisionMigration"/>
    <w:aliases w:val="sdm"/>
    <w:basedOn w:val="OPCParaBase"/>
    <w:rsid w:val="00F03D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03D51"/>
    <w:pPr>
      <w:keepNext/>
      <w:keepLines/>
      <w:spacing w:before="240" w:line="240" w:lineRule="auto"/>
      <w:ind w:left="1134" w:hanging="1134"/>
    </w:pPr>
    <w:rPr>
      <w:b/>
      <w:sz w:val="28"/>
    </w:rPr>
  </w:style>
  <w:style w:type="table" w:styleId="TableGrid">
    <w:name w:val="Table Grid"/>
    <w:basedOn w:val="TableNormal"/>
    <w:uiPriority w:val="59"/>
    <w:rsid w:val="00F0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03D51"/>
    <w:pPr>
      <w:spacing w:before="122" w:line="240" w:lineRule="auto"/>
      <w:ind w:left="1985" w:hanging="851"/>
    </w:pPr>
    <w:rPr>
      <w:sz w:val="18"/>
    </w:rPr>
  </w:style>
  <w:style w:type="paragraph" w:customStyle="1" w:styleId="FreeForm">
    <w:name w:val="FreeForm"/>
    <w:rsid w:val="00F03D51"/>
    <w:rPr>
      <w:rFonts w:ascii="Arial" w:hAnsi="Arial"/>
      <w:sz w:val="22"/>
    </w:rPr>
  </w:style>
  <w:style w:type="paragraph" w:customStyle="1" w:styleId="SOText">
    <w:name w:val="SO Text"/>
    <w:aliases w:val="sot"/>
    <w:link w:val="SOTextChar"/>
    <w:rsid w:val="00F03D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03D51"/>
    <w:rPr>
      <w:sz w:val="22"/>
    </w:rPr>
  </w:style>
  <w:style w:type="paragraph" w:customStyle="1" w:styleId="SOTextNote">
    <w:name w:val="SO TextNote"/>
    <w:aliases w:val="sont"/>
    <w:basedOn w:val="SOText"/>
    <w:qFormat/>
    <w:rsid w:val="00F03D51"/>
    <w:pPr>
      <w:spacing w:before="122" w:line="198" w:lineRule="exact"/>
      <w:ind w:left="1843" w:hanging="709"/>
    </w:pPr>
    <w:rPr>
      <w:sz w:val="18"/>
    </w:rPr>
  </w:style>
  <w:style w:type="paragraph" w:customStyle="1" w:styleId="SOPara">
    <w:name w:val="SO Para"/>
    <w:aliases w:val="soa"/>
    <w:basedOn w:val="SOText"/>
    <w:link w:val="SOParaChar"/>
    <w:qFormat/>
    <w:rsid w:val="00F03D51"/>
    <w:pPr>
      <w:tabs>
        <w:tab w:val="right" w:pos="1786"/>
      </w:tabs>
      <w:spacing w:before="40"/>
      <w:ind w:left="2070" w:hanging="936"/>
    </w:pPr>
  </w:style>
  <w:style w:type="character" w:customStyle="1" w:styleId="SOParaChar">
    <w:name w:val="SO Para Char"/>
    <w:aliases w:val="soa Char"/>
    <w:basedOn w:val="DefaultParagraphFont"/>
    <w:link w:val="SOPara"/>
    <w:rsid w:val="00F03D51"/>
    <w:rPr>
      <w:sz w:val="22"/>
    </w:rPr>
  </w:style>
  <w:style w:type="paragraph" w:customStyle="1" w:styleId="FileName">
    <w:name w:val="FileName"/>
    <w:basedOn w:val="Normal"/>
    <w:rsid w:val="00F03D51"/>
  </w:style>
  <w:style w:type="paragraph" w:customStyle="1" w:styleId="SOHeadBold">
    <w:name w:val="SO HeadBold"/>
    <w:aliases w:val="sohb"/>
    <w:basedOn w:val="SOText"/>
    <w:next w:val="SOText"/>
    <w:link w:val="SOHeadBoldChar"/>
    <w:qFormat/>
    <w:rsid w:val="00F03D51"/>
    <w:rPr>
      <w:b/>
    </w:rPr>
  </w:style>
  <w:style w:type="character" w:customStyle="1" w:styleId="SOHeadBoldChar">
    <w:name w:val="SO HeadBold Char"/>
    <w:aliases w:val="sohb Char"/>
    <w:basedOn w:val="DefaultParagraphFont"/>
    <w:link w:val="SOHeadBold"/>
    <w:rsid w:val="00F03D51"/>
    <w:rPr>
      <w:b/>
      <w:sz w:val="22"/>
    </w:rPr>
  </w:style>
  <w:style w:type="paragraph" w:customStyle="1" w:styleId="SOHeadItalic">
    <w:name w:val="SO HeadItalic"/>
    <w:aliases w:val="sohi"/>
    <w:basedOn w:val="SOText"/>
    <w:next w:val="SOText"/>
    <w:link w:val="SOHeadItalicChar"/>
    <w:qFormat/>
    <w:rsid w:val="00F03D51"/>
    <w:rPr>
      <w:i/>
    </w:rPr>
  </w:style>
  <w:style w:type="character" w:customStyle="1" w:styleId="SOHeadItalicChar">
    <w:name w:val="SO HeadItalic Char"/>
    <w:aliases w:val="sohi Char"/>
    <w:basedOn w:val="DefaultParagraphFont"/>
    <w:link w:val="SOHeadItalic"/>
    <w:rsid w:val="00F03D51"/>
    <w:rPr>
      <w:i/>
      <w:sz w:val="22"/>
    </w:rPr>
  </w:style>
  <w:style w:type="paragraph" w:customStyle="1" w:styleId="SOBullet">
    <w:name w:val="SO Bullet"/>
    <w:aliases w:val="sotb"/>
    <w:basedOn w:val="SOText"/>
    <w:link w:val="SOBulletChar"/>
    <w:qFormat/>
    <w:rsid w:val="00F03D51"/>
    <w:pPr>
      <w:ind w:left="1559" w:hanging="425"/>
    </w:pPr>
  </w:style>
  <w:style w:type="character" w:customStyle="1" w:styleId="SOBulletChar">
    <w:name w:val="SO Bullet Char"/>
    <w:aliases w:val="sotb Char"/>
    <w:basedOn w:val="DefaultParagraphFont"/>
    <w:link w:val="SOBullet"/>
    <w:rsid w:val="00F03D51"/>
    <w:rPr>
      <w:sz w:val="22"/>
    </w:rPr>
  </w:style>
  <w:style w:type="paragraph" w:customStyle="1" w:styleId="SOBulletNote">
    <w:name w:val="SO BulletNote"/>
    <w:aliases w:val="sonb"/>
    <w:basedOn w:val="SOTextNote"/>
    <w:link w:val="SOBulletNoteChar"/>
    <w:qFormat/>
    <w:rsid w:val="00F03D51"/>
    <w:pPr>
      <w:tabs>
        <w:tab w:val="left" w:pos="1560"/>
      </w:tabs>
      <w:ind w:left="2268" w:hanging="1134"/>
    </w:pPr>
  </w:style>
  <w:style w:type="character" w:customStyle="1" w:styleId="SOBulletNoteChar">
    <w:name w:val="SO BulletNote Char"/>
    <w:aliases w:val="sonb Char"/>
    <w:basedOn w:val="DefaultParagraphFont"/>
    <w:link w:val="SOBulletNote"/>
    <w:rsid w:val="00F03D51"/>
    <w:rPr>
      <w:sz w:val="18"/>
    </w:rPr>
  </w:style>
  <w:style w:type="paragraph" w:customStyle="1" w:styleId="SOText2">
    <w:name w:val="SO Text2"/>
    <w:aliases w:val="sot2"/>
    <w:basedOn w:val="Normal"/>
    <w:next w:val="SOText"/>
    <w:link w:val="SOText2Char"/>
    <w:rsid w:val="00F03D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03D51"/>
    <w:rPr>
      <w:sz w:val="22"/>
    </w:rPr>
  </w:style>
  <w:style w:type="paragraph" w:customStyle="1" w:styleId="Transitional">
    <w:name w:val="Transitional"/>
    <w:aliases w:val="tr"/>
    <w:basedOn w:val="ItemHead"/>
    <w:next w:val="Item"/>
    <w:rsid w:val="00F03D51"/>
  </w:style>
  <w:style w:type="character" w:customStyle="1" w:styleId="subsectionChar">
    <w:name w:val="subsection Char"/>
    <w:aliases w:val="ss Char"/>
    <w:basedOn w:val="DefaultParagraphFont"/>
    <w:link w:val="subsection"/>
    <w:locked/>
    <w:rsid w:val="00FA5E88"/>
    <w:rPr>
      <w:rFonts w:eastAsia="Times New Roman" w:cs="Times New Roman"/>
      <w:sz w:val="22"/>
      <w:lang w:eastAsia="en-AU"/>
    </w:rPr>
  </w:style>
  <w:style w:type="character" w:customStyle="1" w:styleId="notetextChar">
    <w:name w:val="note(text) Char"/>
    <w:aliases w:val="n Char"/>
    <w:basedOn w:val="DefaultParagraphFont"/>
    <w:link w:val="notetext"/>
    <w:rsid w:val="00FA5E88"/>
    <w:rPr>
      <w:rFonts w:eastAsia="Times New Roman" w:cs="Times New Roman"/>
      <w:sz w:val="18"/>
      <w:lang w:eastAsia="en-AU"/>
    </w:rPr>
  </w:style>
  <w:style w:type="character" w:customStyle="1" w:styleId="Heading1Char">
    <w:name w:val="Heading 1 Char"/>
    <w:basedOn w:val="DefaultParagraphFont"/>
    <w:link w:val="Heading1"/>
    <w:uiPriority w:val="9"/>
    <w:rsid w:val="00FA5E8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A5E8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A5E8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A5E8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A5E8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A5E8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A5E8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A5E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5E88"/>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FA5E88"/>
    <w:rPr>
      <w:rFonts w:eastAsia="Times New Roman" w:cs="Times New Roman"/>
      <w:sz w:val="22"/>
      <w:lang w:eastAsia="en-AU"/>
    </w:rPr>
  </w:style>
  <w:style w:type="character" w:customStyle="1" w:styleId="ItemChar">
    <w:name w:val="Item Char"/>
    <w:aliases w:val="i Char"/>
    <w:basedOn w:val="DefaultParagraphFont"/>
    <w:link w:val="Item"/>
    <w:rsid w:val="00FA5E88"/>
    <w:rPr>
      <w:rFonts w:eastAsia="Times New Roman" w:cs="Times New Roman"/>
      <w:sz w:val="22"/>
      <w:lang w:eastAsia="en-AU"/>
    </w:rPr>
  </w:style>
  <w:style w:type="character" w:customStyle="1" w:styleId="ActHead5Char">
    <w:name w:val="ActHead 5 Char"/>
    <w:aliases w:val="s Char"/>
    <w:link w:val="ActHead5"/>
    <w:rsid w:val="00FA5E88"/>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FA5E88"/>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9977F4"/>
    <w:rPr>
      <w:color w:val="0000FF" w:themeColor="hyperlink"/>
      <w:u w:val="single"/>
    </w:rPr>
  </w:style>
  <w:style w:type="character" w:styleId="FollowedHyperlink">
    <w:name w:val="FollowedHyperlink"/>
    <w:basedOn w:val="DefaultParagraphFont"/>
    <w:uiPriority w:val="99"/>
    <w:semiHidden/>
    <w:unhideWhenUsed/>
    <w:rsid w:val="009977F4"/>
    <w:rPr>
      <w:color w:val="0000FF" w:themeColor="hyperlink"/>
      <w:u w:val="single"/>
    </w:rPr>
  </w:style>
  <w:style w:type="paragraph" w:customStyle="1" w:styleId="ShortTP1">
    <w:name w:val="ShortTP1"/>
    <w:basedOn w:val="ShortT"/>
    <w:link w:val="ShortTP1Char"/>
    <w:rsid w:val="00A45E43"/>
    <w:pPr>
      <w:spacing w:before="800"/>
    </w:pPr>
  </w:style>
  <w:style w:type="character" w:customStyle="1" w:styleId="ShortTP1Char">
    <w:name w:val="ShortTP1 Char"/>
    <w:basedOn w:val="DefaultParagraphFont"/>
    <w:link w:val="ShortTP1"/>
    <w:rsid w:val="00A45E43"/>
    <w:rPr>
      <w:rFonts w:eastAsia="Times New Roman" w:cs="Times New Roman"/>
      <w:b/>
      <w:sz w:val="40"/>
      <w:lang w:eastAsia="en-AU"/>
    </w:rPr>
  </w:style>
  <w:style w:type="paragraph" w:customStyle="1" w:styleId="ActNoP1">
    <w:name w:val="ActNoP1"/>
    <w:basedOn w:val="Actno"/>
    <w:link w:val="ActNoP1Char"/>
    <w:rsid w:val="00A45E43"/>
    <w:pPr>
      <w:spacing w:before="800"/>
    </w:pPr>
    <w:rPr>
      <w:sz w:val="28"/>
    </w:rPr>
  </w:style>
  <w:style w:type="character" w:customStyle="1" w:styleId="ActNoP1Char">
    <w:name w:val="ActNoP1 Char"/>
    <w:basedOn w:val="DefaultParagraphFont"/>
    <w:link w:val="ActNoP1"/>
    <w:rsid w:val="00A45E43"/>
    <w:rPr>
      <w:rFonts w:eastAsia="Times New Roman" w:cs="Times New Roman"/>
      <w:b/>
      <w:sz w:val="28"/>
      <w:lang w:eastAsia="en-AU"/>
    </w:rPr>
  </w:style>
  <w:style w:type="paragraph" w:customStyle="1" w:styleId="AssentBk">
    <w:name w:val="AssentBk"/>
    <w:basedOn w:val="Normal"/>
    <w:rsid w:val="00A45E43"/>
    <w:pPr>
      <w:spacing w:line="240" w:lineRule="auto"/>
    </w:pPr>
    <w:rPr>
      <w:rFonts w:eastAsia="Times New Roman" w:cs="Times New Roman"/>
      <w:sz w:val="20"/>
      <w:lang w:eastAsia="en-AU"/>
    </w:rPr>
  </w:style>
  <w:style w:type="paragraph" w:customStyle="1" w:styleId="AssentDt">
    <w:name w:val="AssentDt"/>
    <w:basedOn w:val="Normal"/>
    <w:rsid w:val="00FF28E6"/>
    <w:pPr>
      <w:spacing w:line="240" w:lineRule="auto"/>
    </w:pPr>
    <w:rPr>
      <w:rFonts w:eastAsia="Times New Roman" w:cs="Times New Roman"/>
      <w:sz w:val="20"/>
      <w:lang w:eastAsia="en-AU"/>
    </w:rPr>
  </w:style>
  <w:style w:type="paragraph" w:customStyle="1" w:styleId="2ndRd">
    <w:name w:val="2ndRd"/>
    <w:basedOn w:val="Normal"/>
    <w:rsid w:val="00FF28E6"/>
    <w:pPr>
      <w:spacing w:line="240" w:lineRule="auto"/>
    </w:pPr>
    <w:rPr>
      <w:rFonts w:eastAsia="Times New Roman" w:cs="Times New Roman"/>
      <w:sz w:val="20"/>
      <w:lang w:eastAsia="en-AU"/>
    </w:rPr>
  </w:style>
  <w:style w:type="paragraph" w:customStyle="1" w:styleId="ScalePlusRef">
    <w:name w:val="ScalePlusRef"/>
    <w:basedOn w:val="Normal"/>
    <w:rsid w:val="00FF28E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19</Pages>
  <Words>3790</Words>
  <Characters>18624</Characters>
  <Application>Microsoft Office Word</Application>
  <DocSecurity>0</DocSecurity>
  <PresentationFormat/>
  <Lines>689</Lines>
  <Paragraphs>723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2021-05-19T01:36:00Z</cp:lastPrinted>
  <dcterms:created xsi:type="dcterms:W3CDTF">2021-06-28T01:46:00Z</dcterms:created>
  <dcterms:modified xsi:type="dcterms:W3CDTF">2021-06-28T01:57:00Z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Legislation Amendment (Portability Extensions) Act 2021</vt:lpwstr>
  </property>
  <property fmtid="{D5CDD505-2E9C-101B-9397-08002B2CF9AE}" pid="3" name="ActNo">
    <vt:lpwstr>No. 53,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OPC7765</vt:lpwstr>
  </property>
</Properties>
</file>