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6445242"/>
    <w:p w14:paraId="618F15C5" w14:textId="212DB46B" w:rsidR="003E2157" w:rsidRDefault="003E2157" w:rsidP="003E2157">
      <w:r>
        <w:object w:dxaOrig="2146" w:dyaOrig="1561" w14:anchorId="0C54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692708357" r:id="rId8"/>
        </w:object>
      </w:r>
    </w:p>
    <w:p w14:paraId="2673A8A2" w14:textId="77777777" w:rsidR="003E2157" w:rsidRDefault="003E2157" w:rsidP="003E2157"/>
    <w:p w14:paraId="0AFFBD27" w14:textId="77777777" w:rsidR="003E2157" w:rsidRDefault="003E2157" w:rsidP="003E2157"/>
    <w:p w14:paraId="13E94928" w14:textId="77777777" w:rsidR="003E2157" w:rsidRDefault="003E2157" w:rsidP="003E2157"/>
    <w:p w14:paraId="469411C1" w14:textId="77777777" w:rsidR="003E2157" w:rsidRDefault="003E2157" w:rsidP="003E2157"/>
    <w:p w14:paraId="446DA6F1" w14:textId="77777777" w:rsidR="003E2157" w:rsidRDefault="003E2157" w:rsidP="003E2157"/>
    <w:p w14:paraId="3B0284A7" w14:textId="77777777" w:rsidR="003E2157" w:rsidRDefault="003E2157" w:rsidP="003E2157"/>
    <w:p w14:paraId="65C4E6AB" w14:textId="78112CC8" w:rsidR="0048364F" w:rsidRPr="00005DD3" w:rsidRDefault="003E2157" w:rsidP="0048364F">
      <w:pPr>
        <w:pStyle w:val="ShortT"/>
      </w:pPr>
      <w:r>
        <w:t>Sydney Harbour Federation Trust Amendment Act 2021</w:t>
      </w:r>
    </w:p>
    <w:bookmarkEnd w:id="0"/>
    <w:p w14:paraId="4DD22ABA" w14:textId="77777777" w:rsidR="0048364F" w:rsidRPr="00005DD3" w:rsidRDefault="0048364F" w:rsidP="0048364F"/>
    <w:p w14:paraId="12BDFE09" w14:textId="21A6E6C3" w:rsidR="0048364F" w:rsidRPr="00005DD3" w:rsidRDefault="00C164CA" w:rsidP="003E2157">
      <w:pPr>
        <w:pStyle w:val="Actno"/>
        <w:spacing w:before="400"/>
      </w:pPr>
      <w:r w:rsidRPr="00005DD3">
        <w:t>No</w:t>
      </w:r>
      <w:r w:rsidR="008C180A">
        <w:t>.</w:t>
      </w:r>
      <w:r w:rsidR="00E03B46">
        <w:t xml:space="preserve"> 49</w:t>
      </w:r>
      <w:r w:rsidRPr="00005DD3">
        <w:t>, 20</w:t>
      </w:r>
      <w:r w:rsidR="00933E5A" w:rsidRPr="00005DD3">
        <w:t>21</w:t>
      </w:r>
    </w:p>
    <w:p w14:paraId="1DC7584B" w14:textId="77777777" w:rsidR="0048364F" w:rsidRPr="00005DD3" w:rsidRDefault="0048364F" w:rsidP="0048364F"/>
    <w:p w14:paraId="64AB815E" w14:textId="77777777" w:rsidR="00173D5D" w:rsidRDefault="00173D5D" w:rsidP="00173D5D">
      <w:pPr>
        <w:rPr>
          <w:lang w:eastAsia="en-AU"/>
        </w:rPr>
      </w:pPr>
    </w:p>
    <w:p w14:paraId="374723C0" w14:textId="5D06B06F" w:rsidR="0048364F" w:rsidRPr="00005DD3" w:rsidRDefault="0048364F" w:rsidP="0048364F"/>
    <w:p w14:paraId="3F334056" w14:textId="77777777" w:rsidR="0048364F" w:rsidRPr="00005DD3" w:rsidRDefault="0048364F" w:rsidP="0048364F"/>
    <w:p w14:paraId="2C37F6F0" w14:textId="77777777" w:rsidR="0048364F" w:rsidRPr="00005DD3" w:rsidRDefault="0048364F" w:rsidP="0048364F"/>
    <w:p w14:paraId="1FA303EA" w14:textId="77777777" w:rsidR="003E2157" w:rsidRDefault="003E2157" w:rsidP="003E2157">
      <w:pPr>
        <w:pStyle w:val="LongT"/>
      </w:pPr>
      <w:r>
        <w:t xml:space="preserve">An Act to amend the </w:t>
      </w:r>
      <w:r w:rsidRPr="003E2157">
        <w:rPr>
          <w:i/>
        </w:rPr>
        <w:t>Sydney Harbour Federation Trust Act 2001</w:t>
      </w:r>
      <w:r>
        <w:t>, and for related purposes</w:t>
      </w:r>
    </w:p>
    <w:p w14:paraId="4CBFD854" w14:textId="45EFE7F9" w:rsidR="0048364F" w:rsidRPr="000E6E32" w:rsidRDefault="0048364F" w:rsidP="0048364F">
      <w:pPr>
        <w:pStyle w:val="Header"/>
        <w:tabs>
          <w:tab w:val="clear" w:pos="4150"/>
          <w:tab w:val="clear" w:pos="8307"/>
        </w:tabs>
      </w:pPr>
      <w:r w:rsidRPr="000E6E32">
        <w:rPr>
          <w:rStyle w:val="CharAmSchNo"/>
        </w:rPr>
        <w:t xml:space="preserve"> </w:t>
      </w:r>
      <w:r w:rsidRPr="000E6E32">
        <w:rPr>
          <w:rStyle w:val="CharAmSchText"/>
        </w:rPr>
        <w:t xml:space="preserve"> </w:t>
      </w:r>
    </w:p>
    <w:p w14:paraId="76DAE475" w14:textId="77777777" w:rsidR="0048364F" w:rsidRPr="000E6E32" w:rsidRDefault="0048364F" w:rsidP="0048364F">
      <w:pPr>
        <w:pStyle w:val="Header"/>
        <w:tabs>
          <w:tab w:val="clear" w:pos="4150"/>
          <w:tab w:val="clear" w:pos="8307"/>
        </w:tabs>
      </w:pPr>
      <w:r w:rsidRPr="000E6E32">
        <w:rPr>
          <w:rStyle w:val="CharAmPartNo"/>
        </w:rPr>
        <w:t xml:space="preserve"> </w:t>
      </w:r>
      <w:r w:rsidRPr="000E6E32">
        <w:rPr>
          <w:rStyle w:val="CharAmPartText"/>
        </w:rPr>
        <w:t xml:space="preserve"> </w:t>
      </w:r>
    </w:p>
    <w:p w14:paraId="467B4375" w14:textId="77777777" w:rsidR="0048364F" w:rsidRPr="00005DD3" w:rsidRDefault="0048364F" w:rsidP="0048364F">
      <w:pPr>
        <w:sectPr w:rsidR="0048364F" w:rsidRPr="00005DD3" w:rsidSect="003E2157">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14:paraId="01D7A92A" w14:textId="77777777" w:rsidR="0048364F" w:rsidRPr="00005DD3" w:rsidRDefault="0048364F" w:rsidP="00D37BA6">
      <w:pPr>
        <w:rPr>
          <w:sz w:val="36"/>
        </w:rPr>
      </w:pPr>
      <w:r w:rsidRPr="00005DD3">
        <w:rPr>
          <w:sz w:val="36"/>
        </w:rPr>
        <w:lastRenderedPageBreak/>
        <w:t>Contents</w:t>
      </w:r>
    </w:p>
    <w:p w14:paraId="45D10E10" w14:textId="2E0F397B" w:rsidR="00E03B46" w:rsidRDefault="00E03B4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03B46">
        <w:rPr>
          <w:noProof/>
        </w:rPr>
        <w:tab/>
      </w:r>
      <w:r w:rsidRPr="00E03B46">
        <w:rPr>
          <w:noProof/>
        </w:rPr>
        <w:fldChar w:fldCharType="begin"/>
      </w:r>
      <w:r w:rsidRPr="00E03B46">
        <w:rPr>
          <w:noProof/>
        </w:rPr>
        <w:instrText xml:space="preserve"> PAGEREF _Toc75515666 \h </w:instrText>
      </w:r>
      <w:r w:rsidRPr="00E03B46">
        <w:rPr>
          <w:noProof/>
        </w:rPr>
      </w:r>
      <w:r w:rsidRPr="00E03B46">
        <w:rPr>
          <w:noProof/>
        </w:rPr>
        <w:fldChar w:fldCharType="separate"/>
      </w:r>
      <w:r w:rsidR="00B30EF0">
        <w:rPr>
          <w:noProof/>
        </w:rPr>
        <w:t>1</w:t>
      </w:r>
      <w:r w:rsidRPr="00E03B46">
        <w:rPr>
          <w:noProof/>
        </w:rPr>
        <w:fldChar w:fldCharType="end"/>
      </w:r>
    </w:p>
    <w:p w14:paraId="00154AA4" w14:textId="0476BA8D" w:rsidR="00E03B46" w:rsidRDefault="00E03B46">
      <w:pPr>
        <w:pStyle w:val="TOC5"/>
        <w:rPr>
          <w:rFonts w:asciiTheme="minorHAnsi" w:eastAsiaTheme="minorEastAsia" w:hAnsiTheme="minorHAnsi" w:cstheme="minorBidi"/>
          <w:noProof/>
          <w:kern w:val="0"/>
          <w:sz w:val="22"/>
          <w:szCs w:val="22"/>
        </w:rPr>
      </w:pPr>
      <w:r>
        <w:rPr>
          <w:noProof/>
        </w:rPr>
        <w:t>2</w:t>
      </w:r>
      <w:r>
        <w:rPr>
          <w:noProof/>
        </w:rPr>
        <w:tab/>
        <w:t>Commencement</w:t>
      </w:r>
      <w:r w:rsidRPr="00E03B46">
        <w:rPr>
          <w:noProof/>
        </w:rPr>
        <w:tab/>
      </w:r>
      <w:r w:rsidRPr="00E03B46">
        <w:rPr>
          <w:noProof/>
        </w:rPr>
        <w:fldChar w:fldCharType="begin"/>
      </w:r>
      <w:r w:rsidRPr="00E03B46">
        <w:rPr>
          <w:noProof/>
        </w:rPr>
        <w:instrText xml:space="preserve"> PAGEREF _Toc75515667 \h </w:instrText>
      </w:r>
      <w:r w:rsidRPr="00E03B46">
        <w:rPr>
          <w:noProof/>
        </w:rPr>
      </w:r>
      <w:r w:rsidRPr="00E03B46">
        <w:rPr>
          <w:noProof/>
        </w:rPr>
        <w:fldChar w:fldCharType="separate"/>
      </w:r>
      <w:r w:rsidR="00B30EF0">
        <w:rPr>
          <w:noProof/>
        </w:rPr>
        <w:t>2</w:t>
      </w:r>
      <w:r w:rsidRPr="00E03B46">
        <w:rPr>
          <w:noProof/>
        </w:rPr>
        <w:fldChar w:fldCharType="end"/>
      </w:r>
    </w:p>
    <w:p w14:paraId="4BDD2C5A" w14:textId="69B03B7E" w:rsidR="00E03B46" w:rsidRDefault="00E03B46">
      <w:pPr>
        <w:pStyle w:val="TOC5"/>
        <w:rPr>
          <w:rFonts w:asciiTheme="minorHAnsi" w:eastAsiaTheme="minorEastAsia" w:hAnsiTheme="minorHAnsi" w:cstheme="minorBidi"/>
          <w:noProof/>
          <w:kern w:val="0"/>
          <w:sz w:val="22"/>
          <w:szCs w:val="22"/>
        </w:rPr>
      </w:pPr>
      <w:r>
        <w:rPr>
          <w:noProof/>
        </w:rPr>
        <w:t>3</w:t>
      </w:r>
      <w:r>
        <w:rPr>
          <w:noProof/>
        </w:rPr>
        <w:tab/>
        <w:t>Schedules</w:t>
      </w:r>
      <w:r w:rsidRPr="00E03B46">
        <w:rPr>
          <w:noProof/>
        </w:rPr>
        <w:tab/>
      </w:r>
      <w:r w:rsidRPr="00E03B46">
        <w:rPr>
          <w:noProof/>
        </w:rPr>
        <w:fldChar w:fldCharType="begin"/>
      </w:r>
      <w:r w:rsidRPr="00E03B46">
        <w:rPr>
          <w:noProof/>
        </w:rPr>
        <w:instrText xml:space="preserve"> PAGEREF _Toc75515668 \h </w:instrText>
      </w:r>
      <w:r w:rsidRPr="00E03B46">
        <w:rPr>
          <w:noProof/>
        </w:rPr>
      </w:r>
      <w:r w:rsidRPr="00E03B46">
        <w:rPr>
          <w:noProof/>
        </w:rPr>
        <w:fldChar w:fldCharType="separate"/>
      </w:r>
      <w:r w:rsidR="00B30EF0">
        <w:rPr>
          <w:noProof/>
        </w:rPr>
        <w:t>2</w:t>
      </w:r>
      <w:r w:rsidRPr="00E03B46">
        <w:rPr>
          <w:noProof/>
        </w:rPr>
        <w:fldChar w:fldCharType="end"/>
      </w:r>
    </w:p>
    <w:p w14:paraId="7EFB4A11" w14:textId="4909C74F" w:rsidR="00E03B46" w:rsidRDefault="00E03B46">
      <w:pPr>
        <w:pStyle w:val="TOC6"/>
        <w:rPr>
          <w:rFonts w:asciiTheme="minorHAnsi" w:eastAsiaTheme="minorEastAsia" w:hAnsiTheme="minorHAnsi" w:cstheme="minorBidi"/>
          <w:b w:val="0"/>
          <w:noProof/>
          <w:kern w:val="0"/>
          <w:sz w:val="22"/>
          <w:szCs w:val="22"/>
        </w:rPr>
      </w:pPr>
      <w:r>
        <w:rPr>
          <w:noProof/>
        </w:rPr>
        <w:t>Schedule 1—Amendments</w:t>
      </w:r>
      <w:r w:rsidRPr="00E03B46">
        <w:rPr>
          <w:b w:val="0"/>
          <w:noProof/>
          <w:sz w:val="18"/>
        </w:rPr>
        <w:tab/>
      </w:r>
      <w:r w:rsidRPr="00E03B46">
        <w:rPr>
          <w:b w:val="0"/>
          <w:noProof/>
          <w:sz w:val="18"/>
        </w:rPr>
        <w:fldChar w:fldCharType="begin"/>
      </w:r>
      <w:r w:rsidRPr="00E03B46">
        <w:rPr>
          <w:b w:val="0"/>
          <w:noProof/>
          <w:sz w:val="18"/>
        </w:rPr>
        <w:instrText xml:space="preserve"> PAGEREF _Toc75515669 \h </w:instrText>
      </w:r>
      <w:r w:rsidRPr="00E03B46">
        <w:rPr>
          <w:b w:val="0"/>
          <w:noProof/>
          <w:sz w:val="18"/>
        </w:rPr>
      </w:r>
      <w:r w:rsidRPr="00E03B46">
        <w:rPr>
          <w:b w:val="0"/>
          <w:noProof/>
          <w:sz w:val="18"/>
        </w:rPr>
        <w:fldChar w:fldCharType="separate"/>
      </w:r>
      <w:r w:rsidR="00B30EF0">
        <w:rPr>
          <w:b w:val="0"/>
          <w:noProof/>
          <w:sz w:val="18"/>
        </w:rPr>
        <w:t>3</w:t>
      </w:r>
      <w:r w:rsidRPr="00E03B46">
        <w:rPr>
          <w:b w:val="0"/>
          <w:noProof/>
          <w:sz w:val="18"/>
        </w:rPr>
        <w:fldChar w:fldCharType="end"/>
      </w:r>
    </w:p>
    <w:p w14:paraId="09555FB2" w14:textId="2619B715" w:rsidR="00E03B46" w:rsidRDefault="00E03B46">
      <w:pPr>
        <w:pStyle w:val="TOC7"/>
        <w:rPr>
          <w:rFonts w:asciiTheme="minorHAnsi" w:eastAsiaTheme="minorEastAsia" w:hAnsiTheme="minorHAnsi" w:cstheme="minorBidi"/>
          <w:noProof/>
          <w:kern w:val="0"/>
          <w:sz w:val="22"/>
          <w:szCs w:val="22"/>
        </w:rPr>
      </w:pPr>
      <w:r>
        <w:rPr>
          <w:noProof/>
        </w:rPr>
        <w:t>Part 1—Review of the Trust</w:t>
      </w:r>
      <w:r w:rsidRPr="00E03B46">
        <w:rPr>
          <w:noProof/>
          <w:sz w:val="18"/>
        </w:rPr>
        <w:tab/>
      </w:r>
      <w:r w:rsidRPr="00E03B46">
        <w:rPr>
          <w:noProof/>
          <w:sz w:val="18"/>
        </w:rPr>
        <w:fldChar w:fldCharType="begin"/>
      </w:r>
      <w:r w:rsidRPr="00E03B46">
        <w:rPr>
          <w:noProof/>
          <w:sz w:val="18"/>
        </w:rPr>
        <w:instrText xml:space="preserve"> PAGEREF _Toc75515670 \h </w:instrText>
      </w:r>
      <w:r w:rsidRPr="00E03B46">
        <w:rPr>
          <w:noProof/>
          <w:sz w:val="18"/>
        </w:rPr>
      </w:r>
      <w:r w:rsidRPr="00E03B46">
        <w:rPr>
          <w:noProof/>
          <w:sz w:val="18"/>
        </w:rPr>
        <w:fldChar w:fldCharType="separate"/>
      </w:r>
      <w:r w:rsidR="00B30EF0">
        <w:rPr>
          <w:noProof/>
          <w:sz w:val="18"/>
        </w:rPr>
        <w:t>3</w:t>
      </w:r>
      <w:r w:rsidRPr="00E03B46">
        <w:rPr>
          <w:noProof/>
          <w:sz w:val="18"/>
        </w:rPr>
        <w:fldChar w:fldCharType="end"/>
      </w:r>
    </w:p>
    <w:p w14:paraId="2B44EA56" w14:textId="3E4AE852" w:rsidR="00E03B46" w:rsidRDefault="00E03B46">
      <w:pPr>
        <w:pStyle w:val="TOC9"/>
        <w:rPr>
          <w:rFonts w:asciiTheme="minorHAnsi" w:eastAsiaTheme="minorEastAsia" w:hAnsiTheme="minorHAnsi" w:cstheme="minorBidi"/>
          <w:i w:val="0"/>
          <w:noProof/>
          <w:kern w:val="0"/>
          <w:sz w:val="22"/>
          <w:szCs w:val="22"/>
        </w:rPr>
      </w:pPr>
      <w:r>
        <w:rPr>
          <w:noProof/>
        </w:rPr>
        <w:t>Sydney Harbour Federation Trust Act 2001</w:t>
      </w:r>
      <w:r w:rsidRPr="00E03B46">
        <w:rPr>
          <w:i w:val="0"/>
          <w:noProof/>
          <w:sz w:val="18"/>
        </w:rPr>
        <w:tab/>
      </w:r>
      <w:r w:rsidRPr="00E03B46">
        <w:rPr>
          <w:i w:val="0"/>
          <w:noProof/>
          <w:sz w:val="18"/>
        </w:rPr>
        <w:fldChar w:fldCharType="begin"/>
      </w:r>
      <w:r w:rsidRPr="00E03B46">
        <w:rPr>
          <w:i w:val="0"/>
          <w:noProof/>
          <w:sz w:val="18"/>
        </w:rPr>
        <w:instrText xml:space="preserve"> PAGEREF _Toc75515671 \h </w:instrText>
      </w:r>
      <w:r w:rsidRPr="00E03B46">
        <w:rPr>
          <w:i w:val="0"/>
          <w:noProof/>
          <w:sz w:val="18"/>
        </w:rPr>
      </w:r>
      <w:r w:rsidRPr="00E03B46">
        <w:rPr>
          <w:i w:val="0"/>
          <w:noProof/>
          <w:sz w:val="18"/>
        </w:rPr>
        <w:fldChar w:fldCharType="separate"/>
      </w:r>
      <w:r w:rsidR="00B30EF0">
        <w:rPr>
          <w:i w:val="0"/>
          <w:noProof/>
          <w:sz w:val="18"/>
        </w:rPr>
        <w:t>3</w:t>
      </w:r>
      <w:r w:rsidRPr="00E03B46">
        <w:rPr>
          <w:i w:val="0"/>
          <w:noProof/>
          <w:sz w:val="18"/>
        </w:rPr>
        <w:fldChar w:fldCharType="end"/>
      </w:r>
    </w:p>
    <w:p w14:paraId="379685BD" w14:textId="79BC71BF" w:rsidR="00E03B46" w:rsidRDefault="00E03B46">
      <w:pPr>
        <w:pStyle w:val="TOC7"/>
        <w:rPr>
          <w:rFonts w:asciiTheme="minorHAnsi" w:eastAsiaTheme="minorEastAsia" w:hAnsiTheme="minorHAnsi" w:cstheme="minorBidi"/>
          <w:noProof/>
          <w:kern w:val="0"/>
          <w:sz w:val="22"/>
          <w:szCs w:val="22"/>
        </w:rPr>
      </w:pPr>
      <w:r>
        <w:rPr>
          <w:noProof/>
        </w:rPr>
        <w:t>Part 2—Regulations</w:t>
      </w:r>
      <w:r w:rsidRPr="00E03B46">
        <w:rPr>
          <w:noProof/>
          <w:sz w:val="18"/>
        </w:rPr>
        <w:tab/>
      </w:r>
      <w:r w:rsidRPr="00E03B46">
        <w:rPr>
          <w:noProof/>
          <w:sz w:val="18"/>
        </w:rPr>
        <w:fldChar w:fldCharType="begin"/>
      </w:r>
      <w:r w:rsidRPr="00E03B46">
        <w:rPr>
          <w:noProof/>
          <w:sz w:val="18"/>
        </w:rPr>
        <w:instrText xml:space="preserve"> PAGEREF _Toc75515677 \h </w:instrText>
      </w:r>
      <w:r w:rsidRPr="00E03B46">
        <w:rPr>
          <w:noProof/>
          <w:sz w:val="18"/>
        </w:rPr>
      </w:r>
      <w:r w:rsidRPr="00E03B46">
        <w:rPr>
          <w:noProof/>
          <w:sz w:val="18"/>
        </w:rPr>
        <w:fldChar w:fldCharType="separate"/>
      </w:r>
      <w:r w:rsidR="00B30EF0">
        <w:rPr>
          <w:noProof/>
          <w:sz w:val="18"/>
        </w:rPr>
        <w:t>10</w:t>
      </w:r>
      <w:r w:rsidRPr="00E03B46">
        <w:rPr>
          <w:noProof/>
          <w:sz w:val="18"/>
        </w:rPr>
        <w:fldChar w:fldCharType="end"/>
      </w:r>
    </w:p>
    <w:p w14:paraId="249583B8" w14:textId="2A942AB9" w:rsidR="00E03B46" w:rsidRDefault="00E03B46">
      <w:pPr>
        <w:pStyle w:val="TOC9"/>
        <w:rPr>
          <w:rFonts w:asciiTheme="minorHAnsi" w:eastAsiaTheme="minorEastAsia" w:hAnsiTheme="minorHAnsi" w:cstheme="minorBidi"/>
          <w:i w:val="0"/>
          <w:noProof/>
          <w:kern w:val="0"/>
          <w:sz w:val="22"/>
          <w:szCs w:val="22"/>
        </w:rPr>
      </w:pPr>
      <w:r>
        <w:rPr>
          <w:noProof/>
        </w:rPr>
        <w:t>Sydney Harbour Federation Trust Act 2001</w:t>
      </w:r>
      <w:r w:rsidRPr="00E03B46">
        <w:rPr>
          <w:i w:val="0"/>
          <w:noProof/>
          <w:sz w:val="18"/>
        </w:rPr>
        <w:tab/>
      </w:r>
      <w:r w:rsidRPr="00E03B46">
        <w:rPr>
          <w:i w:val="0"/>
          <w:noProof/>
          <w:sz w:val="18"/>
        </w:rPr>
        <w:fldChar w:fldCharType="begin"/>
      </w:r>
      <w:r w:rsidRPr="00E03B46">
        <w:rPr>
          <w:i w:val="0"/>
          <w:noProof/>
          <w:sz w:val="18"/>
        </w:rPr>
        <w:instrText xml:space="preserve"> PAGEREF _Toc75515678 \h </w:instrText>
      </w:r>
      <w:r w:rsidRPr="00E03B46">
        <w:rPr>
          <w:i w:val="0"/>
          <w:noProof/>
          <w:sz w:val="18"/>
        </w:rPr>
      </w:r>
      <w:r w:rsidRPr="00E03B46">
        <w:rPr>
          <w:i w:val="0"/>
          <w:noProof/>
          <w:sz w:val="18"/>
        </w:rPr>
        <w:fldChar w:fldCharType="separate"/>
      </w:r>
      <w:r w:rsidR="00B30EF0">
        <w:rPr>
          <w:i w:val="0"/>
          <w:noProof/>
          <w:sz w:val="18"/>
        </w:rPr>
        <w:t>10</w:t>
      </w:r>
      <w:r w:rsidRPr="00E03B46">
        <w:rPr>
          <w:i w:val="0"/>
          <w:noProof/>
          <w:sz w:val="18"/>
        </w:rPr>
        <w:fldChar w:fldCharType="end"/>
      </w:r>
    </w:p>
    <w:p w14:paraId="16EAFE71" w14:textId="25A76286" w:rsidR="00E03B46" w:rsidRDefault="00E03B46">
      <w:pPr>
        <w:pStyle w:val="TOC7"/>
        <w:rPr>
          <w:rFonts w:asciiTheme="minorHAnsi" w:eastAsiaTheme="minorEastAsia" w:hAnsiTheme="minorHAnsi" w:cstheme="minorBidi"/>
          <w:noProof/>
          <w:kern w:val="0"/>
          <w:sz w:val="22"/>
          <w:szCs w:val="22"/>
        </w:rPr>
      </w:pPr>
      <w:r>
        <w:rPr>
          <w:noProof/>
        </w:rPr>
        <w:t>Part 3—Compliance and enforcement</w:t>
      </w:r>
      <w:r w:rsidRPr="00E03B46">
        <w:rPr>
          <w:noProof/>
          <w:sz w:val="18"/>
        </w:rPr>
        <w:tab/>
      </w:r>
      <w:r w:rsidRPr="00E03B46">
        <w:rPr>
          <w:noProof/>
          <w:sz w:val="18"/>
        </w:rPr>
        <w:fldChar w:fldCharType="begin"/>
      </w:r>
      <w:r w:rsidRPr="00E03B46">
        <w:rPr>
          <w:noProof/>
          <w:sz w:val="18"/>
        </w:rPr>
        <w:instrText xml:space="preserve"> PAGEREF _Toc75515679 \h </w:instrText>
      </w:r>
      <w:r w:rsidRPr="00E03B46">
        <w:rPr>
          <w:noProof/>
          <w:sz w:val="18"/>
        </w:rPr>
      </w:r>
      <w:r w:rsidRPr="00E03B46">
        <w:rPr>
          <w:noProof/>
          <w:sz w:val="18"/>
        </w:rPr>
        <w:fldChar w:fldCharType="separate"/>
      </w:r>
      <w:r w:rsidR="00B30EF0">
        <w:rPr>
          <w:noProof/>
          <w:sz w:val="18"/>
        </w:rPr>
        <w:t>11</w:t>
      </w:r>
      <w:r w:rsidRPr="00E03B46">
        <w:rPr>
          <w:noProof/>
          <w:sz w:val="18"/>
        </w:rPr>
        <w:fldChar w:fldCharType="end"/>
      </w:r>
    </w:p>
    <w:p w14:paraId="502FEB4C" w14:textId="1A8D4F5D" w:rsidR="00E03B46" w:rsidRDefault="00E03B46">
      <w:pPr>
        <w:pStyle w:val="TOC9"/>
        <w:rPr>
          <w:rFonts w:asciiTheme="minorHAnsi" w:eastAsiaTheme="minorEastAsia" w:hAnsiTheme="minorHAnsi" w:cstheme="minorBidi"/>
          <w:i w:val="0"/>
          <w:noProof/>
          <w:kern w:val="0"/>
          <w:sz w:val="22"/>
          <w:szCs w:val="22"/>
        </w:rPr>
      </w:pPr>
      <w:r>
        <w:rPr>
          <w:noProof/>
        </w:rPr>
        <w:t>Sydney Harbour Federation Trust Act 2001</w:t>
      </w:r>
      <w:r w:rsidRPr="00E03B46">
        <w:rPr>
          <w:i w:val="0"/>
          <w:noProof/>
          <w:sz w:val="18"/>
        </w:rPr>
        <w:tab/>
      </w:r>
      <w:r w:rsidRPr="00E03B46">
        <w:rPr>
          <w:i w:val="0"/>
          <w:noProof/>
          <w:sz w:val="18"/>
        </w:rPr>
        <w:fldChar w:fldCharType="begin"/>
      </w:r>
      <w:r w:rsidRPr="00E03B46">
        <w:rPr>
          <w:i w:val="0"/>
          <w:noProof/>
          <w:sz w:val="18"/>
        </w:rPr>
        <w:instrText xml:space="preserve"> PAGEREF _Toc75515680 \h </w:instrText>
      </w:r>
      <w:r w:rsidRPr="00E03B46">
        <w:rPr>
          <w:i w:val="0"/>
          <w:noProof/>
          <w:sz w:val="18"/>
        </w:rPr>
      </w:r>
      <w:r w:rsidRPr="00E03B46">
        <w:rPr>
          <w:i w:val="0"/>
          <w:noProof/>
          <w:sz w:val="18"/>
        </w:rPr>
        <w:fldChar w:fldCharType="separate"/>
      </w:r>
      <w:r w:rsidR="00B30EF0">
        <w:rPr>
          <w:i w:val="0"/>
          <w:noProof/>
          <w:sz w:val="18"/>
        </w:rPr>
        <w:t>11</w:t>
      </w:r>
      <w:r w:rsidRPr="00E03B46">
        <w:rPr>
          <w:i w:val="0"/>
          <w:noProof/>
          <w:sz w:val="18"/>
        </w:rPr>
        <w:fldChar w:fldCharType="end"/>
      </w:r>
    </w:p>
    <w:p w14:paraId="7595AC82" w14:textId="05DFF2A5" w:rsidR="00E03B46" w:rsidRDefault="00E03B46">
      <w:pPr>
        <w:pStyle w:val="TOC7"/>
        <w:rPr>
          <w:rFonts w:asciiTheme="minorHAnsi" w:eastAsiaTheme="minorEastAsia" w:hAnsiTheme="minorHAnsi" w:cstheme="minorBidi"/>
          <w:noProof/>
          <w:kern w:val="0"/>
          <w:sz w:val="22"/>
          <w:szCs w:val="22"/>
        </w:rPr>
      </w:pPr>
      <w:r>
        <w:rPr>
          <w:noProof/>
        </w:rPr>
        <w:t>Part 4—Contingent amendments</w:t>
      </w:r>
      <w:r w:rsidRPr="00E03B46">
        <w:rPr>
          <w:noProof/>
          <w:sz w:val="18"/>
        </w:rPr>
        <w:tab/>
      </w:r>
      <w:r w:rsidRPr="00E03B46">
        <w:rPr>
          <w:noProof/>
          <w:sz w:val="18"/>
        </w:rPr>
        <w:fldChar w:fldCharType="begin"/>
      </w:r>
      <w:r w:rsidRPr="00E03B46">
        <w:rPr>
          <w:noProof/>
          <w:sz w:val="18"/>
        </w:rPr>
        <w:instrText xml:space="preserve"> PAGEREF _Toc75515690 \h </w:instrText>
      </w:r>
      <w:r w:rsidRPr="00E03B46">
        <w:rPr>
          <w:noProof/>
          <w:sz w:val="18"/>
        </w:rPr>
      </w:r>
      <w:r w:rsidRPr="00E03B46">
        <w:rPr>
          <w:noProof/>
          <w:sz w:val="18"/>
        </w:rPr>
        <w:fldChar w:fldCharType="separate"/>
      </w:r>
      <w:r w:rsidR="00B30EF0">
        <w:rPr>
          <w:noProof/>
          <w:sz w:val="18"/>
        </w:rPr>
        <w:t>19</w:t>
      </w:r>
      <w:r w:rsidRPr="00E03B46">
        <w:rPr>
          <w:noProof/>
          <w:sz w:val="18"/>
        </w:rPr>
        <w:fldChar w:fldCharType="end"/>
      </w:r>
    </w:p>
    <w:p w14:paraId="0A07E47A" w14:textId="059C1E78" w:rsidR="00E03B46" w:rsidRDefault="00E03B46">
      <w:pPr>
        <w:pStyle w:val="TOC9"/>
        <w:rPr>
          <w:rFonts w:asciiTheme="minorHAnsi" w:eastAsiaTheme="minorEastAsia" w:hAnsiTheme="minorHAnsi" w:cstheme="minorBidi"/>
          <w:i w:val="0"/>
          <w:noProof/>
          <w:kern w:val="0"/>
          <w:sz w:val="22"/>
          <w:szCs w:val="22"/>
        </w:rPr>
      </w:pPr>
      <w:r>
        <w:rPr>
          <w:noProof/>
        </w:rPr>
        <w:t>Sydney Harbour Federation Trust Act 2001</w:t>
      </w:r>
      <w:r w:rsidRPr="00E03B46">
        <w:rPr>
          <w:i w:val="0"/>
          <w:noProof/>
          <w:sz w:val="18"/>
        </w:rPr>
        <w:tab/>
      </w:r>
      <w:r w:rsidRPr="00E03B46">
        <w:rPr>
          <w:i w:val="0"/>
          <w:noProof/>
          <w:sz w:val="18"/>
        </w:rPr>
        <w:fldChar w:fldCharType="begin"/>
      </w:r>
      <w:r w:rsidRPr="00E03B46">
        <w:rPr>
          <w:i w:val="0"/>
          <w:noProof/>
          <w:sz w:val="18"/>
        </w:rPr>
        <w:instrText xml:space="preserve"> PAGEREF _Toc75515691 \h </w:instrText>
      </w:r>
      <w:r w:rsidRPr="00E03B46">
        <w:rPr>
          <w:i w:val="0"/>
          <w:noProof/>
          <w:sz w:val="18"/>
        </w:rPr>
      </w:r>
      <w:r w:rsidRPr="00E03B46">
        <w:rPr>
          <w:i w:val="0"/>
          <w:noProof/>
          <w:sz w:val="18"/>
        </w:rPr>
        <w:fldChar w:fldCharType="separate"/>
      </w:r>
      <w:r w:rsidR="00B30EF0">
        <w:rPr>
          <w:i w:val="0"/>
          <w:noProof/>
          <w:sz w:val="18"/>
        </w:rPr>
        <w:t>19</w:t>
      </w:r>
      <w:r w:rsidRPr="00E03B46">
        <w:rPr>
          <w:i w:val="0"/>
          <w:noProof/>
          <w:sz w:val="18"/>
        </w:rPr>
        <w:fldChar w:fldCharType="end"/>
      </w:r>
    </w:p>
    <w:p w14:paraId="6210B9F5" w14:textId="421983B4" w:rsidR="00060FF9" w:rsidRPr="00E03B46" w:rsidRDefault="00E03B46" w:rsidP="0048364F">
      <w:pPr>
        <w:rPr>
          <w:rFonts w:cs="Times New Roman"/>
          <w:sz w:val="18"/>
        </w:rPr>
      </w:pPr>
      <w:r>
        <w:rPr>
          <w:rFonts w:cs="Times New Roman"/>
          <w:sz w:val="18"/>
        </w:rPr>
        <w:fldChar w:fldCharType="end"/>
      </w:r>
    </w:p>
    <w:p w14:paraId="36BADAF9" w14:textId="77777777" w:rsidR="00FE7F93" w:rsidRPr="00005DD3" w:rsidRDefault="00FE7F93" w:rsidP="0048364F">
      <w:pPr>
        <w:sectPr w:rsidR="00FE7F93" w:rsidRPr="00005DD3" w:rsidSect="003E2157">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14:paraId="2CAE7D70" w14:textId="77777777" w:rsidR="003E2157" w:rsidRDefault="003E2157">
      <w:r>
        <w:object w:dxaOrig="2146" w:dyaOrig="1561" w14:anchorId="4CF34BC4">
          <v:shape id="_x0000_i1026" type="#_x0000_t75" alt="Commonwealth Coat of Arms of Australia" style="width:110.25pt;height:80.25pt" o:ole="" fillcolor="window">
            <v:imagedata r:id="rId7" o:title=""/>
          </v:shape>
          <o:OLEObject Type="Embed" ProgID="Word.Picture.8" ShapeID="_x0000_i1026" DrawAspect="Content" ObjectID="_1692708358" r:id="rId20"/>
        </w:object>
      </w:r>
    </w:p>
    <w:p w14:paraId="3D0F065B" w14:textId="77777777" w:rsidR="003E2157" w:rsidRDefault="003E2157"/>
    <w:p w14:paraId="0473B4A4" w14:textId="77777777" w:rsidR="003E2157" w:rsidRDefault="003E2157" w:rsidP="000178F8">
      <w:pPr>
        <w:spacing w:line="240" w:lineRule="auto"/>
      </w:pPr>
    </w:p>
    <w:p w14:paraId="65E5BA6A" w14:textId="1138CA93" w:rsidR="003E2157" w:rsidRDefault="00B30EF0" w:rsidP="000178F8">
      <w:pPr>
        <w:pStyle w:val="ShortTP1"/>
      </w:pPr>
      <w:fldSimple w:instr=" STYLEREF ShortT ">
        <w:r>
          <w:rPr>
            <w:noProof/>
          </w:rPr>
          <w:t>Sydney Harbour Federation Trust Amendment Act 2021</w:t>
        </w:r>
      </w:fldSimple>
    </w:p>
    <w:p w14:paraId="392D4F3F" w14:textId="4651BEB9" w:rsidR="003E2157" w:rsidRDefault="00B30EF0" w:rsidP="000178F8">
      <w:pPr>
        <w:pStyle w:val="ActNoP1"/>
      </w:pPr>
      <w:fldSimple w:instr=" STYLEREF Actno ">
        <w:r>
          <w:rPr>
            <w:noProof/>
          </w:rPr>
          <w:t>No. 49, 2021</w:t>
        </w:r>
      </w:fldSimple>
    </w:p>
    <w:p w14:paraId="1A45FC74" w14:textId="77777777" w:rsidR="003E2157" w:rsidRPr="009A0728" w:rsidRDefault="003E2157" w:rsidP="009A0728">
      <w:pPr>
        <w:pBdr>
          <w:bottom w:val="single" w:sz="6" w:space="0" w:color="auto"/>
        </w:pBdr>
        <w:spacing w:before="400" w:line="240" w:lineRule="auto"/>
        <w:rPr>
          <w:rFonts w:eastAsia="Times New Roman"/>
          <w:b/>
          <w:sz w:val="28"/>
        </w:rPr>
      </w:pPr>
    </w:p>
    <w:p w14:paraId="09F2BC72" w14:textId="77777777" w:rsidR="003E2157" w:rsidRPr="009A0728" w:rsidRDefault="003E2157" w:rsidP="009A0728">
      <w:pPr>
        <w:spacing w:line="40" w:lineRule="exact"/>
        <w:rPr>
          <w:rFonts w:eastAsia="Calibri"/>
          <w:b/>
          <w:sz w:val="28"/>
        </w:rPr>
      </w:pPr>
    </w:p>
    <w:p w14:paraId="40340DC6" w14:textId="77777777" w:rsidR="003E2157" w:rsidRPr="009A0728" w:rsidRDefault="003E2157" w:rsidP="009A0728">
      <w:pPr>
        <w:pBdr>
          <w:top w:val="single" w:sz="12" w:space="0" w:color="auto"/>
        </w:pBdr>
        <w:spacing w:line="240" w:lineRule="auto"/>
        <w:rPr>
          <w:rFonts w:eastAsia="Times New Roman"/>
          <w:b/>
          <w:sz w:val="28"/>
        </w:rPr>
      </w:pPr>
    </w:p>
    <w:p w14:paraId="037D6AEA" w14:textId="77777777" w:rsidR="003E2157" w:rsidRDefault="003E2157" w:rsidP="003E2157">
      <w:pPr>
        <w:pStyle w:val="Page1"/>
        <w:spacing w:before="400"/>
      </w:pPr>
      <w:r>
        <w:t xml:space="preserve">An Act to amend the </w:t>
      </w:r>
      <w:r w:rsidRPr="003E2157">
        <w:rPr>
          <w:i/>
        </w:rPr>
        <w:t>Sydney Harbour Federation Trust Act 2001</w:t>
      </w:r>
      <w:r>
        <w:t>, and for related purposes</w:t>
      </w:r>
    </w:p>
    <w:p w14:paraId="693ACB7B" w14:textId="28B3D69E" w:rsidR="00E03B46" w:rsidRPr="00E03B46" w:rsidRDefault="00E03B46" w:rsidP="00E03B46">
      <w:pPr>
        <w:pStyle w:val="AssentDt"/>
        <w:spacing w:before="240"/>
        <w:rPr>
          <w:sz w:val="24"/>
        </w:rPr>
      </w:pPr>
      <w:r>
        <w:rPr>
          <w:sz w:val="24"/>
        </w:rPr>
        <w:t>[</w:t>
      </w:r>
      <w:r>
        <w:rPr>
          <w:i/>
          <w:sz w:val="24"/>
        </w:rPr>
        <w:t>Assented to 23 June 2021</w:t>
      </w:r>
      <w:r>
        <w:rPr>
          <w:sz w:val="24"/>
        </w:rPr>
        <w:t>]</w:t>
      </w:r>
    </w:p>
    <w:p w14:paraId="004300A4" w14:textId="29AB26E6" w:rsidR="0048364F" w:rsidRPr="00005DD3" w:rsidRDefault="0048364F" w:rsidP="0042664D">
      <w:pPr>
        <w:spacing w:before="240" w:line="240" w:lineRule="auto"/>
        <w:rPr>
          <w:sz w:val="32"/>
        </w:rPr>
      </w:pPr>
      <w:r w:rsidRPr="00005DD3">
        <w:rPr>
          <w:sz w:val="32"/>
        </w:rPr>
        <w:t>The Parliament of Australia enacts:</w:t>
      </w:r>
    </w:p>
    <w:p w14:paraId="257C3200" w14:textId="77777777" w:rsidR="0048364F" w:rsidRPr="00005DD3" w:rsidRDefault="0048364F" w:rsidP="0042664D">
      <w:pPr>
        <w:pStyle w:val="ActHead5"/>
      </w:pPr>
      <w:bookmarkStart w:id="1" w:name="_Toc75515666"/>
      <w:r w:rsidRPr="000E6E32">
        <w:rPr>
          <w:rStyle w:val="CharSectno"/>
        </w:rPr>
        <w:t>1</w:t>
      </w:r>
      <w:r w:rsidRPr="00005DD3">
        <w:t xml:space="preserve">  Short title</w:t>
      </w:r>
      <w:bookmarkEnd w:id="1"/>
    </w:p>
    <w:p w14:paraId="2896FA1A" w14:textId="77777777" w:rsidR="0048364F" w:rsidRPr="00005DD3" w:rsidRDefault="0048364F" w:rsidP="0042664D">
      <w:pPr>
        <w:pStyle w:val="subsection"/>
      </w:pPr>
      <w:r w:rsidRPr="00005DD3">
        <w:tab/>
      </w:r>
      <w:r w:rsidRPr="00005DD3">
        <w:tab/>
        <w:t xml:space="preserve">This Act </w:t>
      </w:r>
      <w:r w:rsidR="00275197" w:rsidRPr="00005DD3">
        <w:t xml:space="preserve">is </w:t>
      </w:r>
      <w:r w:rsidRPr="00005DD3">
        <w:t xml:space="preserve">the </w:t>
      </w:r>
      <w:r w:rsidR="00A55444" w:rsidRPr="00005DD3">
        <w:rPr>
          <w:i/>
        </w:rPr>
        <w:t xml:space="preserve">Sydney Harbour Federation Trust Amendment </w:t>
      </w:r>
      <w:r w:rsidR="00EE3E36" w:rsidRPr="00005DD3">
        <w:rPr>
          <w:i/>
        </w:rPr>
        <w:t>Act 20</w:t>
      </w:r>
      <w:r w:rsidR="007A700D" w:rsidRPr="00005DD3">
        <w:rPr>
          <w:i/>
        </w:rPr>
        <w:t>21</w:t>
      </w:r>
      <w:r w:rsidR="008C180A">
        <w:t>.</w:t>
      </w:r>
    </w:p>
    <w:p w14:paraId="43057FFA" w14:textId="77777777" w:rsidR="00E21DB8" w:rsidRPr="00005DD3" w:rsidRDefault="00E21DB8" w:rsidP="0042664D">
      <w:pPr>
        <w:pStyle w:val="ActHead5"/>
      </w:pPr>
      <w:bookmarkStart w:id="2" w:name="_Toc75515667"/>
      <w:r w:rsidRPr="000E6E32">
        <w:rPr>
          <w:rStyle w:val="CharSectno"/>
        </w:rPr>
        <w:lastRenderedPageBreak/>
        <w:t>2</w:t>
      </w:r>
      <w:r w:rsidRPr="00005DD3">
        <w:t xml:space="preserve">  Commencement</w:t>
      </w:r>
      <w:bookmarkEnd w:id="2"/>
    </w:p>
    <w:p w14:paraId="450B6D11" w14:textId="77777777" w:rsidR="00E21DB8" w:rsidRDefault="00E21DB8" w:rsidP="0042664D">
      <w:pPr>
        <w:pStyle w:val="subsection"/>
      </w:pPr>
      <w:r>
        <w:tab/>
        <w:t>(1)</w:t>
      </w:r>
      <w:r>
        <w:tab/>
        <w:t>Each provision of this Act specified in column 1 of the table commences, or is taken to have commenced, in accordance with column 2 of the table</w:t>
      </w:r>
      <w:r w:rsidR="008C180A">
        <w:t>.</w:t>
      </w:r>
      <w:r>
        <w:t xml:space="preserve"> Any other statement in column 2 has effect according to its terms</w:t>
      </w:r>
      <w:r w:rsidR="008C180A">
        <w:t>.</w:t>
      </w:r>
    </w:p>
    <w:p w14:paraId="6263F772" w14:textId="77777777" w:rsidR="00E21DB8" w:rsidRDefault="00E21DB8" w:rsidP="0042664D">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E21DB8" w14:paraId="3FD1F40F" w14:textId="77777777" w:rsidTr="004652C9">
        <w:trPr>
          <w:cantSplit/>
          <w:tblHeader/>
        </w:trPr>
        <w:tc>
          <w:tcPr>
            <w:tcW w:w="7111" w:type="dxa"/>
            <w:gridSpan w:val="3"/>
            <w:tcBorders>
              <w:top w:val="single" w:sz="12" w:space="0" w:color="auto"/>
              <w:left w:val="nil"/>
              <w:bottom w:val="single" w:sz="6" w:space="0" w:color="auto"/>
              <w:right w:val="nil"/>
            </w:tcBorders>
            <w:hideMark/>
          </w:tcPr>
          <w:p w14:paraId="3018BB30" w14:textId="77777777" w:rsidR="00E21DB8" w:rsidRPr="00416235" w:rsidRDefault="00E21DB8" w:rsidP="0042664D">
            <w:pPr>
              <w:pStyle w:val="TableHeading"/>
            </w:pPr>
            <w:r w:rsidRPr="00416235">
              <w:t>Commencement information</w:t>
            </w:r>
          </w:p>
        </w:tc>
      </w:tr>
      <w:tr w:rsidR="00E21DB8" w:rsidRPr="00416235" w14:paraId="24B41FC8" w14:textId="77777777" w:rsidTr="004652C9">
        <w:trPr>
          <w:cantSplit/>
          <w:tblHeader/>
        </w:trPr>
        <w:tc>
          <w:tcPr>
            <w:tcW w:w="1701" w:type="dxa"/>
            <w:tcBorders>
              <w:top w:val="single" w:sz="6" w:space="0" w:color="auto"/>
              <w:left w:val="nil"/>
              <w:bottom w:val="single" w:sz="6" w:space="0" w:color="auto"/>
              <w:right w:val="nil"/>
            </w:tcBorders>
            <w:hideMark/>
          </w:tcPr>
          <w:p w14:paraId="748CB232" w14:textId="77777777" w:rsidR="00E21DB8" w:rsidRPr="00416235" w:rsidRDefault="00E21DB8" w:rsidP="0042664D">
            <w:pPr>
              <w:pStyle w:val="TableHeading"/>
            </w:pPr>
            <w:r w:rsidRPr="00416235">
              <w:t>Column 1</w:t>
            </w:r>
          </w:p>
        </w:tc>
        <w:tc>
          <w:tcPr>
            <w:tcW w:w="3828" w:type="dxa"/>
            <w:tcBorders>
              <w:top w:val="single" w:sz="6" w:space="0" w:color="auto"/>
              <w:left w:val="nil"/>
              <w:bottom w:val="single" w:sz="6" w:space="0" w:color="auto"/>
              <w:right w:val="nil"/>
            </w:tcBorders>
            <w:hideMark/>
          </w:tcPr>
          <w:p w14:paraId="549D24B2" w14:textId="77777777" w:rsidR="00E21DB8" w:rsidRPr="00416235" w:rsidRDefault="00E21DB8" w:rsidP="0042664D">
            <w:pPr>
              <w:pStyle w:val="TableHeading"/>
            </w:pPr>
            <w:r w:rsidRPr="00416235">
              <w:t>Column 2</w:t>
            </w:r>
          </w:p>
        </w:tc>
        <w:tc>
          <w:tcPr>
            <w:tcW w:w="1582" w:type="dxa"/>
            <w:tcBorders>
              <w:top w:val="single" w:sz="6" w:space="0" w:color="auto"/>
              <w:left w:val="nil"/>
              <w:bottom w:val="single" w:sz="6" w:space="0" w:color="auto"/>
              <w:right w:val="nil"/>
            </w:tcBorders>
            <w:hideMark/>
          </w:tcPr>
          <w:p w14:paraId="2B95964F" w14:textId="77777777" w:rsidR="00E21DB8" w:rsidRPr="00416235" w:rsidRDefault="00E21DB8" w:rsidP="0042664D">
            <w:pPr>
              <w:pStyle w:val="TableHeading"/>
            </w:pPr>
            <w:r w:rsidRPr="00416235">
              <w:t>Column 3</w:t>
            </w:r>
          </w:p>
        </w:tc>
      </w:tr>
      <w:tr w:rsidR="00E21DB8" w14:paraId="02A217AC" w14:textId="77777777" w:rsidTr="004652C9">
        <w:trPr>
          <w:cantSplit/>
          <w:tblHeader/>
        </w:trPr>
        <w:tc>
          <w:tcPr>
            <w:tcW w:w="1701" w:type="dxa"/>
            <w:tcBorders>
              <w:top w:val="single" w:sz="6" w:space="0" w:color="auto"/>
              <w:left w:val="nil"/>
              <w:bottom w:val="single" w:sz="12" w:space="0" w:color="auto"/>
              <w:right w:val="nil"/>
            </w:tcBorders>
            <w:hideMark/>
          </w:tcPr>
          <w:p w14:paraId="2D33EF49" w14:textId="77777777" w:rsidR="00E21DB8" w:rsidRPr="00416235" w:rsidRDefault="00E21DB8" w:rsidP="0042664D">
            <w:pPr>
              <w:pStyle w:val="TableHeading"/>
            </w:pPr>
            <w:r w:rsidRPr="00416235">
              <w:t>Provisions</w:t>
            </w:r>
          </w:p>
        </w:tc>
        <w:tc>
          <w:tcPr>
            <w:tcW w:w="3828" w:type="dxa"/>
            <w:tcBorders>
              <w:top w:val="single" w:sz="6" w:space="0" w:color="auto"/>
              <w:left w:val="nil"/>
              <w:bottom w:val="single" w:sz="12" w:space="0" w:color="auto"/>
              <w:right w:val="nil"/>
            </w:tcBorders>
            <w:hideMark/>
          </w:tcPr>
          <w:p w14:paraId="3C6F7CC4" w14:textId="77777777" w:rsidR="00E21DB8" w:rsidRPr="00416235" w:rsidRDefault="00E21DB8" w:rsidP="0042664D">
            <w:pPr>
              <w:pStyle w:val="TableHeading"/>
            </w:pPr>
            <w:r w:rsidRPr="00416235">
              <w:t>Commencement</w:t>
            </w:r>
          </w:p>
        </w:tc>
        <w:tc>
          <w:tcPr>
            <w:tcW w:w="1582" w:type="dxa"/>
            <w:tcBorders>
              <w:top w:val="single" w:sz="6" w:space="0" w:color="auto"/>
              <w:left w:val="nil"/>
              <w:bottom w:val="single" w:sz="12" w:space="0" w:color="auto"/>
              <w:right w:val="nil"/>
            </w:tcBorders>
            <w:hideMark/>
          </w:tcPr>
          <w:p w14:paraId="1C123C5A" w14:textId="77777777" w:rsidR="00E21DB8" w:rsidRPr="00416235" w:rsidRDefault="00E21DB8" w:rsidP="0042664D">
            <w:pPr>
              <w:pStyle w:val="TableHeading"/>
            </w:pPr>
            <w:r w:rsidRPr="00416235">
              <w:t>Date/Details</w:t>
            </w:r>
          </w:p>
        </w:tc>
      </w:tr>
      <w:tr w:rsidR="00E21DB8" w14:paraId="32901B57" w14:textId="77777777" w:rsidTr="004652C9">
        <w:trPr>
          <w:cantSplit/>
        </w:trPr>
        <w:tc>
          <w:tcPr>
            <w:tcW w:w="1701" w:type="dxa"/>
            <w:tcBorders>
              <w:top w:val="single" w:sz="12" w:space="0" w:color="auto"/>
              <w:left w:val="nil"/>
              <w:bottom w:val="single" w:sz="2" w:space="0" w:color="auto"/>
              <w:right w:val="nil"/>
            </w:tcBorders>
            <w:hideMark/>
          </w:tcPr>
          <w:p w14:paraId="1F72E632" w14:textId="77777777" w:rsidR="00E21DB8" w:rsidRDefault="00E21DB8" w:rsidP="0042664D">
            <w:pPr>
              <w:pStyle w:val="Tabletext"/>
            </w:pPr>
            <w:r>
              <w:t>1</w:t>
            </w:r>
            <w:r w:rsidR="008C180A">
              <w:t>.</w:t>
            </w:r>
            <w:r>
              <w:t xml:space="preserve">  Sections 1 to 3 and anything in this Act not elsewhere covered by this table</w:t>
            </w:r>
          </w:p>
        </w:tc>
        <w:tc>
          <w:tcPr>
            <w:tcW w:w="3828" w:type="dxa"/>
            <w:tcBorders>
              <w:top w:val="single" w:sz="12" w:space="0" w:color="auto"/>
              <w:left w:val="nil"/>
              <w:bottom w:val="single" w:sz="2" w:space="0" w:color="auto"/>
              <w:right w:val="nil"/>
            </w:tcBorders>
            <w:hideMark/>
          </w:tcPr>
          <w:p w14:paraId="15F5D54D" w14:textId="77777777" w:rsidR="00E21DB8" w:rsidRDefault="00E21DB8" w:rsidP="0042664D">
            <w:pPr>
              <w:pStyle w:val="Tabletext"/>
            </w:pPr>
            <w:r>
              <w:t>The day this Act receives the Royal Assent</w:t>
            </w:r>
            <w:r w:rsidR="008C180A">
              <w:t>.</w:t>
            </w:r>
          </w:p>
        </w:tc>
        <w:tc>
          <w:tcPr>
            <w:tcW w:w="1582" w:type="dxa"/>
            <w:tcBorders>
              <w:top w:val="single" w:sz="12" w:space="0" w:color="auto"/>
              <w:left w:val="nil"/>
              <w:bottom w:val="single" w:sz="2" w:space="0" w:color="auto"/>
              <w:right w:val="nil"/>
            </w:tcBorders>
          </w:tcPr>
          <w:p w14:paraId="130499E1" w14:textId="095D0177" w:rsidR="00E21DB8" w:rsidRDefault="00E03B46" w:rsidP="0042664D">
            <w:pPr>
              <w:pStyle w:val="Tabletext"/>
            </w:pPr>
            <w:r>
              <w:t>23 June 2021</w:t>
            </w:r>
          </w:p>
        </w:tc>
      </w:tr>
      <w:tr w:rsidR="00E21DB8" w14:paraId="01CB282E" w14:textId="77777777" w:rsidTr="004652C9">
        <w:trPr>
          <w:cantSplit/>
        </w:trPr>
        <w:tc>
          <w:tcPr>
            <w:tcW w:w="1701" w:type="dxa"/>
            <w:tcBorders>
              <w:top w:val="single" w:sz="2" w:space="0" w:color="auto"/>
              <w:left w:val="nil"/>
              <w:bottom w:val="single" w:sz="2" w:space="0" w:color="auto"/>
              <w:right w:val="nil"/>
            </w:tcBorders>
            <w:hideMark/>
          </w:tcPr>
          <w:p w14:paraId="5D75A0D6" w14:textId="77777777" w:rsidR="00E21DB8" w:rsidRDefault="00E21DB8" w:rsidP="0042664D">
            <w:pPr>
              <w:pStyle w:val="Tabletext"/>
            </w:pPr>
            <w:r>
              <w:t>2</w:t>
            </w:r>
            <w:r w:rsidR="008C180A">
              <w:t>.</w:t>
            </w:r>
            <w:r>
              <w:t xml:space="preserve">  </w:t>
            </w:r>
            <w:r w:rsidR="00B70F01">
              <w:t>Schedule 1</w:t>
            </w:r>
            <w:r>
              <w:t xml:space="preserve">, </w:t>
            </w:r>
            <w:r w:rsidR="00B70F01">
              <w:t>Parts 1</w:t>
            </w:r>
            <w:r>
              <w:t>, 2 and 3</w:t>
            </w:r>
          </w:p>
        </w:tc>
        <w:tc>
          <w:tcPr>
            <w:tcW w:w="3828" w:type="dxa"/>
            <w:tcBorders>
              <w:top w:val="single" w:sz="2" w:space="0" w:color="auto"/>
              <w:left w:val="nil"/>
              <w:bottom w:val="single" w:sz="2" w:space="0" w:color="auto"/>
              <w:right w:val="nil"/>
            </w:tcBorders>
          </w:tcPr>
          <w:p w14:paraId="04A80F7B" w14:textId="77777777" w:rsidR="00E21DB8" w:rsidRDefault="00E21DB8" w:rsidP="0042664D">
            <w:pPr>
              <w:pStyle w:val="Tabletext"/>
            </w:pPr>
            <w:r>
              <w:t>The day after this Act receives the Royal Assent</w:t>
            </w:r>
            <w:r w:rsidR="008C180A">
              <w:t>.</w:t>
            </w:r>
          </w:p>
        </w:tc>
        <w:tc>
          <w:tcPr>
            <w:tcW w:w="1582" w:type="dxa"/>
            <w:tcBorders>
              <w:top w:val="single" w:sz="2" w:space="0" w:color="auto"/>
              <w:left w:val="nil"/>
              <w:bottom w:val="single" w:sz="2" w:space="0" w:color="auto"/>
              <w:right w:val="nil"/>
            </w:tcBorders>
          </w:tcPr>
          <w:p w14:paraId="3E669E14" w14:textId="349AD46A" w:rsidR="00E21DB8" w:rsidRDefault="00E03B46" w:rsidP="0042664D">
            <w:pPr>
              <w:pStyle w:val="Tabletext"/>
            </w:pPr>
            <w:r>
              <w:t>24 June 2021</w:t>
            </w:r>
          </w:p>
        </w:tc>
      </w:tr>
      <w:tr w:rsidR="00E21DB8" w14:paraId="1EAFA0F2" w14:textId="77777777" w:rsidTr="004652C9">
        <w:trPr>
          <w:cantSplit/>
        </w:trPr>
        <w:tc>
          <w:tcPr>
            <w:tcW w:w="1701" w:type="dxa"/>
            <w:tcBorders>
              <w:top w:val="single" w:sz="2" w:space="0" w:color="auto"/>
              <w:left w:val="nil"/>
              <w:bottom w:val="single" w:sz="12" w:space="0" w:color="auto"/>
              <w:right w:val="nil"/>
            </w:tcBorders>
            <w:hideMark/>
          </w:tcPr>
          <w:p w14:paraId="69D1280D" w14:textId="77777777" w:rsidR="00E21DB8" w:rsidRDefault="00E21DB8" w:rsidP="0042664D">
            <w:pPr>
              <w:pStyle w:val="Tabletext"/>
            </w:pPr>
            <w:r>
              <w:t>3</w:t>
            </w:r>
            <w:r w:rsidR="008C180A">
              <w:t>.</w:t>
            </w:r>
            <w:r>
              <w:t xml:space="preserve">  </w:t>
            </w:r>
            <w:r w:rsidR="00B70F01">
              <w:t>Schedule 1</w:t>
            </w:r>
            <w:r>
              <w:t xml:space="preserve">, </w:t>
            </w:r>
            <w:r w:rsidR="00B70F01">
              <w:t>Part 4</w:t>
            </w:r>
          </w:p>
        </w:tc>
        <w:tc>
          <w:tcPr>
            <w:tcW w:w="3828" w:type="dxa"/>
            <w:tcBorders>
              <w:top w:val="single" w:sz="2" w:space="0" w:color="auto"/>
              <w:left w:val="nil"/>
              <w:bottom w:val="single" w:sz="12" w:space="0" w:color="auto"/>
              <w:right w:val="nil"/>
            </w:tcBorders>
          </w:tcPr>
          <w:p w14:paraId="17FA7589" w14:textId="77777777" w:rsidR="00E21DB8" w:rsidRDefault="00E21DB8" w:rsidP="0042664D">
            <w:pPr>
              <w:pStyle w:val="Tabletext"/>
            </w:pPr>
            <w:r>
              <w:t>The later of:</w:t>
            </w:r>
          </w:p>
          <w:p w14:paraId="7E7BC815" w14:textId="77777777" w:rsidR="00E21DB8" w:rsidRPr="00E21DB8" w:rsidRDefault="00E21DB8" w:rsidP="0042664D">
            <w:pPr>
              <w:pStyle w:val="Tablea"/>
            </w:pPr>
            <w:r w:rsidRPr="00E21DB8">
              <w:t>(a) immediately after the commencement of the provisions covered by table item 2; and</w:t>
            </w:r>
          </w:p>
          <w:p w14:paraId="6DB7BA1F" w14:textId="77777777" w:rsidR="00E21DB8" w:rsidRDefault="00E21DB8" w:rsidP="0042664D">
            <w:pPr>
              <w:pStyle w:val="Tablea"/>
            </w:pPr>
            <w:r w:rsidRPr="00E21DB8">
              <w:t xml:space="preserve">(b) immediately after the commencement of </w:t>
            </w:r>
            <w:r>
              <w:t xml:space="preserve">the </w:t>
            </w:r>
            <w:r w:rsidRPr="00E21DB8">
              <w:rPr>
                <w:i/>
              </w:rPr>
              <w:t>Federal Circuit and Family Court of Australia Act 2021</w:t>
            </w:r>
            <w:r w:rsidR="008C180A">
              <w:t>.</w:t>
            </w:r>
          </w:p>
        </w:tc>
        <w:tc>
          <w:tcPr>
            <w:tcW w:w="1582" w:type="dxa"/>
            <w:tcBorders>
              <w:top w:val="single" w:sz="2" w:space="0" w:color="auto"/>
              <w:left w:val="nil"/>
              <w:bottom w:val="single" w:sz="12" w:space="0" w:color="auto"/>
              <w:right w:val="nil"/>
            </w:tcBorders>
          </w:tcPr>
          <w:p w14:paraId="4ECE770F" w14:textId="77777777" w:rsidR="008A050B" w:rsidRDefault="008A050B" w:rsidP="008A050B">
            <w:pPr>
              <w:pStyle w:val="Tabletext"/>
              <w:rPr>
                <w:lang w:eastAsia="en-US"/>
              </w:rPr>
            </w:pPr>
            <w:r>
              <w:rPr>
                <w:lang w:eastAsia="en-US"/>
              </w:rPr>
              <w:t>1 September 2021</w:t>
            </w:r>
          </w:p>
          <w:p w14:paraId="3C6C3810" w14:textId="61BA6A3E" w:rsidR="00E21DB8" w:rsidRDefault="008A050B" w:rsidP="008A050B">
            <w:pPr>
              <w:pStyle w:val="Tabletext"/>
            </w:pPr>
            <w:r>
              <w:rPr>
                <w:lang w:eastAsia="en-US"/>
              </w:rPr>
              <w:t>(paragraph (b) applies)</w:t>
            </w:r>
            <w:bookmarkStart w:id="3" w:name="_GoBack"/>
            <w:bookmarkEnd w:id="3"/>
          </w:p>
        </w:tc>
      </w:tr>
    </w:tbl>
    <w:p w14:paraId="52BE234D" w14:textId="77777777" w:rsidR="00E21DB8" w:rsidRPr="001E6DD6" w:rsidRDefault="00E21DB8" w:rsidP="0042664D">
      <w:pPr>
        <w:pStyle w:val="notetext"/>
      </w:pPr>
      <w:r w:rsidRPr="005F477A">
        <w:rPr>
          <w:snapToGrid w:val="0"/>
          <w:lang w:eastAsia="en-US"/>
        </w:rPr>
        <w:t>Note:</w:t>
      </w:r>
      <w:r w:rsidRPr="005F477A">
        <w:rPr>
          <w:snapToGrid w:val="0"/>
          <w:lang w:eastAsia="en-US"/>
        </w:rPr>
        <w:tab/>
        <w:t>This table relates only to the provisions of this Act as originally enacted</w:t>
      </w:r>
      <w:r w:rsidR="008C180A">
        <w:rPr>
          <w:snapToGrid w:val="0"/>
          <w:lang w:eastAsia="en-US"/>
        </w:rPr>
        <w:t>.</w:t>
      </w:r>
      <w:r w:rsidRPr="005F477A">
        <w:rPr>
          <w:snapToGrid w:val="0"/>
          <w:lang w:eastAsia="en-US"/>
        </w:rPr>
        <w:t xml:space="preserve"> It will not be amended to deal with any later amendments of this Act</w:t>
      </w:r>
      <w:r w:rsidR="008C180A">
        <w:rPr>
          <w:snapToGrid w:val="0"/>
          <w:lang w:eastAsia="en-US"/>
        </w:rPr>
        <w:t>.</w:t>
      </w:r>
    </w:p>
    <w:p w14:paraId="635D346F" w14:textId="77777777" w:rsidR="00E21DB8" w:rsidRPr="00FB7638" w:rsidRDefault="00E21DB8" w:rsidP="0042664D">
      <w:pPr>
        <w:pStyle w:val="subsection"/>
      </w:pPr>
      <w:r>
        <w:tab/>
        <w:t>(2)</w:t>
      </w:r>
      <w:r>
        <w:tab/>
      </w:r>
      <w:r w:rsidRPr="005F477A">
        <w:t xml:space="preserve">Any information in </w:t>
      </w:r>
      <w:r>
        <w:t>c</w:t>
      </w:r>
      <w:r w:rsidRPr="005F477A">
        <w:t>olumn 3 of the table is not part of this Act</w:t>
      </w:r>
      <w:r w:rsidR="008C180A">
        <w:t>.</w:t>
      </w:r>
      <w:r w:rsidRPr="005F477A">
        <w:t xml:space="preserve"> Information may be inserted in this column, or information in it may be edited, in any published version of this Act</w:t>
      </w:r>
      <w:r w:rsidR="008C180A">
        <w:t>.</w:t>
      </w:r>
    </w:p>
    <w:p w14:paraId="09B18302" w14:textId="77777777" w:rsidR="0048364F" w:rsidRPr="00005DD3" w:rsidRDefault="0048364F" w:rsidP="0042664D">
      <w:pPr>
        <w:pStyle w:val="ActHead5"/>
      </w:pPr>
      <w:bookmarkStart w:id="4" w:name="_Toc75515668"/>
      <w:r w:rsidRPr="000E6E32">
        <w:rPr>
          <w:rStyle w:val="CharSectno"/>
        </w:rPr>
        <w:t>3</w:t>
      </w:r>
      <w:r w:rsidRPr="00005DD3">
        <w:t xml:space="preserve">  Schedules</w:t>
      </w:r>
      <w:bookmarkEnd w:id="4"/>
    </w:p>
    <w:p w14:paraId="79FBA0CA" w14:textId="77777777" w:rsidR="0048364F" w:rsidRPr="00005DD3" w:rsidRDefault="0048364F" w:rsidP="0042664D">
      <w:pPr>
        <w:pStyle w:val="subsection"/>
      </w:pPr>
      <w:r w:rsidRPr="00005DD3">
        <w:tab/>
      </w:r>
      <w:r w:rsidRPr="00005DD3">
        <w:tab/>
      </w:r>
      <w:r w:rsidR="00202618" w:rsidRPr="00005DD3">
        <w:t>Legislation that is specified in a Schedule to this Act is amended or repealed as set out in the applicable items in the Schedule concerned, and any other item in a Schedule to this Act has effect according to its terms</w:t>
      </w:r>
      <w:r w:rsidR="008C180A">
        <w:t>.</w:t>
      </w:r>
    </w:p>
    <w:p w14:paraId="45546702" w14:textId="77777777" w:rsidR="008D3E94" w:rsidRPr="00005DD3" w:rsidRDefault="00B70F01" w:rsidP="0042664D">
      <w:pPr>
        <w:pStyle w:val="ActHead6"/>
        <w:pageBreakBefore/>
      </w:pPr>
      <w:bookmarkStart w:id="5" w:name="_Toc75515669"/>
      <w:bookmarkStart w:id="6" w:name="opcAmSched"/>
      <w:bookmarkStart w:id="7" w:name="opcCurrentFind"/>
      <w:r w:rsidRPr="000E6E32">
        <w:rPr>
          <w:rStyle w:val="CharAmSchNo"/>
        </w:rPr>
        <w:lastRenderedPageBreak/>
        <w:t>Schedule 1</w:t>
      </w:r>
      <w:r w:rsidR="0048364F" w:rsidRPr="00005DD3">
        <w:t>—</w:t>
      </w:r>
      <w:r w:rsidR="00846CAE" w:rsidRPr="000E6E32">
        <w:rPr>
          <w:rStyle w:val="CharAmSchText"/>
        </w:rPr>
        <w:t>Amendments</w:t>
      </w:r>
      <w:bookmarkEnd w:id="5"/>
    </w:p>
    <w:p w14:paraId="52009ADB" w14:textId="77777777" w:rsidR="008D3E94" w:rsidRPr="00005DD3" w:rsidRDefault="000C6268" w:rsidP="0042664D">
      <w:pPr>
        <w:pStyle w:val="ActHead7"/>
      </w:pPr>
      <w:bookmarkStart w:id="8" w:name="_Toc75515670"/>
      <w:bookmarkEnd w:id="6"/>
      <w:bookmarkEnd w:id="7"/>
      <w:r w:rsidRPr="000E6E32">
        <w:rPr>
          <w:rStyle w:val="CharAmPartNo"/>
        </w:rPr>
        <w:t>Part 1</w:t>
      </w:r>
      <w:r w:rsidR="00B525C0" w:rsidRPr="00005DD3">
        <w:t>—</w:t>
      </w:r>
      <w:r w:rsidR="00A96ED7" w:rsidRPr="000E6E32">
        <w:rPr>
          <w:rStyle w:val="CharAmPartText"/>
        </w:rPr>
        <w:t>R</w:t>
      </w:r>
      <w:r w:rsidR="00D96325" w:rsidRPr="000E6E32">
        <w:rPr>
          <w:rStyle w:val="CharAmPartText"/>
        </w:rPr>
        <w:t>ev</w:t>
      </w:r>
      <w:r w:rsidR="00E57577" w:rsidRPr="000E6E32">
        <w:rPr>
          <w:rStyle w:val="CharAmPartText"/>
        </w:rPr>
        <w:t>iew</w:t>
      </w:r>
      <w:r w:rsidR="00B525C0" w:rsidRPr="000E6E32">
        <w:rPr>
          <w:rStyle w:val="CharAmPartText"/>
        </w:rPr>
        <w:t xml:space="preserve"> of the Trust</w:t>
      </w:r>
      <w:bookmarkEnd w:id="8"/>
    </w:p>
    <w:p w14:paraId="7C41A94F" w14:textId="77777777" w:rsidR="004140BA" w:rsidRPr="00005DD3" w:rsidRDefault="002F6329" w:rsidP="0042664D">
      <w:pPr>
        <w:pStyle w:val="ActHead9"/>
        <w:rPr>
          <w:i w:val="0"/>
        </w:rPr>
      </w:pPr>
      <w:bookmarkStart w:id="9" w:name="_Toc75515671"/>
      <w:r w:rsidRPr="00005DD3">
        <w:t>Sydney Harbour Federation Trust Act 2001</w:t>
      </w:r>
      <w:bookmarkEnd w:id="9"/>
    </w:p>
    <w:p w14:paraId="7E092F29" w14:textId="77777777" w:rsidR="00D24ABE" w:rsidRPr="00005DD3" w:rsidRDefault="00B70F01" w:rsidP="0042664D">
      <w:pPr>
        <w:pStyle w:val="ItemHead"/>
      </w:pPr>
      <w:r>
        <w:t>1</w:t>
      </w:r>
      <w:r w:rsidR="008B6611" w:rsidRPr="00005DD3">
        <w:t xml:space="preserve">  Preamble</w:t>
      </w:r>
    </w:p>
    <w:p w14:paraId="416334A6" w14:textId="77777777" w:rsidR="004140BA" w:rsidRPr="00005DD3" w:rsidRDefault="008B6611" w:rsidP="0042664D">
      <w:pPr>
        <w:pStyle w:val="Item"/>
      </w:pPr>
      <w:r w:rsidRPr="00005DD3">
        <w:t>Omit “as a transitional body”</w:t>
      </w:r>
      <w:r w:rsidR="008C180A">
        <w:t>.</w:t>
      </w:r>
    </w:p>
    <w:p w14:paraId="15E7AEC8" w14:textId="77777777" w:rsidR="000B4C13" w:rsidRPr="00005DD3" w:rsidRDefault="00B70F01" w:rsidP="0042664D">
      <w:pPr>
        <w:pStyle w:val="ItemHead"/>
      </w:pPr>
      <w:r>
        <w:t>2</w:t>
      </w:r>
      <w:r w:rsidR="000B4C13" w:rsidRPr="00005DD3">
        <w:t xml:space="preserve">  Preamble</w:t>
      </w:r>
    </w:p>
    <w:p w14:paraId="7428E666" w14:textId="77777777" w:rsidR="000B4C13" w:rsidRPr="00005DD3" w:rsidRDefault="000B4C13" w:rsidP="0042664D">
      <w:pPr>
        <w:pStyle w:val="Item"/>
      </w:pPr>
      <w:r w:rsidRPr="00005DD3">
        <w:t>Omit “The Trust will transfer suitable land to New South Wales for inclusion in the national parks and reserves system</w:t>
      </w:r>
      <w:r w:rsidR="008C180A">
        <w:t>.</w:t>
      </w:r>
      <w:r w:rsidRPr="00005DD3">
        <w:t>”, substitute “The Trust will protect the heritage values of the land</w:t>
      </w:r>
      <w:r w:rsidR="008C180A">
        <w:t>.</w:t>
      </w:r>
      <w:r w:rsidRPr="00005DD3">
        <w:t>”</w:t>
      </w:r>
      <w:r w:rsidR="008C180A">
        <w:t>.</w:t>
      </w:r>
    </w:p>
    <w:p w14:paraId="601BDCA6" w14:textId="77777777" w:rsidR="00E557F0" w:rsidRPr="00005DD3" w:rsidRDefault="00B70F01" w:rsidP="0042664D">
      <w:pPr>
        <w:pStyle w:val="ItemHead"/>
      </w:pPr>
      <w:r>
        <w:t>3</w:t>
      </w:r>
      <w:r w:rsidR="00E557F0" w:rsidRPr="00005DD3">
        <w:t xml:space="preserve">  </w:t>
      </w:r>
      <w:r w:rsidR="0077578E">
        <w:t>Section 3</w:t>
      </w:r>
      <w:r w:rsidR="00E557F0">
        <w:t xml:space="preserve"> (definition of </w:t>
      </w:r>
      <w:r w:rsidR="00E557F0" w:rsidRPr="00005DD3">
        <w:rPr>
          <w:i/>
        </w:rPr>
        <w:t>repeal time</w:t>
      </w:r>
      <w:r w:rsidR="00E557F0">
        <w:t>)</w:t>
      </w:r>
    </w:p>
    <w:p w14:paraId="27ECC76A" w14:textId="77777777" w:rsidR="00E557F0" w:rsidRDefault="00E557F0" w:rsidP="0042664D">
      <w:pPr>
        <w:pStyle w:val="Item"/>
      </w:pPr>
      <w:r w:rsidRPr="00005DD3">
        <w:t>Repeal the definition</w:t>
      </w:r>
      <w:r w:rsidR="008C180A">
        <w:t>.</w:t>
      </w:r>
    </w:p>
    <w:p w14:paraId="41AAF1B1" w14:textId="77777777" w:rsidR="00E557F0" w:rsidRDefault="00B70F01" w:rsidP="0042664D">
      <w:pPr>
        <w:pStyle w:val="ItemHead"/>
      </w:pPr>
      <w:r>
        <w:t>4</w:t>
      </w:r>
      <w:r w:rsidR="00E557F0">
        <w:t xml:space="preserve">  </w:t>
      </w:r>
      <w:r w:rsidR="0077578E">
        <w:t>Section 3</w:t>
      </w:r>
    </w:p>
    <w:p w14:paraId="5606F861" w14:textId="77777777" w:rsidR="00E557F0" w:rsidRDefault="00E557F0" w:rsidP="0042664D">
      <w:pPr>
        <w:pStyle w:val="Item"/>
      </w:pPr>
      <w:r>
        <w:t>Insert:</w:t>
      </w:r>
    </w:p>
    <w:p w14:paraId="64737C59" w14:textId="77777777" w:rsidR="00E557F0" w:rsidRPr="004D2B8C" w:rsidRDefault="00E557F0" w:rsidP="0042664D">
      <w:pPr>
        <w:pStyle w:val="Definition"/>
      </w:pPr>
      <w:r>
        <w:rPr>
          <w:b/>
          <w:i/>
        </w:rPr>
        <w:t>statement of reasons</w:t>
      </w:r>
      <w:r>
        <w:t xml:space="preserve"> </w:t>
      </w:r>
      <w:r w:rsidR="00084231">
        <w:t>has the meaning given by</w:t>
      </w:r>
      <w:r>
        <w:t xml:space="preserve"> </w:t>
      </w:r>
      <w:r w:rsidR="00FB7848">
        <w:t>section </w:t>
      </w:r>
      <w:r w:rsidR="008C180A">
        <w:t>64B.</w:t>
      </w:r>
    </w:p>
    <w:p w14:paraId="3D765DBD" w14:textId="77777777" w:rsidR="00E557F0" w:rsidRPr="00005DD3" w:rsidRDefault="00B70F01" w:rsidP="0042664D">
      <w:pPr>
        <w:pStyle w:val="ItemHead"/>
      </w:pPr>
      <w:r>
        <w:t>5</w:t>
      </w:r>
      <w:r w:rsidR="00E557F0" w:rsidRPr="00005DD3">
        <w:t xml:space="preserve">  </w:t>
      </w:r>
      <w:r w:rsidR="0077578E">
        <w:t>Section 3</w:t>
      </w:r>
      <w:r w:rsidR="00E557F0">
        <w:t xml:space="preserve"> (definition of </w:t>
      </w:r>
      <w:r w:rsidR="00E557F0" w:rsidRPr="00005DD3">
        <w:rPr>
          <w:i/>
        </w:rPr>
        <w:t>suitable person</w:t>
      </w:r>
      <w:r w:rsidR="00E557F0">
        <w:t>)</w:t>
      </w:r>
    </w:p>
    <w:p w14:paraId="00F6FBB9" w14:textId="77777777" w:rsidR="00E557F0" w:rsidRDefault="00E557F0" w:rsidP="0042664D">
      <w:pPr>
        <w:pStyle w:val="Item"/>
      </w:pPr>
      <w:r w:rsidRPr="00005DD3">
        <w:t>Repeal the definition</w:t>
      </w:r>
      <w:r w:rsidR="008C180A">
        <w:t>.</w:t>
      </w:r>
    </w:p>
    <w:p w14:paraId="1E239671" w14:textId="77777777" w:rsidR="0037498B" w:rsidRPr="00005DD3" w:rsidRDefault="00B70F01" w:rsidP="0042664D">
      <w:pPr>
        <w:pStyle w:val="ItemHead"/>
      </w:pPr>
      <w:r>
        <w:t>6</w:t>
      </w:r>
      <w:r w:rsidR="0037498B" w:rsidRPr="00005DD3">
        <w:t xml:space="preserve">  </w:t>
      </w:r>
      <w:r w:rsidR="000D6CD8">
        <w:t>Sub</w:t>
      </w:r>
      <w:r w:rsidR="00FB7848">
        <w:t>section 1</w:t>
      </w:r>
      <w:r w:rsidR="0037498B" w:rsidRPr="00005DD3">
        <w:t>1(4)</w:t>
      </w:r>
    </w:p>
    <w:p w14:paraId="564F234D" w14:textId="77777777" w:rsidR="0037498B" w:rsidRPr="00005DD3" w:rsidRDefault="0037498B" w:rsidP="0042664D">
      <w:pPr>
        <w:pStyle w:val="Item"/>
      </w:pPr>
      <w:r w:rsidRPr="00005DD3">
        <w:t>Omit “suitable</w:t>
      </w:r>
      <w:r w:rsidR="00744CBB" w:rsidRPr="00005DD3">
        <w:t xml:space="preserve"> persons”, substitute “persons </w:t>
      </w:r>
      <w:r w:rsidRPr="00005DD3">
        <w:t xml:space="preserve">who </w:t>
      </w:r>
      <w:r w:rsidR="007F50B3" w:rsidRPr="00005DD3">
        <w:t>have</w:t>
      </w:r>
      <w:r w:rsidRPr="00005DD3">
        <w:t xml:space="preserve"> </w:t>
      </w:r>
      <w:r w:rsidR="007F50B3" w:rsidRPr="00005DD3">
        <w:t>experience or knowledge</w:t>
      </w:r>
      <w:r w:rsidRPr="00005DD3">
        <w:t xml:space="preserve"> in</w:t>
      </w:r>
      <w:r w:rsidR="00261783" w:rsidRPr="00005DD3">
        <w:t xml:space="preserve"> at least one of the fields</w:t>
      </w:r>
      <w:r w:rsidRPr="00005DD3">
        <w:t xml:space="preserve"> </w:t>
      </w:r>
      <w:r w:rsidR="00261783" w:rsidRPr="00005DD3">
        <w:t xml:space="preserve">listed in </w:t>
      </w:r>
      <w:r w:rsidR="00FB7848">
        <w:t>subsection 1</w:t>
      </w:r>
      <w:r w:rsidRPr="00005DD3">
        <w:t>2(</w:t>
      </w:r>
      <w:r w:rsidR="007F50B3" w:rsidRPr="00005DD3">
        <w:t>2</w:t>
      </w:r>
      <w:r w:rsidRPr="00005DD3">
        <w:t>)”</w:t>
      </w:r>
      <w:r w:rsidR="008C180A">
        <w:t>.</w:t>
      </w:r>
    </w:p>
    <w:p w14:paraId="350A136F" w14:textId="77777777" w:rsidR="00984EE6" w:rsidRPr="00005DD3" w:rsidRDefault="00B70F01" w:rsidP="0042664D">
      <w:pPr>
        <w:pStyle w:val="ItemHead"/>
      </w:pPr>
      <w:r>
        <w:t>7</w:t>
      </w:r>
      <w:r w:rsidR="00984EE6" w:rsidRPr="00005DD3">
        <w:t xml:space="preserve">  Subsection</w:t>
      </w:r>
      <w:r w:rsidR="0021263B" w:rsidRPr="00005DD3">
        <w:t>s</w:t>
      </w:r>
      <w:r w:rsidR="00001C30" w:rsidRPr="00005DD3">
        <w:t> </w:t>
      </w:r>
      <w:r w:rsidR="00984EE6" w:rsidRPr="00005DD3">
        <w:t>12(2)</w:t>
      </w:r>
      <w:r w:rsidR="0021263B" w:rsidRPr="00005DD3">
        <w:t>, (3) and (3A)</w:t>
      </w:r>
    </w:p>
    <w:p w14:paraId="5E984C02" w14:textId="77777777" w:rsidR="00984EE6" w:rsidRPr="00005DD3" w:rsidRDefault="00984EE6" w:rsidP="0042664D">
      <w:pPr>
        <w:pStyle w:val="Item"/>
      </w:pPr>
      <w:r w:rsidRPr="00005DD3">
        <w:t>Repeal the subsection</w:t>
      </w:r>
      <w:r w:rsidR="0044770B" w:rsidRPr="00005DD3">
        <w:t>s</w:t>
      </w:r>
      <w:r w:rsidRPr="00005DD3">
        <w:t>, substitute:</w:t>
      </w:r>
    </w:p>
    <w:p w14:paraId="13A8DBE5" w14:textId="77777777" w:rsidR="00984EE6" w:rsidRPr="00005DD3" w:rsidRDefault="00984EE6" w:rsidP="0042664D">
      <w:pPr>
        <w:pStyle w:val="subsection"/>
      </w:pPr>
      <w:r w:rsidRPr="00005DD3">
        <w:tab/>
        <w:t>(2)</w:t>
      </w:r>
      <w:r w:rsidRPr="00005DD3">
        <w:tab/>
      </w:r>
      <w:r w:rsidR="000A52B2" w:rsidRPr="00005DD3">
        <w:t>A person is not eligible for appointment</w:t>
      </w:r>
      <w:r w:rsidRPr="00005DD3">
        <w:t xml:space="preserve"> as a member</w:t>
      </w:r>
      <w:r w:rsidR="000A52B2" w:rsidRPr="00005DD3">
        <w:t xml:space="preserve"> </w:t>
      </w:r>
      <w:r w:rsidRPr="00005DD3">
        <w:t>unless the Minister is satisfied that the person</w:t>
      </w:r>
      <w:r w:rsidR="0020071B" w:rsidRPr="00005DD3">
        <w:t xml:space="preserve"> has</w:t>
      </w:r>
      <w:r w:rsidR="000A52B2" w:rsidRPr="00005DD3">
        <w:t xml:space="preserve"> experience or knowledge in at least one of the following fields:</w:t>
      </w:r>
    </w:p>
    <w:p w14:paraId="50089AA3" w14:textId="77777777" w:rsidR="005B537A" w:rsidRPr="00005DD3" w:rsidRDefault="000A52B2" w:rsidP="0042664D">
      <w:pPr>
        <w:pStyle w:val="paragraph"/>
      </w:pPr>
      <w:r w:rsidRPr="00005DD3">
        <w:tab/>
        <w:t>(a)</w:t>
      </w:r>
      <w:r w:rsidRPr="00005DD3">
        <w:tab/>
      </w:r>
      <w:r w:rsidR="005B537A" w:rsidRPr="00005DD3">
        <w:t xml:space="preserve">environment and heritage conservation </w:t>
      </w:r>
      <w:r w:rsidR="00F609BC" w:rsidRPr="00005DD3">
        <w:t xml:space="preserve">or heritage </w:t>
      </w:r>
      <w:r w:rsidR="005B537A" w:rsidRPr="00005DD3">
        <w:t>interpretation;</w:t>
      </w:r>
    </w:p>
    <w:p w14:paraId="75212CC3" w14:textId="77777777" w:rsidR="00D13FCA" w:rsidRPr="00005DD3" w:rsidRDefault="00D13FCA" w:rsidP="0042664D">
      <w:pPr>
        <w:pStyle w:val="paragraph"/>
      </w:pPr>
      <w:r w:rsidRPr="00005DD3">
        <w:tab/>
        <w:t>(b)</w:t>
      </w:r>
      <w:r w:rsidRPr="00005DD3">
        <w:tab/>
      </w:r>
      <w:r w:rsidR="005B537A" w:rsidRPr="00005DD3">
        <w:t>Indigenous culture;</w:t>
      </w:r>
    </w:p>
    <w:p w14:paraId="14BF34F8" w14:textId="77777777" w:rsidR="00D13FCA" w:rsidRPr="00005DD3" w:rsidRDefault="00D13FCA" w:rsidP="0042664D">
      <w:pPr>
        <w:pStyle w:val="paragraph"/>
      </w:pPr>
      <w:r w:rsidRPr="00005DD3">
        <w:lastRenderedPageBreak/>
        <w:tab/>
        <w:t>(c)</w:t>
      </w:r>
      <w:r w:rsidRPr="00005DD3">
        <w:tab/>
      </w:r>
      <w:r w:rsidR="005B537A" w:rsidRPr="00005DD3">
        <w:t>land planning and</w:t>
      </w:r>
      <w:r w:rsidRPr="00005DD3">
        <w:t xml:space="preserve"> management;</w:t>
      </w:r>
    </w:p>
    <w:p w14:paraId="065FD8F3" w14:textId="77777777" w:rsidR="00D13FCA" w:rsidRPr="00005DD3" w:rsidRDefault="00D13FCA" w:rsidP="0042664D">
      <w:pPr>
        <w:pStyle w:val="paragraph"/>
      </w:pPr>
      <w:r w:rsidRPr="00005DD3">
        <w:tab/>
        <w:t>(d)</w:t>
      </w:r>
      <w:r w:rsidRPr="00005DD3">
        <w:tab/>
      </w:r>
      <w:r w:rsidR="005B537A" w:rsidRPr="00005DD3">
        <w:t>business, financial, property or asset management</w:t>
      </w:r>
      <w:r w:rsidRPr="00005DD3">
        <w:t>;</w:t>
      </w:r>
    </w:p>
    <w:p w14:paraId="2612A75D" w14:textId="77777777" w:rsidR="00D13FCA" w:rsidRPr="00005DD3" w:rsidRDefault="00D13FCA" w:rsidP="0042664D">
      <w:pPr>
        <w:pStyle w:val="paragraph"/>
      </w:pPr>
      <w:r w:rsidRPr="00005DD3">
        <w:tab/>
        <w:t>(e)</w:t>
      </w:r>
      <w:r w:rsidRPr="00005DD3">
        <w:tab/>
        <w:t>tourism</w:t>
      </w:r>
      <w:r w:rsidR="005B537A" w:rsidRPr="00005DD3">
        <w:t xml:space="preserve"> or marketing</w:t>
      </w:r>
      <w:r w:rsidRPr="00005DD3">
        <w:t>;</w:t>
      </w:r>
    </w:p>
    <w:p w14:paraId="34AB6065" w14:textId="77777777" w:rsidR="00D13FCA" w:rsidRPr="00005DD3" w:rsidRDefault="00872088" w:rsidP="0042664D">
      <w:pPr>
        <w:pStyle w:val="paragraph"/>
      </w:pPr>
      <w:r w:rsidRPr="00005DD3">
        <w:tab/>
        <w:t>(f)</w:t>
      </w:r>
      <w:r w:rsidRPr="00005DD3">
        <w:tab/>
        <w:t>military</w:t>
      </w:r>
      <w:r w:rsidR="00F609BC" w:rsidRPr="00005DD3">
        <w:t xml:space="preserve"> service</w:t>
      </w:r>
      <w:r w:rsidRPr="00005DD3">
        <w:t>;</w:t>
      </w:r>
    </w:p>
    <w:p w14:paraId="2D9DD2B7" w14:textId="77777777" w:rsidR="00872088" w:rsidRPr="00005DD3" w:rsidRDefault="00872088" w:rsidP="0042664D">
      <w:pPr>
        <w:pStyle w:val="paragraph"/>
      </w:pPr>
      <w:r w:rsidRPr="00005DD3">
        <w:tab/>
        <w:t>(g)</w:t>
      </w:r>
      <w:r w:rsidRPr="00005DD3">
        <w:tab/>
        <w:t>law</w:t>
      </w:r>
      <w:r w:rsidR="008C180A">
        <w:t>.</w:t>
      </w:r>
    </w:p>
    <w:p w14:paraId="1AA99006" w14:textId="77777777" w:rsidR="0021263B" w:rsidRPr="00005DD3" w:rsidRDefault="0021263B" w:rsidP="0042664D">
      <w:pPr>
        <w:pStyle w:val="subsection"/>
      </w:pPr>
      <w:r w:rsidRPr="00005DD3">
        <w:tab/>
        <w:t>(3)</w:t>
      </w:r>
      <w:r w:rsidRPr="00005DD3">
        <w:tab/>
        <w:t xml:space="preserve">One of the members must be an </w:t>
      </w:r>
      <w:r w:rsidR="00880036" w:rsidRPr="00005DD3">
        <w:t>Aboriginal</w:t>
      </w:r>
      <w:r w:rsidRPr="00005DD3">
        <w:t xml:space="preserve"> person</w:t>
      </w:r>
      <w:r w:rsidR="00880036" w:rsidRPr="00005DD3">
        <w:t xml:space="preserve">, or a Torres Strait Islander, within the meaning of the </w:t>
      </w:r>
      <w:r w:rsidR="00880036" w:rsidRPr="00005DD3">
        <w:rPr>
          <w:i/>
        </w:rPr>
        <w:t>Aboriginal and Torres Strait Islander Act 2005</w:t>
      </w:r>
      <w:r w:rsidRPr="00005DD3">
        <w:t xml:space="preserve"> who is eligible for appointment under </w:t>
      </w:r>
      <w:r w:rsidR="00FC771D">
        <w:t>subsection (</w:t>
      </w:r>
      <w:r w:rsidRPr="00005DD3">
        <w:t>2)</w:t>
      </w:r>
      <w:r w:rsidR="008C180A">
        <w:t>.</w:t>
      </w:r>
    </w:p>
    <w:p w14:paraId="7606EBFA" w14:textId="77777777" w:rsidR="00A656A4" w:rsidRPr="00005DD3" w:rsidRDefault="0021263B" w:rsidP="0042664D">
      <w:pPr>
        <w:pStyle w:val="subsection"/>
      </w:pPr>
      <w:r w:rsidRPr="00005DD3">
        <w:tab/>
        <w:t>(3A)</w:t>
      </w:r>
      <w:r w:rsidRPr="00005DD3">
        <w:tab/>
      </w:r>
      <w:r w:rsidR="00D930FA" w:rsidRPr="00005DD3">
        <w:t>One</w:t>
      </w:r>
      <w:r w:rsidRPr="00005DD3">
        <w:t xml:space="preserve"> of the members must be </w:t>
      </w:r>
      <w:r w:rsidR="005B46F7" w:rsidRPr="00005DD3">
        <w:t>a person who</w:t>
      </w:r>
      <w:r w:rsidR="00A656A4" w:rsidRPr="00005DD3">
        <w:t>:</w:t>
      </w:r>
    </w:p>
    <w:p w14:paraId="0297BFB3" w14:textId="77777777" w:rsidR="00A656A4" w:rsidRPr="00005DD3" w:rsidRDefault="00A656A4" w:rsidP="0042664D">
      <w:pPr>
        <w:pStyle w:val="paragraph"/>
      </w:pPr>
      <w:r w:rsidRPr="00005DD3">
        <w:tab/>
        <w:t>(a)</w:t>
      </w:r>
      <w:r w:rsidRPr="00005DD3">
        <w:tab/>
        <w:t xml:space="preserve">is eligible for appointment under </w:t>
      </w:r>
      <w:r w:rsidR="00FC771D">
        <w:t>subsection (</w:t>
      </w:r>
      <w:r w:rsidRPr="00005DD3">
        <w:t>2); and</w:t>
      </w:r>
    </w:p>
    <w:p w14:paraId="12A1DC78" w14:textId="77777777" w:rsidR="0021263B" w:rsidRPr="00005DD3" w:rsidRDefault="00A656A4" w:rsidP="0042664D">
      <w:pPr>
        <w:pStyle w:val="paragraph"/>
      </w:pPr>
      <w:r w:rsidRPr="00005DD3">
        <w:tab/>
        <w:t>(b)</w:t>
      </w:r>
      <w:r w:rsidRPr="00005DD3">
        <w:tab/>
      </w:r>
      <w:r w:rsidR="0021263B" w:rsidRPr="00005DD3">
        <w:t>in the Minister’s opinion, provide</w:t>
      </w:r>
      <w:r w:rsidR="005B46F7" w:rsidRPr="00005DD3">
        <w:t>s</w:t>
      </w:r>
      <w:r w:rsidR="0021263B" w:rsidRPr="00005DD3">
        <w:t xml:space="preserve"> a local government perspective and experience</w:t>
      </w:r>
      <w:r w:rsidR="008C180A">
        <w:t>.</w:t>
      </w:r>
    </w:p>
    <w:p w14:paraId="6693A20A" w14:textId="77777777" w:rsidR="00B07C98" w:rsidRPr="00005DD3" w:rsidRDefault="00B70F01" w:rsidP="0042664D">
      <w:pPr>
        <w:pStyle w:val="ItemHead"/>
      </w:pPr>
      <w:r>
        <w:t>8</w:t>
      </w:r>
      <w:r w:rsidR="00B07C98" w:rsidRPr="00005DD3">
        <w:t xml:space="preserve">  Section</w:t>
      </w:r>
      <w:r w:rsidR="00642C34" w:rsidRPr="00005DD3">
        <w:t>s</w:t>
      </w:r>
      <w:r w:rsidR="00001C30" w:rsidRPr="00005DD3">
        <w:t> </w:t>
      </w:r>
      <w:r w:rsidR="00B07C98" w:rsidRPr="00005DD3">
        <w:t>64</w:t>
      </w:r>
      <w:r w:rsidR="00642C34" w:rsidRPr="00005DD3">
        <w:t xml:space="preserve"> and 64A</w:t>
      </w:r>
    </w:p>
    <w:p w14:paraId="48BC3E30" w14:textId="77777777" w:rsidR="00B07C98" w:rsidRPr="00005DD3" w:rsidRDefault="00B07C98" w:rsidP="0042664D">
      <w:pPr>
        <w:pStyle w:val="Item"/>
      </w:pPr>
      <w:r w:rsidRPr="00005DD3">
        <w:t>Repeal the section</w:t>
      </w:r>
      <w:r w:rsidR="00642C34" w:rsidRPr="00005DD3">
        <w:t>s</w:t>
      </w:r>
      <w:r w:rsidRPr="00005DD3">
        <w:t>, substitute:</w:t>
      </w:r>
    </w:p>
    <w:p w14:paraId="78AA8822" w14:textId="77777777" w:rsidR="00B07C98" w:rsidRPr="00005DD3" w:rsidRDefault="00B07C98" w:rsidP="0042664D">
      <w:pPr>
        <w:pStyle w:val="ActHead5"/>
      </w:pPr>
      <w:bookmarkStart w:id="10" w:name="_Toc75515672"/>
      <w:r w:rsidRPr="000E6E32">
        <w:rPr>
          <w:rStyle w:val="CharSectno"/>
        </w:rPr>
        <w:t>64</w:t>
      </w:r>
      <w:r w:rsidRPr="00005DD3">
        <w:t xml:space="preserve">  Contracts</w:t>
      </w:r>
      <w:bookmarkEnd w:id="10"/>
    </w:p>
    <w:p w14:paraId="4135723E" w14:textId="77777777" w:rsidR="00932565" w:rsidRPr="00005DD3" w:rsidRDefault="00932565" w:rsidP="0042664D">
      <w:pPr>
        <w:pStyle w:val="SubsectionHead"/>
      </w:pPr>
      <w:r w:rsidRPr="00005DD3">
        <w:t>Minister’s written approval</w:t>
      </w:r>
    </w:p>
    <w:p w14:paraId="3A6C91F6" w14:textId="77777777" w:rsidR="00B07C98" w:rsidRPr="00005DD3" w:rsidRDefault="00B07C98" w:rsidP="0042664D">
      <w:pPr>
        <w:pStyle w:val="subsection"/>
      </w:pPr>
      <w:r w:rsidRPr="00005DD3">
        <w:tab/>
      </w:r>
      <w:r w:rsidR="00EB5F08" w:rsidRPr="00005DD3">
        <w:t>(1)</w:t>
      </w:r>
      <w:r w:rsidRPr="00005DD3">
        <w:tab/>
        <w:t>The Trust must not, except with the Minister’s written approval, enter into a contract involving the payment or receipt by the Trust of an amount exceeding $5,000,000</w:t>
      </w:r>
      <w:r w:rsidR="008C180A">
        <w:t>.</w:t>
      </w:r>
    </w:p>
    <w:p w14:paraId="7228513F" w14:textId="77777777" w:rsidR="00701FDD" w:rsidRPr="00005DD3" w:rsidRDefault="00701FDD" w:rsidP="0042664D">
      <w:pPr>
        <w:pStyle w:val="subsection"/>
      </w:pPr>
      <w:r w:rsidRPr="00005DD3">
        <w:tab/>
        <w:t>(2)</w:t>
      </w:r>
      <w:r w:rsidRPr="00005DD3">
        <w:tab/>
        <w:t xml:space="preserve">In working out </w:t>
      </w:r>
      <w:r w:rsidR="00841AE8" w:rsidRPr="00005DD3">
        <w:t>the</w:t>
      </w:r>
      <w:r w:rsidRPr="00005DD3">
        <w:t xml:space="preserve"> amount under </w:t>
      </w:r>
      <w:r w:rsidR="00294262" w:rsidRPr="00005DD3">
        <w:t xml:space="preserve">the </w:t>
      </w:r>
      <w:r w:rsidRPr="00005DD3">
        <w:t xml:space="preserve">contract, assume that any option or right to extend or renew the contract will be exercised and take into account the amount </w:t>
      </w:r>
      <w:r w:rsidR="00F31F62" w:rsidRPr="00005DD3">
        <w:t>under</w:t>
      </w:r>
      <w:r w:rsidRPr="00005DD3">
        <w:t xml:space="preserve"> the contract as so extended </w:t>
      </w:r>
      <w:r w:rsidR="00294262" w:rsidRPr="00005DD3">
        <w:t>or renewed</w:t>
      </w:r>
      <w:r w:rsidR="008C180A">
        <w:t>.</w:t>
      </w:r>
    </w:p>
    <w:p w14:paraId="0FC1D7A6" w14:textId="77777777" w:rsidR="007E77B7" w:rsidRPr="00005DD3" w:rsidRDefault="00701FDD" w:rsidP="0042664D">
      <w:pPr>
        <w:pStyle w:val="SubsectionHead"/>
      </w:pPr>
      <w:r w:rsidRPr="00005DD3">
        <w:t>Indexation of threshold amount</w:t>
      </w:r>
    </w:p>
    <w:p w14:paraId="1A7AB53A" w14:textId="77777777" w:rsidR="007E77B7" w:rsidRPr="00005DD3" w:rsidRDefault="007E77B7" w:rsidP="0042664D">
      <w:pPr>
        <w:pStyle w:val="subsection"/>
      </w:pPr>
      <w:r w:rsidRPr="00005DD3">
        <w:tab/>
        <w:t>(3)</w:t>
      </w:r>
      <w:r w:rsidRPr="00005DD3">
        <w:tab/>
      </w:r>
      <w:r w:rsidR="007427CF" w:rsidRPr="00005DD3">
        <w:t xml:space="preserve">The dollar amount specified in </w:t>
      </w:r>
      <w:r w:rsidR="00FC771D">
        <w:t>subsection (</w:t>
      </w:r>
      <w:r w:rsidR="00390376" w:rsidRPr="00005DD3">
        <w:t xml:space="preserve">1) </w:t>
      </w:r>
      <w:r w:rsidR="00701FDD" w:rsidRPr="00005DD3">
        <w:t xml:space="preserve">is a </w:t>
      </w:r>
      <w:r w:rsidR="007427CF" w:rsidRPr="00005DD3">
        <w:rPr>
          <w:b/>
          <w:i/>
        </w:rPr>
        <w:t>threshold amount</w:t>
      </w:r>
      <w:r w:rsidR="008C180A">
        <w:t>.</w:t>
      </w:r>
    </w:p>
    <w:p w14:paraId="70873534" w14:textId="77777777" w:rsidR="00390376" w:rsidRPr="00005DD3" w:rsidRDefault="00390376" w:rsidP="0042664D">
      <w:pPr>
        <w:pStyle w:val="subsection"/>
      </w:pPr>
      <w:r w:rsidRPr="00005DD3">
        <w:tab/>
        <w:t>(4)</w:t>
      </w:r>
      <w:r w:rsidRPr="00005DD3">
        <w:tab/>
        <w:t xml:space="preserve">On </w:t>
      </w:r>
      <w:r w:rsidR="007F0FCD" w:rsidRPr="00005DD3">
        <w:t>1 July</w:t>
      </w:r>
      <w:r w:rsidRPr="00005DD3">
        <w:t xml:space="preserve"> </w:t>
      </w:r>
      <w:r w:rsidR="0012489E" w:rsidRPr="00005DD3">
        <w:t>2022</w:t>
      </w:r>
      <w:r w:rsidRPr="00005DD3">
        <w:t xml:space="preserve"> and each subsequent </w:t>
      </w:r>
      <w:r w:rsidR="007F0FCD" w:rsidRPr="00005DD3">
        <w:t>1 July</w:t>
      </w:r>
      <w:r w:rsidRPr="00005DD3">
        <w:t xml:space="preserve"> (an </w:t>
      </w:r>
      <w:r w:rsidRPr="00005DD3">
        <w:rPr>
          <w:b/>
          <w:i/>
        </w:rPr>
        <w:t>indexation day</w:t>
      </w:r>
      <w:r w:rsidRPr="00005DD3">
        <w:t>), the threshold amount is replaced by an amount worked out using the following formula:</w:t>
      </w:r>
    </w:p>
    <w:p w14:paraId="0E110281" w14:textId="77777777" w:rsidR="00390376" w:rsidRPr="00005DD3" w:rsidRDefault="00390376" w:rsidP="0042664D">
      <w:pPr>
        <w:pStyle w:val="subsection2"/>
      </w:pPr>
      <w:r w:rsidRPr="00005DD3">
        <w:rPr>
          <w:position w:val="-20"/>
        </w:rPr>
        <w:object w:dxaOrig="4680" w:dyaOrig="639" w14:anchorId="2003D5CD">
          <v:shape id="_x0000_i1027" type="#_x0000_t75" style="width:233.25pt;height:30.75pt" o:ole="">
            <v:imagedata r:id="rId21" o:title=""/>
          </v:shape>
          <o:OLEObject Type="Embed" ProgID="Equation.DSMT4" ShapeID="_x0000_i1027" DrawAspect="Content" ObjectID="_1692708359" r:id="rId22"/>
        </w:object>
      </w:r>
    </w:p>
    <w:p w14:paraId="3D99D705" w14:textId="77777777" w:rsidR="00390376" w:rsidRPr="00005DD3" w:rsidRDefault="00390376" w:rsidP="0042664D">
      <w:pPr>
        <w:pStyle w:val="subsection"/>
      </w:pPr>
      <w:r w:rsidRPr="00005DD3">
        <w:tab/>
        <w:t>(5)</w:t>
      </w:r>
      <w:r w:rsidRPr="00005DD3">
        <w:tab/>
        <w:t xml:space="preserve">The </w:t>
      </w:r>
      <w:r w:rsidRPr="00005DD3">
        <w:rPr>
          <w:b/>
          <w:i/>
        </w:rPr>
        <w:t>indexation factor</w:t>
      </w:r>
      <w:r w:rsidRPr="00005DD3">
        <w:t xml:space="preserve"> for an indexation day is the number worked out using the following formula:</w:t>
      </w:r>
    </w:p>
    <w:p w14:paraId="51DAB195" w14:textId="77777777" w:rsidR="00390376" w:rsidRPr="00005DD3" w:rsidRDefault="00390376" w:rsidP="0042664D">
      <w:pPr>
        <w:pStyle w:val="subsection2"/>
      </w:pPr>
      <w:r w:rsidRPr="00005DD3">
        <w:object w:dxaOrig="3200" w:dyaOrig="880" w14:anchorId="4E2DEA18">
          <v:shape id="_x0000_i1028" type="#_x0000_t75" style="width:159pt;height:43.5pt" o:ole="">
            <v:imagedata r:id="rId23" o:title=""/>
          </v:shape>
          <o:OLEObject Type="Embed" ProgID="Equation.DSMT4" ShapeID="_x0000_i1028" DrawAspect="Content" ObjectID="_1692708360" r:id="rId24"/>
        </w:object>
      </w:r>
    </w:p>
    <w:p w14:paraId="4DDB8801" w14:textId="77777777" w:rsidR="00390376" w:rsidRPr="00005DD3" w:rsidRDefault="00390376" w:rsidP="0042664D">
      <w:pPr>
        <w:pStyle w:val="subsection2"/>
      </w:pPr>
      <w:r w:rsidRPr="00005DD3">
        <w:t>where:</w:t>
      </w:r>
    </w:p>
    <w:p w14:paraId="79FD7742" w14:textId="77777777" w:rsidR="00390376" w:rsidRPr="00005DD3" w:rsidRDefault="00390376" w:rsidP="0042664D">
      <w:pPr>
        <w:pStyle w:val="Definition"/>
      </w:pPr>
      <w:r w:rsidRPr="00005DD3">
        <w:rPr>
          <w:b/>
          <w:i/>
        </w:rPr>
        <w:t>base quarter</w:t>
      </w:r>
      <w:r w:rsidRPr="00005DD3">
        <w:t xml:space="preserve"> means the March quarter ending 1 year before the reference quarter ends</w:t>
      </w:r>
      <w:r w:rsidR="008C180A">
        <w:t>.</w:t>
      </w:r>
    </w:p>
    <w:p w14:paraId="0BD52A92" w14:textId="77777777" w:rsidR="00390376" w:rsidRPr="00005DD3" w:rsidRDefault="00390376" w:rsidP="0042664D">
      <w:pPr>
        <w:pStyle w:val="Definition"/>
      </w:pPr>
      <w:r w:rsidRPr="00005DD3">
        <w:rPr>
          <w:b/>
          <w:i/>
        </w:rPr>
        <w:t>index number</w:t>
      </w:r>
      <w:r w:rsidRPr="00005DD3">
        <w:t>, for a quarter, means the All Groups Consumer Price Index number (being the weighted average of the 8 capital cities) published by the Australian Statistician for that quarter</w:t>
      </w:r>
      <w:r w:rsidR="008C180A">
        <w:t>.</w:t>
      </w:r>
    </w:p>
    <w:p w14:paraId="0BCEE5CE" w14:textId="77777777" w:rsidR="00390376" w:rsidRPr="00005DD3" w:rsidRDefault="00390376" w:rsidP="0042664D">
      <w:pPr>
        <w:pStyle w:val="Definition"/>
        <w:rPr>
          <w:b/>
        </w:rPr>
      </w:pPr>
      <w:r w:rsidRPr="00005DD3">
        <w:rPr>
          <w:b/>
          <w:i/>
        </w:rPr>
        <w:t>March quarter</w:t>
      </w:r>
      <w:r w:rsidRPr="00005DD3">
        <w:t xml:space="preserve"> means a period of 3 months ending on 31 March</w:t>
      </w:r>
      <w:r w:rsidR="008C180A">
        <w:t>.</w:t>
      </w:r>
    </w:p>
    <w:p w14:paraId="1B52BD3F" w14:textId="77777777" w:rsidR="00390376" w:rsidRPr="00005DD3" w:rsidRDefault="00390376" w:rsidP="0042664D">
      <w:pPr>
        <w:pStyle w:val="Definition"/>
      </w:pPr>
      <w:r w:rsidRPr="00005DD3">
        <w:rPr>
          <w:b/>
          <w:i/>
        </w:rPr>
        <w:t>reference quarter</w:t>
      </w:r>
      <w:r w:rsidRPr="00005DD3">
        <w:t xml:space="preserve"> means the March quarter immediately before the indexation day</w:t>
      </w:r>
      <w:r w:rsidR="008C180A">
        <w:t>.</w:t>
      </w:r>
    </w:p>
    <w:p w14:paraId="5032D036" w14:textId="77777777" w:rsidR="00390376" w:rsidRPr="00005DD3" w:rsidRDefault="00390376" w:rsidP="0042664D">
      <w:pPr>
        <w:pStyle w:val="subsection"/>
      </w:pPr>
      <w:r w:rsidRPr="00005DD3">
        <w:tab/>
        <w:t>(6)</w:t>
      </w:r>
      <w:r w:rsidRPr="00005DD3">
        <w:tab/>
        <w:t>An indexation factor is to be calculated to 3 decimal places (rounding up if the fourth decimal place is 5 or more)</w:t>
      </w:r>
      <w:r w:rsidR="008C180A">
        <w:t>.</w:t>
      </w:r>
    </w:p>
    <w:p w14:paraId="486A758B" w14:textId="77777777" w:rsidR="00390376" w:rsidRPr="00005DD3" w:rsidRDefault="00390376" w:rsidP="0042664D">
      <w:pPr>
        <w:pStyle w:val="subsection"/>
      </w:pPr>
      <w:r w:rsidRPr="00005DD3">
        <w:tab/>
        <w:t>(7)</w:t>
      </w:r>
      <w:r w:rsidRPr="00005DD3">
        <w:tab/>
        <w:t>An indexation factor that is less than 1 is to be increased to 1</w:t>
      </w:r>
      <w:r w:rsidR="008C180A">
        <w:t>.</w:t>
      </w:r>
    </w:p>
    <w:p w14:paraId="372C2BBD" w14:textId="77777777" w:rsidR="00390376" w:rsidRPr="00005DD3" w:rsidRDefault="00390376" w:rsidP="0042664D">
      <w:pPr>
        <w:pStyle w:val="subsection"/>
      </w:pPr>
      <w:r w:rsidRPr="00005DD3">
        <w:tab/>
        <w:t>(8)</w:t>
      </w:r>
      <w:r w:rsidRPr="00005DD3">
        <w:tab/>
        <w:t xml:space="preserve">Amounts worked out under </w:t>
      </w:r>
      <w:r w:rsidR="00FC771D">
        <w:t>subsection (</w:t>
      </w:r>
      <w:r w:rsidRPr="00005DD3">
        <w:t>4) are to be rounded to the nearest whole dollar (rounding 50 cents upwards)</w:t>
      </w:r>
      <w:r w:rsidR="008C180A">
        <w:t>.</w:t>
      </w:r>
    </w:p>
    <w:p w14:paraId="3496CE1F" w14:textId="77777777" w:rsidR="00390376" w:rsidRPr="00005DD3" w:rsidRDefault="00390376" w:rsidP="0042664D">
      <w:pPr>
        <w:pStyle w:val="subsection"/>
      </w:pPr>
      <w:r w:rsidRPr="00005DD3">
        <w:tab/>
        <w:t>(9)</w:t>
      </w:r>
      <w:r w:rsidRPr="00005DD3">
        <w:tab/>
        <w:t xml:space="preserve">Calculations under </w:t>
      </w:r>
      <w:r w:rsidR="00FC771D">
        <w:t>subsection (</w:t>
      </w:r>
      <w:r w:rsidRPr="00005DD3">
        <w:t>5):</w:t>
      </w:r>
    </w:p>
    <w:p w14:paraId="186E5AA6" w14:textId="77777777" w:rsidR="00390376" w:rsidRPr="00005DD3" w:rsidRDefault="00390376" w:rsidP="0042664D">
      <w:pPr>
        <w:pStyle w:val="paragraph"/>
      </w:pPr>
      <w:r w:rsidRPr="00005DD3">
        <w:tab/>
        <w:t>(a)</w:t>
      </w:r>
      <w:r w:rsidRPr="00005DD3">
        <w:tab/>
        <w:t>are to be made using only the index numbers published in terms of the most recently published index reference period; and</w:t>
      </w:r>
    </w:p>
    <w:p w14:paraId="5C984E8C" w14:textId="77777777" w:rsidR="00390376" w:rsidRPr="00005DD3" w:rsidRDefault="00390376" w:rsidP="0042664D">
      <w:pPr>
        <w:pStyle w:val="paragraph"/>
      </w:pPr>
      <w:r w:rsidRPr="00005DD3">
        <w:tab/>
        <w:t>(b)</w:t>
      </w:r>
      <w:r w:rsidRPr="00005DD3">
        <w:tab/>
        <w:t>are to be made disregarding index numbers that are published in substitution for previously published index numbers (except where the substituted numbers are published to take account of changes in the index reference period)</w:t>
      </w:r>
      <w:r w:rsidR="008C180A">
        <w:t>.</w:t>
      </w:r>
    </w:p>
    <w:p w14:paraId="5A0A2C32" w14:textId="77777777" w:rsidR="006135C8" w:rsidRPr="00B27EEE" w:rsidRDefault="008C180A" w:rsidP="0042664D">
      <w:pPr>
        <w:pStyle w:val="ActHead5"/>
      </w:pPr>
      <w:bookmarkStart w:id="11" w:name="_Toc75515673"/>
      <w:r w:rsidRPr="000E6E32">
        <w:rPr>
          <w:rStyle w:val="CharSectno"/>
        </w:rPr>
        <w:t>64A</w:t>
      </w:r>
      <w:r w:rsidR="00E8553F" w:rsidRPr="00B27EEE">
        <w:t xml:space="preserve">  Leases or licences over 25 years</w:t>
      </w:r>
      <w:bookmarkEnd w:id="11"/>
    </w:p>
    <w:p w14:paraId="534E641D" w14:textId="77777777" w:rsidR="00E8553F" w:rsidRDefault="00E8553F" w:rsidP="0042664D">
      <w:pPr>
        <w:pStyle w:val="subsection"/>
      </w:pPr>
      <w:r>
        <w:tab/>
        <w:t>(1)</w:t>
      </w:r>
      <w:r>
        <w:tab/>
        <w:t xml:space="preserve">The Trust must not enter into </w:t>
      </w:r>
      <w:r w:rsidRPr="00D1118C">
        <w:t xml:space="preserve">a lease or licence over Trust land for a period </w:t>
      </w:r>
      <w:r w:rsidR="00583C2C">
        <w:t>that is</w:t>
      </w:r>
      <w:r w:rsidRPr="00D1118C">
        <w:t xml:space="preserve"> longer than </w:t>
      </w:r>
      <w:r>
        <w:t>3</w:t>
      </w:r>
      <w:r w:rsidRPr="00D1118C">
        <w:t>5 years</w:t>
      </w:r>
      <w:r w:rsidR="008C180A">
        <w:t>.</w:t>
      </w:r>
    </w:p>
    <w:p w14:paraId="0163803C" w14:textId="77777777" w:rsidR="00E8553F" w:rsidRDefault="00E8553F" w:rsidP="0042664D">
      <w:pPr>
        <w:pStyle w:val="subsection"/>
      </w:pPr>
      <w:r>
        <w:lastRenderedPageBreak/>
        <w:tab/>
        <w:t>(2)</w:t>
      </w:r>
      <w:r>
        <w:tab/>
        <w:t xml:space="preserve">The Trust must not enter into </w:t>
      </w:r>
      <w:r w:rsidRPr="00D1118C">
        <w:t xml:space="preserve">a lease or licence over Trust land for a period </w:t>
      </w:r>
      <w:r w:rsidR="00D6738F">
        <w:t>that is</w:t>
      </w:r>
      <w:r w:rsidRPr="00D1118C">
        <w:t xml:space="preserve"> longer than </w:t>
      </w:r>
      <w:r>
        <w:t>2</w:t>
      </w:r>
      <w:r w:rsidRPr="00D1118C">
        <w:t>5 years</w:t>
      </w:r>
      <w:r>
        <w:t xml:space="preserve">, </w:t>
      </w:r>
      <w:r w:rsidR="00D6738F">
        <w:t>and</w:t>
      </w:r>
      <w:r>
        <w:t xml:space="preserve"> not longer than 35 years, unless the requirements in sections </w:t>
      </w:r>
      <w:r w:rsidR="008C180A">
        <w:t>64B</w:t>
      </w:r>
      <w:r>
        <w:t xml:space="preserve">, </w:t>
      </w:r>
      <w:r w:rsidR="008C180A">
        <w:t>64C</w:t>
      </w:r>
      <w:r>
        <w:t xml:space="preserve"> and </w:t>
      </w:r>
      <w:r w:rsidR="008C180A">
        <w:t>64D</w:t>
      </w:r>
      <w:r>
        <w:t xml:space="preserve"> are met</w:t>
      </w:r>
      <w:r w:rsidR="008C180A">
        <w:t>.</w:t>
      </w:r>
    </w:p>
    <w:p w14:paraId="613B2D26" w14:textId="77777777" w:rsidR="00E8553F" w:rsidRDefault="00E8553F" w:rsidP="0042664D">
      <w:pPr>
        <w:pStyle w:val="subsection"/>
      </w:pPr>
      <w:r>
        <w:tab/>
        <w:t>(3</w:t>
      </w:r>
      <w:r w:rsidRPr="00D1118C">
        <w:t>)</w:t>
      </w:r>
      <w:r w:rsidRPr="00D1118C">
        <w:tab/>
        <w:t>In working out the period of a lease or licence, assume that any option or right to extend or renew the lease or licence will be exercised and take into account the period of the lease or licence as so extended or renewed</w:t>
      </w:r>
      <w:r w:rsidR="008C180A">
        <w:t>.</w:t>
      </w:r>
    </w:p>
    <w:p w14:paraId="36400337" w14:textId="77777777" w:rsidR="00B8000E" w:rsidRDefault="008C180A" w:rsidP="0042664D">
      <w:pPr>
        <w:pStyle w:val="ActHead5"/>
      </w:pPr>
      <w:bookmarkStart w:id="12" w:name="_Toc75515674"/>
      <w:r w:rsidRPr="000E6E32">
        <w:rPr>
          <w:rStyle w:val="CharSectno"/>
        </w:rPr>
        <w:t>64B</w:t>
      </w:r>
      <w:r w:rsidR="00B8000E">
        <w:t xml:space="preserve">  </w:t>
      </w:r>
      <w:r w:rsidR="00B8000E" w:rsidRPr="00D1118C">
        <w:t>Leases and licences over 25 years</w:t>
      </w:r>
      <w:r w:rsidR="00B8000E">
        <w:t>—statement of reasons</w:t>
      </w:r>
      <w:bookmarkEnd w:id="12"/>
    </w:p>
    <w:p w14:paraId="50C83650" w14:textId="77777777" w:rsidR="00B8000E" w:rsidRPr="000B1BE3" w:rsidRDefault="00B8000E" w:rsidP="0042664D">
      <w:pPr>
        <w:pStyle w:val="SubsectionHead"/>
      </w:pPr>
      <w:r>
        <w:t>Trust must prepare statement of reasons</w:t>
      </w:r>
    </w:p>
    <w:p w14:paraId="2BD87308" w14:textId="77777777" w:rsidR="00B8000E" w:rsidRDefault="00B8000E" w:rsidP="0042664D">
      <w:pPr>
        <w:pStyle w:val="subsection"/>
      </w:pPr>
      <w:r>
        <w:tab/>
        <w:t>(1)</w:t>
      </w:r>
      <w:r>
        <w:tab/>
        <w:t xml:space="preserve">The Trust must prepare a written statement (a </w:t>
      </w:r>
      <w:r w:rsidRPr="00F16D11">
        <w:rPr>
          <w:b/>
          <w:i/>
        </w:rPr>
        <w:t>statement of reasons</w:t>
      </w:r>
      <w:r>
        <w:t xml:space="preserve">) that sets out how a proposed lease or licence </w:t>
      </w:r>
      <w:r w:rsidRPr="00D1118C">
        <w:t xml:space="preserve">over Trust land for a </w:t>
      </w:r>
      <w:r w:rsidR="00E053BC" w:rsidRPr="00D1118C">
        <w:t xml:space="preserve">period </w:t>
      </w:r>
      <w:r w:rsidR="00E053BC">
        <w:t>that is</w:t>
      </w:r>
      <w:r w:rsidR="00E053BC" w:rsidRPr="00D1118C">
        <w:t xml:space="preserve"> longer than </w:t>
      </w:r>
      <w:r w:rsidR="00E053BC">
        <w:t>2</w:t>
      </w:r>
      <w:r w:rsidR="00E053BC" w:rsidRPr="00D1118C">
        <w:t>5 years</w:t>
      </w:r>
      <w:r w:rsidR="00E053BC">
        <w:t xml:space="preserve">, and </w:t>
      </w:r>
      <w:r>
        <w:t xml:space="preserve">not longer than 35 years, </w:t>
      </w:r>
      <w:r w:rsidR="002A3746">
        <w:t>is</w:t>
      </w:r>
      <w:r>
        <w:t xml:space="preserve"> consistent with:</w:t>
      </w:r>
    </w:p>
    <w:p w14:paraId="29C1B6D3" w14:textId="77777777" w:rsidR="00B8000E" w:rsidRDefault="00B8000E" w:rsidP="0042664D">
      <w:pPr>
        <w:pStyle w:val="paragraph"/>
      </w:pPr>
      <w:r>
        <w:tab/>
        <w:t>(a)</w:t>
      </w:r>
      <w:r>
        <w:tab/>
        <w:t xml:space="preserve">the </w:t>
      </w:r>
      <w:r w:rsidRPr="00737226">
        <w:t>objects</w:t>
      </w:r>
      <w:r>
        <w:t xml:space="preserve"> of the Trust set out </w:t>
      </w:r>
      <w:r w:rsidRPr="00215B24">
        <w:t xml:space="preserve">in </w:t>
      </w:r>
      <w:r>
        <w:t>section 6; and</w:t>
      </w:r>
    </w:p>
    <w:p w14:paraId="078F89FB" w14:textId="77777777" w:rsidR="00B8000E" w:rsidRDefault="00B8000E" w:rsidP="0042664D">
      <w:pPr>
        <w:pStyle w:val="paragraph"/>
      </w:pPr>
      <w:r>
        <w:tab/>
        <w:t>(b)</w:t>
      </w:r>
      <w:r>
        <w:tab/>
        <w:t>plans approved under Part 5</w:t>
      </w:r>
      <w:r w:rsidR="008C180A">
        <w:t>.</w:t>
      </w:r>
    </w:p>
    <w:p w14:paraId="28AD270B" w14:textId="77777777" w:rsidR="00B8000E" w:rsidRPr="000B1BE3" w:rsidRDefault="00B8000E" w:rsidP="0042664D">
      <w:pPr>
        <w:pStyle w:val="SubsectionHead"/>
      </w:pPr>
      <w:r>
        <w:t>Consultation with community advisory committee</w:t>
      </w:r>
    </w:p>
    <w:p w14:paraId="15BFA811" w14:textId="77777777" w:rsidR="00B8000E" w:rsidRDefault="00B8000E" w:rsidP="0042664D">
      <w:pPr>
        <w:pStyle w:val="subsection"/>
      </w:pPr>
      <w:r>
        <w:tab/>
        <w:t>(2)</w:t>
      </w:r>
      <w:r>
        <w:tab/>
        <w:t>The Trust must:</w:t>
      </w:r>
    </w:p>
    <w:p w14:paraId="749F4A32" w14:textId="77777777" w:rsidR="00B8000E" w:rsidRDefault="00B8000E" w:rsidP="0042664D">
      <w:pPr>
        <w:pStyle w:val="paragraph"/>
      </w:pPr>
      <w:r>
        <w:tab/>
        <w:t>(a)</w:t>
      </w:r>
      <w:r>
        <w:tab/>
        <w:t>give a draft statement of reasons to any community a</w:t>
      </w:r>
      <w:r w:rsidRPr="007E265C">
        <w:t xml:space="preserve">dvisory </w:t>
      </w:r>
      <w:r>
        <w:t>c</w:t>
      </w:r>
      <w:r w:rsidRPr="007E265C">
        <w:t>ommittee</w:t>
      </w:r>
      <w:r>
        <w:t xml:space="preserve"> established under Part 8 whose functions</w:t>
      </w:r>
      <w:r>
        <w:rPr>
          <w:i/>
        </w:rPr>
        <w:t xml:space="preserve"> </w:t>
      </w:r>
      <w:r w:rsidRPr="00524C22">
        <w:t>relate</w:t>
      </w:r>
      <w:r>
        <w:t xml:space="preserve"> </w:t>
      </w:r>
      <w:r w:rsidRPr="00524C22">
        <w:t xml:space="preserve">to </w:t>
      </w:r>
      <w:r>
        <w:t>the Trust land that is the subject of the proposed lease or licence; and</w:t>
      </w:r>
    </w:p>
    <w:p w14:paraId="1DEE5EF2" w14:textId="77777777" w:rsidR="00E11862" w:rsidRDefault="00B8000E" w:rsidP="0042664D">
      <w:pPr>
        <w:pStyle w:val="paragraph"/>
      </w:pPr>
      <w:r>
        <w:tab/>
      </w:r>
      <w:r w:rsidR="00E11862">
        <w:t>(b)</w:t>
      </w:r>
      <w:r w:rsidR="00E11862">
        <w:tab/>
        <w:t>ensure the draft statement of reasons is accompanied by an outline of the following details:</w:t>
      </w:r>
    </w:p>
    <w:p w14:paraId="5CBD2A47" w14:textId="77777777" w:rsidR="00E11862" w:rsidRPr="00A97D01" w:rsidRDefault="00E11862" w:rsidP="0042664D">
      <w:pPr>
        <w:pStyle w:val="paragraphsub"/>
      </w:pPr>
      <w:r>
        <w:tab/>
        <w:t>(i)</w:t>
      </w:r>
      <w:r>
        <w:tab/>
      </w:r>
      <w:r w:rsidRPr="00A97D01">
        <w:t xml:space="preserve">the </w:t>
      </w:r>
      <w:r>
        <w:t xml:space="preserve">proposed </w:t>
      </w:r>
      <w:r w:rsidRPr="00A97D01">
        <w:t xml:space="preserve">lessee or licensee, and the land the subject of the </w:t>
      </w:r>
      <w:r>
        <w:t xml:space="preserve">proposed </w:t>
      </w:r>
      <w:r w:rsidRPr="00A97D01">
        <w:t>lease or licence;</w:t>
      </w:r>
    </w:p>
    <w:p w14:paraId="600BC0C1" w14:textId="77777777" w:rsidR="00E11862" w:rsidRPr="00A97D01" w:rsidRDefault="00E11862" w:rsidP="0042664D">
      <w:pPr>
        <w:pStyle w:val="paragraphsub"/>
      </w:pPr>
      <w:r w:rsidRPr="00A97D01">
        <w:tab/>
        <w:t>(</w:t>
      </w:r>
      <w:r>
        <w:t>ii</w:t>
      </w:r>
      <w:r w:rsidRPr="00A97D01">
        <w:t>)</w:t>
      </w:r>
      <w:r w:rsidRPr="00A97D01">
        <w:tab/>
        <w:t xml:space="preserve">the period of the </w:t>
      </w:r>
      <w:r>
        <w:t xml:space="preserve">proposed </w:t>
      </w:r>
      <w:r w:rsidRPr="00A97D01">
        <w:t>lease or licence;</w:t>
      </w:r>
    </w:p>
    <w:p w14:paraId="3DEE9995" w14:textId="77777777" w:rsidR="00E11862" w:rsidRDefault="00E11862" w:rsidP="0042664D">
      <w:pPr>
        <w:pStyle w:val="paragraphsub"/>
      </w:pPr>
      <w:r w:rsidRPr="00A97D01">
        <w:tab/>
        <w:t>(</w:t>
      </w:r>
      <w:r>
        <w:t>iii</w:t>
      </w:r>
      <w:r w:rsidRPr="00A97D01">
        <w:t>)</w:t>
      </w:r>
      <w:r w:rsidRPr="00A97D01">
        <w:tab/>
        <w:t xml:space="preserve">the uses of the land permitted by the </w:t>
      </w:r>
      <w:r>
        <w:t xml:space="preserve">proposed </w:t>
      </w:r>
      <w:r w:rsidRPr="00A97D01">
        <w:t>lease or licence</w:t>
      </w:r>
      <w:r>
        <w:t>; and</w:t>
      </w:r>
    </w:p>
    <w:p w14:paraId="0586D16F" w14:textId="77777777" w:rsidR="00B8000E" w:rsidRDefault="00E11862" w:rsidP="0042664D">
      <w:pPr>
        <w:pStyle w:val="paragraph"/>
      </w:pPr>
      <w:r>
        <w:tab/>
      </w:r>
      <w:r w:rsidR="00B8000E">
        <w:t>(</w:t>
      </w:r>
      <w:r>
        <w:t>c</w:t>
      </w:r>
      <w:r w:rsidR="00B8000E">
        <w:t>)</w:t>
      </w:r>
      <w:r w:rsidR="00B8000E">
        <w:tab/>
        <w:t xml:space="preserve">invite the committee to provide comments on the draft statement of reasons within </w:t>
      </w:r>
      <w:r w:rsidR="00A645B5">
        <w:t xml:space="preserve">a </w:t>
      </w:r>
      <w:r>
        <w:t>28</w:t>
      </w:r>
      <w:r w:rsidR="0042664D">
        <w:noBreakHyphen/>
      </w:r>
      <w:r>
        <w:t>day</w:t>
      </w:r>
      <w:r w:rsidR="00A645B5">
        <w:t xml:space="preserve"> period</w:t>
      </w:r>
      <w:r w:rsidR="008C180A">
        <w:t>.</w:t>
      </w:r>
    </w:p>
    <w:p w14:paraId="201D3CCF" w14:textId="77777777" w:rsidR="00B8000E" w:rsidRDefault="00B8000E" w:rsidP="0042664D">
      <w:pPr>
        <w:pStyle w:val="SubsectionHead"/>
      </w:pPr>
      <w:r>
        <w:t>Public consultation</w:t>
      </w:r>
    </w:p>
    <w:p w14:paraId="1CB28E7E" w14:textId="77777777" w:rsidR="00B8000E" w:rsidRDefault="00B8000E" w:rsidP="0042664D">
      <w:pPr>
        <w:pStyle w:val="subsection"/>
      </w:pPr>
      <w:r>
        <w:tab/>
        <w:t>(</w:t>
      </w:r>
      <w:r w:rsidR="006A4BF1">
        <w:t>3</w:t>
      </w:r>
      <w:r>
        <w:t>)</w:t>
      </w:r>
      <w:r>
        <w:tab/>
        <w:t>The Trust must:</w:t>
      </w:r>
    </w:p>
    <w:p w14:paraId="09114195" w14:textId="77777777" w:rsidR="00B8000E" w:rsidRDefault="00B8000E" w:rsidP="0042664D">
      <w:pPr>
        <w:pStyle w:val="paragraph"/>
      </w:pPr>
      <w:r>
        <w:lastRenderedPageBreak/>
        <w:tab/>
        <w:t>(a)</w:t>
      </w:r>
      <w:r>
        <w:tab/>
        <w:t>make a draft statement of reasons publicly available for a period of at least 28 days; and</w:t>
      </w:r>
    </w:p>
    <w:p w14:paraId="760DA161" w14:textId="77777777" w:rsidR="00A97D01" w:rsidRDefault="00B8000E" w:rsidP="0042664D">
      <w:pPr>
        <w:pStyle w:val="paragraph"/>
      </w:pPr>
      <w:r>
        <w:tab/>
        <w:t>(b)</w:t>
      </w:r>
      <w:r>
        <w:tab/>
        <w:t>ensure the draft statement of reasons is accompanied by a</w:t>
      </w:r>
      <w:r w:rsidR="00A97D01">
        <w:t>n outline of the following details:</w:t>
      </w:r>
    </w:p>
    <w:p w14:paraId="03F5058C" w14:textId="77777777" w:rsidR="00A97D01" w:rsidRPr="00A97D01" w:rsidRDefault="00A97D01" w:rsidP="0042664D">
      <w:pPr>
        <w:pStyle w:val="paragraphsub"/>
      </w:pPr>
      <w:r>
        <w:tab/>
        <w:t>(i)</w:t>
      </w:r>
      <w:r>
        <w:tab/>
      </w:r>
      <w:r w:rsidRPr="00A97D01">
        <w:t xml:space="preserve">the </w:t>
      </w:r>
      <w:r w:rsidR="002D4677">
        <w:t xml:space="preserve">proposed </w:t>
      </w:r>
      <w:r w:rsidRPr="00A97D01">
        <w:t xml:space="preserve">lessee or licensee, and the land the subject of the </w:t>
      </w:r>
      <w:r>
        <w:t xml:space="preserve">proposed </w:t>
      </w:r>
      <w:r w:rsidRPr="00A97D01">
        <w:t>lease or licence;</w:t>
      </w:r>
    </w:p>
    <w:p w14:paraId="69E27059" w14:textId="77777777" w:rsidR="00A97D01" w:rsidRPr="00A97D01" w:rsidRDefault="00A97D01" w:rsidP="0042664D">
      <w:pPr>
        <w:pStyle w:val="paragraphsub"/>
      </w:pPr>
      <w:r w:rsidRPr="00A97D01">
        <w:tab/>
        <w:t>(</w:t>
      </w:r>
      <w:r>
        <w:t>ii</w:t>
      </w:r>
      <w:r w:rsidRPr="00A97D01">
        <w:t>)</w:t>
      </w:r>
      <w:r w:rsidRPr="00A97D01">
        <w:tab/>
        <w:t xml:space="preserve">the period of the </w:t>
      </w:r>
      <w:r>
        <w:t xml:space="preserve">proposed </w:t>
      </w:r>
      <w:r w:rsidRPr="00A97D01">
        <w:t>lease or licence;</w:t>
      </w:r>
    </w:p>
    <w:p w14:paraId="2EFCF1C8" w14:textId="77777777" w:rsidR="00B8000E" w:rsidRDefault="00A97D01" w:rsidP="0042664D">
      <w:pPr>
        <w:pStyle w:val="paragraphsub"/>
      </w:pPr>
      <w:r w:rsidRPr="00A97D01">
        <w:tab/>
        <w:t>(</w:t>
      </w:r>
      <w:r>
        <w:t>iii</w:t>
      </w:r>
      <w:r w:rsidRPr="00A97D01">
        <w:t>)</w:t>
      </w:r>
      <w:r w:rsidRPr="00A97D01">
        <w:tab/>
        <w:t xml:space="preserve">the uses of the land permitted by the </w:t>
      </w:r>
      <w:r>
        <w:t xml:space="preserve">proposed </w:t>
      </w:r>
      <w:r w:rsidRPr="00A97D01">
        <w:t>lease or licence</w:t>
      </w:r>
      <w:r>
        <w:t xml:space="preserve">; </w:t>
      </w:r>
      <w:r w:rsidR="00B8000E">
        <w:t>and</w:t>
      </w:r>
    </w:p>
    <w:p w14:paraId="38D44B44" w14:textId="77777777" w:rsidR="00B8000E" w:rsidRDefault="00B8000E" w:rsidP="0042664D">
      <w:pPr>
        <w:pStyle w:val="paragraph"/>
      </w:pPr>
      <w:r>
        <w:tab/>
        <w:t>(c)</w:t>
      </w:r>
      <w:r>
        <w:tab/>
        <w:t xml:space="preserve">invite </w:t>
      </w:r>
      <w:r w:rsidRPr="00E11862">
        <w:t>the public</w:t>
      </w:r>
      <w:r>
        <w:t xml:space="preserve"> to provide comments on the draft statement of reasons</w:t>
      </w:r>
      <w:r w:rsidR="00824DCE">
        <w:t xml:space="preserve"> </w:t>
      </w:r>
      <w:r w:rsidR="00E11862">
        <w:t xml:space="preserve">within </w:t>
      </w:r>
      <w:r w:rsidR="00E96B1F">
        <w:t xml:space="preserve">a </w:t>
      </w:r>
      <w:r w:rsidR="00E11862">
        <w:t>28</w:t>
      </w:r>
      <w:r w:rsidR="0042664D">
        <w:noBreakHyphen/>
      </w:r>
      <w:r w:rsidR="00E11862">
        <w:t>day</w:t>
      </w:r>
      <w:r w:rsidR="00E96B1F">
        <w:t xml:space="preserve"> period</w:t>
      </w:r>
      <w:r w:rsidR="008C180A">
        <w:t>.</w:t>
      </w:r>
    </w:p>
    <w:p w14:paraId="43583FBA" w14:textId="77777777" w:rsidR="00B8000E" w:rsidRPr="00B313C3" w:rsidRDefault="00B8000E" w:rsidP="0042664D">
      <w:pPr>
        <w:pStyle w:val="subsection"/>
      </w:pPr>
      <w:r>
        <w:tab/>
        <w:t>(</w:t>
      </w:r>
      <w:r w:rsidR="006A4BF1">
        <w:t>4</w:t>
      </w:r>
      <w:r>
        <w:t>)</w:t>
      </w:r>
      <w:r>
        <w:tab/>
      </w:r>
      <w:r w:rsidRPr="00B8000E">
        <w:t xml:space="preserve">For the purposes of </w:t>
      </w:r>
      <w:r w:rsidR="00FC771D">
        <w:t>subsection (</w:t>
      </w:r>
      <w:r w:rsidR="006A4BF1">
        <w:t>3</w:t>
      </w:r>
      <w:r w:rsidRPr="00B8000E">
        <w:t>),</w:t>
      </w:r>
      <w:r>
        <w:t xml:space="preserve"> making a draft statement of reasons publicly available includes publishing it on the Trust’s website or the Department’s website</w:t>
      </w:r>
      <w:r w:rsidR="008C180A">
        <w:t>.</w:t>
      </w:r>
    </w:p>
    <w:p w14:paraId="2B919C1C" w14:textId="77777777" w:rsidR="00B8000E" w:rsidRPr="00221A32" w:rsidRDefault="00B8000E" w:rsidP="0042664D">
      <w:pPr>
        <w:pStyle w:val="SubsectionHead"/>
      </w:pPr>
      <w:r>
        <w:t>Final statement of reasons</w:t>
      </w:r>
    </w:p>
    <w:p w14:paraId="0C1EBA56" w14:textId="77777777" w:rsidR="00B8000E" w:rsidRDefault="00B8000E" w:rsidP="0042664D">
      <w:pPr>
        <w:pStyle w:val="subsection"/>
      </w:pPr>
      <w:r>
        <w:tab/>
        <w:t>(</w:t>
      </w:r>
      <w:r w:rsidR="006A4BF1">
        <w:t>5</w:t>
      </w:r>
      <w:r>
        <w:t>)</w:t>
      </w:r>
      <w:r>
        <w:tab/>
        <w:t>In finalising the statement of reasons, the Trust must:</w:t>
      </w:r>
    </w:p>
    <w:p w14:paraId="11DF38C1" w14:textId="77777777" w:rsidR="00F7401A" w:rsidRDefault="00B8000E" w:rsidP="0042664D">
      <w:pPr>
        <w:pStyle w:val="paragraph"/>
      </w:pPr>
      <w:r>
        <w:tab/>
        <w:t>(a)</w:t>
      </w:r>
      <w:r>
        <w:tab/>
        <w:t>consider any comments provided</w:t>
      </w:r>
      <w:r w:rsidR="00F7401A">
        <w:t>:</w:t>
      </w:r>
    </w:p>
    <w:p w14:paraId="3B9110D7" w14:textId="77777777" w:rsidR="00B8000E" w:rsidRDefault="00F7401A" w:rsidP="0042664D">
      <w:pPr>
        <w:pStyle w:val="paragraphsub"/>
      </w:pPr>
      <w:r>
        <w:tab/>
        <w:t>(i)</w:t>
      </w:r>
      <w:r>
        <w:tab/>
        <w:t xml:space="preserve">by </w:t>
      </w:r>
      <w:r w:rsidR="00B8000E">
        <w:t xml:space="preserve">the community advisory committee under </w:t>
      </w:r>
      <w:r w:rsidR="00FC771D">
        <w:t>subsection (</w:t>
      </w:r>
      <w:r w:rsidR="00B8000E">
        <w:t xml:space="preserve">2); </w:t>
      </w:r>
      <w:r w:rsidR="00A96E41">
        <w:t>or</w:t>
      </w:r>
    </w:p>
    <w:p w14:paraId="473FE1F2" w14:textId="77777777" w:rsidR="00B8000E" w:rsidRDefault="00F7401A" w:rsidP="0042664D">
      <w:pPr>
        <w:pStyle w:val="paragraphsub"/>
      </w:pPr>
      <w:r>
        <w:tab/>
        <w:t>(ii)</w:t>
      </w:r>
      <w:r>
        <w:tab/>
      </w:r>
      <w:r w:rsidR="00B8000E">
        <w:t xml:space="preserve">during public consultation under </w:t>
      </w:r>
      <w:r w:rsidR="00FC771D">
        <w:t>subsection (</w:t>
      </w:r>
      <w:r w:rsidR="006A4BF1">
        <w:t>3</w:t>
      </w:r>
      <w:r w:rsidR="00B8000E">
        <w:t>); and</w:t>
      </w:r>
    </w:p>
    <w:p w14:paraId="78CBD295" w14:textId="77777777" w:rsidR="00B8000E" w:rsidRDefault="00B5725F" w:rsidP="0042664D">
      <w:pPr>
        <w:pStyle w:val="paragraph"/>
      </w:pPr>
      <w:r>
        <w:tab/>
        <w:t>(</w:t>
      </w:r>
      <w:r w:rsidR="00034C12">
        <w:t>b</w:t>
      </w:r>
      <w:r>
        <w:t>)</w:t>
      </w:r>
      <w:r>
        <w:tab/>
        <w:t>include</w:t>
      </w:r>
      <w:r w:rsidR="00AF2567">
        <w:t xml:space="preserve"> </w:t>
      </w:r>
      <w:r>
        <w:t>any</w:t>
      </w:r>
      <w:r w:rsidR="00AF2567">
        <w:t xml:space="preserve"> comments provided by the community advisory committee under </w:t>
      </w:r>
      <w:r w:rsidR="00FC771D">
        <w:t>subsection (</w:t>
      </w:r>
      <w:r w:rsidR="00AF2567">
        <w:t>2)</w:t>
      </w:r>
      <w:r>
        <w:t>; and</w:t>
      </w:r>
    </w:p>
    <w:p w14:paraId="3E5A9DE2" w14:textId="77777777" w:rsidR="00034C12" w:rsidRDefault="00034C12" w:rsidP="0042664D">
      <w:pPr>
        <w:pStyle w:val="paragraph"/>
      </w:pPr>
      <w:r>
        <w:tab/>
        <w:t>(c)</w:t>
      </w:r>
      <w:r>
        <w:tab/>
        <w:t>include an outline of:</w:t>
      </w:r>
    </w:p>
    <w:p w14:paraId="3567B567" w14:textId="77777777" w:rsidR="00034C12" w:rsidRDefault="00034C12" w:rsidP="0042664D">
      <w:pPr>
        <w:pStyle w:val="paragraphsub"/>
      </w:pPr>
      <w:r>
        <w:tab/>
        <w:t>(i)</w:t>
      </w:r>
      <w:r>
        <w:tab/>
        <w:t>the consultation undertaken; and</w:t>
      </w:r>
    </w:p>
    <w:p w14:paraId="66A70323" w14:textId="77777777" w:rsidR="00B5725F" w:rsidRPr="00A80C76" w:rsidRDefault="00B5725F" w:rsidP="0042664D">
      <w:pPr>
        <w:pStyle w:val="paragraphsub"/>
      </w:pPr>
      <w:r>
        <w:tab/>
        <w:t>(</w:t>
      </w:r>
      <w:r w:rsidR="00034C12">
        <w:t>ii</w:t>
      </w:r>
      <w:r>
        <w:t>)</w:t>
      </w:r>
      <w:r>
        <w:tab/>
        <w:t xml:space="preserve">any comments provided during public consultation under </w:t>
      </w:r>
      <w:r w:rsidR="00FC771D">
        <w:t>subsection (</w:t>
      </w:r>
      <w:r>
        <w:t>3).</w:t>
      </w:r>
    </w:p>
    <w:p w14:paraId="303043F0" w14:textId="77777777" w:rsidR="00B8000E" w:rsidRDefault="00B8000E" w:rsidP="0042664D">
      <w:pPr>
        <w:pStyle w:val="subsection"/>
      </w:pPr>
      <w:r>
        <w:tab/>
        <w:t>(</w:t>
      </w:r>
      <w:r w:rsidR="006A4BF1">
        <w:t>6</w:t>
      </w:r>
      <w:r>
        <w:t>)</w:t>
      </w:r>
      <w:r>
        <w:tab/>
        <w:t>The Trust must give the statement of reasons to the Minister when seeking the Minister’s approval under section </w:t>
      </w:r>
      <w:r w:rsidR="008C180A">
        <w:t>64D</w:t>
      </w:r>
      <w:r>
        <w:t xml:space="preserve"> for the lease or licence to which the statement of reasons relates</w:t>
      </w:r>
      <w:r w:rsidR="008C180A">
        <w:t>.</w:t>
      </w:r>
    </w:p>
    <w:p w14:paraId="46AB0915" w14:textId="77777777" w:rsidR="00B8000E" w:rsidRPr="00221A32" w:rsidRDefault="00B8000E" w:rsidP="0042664D">
      <w:pPr>
        <w:pStyle w:val="SubsectionHead"/>
      </w:pPr>
      <w:r>
        <w:t>Statement of reasons is not a legislative instrument</w:t>
      </w:r>
    </w:p>
    <w:p w14:paraId="2A883BA1" w14:textId="77777777" w:rsidR="00B8000E" w:rsidRDefault="00B8000E" w:rsidP="0042664D">
      <w:pPr>
        <w:pStyle w:val="subsection"/>
      </w:pPr>
      <w:r>
        <w:tab/>
        <w:t>(</w:t>
      </w:r>
      <w:r w:rsidR="006A4BF1">
        <w:t>7</w:t>
      </w:r>
      <w:r>
        <w:t>)</w:t>
      </w:r>
      <w:r>
        <w:tab/>
        <w:t>A statement of reasons is not a legislative instrument</w:t>
      </w:r>
      <w:r w:rsidR="008C180A">
        <w:t>.</w:t>
      </w:r>
    </w:p>
    <w:p w14:paraId="47645087" w14:textId="77777777" w:rsidR="00E557F0" w:rsidRPr="00D1118C" w:rsidRDefault="008C180A" w:rsidP="0042664D">
      <w:pPr>
        <w:pStyle w:val="ActHead5"/>
      </w:pPr>
      <w:bookmarkStart w:id="13" w:name="_Toc75515675"/>
      <w:r w:rsidRPr="000E6E32">
        <w:rPr>
          <w:rStyle w:val="CharSectno"/>
        </w:rPr>
        <w:lastRenderedPageBreak/>
        <w:t>64C</w:t>
      </w:r>
      <w:r w:rsidR="00E557F0">
        <w:t xml:space="preserve">  Leases and licences over 2</w:t>
      </w:r>
      <w:r w:rsidR="00E557F0" w:rsidRPr="00D1118C">
        <w:t>5 years</w:t>
      </w:r>
      <w:r w:rsidR="00E557F0">
        <w:t>—proposal</w:t>
      </w:r>
      <w:bookmarkEnd w:id="13"/>
    </w:p>
    <w:p w14:paraId="6E7217FE" w14:textId="77777777" w:rsidR="00815A27" w:rsidRDefault="00815A27" w:rsidP="0042664D">
      <w:pPr>
        <w:pStyle w:val="subsection"/>
      </w:pPr>
      <w:r>
        <w:tab/>
        <w:t>(1)</w:t>
      </w:r>
      <w:r>
        <w:tab/>
      </w:r>
      <w:r w:rsidR="00441D45">
        <w:t>T</w:t>
      </w:r>
      <w:r>
        <w:t xml:space="preserve">he Trust must not enter into a lease or licence over Trust land for a </w:t>
      </w:r>
      <w:r w:rsidR="00E053BC" w:rsidRPr="00D1118C">
        <w:t xml:space="preserve">period </w:t>
      </w:r>
      <w:r w:rsidR="00E053BC">
        <w:t>that is</w:t>
      </w:r>
      <w:r w:rsidR="00E053BC" w:rsidRPr="00D1118C">
        <w:t xml:space="preserve"> longer than </w:t>
      </w:r>
      <w:r w:rsidR="00E053BC">
        <w:t>2</w:t>
      </w:r>
      <w:r w:rsidR="00E053BC" w:rsidRPr="00D1118C">
        <w:t>5 years</w:t>
      </w:r>
      <w:r w:rsidR="00E053BC">
        <w:t>, and</w:t>
      </w:r>
      <w:r w:rsidR="00441D45">
        <w:t xml:space="preserve"> not longer than 35 years,</w:t>
      </w:r>
      <w:r>
        <w:t xml:space="preserve"> unless:</w:t>
      </w:r>
    </w:p>
    <w:p w14:paraId="2A0F5A05" w14:textId="77777777" w:rsidR="00815A27" w:rsidRDefault="00815A27" w:rsidP="0042664D">
      <w:pPr>
        <w:pStyle w:val="paragraph"/>
      </w:pPr>
      <w:r>
        <w:tab/>
        <w:t>(a)</w:t>
      </w:r>
      <w:r>
        <w:tab/>
        <w:t>a proposal that covers the lease or licence</w:t>
      </w:r>
      <w:r w:rsidR="005D1C9A">
        <w:t xml:space="preserve"> has been made under </w:t>
      </w:r>
      <w:r w:rsidR="00FC771D">
        <w:t>subsection (</w:t>
      </w:r>
      <w:r w:rsidR="00F45001">
        <w:t>2</w:t>
      </w:r>
      <w:r w:rsidR="005D1C9A">
        <w:t>)</w:t>
      </w:r>
      <w:r>
        <w:t>; and</w:t>
      </w:r>
    </w:p>
    <w:p w14:paraId="29FD3747" w14:textId="77777777" w:rsidR="00815A27" w:rsidRDefault="005D1C9A" w:rsidP="0042664D">
      <w:pPr>
        <w:pStyle w:val="paragraph"/>
      </w:pPr>
      <w:r>
        <w:tab/>
        <w:t>(b</w:t>
      </w:r>
      <w:r w:rsidR="00815A27">
        <w:t>)</w:t>
      </w:r>
      <w:r w:rsidR="00815A27">
        <w:tab/>
        <w:t xml:space="preserve">the time for each House to disallow the proposal under </w:t>
      </w:r>
      <w:r w:rsidR="00FB7848">
        <w:t>Part 2</w:t>
      </w:r>
      <w:r w:rsidR="00815A27">
        <w:t xml:space="preserve"> of </w:t>
      </w:r>
      <w:r w:rsidR="00FB7848">
        <w:t>Chapter 3</w:t>
      </w:r>
      <w:r w:rsidR="00815A27">
        <w:t xml:space="preserve"> of the </w:t>
      </w:r>
      <w:r w:rsidR="00815A27">
        <w:rPr>
          <w:i/>
        </w:rPr>
        <w:t>Legislation Act 2003</w:t>
      </w:r>
      <w:r w:rsidR="00815A27">
        <w:t xml:space="preserve"> has passed and neither House disallowed the proposal</w:t>
      </w:r>
      <w:r w:rsidR="008C180A">
        <w:t>.</w:t>
      </w:r>
    </w:p>
    <w:p w14:paraId="723E60E1" w14:textId="77777777" w:rsidR="005D1C9A" w:rsidRDefault="005D1C9A" w:rsidP="0042664D">
      <w:pPr>
        <w:pStyle w:val="subsection"/>
      </w:pPr>
      <w:r>
        <w:tab/>
        <w:t>(</w:t>
      </w:r>
      <w:r w:rsidR="00F45001">
        <w:t>2</w:t>
      </w:r>
      <w:r>
        <w:t>)</w:t>
      </w:r>
      <w:r>
        <w:tab/>
        <w:t xml:space="preserve">The Trust may, by legislative instrument, make a proposal </w:t>
      </w:r>
      <w:r w:rsidR="00B205F3">
        <w:t>in relation to</w:t>
      </w:r>
      <w:r>
        <w:t xml:space="preserve"> a lease or licence</w:t>
      </w:r>
      <w:r w:rsidR="008C180A">
        <w:t>.</w:t>
      </w:r>
    </w:p>
    <w:p w14:paraId="5E177985" w14:textId="77777777" w:rsidR="00E557F0" w:rsidRPr="00D1118C" w:rsidRDefault="00E557F0" w:rsidP="0042664D">
      <w:pPr>
        <w:pStyle w:val="subsection"/>
      </w:pPr>
      <w:r w:rsidRPr="00D1118C">
        <w:tab/>
        <w:t>(</w:t>
      </w:r>
      <w:r w:rsidR="00F45001">
        <w:t>3</w:t>
      </w:r>
      <w:r w:rsidRPr="00D1118C">
        <w:t>)</w:t>
      </w:r>
      <w:r w:rsidRPr="00D1118C">
        <w:tab/>
        <w:t xml:space="preserve">For the purposes of </w:t>
      </w:r>
      <w:r w:rsidR="00B70F01">
        <w:t>paragraph (</w:t>
      </w:r>
      <w:r w:rsidRPr="00D1118C">
        <w:t>1)(a), a proposal covers a lease or licence if:</w:t>
      </w:r>
    </w:p>
    <w:p w14:paraId="459DBECE" w14:textId="77777777" w:rsidR="00E557F0" w:rsidRPr="00D1118C" w:rsidRDefault="00E557F0" w:rsidP="0042664D">
      <w:pPr>
        <w:pStyle w:val="paragraph"/>
      </w:pPr>
      <w:r w:rsidRPr="00D1118C">
        <w:tab/>
        <w:t>(a)</w:t>
      </w:r>
      <w:r w:rsidRPr="00D1118C">
        <w:tab/>
        <w:t>the lessee or licensee, and the land the subject of the lease or licence, was specified in the proposal; and</w:t>
      </w:r>
    </w:p>
    <w:p w14:paraId="4FADB65B" w14:textId="77777777" w:rsidR="00E557F0" w:rsidRPr="00D1118C" w:rsidRDefault="00E557F0" w:rsidP="0042664D">
      <w:pPr>
        <w:pStyle w:val="paragraph"/>
      </w:pPr>
      <w:r w:rsidRPr="00D1118C">
        <w:tab/>
        <w:t>(b)</w:t>
      </w:r>
      <w:r w:rsidRPr="00D1118C">
        <w:tab/>
        <w:t>the period of the lease or licence does not exceed the maximum period specified in the proposal; and</w:t>
      </w:r>
    </w:p>
    <w:p w14:paraId="5639B2E0" w14:textId="77777777" w:rsidR="00E557F0" w:rsidRPr="00D1118C" w:rsidRDefault="00E557F0" w:rsidP="0042664D">
      <w:pPr>
        <w:pStyle w:val="paragraph"/>
      </w:pPr>
      <w:r w:rsidRPr="00D1118C">
        <w:tab/>
        <w:t>(c)</w:t>
      </w:r>
      <w:r w:rsidRPr="00D1118C">
        <w:tab/>
        <w:t>the uses of the land permitted by the lease or licence were specified in the proposal</w:t>
      </w:r>
      <w:r w:rsidR="008C180A">
        <w:t>.</w:t>
      </w:r>
    </w:p>
    <w:p w14:paraId="7E9011D7" w14:textId="77777777" w:rsidR="00E557F0" w:rsidRDefault="00E557F0" w:rsidP="0042664D">
      <w:pPr>
        <w:pStyle w:val="subsection"/>
      </w:pPr>
      <w:r>
        <w:tab/>
        <w:t>(</w:t>
      </w:r>
      <w:r w:rsidR="00F45001">
        <w:t>4</w:t>
      </w:r>
      <w:r>
        <w:t>)</w:t>
      </w:r>
      <w:r>
        <w:tab/>
      </w:r>
      <w:r w:rsidR="001E427D">
        <w:t xml:space="preserve">In addition to the requirements under </w:t>
      </w:r>
      <w:r w:rsidR="00FB7848">
        <w:t>subsection 1</w:t>
      </w:r>
      <w:r w:rsidR="001E427D">
        <w:t xml:space="preserve">5J(2) of the </w:t>
      </w:r>
      <w:r w:rsidR="001E427D" w:rsidRPr="001E427D">
        <w:rPr>
          <w:i/>
        </w:rPr>
        <w:t>Legislation Act 2003</w:t>
      </w:r>
      <w:r w:rsidR="001E427D">
        <w:t>, t</w:t>
      </w:r>
      <w:r w:rsidR="0002544A">
        <w:t>he Trust must ensure that the explanatory statement</w:t>
      </w:r>
      <w:r w:rsidR="00967801">
        <w:t xml:space="preserve"> </w:t>
      </w:r>
      <w:r w:rsidR="0002544A">
        <w:t>for the proposal includes</w:t>
      </w:r>
      <w:r>
        <w:t xml:space="preserve"> the statement of reasons prepared under </w:t>
      </w:r>
      <w:r w:rsidR="00FB7848">
        <w:t>section </w:t>
      </w:r>
      <w:r w:rsidR="008C180A">
        <w:t>64B</w:t>
      </w:r>
      <w:r>
        <w:t xml:space="preserve"> </w:t>
      </w:r>
      <w:r w:rsidRPr="00B620E8">
        <w:t>for the lease or licence covered by the proposal</w:t>
      </w:r>
      <w:r w:rsidR="008C180A">
        <w:t>.</w:t>
      </w:r>
    </w:p>
    <w:p w14:paraId="78095678" w14:textId="77777777" w:rsidR="00946457" w:rsidRDefault="00946457" w:rsidP="0042664D">
      <w:pPr>
        <w:pStyle w:val="subsection"/>
      </w:pPr>
      <w:r>
        <w:tab/>
      </w:r>
      <w:r w:rsidR="00815A27">
        <w:t>(</w:t>
      </w:r>
      <w:r w:rsidR="00F45001">
        <w:t>5</w:t>
      </w:r>
      <w:r>
        <w:t>)</w:t>
      </w:r>
      <w:r>
        <w:tab/>
      </w:r>
      <w:r w:rsidR="004F193E">
        <w:t xml:space="preserve">The Trust must, as soon as practicable after the proposal is </w:t>
      </w:r>
      <w:r w:rsidR="004F193E" w:rsidRPr="00F06E56">
        <w:t>registered</w:t>
      </w:r>
      <w:r w:rsidR="00D8386D">
        <w:t xml:space="preserve"> </w:t>
      </w:r>
      <w:r w:rsidR="005A3EA1" w:rsidRPr="005A3EA1">
        <w:t>o</w:t>
      </w:r>
      <w:r w:rsidR="00D8386D" w:rsidRPr="005A3EA1">
        <w:t>n the Federal Register of Legislation</w:t>
      </w:r>
      <w:r w:rsidR="005A3EA1" w:rsidRPr="005A3EA1">
        <w:t xml:space="preserve"> under the </w:t>
      </w:r>
      <w:r w:rsidR="005A3EA1" w:rsidRPr="005A3EA1">
        <w:rPr>
          <w:i/>
        </w:rPr>
        <w:t>Legislation Act 2003</w:t>
      </w:r>
      <w:r w:rsidR="004F193E">
        <w:t>, publish a notice of this fact on the Trust’s website</w:t>
      </w:r>
      <w:r w:rsidR="008C180A">
        <w:t>.</w:t>
      </w:r>
    </w:p>
    <w:p w14:paraId="1947330E" w14:textId="77777777" w:rsidR="00B8000E" w:rsidRPr="00D1118C" w:rsidRDefault="008C180A" w:rsidP="0042664D">
      <w:pPr>
        <w:pStyle w:val="ActHead5"/>
      </w:pPr>
      <w:bookmarkStart w:id="14" w:name="_Toc75515676"/>
      <w:r w:rsidRPr="000E6E32">
        <w:rPr>
          <w:rStyle w:val="CharSectno"/>
        </w:rPr>
        <w:t>64D</w:t>
      </w:r>
      <w:r w:rsidR="00B8000E" w:rsidRPr="00D1118C">
        <w:t xml:space="preserve">  Leases and licences over 25 years</w:t>
      </w:r>
      <w:r w:rsidR="00B8000E">
        <w:t>—Minister’s approval</w:t>
      </w:r>
      <w:bookmarkEnd w:id="14"/>
    </w:p>
    <w:p w14:paraId="5B7E647E" w14:textId="77777777" w:rsidR="00B8000E" w:rsidRDefault="00B8000E" w:rsidP="0042664D">
      <w:pPr>
        <w:pStyle w:val="subsection"/>
      </w:pPr>
      <w:r w:rsidRPr="00D1118C">
        <w:tab/>
        <w:t>(1)</w:t>
      </w:r>
      <w:r w:rsidRPr="00D1118C">
        <w:tab/>
        <w:t xml:space="preserve">The Trust must not, except with the Minister’s written approval, enter into a lease or licence over Trust land for a </w:t>
      </w:r>
      <w:r w:rsidR="00E053BC" w:rsidRPr="00D1118C">
        <w:t xml:space="preserve">period </w:t>
      </w:r>
      <w:r w:rsidR="00E053BC">
        <w:t>that is</w:t>
      </w:r>
      <w:r w:rsidR="00E053BC" w:rsidRPr="00D1118C">
        <w:t xml:space="preserve"> longer than </w:t>
      </w:r>
      <w:r w:rsidR="00E053BC">
        <w:t>2</w:t>
      </w:r>
      <w:r w:rsidR="00E053BC" w:rsidRPr="00D1118C">
        <w:t>5 years</w:t>
      </w:r>
      <w:r w:rsidR="00E053BC">
        <w:t>, and</w:t>
      </w:r>
      <w:r>
        <w:t xml:space="preserve"> not longer than 35 years</w:t>
      </w:r>
      <w:r w:rsidR="008C180A">
        <w:t>.</w:t>
      </w:r>
    </w:p>
    <w:p w14:paraId="1AE22FC2" w14:textId="77777777" w:rsidR="00B8000E" w:rsidRDefault="00B8000E" w:rsidP="0042664D">
      <w:pPr>
        <w:pStyle w:val="subsection"/>
      </w:pPr>
      <w:r>
        <w:lastRenderedPageBreak/>
        <w:tab/>
        <w:t>(2)</w:t>
      </w:r>
      <w:r>
        <w:tab/>
        <w:t xml:space="preserve">The Minister must not give approval unless the Minister is satisfied that </w:t>
      </w:r>
      <w:r w:rsidRPr="00215B24">
        <w:t>the terms and conditions of</w:t>
      </w:r>
      <w:r>
        <w:t xml:space="preserve"> the proposed lease or licence </w:t>
      </w:r>
      <w:r w:rsidRPr="00215B24">
        <w:t>are</w:t>
      </w:r>
      <w:r>
        <w:t xml:space="preserve"> consistent with:</w:t>
      </w:r>
    </w:p>
    <w:p w14:paraId="724EF439" w14:textId="77777777" w:rsidR="00B8000E" w:rsidRDefault="00B8000E" w:rsidP="0042664D">
      <w:pPr>
        <w:pStyle w:val="paragraph"/>
      </w:pPr>
      <w:r>
        <w:tab/>
        <w:t>(a)</w:t>
      </w:r>
      <w:r>
        <w:tab/>
        <w:t xml:space="preserve">the </w:t>
      </w:r>
      <w:r w:rsidRPr="00737226">
        <w:t>objects</w:t>
      </w:r>
      <w:r>
        <w:t xml:space="preserve"> of the Trust set out </w:t>
      </w:r>
      <w:r w:rsidRPr="00215B24">
        <w:t xml:space="preserve">in </w:t>
      </w:r>
      <w:r>
        <w:t>section 6; and</w:t>
      </w:r>
    </w:p>
    <w:p w14:paraId="59FC2B3D" w14:textId="77777777" w:rsidR="00B8000E" w:rsidRDefault="00B8000E" w:rsidP="0042664D">
      <w:pPr>
        <w:pStyle w:val="paragraph"/>
      </w:pPr>
      <w:r>
        <w:tab/>
        <w:t>(b)</w:t>
      </w:r>
      <w:r>
        <w:tab/>
        <w:t>plans approved under Part 5; and</w:t>
      </w:r>
    </w:p>
    <w:p w14:paraId="3A1398CE" w14:textId="77777777" w:rsidR="00B8000E" w:rsidRDefault="00B8000E" w:rsidP="0042664D">
      <w:pPr>
        <w:pStyle w:val="paragraph"/>
      </w:pPr>
      <w:r>
        <w:tab/>
        <w:t>(c)</w:t>
      </w:r>
      <w:r>
        <w:tab/>
        <w:t>a proposal that covers the lease or licence under section </w:t>
      </w:r>
      <w:r w:rsidR="008C180A">
        <w:t>64C.</w:t>
      </w:r>
    </w:p>
    <w:p w14:paraId="1CD9E1EB" w14:textId="77777777" w:rsidR="00B8000E" w:rsidRPr="009B2B02" w:rsidRDefault="00B8000E" w:rsidP="0042664D">
      <w:pPr>
        <w:pStyle w:val="subsection"/>
      </w:pPr>
      <w:r>
        <w:tab/>
        <w:t>(3</w:t>
      </w:r>
      <w:r w:rsidRPr="009B2B02">
        <w:t>)</w:t>
      </w:r>
      <w:r w:rsidRPr="009B2B02">
        <w:tab/>
      </w:r>
      <w:r>
        <w:t>In considering</w:t>
      </w:r>
      <w:r w:rsidRPr="009B2B02">
        <w:t xml:space="preserve"> </w:t>
      </w:r>
      <w:r>
        <w:t xml:space="preserve">whether </w:t>
      </w:r>
      <w:r w:rsidRPr="00215B24">
        <w:t>the terms and conditions of</w:t>
      </w:r>
      <w:r>
        <w:t xml:space="preserve"> the proposed lease or licence </w:t>
      </w:r>
      <w:r w:rsidRPr="00215B24">
        <w:t>are</w:t>
      </w:r>
      <w:r>
        <w:t xml:space="preserve"> consistent with </w:t>
      </w:r>
      <w:r w:rsidRPr="009B2B02">
        <w:t xml:space="preserve">the matters in </w:t>
      </w:r>
      <w:r>
        <w:t xml:space="preserve">paragraphs (2)(a) and </w:t>
      </w:r>
      <w:r w:rsidRPr="009B2B02">
        <w:t xml:space="preserve">(b), the Minister must have regard to the statement of reasons prepared under </w:t>
      </w:r>
      <w:r>
        <w:t>section </w:t>
      </w:r>
      <w:r w:rsidR="008C180A">
        <w:t>64B</w:t>
      </w:r>
      <w:r w:rsidRPr="009B2B02">
        <w:t xml:space="preserve"> for the </w:t>
      </w:r>
      <w:r>
        <w:t xml:space="preserve">proposed </w:t>
      </w:r>
      <w:r w:rsidRPr="009B2B02">
        <w:t>lease or licence</w:t>
      </w:r>
      <w:r w:rsidR="008C180A">
        <w:t>.</w:t>
      </w:r>
    </w:p>
    <w:p w14:paraId="6DBCA7FF" w14:textId="77777777" w:rsidR="00ED329E" w:rsidRPr="00005DD3" w:rsidRDefault="00B70F01" w:rsidP="0042664D">
      <w:pPr>
        <w:pStyle w:val="ItemHead"/>
      </w:pPr>
      <w:r>
        <w:t>9</w:t>
      </w:r>
      <w:r w:rsidR="00ED329E" w:rsidRPr="00005DD3">
        <w:t xml:space="preserve">  </w:t>
      </w:r>
      <w:r w:rsidR="000C6268" w:rsidRPr="00005DD3">
        <w:t>Part 1</w:t>
      </w:r>
      <w:r w:rsidR="005115F3" w:rsidRPr="00005DD3">
        <w:t>0</w:t>
      </w:r>
    </w:p>
    <w:p w14:paraId="7985C13E" w14:textId="77777777" w:rsidR="004A33BD" w:rsidRPr="00005DD3" w:rsidRDefault="005115F3" w:rsidP="0042664D">
      <w:pPr>
        <w:pStyle w:val="Item"/>
      </w:pPr>
      <w:r w:rsidRPr="00005DD3">
        <w:t>Repeal the Part</w:t>
      </w:r>
      <w:r w:rsidR="008C180A">
        <w:t>.</w:t>
      </w:r>
    </w:p>
    <w:p w14:paraId="1B535F09" w14:textId="77777777" w:rsidR="00B525C0" w:rsidRPr="00005DD3" w:rsidRDefault="001C2AF2" w:rsidP="0042664D">
      <w:pPr>
        <w:pStyle w:val="ActHead7"/>
        <w:pageBreakBefore/>
      </w:pPr>
      <w:bookmarkStart w:id="15" w:name="_Toc75515677"/>
      <w:r w:rsidRPr="000E6E32">
        <w:rPr>
          <w:rStyle w:val="CharAmPartNo"/>
        </w:rPr>
        <w:lastRenderedPageBreak/>
        <w:t>Part </w:t>
      </w:r>
      <w:r w:rsidR="006A0C86" w:rsidRPr="000E6E32">
        <w:rPr>
          <w:rStyle w:val="CharAmPartNo"/>
        </w:rPr>
        <w:t>2</w:t>
      </w:r>
      <w:r w:rsidR="00B525C0" w:rsidRPr="00005DD3">
        <w:t>—</w:t>
      </w:r>
      <w:r w:rsidR="00B525C0" w:rsidRPr="000E6E32">
        <w:rPr>
          <w:rStyle w:val="CharAmPartText"/>
        </w:rPr>
        <w:t>Regulations</w:t>
      </w:r>
      <w:bookmarkEnd w:id="15"/>
    </w:p>
    <w:p w14:paraId="6871AB51" w14:textId="77777777" w:rsidR="00B525C0" w:rsidRPr="00005DD3" w:rsidRDefault="00B525C0" w:rsidP="0042664D">
      <w:pPr>
        <w:pStyle w:val="ActHead9"/>
        <w:rPr>
          <w:i w:val="0"/>
        </w:rPr>
      </w:pPr>
      <w:bookmarkStart w:id="16" w:name="_Toc75515678"/>
      <w:r w:rsidRPr="00005DD3">
        <w:t>Sydney Harbour Federation Trust Act 2001</w:t>
      </w:r>
      <w:bookmarkEnd w:id="16"/>
    </w:p>
    <w:p w14:paraId="6BC63477" w14:textId="77777777" w:rsidR="00B525C0" w:rsidRPr="00005DD3" w:rsidRDefault="00B70F01" w:rsidP="0042664D">
      <w:pPr>
        <w:pStyle w:val="ItemHead"/>
      </w:pPr>
      <w:r>
        <w:t>10</w:t>
      </w:r>
      <w:r w:rsidR="00B525C0" w:rsidRPr="00005DD3">
        <w:t xml:space="preserve">  After </w:t>
      </w:r>
      <w:r w:rsidR="000C6268" w:rsidRPr="00005DD3">
        <w:t>paragraph 7</w:t>
      </w:r>
      <w:r w:rsidR="00B525C0" w:rsidRPr="00005DD3">
        <w:t>3(2)(o)</w:t>
      </w:r>
    </w:p>
    <w:p w14:paraId="2DD7A49B" w14:textId="77777777" w:rsidR="00B525C0" w:rsidRPr="00005DD3" w:rsidRDefault="00B525C0" w:rsidP="0042664D">
      <w:pPr>
        <w:pStyle w:val="Item"/>
      </w:pPr>
      <w:r w:rsidRPr="00005DD3">
        <w:t>Insert:</w:t>
      </w:r>
    </w:p>
    <w:p w14:paraId="44D28D06" w14:textId="77777777" w:rsidR="00B525C0" w:rsidRPr="00005DD3" w:rsidRDefault="00B525C0" w:rsidP="0042664D">
      <w:pPr>
        <w:pStyle w:val="paragraph"/>
      </w:pPr>
      <w:r w:rsidRPr="00005DD3">
        <w:tab/>
        <w:t>(oa)</w:t>
      </w:r>
      <w:r w:rsidRPr="00005DD3">
        <w:tab/>
        <w:t>imposing liability for offences against the regulations</w:t>
      </w:r>
      <w:r w:rsidR="00037A18">
        <w:t xml:space="preserve"> involving vehicles or vessels </w:t>
      </w:r>
      <w:r w:rsidRPr="00005DD3">
        <w:t>on the owners of the vehicles or vessels;</w:t>
      </w:r>
    </w:p>
    <w:p w14:paraId="5C78FA4B" w14:textId="77777777" w:rsidR="00B525C0" w:rsidRPr="00005DD3" w:rsidRDefault="00B525C0" w:rsidP="0042664D">
      <w:pPr>
        <w:pStyle w:val="paragraph"/>
      </w:pPr>
      <w:r w:rsidRPr="00005DD3">
        <w:tab/>
        <w:t>(ob)</w:t>
      </w:r>
      <w:r w:rsidRPr="00005DD3">
        <w:tab/>
        <w:t>the evidentiary requirements in relation to prosecutions for offences against the regulations;</w:t>
      </w:r>
    </w:p>
    <w:p w14:paraId="2826E44B" w14:textId="77777777" w:rsidR="00B525C0" w:rsidRDefault="00B525C0" w:rsidP="0042664D">
      <w:pPr>
        <w:pStyle w:val="paragraph"/>
      </w:pPr>
      <w:r w:rsidRPr="00005DD3">
        <w:tab/>
        <w:t>(oc)</w:t>
      </w:r>
      <w:r w:rsidRPr="00005DD3">
        <w:tab/>
        <w:t xml:space="preserve">the </w:t>
      </w:r>
      <w:r w:rsidR="005F4B02">
        <w:t xml:space="preserve">provision of </w:t>
      </w:r>
      <w:r w:rsidRPr="00005DD3">
        <w:t>documents</w:t>
      </w:r>
      <w:r w:rsidR="00F86662">
        <w:t>, by the Trust or another person,</w:t>
      </w:r>
      <w:r w:rsidRPr="00005DD3">
        <w:t xml:space="preserve"> to persons alleged to have committed o</w:t>
      </w:r>
      <w:r w:rsidR="00523C3A" w:rsidRPr="00005DD3">
        <w:t>ffences against the regulations;</w:t>
      </w:r>
    </w:p>
    <w:p w14:paraId="7710CAF0" w14:textId="77777777" w:rsidR="008738A3" w:rsidRPr="00005DD3" w:rsidRDefault="008738A3" w:rsidP="0042664D">
      <w:pPr>
        <w:pStyle w:val="paragraph"/>
      </w:pPr>
      <w:r w:rsidRPr="00005DD3">
        <w:tab/>
        <w:t>(</w:t>
      </w:r>
      <w:r>
        <w:t>od</w:t>
      </w:r>
      <w:r w:rsidRPr="00005DD3">
        <w:t>)</w:t>
      </w:r>
      <w:r w:rsidRPr="00005DD3">
        <w:tab/>
      </w:r>
      <w:r>
        <w:t>the recovery, by way of penalty, by the Trust on behalf of the Commonwealth, of reasonable costs incurred by the Trust as a result of a contravention of an order, direction or other requirement</w:t>
      </w:r>
      <w:r w:rsidRPr="003B31A3">
        <w:t>;</w:t>
      </w:r>
    </w:p>
    <w:p w14:paraId="5A465425" w14:textId="77777777" w:rsidR="00B525C0" w:rsidRPr="00005DD3" w:rsidRDefault="00B70F01" w:rsidP="0042664D">
      <w:pPr>
        <w:pStyle w:val="ItemHead"/>
      </w:pPr>
      <w:r>
        <w:t>11</w:t>
      </w:r>
      <w:r w:rsidR="00B525C0" w:rsidRPr="00005DD3">
        <w:t xml:space="preserve">  After </w:t>
      </w:r>
      <w:r w:rsidR="000C6268" w:rsidRPr="00005DD3">
        <w:t>paragraph 7</w:t>
      </w:r>
      <w:r w:rsidR="00B525C0" w:rsidRPr="00005DD3">
        <w:t>3(2)(r)</w:t>
      </w:r>
    </w:p>
    <w:p w14:paraId="5716EC20" w14:textId="77777777" w:rsidR="00B525C0" w:rsidRPr="00005DD3" w:rsidRDefault="00B525C0" w:rsidP="0042664D">
      <w:pPr>
        <w:pStyle w:val="Item"/>
      </w:pPr>
      <w:r w:rsidRPr="00005DD3">
        <w:t>Insert:</w:t>
      </w:r>
    </w:p>
    <w:p w14:paraId="256D7BEA" w14:textId="77777777" w:rsidR="00B525C0" w:rsidRPr="00005DD3" w:rsidRDefault="00B525C0" w:rsidP="0042664D">
      <w:pPr>
        <w:pStyle w:val="paragraph"/>
      </w:pPr>
      <w:r w:rsidRPr="00005DD3">
        <w:tab/>
        <w:t>(ra)</w:t>
      </w:r>
      <w:r w:rsidRPr="00005DD3">
        <w:tab/>
        <w:t xml:space="preserve">the removal of objects </w:t>
      </w:r>
      <w:r w:rsidR="005F4B02">
        <w:t xml:space="preserve">and other matter </w:t>
      </w:r>
      <w:r w:rsidRPr="00005DD3">
        <w:t>from, and the moving of objects</w:t>
      </w:r>
      <w:r w:rsidR="005F4B02" w:rsidRPr="00005DD3">
        <w:t xml:space="preserve"> </w:t>
      </w:r>
      <w:r w:rsidR="005F4B02">
        <w:t>and other matter</w:t>
      </w:r>
      <w:r w:rsidRPr="00005DD3">
        <w:t xml:space="preserve"> on, Trust land by wardens and rangers, including the removal or moving of objects</w:t>
      </w:r>
      <w:r w:rsidR="005F4B02" w:rsidRPr="00005DD3">
        <w:t xml:space="preserve"> </w:t>
      </w:r>
      <w:r w:rsidR="005F4B02">
        <w:t>and other matter</w:t>
      </w:r>
      <w:r w:rsidRPr="00005DD3">
        <w:t xml:space="preserve"> (including animals) that are the property of other persons;</w:t>
      </w:r>
    </w:p>
    <w:p w14:paraId="7437963F" w14:textId="77777777" w:rsidR="00B525C0" w:rsidRPr="00005DD3" w:rsidRDefault="00B525C0" w:rsidP="0042664D">
      <w:pPr>
        <w:pStyle w:val="paragraph"/>
      </w:pPr>
      <w:r w:rsidRPr="00005DD3">
        <w:tab/>
        <w:t>(rb)</w:t>
      </w:r>
      <w:r w:rsidRPr="00005DD3">
        <w:tab/>
        <w:t>the disposal of objects</w:t>
      </w:r>
      <w:r w:rsidR="005F4B02" w:rsidRPr="00005DD3">
        <w:t xml:space="preserve"> </w:t>
      </w:r>
      <w:r w:rsidR="005F4B02">
        <w:t>and other matter</w:t>
      </w:r>
      <w:r w:rsidRPr="00005DD3">
        <w:t xml:space="preserve"> removed from, or moved on, Trust land, including the disposal of objects</w:t>
      </w:r>
      <w:r w:rsidR="005F4B02" w:rsidRPr="00005DD3">
        <w:t xml:space="preserve"> </w:t>
      </w:r>
      <w:r w:rsidR="005F4B02">
        <w:t>and other matter</w:t>
      </w:r>
      <w:r w:rsidRPr="00005DD3">
        <w:t xml:space="preserve"> that are the property of other persons;</w:t>
      </w:r>
    </w:p>
    <w:p w14:paraId="138BF1B7" w14:textId="77777777" w:rsidR="00B525C0" w:rsidRPr="00005DD3" w:rsidRDefault="00B525C0" w:rsidP="0042664D">
      <w:pPr>
        <w:pStyle w:val="ActHead7"/>
        <w:pageBreakBefore/>
      </w:pPr>
      <w:bookmarkStart w:id="17" w:name="_Toc75515679"/>
      <w:r w:rsidRPr="000E6E32">
        <w:rPr>
          <w:rStyle w:val="CharAmPartNo"/>
        </w:rPr>
        <w:lastRenderedPageBreak/>
        <w:t>Part </w:t>
      </w:r>
      <w:r w:rsidR="006A0C86" w:rsidRPr="000E6E32">
        <w:rPr>
          <w:rStyle w:val="CharAmPartNo"/>
        </w:rPr>
        <w:t>3</w:t>
      </w:r>
      <w:r w:rsidRPr="00005DD3">
        <w:t>—</w:t>
      </w:r>
      <w:r w:rsidRPr="000E6E32">
        <w:rPr>
          <w:rStyle w:val="CharAmPartText"/>
        </w:rPr>
        <w:t>Compliance and enforcement</w:t>
      </w:r>
      <w:bookmarkEnd w:id="17"/>
    </w:p>
    <w:p w14:paraId="7AC4B2A6" w14:textId="77777777" w:rsidR="00B525C0" w:rsidRPr="00005DD3" w:rsidRDefault="00B525C0" w:rsidP="0042664D">
      <w:pPr>
        <w:pStyle w:val="ActHead9"/>
        <w:rPr>
          <w:i w:val="0"/>
        </w:rPr>
      </w:pPr>
      <w:bookmarkStart w:id="18" w:name="_Toc75515680"/>
      <w:r w:rsidRPr="00005DD3">
        <w:t>Sydney Harbour Federation Trust Act 2001</w:t>
      </w:r>
      <w:bookmarkEnd w:id="18"/>
    </w:p>
    <w:p w14:paraId="67067AD8" w14:textId="77777777" w:rsidR="00B525C0" w:rsidRPr="00005DD3" w:rsidRDefault="00B70F01" w:rsidP="0042664D">
      <w:pPr>
        <w:pStyle w:val="ItemHead"/>
      </w:pPr>
      <w:r>
        <w:t>12</w:t>
      </w:r>
      <w:r w:rsidR="00B525C0" w:rsidRPr="00005DD3">
        <w:t xml:space="preserve">  </w:t>
      </w:r>
      <w:r w:rsidR="0077578E">
        <w:t>Section 3</w:t>
      </w:r>
    </w:p>
    <w:p w14:paraId="7EA3AA13" w14:textId="77777777" w:rsidR="00B525C0" w:rsidRPr="00005DD3" w:rsidRDefault="00B525C0" w:rsidP="0042664D">
      <w:pPr>
        <w:pStyle w:val="Item"/>
      </w:pPr>
      <w:r w:rsidRPr="00005DD3">
        <w:t>Insert:</w:t>
      </w:r>
    </w:p>
    <w:p w14:paraId="67C09389" w14:textId="77777777" w:rsidR="00B525C0" w:rsidRPr="00005DD3" w:rsidRDefault="00B525C0" w:rsidP="0042664D">
      <w:pPr>
        <w:pStyle w:val="Definition"/>
      </w:pPr>
      <w:r w:rsidRPr="00005DD3">
        <w:rPr>
          <w:b/>
          <w:i/>
        </w:rPr>
        <w:t>Regulatory Powers Act</w:t>
      </w:r>
      <w:r w:rsidRPr="00005DD3">
        <w:t xml:space="preserve"> means the </w:t>
      </w:r>
      <w:r w:rsidRPr="00005DD3">
        <w:rPr>
          <w:i/>
        </w:rPr>
        <w:t>Regulatory Powers (Standard Provisions) Act 2014</w:t>
      </w:r>
      <w:r w:rsidR="008C180A">
        <w:t>.</w:t>
      </w:r>
    </w:p>
    <w:p w14:paraId="61E8D9B1" w14:textId="77777777" w:rsidR="00B525C0" w:rsidRPr="00005DD3" w:rsidRDefault="00B70F01" w:rsidP="0042664D">
      <w:pPr>
        <w:pStyle w:val="ItemHead"/>
      </w:pPr>
      <w:r>
        <w:t>13</w:t>
      </w:r>
      <w:r w:rsidR="00B525C0" w:rsidRPr="00005DD3">
        <w:t xml:space="preserve">  After </w:t>
      </w:r>
      <w:r w:rsidR="003A0B10" w:rsidRPr="00005DD3">
        <w:t>Part 9</w:t>
      </w:r>
    </w:p>
    <w:p w14:paraId="3CF43CDC" w14:textId="77777777" w:rsidR="00B525C0" w:rsidRPr="00005DD3" w:rsidRDefault="00B525C0" w:rsidP="0042664D">
      <w:pPr>
        <w:pStyle w:val="Item"/>
      </w:pPr>
      <w:r w:rsidRPr="00005DD3">
        <w:t>Insert:</w:t>
      </w:r>
    </w:p>
    <w:p w14:paraId="00CF8A6F" w14:textId="77777777" w:rsidR="00B525C0" w:rsidRPr="00005DD3" w:rsidRDefault="003A0B10" w:rsidP="0042664D">
      <w:pPr>
        <w:pStyle w:val="ActHead2"/>
      </w:pPr>
      <w:bookmarkStart w:id="19" w:name="_Toc75515681"/>
      <w:r w:rsidRPr="000E6E32">
        <w:rPr>
          <w:rStyle w:val="CharPartNo"/>
        </w:rPr>
        <w:t>Part 9</w:t>
      </w:r>
      <w:r w:rsidR="00B525C0" w:rsidRPr="000E6E32">
        <w:rPr>
          <w:rStyle w:val="CharPartNo"/>
        </w:rPr>
        <w:t>A</w:t>
      </w:r>
      <w:r w:rsidR="00B525C0" w:rsidRPr="00005DD3">
        <w:t>—</w:t>
      </w:r>
      <w:r w:rsidR="00B525C0" w:rsidRPr="000E6E32">
        <w:rPr>
          <w:rStyle w:val="CharPartText"/>
        </w:rPr>
        <w:t>Compliance and enforcement</w:t>
      </w:r>
      <w:bookmarkEnd w:id="19"/>
    </w:p>
    <w:p w14:paraId="34FE74E1" w14:textId="77777777" w:rsidR="00B72D94" w:rsidRPr="000E6E32" w:rsidRDefault="00B72D94" w:rsidP="0042664D">
      <w:pPr>
        <w:pStyle w:val="Header"/>
      </w:pPr>
      <w:r w:rsidRPr="000E6E32">
        <w:rPr>
          <w:rStyle w:val="CharDivNo"/>
        </w:rPr>
        <w:t xml:space="preserve"> </w:t>
      </w:r>
      <w:r w:rsidRPr="000E6E32">
        <w:rPr>
          <w:rStyle w:val="CharDivText"/>
        </w:rPr>
        <w:t xml:space="preserve"> </w:t>
      </w:r>
    </w:p>
    <w:p w14:paraId="20D6AA31" w14:textId="77777777" w:rsidR="0016293A" w:rsidRDefault="008C180A" w:rsidP="0042664D">
      <w:pPr>
        <w:pStyle w:val="ActHead5"/>
      </w:pPr>
      <w:bookmarkStart w:id="20" w:name="_Toc75515682"/>
      <w:r w:rsidRPr="000E6E32">
        <w:rPr>
          <w:rStyle w:val="CharSectno"/>
        </w:rPr>
        <w:t>65A</w:t>
      </w:r>
      <w:r w:rsidR="0016293A" w:rsidRPr="00005DD3">
        <w:t xml:space="preserve">  Simplified outline of Part</w:t>
      </w:r>
      <w:bookmarkEnd w:id="20"/>
    </w:p>
    <w:p w14:paraId="664BDF98" w14:textId="77777777" w:rsidR="00857F28" w:rsidRDefault="00102AD1" w:rsidP="0042664D">
      <w:pPr>
        <w:pStyle w:val="SOText"/>
      </w:pPr>
      <w:r>
        <w:t xml:space="preserve">This Part deals with the </w:t>
      </w:r>
      <w:r w:rsidR="00857F28" w:rsidRPr="00102AD1">
        <w:t>compliance and enforcement powers</w:t>
      </w:r>
      <w:r w:rsidR="00857F28">
        <w:t xml:space="preserve"> of the Trust</w:t>
      </w:r>
      <w:r w:rsidR="008C180A">
        <w:t>.</w:t>
      </w:r>
    </w:p>
    <w:p w14:paraId="07CDBED9" w14:textId="77777777" w:rsidR="00161866" w:rsidRDefault="00161866" w:rsidP="0042664D">
      <w:pPr>
        <w:pStyle w:val="SOText"/>
      </w:pPr>
      <w:r>
        <w:t>The Trust may order a</w:t>
      </w:r>
      <w:r w:rsidRPr="00005DD3">
        <w:t xml:space="preserve"> person </w:t>
      </w:r>
      <w:r>
        <w:t>to cease</w:t>
      </w:r>
      <w:r w:rsidRPr="00005DD3">
        <w:t xml:space="preserve"> promoting, conducting or carrying out</w:t>
      </w:r>
      <w:r w:rsidR="00E93FF2">
        <w:t xml:space="preserve"> </w:t>
      </w:r>
      <w:r w:rsidR="00E93FF2" w:rsidRPr="00005DD3">
        <w:t>an activity on Trust land</w:t>
      </w:r>
      <w:r w:rsidR="00B64285">
        <w:t>,</w:t>
      </w:r>
      <w:r>
        <w:t xml:space="preserve"> </w:t>
      </w:r>
      <w:r w:rsidR="00EA2DF3">
        <w:t>or t</w:t>
      </w:r>
      <w:r w:rsidR="00EA2DF3" w:rsidRPr="00005DD3">
        <w:t>o do, or no</w:t>
      </w:r>
      <w:r w:rsidR="00EA2DF3">
        <w:t>t do, specified things</w:t>
      </w:r>
      <w:r w:rsidR="00EA2DF3" w:rsidRPr="00005DD3">
        <w:t xml:space="preserve"> in relation to the activity</w:t>
      </w:r>
      <w:r w:rsidR="008C180A">
        <w:t>.</w:t>
      </w:r>
      <w:r w:rsidR="00E93FF2">
        <w:t xml:space="preserve"> </w:t>
      </w:r>
      <w:r w:rsidR="001D6720" w:rsidRPr="00005DD3">
        <w:t>If a person fails to comply with an order</w:t>
      </w:r>
      <w:r w:rsidR="001D6720">
        <w:t>,</w:t>
      </w:r>
      <w:r w:rsidR="001D6720" w:rsidRPr="00005DD3">
        <w:t xml:space="preserve"> the Trust may do anything necessary or convenient to give effect to the order, including any work required by the order</w:t>
      </w:r>
      <w:r w:rsidR="008C180A">
        <w:t>.</w:t>
      </w:r>
    </w:p>
    <w:p w14:paraId="7B1F46EC" w14:textId="77777777" w:rsidR="001D6720" w:rsidRPr="00857F28" w:rsidRDefault="00334AD5" w:rsidP="0042664D">
      <w:pPr>
        <w:pStyle w:val="SOText"/>
      </w:pPr>
      <w:r>
        <w:t xml:space="preserve">A </w:t>
      </w:r>
      <w:r w:rsidR="00BD5740" w:rsidRPr="00BD5740">
        <w:t>person can be given an infringement notice under Part 5 of the Regulatory Powers Act for contravening</w:t>
      </w:r>
      <w:r w:rsidR="00BD5740">
        <w:t xml:space="preserve"> a </w:t>
      </w:r>
      <w:r>
        <w:t>s</w:t>
      </w:r>
      <w:r w:rsidR="00965857" w:rsidRPr="00005DD3">
        <w:t xml:space="preserve">trict liability offence </w:t>
      </w:r>
      <w:r w:rsidR="00BD5740">
        <w:t>provision of</w:t>
      </w:r>
      <w:r w:rsidR="00965857" w:rsidRPr="00005DD3">
        <w:t xml:space="preserve"> this Act</w:t>
      </w:r>
      <w:r w:rsidR="00965857">
        <w:t xml:space="preserve"> or the regulations</w:t>
      </w:r>
      <w:r w:rsidR="008C180A">
        <w:t>.</w:t>
      </w:r>
      <w:r w:rsidR="002D4ECA">
        <w:t xml:space="preserve"> </w:t>
      </w:r>
      <w:r w:rsidRPr="00334AD5">
        <w:t xml:space="preserve">A person </w:t>
      </w:r>
      <w:r>
        <w:t>who is given an infringement notice</w:t>
      </w:r>
      <w:r w:rsidRPr="00334AD5">
        <w:t xml:space="preserve"> </w:t>
      </w:r>
      <w:r w:rsidR="00BD5740">
        <w:t>can</w:t>
      </w:r>
      <w:r>
        <w:t xml:space="preserve"> </w:t>
      </w:r>
      <w:r w:rsidRPr="00334AD5">
        <w:t xml:space="preserve">choose to pay an amount as an alternative to proceedings being brought against the person </w:t>
      </w:r>
      <w:r w:rsidR="00BD5740">
        <w:t>for</w:t>
      </w:r>
      <w:r w:rsidRPr="00334AD5">
        <w:t xml:space="preserve"> the contravention</w:t>
      </w:r>
      <w:r w:rsidR="008C180A">
        <w:t>.</w:t>
      </w:r>
      <w:r w:rsidRPr="00334AD5">
        <w:t xml:space="preserve"> </w:t>
      </w:r>
      <w:r w:rsidR="00F04486" w:rsidRPr="00F04486">
        <w:t xml:space="preserve">If the person does not choose to pay the </w:t>
      </w:r>
      <w:r w:rsidR="00F04486">
        <w:t>amount,</w:t>
      </w:r>
      <w:r w:rsidRPr="00334AD5">
        <w:t xml:space="preserve"> proceedings can be brought against the person in relati</w:t>
      </w:r>
      <w:r w:rsidR="007E5832">
        <w:t>on to the contravention</w:t>
      </w:r>
      <w:r w:rsidR="008C180A">
        <w:t>.</w:t>
      </w:r>
    </w:p>
    <w:p w14:paraId="79F0BF7F" w14:textId="77777777" w:rsidR="00A36E2E" w:rsidRPr="00005DD3" w:rsidRDefault="008C180A" w:rsidP="0042664D">
      <w:pPr>
        <w:pStyle w:val="ActHead5"/>
      </w:pPr>
      <w:bookmarkStart w:id="21" w:name="_Toc75515683"/>
      <w:r w:rsidRPr="000E6E32">
        <w:rPr>
          <w:rStyle w:val="CharSectno"/>
        </w:rPr>
        <w:lastRenderedPageBreak/>
        <w:t>65B</w:t>
      </w:r>
      <w:r w:rsidR="00A36E2E" w:rsidRPr="00005DD3">
        <w:t xml:space="preserve">  Trust may give orders</w:t>
      </w:r>
      <w:bookmarkEnd w:id="21"/>
    </w:p>
    <w:p w14:paraId="23EF5D68" w14:textId="77777777" w:rsidR="00A36E2E" w:rsidRPr="00005DD3" w:rsidRDefault="00A36E2E" w:rsidP="0042664D">
      <w:pPr>
        <w:pStyle w:val="subsection"/>
      </w:pPr>
      <w:r w:rsidRPr="00005DD3">
        <w:tab/>
        <w:t>(1)</w:t>
      </w:r>
      <w:r w:rsidRPr="00005DD3">
        <w:tab/>
        <w:t xml:space="preserve">Subject to this section and to section </w:t>
      </w:r>
      <w:r w:rsidR="008C180A">
        <w:t>65C</w:t>
      </w:r>
      <w:r w:rsidRPr="00005DD3">
        <w:t>, the Trust may order any person engaged in promoting, conducting or carrying out an activity on Trust land:</w:t>
      </w:r>
    </w:p>
    <w:p w14:paraId="30DF1268" w14:textId="77777777" w:rsidR="00A36E2E" w:rsidRPr="00005DD3" w:rsidRDefault="00A36E2E" w:rsidP="0042664D">
      <w:pPr>
        <w:pStyle w:val="paragraph"/>
      </w:pPr>
      <w:r w:rsidRPr="00005DD3">
        <w:tab/>
        <w:t>(a)</w:t>
      </w:r>
      <w:r w:rsidRPr="00005DD3">
        <w:tab/>
        <w:t>to cease promoting, conducting or carrying out the activity; or</w:t>
      </w:r>
    </w:p>
    <w:p w14:paraId="78D1FF63" w14:textId="77777777" w:rsidR="00A36E2E" w:rsidRPr="00005DD3" w:rsidRDefault="00EA2DF3" w:rsidP="0042664D">
      <w:pPr>
        <w:pStyle w:val="paragraph"/>
      </w:pPr>
      <w:r>
        <w:tab/>
        <w:t>(b</w:t>
      </w:r>
      <w:r w:rsidR="00A36E2E" w:rsidRPr="00005DD3">
        <w:t>)</w:t>
      </w:r>
      <w:r w:rsidR="00A36E2E" w:rsidRPr="00005DD3">
        <w:tab/>
        <w:t>to do, or not to do, such things, in relation to the activity, as are specified in the order and in a way,</w:t>
      </w:r>
      <w:r w:rsidR="009D3777" w:rsidRPr="00005DD3">
        <w:t xml:space="preserve"> if any, specified in the order</w:t>
      </w:r>
      <w:r w:rsidR="008C180A">
        <w:t>.</w:t>
      </w:r>
    </w:p>
    <w:p w14:paraId="2B3F707A" w14:textId="77777777" w:rsidR="00A36E2E" w:rsidRPr="00005DD3" w:rsidRDefault="00A36E2E" w:rsidP="0042664D">
      <w:pPr>
        <w:pStyle w:val="subsection"/>
      </w:pPr>
      <w:r w:rsidRPr="00005DD3">
        <w:tab/>
        <w:t>(2)</w:t>
      </w:r>
      <w:r w:rsidRPr="00005DD3">
        <w:tab/>
        <w:t xml:space="preserve">The Trust may give an order under </w:t>
      </w:r>
      <w:r w:rsidR="00FC771D">
        <w:t>subsection (</w:t>
      </w:r>
      <w:r w:rsidRPr="00005DD3">
        <w:t xml:space="preserve">1) only if any of the circumstances mentioned in </w:t>
      </w:r>
      <w:r w:rsidR="00FC771D">
        <w:t>subsection (</w:t>
      </w:r>
      <w:r w:rsidRPr="00005DD3">
        <w:t>3) exist</w:t>
      </w:r>
      <w:r w:rsidR="008C180A">
        <w:t>.</w:t>
      </w:r>
    </w:p>
    <w:p w14:paraId="3BCAC75F" w14:textId="77777777" w:rsidR="00A36E2E" w:rsidRPr="00005DD3" w:rsidRDefault="00A36E2E" w:rsidP="0042664D">
      <w:pPr>
        <w:pStyle w:val="subsection"/>
      </w:pPr>
      <w:r w:rsidRPr="00005DD3">
        <w:tab/>
        <w:t>(3)</w:t>
      </w:r>
      <w:r w:rsidRPr="00005DD3">
        <w:tab/>
        <w:t xml:space="preserve">For the purposes of </w:t>
      </w:r>
      <w:r w:rsidR="00FC771D">
        <w:t>subsection (</w:t>
      </w:r>
      <w:r w:rsidRPr="00005DD3">
        <w:t xml:space="preserve">2), </w:t>
      </w:r>
      <w:r w:rsidR="00BC5FA5" w:rsidRPr="00005DD3">
        <w:t xml:space="preserve">the circumstances are that the Trust </w:t>
      </w:r>
      <w:r w:rsidRPr="00005DD3">
        <w:t>reasonabl</w:t>
      </w:r>
      <w:r w:rsidR="00BC5FA5" w:rsidRPr="00005DD3">
        <w:t>y</w:t>
      </w:r>
      <w:r w:rsidRPr="00005DD3">
        <w:t xml:space="preserve"> believ</w:t>
      </w:r>
      <w:r w:rsidR="00BC5FA5" w:rsidRPr="00005DD3">
        <w:t>es</w:t>
      </w:r>
      <w:r w:rsidRPr="00005DD3">
        <w:t xml:space="preserve"> that the activity:</w:t>
      </w:r>
    </w:p>
    <w:p w14:paraId="6D4F5330" w14:textId="77777777" w:rsidR="00A36E2E" w:rsidRPr="00005DD3" w:rsidRDefault="00637301" w:rsidP="0042664D">
      <w:pPr>
        <w:pStyle w:val="paragraph"/>
      </w:pPr>
      <w:r w:rsidRPr="00005DD3">
        <w:tab/>
        <w:t>(a)</w:t>
      </w:r>
      <w:r w:rsidRPr="00005DD3">
        <w:tab/>
        <w:t xml:space="preserve">contravenes </w:t>
      </w:r>
      <w:r w:rsidR="00A36E2E" w:rsidRPr="00005DD3">
        <w:t>this Act or the regulations; or</w:t>
      </w:r>
    </w:p>
    <w:p w14:paraId="173743D0" w14:textId="77777777" w:rsidR="00A36E2E" w:rsidRPr="00005DD3" w:rsidRDefault="00A36E2E" w:rsidP="0042664D">
      <w:pPr>
        <w:pStyle w:val="paragraph"/>
      </w:pPr>
      <w:r w:rsidRPr="00005DD3">
        <w:tab/>
        <w:t>(b)</w:t>
      </w:r>
      <w:r w:rsidRPr="00005DD3">
        <w:tab/>
        <w:t>contravenes a condition of a licence or permit granted to the person; or</w:t>
      </w:r>
    </w:p>
    <w:p w14:paraId="3E314147" w14:textId="77777777" w:rsidR="00A36E2E" w:rsidRPr="00005DD3" w:rsidRDefault="00A36E2E" w:rsidP="0042664D">
      <w:pPr>
        <w:pStyle w:val="paragraph"/>
      </w:pPr>
      <w:r w:rsidRPr="00005DD3">
        <w:tab/>
        <w:t>(c)</w:t>
      </w:r>
      <w:r w:rsidRPr="00005DD3">
        <w:tab/>
        <w:t>constitutes, or is likely to constitute, a public hazard or a threat to public health or safety; or</w:t>
      </w:r>
    </w:p>
    <w:p w14:paraId="02A21BE9" w14:textId="77777777" w:rsidR="00A36E2E" w:rsidRPr="00005DD3" w:rsidRDefault="00A36E2E" w:rsidP="0042664D">
      <w:pPr>
        <w:pStyle w:val="paragraph"/>
      </w:pPr>
      <w:r w:rsidRPr="00005DD3">
        <w:tab/>
        <w:t>(d)</w:t>
      </w:r>
      <w:r w:rsidRPr="00005DD3">
        <w:tab/>
        <w:t xml:space="preserve">is causing, or is likely to cause, pollution or environmental damage, or further pollution or environmental damage, on Trust land </w:t>
      </w:r>
      <w:r w:rsidRPr="00CC3A64">
        <w:t>or elsewhere</w:t>
      </w:r>
      <w:r w:rsidR="008C180A">
        <w:t>.</w:t>
      </w:r>
    </w:p>
    <w:p w14:paraId="20156854" w14:textId="77777777" w:rsidR="00A36E2E" w:rsidRPr="00005DD3" w:rsidRDefault="00A36E2E" w:rsidP="0042664D">
      <w:pPr>
        <w:pStyle w:val="subsection"/>
      </w:pPr>
      <w:r w:rsidRPr="00005DD3">
        <w:tab/>
        <w:t>(4)</w:t>
      </w:r>
      <w:r w:rsidRPr="00005DD3">
        <w:tab/>
        <w:t xml:space="preserve">If an order is made under </w:t>
      </w:r>
      <w:r w:rsidR="00B70F01">
        <w:t>paragraph (</w:t>
      </w:r>
      <w:r w:rsidRPr="00005DD3">
        <w:t xml:space="preserve">1)(a) in respect of an activity, an order may be made under </w:t>
      </w:r>
      <w:r w:rsidR="00B70F01">
        <w:t>paragraph (</w:t>
      </w:r>
      <w:r w:rsidRPr="00005DD3">
        <w:t>1)(</w:t>
      </w:r>
      <w:r w:rsidR="00130513">
        <w:t>b</w:t>
      </w:r>
      <w:r w:rsidRPr="00005DD3">
        <w:t>) in respect of the same activity</w:t>
      </w:r>
      <w:r w:rsidR="008C180A">
        <w:t>.</w:t>
      </w:r>
    </w:p>
    <w:p w14:paraId="70501836" w14:textId="77777777" w:rsidR="00A36E2E" w:rsidRPr="00005DD3" w:rsidRDefault="00A36E2E" w:rsidP="0042664D">
      <w:pPr>
        <w:pStyle w:val="subsection"/>
      </w:pPr>
      <w:r w:rsidRPr="00005DD3">
        <w:tab/>
        <w:t>(5)</w:t>
      </w:r>
      <w:r w:rsidRPr="00005DD3">
        <w:tab/>
        <w:t xml:space="preserve">Without limiting </w:t>
      </w:r>
      <w:r w:rsidR="00B70F01">
        <w:t>paragraph (</w:t>
      </w:r>
      <w:r w:rsidRPr="00005DD3">
        <w:t>1)(</w:t>
      </w:r>
      <w:r w:rsidR="00130513">
        <w:t>b</w:t>
      </w:r>
      <w:r w:rsidRPr="00005DD3">
        <w:t>), an order may be given under that paragraph to:</w:t>
      </w:r>
    </w:p>
    <w:p w14:paraId="4BBDBB37" w14:textId="77777777" w:rsidR="00A36E2E" w:rsidRPr="00005DD3" w:rsidRDefault="00A36E2E" w:rsidP="0042664D">
      <w:pPr>
        <w:pStyle w:val="paragraph"/>
      </w:pPr>
      <w:r w:rsidRPr="00005DD3">
        <w:tab/>
        <w:t>(a)</w:t>
      </w:r>
      <w:r w:rsidRPr="00005DD3">
        <w:tab/>
        <w:t>demolish, repair or remove a structure on Trust land; or</w:t>
      </w:r>
    </w:p>
    <w:p w14:paraId="48C40086" w14:textId="77777777" w:rsidR="00A36E2E" w:rsidRPr="00005DD3" w:rsidRDefault="00A36E2E" w:rsidP="0042664D">
      <w:pPr>
        <w:pStyle w:val="paragraph"/>
      </w:pPr>
      <w:r w:rsidRPr="00005DD3">
        <w:tab/>
        <w:t>(b)</w:t>
      </w:r>
      <w:r w:rsidRPr="00005DD3">
        <w:tab/>
        <w:t>collect, remove or dispose of any plant, noxious substance, litter, refuse or waste on Trust land; or</w:t>
      </w:r>
    </w:p>
    <w:p w14:paraId="225502D4" w14:textId="77777777" w:rsidR="00A36E2E" w:rsidRPr="00005DD3" w:rsidRDefault="00A36E2E" w:rsidP="0042664D">
      <w:pPr>
        <w:pStyle w:val="paragraph"/>
      </w:pPr>
      <w:r w:rsidRPr="00005DD3">
        <w:tab/>
        <w:t>(c)</w:t>
      </w:r>
      <w:r w:rsidRPr="00005DD3">
        <w:tab/>
        <w:t>repair any environmental damage on Trust land</w:t>
      </w:r>
      <w:r w:rsidR="008C180A">
        <w:t>.</w:t>
      </w:r>
    </w:p>
    <w:p w14:paraId="325A32F1" w14:textId="77777777" w:rsidR="00A36E2E" w:rsidRPr="00005DD3" w:rsidRDefault="00A36E2E" w:rsidP="0042664D">
      <w:pPr>
        <w:pStyle w:val="subsection"/>
      </w:pPr>
      <w:r w:rsidRPr="00005DD3">
        <w:tab/>
        <w:t>(6)</w:t>
      </w:r>
      <w:r w:rsidRPr="00005DD3">
        <w:tab/>
        <w:t>Applications may be made to the Administrative Appeals Tribunal for review of decisions of the Trust under this section to give an order</w:t>
      </w:r>
      <w:r w:rsidR="008C180A">
        <w:t>.</w:t>
      </w:r>
    </w:p>
    <w:p w14:paraId="49611CAB" w14:textId="77777777" w:rsidR="00A36E2E" w:rsidRPr="00005DD3" w:rsidRDefault="008C180A" w:rsidP="0042664D">
      <w:pPr>
        <w:pStyle w:val="ActHead5"/>
      </w:pPr>
      <w:bookmarkStart w:id="22" w:name="_Toc75515684"/>
      <w:r w:rsidRPr="000E6E32">
        <w:rPr>
          <w:rStyle w:val="CharSectno"/>
        </w:rPr>
        <w:lastRenderedPageBreak/>
        <w:t>65C</w:t>
      </w:r>
      <w:r w:rsidR="00A36E2E" w:rsidRPr="00005DD3">
        <w:t xml:space="preserve">  Form etc</w:t>
      </w:r>
      <w:r>
        <w:t>.</w:t>
      </w:r>
      <w:r w:rsidR="00A36E2E" w:rsidRPr="00005DD3">
        <w:t xml:space="preserve"> of order</w:t>
      </w:r>
      <w:bookmarkEnd w:id="22"/>
    </w:p>
    <w:p w14:paraId="2D95B326" w14:textId="77777777" w:rsidR="00A36E2E" w:rsidRPr="00005DD3" w:rsidRDefault="00A36E2E" w:rsidP="0042664D">
      <w:pPr>
        <w:pStyle w:val="subsection"/>
      </w:pPr>
      <w:r w:rsidRPr="00005DD3">
        <w:tab/>
        <w:t>(1)</w:t>
      </w:r>
      <w:r w:rsidRPr="00005DD3">
        <w:tab/>
        <w:t xml:space="preserve">An order given under section </w:t>
      </w:r>
      <w:r w:rsidR="008C180A">
        <w:t>65B</w:t>
      </w:r>
      <w:r w:rsidRPr="00005DD3">
        <w:t xml:space="preserve"> must be in writing</w:t>
      </w:r>
      <w:r w:rsidR="008C180A">
        <w:t>.</w:t>
      </w:r>
    </w:p>
    <w:p w14:paraId="63068947" w14:textId="77777777" w:rsidR="00A36E2E" w:rsidRPr="00005DD3" w:rsidRDefault="00A36E2E" w:rsidP="0042664D">
      <w:pPr>
        <w:pStyle w:val="subsection"/>
      </w:pPr>
      <w:r w:rsidRPr="00005DD3">
        <w:tab/>
        <w:t>(2)</w:t>
      </w:r>
      <w:r w:rsidRPr="00005DD3">
        <w:tab/>
        <w:t xml:space="preserve">Subject to </w:t>
      </w:r>
      <w:r w:rsidR="00FC771D">
        <w:t>subsection (</w:t>
      </w:r>
      <w:r w:rsidRPr="00005DD3">
        <w:t>3), the order must specify a reasonable period within which the terms of the order are to be complied with</w:t>
      </w:r>
      <w:r w:rsidR="008C180A">
        <w:t>.</w:t>
      </w:r>
    </w:p>
    <w:p w14:paraId="0CCD45C8" w14:textId="77777777" w:rsidR="00A36E2E" w:rsidRPr="00005DD3" w:rsidRDefault="00A36E2E" w:rsidP="0042664D">
      <w:pPr>
        <w:pStyle w:val="subsection"/>
      </w:pPr>
      <w:r w:rsidRPr="00005DD3">
        <w:tab/>
        <w:t>(3)</w:t>
      </w:r>
      <w:r w:rsidRPr="00005DD3">
        <w:tab/>
        <w:t>An order may require immediate compliance in circumstances where there is:</w:t>
      </w:r>
    </w:p>
    <w:p w14:paraId="39FACD18" w14:textId="77777777" w:rsidR="00A36E2E" w:rsidRPr="00005DD3" w:rsidRDefault="00CA7AAA" w:rsidP="0042664D">
      <w:pPr>
        <w:pStyle w:val="paragraph"/>
      </w:pPr>
      <w:r>
        <w:tab/>
        <w:t>(a)</w:t>
      </w:r>
      <w:r>
        <w:tab/>
        <w:t xml:space="preserve">a serious risk to </w:t>
      </w:r>
      <w:r w:rsidR="00A36E2E" w:rsidRPr="00CA7AAA">
        <w:t>public</w:t>
      </w:r>
      <w:r w:rsidR="00A36E2E" w:rsidRPr="00005DD3">
        <w:t xml:space="preserve"> health or safety; or</w:t>
      </w:r>
    </w:p>
    <w:p w14:paraId="659AD77A" w14:textId="77777777" w:rsidR="00A36E2E" w:rsidRPr="00005DD3" w:rsidRDefault="00A36E2E" w:rsidP="0042664D">
      <w:pPr>
        <w:pStyle w:val="paragraph"/>
      </w:pPr>
      <w:r w:rsidRPr="00005DD3">
        <w:tab/>
        <w:t>(b)</w:t>
      </w:r>
      <w:r w:rsidRPr="00005DD3">
        <w:tab/>
        <w:t>a serious risk of pollution or environmental damage; or</w:t>
      </w:r>
    </w:p>
    <w:p w14:paraId="00494149" w14:textId="77777777" w:rsidR="00A36E2E" w:rsidRPr="00005DD3" w:rsidRDefault="00A36E2E" w:rsidP="0042664D">
      <w:pPr>
        <w:pStyle w:val="paragraph"/>
      </w:pPr>
      <w:r w:rsidRPr="00005DD3">
        <w:tab/>
        <w:t>(c)</w:t>
      </w:r>
      <w:r w:rsidRPr="00005DD3">
        <w:tab/>
        <w:t>an emergency</w:t>
      </w:r>
      <w:r w:rsidR="008C180A">
        <w:t>.</w:t>
      </w:r>
    </w:p>
    <w:p w14:paraId="155A3875" w14:textId="77777777" w:rsidR="00A36E2E" w:rsidRPr="00005DD3" w:rsidRDefault="00A36E2E" w:rsidP="0042664D">
      <w:pPr>
        <w:pStyle w:val="subsection"/>
      </w:pPr>
      <w:r w:rsidRPr="00005DD3">
        <w:tab/>
        <w:t>(4)</w:t>
      </w:r>
      <w:r w:rsidRPr="00005DD3">
        <w:tab/>
        <w:t xml:space="preserve">An order given under section </w:t>
      </w:r>
      <w:r w:rsidR="008C180A">
        <w:t>65B</w:t>
      </w:r>
      <w:r w:rsidRPr="00005DD3">
        <w:t xml:space="preserve"> is not a legi</w:t>
      </w:r>
      <w:r w:rsidR="00C951B2" w:rsidRPr="00005DD3">
        <w:t>slative instrument</w:t>
      </w:r>
      <w:r w:rsidR="008C180A">
        <w:t>.</w:t>
      </w:r>
    </w:p>
    <w:p w14:paraId="4134970E" w14:textId="77777777" w:rsidR="00A36E2E" w:rsidRPr="00005DD3" w:rsidRDefault="008C180A" w:rsidP="0042664D">
      <w:pPr>
        <w:pStyle w:val="ActHead5"/>
      </w:pPr>
      <w:bookmarkStart w:id="23" w:name="_Toc75515685"/>
      <w:r w:rsidRPr="000E6E32">
        <w:rPr>
          <w:rStyle w:val="CharSectno"/>
        </w:rPr>
        <w:t>65D</w:t>
      </w:r>
      <w:r w:rsidR="00A36E2E" w:rsidRPr="00005DD3">
        <w:t xml:space="preserve">  Contravention of order</w:t>
      </w:r>
      <w:bookmarkEnd w:id="23"/>
    </w:p>
    <w:p w14:paraId="1993BEEC" w14:textId="77777777" w:rsidR="00A36E2E" w:rsidRPr="00005DD3" w:rsidRDefault="00874B08" w:rsidP="0042664D">
      <w:pPr>
        <w:pStyle w:val="subsection"/>
      </w:pPr>
      <w:r>
        <w:tab/>
      </w:r>
      <w:r w:rsidR="005806D0">
        <w:t>(1)</w:t>
      </w:r>
      <w:r w:rsidR="00A36E2E" w:rsidRPr="00005DD3">
        <w:tab/>
        <w:t>A person commits an offence</w:t>
      </w:r>
      <w:r>
        <w:t xml:space="preserve"> </w:t>
      </w:r>
      <w:r w:rsidR="00A36E2E" w:rsidRPr="00005DD3">
        <w:t>if:</w:t>
      </w:r>
    </w:p>
    <w:p w14:paraId="541030AF" w14:textId="77777777" w:rsidR="00A36E2E" w:rsidRPr="00005DD3" w:rsidRDefault="00A36E2E" w:rsidP="0042664D">
      <w:pPr>
        <w:pStyle w:val="paragraph"/>
      </w:pPr>
      <w:r w:rsidRPr="00005DD3">
        <w:tab/>
        <w:t>(a)</w:t>
      </w:r>
      <w:r w:rsidRPr="00005DD3">
        <w:tab/>
        <w:t xml:space="preserve">the person is subject to an order given under section </w:t>
      </w:r>
      <w:r w:rsidR="008C180A">
        <w:t>65B</w:t>
      </w:r>
      <w:r w:rsidRPr="00005DD3">
        <w:t>; and</w:t>
      </w:r>
    </w:p>
    <w:p w14:paraId="0C289852" w14:textId="77777777" w:rsidR="00A36E2E" w:rsidRPr="00005DD3" w:rsidRDefault="00A36E2E" w:rsidP="0042664D">
      <w:pPr>
        <w:pStyle w:val="paragraph"/>
      </w:pPr>
      <w:r w:rsidRPr="00005DD3">
        <w:tab/>
        <w:t>(b)</w:t>
      </w:r>
      <w:r w:rsidRPr="00005DD3">
        <w:tab/>
        <w:t>the person does an act or omits to perform an act; and</w:t>
      </w:r>
    </w:p>
    <w:p w14:paraId="0C68471A" w14:textId="77777777" w:rsidR="00A36E2E" w:rsidRPr="00005DD3" w:rsidRDefault="00A36E2E" w:rsidP="0042664D">
      <w:pPr>
        <w:pStyle w:val="paragraph"/>
      </w:pPr>
      <w:r w:rsidRPr="00005DD3">
        <w:tab/>
        <w:t>(c)</w:t>
      </w:r>
      <w:r w:rsidRPr="00005DD3">
        <w:tab/>
        <w:t>the person’s act or omission contravenes the terms of the order</w:t>
      </w:r>
      <w:r w:rsidR="008C180A">
        <w:t>.</w:t>
      </w:r>
    </w:p>
    <w:p w14:paraId="177C6499" w14:textId="77777777" w:rsidR="00A36E2E" w:rsidRDefault="00A36E2E" w:rsidP="0042664D">
      <w:pPr>
        <w:pStyle w:val="Penalty"/>
        <w:rPr>
          <w:color w:val="000000"/>
        </w:rPr>
      </w:pPr>
      <w:r w:rsidRPr="00005DD3">
        <w:t>Penalty:</w:t>
      </w:r>
      <w:r w:rsidRPr="00005DD3">
        <w:tab/>
        <w:t>10</w:t>
      </w:r>
      <w:r w:rsidRPr="00005DD3">
        <w:rPr>
          <w:color w:val="000000"/>
        </w:rPr>
        <w:t xml:space="preserve"> penalty units</w:t>
      </w:r>
      <w:r w:rsidR="008C180A">
        <w:rPr>
          <w:color w:val="000000"/>
        </w:rPr>
        <w:t>.</w:t>
      </w:r>
    </w:p>
    <w:p w14:paraId="1A2C053F" w14:textId="77777777" w:rsidR="005806D0" w:rsidRPr="005806D0" w:rsidRDefault="005806D0" w:rsidP="0042664D">
      <w:pPr>
        <w:pStyle w:val="subsection"/>
      </w:pPr>
      <w:r>
        <w:tab/>
      </w:r>
      <w:r w:rsidRPr="005806D0">
        <w:t>(2)</w:t>
      </w:r>
      <w:r w:rsidRPr="005806D0">
        <w:tab/>
        <w:t>Strict lia</w:t>
      </w:r>
      <w:r>
        <w:t xml:space="preserve">bility applies to </w:t>
      </w:r>
      <w:r w:rsidR="00B70F01">
        <w:t>paragraph (</w:t>
      </w:r>
      <w:r>
        <w:t>1)</w:t>
      </w:r>
      <w:r w:rsidRPr="005806D0">
        <w:t>(a)</w:t>
      </w:r>
      <w:r w:rsidR="008C180A">
        <w:t>.</w:t>
      </w:r>
    </w:p>
    <w:p w14:paraId="25D1F630" w14:textId="77777777" w:rsidR="00A36E2E" w:rsidRPr="00005DD3" w:rsidRDefault="008C180A" w:rsidP="0042664D">
      <w:pPr>
        <w:pStyle w:val="ActHead5"/>
      </w:pPr>
      <w:bookmarkStart w:id="24" w:name="_Toc75515686"/>
      <w:r w:rsidRPr="000E6E32">
        <w:rPr>
          <w:rStyle w:val="CharSectno"/>
        </w:rPr>
        <w:t>65E</w:t>
      </w:r>
      <w:r w:rsidR="00A36E2E" w:rsidRPr="00005DD3">
        <w:t xml:space="preserve">  Trust may carry out work if order is contravened</w:t>
      </w:r>
      <w:bookmarkEnd w:id="24"/>
    </w:p>
    <w:p w14:paraId="02DE610A" w14:textId="77777777" w:rsidR="00E83987" w:rsidRDefault="00A36E2E" w:rsidP="0042664D">
      <w:pPr>
        <w:pStyle w:val="subsection"/>
      </w:pPr>
      <w:r w:rsidRPr="00005DD3">
        <w:tab/>
        <w:t>(1)</w:t>
      </w:r>
      <w:r w:rsidRPr="00005DD3">
        <w:tab/>
        <w:t>If</w:t>
      </w:r>
      <w:r w:rsidR="00E83987">
        <w:t>:</w:t>
      </w:r>
    </w:p>
    <w:p w14:paraId="283D68B1" w14:textId="77777777" w:rsidR="00E83987" w:rsidRDefault="00E83987" w:rsidP="0042664D">
      <w:pPr>
        <w:pStyle w:val="paragraph"/>
      </w:pPr>
      <w:r>
        <w:tab/>
        <w:t>(a)</w:t>
      </w:r>
      <w:r>
        <w:tab/>
      </w:r>
      <w:r w:rsidR="00A36E2E" w:rsidRPr="00005DD3">
        <w:t xml:space="preserve">a person </w:t>
      </w:r>
      <w:r>
        <w:t xml:space="preserve">is given an order under section </w:t>
      </w:r>
      <w:r w:rsidR="008C180A">
        <w:t>65B</w:t>
      </w:r>
      <w:r>
        <w:t>; and</w:t>
      </w:r>
    </w:p>
    <w:p w14:paraId="56E620A6" w14:textId="77777777" w:rsidR="00E83987" w:rsidRDefault="00E83987" w:rsidP="0042664D">
      <w:pPr>
        <w:pStyle w:val="paragraph"/>
      </w:pPr>
      <w:r>
        <w:tab/>
        <w:t>(b)</w:t>
      </w:r>
      <w:r>
        <w:tab/>
        <w:t xml:space="preserve">the person </w:t>
      </w:r>
      <w:r w:rsidR="00A36E2E" w:rsidRPr="00005DD3">
        <w:t xml:space="preserve">fails to comply with </w:t>
      </w:r>
      <w:r>
        <w:t xml:space="preserve">the </w:t>
      </w:r>
      <w:r w:rsidR="00A36E2E" w:rsidRPr="00005DD3">
        <w:t>orde</w:t>
      </w:r>
      <w:r>
        <w:t>r;</w:t>
      </w:r>
    </w:p>
    <w:p w14:paraId="557F62AF" w14:textId="77777777" w:rsidR="00A36E2E" w:rsidRPr="00005DD3" w:rsidRDefault="00A36E2E" w:rsidP="0042664D">
      <w:pPr>
        <w:pStyle w:val="subsection2"/>
      </w:pPr>
      <w:r w:rsidRPr="00005DD3">
        <w:t>the Trust may do anything necessary or convenient to give effect to the order, including any work required by the order</w:t>
      </w:r>
      <w:r w:rsidR="008C180A">
        <w:t>.</w:t>
      </w:r>
    </w:p>
    <w:p w14:paraId="12F9C060" w14:textId="77777777" w:rsidR="00067E8F" w:rsidRDefault="00067E8F" w:rsidP="0042664D">
      <w:pPr>
        <w:pStyle w:val="subsection"/>
      </w:pPr>
      <w:r>
        <w:tab/>
        <w:t>(</w:t>
      </w:r>
      <w:r w:rsidR="00816830">
        <w:t>2</w:t>
      </w:r>
      <w:r>
        <w:t>)</w:t>
      </w:r>
      <w:r>
        <w:tab/>
      </w:r>
      <w:r w:rsidR="00E83987">
        <w:t xml:space="preserve">If the Trust incurs costs because of </w:t>
      </w:r>
      <w:r w:rsidR="00E83987" w:rsidRPr="00282C00">
        <w:t>anything</w:t>
      </w:r>
      <w:r w:rsidR="00E83987">
        <w:t xml:space="preserve"> done under </w:t>
      </w:r>
      <w:r w:rsidR="00FC771D">
        <w:t>subsection (</w:t>
      </w:r>
      <w:r w:rsidR="00E83987">
        <w:t xml:space="preserve">1), the person is liable to pay to the Trust, on behalf of the Commonwealth, </w:t>
      </w:r>
      <w:r w:rsidR="00B158A1">
        <w:t>an amount equal to so much of those costs as are reasonable</w:t>
      </w:r>
      <w:r w:rsidR="008C180A">
        <w:t>.</w:t>
      </w:r>
    </w:p>
    <w:p w14:paraId="1255CC77" w14:textId="77777777" w:rsidR="00B158A1" w:rsidRDefault="00B158A1" w:rsidP="0042664D">
      <w:pPr>
        <w:pStyle w:val="subsection"/>
      </w:pPr>
      <w:r>
        <w:tab/>
        <w:t>(</w:t>
      </w:r>
      <w:r w:rsidR="00816830">
        <w:t>3</w:t>
      </w:r>
      <w:r>
        <w:t>)</w:t>
      </w:r>
      <w:r>
        <w:tab/>
        <w:t xml:space="preserve">An amount under </w:t>
      </w:r>
      <w:r w:rsidR="00FC771D">
        <w:t>subsection (</w:t>
      </w:r>
      <w:r w:rsidR="007A4A2E">
        <w:t>2</w:t>
      </w:r>
      <w:r>
        <w:t>) may be recovered by the Trust as a debt due to the Trust, on behalf of the Commonwealth, in:</w:t>
      </w:r>
    </w:p>
    <w:p w14:paraId="00919D71" w14:textId="77777777" w:rsidR="00B158A1" w:rsidRDefault="00B158A1" w:rsidP="0042664D">
      <w:pPr>
        <w:pStyle w:val="paragraph"/>
      </w:pPr>
      <w:r>
        <w:lastRenderedPageBreak/>
        <w:tab/>
        <w:t>(a)</w:t>
      </w:r>
      <w:r>
        <w:tab/>
        <w:t>the Federal Court of Australia; or</w:t>
      </w:r>
    </w:p>
    <w:p w14:paraId="6D51B1F8" w14:textId="77777777" w:rsidR="00B158A1" w:rsidRDefault="00B158A1" w:rsidP="0042664D">
      <w:pPr>
        <w:pStyle w:val="paragraph"/>
      </w:pPr>
      <w:r>
        <w:tab/>
        <w:t>(b)</w:t>
      </w:r>
      <w:r>
        <w:tab/>
      </w:r>
      <w:r w:rsidR="00FF5836" w:rsidRPr="003E2A97">
        <w:t>the Federal Circuit Court of Australia</w:t>
      </w:r>
      <w:r w:rsidR="00FF5836">
        <w:t>; or</w:t>
      </w:r>
    </w:p>
    <w:p w14:paraId="72256097" w14:textId="77777777" w:rsidR="00B158A1" w:rsidRDefault="00B158A1" w:rsidP="0042664D">
      <w:pPr>
        <w:pStyle w:val="paragraph"/>
      </w:pPr>
      <w:r>
        <w:tab/>
        <w:t>(c)</w:t>
      </w:r>
      <w:r>
        <w:tab/>
      </w:r>
      <w:r w:rsidRPr="00B158A1">
        <w:t>a court of a State or Territory that has jurisdiction in relation to the matter</w:t>
      </w:r>
      <w:r w:rsidR="008C180A">
        <w:t>.</w:t>
      </w:r>
    </w:p>
    <w:p w14:paraId="1EF78302" w14:textId="77777777" w:rsidR="00A36E2E" w:rsidRPr="00005DD3" w:rsidRDefault="00A36E2E" w:rsidP="0042664D">
      <w:pPr>
        <w:pStyle w:val="subsection"/>
      </w:pPr>
      <w:r w:rsidRPr="00005DD3">
        <w:tab/>
        <w:t>(</w:t>
      </w:r>
      <w:r w:rsidR="00816830">
        <w:t>4</w:t>
      </w:r>
      <w:r w:rsidRPr="00005DD3">
        <w:t>)</w:t>
      </w:r>
      <w:r w:rsidRPr="00005DD3">
        <w:tab/>
      </w:r>
      <w:r w:rsidR="00CB07DB" w:rsidRPr="00005DD3">
        <w:t>The Trust may destroy or otherwise dispose of a</w:t>
      </w:r>
      <w:r w:rsidRPr="00005DD3">
        <w:t>ny structure, materials or other thing removed under t</w:t>
      </w:r>
      <w:r w:rsidR="00CB07DB" w:rsidRPr="00005DD3">
        <w:t>his section</w:t>
      </w:r>
      <w:r w:rsidR="008C180A">
        <w:t>.</w:t>
      </w:r>
    </w:p>
    <w:p w14:paraId="1869AAD6" w14:textId="77777777" w:rsidR="00A36E2E" w:rsidRDefault="00A36E2E" w:rsidP="0042664D">
      <w:pPr>
        <w:pStyle w:val="subsection"/>
      </w:pPr>
      <w:r w:rsidRPr="00005DD3">
        <w:tab/>
        <w:t>(</w:t>
      </w:r>
      <w:r w:rsidR="00816830">
        <w:t>5</w:t>
      </w:r>
      <w:r w:rsidRPr="00005DD3">
        <w:t>)</w:t>
      </w:r>
      <w:r w:rsidRPr="00005DD3">
        <w:tab/>
        <w:t>The Trust may exercise its functions</w:t>
      </w:r>
      <w:r w:rsidR="00DB07F2">
        <w:t xml:space="preserve"> </w:t>
      </w:r>
      <w:r w:rsidR="00DB07F2" w:rsidRPr="00E35742">
        <w:t>or powers</w:t>
      </w:r>
      <w:r w:rsidRPr="00005DD3">
        <w:t xml:space="preserve"> under this section whether or not the person </w:t>
      </w:r>
      <w:r w:rsidR="00CB07DB" w:rsidRPr="00005DD3">
        <w:t xml:space="preserve">referred to in </w:t>
      </w:r>
      <w:r w:rsidR="00FC771D">
        <w:t>subsection (</w:t>
      </w:r>
      <w:r w:rsidR="00CB07DB" w:rsidRPr="00005DD3">
        <w:t>1)</w:t>
      </w:r>
      <w:r w:rsidRPr="00005DD3">
        <w:t xml:space="preserve"> has been prosecuted for an offence under section </w:t>
      </w:r>
      <w:r w:rsidR="008C180A">
        <w:t>65D.</w:t>
      </w:r>
    </w:p>
    <w:p w14:paraId="28CB95AE" w14:textId="77777777" w:rsidR="00583A0F" w:rsidRPr="00005DD3" w:rsidRDefault="008C180A" w:rsidP="0042664D">
      <w:pPr>
        <w:pStyle w:val="ActHead5"/>
      </w:pPr>
      <w:bookmarkStart w:id="25" w:name="_Toc75515687"/>
      <w:r w:rsidRPr="000E6E32">
        <w:rPr>
          <w:rStyle w:val="CharSectno"/>
        </w:rPr>
        <w:t>65F</w:t>
      </w:r>
      <w:r w:rsidR="00583A0F" w:rsidRPr="00005DD3">
        <w:t xml:space="preserve">  Infringement notices</w:t>
      </w:r>
      <w:bookmarkEnd w:id="25"/>
    </w:p>
    <w:p w14:paraId="253A080F" w14:textId="77777777" w:rsidR="00583A0F" w:rsidRPr="00005DD3" w:rsidRDefault="00583A0F" w:rsidP="0042664D">
      <w:pPr>
        <w:pStyle w:val="SubsectionHead"/>
      </w:pPr>
      <w:r w:rsidRPr="00005DD3">
        <w:t>Provisions subject to an infringement notice</w:t>
      </w:r>
    </w:p>
    <w:p w14:paraId="3E53E4BE" w14:textId="77777777" w:rsidR="00583A0F" w:rsidRPr="00005DD3" w:rsidRDefault="00583A0F" w:rsidP="0042664D">
      <w:pPr>
        <w:pStyle w:val="subsection"/>
      </w:pPr>
      <w:r w:rsidRPr="00005DD3">
        <w:tab/>
        <w:t>(1)</w:t>
      </w:r>
      <w:r w:rsidRPr="00005DD3">
        <w:tab/>
        <w:t>A strict liability offence against this Act</w:t>
      </w:r>
      <w:r w:rsidR="00D0145B">
        <w:t xml:space="preserve"> or the regulations</w:t>
      </w:r>
      <w:r w:rsidRPr="00005DD3">
        <w:t xml:space="preserve"> is subject to an infringement notice under </w:t>
      </w:r>
      <w:r w:rsidR="0077578E">
        <w:t>Part 5</w:t>
      </w:r>
      <w:r w:rsidRPr="00005DD3">
        <w:t xml:space="preserve"> of the Regulatory Powers Act</w:t>
      </w:r>
      <w:r w:rsidR="008C180A">
        <w:t>.</w:t>
      </w:r>
    </w:p>
    <w:p w14:paraId="337B16D4" w14:textId="77777777" w:rsidR="007543AC" w:rsidRPr="00005DD3" w:rsidRDefault="00583A0F" w:rsidP="0042664D">
      <w:pPr>
        <w:pStyle w:val="notetext"/>
      </w:pPr>
      <w:r w:rsidRPr="00005DD3">
        <w:t>Note:</w:t>
      </w:r>
      <w:r w:rsidRPr="00005DD3">
        <w:tab/>
      </w:r>
      <w:r w:rsidR="0077578E">
        <w:t>Part 5</w:t>
      </w:r>
      <w:r w:rsidRPr="00005DD3">
        <w:t xml:space="preserve"> of the Regulatory Powers </w:t>
      </w:r>
      <w:r w:rsidRPr="00005DD3">
        <w:rPr>
          <w:lang w:eastAsia="en-US"/>
        </w:rPr>
        <w:t>Act creates a framework for using infringement notices in re</w:t>
      </w:r>
      <w:r w:rsidR="007543AC" w:rsidRPr="00005DD3">
        <w:t>lation to provisions</w:t>
      </w:r>
      <w:r w:rsidR="008C180A">
        <w:t>.</w:t>
      </w:r>
    </w:p>
    <w:p w14:paraId="142799A3" w14:textId="77777777" w:rsidR="00583A0F" w:rsidRPr="00005DD3" w:rsidRDefault="00583A0F" w:rsidP="0042664D">
      <w:pPr>
        <w:pStyle w:val="SubsectionHead"/>
      </w:pPr>
      <w:r w:rsidRPr="00005DD3">
        <w:t>Infringement officer</w:t>
      </w:r>
    </w:p>
    <w:p w14:paraId="4E3DB4CA" w14:textId="77777777" w:rsidR="00583A0F" w:rsidRPr="00005DD3" w:rsidRDefault="00583A0F" w:rsidP="0042664D">
      <w:pPr>
        <w:pStyle w:val="subsection"/>
      </w:pPr>
      <w:r w:rsidRPr="00005DD3">
        <w:tab/>
        <w:t>(2)</w:t>
      </w:r>
      <w:r w:rsidRPr="00005DD3">
        <w:tab/>
        <w:t xml:space="preserve">For the purposes of </w:t>
      </w:r>
      <w:r w:rsidR="0077578E">
        <w:t>Part 5</w:t>
      </w:r>
      <w:r w:rsidRPr="00005DD3">
        <w:t xml:space="preserve"> of the Regulatory Powers Act, </w:t>
      </w:r>
      <w:r w:rsidR="006D67F6" w:rsidRPr="00005DD3">
        <w:t>a ranger (within the meaning of the regulations)</w:t>
      </w:r>
      <w:r w:rsidRPr="00005DD3">
        <w:t xml:space="preserve"> is an infringement officer in relation to the provisions mentioned in </w:t>
      </w:r>
      <w:r w:rsidR="00FC771D">
        <w:t>subsection (</w:t>
      </w:r>
      <w:r w:rsidR="006D67F6" w:rsidRPr="00005DD3">
        <w:t>1)</w:t>
      </w:r>
      <w:r w:rsidR="008C180A">
        <w:t>.</w:t>
      </w:r>
    </w:p>
    <w:p w14:paraId="304D9A87" w14:textId="77777777" w:rsidR="00583A0F" w:rsidRPr="00005DD3" w:rsidRDefault="00583A0F" w:rsidP="0042664D">
      <w:pPr>
        <w:pStyle w:val="SubsectionHead"/>
      </w:pPr>
      <w:r w:rsidRPr="00005DD3">
        <w:t>Relevant chief executive</w:t>
      </w:r>
    </w:p>
    <w:p w14:paraId="2C2DEB29" w14:textId="77777777" w:rsidR="00583A0F" w:rsidRPr="00005DD3" w:rsidRDefault="00583A0F" w:rsidP="0042664D">
      <w:pPr>
        <w:pStyle w:val="subsection"/>
      </w:pPr>
      <w:r w:rsidRPr="00005DD3">
        <w:tab/>
        <w:t>(3)</w:t>
      </w:r>
      <w:r w:rsidRPr="00005DD3">
        <w:tab/>
        <w:t xml:space="preserve">For the purposes of </w:t>
      </w:r>
      <w:r w:rsidR="0077578E">
        <w:t>Part 5</w:t>
      </w:r>
      <w:r w:rsidRPr="00005DD3">
        <w:t xml:space="preserve"> of the Regulatory Powers Act, the Executive Director is the relevant chief executive in relation to the provisions mentioned in </w:t>
      </w:r>
      <w:r w:rsidR="00FC771D">
        <w:t>subsection (</w:t>
      </w:r>
      <w:r w:rsidRPr="00005DD3">
        <w:t>1)</w:t>
      </w:r>
      <w:r w:rsidR="008C180A">
        <w:t>.</w:t>
      </w:r>
    </w:p>
    <w:p w14:paraId="78A34D9F" w14:textId="77777777" w:rsidR="00583A0F" w:rsidRPr="00005DD3" w:rsidRDefault="00583A0F" w:rsidP="0042664D">
      <w:pPr>
        <w:pStyle w:val="subsection"/>
      </w:pPr>
      <w:r w:rsidRPr="00005DD3">
        <w:tab/>
        <w:t>(4)</w:t>
      </w:r>
      <w:r w:rsidRPr="00005DD3">
        <w:tab/>
        <w:t xml:space="preserve">The relevant chief executive may, in writing, delegate the powers and functions mentioned in </w:t>
      </w:r>
      <w:r w:rsidR="00FC771D">
        <w:t>subsection (</w:t>
      </w:r>
      <w:r w:rsidR="00CB1A72" w:rsidRPr="00005DD3">
        <w:t xml:space="preserve">5) to </w:t>
      </w:r>
      <w:r w:rsidRPr="00005DD3">
        <w:t>a Trust officer (within the meaning of the regulations)</w:t>
      </w:r>
      <w:r w:rsidR="008C180A">
        <w:t>.</w:t>
      </w:r>
    </w:p>
    <w:p w14:paraId="2BE5C2C6" w14:textId="77777777" w:rsidR="00583A0F" w:rsidRPr="00005DD3" w:rsidRDefault="00583A0F" w:rsidP="0042664D">
      <w:pPr>
        <w:pStyle w:val="subsection"/>
      </w:pPr>
      <w:r w:rsidRPr="00005DD3">
        <w:tab/>
        <w:t>(5)</w:t>
      </w:r>
      <w:r w:rsidRPr="00005DD3">
        <w:tab/>
        <w:t>The powers and functions that may be delegated are</w:t>
      </w:r>
      <w:r w:rsidR="00316E4E" w:rsidRPr="00005DD3">
        <w:t xml:space="preserve"> the powers and functions of the relevant chief executive under the following</w:t>
      </w:r>
      <w:r w:rsidR="00C20886" w:rsidRPr="00005DD3">
        <w:t xml:space="preserve"> provisions of the Regulatory Powers Act</w:t>
      </w:r>
      <w:r w:rsidRPr="00005DD3">
        <w:t>:</w:t>
      </w:r>
    </w:p>
    <w:p w14:paraId="286E0311" w14:textId="77777777" w:rsidR="00316E4E" w:rsidRPr="00005DD3" w:rsidRDefault="00583A0F" w:rsidP="0042664D">
      <w:pPr>
        <w:pStyle w:val="paragraph"/>
      </w:pPr>
      <w:r w:rsidRPr="00005DD3">
        <w:tab/>
        <w:t>(a)</w:t>
      </w:r>
      <w:r w:rsidRPr="00005DD3">
        <w:tab/>
      </w:r>
      <w:r w:rsidR="00FB7848">
        <w:t>section 1</w:t>
      </w:r>
      <w:r w:rsidR="00316E4E" w:rsidRPr="00005DD3">
        <w:t xml:space="preserve">05 </w:t>
      </w:r>
      <w:r w:rsidR="00C20886" w:rsidRPr="00005DD3">
        <w:t>(extension of time to pay amount)</w:t>
      </w:r>
      <w:r w:rsidR="00316E4E" w:rsidRPr="00005DD3">
        <w:t>;</w:t>
      </w:r>
    </w:p>
    <w:p w14:paraId="1F78748D" w14:textId="77777777" w:rsidR="00583A0F" w:rsidRPr="00005DD3" w:rsidRDefault="00583A0F" w:rsidP="0042664D">
      <w:pPr>
        <w:pStyle w:val="paragraph"/>
      </w:pPr>
      <w:r w:rsidRPr="00005DD3">
        <w:tab/>
        <w:t>(b)</w:t>
      </w:r>
      <w:r w:rsidRPr="00005DD3">
        <w:tab/>
      </w:r>
      <w:r w:rsidR="00FB7848">
        <w:t>section 1</w:t>
      </w:r>
      <w:r w:rsidR="00316E4E" w:rsidRPr="00005DD3">
        <w:t xml:space="preserve">06 </w:t>
      </w:r>
      <w:r w:rsidR="00C20886" w:rsidRPr="00005DD3">
        <w:t>(withdrawal of an infringement notice)</w:t>
      </w:r>
      <w:r w:rsidR="008C180A">
        <w:t>.</w:t>
      </w:r>
    </w:p>
    <w:p w14:paraId="6B1C02BD" w14:textId="77777777" w:rsidR="00583A0F" w:rsidRPr="00005DD3" w:rsidRDefault="00583A0F" w:rsidP="0042664D">
      <w:pPr>
        <w:pStyle w:val="subsection"/>
      </w:pPr>
      <w:r w:rsidRPr="00005DD3">
        <w:lastRenderedPageBreak/>
        <w:tab/>
        <w:t>(6)</w:t>
      </w:r>
      <w:r w:rsidRPr="00005DD3">
        <w:tab/>
        <w:t xml:space="preserve">A person exercising powers or performing functions under a delegation under </w:t>
      </w:r>
      <w:r w:rsidR="00FC771D">
        <w:t>subsection (</w:t>
      </w:r>
      <w:r w:rsidRPr="00005DD3">
        <w:t>4) must comply with any directions of the relevant chief executive</w:t>
      </w:r>
      <w:r w:rsidR="008C180A">
        <w:t>.</w:t>
      </w:r>
    </w:p>
    <w:p w14:paraId="2CA1EB5F" w14:textId="77777777" w:rsidR="00583A0F" w:rsidRPr="00005DD3" w:rsidRDefault="00DD6969" w:rsidP="0042664D">
      <w:pPr>
        <w:pStyle w:val="SubsectionHead"/>
      </w:pPr>
      <w:r w:rsidRPr="00005DD3">
        <w:t>M</w:t>
      </w:r>
      <w:r w:rsidR="00583A0F" w:rsidRPr="00005DD3">
        <w:t>atters to be included in infringement notices</w:t>
      </w:r>
    </w:p>
    <w:p w14:paraId="5ACF65C4" w14:textId="77777777" w:rsidR="00583A0F" w:rsidRDefault="00583A0F" w:rsidP="0042664D">
      <w:pPr>
        <w:pStyle w:val="subsection"/>
      </w:pPr>
      <w:r w:rsidRPr="00005DD3">
        <w:tab/>
        <w:t>(7)</w:t>
      </w:r>
      <w:r w:rsidRPr="00005DD3">
        <w:tab/>
      </w:r>
      <w:r w:rsidR="0077578E">
        <w:t>Paragraph 1</w:t>
      </w:r>
      <w:r w:rsidRPr="00005DD3">
        <w:t xml:space="preserve">04(1)(c) of the Regulatory Powers Act does not apply in relation to an infringement notice for an alleged contravention of a provision mentioned in </w:t>
      </w:r>
      <w:r w:rsidR="00FC771D">
        <w:t>subsection (</w:t>
      </w:r>
      <w:r w:rsidRPr="00005DD3">
        <w:t>1) i</w:t>
      </w:r>
      <w:r w:rsidR="003226BF" w:rsidRPr="00005DD3">
        <w:t xml:space="preserve">nvolving a vehicle or a vessel </w:t>
      </w:r>
      <w:r w:rsidRPr="00005DD3">
        <w:t>(within the meaning of the regulations) if the notice is served i</w:t>
      </w:r>
      <w:r w:rsidR="008D747B" w:rsidRPr="00005DD3">
        <w:t>n accordance with paragraph </w:t>
      </w:r>
      <w:r w:rsidR="008C180A">
        <w:t>65G</w:t>
      </w:r>
      <w:r w:rsidRPr="00005DD3">
        <w:t>(1)(b) of this Act</w:t>
      </w:r>
      <w:r w:rsidR="008C180A">
        <w:t>.</w:t>
      </w:r>
    </w:p>
    <w:p w14:paraId="617FEA44" w14:textId="77777777" w:rsidR="00634DA7" w:rsidRDefault="00634DA7" w:rsidP="0042664D">
      <w:pPr>
        <w:pStyle w:val="subsection"/>
      </w:pPr>
      <w:r>
        <w:tab/>
        <w:t>(</w:t>
      </w:r>
      <w:r w:rsidR="001B4E07">
        <w:t>8</w:t>
      </w:r>
      <w:r>
        <w:t>)</w:t>
      </w:r>
      <w:r>
        <w:tab/>
      </w:r>
      <w:r w:rsidR="0077578E">
        <w:t>Paragraph 1</w:t>
      </w:r>
      <w:r>
        <w:t xml:space="preserve">04(1)(d) of the Regulatory Powers Act does not apply </w:t>
      </w:r>
      <w:r w:rsidRPr="00005DD3">
        <w:t xml:space="preserve">in relation to an infringement notice for an alleged contravention of a provision mentioned in </w:t>
      </w:r>
      <w:r w:rsidR="00FC771D">
        <w:t>subsection (</w:t>
      </w:r>
      <w:r w:rsidRPr="00005DD3">
        <w:t>1)</w:t>
      </w:r>
      <w:r>
        <w:t xml:space="preserve"> to the extent that paragraph requires the infringement notice to state the name </w:t>
      </w:r>
      <w:r w:rsidRPr="0061694C">
        <w:t>and contact details</w:t>
      </w:r>
      <w:r>
        <w:t xml:space="preserve"> of the person who gave the notice</w:t>
      </w:r>
      <w:r w:rsidR="008C180A">
        <w:t>.</w:t>
      </w:r>
    </w:p>
    <w:p w14:paraId="034B1949" w14:textId="77777777" w:rsidR="00583A0F" w:rsidRPr="00005DD3" w:rsidRDefault="001B4E07" w:rsidP="0042664D">
      <w:pPr>
        <w:pStyle w:val="subsection"/>
      </w:pPr>
      <w:r>
        <w:tab/>
        <w:t>(9</w:t>
      </w:r>
      <w:r w:rsidR="00583A0F" w:rsidRPr="00005DD3">
        <w:t>)</w:t>
      </w:r>
      <w:r w:rsidR="00583A0F" w:rsidRPr="00005DD3">
        <w:tab/>
        <w:t xml:space="preserve">In addition to the matters included in </w:t>
      </w:r>
      <w:r w:rsidR="00FB7848">
        <w:t>subsection 1</w:t>
      </w:r>
      <w:r w:rsidR="00583A0F" w:rsidRPr="00005DD3">
        <w:t xml:space="preserve">04(1) of the Regulatory Powers Act, an infringement notice given in relation to an alleged contravention of a provision mentioned in </w:t>
      </w:r>
      <w:r w:rsidR="00FC771D">
        <w:t>subsection (</w:t>
      </w:r>
      <w:r w:rsidR="00583A0F" w:rsidRPr="00005DD3">
        <w:t>1) must also include the following:</w:t>
      </w:r>
    </w:p>
    <w:p w14:paraId="7315AC2E" w14:textId="77777777" w:rsidR="00583A0F" w:rsidRDefault="00615874" w:rsidP="0042664D">
      <w:pPr>
        <w:pStyle w:val="paragraph"/>
      </w:pPr>
      <w:r w:rsidRPr="00005DD3">
        <w:tab/>
        <w:t>(a)</w:t>
      </w:r>
      <w:r w:rsidRPr="00005DD3">
        <w:tab/>
        <w:t>the ranger identification number (within the meaning of the regulations) of the infringement officer who issued the notice</w:t>
      </w:r>
      <w:r w:rsidR="00583A0F" w:rsidRPr="00005DD3">
        <w:t>;</w:t>
      </w:r>
    </w:p>
    <w:p w14:paraId="217B566E" w14:textId="77777777" w:rsidR="00634DA7" w:rsidRPr="00005DD3" w:rsidRDefault="00634DA7" w:rsidP="0042664D">
      <w:pPr>
        <w:pStyle w:val="paragraph"/>
      </w:pPr>
      <w:r>
        <w:tab/>
        <w:t>(</w:t>
      </w:r>
      <w:r w:rsidR="001B4E07">
        <w:t>b</w:t>
      </w:r>
      <w:r>
        <w:t>)</w:t>
      </w:r>
      <w:r>
        <w:tab/>
        <w:t xml:space="preserve">the </w:t>
      </w:r>
      <w:r w:rsidR="0061694C">
        <w:t xml:space="preserve">contact details of </w:t>
      </w:r>
      <w:r w:rsidR="00B06077">
        <w:t xml:space="preserve">the </w:t>
      </w:r>
      <w:r w:rsidR="004F4FE1" w:rsidRPr="00B06077">
        <w:t>relevant chief executive</w:t>
      </w:r>
      <w:r w:rsidRPr="00005DD3">
        <w:t>;</w:t>
      </w:r>
    </w:p>
    <w:p w14:paraId="13AF6BCB" w14:textId="77777777" w:rsidR="002A3F0F" w:rsidRPr="00005DD3" w:rsidRDefault="001B4E07" w:rsidP="0042664D">
      <w:pPr>
        <w:pStyle w:val="paragraph"/>
      </w:pPr>
      <w:r>
        <w:tab/>
        <w:t>(c</w:t>
      </w:r>
      <w:r w:rsidR="002A3F0F" w:rsidRPr="00005DD3">
        <w:t>)</w:t>
      </w:r>
      <w:r w:rsidR="002A3F0F" w:rsidRPr="00005DD3">
        <w:tab/>
        <w:t xml:space="preserve">if a vehicle or </w:t>
      </w:r>
      <w:r w:rsidR="00D00D58" w:rsidRPr="00005DD3">
        <w:t xml:space="preserve">a </w:t>
      </w:r>
      <w:r w:rsidR="002A3F0F" w:rsidRPr="00005DD3">
        <w:t xml:space="preserve">vessel (within the meaning of the regulations) was involved in the alleged </w:t>
      </w:r>
      <w:r w:rsidR="00135D1C" w:rsidRPr="00005DD3">
        <w:t>contravention</w:t>
      </w:r>
      <w:r w:rsidR="002A3F0F" w:rsidRPr="00005DD3">
        <w:t>—the registration number of the vehicle or vessel;</w:t>
      </w:r>
    </w:p>
    <w:p w14:paraId="4BC6F634" w14:textId="77777777" w:rsidR="002A3F0F" w:rsidRDefault="001B4E07" w:rsidP="0042664D">
      <w:pPr>
        <w:pStyle w:val="paragraph"/>
      </w:pPr>
      <w:r>
        <w:tab/>
        <w:t>(d</w:t>
      </w:r>
      <w:r w:rsidR="002A3F0F" w:rsidRPr="00005DD3">
        <w:t>)</w:t>
      </w:r>
      <w:r w:rsidR="002A3F0F" w:rsidRPr="00005DD3">
        <w:tab/>
      </w:r>
      <w:r w:rsidR="00135D1C" w:rsidRPr="00005DD3">
        <w:t xml:space="preserve">any other information that </w:t>
      </w:r>
      <w:r w:rsidR="003C04A8">
        <w:t xml:space="preserve">the </w:t>
      </w:r>
      <w:r w:rsidR="00652B7F" w:rsidRPr="00005DD3">
        <w:t>relevant chief executive</w:t>
      </w:r>
      <w:r w:rsidR="00135D1C" w:rsidRPr="00005DD3">
        <w:t xml:space="preserve"> considers necessary</w:t>
      </w:r>
      <w:r w:rsidR="008C180A">
        <w:t>.</w:t>
      </w:r>
    </w:p>
    <w:p w14:paraId="2AE01038" w14:textId="77777777" w:rsidR="00583A0F" w:rsidRPr="00005DD3" w:rsidRDefault="008C180A" w:rsidP="0042664D">
      <w:pPr>
        <w:pStyle w:val="ActHead5"/>
      </w:pPr>
      <w:bookmarkStart w:id="26" w:name="_Toc75515688"/>
      <w:r w:rsidRPr="000E6E32">
        <w:rPr>
          <w:rStyle w:val="CharSectno"/>
        </w:rPr>
        <w:t>65G</w:t>
      </w:r>
      <w:r w:rsidR="00583A0F" w:rsidRPr="00005DD3">
        <w:t xml:space="preserve">  Infringement notices—serving notices for contraventions involving vehicles or vessels</w:t>
      </w:r>
      <w:bookmarkEnd w:id="26"/>
    </w:p>
    <w:p w14:paraId="70DAFA53" w14:textId="77777777" w:rsidR="00583A0F" w:rsidRPr="00005DD3" w:rsidRDefault="00583A0F" w:rsidP="0042664D">
      <w:pPr>
        <w:pStyle w:val="subsection"/>
      </w:pPr>
      <w:r w:rsidRPr="00005DD3">
        <w:tab/>
        <w:t>(1)</w:t>
      </w:r>
      <w:r w:rsidRPr="00005DD3">
        <w:tab/>
        <w:t xml:space="preserve">For an alleged contravention of a provision mentioned in </w:t>
      </w:r>
      <w:r w:rsidR="008D747B" w:rsidRPr="00005DD3">
        <w:t>subsection </w:t>
      </w:r>
      <w:r w:rsidR="008C180A">
        <w:t>65F</w:t>
      </w:r>
      <w:r w:rsidRPr="00005DD3">
        <w:t>(1) i</w:t>
      </w:r>
      <w:r w:rsidR="003226BF" w:rsidRPr="00005DD3">
        <w:t xml:space="preserve">nvolving a vehicle or a vessel </w:t>
      </w:r>
      <w:r w:rsidRPr="00005DD3">
        <w:t>(within the meaning of the regulations), an infringement notice may be served:</w:t>
      </w:r>
    </w:p>
    <w:p w14:paraId="1BC23505" w14:textId="77777777" w:rsidR="00583A0F" w:rsidRPr="00005DD3" w:rsidRDefault="00583A0F" w:rsidP="0042664D">
      <w:pPr>
        <w:pStyle w:val="paragraph"/>
      </w:pPr>
      <w:r w:rsidRPr="00005DD3">
        <w:tab/>
        <w:t>(a)</w:t>
      </w:r>
      <w:r w:rsidRPr="00005DD3">
        <w:tab/>
        <w:t>personally on a person who appears to be in charge of the vehicle or vessel; or</w:t>
      </w:r>
    </w:p>
    <w:p w14:paraId="0478C5D4" w14:textId="77777777" w:rsidR="00583A0F" w:rsidRPr="00005DD3" w:rsidRDefault="00583A0F" w:rsidP="0042664D">
      <w:pPr>
        <w:pStyle w:val="paragraph"/>
      </w:pPr>
      <w:r w:rsidRPr="00005DD3">
        <w:lastRenderedPageBreak/>
        <w:tab/>
        <w:t>(b)</w:t>
      </w:r>
      <w:r w:rsidRPr="00005DD3">
        <w:tab/>
        <w:t>by securely placing the notice on the vehicle or vessel in a conspicuous place; or</w:t>
      </w:r>
    </w:p>
    <w:p w14:paraId="284A14A8" w14:textId="77777777" w:rsidR="00583A0F" w:rsidRPr="00005DD3" w:rsidRDefault="00583A0F" w:rsidP="0042664D">
      <w:pPr>
        <w:pStyle w:val="paragraph"/>
      </w:pPr>
      <w:r w:rsidRPr="00005DD3">
        <w:tab/>
        <w:t>(c)</w:t>
      </w:r>
      <w:r w:rsidRPr="00005DD3">
        <w:tab/>
        <w:t>by posting it to the address of the person who is registered as the owner or operator of the vehicle or vessel; or</w:t>
      </w:r>
    </w:p>
    <w:p w14:paraId="3D07452D" w14:textId="77777777" w:rsidR="00583A0F" w:rsidRPr="00005DD3" w:rsidRDefault="00583A0F" w:rsidP="0042664D">
      <w:pPr>
        <w:pStyle w:val="paragraph"/>
      </w:pPr>
      <w:r w:rsidRPr="00005DD3">
        <w:tab/>
        <w:t>(d)</w:t>
      </w:r>
      <w:r w:rsidRPr="00005DD3">
        <w:tab/>
        <w:t xml:space="preserve">if a statutory declaration has been given to a Trust officer under the regulations naming a person as </w:t>
      </w:r>
      <w:r w:rsidR="00D00D58" w:rsidRPr="00005DD3">
        <w:t xml:space="preserve">being in charge of the vehicle </w:t>
      </w:r>
      <w:r w:rsidRPr="00005DD3">
        <w:t>or vessel at the time of the alleged contravention—personally on that person, or by posting it to the address of the person given in the statutory declaration</w:t>
      </w:r>
      <w:r w:rsidR="008C180A">
        <w:t>.</w:t>
      </w:r>
    </w:p>
    <w:p w14:paraId="5AF5A883" w14:textId="77777777" w:rsidR="00A10E7C" w:rsidRPr="00005DD3" w:rsidRDefault="00A10E7C" w:rsidP="0042664D">
      <w:pPr>
        <w:pStyle w:val="subsection"/>
      </w:pPr>
      <w:r w:rsidRPr="00005DD3">
        <w:tab/>
        <w:t>(2)</w:t>
      </w:r>
      <w:r w:rsidRPr="00005DD3">
        <w:tab/>
        <w:t>A person commits an offence</w:t>
      </w:r>
      <w:r w:rsidR="00B6218E">
        <w:t xml:space="preserve"> of strict liability</w:t>
      </w:r>
      <w:r w:rsidRPr="00005DD3">
        <w:t xml:space="preserve"> if:</w:t>
      </w:r>
    </w:p>
    <w:p w14:paraId="1D4E8947" w14:textId="77777777" w:rsidR="00F02BBF" w:rsidRPr="00005DD3" w:rsidRDefault="00A10E7C" w:rsidP="0042664D">
      <w:pPr>
        <w:pStyle w:val="paragraph"/>
      </w:pPr>
      <w:r w:rsidRPr="00005DD3">
        <w:tab/>
        <w:t>(a)</w:t>
      </w:r>
      <w:r w:rsidRPr="00005DD3">
        <w:tab/>
      </w:r>
      <w:r w:rsidR="00F02BBF" w:rsidRPr="00005DD3">
        <w:t xml:space="preserve">an infringement notice is placed on a vehicle or vessel under </w:t>
      </w:r>
      <w:r w:rsidR="00B70F01">
        <w:t>paragraph (</w:t>
      </w:r>
      <w:r w:rsidR="00F02BBF" w:rsidRPr="00005DD3">
        <w:t>1)(b); and</w:t>
      </w:r>
    </w:p>
    <w:p w14:paraId="68F51A8B" w14:textId="77777777" w:rsidR="00A10E7C" w:rsidRPr="00005DD3" w:rsidRDefault="00F02BBF" w:rsidP="0042664D">
      <w:pPr>
        <w:pStyle w:val="paragraph"/>
      </w:pPr>
      <w:r w:rsidRPr="00005DD3">
        <w:tab/>
        <w:t>(b)</w:t>
      </w:r>
      <w:r w:rsidRPr="00005DD3">
        <w:tab/>
      </w:r>
      <w:r w:rsidR="00A10E7C" w:rsidRPr="00005DD3">
        <w:t xml:space="preserve">the person removes, defaces or interferes with </w:t>
      </w:r>
      <w:r w:rsidRPr="00005DD3">
        <w:t>the infringement notice</w:t>
      </w:r>
      <w:r w:rsidR="00A10E7C" w:rsidRPr="00005DD3">
        <w:t>; and</w:t>
      </w:r>
    </w:p>
    <w:p w14:paraId="1E0837B7" w14:textId="77777777" w:rsidR="00A10E7C" w:rsidRPr="00005DD3" w:rsidRDefault="00F02BBF" w:rsidP="0042664D">
      <w:pPr>
        <w:pStyle w:val="paragraph"/>
      </w:pPr>
      <w:r w:rsidRPr="00005DD3">
        <w:tab/>
        <w:t>(c</w:t>
      </w:r>
      <w:r w:rsidR="00A10E7C" w:rsidRPr="00005DD3">
        <w:t>)</w:t>
      </w:r>
      <w:r w:rsidR="00A10E7C" w:rsidRPr="00005DD3">
        <w:tab/>
        <w:t>the person is not:</w:t>
      </w:r>
    </w:p>
    <w:p w14:paraId="3C4E2C91" w14:textId="77777777" w:rsidR="00A10E7C" w:rsidRPr="00005DD3" w:rsidRDefault="00A10E7C" w:rsidP="0042664D">
      <w:pPr>
        <w:pStyle w:val="paragraphsub"/>
      </w:pPr>
      <w:r w:rsidRPr="00005DD3">
        <w:tab/>
        <w:t>(i)</w:t>
      </w:r>
      <w:r w:rsidRPr="00005DD3">
        <w:tab/>
        <w:t>in charge of the vehicle or vessel; or</w:t>
      </w:r>
    </w:p>
    <w:p w14:paraId="1E107C49" w14:textId="77777777" w:rsidR="00A10E7C" w:rsidRPr="00005DD3" w:rsidRDefault="00A10E7C" w:rsidP="0042664D">
      <w:pPr>
        <w:pStyle w:val="paragraphsub"/>
      </w:pPr>
      <w:r w:rsidRPr="00005DD3">
        <w:tab/>
        <w:t>(ii)</w:t>
      </w:r>
      <w:r w:rsidRPr="00005DD3">
        <w:tab/>
        <w:t>registered as the owner or operator of the vehicle or vessel; or</w:t>
      </w:r>
    </w:p>
    <w:p w14:paraId="797CCC8A" w14:textId="77777777" w:rsidR="00A10E7C" w:rsidRPr="00005DD3" w:rsidRDefault="00A10E7C" w:rsidP="0042664D">
      <w:pPr>
        <w:pStyle w:val="paragraphsub"/>
      </w:pPr>
      <w:r w:rsidRPr="00005DD3">
        <w:tab/>
        <w:t>(iii)</w:t>
      </w:r>
      <w:r w:rsidRPr="00005DD3">
        <w:tab/>
        <w:t>authorised to do so by the person in charge of the vehicle or vessel; or</w:t>
      </w:r>
    </w:p>
    <w:p w14:paraId="43BFCA09" w14:textId="77777777" w:rsidR="00A10E7C" w:rsidRPr="00005DD3" w:rsidRDefault="00A10E7C" w:rsidP="0042664D">
      <w:pPr>
        <w:pStyle w:val="paragraphsub"/>
      </w:pPr>
      <w:r w:rsidRPr="00005DD3">
        <w:tab/>
        <w:t>(iv)</w:t>
      </w:r>
      <w:r w:rsidRPr="00005DD3">
        <w:tab/>
        <w:t>authorised to do so by the person registered as the owner or operator of the vehicle or vessel</w:t>
      </w:r>
      <w:r w:rsidR="008C180A">
        <w:t>.</w:t>
      </w:r>
    </w:p>
    <w:p w14:paraId="2FB69782" w14:textId="77777777" w:rsidR="00F02BBF" w:rsidRPr="00B6218E" w:rsidRDefault="00A10E7C" w:rsidP="0042664D">
      <w:pPr>
        <w:pStyle w:val="Penalty"/>
        <w:rPr>
          <w:color w:val="000000"/>
        </w:rPr>
      </w:pPr>
      <w:r w:rsidRPr="00005DD3">
        <w:t>Penalty:</w:t>
      </w:r>
      <w:r w:rsidRPr="00005DD3">
        <w:tab/>
        <w:t>2</w:t>
      </w:r>
      <w:r w:rsidRPr="00005DD3">
        <w:rPr>
          <w:color w:val="000000"/>
        </w:rPr>
        <w:t xml:space="preserve"> penalty units</w:t>
      </w:r>
      <w:r w:rsidR="008C180A">
        <w:rPr>
          <w:color w:val="000000"/>
        </w:rPr>
        <w:t>.</w:t>
      </w:r>
    </w:p>
    <w:p w14:paraId="0ADF20B5" w14:textId="77777777" w:rsidR="00583A0F" w:rsidRPr="00005DD3" w:rsidRDefault="008C180A" w:rsidP="0042664D">
      <w:pPr>
        <w:pStyle w:val="ActHead5"/>
      </w:pPr>
      <w:bookmarkStart w:id="27" w:name="_Toc75515689"/>
      <w:r w:rsidRPr="000E6E32">
        <w:rPr>
          <w:rStyle w:val="CharSectno"/>
        </w:rPr>
        <w:t>65H</w:t>
      </w:r>
      <w:r w:rsidR="00583A0F" w:rsidRPr="00005DD3">
        <w:t xml:space="preserve">  Infringement notices—evidentiary certificates</w:t>
      </w:r>
      <w:bookmarkEnd w:id="27"/>
    </w:p>
    <w:p w14:paraId="2CF6885C" w14:textId="77777777" w:rsidR="00583A0F" w:rsidRPr="00005DD3" w:rsidRDefault="00583A0F" w:rsidP="0042664D">
      <w:pPr>
        <w:pStyle w:val="subsection"/>
      </w:pPr>
      <w:r w:rsidRPr="00005DD3">
        <w:tab/>
        <w:t>(1)</w:t>
      </w:r>
      <w:r w:rsidRPr="00005DD3">
        <w:tab/>
        <w:t>The Executive Director may sign a certificate that states any of the following in relation to an infringement notice served on a person:</w:t>
      </w:r>
    </w:p>
    <w:p w14:paraId="08DA0BA4" w14:textId="77777777" w:rsidR="00583A0F" w:rsidRPr="00005DD3" w:rsidRDefault="00583A0F" w:rsidP="0042664D">
      <w:pPr>
        <w:pStyle w:val="paragraph"/>
      </w:pPr>
      <w:r w:rsidRPr="00005DD3">
        <w:tab/>
        <w:t>(a)</w:t>
      </w:r>
      <w:r w:rsidRPr="00005DD3">
        <w:tab/>
        <w:t>that the amount payable under the infringement notice was not paid by the person within the time specified in the notice;</w:t>
      </w:r>
    </w:p>
    <w:p w14:paraId="2FFD3A5E" w14:textId="77777777" w:rsidR="00583A0F" w:rsidRPr="00005DD3" w:rsidRDefault="00583A0F" w:rsidP="0042664D">
      <w:pPr>
        <w:pStyle w:val="paragraph"/>
      </w:pPr>
      <w:r w:rsidRPr="00005DD3">
        <w:tab/>
        <w:t>(b)</w:t>
      </w:r>
      <w:r w:rsidRPr="00005DD3">
        <w:tab/>
        <w:t>that the Executive Director granted, or refused to grant, an extension of time to the person to pay the amount payable under the infringement notice;</w:t>
      </w:r>
    </w:p>
    <w:p w14:paraId="20B4ECEF" w14:textId="77777777" w:rsidR="00583A0F" w:rsidRPr="00005DD3" w:rsidRDefault="00583A0F" w:rsidP="0042664D">
      <w:pPr>
        <w:pStyle w:val="paragraph"/>
      </w:pPr>
      <w:r w:rsidRPr="00005DD3">
        <w:tab/>
        <w:t>(c)</w:t>
      </w:r>
      <w:r w:rsidRPr="00005DD3">
        <w:tab/>
        <w:t>that the amount payable under the infringement notice was not paid by the person within the period specified in the extension;</w:t>
      </w:r>
    </w:p>
    <w:p w14:paraId="57F25CEC" w14:textId="77777777" w:rsidR="00583A0F" w:rsidRPr="00005DD3" w:rsidRDefault="00583A0F" w:rsidP="0042664D">
      <w:pPr>
        <w:pStyle w:val="paragraph"/>
      </w:pPr>
      <w:r w:rsidRPr="00005DD3">
        <w:lastRenderedPageBreak/>
        <w:tab/>
        <w:t>(d)</w:t>
      </w:r>
      <w:r w:rsidRPr="00005DD3">
        <w:tab/>
        <w:t>that the inf</w:t>
      </w:r>
      <w:r w:rsidR="00833C09">
        <w:t xml:space="preserve">ringement notice was withdrawn </w:t>
      </w:r>
      <w:r w:rsidRPr="00833C09">
        <w:t xml:space="preserve">under </w:t>
      </w:r>
      <w:r w:rsidR="00FB7848">
        <w:t>section 1</w:t>
      </w:r>
      <w:r w:rsidR="00833C09" w:rsidRPr="00833C09">
        <w:t>06 of the Regulatory Powers Act</w:t>
      </w:r>
      <w:r w:rsidRPr="00005DD3">
        <w:t xml:space="preserve"> on a day specified in the certificate</w:t>
      </w:r>
      <w:r w:rsidR="008C180A">
        <w:t>.</w:t>
      </w:r>
    </w:p>
    <w:p w14:paraId="07E3AA3F" w14:textId="77777777" w:rsidR="00583A0F" w:rsidRDefault="00583A0F" w:rsidP="0042664D">
      <w:pPr>
        <w:pStyle w:val="subsection"/>
      </w:pPr>
      <w:r w:rsidRPr="00005DD3">
        <w:tab/>
        <w:t>(2)</w:t>
      </w:r>
      <w:r w:rsidRPr="00005DD3">
        <w:tab/>
        <w:t xml:space="preserve">At a hearing of a prosecution for an offence mentioned in an infringement notice, a certificate signed by the Executive Director in accordance with </w:t>
      </w:r>
      <w:r w:rsidR="00FC771D">
        <w:t>subsection (</w:t>
      </w:r>
      <w:r w:rsidRPr="00005DD3">
        <w:t xml:space="preserve">1) is </w:t>
      </w:r>
      <w:r w:rsidR="009002C8">
        <w:t xml:space="preserve">prima facie </w:t>
      </w:r>
      <w:r w:rsidRPr="00005DD3">
        <w:t xml:space="preserve">evidence of the matters </w:t>
      </w:r>
      <w:r w:rsidR="009002C8">
        <w:t>stated</w:t>
      </w:r>
      <w:r w:rsidRPr="00005DD3">
        <w:t xml:space="preserve"> in </w:t>
      </w:r>
      <w:r w:rsidR="00E42FFF">
        <w:t>the certificate</w:t>
      </w:r>
      <w:r w:rsidR="008C180A">
        <w:t>.</w:t>
      </w:r>
    </w:p>
    <w:p w14:paraId="4406E490" w14:textId="77777777" w:rsidR="009F0828" w:rsidRDefault="009F0828" w:rsidP="0042664D">
      <w:pPr>
        <w:pStyle w:val="subsection"/>
      </w:pPr>
      <w:r>
        <w:tab/>
      </w:r>
      <w:r w:rsidR="009B3646">
        <w:t>(</w:t>
      </w:r>
      <w:r w:rsidR="00B87391">
        <w:t>3</w:t>
      </w:r>
      <w:r>
        <w:t>)</w:t>
      </w:r>
      <w:r>
        <w:tab/>
        <w:t xml:space="preserve">A certificate must not be admitted in evidence </w:t>
      </w:r>
      <w:r w:rsidR="009B3646">
        <w:t>a</w:t>
      </w:r>
      <w:r w:rsidR="009B3646" w:rsidRPr="00005DD3">
        <w:t>t a hearing of a prosecution for an offence mentioned in an infringement notice</w:t>
      </w:r>
      <w:r>
        <w:t xml:space="preserve"> unless:</w:t>
      </w:r>
    </w:p>
    <w:p w14:paraId="577B528F" w14:textId="77777777" w:rsidR="009F0828" w:rsidRPr="009F0828" w:rsidRDefault="009F0828" w:rsidP="0042664D">
      <w:pPr>
        <w:pStyle w:val="paragraph"/>
      </w:pPr>
      <w:r>
        <w:tab/>
        <w:t>(a)</w:t>
      </w:r>
      <w:r>
        <w:tab/>
        <w:t>t</w:t>
      </w:r>
      <w:r w:rsidRPr="009F0828">
        <w:t>he person charged with the offence; or</w:t>
      </w:r>
    </w:p>
    <w:p w14:paraId="311B2785" w14:textId="77777777" w:rsidR="009F0828" w:rsidRDefault="009F0828" w:rsidP="0042664D">
      <w:pPr>
        <w:pStyle w:val="paragraph"/>
      </w:pPr>
      <w:r w:rsidRPr="009F0828">
        <w:tab/>
        <w:t>(b)</w:t>
      </w:r>
      <w:r w:rsidRPr="009F0828">
        <w:tab/>
        <w:t>a bar</w:t>
      </w:r>
      <w:r>
        <w:t xml:space="preserve">rister or solicitor who has appeared for the person in </w:t>
      </w:r>
      <w:r w:rsidR="009B3646">
        <w:t>relation to the hearing</w:t>
      </w:r>
      <w:r>
        <w:t>;</w:t>
      </w:r>
    </w:p>
    <w:p w14:paraId="79C7DE8C" w14:textId="77777777" w:rsidR="009F0828" w:rsidRDefault="009F0828" w:rsidP="0042664D">
      <w:pPr>
        <w:pStyle w:val="subsection2"/>
      </w:pPr>
      <w:r>
        <w:t xml:space="preserve">has, at least 14 days before the certificate is sought to be so admitted, been given a copy of the certificate together with notice of the intention to produce the certificate as evidence in the </w:t>
      </w:r>
      <w:r w:rsidR="009B3646">
        <w:t>hearing</w:t>
      </w:r>
      <w:r w:rsidR="008C180A">
        <w:t>.</w:t>
      </w:r>
    </w:p>
    <w:p w14:paraId="03B19AC6" w14:textId="77777777" w:rsidR="00583A0F" w:rsidRDefault="00583A0F" w:rsidP="0042664D">
      <w:pPr>
        <w:pStyle w:val="subsection"/>
      </w:pPr>
      <w:r w:rsidRPr="00005DD3">
        <w:tab/>
        <w:t>(</w:t>
      </w:r>
      <w:r w:rsidR="00B87391">
        <w:t>4</w:t>
      </w:r>
      <w:r w:rsidRPr="00005DD3">
        <w:t>)</w:t>
      </w:r>
      <w:r w:rsidRPr="00005DD3">
        <w:tab/>
        <w:t>A certificate that purports to be signed by the Executive Director is taken to have been signed by the Executive Director unless the</w:t>
      </w:r>
      <w:r w:rsidR="00E02D53">
        <w:t xml:space="preserve"> contrary is proved</w:t>
      </w:r>
      <w:r w:rsidR="008C180A">
        <w:t>.</w:t>
      </w:r>
    </w:p>
    <w:p w14:paraId="4F8B3F6C" w14:textId="77777777" w:rsidR="00583A0F" w:rsidRPr="00005DD3" w:rsidRDefault="00B70F01" w:rsidP="0042664D">
      <w:pPr>
        <w:pStyle w:val="Transitional"/>
      </w:pPr>
      <w:r>
        <w:t>14</w:t>
      </w:r>
      <w:r w:rsidR="00583A0F" w:rsidRPr="00005DD3">
        <w:t xml:space="preserve">  Application of amendments</w:t>
      </w:r>
    </w:p>
    <w:p w14:paraId="2C0CF37E" w14:textId="77777777" w:rsidR="006B37C6" w:rsidRPr="00005DD3" w:rsidRDefault="006B37C6" w:rsidP="0042664D">
      <w:pPr>
        <w:pStyle w:val="SubitemHead"/>
      </w:pPr>
      <w:r w:rsidRPr="00005DD3">
        <w:t>Definitions</w:t>
      </w:r>
    </w:p>
    <w:p w14:paraId="07E5F9C6" w14:textId="77777777" w:rsidR="006B37C6" w:rsidRPr="00005DD3" w:rsidRDefault="00033223" w:rsidP="0042664D">
      <w:pPr>
        <w:pStyle w:val="Subitem"/>
      </w:pPr>
      <w:r w:rsidRPr="00005DD3">
        <w:t>(1</w:t>
      </w:r>
      <w:r w:rsidR="006B37C6" w:rsidRPr="00005DD3">
        <w:t>)</w:t>
      </w:r>
      <w:r w:rsidR="006B37C6" w:rsidRPr="00005DD3">
        <w:tab/>
        <w:t>For the purposes of this item:</w:t>
      </w:r>
    </w:p>
    <w:p w14:paraId="1CABE1F8" w14:textId="77777777" w:rsidR="006B37C6" w:rsidRPr="00005DD3" w:rsidRDefault="00966B87" w:rsidP="0042664D">
      <w:pPr>
        <w:pStyle w:val="Item"/>
      </w:pPr>
      <w:r w:rsidRPr="00005DD3">
        <w:rPr>
          <w:b/>
          <w:i/>
        </w:rPr>
        <w:t xml:space="preserve">Principal </w:t>
      </w:r>
      <w:r w:rsidR="006B37C6" w:rsidRPr="00005DD3">
        <w:rPr>
          <w:b/>
          <w:i/>
        </w:rPr>
        <w:t>Act</w:t>
      </w:r>
      <w:r w:rsidR="006B37C6" w:rsidRPr="00005DD3">
        <w:t xml:space="preserve"> means the </w:t>
      </w:r>
      <w:r w:rsidR="006B37C6" w:rsidRPr="00005DD3">
        <w:rPr>
          <w:i/>
        </w:rPr>
        <w:t>Sydney Harbour Federation Trust Act 2001</w:t>
      </w:r>
      <w:r w:rsidR="008C180A">
        <w:t>.</w:t>
      </w:r>
    </w:p>
    <w:p w14:paraId="0908B40C" w14:textId="77777777" w:rsidR="006B37C6" w:rsidRPr="00005DD3" w:rsidRDefault="006B37C6" w:rsidP="0042664D">
      <w:pPr>
        <w:pStyle w:val="Item"/>
      </w:pPr>
      <w:r w:rsidRPr="00005DD3">
        <w:rPr>
          <w:b/>
          <w:i/>
        </w:rPr>
        <w:t>Regulations</w:t>
      </w:r>
      <w:r w:rsidRPr="00005DD3">
        <w:t xml:space="preserve"> means the </w:t>
      </w:r>
      <w:r w:rsidRPr="00005DD3">
        <w:rPr>
          <w:i/>
        </w:rPr>
        <w:t xml:space="preserve">Sydney Harbour Federation Trust </w:t>
      </w:r>
      <w:r w:rsidR="0077578E">
        <w:rPr>
          <w:i/>
        </w:rPr>
        <w:t>Regulations 2</w:t>
      </w:r>
      <w:r w:rsidRPr="00005DD3">
        <w:rPr>
          <w:i/>
        </w:rPr>
        <w:t>001</w:t>
      </w:r>
      <w:r w:rsidR="008C180A">
        <w:t>.</w:t>
      </w:r>
    </w:p>
    <w:p w14:paraId="2DEFF8BE" w14:textId="77777777" w:rsidR="006B37C6" w:rsidRPr="00005DD3" w:rsidRDefault="00190788" w:rsidP="0042664D">
      <w:pPr>
        <w:pStyle w:val="SubitemHead"/>
      </w:pPr>
      <w:r w:rsidRPr="00005DD3">
        <w:t xml:space="preserve">Orders given by the </w:t>
      </w:r>
      <w:r w:rsidR="002360B5" w:rsidRPr="00005DD3">
        <w:t>Trust</w:t>
      </w:r>
    </w:p>
    <w:p w14:paraId="6A265654" w14:textId="77777777" w:rsidR="00E9505F" w:rsidRPr="00005DD3" w:rsidRDefault="00B40A34" w:rsidP="0042664D">
      <w:pPr>
        <w:pStyle w:val="Subitem"/>
      </w:pPr>
      <w:r>
        <w:t>(</w:t>
      </w:r>
      <w:r w:rsidR="000C2DD4">
        <w:t>2</w:t>
      </w:r>
      <w:r w:rsidR="006B37C6" w:rsidRPr="00005DD3">
        <w:t>)</w:t>
      </w:r>
      <w:r w:rsidR="006B37C6" w:rsidRPr="00005DD3">
        <w:tab/>
      </w:r>
      <w:r w:rsidR="00E9505F" w:rsidRPr="00005DD3">
        <w:t>To avoid doubt, the Trust must not, after the commencement of this item, giv</w:t>
      </w:r>
      <w:r w:rsidR="003C04A8">
        <w:t xml:space="preserve">e an order </w:t>
      </w:r>
      <w:r w:rsidR="00E9505F" w:rsidRPr="00005DD3">
        <w:t xml:space="preserve">under </w:t>
      </w:r>
      <w:r w:rsidR="0077578E">
        <w:t>regulation 3</w:t>
      </w:r>
      <w:r w:rsidR="00E9505F" w:rsidRPr="00005DD3">
        <w:t xml:space="preserve">7 of the Regulations in relation to a matter covered by section </w:t>
      </w:r>
      <w:r w:rsidR="008C180A">
        <w:t>65B</w:t>
      </w:r>
      <w:r w:rsidR="00E9505F" w:rsidRPr="00005DD3">
        <w:t xml:space="preserve"> of the </w:t>
      </w:r>
      <w:r w:rsidR="00966B87" w:rsidRPr="00005DD3">
        <w:t xml:space="preserve">Principal </w:t>
      </w:r>
      <w:r w:rsidR="00E9505F" w:rsidRPr="00005DD3">
        <w:t>Act (as inserted by this Part)</w:t>
      </w:r>
      <w:r w:rsidR="008C180A">
        <w:t>.</w:t>
      </w:r>
    </w:p>
    <w:p w14:paraId="5BCAD564" w14:textId="77777777" w:rsidR="0059388B" w:rsidRPr="00005DD3" w:rsidRDefault="00B40A34" w:rsidP="0042664D">
      <w:pPr>
        <w:pStyle w:val="Subitem"/>
      </w:pPr>
      <w:r>
        <w:t>(</w:t>
      </w:r>
      <w:r w:rsidR="000C2DD4">
        <w:t>3</w:t>
      </w:r>
      <w:r w:rsidR="0059388B" w:rsidRPr="00005DD3">
        <w:t>)</w:t>
      </w:r>
      <w:r w:rsidR="0059388B" w:rsidRPr="00005DD3">
        <w:tab/>
        <w:t xml:space="preserve">A reference in </w:t>
      </w:r>
      <w:r w:rsidR="00B70F01">
        <w:t>regulation 2</w:t>
      </w:r>
      <w:r w:rsidR="0059388B" w:rsidRPr="00005DD3">
        <w:t>4 of the Regulations</w:t>
      </w:r>
      <w:r w:rsidR="001C6663" w:rsidRPr="00005DD3">
        <w:t>, as in force</w:t>
      </w:r>
      <w:r w:rsidR="0059388B" w:rsidRPr="00005DD3">
        <w:t xml:space="preserve"> after the commencement of this item, to </w:t>
      </w:r>
      <w:r w:rsidR="0077578E">
        <w:t>regulation 3</w:t>
      </w:r>
      <w:r w:rsidR="0059388B" w:rsidRPr="00005DD3">
        <w:t>7 of the Regulations</w:t>
      </w:r>
      <w:r w:rsidR="00672E10" w:rsidRPr="00005DD3">
        <w:t xml:space="preserve"> is taken </w:t>
      </w:r>
      <w:r w:rsidR="00672E10" w:rsidRPr="00005DD3">
        <w:lastRenderedPageBreak/>
        <w:t xml:space="preserve">to </w:t>
      </w:r>
      <w:r w:rsidR="0059388B" w:rsidRPr="00005DD3">
        <w:t xml:space="preserve">include a reference to section </w:t>
      </w:r>
      <w:r w:rsidR="008C180A">
        <w:t>65B</w:t>
      </w:r>
      <w:r w:rsidR="0059388B" w:rsidRPr="00005DD3">
        <w:t xml:space="preserve"> of the </w:t>
      </w:r>
      <w:r w:rsidR="00AE057A" w:rsidRPr="00005DD3">
        <w:t>Principal</w:t>
      </w:r>
      <w:r w:rsidR="0059388B" w:rsidRPr="00005DD3">
        <w:t xml:space="preserve"> Act (as inserted by this Part)</w:t>
      </w:r>
      <w:r w:rsidR="008C180A">
        <w:t>.</w:t>
      </w:r>
    </w:p>
    <w:p w14:paraId="0F69475B" w14:textId="77777777" w:rsidR="00304555" w:rsidRPr="00005DD3" w:rsidRDefault="00304555" w:rsidP="0042664D">
      <w:pPr>
        <w:pStyle w:val="SubitemHead"/>
      </w:pPr>
      <w:r w:rsidRPr="00005DD3">
        <w:t>Infringement notices</w:t>
      </w:r>
    </w:p>
    <w:p w14:paraId="54E3225C" w14:textId="77777777" w:rsidR="00583A0F" w:rsidRPr="00005DD3" w:rsidRDefault="00B40A34" w:rsidP="0042664D">
      <w:pPr>
        <w:pStyle w:val="Subitem"/>
      </w:pPr>
      <w:r>
        <w:t>(</w:t>
      </w:r>
      <w:r w:rsidR="000C2DD4">
        <w:t>4</w:t>
      </w:r>
      <w:r w:rsidR="00583A0F" w:rsidRPr="00005DD3">
        <w:t>)</w:t>
      </w:r>
      <w:r w:rsidR="00583A0F" w:rsidRPr="00005DD3">
        <w:tab/>
      </w:r>
      <w:r w:rsidR="00D1603F" w:rsidRPr="00005DD3">
        <w:t xml:space="preserve">Sections </w:t>
      </w:r>
      <w:r w:rsidR="008C180A">
        <w:t>65F</w:t>
      </w:r>
      <w:r w:rsidR="00D1603F" w:rsidRPr="00005DD3">
        <w:t xml:space="preserve">, </w:t>
      </w:r>
      <w:r w:rsidR="008C180A">
        <w:t>65G</w:t>
      </w:r>
      <w:r w:rsidR="00D1603F" w:rsidRPr="00005DD3">
        <w:t xml:space="preserve"> and </w:t>
      </w:r>
      <w:r w:rsidR="008C180A">
        <w:t>65H</w:t>
      </w:r>
      <w:r w:rsidR="00D1603F" w:rsidRPr="00005DD3">
        <w:t xml:space="preserve"> of the Principal Act, as inserted by this Part,</w:t>
      </w:r>
      <w:r w:rsidR="00583A0F" w:rsidRPr="00005DD3">
        <w:t xml:space="preserve"> apply in relation to an alleged contravention of a provision mentioned in subsection </w:t>
      </w:r>
      <w:r w:rsidR="008C180A">
        <w:t>65F</w:t>
      </w:r>
      <w:r w:rsidR="00583A0F" w:rsidRPr="00005DD3">
        <w:t xml:space="preserve">(1) of the </w:t>
      </w:r>
      <w:r w:rsidR="00966B87" w:rsidRPr="00005DD3">
        <w:t xml:space="preserve">Principal </w:t>
      </w:r>
      <w:r w:rsidR="00583A0F" w:rsidRPr="00005DD3">
        <w:t>Act that occurs:</w:t>
      </w:r>
    </w:p>
    <w:p w14:paraId="28A9F505" w14:textId="77777777" w:rsidR="00583A0F" w:rsidRPr="00005DD3" w:rsidRDefault="001C6663" w:rsidP="0042664D">
      <w:pPr>
        <w:pStyle w:val="paragraph"/>
      </w:pPr>
      <w:r w:rsidRPr="00005DD3">
        <w:tab/>
        <w:t>(a)</w:t>
      </w:r>
      <w:r w:rsidRPr="00005DD3">
        <w:tab/>
      </w:r>
      <w:r w:rsidR="00583A0F" w:rsidRPr="00005DD3">
        <w:t>after the commencement of this item; or</w:t>
      </w:r>
    </w:p>
    <w:p w14:paraId="1B29933D" w14:textId="77777777" w:rsidR="00583A0F" w:rsidRPr="00005DD3" w:rsidRDefault="00583A0F" w:rsidP="0042664D">
      <w:pPr>
        <w:pStyle w:val="paragraph"/>
      </w:pPr>
      <w:r w:rsidRPr="00005DD3">
        <w:tab/>
        <w:t>(b)</w:t>
      </w:r>
      <w:r w:rsidRPr="00005DD3">
        <w:tab/>
        <w:t xml:space="preserve">before that commencement, if an infringement notice has not been given under </w:t>
      </w:r>
      <w:r w:rsidR="00D15350" w:rsidRPr="00005DD3">
        <w:t>Division 3</w:t>
      </w:r>
      <w:r w:rsidR="008C180A">
        <w:t>.</w:t>
      </w:r>
      <w:r w:rsidRPr="00005DD3">
        <w:t xml:space="preserve">4 of the </w:t>
      </w:r>
      <w:r w:rsidR="002C656B" w:rsidRPr="00005DD3">
        <w:t>Regulations</w:t>
      </w:r>
      <w:r w:rsidRPr="00005DD3">
        <w:rPr>
          <w:i/>
        </w:rPr>
        <w:t xml:space="preserve"> </w:t>
      </w:r>
      <w:r w:rsidRPr="00005DD3">
        <w:t>in relation to the alleged contravention</w:t>
      </w:r>
      <w:r w:rsidR="008C180A">
        <w:t>.</w:t>
      </w:r>
    </w:p>
    <w:p w14:paraId="25025D82" w14:textId="77777777" w:rsidR="00A36E2E" w:rsidRDefault="00B40A34" w:rsidP="0042664D">
      <w:pPr>
        <w:pStyle w:val="Subitem"/>
      </w:pPr>
      <w:r>
        <w:t>(</w:t>
      </w:r>
      <w:r w:rsidR="000C2DD4">
        <w:t>5</w:t>
      </w:r>
      <w:r w:rsidR="00583A0F" w:rsidRPr="00005DD3">
        <w:t>)</w:t>
      </w:r>
      <w:r w:rsidR="00583A0F" w:rsidRPr="00005DD3">
        <w:tab/>
      </w:r>
      <w:r w:rsidR="00D15350" w:rsidRPr="00005DD3">
        <w:t>Division 3</w:t>
      </w:r>
      <w:r w:rsidR="008C180A">
        <w:t>.</w:t>
      </w:r>
      <w:r w:rsidR="002C656B" w:rsidRPr="00005DD3">
        <w:t>4 of the R</w:t>
      </w:r>
      <w:r w:rsidR="00583A0F" w:rsidRPr="00005DD3">
        <w:t>egulations</w:t>
      </w:r>
      <w:r w:rsidR="00583A0F" w:rsidRPr="00005DD3">
        <w:rPr>
          <w:i/>
        </w:rPr>
        <w:t xml:space="preserve">, </w:t>
      </w:r>
      <w:r w:rsidR="00583A0F" w:rsidRPr="00005DD3">
        <w:t>as in force immediately before the commencement of this item, continues to apply in relation to an infringement notice given under that Division before the commencement of this item</w:t>
      </w:r>
      <w:r w:rsidR="008C180A">
        <w:t>.</w:t>
      </w:r>
    </w:p>
    <w:p w14:paraId="66CA0F9A" w14:textId="77777777" w:rsidR="00B1023F" w:rsidRDefault="00B70F01" w:rsidP="0042664D">
      <w:pPr>
        <w:pStyle w:val="ActHead7"/>
        <w:pageBreakBefore/>
      </w:pPr>
      <w:bookmarkStart w:id="28" w:name="_Toc75515690"/>
      <w:r w:rsidRPr="000E6E32">
        <w:rPr>
          <w:rStyle w:val="CharAmPartNo"/>
        </w:rPr>
        <w:lastRenderedPageBreak/>
        <w:t>Part 4</w:t>
      </w:r>
      <w:r w:rsidR="00B1023F">
        <w:t>—</w:t>
      </w:r>
      <w:r w:rsidR="00B1023F" w:rsidRPr="000E6E32">
        <w:rPr>
          <w:rStyle w:val="CharAmPartText"/>
        </w:rPr>
        <w:t>Contingent amendments</w:t>
      </w:r>
      <w:bookmarkEnd w:id="28"/>
    </w:p>
    <w:p w14:paraId="70C57CCE" w14:textId="77777777" w:rsidR="00000673" w:rsidRPr="00005DD3" w:rsidRDefault="00000673" w:rsidP="0042664D">
      <w:pPr>
        <w:pStyle w:val="ActHead9"/>
        <w:rPr>
          <w:i w:val="0"/>
        </w:rPr>
      </w:pPr>
      <w:bookmarkStart w:id="29" w:name="_Toc75515691"/>
      <w:r w:rsidRPr="00005DD3">
        <w:t>Sydney Harbour Federation Trust Act 2001</w:t>
      </w:r>
      <w:bookmarkEnd w:id="29"/>
    </w:p>
    <w:p w14:paraId="6351E052" w14:textId="77777777" w:rsidR="00B1023F" w:rsidRDefault="00B70F01" w:rsidP="0042664D">
      <w:pPr>
        <w:pStyle w:val="ItemHead"/>
      </w:pPr>
      <w:r>
        <w:t>15</w:t>
      </w:r>
      <w:r w:rsidR="00644CD6">
        <w:t xml:space="preserve">  Paragraph </w:t>
      </w:r>
      <w:r w:rsidR="008C180A">
        <w:t>65E</w:t>
      </w:r>
      <w:r w:rsidR="00644CD6">
        <w:t>(</w:t>
      </w:r>
      <w:r w:rsidR="001C7BEF">
        <w:t>3)(b)</w:t>
      </w:r>
    </w:p>
    <w:p w14:paraId="5717A2CC" w14:textId="77777777" w:rsidR="001C7BEF" w:rsidRDefault="001C7BEF" w:rsidP="0042664D">
      <w:pPr>
        <w:pStyle w:val="Item"/>
      </w:pPr>
      <w:r>
        <w:t>Repeal the paragraph, substitute:</w:t>
      </w:r>
    </w:p>
    <w:p w14:paraId="40CD535C" w14:textId="0CA804DD" w:rsidR="001C7BEF" w:rsidRDefault="001C7BEF" w:rsidP="0042664D">
      <w:pPr>
        <w:pStyle w:val="paragraph"/>
      </w:pPr>
      <w:r w:rsidRPr="001C7BEF">
        <w:tab/>
        <w:t>(b)</w:t>
      </w:r>
      <w:r w:rsidRPr="001C7BEF">
        <w:tab/>
        <w:t>the Federal Circuit and Family Court of Australia (Division 2); or</w:t>
      </w:r>
    </w:p>
    <w:p w14:paraId="0CE4366E" w14:textId="77777777" w:rsidR="00E03B46" w:rsidRPr="00F02B56" w:rsidRDefault="00E03B46" w:rsidP="00E03B46"/>
    <w:p w14:paraId="2A08C040" w14:textId="77777777" w:rsidR="00E03B46" w:rsidRDefault="00E03B46" w:rsidP="00E03B46">
      <w:pPr>
        <w:pStyle w:val="AssentBk"/>
        <w:keepNext/>
      </w:pPr>
    </w:p>
    <w:p w14:paraId="2CC42A1F" w14:textId="77777777" w:rsidR="00E03B46" w:rsidRDefault="00E03B46" w:rsidP="00E03B46">
      <w:pPr>
        <w:pStyle w:val="AssentBk"/>
        <w:keepNext/>
      </w:pPr>
    </w:p>
    <w:p w14:paraId="7C90BD0D" w14:textId="77777777" w:rsidR="00E03B46" w:rsidRDefault="00E03B46" w:rsidP="00E03B46">
      <w:pPr>
        <w:pStyle w:val="2ndRd"/>
        <w:keepNext/>
        <w:pBdr>
          <w:top w:val="single" w:sz="2" w:space="1" w:color="auto"/>
        </w:pBdr>
      </w:pPr>
    </w:p>
    <w:p w14:paraId="016423A1" w14:textId="77777777" w:rsidR="00E03B46" w:rsidRDefault="00E03B46" w:rsidP="000C5962">
      <w:pPr>
        <w:pStyle w:val="2ndRd"/>
        <w:keepNext/>
        <w:spacing w:line="260" w:lineRule="atLeast"/>
        <w:rPr>
          <w:i/>
        </w:rPr>
      </w:pPr>
      <w:r>
        <w:t>[</w:t>
      </w:r>
      <w:r>
        <w:rPr>
          <w:i/>
        </w:rPr>
        <w:t>Minister’s second reading speech made in—</w:t>
      </w:r>
    </w:p>
    <w:p w14:paraId="79B779F4" w14:textId="46BC9772" w:rsidR="00E03B46" w:rsidRDefault="00E03B46" w:rsidP="000C5962">
      <w:pPr>
        <w:pStyle w:val="2ndRd"/>
        <w:keepNext/>
        <w:spacing w:line="260" w:lineRule="atLeast"/>
        <w:rPr>
          <w:i/>
        </w:rPr>
      </w:pPr>
      <w:r>
        <w:rPr>
          <w:i/>
        </w:rPr>
        <w:t>House of Representatives on 18 March 2021</w:t>
      </w:r>
    </w:p>
    <w:p w14:paraId="0ECE74C4" w14:textId="45F375B1" w:rsidR="00E03B46" w:rsidRDefault="00E03B46" w:rsidP="000C5962">
      <w:pPr>
        <w:pStyle w:val="2ndRd"/>
        <w:keepNext/>
        <w:spacing w:line="260" w:lineRule="atLeast"/>
        <w:rPr>
          <w:i/>
        </w:rPr>
      </w:pPr>
      <w:r>
        <w:rPr>
          <w:i/>
        </w:rPr>
        <w:t>Senate on 15 June 2021</w:t>
      </w:r>
      <w:r>
        <w:t>]</w:t>
      </w:r>
    </w:p>
    <w:p w14:paraId="21622A3E" w14:textId="77777777" w:rsidR="00E03B46" w:rsidRDefault="00E03B46" w:rsidP="000C5962"/>
    <w:p w14:paraId="5B14DCFA" w14:textId="5A004BDA" w:rsidR="003E2157" w:rsidRPr="00E03B46" w:rsidRDefault="00E03B46" w:rsidP="00B30EF0">
      <w:pPr>
        <w:framePr w:hSpace="180" w:wrap="around" w:vAnchor="text" w:hAnchor="page" w:x="2417" w:y="5774"/>
      </w:pPr>
      <w:r>
        <w:t>(30/21)</w:t>
      </w:r>
    </w:p>
    <w:p w14:paraId="5638BEE5" w14:textId="77777777" w:rsidR="00E03B46" w:rsidRDefault="00E03B46"/>
    <w:sectPr w:rsidR="00E03B46" w:rsidSect="003E2157">
      <w:headerReference w:type="even" r:id="rId25"/>
      <w:headerReference w:type="default" r:id="rId26"/>
      <w:footerReference w:type="even" r:id="rId27"/>
      <w:footerReference w:type="default" r:id="rId28"/>
      <w:headerReference w:type="first" r:id="rId29"/>
      <w:footerReference w:type="first" r:id="rId30"/>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7810" w14:textId="77777777" w:rsidR="0042664D" w:rsidRDefault="0042664D" w:rsidP="0048364F">
      <w:pPr>
        <w:spacing w:line="240" w:lineRule="auto"/>
      </w:pPr>
      <w:r>
        <w:separator/>
      </w:r>
    </w:p>
  </w:endnote>
  <w:endnote w:type="continuationSeparator" w:id="0">
    <w:p w14:paraId="7069E09A" w14:textId="77777777" w:rsidR="0042664D" w:rsidRDefault="0042664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D363" w14:textId="77777777" w:rsidR="0042664D" w:rsidRPr="005F1388" w:rsidRDefault="0042664D" w:rsidP="0042664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0E4C" w14:textId="037F5CF9" w:rsidR="00E03B46" w:rsidRDefault="00E03B46" w:rsidP="00CD12A5">
    <w:pPr>
      <w:pStyle w:val="ScalePlusRef"/>
    </w:pPr>
    <w:r>
      <w:t>Note: An electronic version of this Act is available on the Federal Register of Legislation (</w:t>
    </w:r>
    <w:hyperlink r:id="rId1" w:history="1">
      <w:r>
        <w:t>https://www.legislation.gov.au/</w:t>
      </w:r>
    </w:hyperlink>
    <w:r>
      <w:t>)</w:t>
    </w:r>
  </w:p>
  <w:p w14:paraId="01A07399" w14:textId="77777777" w:rsidR="00E03B46" w:rsidRDefault="00E03B46" w:rsidP="00CD12A5"/>
  <w:p w14:paraId="18CCFAFB" w14:textId="4D7A8B33" w:rsidR="0042664D" w:rsidRDefault="0042664D" w:rsidP="0042664D">
    <w:pPr>
      <w:pStyle w:val="Footer"/>
      <w:spacing w:before="120"/>
    </w:pPr>
  </w:p>
  <w:p w14:paraId="0AC5401C" w14:textId="77777777" w:rsidR="0042664D" w:rsidRPr="005F1388" w:rsidRDefault="0042664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39AF" w14:textId="77777777" w:rsidR="0042664D" w:rsidRPr="00ED79B6" w:rsidRDefault="0042664D" w:rsidP="0042664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90A3" w14:textId="77777777" w:rsidR="0042664D" w:rsidRDefault="0042664D" w:rsidP="004266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2664D" w14:paraId="4B90A29A" w14:textId="77777777" w:rsidTr="006A2109">
      <w:tc>
        <w:tcPr>
          <w:tcW w:w="646" w:type="dxa"/>
        </w:tcPr>
        <w:p w14:paraId="5D09C655" w14:textId="77777777" w:rsidR="0042664D" w:rsidRDefault="0042664D" w:rsidP="006A210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04B2">
            <w:rPr>
              <w:i/>
              <w:noProof/>
              <w:sz w:val="18"/>
            </w:rPr>
            <w:t>xix</w:t>
          </w:r>
          <w:r w:rsidRPr="00ED79B6">
            <w:rPr>
              <w:i/>
              <w:sz w:val="18"/>
            </w:rPr>
            <w:fldChar w:fldCharType="end"/>
          </w:r>
        </w:p>
      </w:tc>
      <w:tc>
        <w:tcPr>
          <w:tcW w:w="5387" w:type="dxa"/>
        </w:tcPr>
        <w:p w14:paraId="5B0A944D" w14:textId="0F05A438" w:rsidR="0042664D" w:rsidRDefault="0042664D" w:rsidP="006A210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30EF0">
            <w:rPr>
              <w:i/>
              <w:sz w:val="18"/>
            </w:rPr>
            <w:t>Sydney Harbour Federation Trust Amendment Act 2021</w:t>
          </w:r>
          <w:r w:rsidRPr="00ED79B6">
            <w:rPr>
              <w:i/>
              <w:sz w:val="18"/>
            </w:rPr>
            <w:fldChar w:fldCharType="end"/>
          </w:r>
        </w:p>
      </w:tc>
      <w:tc>
        <w:tcPr>
          <w:tcW w:w="1270" w:type="dxa"/>
        </w:tcPr>
        <w:p w14:paraId="3FE83D9E" w14:textId="686A95CD" w:rsidR="0042664D" w:rsidRDefault="0042664D" w:rsidP="006A210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30EF0">
            <w:rPr>
              <w:i/>
              <w:sz w:val="18"/>
            </w:rPr>
            <w:t>No. 49, 2021</w:t>
          </w:r>
          <w:r w:rsidRPr="00ED79B6">
            <w:rPr>
              <w:i/>
              <w:sz w:val="18"/>
            </w:rPr>
            <w:fldChar w:fldCharType="end"/>
          </w:r>
        </w:p>
      </w:tc>
    </w:tr>
  </w:tbl>
  <w:p w14:paraId="06BABD60" w14:textId="77777777" w:rsidR="0042664D" w:rsidRDefault="0042664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4FE4" w14:textId="77777777" w:rsidR="0042664D" w:rsidRDefault="0042664D" w:rsidP="004266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2664D" w14:paraId="398C8568" w14:textId="77777777" w:rsidTr="006A2109">
      <w:tc>
        <w:tcPr>
          <w:tcW w:w="1247" w:type="dxa"/>
        </w:tcPr>
        <w:p w14:paraId="30239E58" w14:textId="4C7EC53D" w:rsidR="0042664D" w:rsidRDefault="0042664D" w:rsidP="006A210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30EF0">
            <w:rPr>
              <w:i/>
              <w:sz w:val="18"/>
            </w:rPr>
            <w:t>No. 49, 2021</w:t>
          </w:r>
          <w:r w:rsidRPr="00ED79B6">
            <w:rPr>
              <w:i/>
              <w:sz w:val="18"/>
            </w:rPr>
            <w:fldChar w:fldCharType="end"/>
          </w:r>
        </w:p>
      </w:tc>
      <w:tc>
        <w:tcPr>
          <w:tcW w:w="5387" w:type="dxa"/>
        </w:tcPr>
        <w:p w14:paraId="617E5881" w14:textId="5605B833" w:rsidR="0042664D" w:rsidRDefault="0042664D" w:rsidP="006A210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30EF0">
            <w:rPr>
              <w:i/>
              <w:sz w:val="18"/>
            </w:rPr>
            <w:t>Sydney Harbour Federation Trust Amendment Act 2021</w:t>
          </w:r>
          <w:r w:rsidRPr="00ED79B6">
            <w:rPr>
              <w:i/>
              <w:sz w:val="18"/>
            </w:rPr>
            <w:fldChar w:fldCharType="end"/>
          </w:r>
        </w:p>
      </w:tc>
      <w:tc>
        <w:tcPr>
          <w:tcW w:w="669" w:type="dxa"/>
        </w:tcPr>
        <w:p w14:paraId="47163217" w14:textId="77777777" w:rsidR="0042664D" w:rsidRDefault="0042664D" w:rsidP="006A210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14370">
            <w:rPr>
              <w:i/>
              <w:noProof/>
              <w:sz w:val="18"/>
            </w:rPr>
            <w:t>i</w:t>
          </w:r>
          <w:r w:rsidRPr="00ED79B6">
            <w:rPr>
              <w:i/>
              <w:sz w:val="18"/>
            </w:rPr>
            <w:fldChar w:fldCharType="end"/>
          </w:r>
        </w:p>
      </w:tc>
    </w:tr>
  </w:tbl>
  <w:p w14:paraId="5EE6B395" w14:textId="77777777" w:rsidR="0042664D" w:rsidRPr="00ED79B6" w:rsidRDefault="0042664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94484" w14:textId="77777777" w:rsidR="0042664D" w:rsidRPr="00A961C4" w:rsidRDefault="0042664D" w:rsidP="0042664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2664D" w14:paraId="235C096F" w14:textId="77777777" w:rsidTr="000E6E32">
      <w:tc>
        <w:tcPr>
          <w:tcW w:w="646" w:type="dxa"/>
        </w:tcPr>
        <w:p w14:paraId="1F464755" w14:textId="77777777" w:rsidR="0042664D" w:rsidRDefault="0042664D" w:rsidP="006A21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4370">
            <w:rPr>
              <w:i/>
              <w:noProof/>
              <w:sz w:val="18"/>
            </w:rPr>
            <w:t>18</w:t>
          </w:r>
          <w:r w:rsidRPr="007A1328">
            <w:rPr>
              <w:i/>
              <w:sz w:val="18"/>
            </w:rPr>
            <w:fldChar w:fldCharType="end"/>
          </w:r>
        </w:p>
      </w:tc>
      <w:tc>
        <w:tcPr>
          <w:tcW w:w="5387" w:type="dxa"/>
        </w:tcPr>
        <w:p w14:paraId="662B5760" w14:textId="2ADD17A6" w:rsidR="0042664D" w:rsidRDefault="0042664D" w:rsidP="006A21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30EF0">
            <w:rPr>
              <w:i/>
              <w:sz w:val="18"/>
            </w:rPr>
            <w:t>Sydney Harbour Federation Trust Amendment Act 2021</w:t>
          </w:r>
          <w:r w:rsidRPr="007A1328">
            <w:rPr>
              <w:i/>
              <w:sz w:val="18"/>
            </w:rPr>
            <w:fldChar w:fldCharType="end"/>
          </w:r>
        </w:p>
      </w:tc>
      <w:tc>
        <w:tcPr>
          <w:tcW w:w="1270" w:type="dxa"/>
        </w:tcPr>
        <w:p w14:paraId="27C3F35D" w14:textId="18462889" w:rsidR="0042664D" w:rsidRDefault="0042664D" w:rsidP="006A21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30EF0">
            <w:rPr>
              <w:i/>
              <w:sz w:val="18"/>
            </w:rPr>
            <w:t>No. 49, 2021</w:t>
          </w:r>
          <w:r w:rsidRPr="007A1328">
            <w:rPr>
              <w:i/>
              <w:sz w:val="18"/>
            </w:rPr>
            <w:fldChar w:fldCharType="end"/>
          </w:r>
        </w:p>
      </w:tc>
    </w:tr>
  </w:tbl>
  <w:p w14:paraId="1CE2A837" w14:textId="77777777" w:rsidR="0042664D" w:rsidRPr="00A961C4" w:rsidRDefault="0042664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87B42" w14:textId="77777777" w:rsidR="0042664D" w:rsidRPr="00A961C4" w:rsidRDefault="0042664D" w:rsidP="004266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2664D" w14:paraId="62075BBF" w14:textId="77777777" w:rsidTr="000E6E32">
      <w:tc>
        <w:tcPr>
          <w:tcW w:w="1247" w:type="dxa"/>
        </w:tcPr>
        <w:p w14:paraId="70DD7DE6" w14:textId="18D58A8F" w:rsidR="0042664D" w:rsidRDefault="0042664D" w:rsidP="006A21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30EF0">
            <w:rPr>
              <w:i/>
              <w:sz w:val="18"/>
            </w:rPr>
            <w:t>No. 49, 2021</w:t>
          </w:r>
          <w:r w:rsidRPr="007A1328">
            <w:rPr>
              <w:i/>
              <w:sz w:val="18"/>
            </w:rPr>
            <w:fldChar w:fldCharType="end"/>
          </w:r>
        </w:p>
      </w:tc>
      <w:tc>
        <w:tcPr>
          <w:tcW w:w="5387" w:type="dxa"/>
        </w:tcPr>
        <w:p w14:paraId="7C33C22F" w14:textId="26FC9B5A" w:rsidR="0042664D" w:rsidRDefault="0042664D" w:rsidP="006A21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30EF0">
            <w:rPr>
              <w:i/>
              <w:sz w:val="18"/>
            </w:rPr>
            <w:t>Sydney Harbour Federation Trust Amendment Act 2021</w:t>
          </w:r>
          <w:r w:rsidRPr="007A1328">
            <w:rPr>
              <w:i/>
              <w:sz w:val="18"/>
            </w:rPr>
            <w:fldChar w:fldCharType="end"/>
          </w:r>
        </w:p>
      </w:tc>
      <w:tc>
        <w:tcPr>
          <w:tcW w:w="669" w:type="dxa"/>
        </w:tcPr>
        <w:p w14:paraId="68AD78FC" w14:textId="77777777" w:rsidR="0042664D" w:rsidRDefault="0042664D" w:rsidP="006A21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4370">
            <w:rPr>
              <w:i/>
              <w:noProof/>
              <w:sz w:val="18"/>
            </w:rPr>
            <w:t>19</w:t>
          </w:r>
          <w:r w:rsidRPr="007A1328">
            <w:rPr>
              <w:i/>
              <w:sz w:val="18"/>
            </w:rPr>
            <w:fldChar w:fldCharType="end"/>
          </w:r>
        </w:p>
      </w:tc>
    </w:tr>
  </w:tbl>
  <w:p w14:paraId="4F57A66C" w14:textId="77777777" w:rsidR="0042664D" w:rsidRPr="00055B5C" w:rsidRDefault="0042664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E5C2" w14:textId="77777777" w:rsidR="0042664D" w:rsidRPr="00A961C4" w:rsidRDefault="0042664D" w:rsidP="004266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4"/>
      <w:gridCol w:w="654"/>
    </w:tblGrid>
    <w:tr w:rsidR="0042664D" w14:paraId="7208C1D4" w14:textId="77777777" w:rsidTr="000E6E32">
      <w:tc>
        <w:tcPr>
          <w:tcW w:w="1247" w:type="dxa"/>
        </w:tcPr>
        <w:p w14:paraId="63D6FE25" w14:textId="1C244B7A" w:rsidR="0042664D" w:rsidRDefault="0042664D" w:rsidP="006A21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30EF0">
            <w:rPr>
              <w:i/>
              <w:sz w:val="18"/>
            </w:rPr>
            <w:t>No. 49, 2021</w:t>
          </w:r>
          <w:r w:rsidRPr="007A1328">
            <w:rPr>
              <w:i/>
              <w:sz w:val="18"/>
            </w:rPr>
            <w:fldChar w:fldCharType="end"/>
          </w:r>
        </w:p>
      </w:tc>
      <w:tc>
        <w:tcPr>
          <w:tcW w:w="5387" w:type="dxa"/>
        </w:tcPr>
        <w:p w14:paraId="49E0B3E6" w14:textId="6C6BFDA7" w:rsidR="0042664D" w:rsidRDefault="0042664D" w:rsidP="006A21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30EF0">
            <w:rPr>
              <w:i/>
              <w:sz w:val="18"/>
            </w:rPr>
            <w:t>Sydney Harbour Federation Trust Amendment Act 2021</w:t>
          </w:r>
          <w:r w:rsidRPr="007A1328">
            <w:rPr>
              <w:i/>
              <w:sz w:val="18"/>
            </w:rPr>
            <w:fldChar w:fldCharType="end"/>
          </w:r>
        </w:p>
      </w:tc>
      <w:tc>
        <w:tcPr>
          <w:tcW w:w="669" w:type="dxa"/>
        </w:tcPr>
        <w:p w14:paraId="4C624BF5" w14:textId="77777777" w:rsidR="0042664D" w:rsidRDefault="0042664D" w:rsidP="006A21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14370">
            <w:rPr>
              <w:i/>
              <w:noProof/>
              <w:sz w:val="18"/>
            </w:rPr>
            <w:t>1</w:t>
          </w:r>
          <w:r w:rsidRPr="007A1328">
            <w:rPr>
              <w:i/>
              <w:sz w:val="18"/>
            </w:rPr>
            <w:fldChar w:fldCharType="end"/>
          </w:r>
        </w:p>
      </w:tc>
    </w:tr>
  </w:tbl>
  <w:p w14:paraId="5500DB53" w14:textId="77777777" w:rsidR="0042664D" w:rsidRPr="00A961C4" w:rsidRDefault="0042664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C623" w14:textId="77777777" w:rsidR="0042664D" w:rsidRDefault="0042664D" w:rsidP="0048364F">
      <w:pPr>
        <w:spacing w:line="240" w:lineRule="auto"/>
      </w:pPr>
      <w:r>
        <w:separator/>
      </w:r>
    </w:p>
  </w:footnote>
  <w:footnote w:type="continuationSeparator" w:id="0">
    <w:p w14:paraId="5375A89F" w14:textId="77777777" w:rsidR="0042664D" w:rsidRDefault="0042664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42F8" w14:textId="77777777" w:rsidR="0042664D" w:rsidRPr="005F1388" w:rsidRDefault="0042664D"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2F40" w14:textId="77777777" w:rsidR="0042664D" w:rsidRPr="005F1388" w:rsidRDefault="0042664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1798" w14:textId="77777777" w:rsidR="0042664D" w:rsidRPr="005F1388" w:rsidRDefault="0042664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B774" w14:textId="77777777" w:rsidR="0042664D" w:rsidRPr="00ED79B6" w:rsidRDefault="0042664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EF41" w14:textId="77777777" w:rsidR="0042664D" w:rsidRPr="00ED79B6" w:rsidRDefault="0042664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33BE" w14:textId="77777777" w:rsidR="0042664D" w:rsidRPr="00ED79B6" w:rsidRDefault="0042664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274D" w14:textId="0935FC49" w:rsidR="0042664D" w:rsidRPr="00A961C4" w:rsidRDefault="0042664D"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4401928F" w14:textId="1BF629D0" w:rsidR="0042664D" w:rsidRPr="00A961C4" w:rsidRDefault="0042664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B604CC6" w14:textId="77777777" w:rsidR="0042664D" w:rsidRPr="00A961C4" w:rsidRDefault="0042664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2FCC" w14:textId="1C896301" w:rsidR="0042664D" w:rsidRPr="00A961C4" w:rsidRDefault="0042664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8A050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8A050B">
      <w:rPr>
        <w:b/>
        <w:noProof/>
        <w:sz w:val="20"/>
      </w:rPr>
      <w:t>Schedule 1</w:t>
    </w:r>
    <w:r>
      <w:rPr>
        <w:b/>
        <w:sz w:val="20"/>
      </w:rPr>
      <w:fldChar w:fldCharType="end"/>
    </w:r>
  </w:p>
  <w:p w14:paraId="5379A6F6" w14:textId="00C9B04D" w:rsidR="0042664D" w:rsidRPr="00A961C4" w:rsidRDefault="0042664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8A050B">
      <w:rPr>
        <w:noProof/>
        <w:sz w:val="20"/>
      </w:rPr>
      <w:t>Review of the Trust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8A050B">
      <w:rPr>
        <w:b/>
        <w:noProof/>
        <w:sz w:val="20"/>
      </w:rPr>
      <w:t>Part 1</w:t>
    </w:r>
    <w:r w:rsidRPr="00A961C4">
      <w:rPr>
        <w:b/>
        <w:sz w:val="20"/>
      </w:rPr>
      <w:fldChar w:fldCharType="end"/>
    </w:r>
  </w:p>
  <w:p w14:paraId="7D06FCF6" w14:textId="77777777" w:rsidR="0042664D" w:rsidRPr="00A961C4" w:rsidRDefault="0042664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065A" w14:textId="77777777" w:rsidR="0042664D" w:rsidRPr="00A961C4" w:rsidRDefault="0042664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21330"/>
    <w:multiLevelType w:val="hybridMultilevel"/>
    <w:tmpl w:val="30D00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2E172A"/>
    <w:multiLevelType w:val="hybridMultilevel"/>
    <w:tmpl w:val="AB848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93604D"/>
    <w:multiLevelType w:val="hybridMultilevel"/>
    <w:tmpl w:val="5F5485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AB324B"/>
    <w:multiLevelType w:val="hybridMultilevel"/>
    <w:tmpl w:val="C3201C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FC6C2D"/>
    <w:multiLevelType w:val="hybridMultilevel"/>
    <w:tmpl w:val="8B9ED6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D01E26"/>
    <w:multiLevelType w:val="hybridMultilevel"/>
    <w:tmpl w:val="8C807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4B234B"/>
    <w:multiLevelType w:val="hybridMultilevel"/>
    <w:tmpl w:val="3DD0A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9F6F91"/>
    <w:multiLevelType w:val="hybridMultilevel"/>
    <w:tmpl w:val="65E8E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E436A5"/>
    <w:multiLevelType w:val="hybridMultilevel"/>
    <w:tmpl w:val="0EA29B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990256"/>
    <w:multiLevelType w:val="hybridMultilevel"/>
    <w:tmpl w:val="A69051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7054FF"/>
    <w:multiLevelType w:val="hybridMultilevel"/>
    <w:tmpl w:val="30D00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823378"/>
    <w:multiLevelType w:val="hybridMultilevel"/>
    <w:tmpl w:val="A9B651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CE05F6"/>
    <w:multiLevelType w:val="hybridMultilevel"/>
    <w:tmpl w:val="9AFA0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D45A01"/>
    <w:multiLevelType w:val="hybridMultilevel"/>
    <w:tmpl w:val="53461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1855DD"/>
    <w:multiLevelType w:val="hybridMultilevel"/>
    <w:tmpl w:val="790AE9B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34632E5"/>
    <w:multiLevelType w:val="hybridMultilevel"/>
    <w:tmpl w:val="547816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950C0A"/>
    <w:multiLevelType w:val="hybridMultilevel"/>
    <w:tmpl w:val="19AE7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017FD6"/>
    <w:multiLevelType w:val="hybridMultilevel"/>
    <w:tmpl w:val="D77064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F64668"/>
    <w:multiLevelType w:val="hybridMultilevel"/>
    <w:tmpl w:val="86E6B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DC2091"/>
    <w:multiLevelType w:val="hybridMultilevel"/>
    <w:tmpl w:val="CA969A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498E01B1"/>
    <w:multiLevelType w:val="hybridMultilevel"/>
    <w:tmpl w:val="0B1A4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B83D0A"/>
    <w:multiLevelType w:val="hybridMultilevel"/>
    <w:tmpl w:val="B4D273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0272A1B"/>
    <w:multiLevelType w:val="hybridMultilevel"/>
    <w:tmpl w:val="28665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5D316C"/>
    <w:multiLevelType w:val="hybridMultilevel"/>
    <w:tmpl w:val="7EE0E8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586A2D72"/>
    <w:multiLevelType w:val="hybridMultilevel"/>
    <w:tmpl w:val="69706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6B49E7"/>
    <w:multiLevelType w:val="hybridMultilevel"/>
    <w:tmpl w:val="E3F85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731685"/>
    <w:multiLevelType w:val="hybridMultilevel"/>
    <w:tmpl w:val="5C0E1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3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8"/>
  </w:num>
  <w:num w:numId="17">
    <w:abstractNumId w:val="22"/>
  </w:num>
  <w:num w:numId="18">
    <w:abstractNumId w:val="23"/>
  </w:num>
  <w:num w:numId="19">
    <w:abstractNumId w:val="29"/>
  </w:num>
  <w:num w:numId="20">
    <w:abstractNumId w:val="25"/>
  </w:num>
  <w:num w:numId="21">
    <w:abstractNumId w:val="35"/>
  </w:num>
  <w:num w:numId="22">
    <w:abstractNumId w:val="32"/>
  </w:num>
  <w:num w:numId="23">
    <w:abstractNumId w:val="30"/>
  </w:num>
  <w:num w:numId="24">
    <w:abstractNumId w:val="26"/>
  </w:num>
  <w:num w:numId="25">
    <w:abstractNumId w:val="37"/>
  </w:num>
  <w:num w:numId="26">
    <w:abstractNumId w:val="15"/>
  </w:num>
  <w:num w:numId="27">
    <w:abstractNumId w:val="14"/>
  </w:num>
  <w:num w:numId="28">
    <w:abstractNumId w:val="20"/>
  </w:num>
  <w:num w:numId="29">
    <w:abstractNumId w:val="19"/>
  </w:num>
  <w:num w:numId="30">
    <w:abstractNumId w:val="10"/>
  </w:num>
  <w:num w:numId="31">
    <w:abstractNumId w:val="21"/>
  </w:num>
  <w:num w:numId="32">
    <w:abstractNumId w:val="13"/>
  </w:num>
  <w:num w:numId="33">
    <w:abstractNumId w:val="24"/>
  </w:num>
  <w:num w:numId="34">
    <w:abstractNumId w:val="33"/>
  </w:num>
  <w:num w:numId="35">
    <w:abstractNumId w:val="11"/>
  </w:num>
  <w:num w:numId="36">
    <w:abstractNumId w:val="16"/>
  </w:num>
  <w:num w:numId="37">
    <w:abstractNumId w:val="28"/>
  </w:num>
  <w:num w:numId="38">
    <w:abstractNumId w:val="34"/>
  </w:num>
  <w:num w:numId="39">
    <w:abstractNumId w:val="1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42"/>
    <w:rsid w:val="00000673"/>
    <w:rsid w:val="00000A23"/>
    <w:rsid w:val="00001C30"/>
    <w:rsid w:val="00001DE9"/>
    <w:rsid w:val="00005B8A"/>
    <w:rsid w:val="00005DD3"/>
    <w:rsid w:val="000063B7"/>
    <w:rsid w:val="000113BC"/>
    <w:rsid w:val="000136AF"/>
    <w:rsid w:val="00016817"/>
    <w:rsid w:val="00017572"/>
    <w:rsid w:val="00017F0D"/>
    <w:rsid w:val="0002544A"/>
    <w:rsid w:val="000272EE"/>
    <w:rsid w:val="00027CC0"/>
    <w:rsid w:val="00032905"/>
    <w:rsid w:val="00033223"/>
    <w:rsid w:val="000338E0"/>
    <w:rsid w:val="00033A85"/>
    <w:rsid w:val="000348D6"/>
    <w:rsid w:val="00034C12"/>
    <w:rsid w:val="000370BA"/>
    <w:rsid w:val="00037A18"/>
    <w:rsid w:val="000417C9"/>
    <w:rsid w:val="00041FBE"/>
    <w:rsid w:val="00043DA0"/>
    <w:rsid w:val="00043DD0"/>
    <w:rsid w:val="00046B8D"/>
    <w:rsid w:val="000477C7"/>
    <w:rsid w:val="0005028C"/>
    <w:rsid w:val="000508D1"/>
    <w:rsid w:val="00054A90"/>
    <w:rsid w:val="00055B5C"/>
    <w:rsid w:val="00056391"/>
    <w:rsid w:val="0006061E"/>
    <w:rsid w:val="00060FF9"/>
    <w:rsid w:val="000614BF"/>
    <w:rsid w:val="00064D2E"/>
    <w:rsid w:val="00067E8F"/>
    <w:rsid w:val="0007148F"/>
    <w:rsid w:val="000732C1"/>
    <w:rsid w:val="0007725E"/>
    <w:rsid w:val="0008114A"/>
    <w:rsid w:val="000838EA"/>
    <w:rsid w:val="00083F0C"/>
    <w:rsid w:val="00084231"/>
    <w:rsid w:val="00084D5E"/>
    <w:rsid w:val="00090AFF"/>
    <w:rsid w:val="0009268A"/>
    <w:rsid w:val="00092E0E"/>
    <w:rsid w:val="00095C2C"/>
    <w:rsid w:val="00096559"/>
    <w:rsid w:val="0009753E"/>
    <w:rsid w:val="00097FA9"/>
    <w:rsid w:val="000A07F6"/>
    <w:rsid w:val="000A1B4D"/>
    <w:rsid w:val="000A4410"/>
    <w:rsid w:val="000A4A37"/>
    <w:rsid w:val="000A52B2"/>
    <w:rsid w:val="000A57AC"/>
    <w:rsid w:val="000A5C0F"/>
    <w:rsid w:val="000B1BE3"/>
    <w:rsid w:val="000B1CCD"/>
    <w:rsid w:val="000B1FD2"/>
    <w:rsid w:val="000B4C13"/>
    <w:rsid w:val="000B5901"/>
    <w:rsid w:val="000B7A1C"/>
    <w:rsid w:val="000C1F74"/>
    <w:rsid w:val="000C2BB2"/>
    <w:rsid w:val="000C2D96"/>
    <w:rsid w:val="000C2DD4"/>
    <w:rsid w:val="000C6268"/>
    <w:rsid w:val="000C64CA"/>
    <w:rsid w:val="000D05EF"/>
    <w:rsid w:val="000D1F61"/>
    <w:rsid w:val="000D571C"/>
    <w:rsid w:val="000D6CD8"/>
    <w:rsid w:val="000D7DEF"/>
    <w:rsid w:val="000E291D"/>
    <w:rsid w:val="000E4F51"/>
    <w:rsid w:val="000E5F0E"/>
    <w:rsid w:val="000E60D6"/>
    <w:rsid w:val="000E6E32"/>
    <w:rsid w:val="000F0126"/>
    <w:rsid w:val="000F03F5"/>
    <w:rsid w:val="000F0603"/>
    <w:rsid w:val="000F21C1"/>
    <w:rsid w:val="000F3ADF"/>
    <w:rsid w:val="000F55CB"/>
    <w:rsid w:val="000F569C"/>
    <w:rsid w:val="000F6BC0"/>
    <w:rsid w:val="00101C40"/>
    <w:rsid w:val="00101D90"/>
    <w:rsid w:val="00102AD1"/>
    <w:rsid w:val="00102CB6"/>
    <w:rsid w:val="001039CC"/>
    <w:rsid w:val="001053F8"/>
    <w:rsid w:val="00105F28"/>
    <w:rsid w:val="0010745C"/>
    <w:rsid w:val="00110A53"/>
    <w:rsid w:val="0011198D"/>
    <w:rsid w:val="00113BD1"/>
    <w:rsid w:val="001140A6"/>
    <w:rsid w:val="00114662"/>
    <w:rsid w:val="00114A6C"/>
    <w:rsid w:val="00116CA3"/>
    <w:rsid w:val="00122206"/>
    <w:rsid w:val="0012489E"/>
    <w:rsid w:val="00125B1B"/>
    <w:rsid w:val="00130513"/>
    <w:rsid w:val="0013104F"/>
    <w:rsid w:val="00132C3E"/>
    <w:rsid w:val="00133EFC"/>
    <w:rsid w:val="00135D1C"/>
    <w:rsid w:val="00136F67"/>
    <w:rsid w:val="001412B3"/>
    <w:rsid w:val="001471ED"/>
    <w:rsid w:val="001536D8"/>
    <w:rsid w:val="0015646E"/>
    <w:rsid w:val="001579EE"/>
    <w:rsid w:val="00161866"/>
    <w:rsid w:val="0016293A"/>
    <w:rsid w:val="001643C9"/>
    <w:rsid w:val="00165568"/>
    <w:rsid w:val="00166C2F"/>
    <w:rsid w:val="00166DF4"/>
    <w:rsid w:val="001716C9"/>
    <w:rsid w:val="00173363"/>
    <w:rsid w:val="00173B94"/>
    <w:rsid w:val="00173D5D"/>
    <w:rsid w:val="00173E26"/>
    <w:rsid w:val="00175B03"/>
    <w:rsid w:val="00180AEB"/>
    <w:rsid w:val="00182A6B"/>
    <w:rsid w:val="001854B4"/>
    <w:rsid w:val="00190788"/>
    <w:rsid w:val="00191DF1"/>
    <w:rsid w:val="001939E1"/>
    <w:rsid w:val="00195382"/>
    <w:rsid w:val="00196EC0"/>
    <w:rsid w:val="00197A87"/>
    <w:rsid w:val="001A1C16"/>
    <w:rsid w:val="001A321E"/>
    <w:rsid w:val="001A3658"/>
    <w:rsid w:val="001A3DA5"/>
    <w:rsid w:val="001A52A4"/>
    <w:rsid w:val="001A759A"/>
    <w:rsid w:val="001B2C65"/>
    <w:rsid w:val="001B2EA3"/>
    <w:rsid w:val="001B367C"/>
    <w:rsid w:val="001B3F42"/>
    <w:rsid w:val="001B4E07"/>
    <w:rsid w:val="001B633C"/>
    <w:rsid w:val="001B7A5D"/>
    <w:rsid w:val="001B7FE0"/>
    <w:rsid w:val="001C2411"/>
    <w:rsid w:val="001C2418"/>
    <w:rsid w:val="001C2AF2"/>
    <w:rsid w:val="001C3110"/>
    <w:rsid w:val="001C3DDF"/>
    <w:rsid w:val="001C4F4A"/>
    <w:rsid w:val="001C6663"/>
    <w:rsid w:val="001C69C4"/>
    <w:rsid w:val="001C7784"/>
    <w:rsid w:val="001C7BEF"/>
    <w:rsid w:val="001D480C"/>
    <w:rsid w:val="001D6720"/>
    <w:rsid w:val="001D6AC6"/>
    <w:rsid w:val="001E3590"/>
    <w:rsid w:val="001E427D"/>
    <w:rsid w:val="001E6F7D"/>
    <w:rsid w:val="001E7407"/>
    <w:rsid w:val="001F02C5"/>
    <w:rsid w:val="001F0755"/>
    <w:rsid w:val="001F0BF7"/>
    <w:rsid w:val="001F1A27"/>
    <w:rsid w:val="001F2234"/>
    <w:rsid w:val="001F2746"/>
    <w:rsid w:val="001F5BA4"/>
    <w:rsid w:val="001F6916"/>
    <w:rsid w:val="001F6999"/>
    <w:rsid w:val="0020047B"/>
    <w:rsid w:val="0020071B"/>
    <w:rsid w:val="00201CAC"/>
    <w:rsid w:val="00201D27"/>
    <w:rsid w:val="00202618"/>
    <w:rsid w:val="00206954"/>
    <w:rsid w:val="002101C8"/>
    <w:rsid w:val="002105C6"/>
    <w:rsid w:val="0021080E"/>
    <w:rsid w:val="002110A1"/>
    <w:rsid w:val="0021263B"/>
    <w:rsid w:val="002129A0"/>
    <w:rsid w:val="00215B24"/>
    <w:rsid w:val="002207CF"/>
    <w:rsid w:val="00221A32"/>
    <w:rsid w:val="00222CAC"/>
    <w:rsid w:val="00222EF1"/>
    <w:rsid w:val="00224AF6"/>
    <w:rsid w:val="00225E3A"/>
    <w:rsid w:val="002274A6"/>
    <w:rsid w:val="002328A3"/>
    <w:rsid w:val="00233900"/>
    <w:rsid w:val="002360B5"/>
    <w:rsid w:val="00240749"/>
    <w:rsid w:val="00240945"/>
    <w:rsid w:val="00240DD4"/>
    <w:rsid w:val="00242B3B"/>
    <w:rsid w:val="0024572D"/>
    <w:rsid w:val="002463A5"/>
    <w:rsid w:val="002504ED"/>
    <w:rsid w:val="00254DBD"/>
    <w:rsid w:val="00255A75"/>
    <w:rsid w:val="0025714E"/>
    <w:rsid w:val="0026133A"/>
    <w:rsid w:val="00261783"/>
    <w:rsid w:val="00263820"/>
    <w:rsid w:val="00267281"/>
    <w:rsid w:val="00271AC8"/>
    <w:rsid w:val="00275197"/>
    <w:rsid w:val="00281E67"/>
    <w:rsid w:val="00282C00"/>
    <w:rsid w:val="00283CEA"/>
    <w:rsid w:val="002855D7"/>
    <w:rsid w:val="00285702"/>
    <w:rsid w:val="00285B4A"/>
    <w:rsid w:val="00290992"/>
    <w:rsid w:val="0029178A"/>
    <w:rsid w:val="00292B69"/>
    <w:rsid w:val="00292D40"/>
    <w:rsid w:val="00293B89"/>
    <w:rsid w:val="00294262"/>
    <w:rsid w:val="00294EDB"/>
    <w:rsid w:val="00295219"/>
    <w:rsid w:val="00297948"/>
    <w:rsid w:val="00297DE5"/>
    <w:rsid w:val="00297ECB"/>
    <w:rsid w:val="002A012D"/>
    <w:rsid w:val="002A3746"/>
    <w:rsid w:val="002A3F0F"/>
    <w:rsid w:val="002A5E53"/>
    <w:rsid w:val="002A7011"/>
    <w:rsid w:val="002B05D2"/>
    <w:rsid w:val="002B1349"/>
    <w:rsid w:val="002B1669"/>
    <w:rsid w:val="002B1E1E"/>
    <w:rsid w:val="002B1EF7"/>
    <w:rsid w:val="002B541D"/>
    <w:rsid w:val="002B55CA"/>
    <w:rsid w:val="002B5A30"/>
    <w:rsid w:val="002C26BD"/>
    <w:rsid w:val="002C2B66"/>
    <w:rsid w:val="002C3662"/>
    <w:rsid w:val="002C656B"/>
    <w:rsid w:val="002D043A"/>
    <w:rsid w:val="002D395A"/>
    <w:rsid w:val="002D4677"/>
    <w:rsid w:val="002D46B3"/>
    <w:rsid w:val="002D4BA5"/>
    <w:rsid w:val="002D4ECA"/>
    <w:rsid w:val="002D75FC"/>
    <w:rsid w:val="002D77C8"/>
    <w:rsid w:val="002E681F"/>
    <w:rsid w:val="002F07C6"/>
    <w:rsid w:val="002F2133"/>
    <w:rsid w:val="002F4BCF"/>
    <w:rsid w:val="002F6329"/>
    <w:rsid w:val="002F7FC5"/>
    <w:rsid w:val="003001E7"/>
    <w:rsid w:val="00301201"/>
    <w:rsid w:val="00303624"/>
    <w:rsid w:val="00303676"/>
    <w:rsid w:val="00303C07"/>
    <w:rsid w:val="00304555"/>
    <w:rsid w:val="003057D4"/>
    <w:rsid w:val="00311050"/>
    <w:rsid w:val="00312D56"/>
    <w:rsid w:val="0031542F"/>
    <w:rsid w:val="00316AC1"/>
    <w:rsid w:val="00316E4E"/>
    <w:rsid w:val="00317067"/>
    <w:rsid w:val="00321DCB"/>
    <w:rsid w:val="003226BF"/>
    <w:rsid w:val="00322F15"/>
    <w:rsid w:val="00325CD1"/>
    <w:rsid w:val="0032627B"/>
    <w:rsid w:val="00326C5B"/>
    <w:rsid w:val="00326D8E"/>
    <w:rsid w:val="0033374C"/>
    <w:rsid w:val="00333D2D"/>
    <w:rsid w:val="00334293"/>
    <w:rsid w:val="003347A3"/>
    <w:rsid w:val="00334AD5"/>
    <w:rsid w:val="00337615"/>
    <w:rsid w:val="003400B6"/>
    <w:rsid w:val="00340268"/>
    <w:rsid w:val="003415D3"/>
    <w:rsid w:val="003437A1"/>
    <w:rsid w:val="00345FFC"/>
    <w:rsid w:val="00347FDE"/>
    <w:rsid w:val="00350417"/>
    <w:rsid w:val="00352B0F"/>
    <w:rsid w:val="00352F46"/>
    <w:rsid w:val="00357CB2"/>
    <w:rsid w:val="003606C6"/>
    <w:rsid w:val="00361845"/>
    <w:rsid w:val="00363A67"/>
    <w:rsid w:val="00364318"/>
    <w:rsid w:val="003645B8"/>
    <w:rsid w:val="00364F49"/>
    <w:rsid w:val="00365FDC"/>
    <w:rsid w:val="003675CF"/>
    <w:rsid w:val="003709D4"/>
    <w:rsid w:val="00371405"/>
    <w:rsid w:val="003723D9"/>
    <w:rsid w:val="0037274D"/>
    <w:rsid w:val="00373874"/>
    <w:rsid w:val="0037498B"/>
    <w:rsid w:val="00375C6C"/>
    <w:rsid w:val="00376C4D"/>
    <w:rsid w:val="00380D33"/>
    <w:rsid w:val="003845D4"/>
    <w:rsid w:val="00385319"/>
    <w:rsid w:val="00385DB9"/>
    <w:rsid w:val="00390376"/>
    <w:rsid w:val="0039221B"/>
    <w:rsid w:val="003926DA"/>
    <w:rsid w:val="00392877"/>
    <w:rsid w:val="00395D83"/>
    <w:rsid w:val="003A07E1"/>
    <w:rsid w:val="003A0B10"/>
    <w:rsid w:val="003A105B"/>
    <w:rsid w:val="003A266E"/>
    <w:rsid w:val="003A36C5"/>
    <w:rsid w:val="003A3F22"/>
    <w:rsid w:val="003A5F6C"/>
    <w:rsid w:val="003A6856"/>
    <w:rsid w:val="003A7B3C"/>
    <w:rsid w:val="003B0567"/>
    <w:rsid w:val="003B0F61"/>
    <w:rsid w:val="003B23F3"/>
    <w:rsid w:val="003B31A3"/>
    <w:rsid w:val="003B3F04"/>
    <w:rsid w:val="003B4E3D"/>
    <w:rsid w:val="003B66D4"/>
    <w:rsid w:val="003C04A8"/>
    <w:rsid w:val="003C084E"/>
    <w:rsid w:val="003C4123"/>
    <w:rsid w:val="003C565C"/>
    <w:rsid w:val="003C5F2B"/>
    <w:rsid w:val="003C68EE"/>
    <w:rsid w:val="003C7B4F"/>
    <w:rsid w:val="003D0BFE"/>
    <w:rsid w:val="003D2A29"/>
    <w:rsid w:val="003D50BC"/>
    <w:rsid w:val="003D5700"/>
    <w:rsid w:val="003D727A"/>
    <w:rsid w:val="003E2157"/>
    <w:rsid w:val="003E290A"/>
    <w:rsid w:val="003E2A97"/>
    <w:rsid w:val="003E3961"/>
    <w:rsid w:val="003E3F91"/>
    <w:rsid w:val="003E3FE4"/>
    <w:rsid w:val="003E43E4"/>
    <w:rsid w:val="003E4E66"/>
    <w:rsid w:val="003F3EA2"/>
    <w:rsid w:val="003F4F60"/>
    <w:rsid w:val="003F67C3"/>
    <w:rsid w:val="003F7D98"/>
    <w:rsid w:val="0040297B"/>
    <w:rsid w:val="00403270"/>
    <w:rsid w:val="00403367"/>
    <w:rsid w:val="00404711"/>
    <w:rsid w:val="00405579"/>
    <w:rsid w:val="00405A0C"/>
    <w:rsid w:val="00410875"/>
    <w:rsid w:val="00410B8E"/>
    <w:rsid w:val="004116CD"/>
    <w:rsid w:val="00413A68"/>
    <w:rsid w:val="0041405E"/>
    <w:rsid w:val="004140BA"/>
    <w:rsid w:val="00416417"/>
    <w:rsid w:val="004176D6"/>
    <w:rsid w:val="00417C14"/>
    <w:rsid w:val="00420A33"/>
    <w:rsid w:val="00420E23"/>
    <w:rsid w:val="0042129F"/>
    <w:rsid w:val="004215CC"/>
    <w:rsid w:val="00421FC1"/>
    <w:rsid w:val="004223EF"/>
    <w:rsid w:val="004229C7"/>
    <w:rsid w:val="00422B84"/>
    <w:rsid w:val="0042374B"/>
    <w:rsid w:val="00424BC5"/>
    <w:rsid w:val="00424CA9"/>
    <w:rsid w:val="0042664D"/>
    <w:rsid w:val="00427B89"/>
    <w:rsid w:val="00431598"/>
    <w:rsid w:val="00431A0B"/>
    <w:rsid w:val="0043216A"/>
    <w:rsid w:val="004347C6"/>
    <w:rsid w:val="00436785"/>
    <w:rsid w:val="00436BD5"/>
    <w:rsid w:val="00437E4B"/>
    <w:rsid w:val="00437F6E"/>
    <w:rsid w:val="00441D45"/>
    <w:rsid w:val="004423F0"/>
    <w:rsid w:val="0044291A"/>
    <w:rsid w:val="004474CB"/>
    <w:rsid w:val="0044770B"/>
    <w:rsid w:val="00454BC2"/>
    <w:rsid w:val="00460B6C"/>
    <w:rsid w:val="00460BA9"/>
    <w:rsid w:val="00463E92"/>
    <w:rsid w:val="0046418E"/>
    <w:rsid w:val="00464604"/>
    <w:rsid w:val="00464976"/>
    <w:rsid w:val="004652C9"/>
    <w:rsid w:val="00467E4A"/>
    <w:rsid w:val="0047109E"/>
    <w:rsid w:val="004722F7"/>
    <w:rsid w:val="00475210"/>
    <w:rsid w:val="004757D8"/>
    <w:rsid w:val="0048196B"/>
    <w:rsid w:val="00481C6E"/>
    <w:rsid w:val="00481FC7"/>
    <w:rsid w:val="00483586"/>
    <w:rsid w:val="0048364F"/>
    <w:rsid w:val="0048615A"/>
    <w:rsid w:val="00486D05"/>
    <w:rsid w:val="0049032D"/>
    <w:rsid w:val="00490C9B"/>
    <w:rsid w:val="00491650"/>
    <w:rsid w:val="0049571E"/>
    <w:rsid w:val="00496F97"/>
    <w:rsid w:val="004A33BD"/>
    <w:rsid w:val="004A38F7"/>
    <w:rsid w:val="004A63C7"/>
    <w:rsid w:val="004A7073"/>
    <w:rsid w:val="004B07A7"/>
    <w:rsid w:val="004B0F42"/>
    <w:rsid w:val="004B1273"/>
    <w:rsid w:val="004B3491"/>
    <w:rsid w:val="004C3B70"/>
    <w:rsid w:val="004C47ED"/>
    <w:rsid w:val="004C6F54"/>
    <w:rsid w:val="004C7C8C"/>
    <w:rsid w:val="004D0668"/>
    <w:rsid w:val="004D7AF9"/>
    <w:rsid w:val="004D7EE9"/>
    <w:rsid w:val="004E2A4A"/>
    <w:rsid w:val="004E4524"/>
    <w:rsid w:val="004E79B6"/>
    <w:rsid w:val="004F0D23"/>
    <w:rsid w:val="004F0F62"/>
    <w:rsid w:val="004F136B"/>
    <w:rsid w:val="004F193E"/>
    <w:rsid w:val="004F1FAC"/>
    <w:rsid w:val="004F3AD4"/>
    <w:rsid w:val="004F4FE1"/>
    <w:rsid w:val="00503F6C"/>
    <w:rsid w:val="00511106"/>
    <w:rsid w:val="005115F3"/>
    <w:rsid w:val="00512FD7"/>
    <w:rsid w:val="00514F4C"/>
    <w:rsid w:val="00515D79"/>
    <w:rsid w:val="005162A2"/>
    <w:rsid w:val="00516B8D"/>
    <w:rsid w:val="00517AEE"/>
    <w:rsid w:val="00517F38"/>
    <w:rsid w:val="005207D9"/>
    <w:rsid w:val="005217D8"/>
    <w:rsid w:val="00523C3A"/>
    <w:rsid w:val="005247E6"/>
    <w:rsid w:val="00524C22"/>
    <w:rsid w:val="00525C65"/>
    <w:rsid w:val="00531575"/>
    <w:rsid w:val="00537FBC"/>
    <w:rsid w:val="00542A5E"/>
    <w:rsid w:val="005431DC"/>
    <w:rsid w:val="00543469"/>
    <w:rsid w:val="005460E4"/>
    <w:rsid w:val="00551B54"/>
    <w:rsid w:val="005547A9"/>
    <w:rsid w:val="0055613B"/>
    <w:rsid w:val="005640A8"/>
    <w:rsid w:val="005645B2"/>
    <w:rsid w:val="0056679A"/>
    <w:rsid w:val="00572F27"/>
    <w:rsid w:val="005806D0"/>
    <w:rsid w:val="00583A0F"/>
    <w:rsid w:val="00583C2C"/>
    <w:rsid w:val="005843BB"/>
    <w:rsid w:val="00584691"/>
    <w:rsid w:val="00584811"/>
    <w:rsid w:val="00585583"/>
    <w:rsid w:val="00585DCA"/>
    <w:rsid w:val="00585ED0"/>
    <w:rsid w:val="0059278D"/>
    <w:rsid w:val="0059388B"/>
    <w:rsid w:val="00593AA6"/>
    <w:rsid w:val="00594161"/>
    <w:rsid w:val="00594749"/>
    <w:rsid w:val="005A02DD"/>
    <w:rsid w:val="005A0D92"/>
    <w:rsid w:val="005A3EA1"/>
    <w:rsid w:val="005A5A71"/>
    <w:rsid w:val="005A61E9"/>
    <w:rsid w:val="005A68C3"/>
    <w:rsid w:val="005B06D0"/>
    <w:rsid w:val="005B4067"/>
    <w:rsid w:val="005B4449"/>
    <w:rsid w:val="005B46F7"/>
    <w:rsid w:val="005B537A"/>
    <w:rsid w:val="005B7AF5"/>
    <w:rsid w:val="005C39A0"/>
    <w:rsid w:val="005C39F3"/>
    <w:rsid w:val="005C3B6A"/>
    <w:rsid w:val="005C3F41"/>
    <w:rsid w:val="005C52D1"/>
    <w:rsid w:val="005D0294"/>
    <w:rsid w:val="005D0DBB"/>
    <w:rsid w:val="005D1C9A"/>
    <w:rsid w:val="005D281F"/>
    <w:rsid w:val="005D3F8D"/>
    <w:rsid w:val="005E0BE8"/>
    <w:rsid w:val="005E152A"/>
    <w:rsid w:val="005E60CE"/>
    <w:rsid w:val="005E674E"/>
    <w:rsid w:val="005E71C3"/>
    <w:rsid w:val="005E7F93"/>
    <w:rsid w:val="005F2AB8"/>
    <w:rsid w:val="005F37CA"/>
    <w:rsid w:val="005F4B02"/>
    <w:rsid w:val="005F4C87"/>
    <w:rsid w:val="005F5175"/>
    <w:rsid w:val="005F5C81"/>
    <w:rsid w:val="00600219"/>
    <w:rsid w:val="00600244"/>
    <w:rsid w:val="0060078B"/>
    <w:rsid w:val="00601E00"/>
    <w:rsid w:val="00602244"/>
    <w:rsid w:val="00602E65"/>
    <w:rsid w:val="00603C09"/>
    <w:rsid w:val="0060417F"/>
    <w:rsid w:val="006053D6"/>
    <w:rsid w:val="0061032A"/>
    <w:rsid w:val="006105B8"/>
    <w:rsid w:val="006125D3"/>
    <w:rsid w:val="006135C8"/>
    <w:rsid w:val="00615874"/>
    <w:rsid w:val="0061694C"/>
    <w:rsid w:val="0062268A"/>
    <w:rsid w:val="00623609"/>
    <w:rsid w:val="0063054B"/>
    <w:rsid w:val="006310BE"/>
    <w:rsid w:val="006310F1"/>
    <w:rsid w:val="006347B5"/>
    <w:rsid w:val="00634BC8"/>
    <w:rsid w:val="00634DA7"/>
    <w:rsid w:val="00636B2E"/>
    <w:rsid w:val="00637301"/>
    <w:rsid w:val="00637A53"/>
    <w:rsid w:val="00641DE5"/>
    <w:rsid w:val="00642986"/>
    <w:rsid w:val="00642C34"/>
    <w:rsid w:val="006434BB"/>
    <w:rsid w:val="00644CD6"/>
    <w:rsid w:val="00645E0E"/>
    <w:rsid w:val="00646B2E"/>
    <w:rsid w:val="00647D78"/>
    <w:rsid w:val="00652196"/>
    <w:rsid w:val="00652B7F"/>
    <w:rsid w:val="00654593"/>
    <w:rsid w:val="00655560"/>
    <w:rsid w:val="006563EA"/>
    <w:rsid w:val="00656E92"/>
    <w:rsid w:val="00656F0C"/>
    <w:rsid w:val="00660ACA"/>
    <w:rsid w:val="0066771E"/>
    <w:rsid w:val="006729DF"/>
    <w:rsid w:val="00672E10"/>
    <w:rsid w:val="006730E2"/>
    <w:rsid w:val="006738F0"/>
    <w:rsid w:val="006744F9"/>
    <w:rsid w:val="00677CC2"/>
    <w:rsid w:val="00680282"/>
    <w:rsid w:val="00680CE8"/>
    <w:rsid w:val="00681F92"/>
    <w:rsid w:val="00681FA2"/>
    <w:rsid w:val="00682350"/>
    <w:rsid w:val="006842C2"/>
    <w:rsid w:val="00685B3B"/>
    <w:rsid w:val="00685BB3"/>
    <w:rsid w:val="00685F42"/>
    <w:rsid w:val="006876CF"/>
    <w:rsid w:val="0069207B"/>
    <w:rsid w:val="006936B2"/>
    <w:rsid w:val="0069748F"/>
    <w:rsid w:val="006A04B2"/>
    <w:rsid w:val="006A056D"/>
    <w:rsid w:val="006A0C86"/>
    <w:rsid w:val="006A2109"/>
    <w:rsid w:val="006A234E"/>
    <w:rsid w:val="006A4B23"/>
    <w:rsid w:val="006A4BF1"/>
    <w:rsid w:val="006A5120"/>
    <w:rsid w:val="006A5DB8"/>
    <w:rsid w:val="006B37C6"/>
    <w:rsid w:val="006B4372"/>
    <w:rsid w:val="006B525D"/>
    <w:rsid w:val="006B7130"/>
    <w:rsid w:val="006C0790"/>
    <w:rsid w:val="006C11A1"/>
    <w:rsid w:val="006C2874"/>
    <w:rsid w:val="006C2B0C"/>
    <w:rsid w:val="006C2D56"/>
    <w:rsid w:val="006C635F"/>
    <w:rsid w:val="006C7DE3"/>
    <w:rsid w:val="006C7E39"/>
    <w:rsid w:val="006C7F8C"/>
    <w:rsid w:val="006D1006"/>
    <w:rsid w:val="006D1726"/>
    <w:rsid w:val="006D201D"/>
    <w:rsid w:val="006D2584"/>
    <w:rsid w:val="006D2ACC"/>
    <w:rsid w:val="006D380D"/>
    <w:rsid w:val="006D5208"/>
    <w:rsid w:val="006D56BF"/>
    <w:rsid w:val="006D67F6"/>
    <w:rsid w:val="006D69E0"/>
    <w:rsid w:val="006D7B36"/>
    <w:rsid w:val="006D7EAB"/>
    <w:rsid w:val="006E0135"/>
    <w:rsid w:val="006E0E50"/>
    <w:rsid w:val="006E1851"/>
    <w:rsid w:val="006E303A"/>
    <w:rsid w:val="006E5673"/>
    <w:rsid w:val="006E70D5"/>
    <w:rsid w:val="006F02CB"/>
    <w:rsid w:val="006F4EEF"/>
    <w:rsid w:val="006F7E19"/>
    <w:rsid w:val="00700B2C"/>
    <w:rsid w:val="007011BF"/>
    <w:rsid w:val="00701FDD"/>
    <w:rsid w:val="007068BA"/>
    <w:rsid w:val="00712D8D"/>
    <w:rsid w:val="00713084"/>
    <w:rsid w:val="00714B26"/>
    <w:rsid w:val="00714F71"/>
    <w:rsid w:val="007155E0"/>
    <w:rsid w:val="007161B0"/>
    <w:rsid w:val="00716D63"/>
    <w:rsid w:val="00725E8F"/>
    <w:rsid w:val="00731B14"/>
    <w:rsid w:val="00731E00"/>
    <w:rsid w:val="00735E4E"/>
    <w:rsid w:val="00741788"/>
    <w:rsid w:val="007427CF"/>
    <w:rsid w:val="007440B7"/>
    <w:rsid w:val="00744CBB"/>
    <w:rsid w:val="00750E67"/>
    <w:rsid w:val="007543AC"/>
    <w:rsid w:val="00756255"/>
    <w:rsid w:val="00760AE2"/>
    <w:rsid w:val="00761467"/>
    <w:rsid w:val="007617B7"/>
    <w:rsid w:val="007634AD"/>
    <w:rsid w:val="00763C9A"/>
    <w:rsid w:val="00767F21"/>
    <w:rsid w:val="007715C9"/>
    <w:rsid w:val="00772227"/>
    <w:rsid w:val="00772980"/>
    <w:rsid w:val="00774EDD"/>
    <w:rsid w:val="00775442"/>
    <w:rsid w:val="0077578E"/>
    <w:rsid w:val="007757EC"/>
    <w:rsid w:val="00780A4D"/>
    <w:rsid w:val="00781E78"/>
    <w:rsid w:val="0078248A"/>
    <w:rsid w:val="007849AA"/>
    <w:rsid w:val="00785ECB"/>
    <w:rsid w:val="00792D51"/>
    <w:rsid w:val="00793431"/>
    <w:rsid w:val="007946D6"/>
    <w:rsid w:val="00794DDE"/>
    <w:rsid w:val="00795E26"/>
    <w:rsid w:val="0079796E"/>
    <w:rsid w:val="007A4A2E"/>
    <w:rsid w:val="007A5F95"/>
    <w:rsid w:val="007A60A0"/>
    <w:rsid w:val="007A6596"/>
    <w:rsid w:val="007A700D"/>
    <w:rsid w:val="007B0777"/>
    <w:rsid w:val="007B30AA"/>
    <w:rsid w:val="007B7DE0"/>
    <w:rsid w:val="007C0AD4"/>
    <w:rsid w:val="007C21CC"/>
    <w:rsid w:val="007C248E"/>
    <w:rsid w:val="007C445D"/>
    <w:rsid w:val="007C6AD9"/>
    <w:rsid w:val="007D19FA"/>
    <w:rsid w:val="007D37A9"/>
    <w:rsid w:val="007D4DB4"/>
    <w:rsid w:val="007D5EFE"/>
    <w:rsid w:val="007E0BE8"/>
    <w:rsid w:val="007E35B4"/>
    <w:rsid w:val="007E5832"/>
    <w:rsid w:val="007E65A0"/>
    <w:rsid w:val="007E6BE5"/>
    <w:rsid w:val="007E77B7"/>
    <w:rsid w:val="007E7D4A"/>
    <w:rsid w:val="007E7DDF"/>
    <w:rsid w:val="007F0FCD"/>
    <w:rsid w:val="007F50B3"/>
    <w:rsid w:val="008000C9"/>
    <w:rsid w:val="00800625"/>
    <w:rsid w:val="008006CC"/>
    <w:rsid w:val="00801954"/>
    <w:rsid w:val="00801EA1"/>
    <w:rsid w:val="008020F2"/>
    <w:rsid w:val="008028A6"/>
    <w:rsid w:val="00803E95"/>
    <w:rsid w:val="00804A35"/>
    <w:rsid w:val="00807F18"/>
    <w:rsid w:val="00807F5B"/>
    <w:rsid w:val="00811EFE"/>
    <w:rsid w:val="008123C7"/>
    <w:rsid w:val="00815A27"/>
    <w:rsid w:val="00815A7D"/>
    <w:rsid w:val="00816830"/>
    <w:rsid w:val="00817029"/>
    <w:rsid w:val="0082283C"/>
    <w:rsid w:val="00824D31"/>
    <w:rsid w:val="00824DCE"/>
    <w:rsid w:val="00826C50"/>
    <w:rsid w:val="00827151"/>
    <w:rsid w:val="00830A56"/>
    <w:rsid w:val="00831E8D"/>
    <w:rsid w:val="00833269"/>
    <w:rsid w:val="00833C09"/>
    <w:rsid w:val="0083564B"/>
    <w:rsid w:val="00836988"/>
    <w:rsid w:val="00836D67"/>
    <w:rsid w:val="008375E5"/>
    <w:rsid w:val="00840165"/>
    <w:rsid w:val="00841AE8"/>
    <w:rsid w:val="00843321"/>
    <w:rsid w:val="0084522A"/>
    <w:rsid w:val="0084600A"/>
    <w:rsid w:val="0084674B"/>
    <w:rsid w:val="00846CAE"/>
    <w:rsid w:val="00846E4D"/>
    <w:rsid w:val="00854BB3"/>
    <w:rsid w:val="0085611C"/>
    <w:rsid w:val="00856A31"/>
    <w:rsid w:val="00857D6B"/>
    <w:rsid w:val="00857F28"/>
    <w:rsid w:val="00860D1D"/>
    <w:rsid w:val="008627E3"/>
    <w:rsid w:val="00863D7A"/>
    <w:rsid w:val="008701AF"/>
    <w:rsid w:val="0087154A"/>
    <w:rsid w:val="00872088"/>
    <w:rsid w:val="008738A3"/>
    <w:rsid w:val="00874B08"/>
    <w:rsid w:val="008754D0"/>
    <w:rsid w:val="00875986"/>
    <w:rsid w:val="008761B3"/>
    <w:rsid w:val="00876879"/>
    <w:rsid w:val="00876A06"/>
    <w:rsid w:val="00876E00"/>
    <w:rsid w:val="008776CD"/>
    <w:rsid w:val="00877D48"/>
    <w:rsid w:val="00880036"/>
    <w:rsid w:val="008820BF"/>
    <w:rsid w:val="00882E35"/>
    <w:rsid w:val="00883781"/>
    <w:rsid w:val="00885570"/>
    <w:rsid w:val="00886C9F"/>
    <w:rsid w:val="00891BF4"/>
    <w:rsid w:val="00892D47"/>
    <w:rsid w:val="00893958"/>
    <w:rsid w:val="00893B83"/>
    <w:rsid w:val="00895469"/>
    <w:rsid w:val="0089585E"/>
    <w:rsid w:val="008959D1"/>
    <w:rsid w:val="008A024B"/>
    <w:rsid w:val="008A050B"/>
    <w:rsid w:val="008A0B20"/>
    <w:rsid w:val="008A1029"/>
    <w:rsid w:val="008A23E9"/>
    <w:rsid w:val="008A2E77"/>
    <w:rsid w:val="008A7D7D"/>
    <w:rsid w:val="008B0418"/>
    <w:rsid w:val="008B1A07"/>
    <w:rsid w:val="008B26B4"/>
    <w:rsid w:val="008B29ED"/>
    <w:rsid w:val="008B2D24"/>
    <w:rsid w:val="008B2D61"/>
    <w:rsid w:val="008B6611"/>
    <w:rsid w:val="008C0BE7"/>
    <w:rsid w:val="008C180A"/>
    <w:rsid w:val="008C274D"/>
    <w:rsid w:val="008C3600"/>
    <w:rsid w:val="008C392A"/>
    <w:rsid w:val="008C55FB"/>
    <w:rsid w:val="008C5A34"/>
    <w:rsid w:val="008C6DE6"/>
    <w:rsid w:val="008C6F6F"/>
    <w:rsid w:val="008C7AD3"/>
    <w:rsid w:val="008D0345"/>
    <w:rsid w:val="008D0D5B"/>
    <w:rsid w:val="008D0EC2"/>
    <w:rsid w:val="008D0EE0"/>
    <w:rsid w:val="008D1FFF"/>
    <w:rsid w:val="008D3E94"/>
    <w:rsid w:val="008D470F"/>
    <w:rsid w:val="008D52C1"/>
    <w:rsid w:val="008D747B"/>
    <w:rsid w:val="008E2C7A"/>
    <w:rsid w:val="008E7028"/>
    <w:rsid w:val="008F06AD"/>
    <w:rsid w:val="008F2C4B"/>
    <w:rsid w:val="008F4F1C"/>
    <w:rsid w:val="008F558C"/>
    <w:rsid w:val="008F5D67"/>
    <w:rsid w:val="008F77C4"/>
    <w:rsid w:val="008F7937"/>
    <w:rsid w:val="009002C8"/>
    <w:rsid w:val="00901BAE"/>
    <w:rsid w:val="009020B7"/>
    <w:rsid w:val="0090333A"/>
    <w:rsid w:val="00903886"/>
    <w:rsid w:val="00905321"/>
    <w:rsid w:val="00905F56"/>
    <w:rsid w:val="009103F3"/>
    <w:rsid w:val="00910760"/>
    <w:rsid w:val="00911055"/>
    <w:rsid w:val="00921742"/>
    <w:rsid w:val="009321D6"/>
    <w:rsid w:val="00932377"/>
    <w:rsid w:val="00932565"/>
    <w:rsid w:val="00932888"/>
    <w:rsid w:val="00933E5A"/>
    <w:rsid w:val="00936E61"/>
    <w:rsid w:val="009425AA"/>
    <w:rsid w:val="009460DF"/>
    <w:rsid w:val="00946457"/>
    <w:rsid w:val="00950BEF"/>
    <w:rsid w:val="009529F0"/>
    <w:rsid w:val="009537F6"/>
    <w:rsid w:val="009605F4"/>
    <w:rsid w:val="0096158A"/>
    <w:rsid w:val="00962280"/>
    <w:rsid w:val="00962659"/>
    <w:rsid w:val="009637E3"/>
    <w:rsid w:val="00965857"/>
    <w:rsid w:val="00966977"/>
    <w:rsid w:val="00966B87"/>
    <w:rsid w:val="00966FDE"/>
    <w:rsid w:val="00967042"/>
    <w:rsid w:val="00967613"/>
    <w:rsid w:val="00967801"/>
    <w:rsid w:val="00971A82"/>
    <w:rsid w:val="00971AE0"/>
    <w:rsid w:val="00972557"/>
    <w:rsid w:val="0097293C"/>
    <w:rsid w:val="009734A6"/>
    <w:rsid w:val="009740AA"/>
    <w:rsid w:val="00975748"/>
    <w:rsid w:val="00977DCE"/>
    <w:rsid w:val="00980F49"/>
    <w:rsid w:val="00981E2D"/>
    <w:rsid w:val="0098255A"/>
    <w:rsid w:val="009833AA"/>
    <w:rsid w:val="009845BE"/>
    <w:rsid w:val="009845D7"/>
    <w:rsid w:val="00984EE6"/>
    <w:rsid w:val="00986C8B"/>
    <w:rsid w:val="00994AA6"/>
    <w:rsid w:val="00994D14"/>
    <w:rsid w:val="0099550B"/>
    <w:rsid w:val="009969C9"/>
    <w:rsid w:val="009A1AC6"/>
    <w:rsid w:val="009A2739"/>
    <w:rsid w:val="009A2F11"/>
    <w:rsid w:val="009B23DF"/>
    <w:rsid w:val="009B3646"/>
    <w:rsid w:val="009B4B97"/>
    <w:rsid w:val="009B62DC"/>
    <w:rsid w:val="009B6E04"/>
    <w:rsid w:val="009C1143"/>
    <w:rsid w:val="009C3017"/>
    <w:rsid w:val="009C4A7F"/>
    <w:rsid w:val="009C4F46"/>
    <w:rsid w:val="009C6842"/>
    <w:rsid w:val="009D0D2B"/>
    <w:rsid w:val="009D1537"/>
    <w:rsid w:val="009D3738"/>
    <w:rsid w:val="009D3777"/>
    <w:rsid w:val="009D79A8"/>
    <w:rsid w:val="009E6BFB"/>
    <w:rsid w:val="009E7318"/>
    <w:rsid w:val="009E732C"/>
    <w:rsid w:val="009E786A"/>
    <w:rsid w:val="009F0828"/>
    <w:rsid w:val="009F1D3A"/>
    <w:rsid w:val="009F2E30"/>
    <w:rsid w:val="009F30B1"/>
    <w:rsid w:val="009F6834"/>
    <w:rsid w:val="009F7BD0"/>
    <w:rsid w:val="00A03594"/>
    <w:rsid w:val="00A035C6"/>
    <w:rsid w:val="00A048FF"/>
    <w:rsid w:val="00A05330"/>
    <w:rsid w:val="00A10775"/>
    <w:rsid w:val="00A10E7C"/>
    <w:rsid w:val="00A1182B"/>
    <w:rsid w:val="00A1383F"/>
    <w:rsid w:val="00A15F93"/>
    <w:rsid w:val="00A17542"/>
    <w:rsid w:val="00A17E05"/>
    <w:rsid w:val="00A21507"/>
    <w:rsid w:val="00A23069"/>
    <w:rsid w:val="00A231E2"/>
    <w:rsid w:val="00A23A32"/>
    <w:rsid w:val="00A248A0"/>
    <w:rsid w:val="00A279B9"/>
    <w:rsid w:val="00A3064D"/>
    <w:rsid w:val="00A30CAA"/>
    <w:rsid w:val="00A333D4"/>
    <w:rsid w:val="00A33405"/>
    <w:rsid w:val="00A352C0"/>
    <w:rsid w:val="00A35844"/>
    <w:rsid w:val="00A358AE"/>
    <w:rsid w:val="00A36C48"/>
    <w:rsid w:val="00A36E2E"/>
    <w:rsid w:val="00A37720"/>
    <w:rsid w:val="00A4072A"/>
    <w:rsid w:val="00A40A95"/>
    <w:rsid w:val="00A41E0B"/>
    <w:rsid w:val="00A43EFB"/>
    <w:rsid w:val="00A50FA8"/>
    <w:rsid w:val="00A51BC8"/>
    <w:rsid w:val="00A5363B"/>
    <w:rsid w:val="00A55444"/>
    <w:rsid w:val="00A55631"/>
    <w:rsid w:val="00A61900"/>
    <w:rsid w:val="00A62837"/>
    <w:rsid w:val="00A63798"/>
    <w:rsid w:val="00A63F4E"/>
    <w:rsid w:val="00A645B5"/>
    <w:rsid w:val="00A64912"/>
    <w:rsid w:val="00A656A4"/>
    <w:rsid w:val="00A65EF9"/>
    <w:rsid w:val="00A664F7"/>
    <w:rsid w:val="00A70A74"/>
    <w:rsid w:val="00A717C0"/>
    <w:rsid w:val="00A71ADC"/>
    <w:rsid w:val="00A71E7F"/>
    <w:rsid w:val="00A73924"/>
    <w:rsid w:val="00A73CCE"/>
    <w:rsid w:val="00A773FE"/>
    <w:rsid w:val="00A80872"/>
    <w:rsid w:val="00A8121E"/>
    <w:rsid w:val="00A81C0D"/>
    <w:rsid w:val="00A82438"/>
    <w:rsid w:val="00A82EFE"/>
    <w:rsid w:val="00A931ED"/>
    <w:rsid w:val="00A96E41"/>
    <w:rsid w:val="00A96ED7"/>
    <w:rsid w:val="00A97D01"/>
    <w:rsid w:val="00AA3795"/>
    <w:rsid w:val="00AA49E8"/>
    <w:rsid w:val="00AA5477"/>
    <w:rsid w:val="00AA6983"/>
    <w:rsid w:val="00AB0018"/>
    <w:rsid w:val="00AB4FAD"/>
    <w:rsid w:val="00AB7FCF"/>
    <w:rsid w:val="00AC0B4E"/>
    <w:rsid w:val="00AC137D"/>
    <w:rsid w:val="00AC1E75"/>
    <w:rsid w:val="00AC445E"/>
    <w:rsid w:val="00AC455C"/>
    <w:rsid w:val="00AC55F6"/>
    <w:rsid w:val="00AC6025"/>
    <w:rsid w:val="00AD0101"/>
    <w:rsid w:val="00AD0883"/>
    <w:rsid w:val="00AD46E4"/>
    <w:rsid w:val="00AD5641"/>
    <w:rsid w:val="00AD6D09"/>
    <w:rsid w:val="00AE009A"/>
    <w:rsid w:val="00AE04B2"/>
    <w:rsid w:val="00AE057A"/>
    <w:rsid w:val="00AE0847"/>
    <w:rsid w:val="00AE1088"/>
    <w:rsid w:val="00AE301F"/>
    <w:rsid w:val="00AE5803"/>
    <w:rsid w:val="00AE72CC"/>
    <w:rsid w:val="00AF1BA4"/>
    <w:rsid w:val="00AF2567"/>
    <w:rsid w:val="00AF35AE"/>
    <w:rsid w:val="00AF6AE4"/>
    <w:rsid w:val="00B0033B"/>
    <w:rsid w:val="00B01970"/>
    <w:rsid w:val="00B01F98"/>
    <w:rsid w:val="00B032D8"/>
    <w:rsid w:val="00B041FA"/>
    <w:rsid w:val="00B05DC8"/>
    <w:rsid w:val="00B06077"/>
    <w:rsid w:val="00B0683E"/>
    <w:rsid w:val="00B07420"/>
    <w:rsid w:val="00B07C98"/>
    <w:rsid w:val="00B1023F"/>
    <w:rsid w:val="00B105BB"/>
    <w:rsid w:val="00B12B9B"/>
    <w:rsid w:val="00B14B85"/>
    <w:rsid w:val="00B158A1"/>
    <w:rsid w:val="00B16E81"/>
    <w:rsid w:val="00B17570"/>
    <w:rsid w:val="00B205F3"/>
    <w:rsid w:val="00B211DA"/>
    <w:rsid w:val="00B21DA9"/>
    <w:rsid w:val="00B237F2"/>
    <w:rsid w:val="00B24B6B"/>
    <w:rsid w:val="00B254EC"/>
    <w:rsid w:val="00B266D0"/>
    <w:rsid w:val="00B27EEE"/>
    <w:rsid w:val="00B3069D"/>
    <w:rsid w:val="00B30EF0"/>
    <w:rsid w:val="00B313C3"/>
    <w:rsid w:val="00B32C00"/>
    <w:rsid w:val="00B33B3C"/>
    <w:rsid w:val="00B33D4D"/>
    <w:rsid w:val="00B3547F"/>
    <w:rsid w:val="00B35E60"/>
    <w:rsid w:val="00B3685D"/>
    <w:rsid w:val="00B40A34"/>
    <w:rsid w:val="00B4493A"/>
    <w:rsid w:val="00B4799D"/>
    <w:rsid w:val="00B47AC4"/>
    <w:rsid w:val="00B50596"/>
    <w:rsid w:val="00B525C0"/>
    <w:rsid w:val="00B53D17"/>
    <w:rsid w:val="00B558BE"/>
    <w:rsid w:val="00B571D1"/>
    <w:rsid w:val="00B5725F"/>
    <w:rsid w:val="00B57A86"/>
    <w:rsid w:val="00B60B19"/>
    <w:rsid w:val="00B6139C"/>
    <w:rsid w:val="00B6218E"/>
    <w:rsid w:val="00B6382D"/>
    <w:rsid w:val="00B64285"/>
    <w:rsid w:val="00B65B75"/>
    <w:rsid w:val="00B66350"/>
    <w:rsid w:val="00B66F95"/>
    <w:rsid w:val="00B67AE1"/>
    <w:rsid w:val="00B70F01"/>
    <w:rsid w:val="00B72D94"/>
    <w:rsid w:val="00B74A1D"/>
    <w:rsid w:val="00B8000E"/>
    <w:rsid w:val="00B800D7"/>
    <w:rsid w:val="00B8128C"/>
    <w:rsid w:val="00B81CFB"/>
    <w:rsid w:val="00B827AB"/>
    <w:rsid w:val="00B84399"/>
    <w:rsid w:val="00B847DC"/>
    <w:rsid w:val="00B87391"/>
    <w:rsid w:val="00BA5026"/>
    <w:rsid w:val="00BB04BC"/>
    <w:rsid w:val="00BB0D93"/>
    <w:rsid w:val="00BB40BF"/>
    <w:rsid w:val="00BB52C4"/>
    <w:rsid w:val="00BB7BCB"/>
    <w:rsid w:val="00BC0CD1"/>
    <w:rsid w:val="00BC5FA5"/>
    <w:rsid w:val="00BD3526"/>
    <w:rsid w:val="00BD35D1"/>
    <w:rsid w:val="00BD5740"/>
    <w:rsid w:val="00BD593A"/>
    <w:rsid w:val="00BE159C"/>
    <w:rsid w:val="00BE3BAD"/>
    <w:rsid w:val="00BE5D9D"/>
    <w:rsid w:val="00BE6489"/>
    <w:rsid w:val="00BE719A"/>
    <w:rsid w:val="00BE720A"/>
    <w:rsid w:val="00BF0461"/>
    <w:rsid w:val="00BF1CF8"/>
    <w:rsid w:val="00BF2101"/>
    <w:rsid w:val="00BF44C4"/>
    <w:rsid w:val="00BF4924"/>
    <w:rsid w:val="00BF4944"/>
    <w:rsid w:val="00BF4CD5"/>
    <w:rsid w:val="00BF56D4"/>
    <w:rsid w:val="00C04409"/>
    <w:rsid w:val="00C04B7E"/>
    <w:rsid w:val="00C06311"/>
    <w:rsid w:val="00C067E5"/>
    <w:rsid w:val="00C06C38"/>
    <w:rsid w:val="00C14538"/>
    <w:rsid w:val="00C147D1"/>
    <w:rsid w:val="00C14AF7"/>
    <w:rsid w:val="00C15925"/>
    <w:rsid w:val="00C164CA"/>
    <w:rsid w:val="00C176CF"/>
    <w:rsid w:val="00C17AFB"/>
    <w:rsid w:val="00C20886"/>
    <w:rsid w:val="00C27979"/>
    <w:rsid w:val="00C347B1"/>
    <w:rsid w:val="00C35248"/>
    <w:rsid w:val="00C36D01"/>
    <w:rsid w:val="00C42053"/>
    <w:rsid w:val="00C42BF8"/>
    <w:rsid w:val="00C44A74"/>
    <w:rsid w:val="00C460AE"/>
    <w:rsid w:val="00C50043"/>
    <w:rsid w:val="00C51CC3"/>
    <w:rsid w:val="00C54307"/>
    <w:rsid w:val="00C5438C"/>
    <w:rsid w:val="00C54439"/>
    <w:rsid w:val="00C54E84"/>
    <w:rsid w:val="00C56F03"/>
    <w:rsid w:val="00C67ED8"/>
    <w:rsid w:val="00C7037C"/>
    <w:rsid w:val="00C7325C"/>
    <w:rsid w:val="00C73496"/>
    <w:rsid w:val="00C74A78"/>
    <w:rsid w:val="00C7573B"/>
    <w:rsid w:val="00C76CF3"/>
    <w:rsid w:val="00C778F6"/>
    <w:rsid w:val="00C835BB"/>
    <w:rsid w:val="00C83A86"/>
    <w:rsid w:val="00C86E65"/>
    <w:rsid w:val="00C951B2"/>
    <w:rsid w:val="00C9722C"/>
    <w:rsid w:val="00CA1A77"/>
    <w:rsid w:val="00CA23B3"/>
    <w:rsid w:val="00CA7AAA"/>
    <w:rsid w:val="00CA7C28"/>
    <w:rsid w:val="00CB07DB"/>
    <w:rsid w:val="00CB1A72"/>
    <w:rsid w:val="00CB3E9D"/>
    <w:rsid w:val="00CB4F7C"/>
    <w:rsid w:val="00CB65AC"/>
    <w:rsid w:val="00CC3A64"/>
    <w:rsid w:val="00CC56C5"/>
    <w:rsid w:val="00CC7822"/>
    <w:rsid w:val="00CD3ED9"/>
    <w:rsid w:val="00CD3F04"/>
    <w:rsid w:val="00CD53FD"/>
    <w:rsid w:val="00CE13DD"/>
    <w:rsid w:val="00CE1E31"/>
    <w:rsid w:val="00CE1FDA"/>
    <w:rsid w:val="00CE26AC"/>
    <w:rsid w:val="00CE567A"/>
    <w:rsid w:val="00CE5FA0"/>
    <w:rsid w:val="00CF0432"/>
    <w:rsid w:val="00CF0BB2"/>
    <w:rsid w:val="00CF5CB5"/>
    <w:rsid w:val="00CF65FD"/>
    <w:rsid w:val="00CF799C"/>
    <w:rsid w:val="00D00597"/>
    <w:rsid w:val="00D00754"/>
    <w:rsid w:val="00D00D58"/>
    <w:rsid w:val="00D00EAA"/>
    <w:rsid w:val="00D0145B"/>
    <w:rsid w:val="00D01AB4"/>
    <w:rsid w:val="00D02DBA"/>
    <w:rsid w:val="00D03937"/>
    <w:rsid w:val="00D050D8"/>
    <w:rsid w:val="00D0654F"/>
    <w:rsid w:val="00D1118C"/>
    <w:rsid w:val="00D125C3"/>
    <w:rsid w:val="00D130F0"/>
    <w:rsid w:val="00D13441"/>
    <w:rsid w:val="00D13998"/>
    <w:rsid w:val="00D13FCA"/>
    <w:rsid w:val="00D142CA"/>
    <w:rsid w:val="00D15350"/>
    <w:rsid w:val="00D1603F"/>
    <w:rsid w:val="00D160C2"/>
    <w:rsid w:val="00D2026A"/>
    <w:rsid w:val="00D205F8"/>
    <w:rsid w:val="00D21BBF"/>
    <w:rsid w:val="00D243A3"/>
    <w:rsid w:val="00D24ABE"/>
    <w:rsid w:val="00D349EA"/>
    <w:rsid w:val="00D36107"/>
    <w:rsid w:val="00D37BA6"/>
    <w:rsid w:val="00D41DA0"/>
    <w:rsid w:val="00D46919"/>
    <w:rsid w:val="00D477C3"/>
    <w:rsid w:val="00D47B82"/>
    <w:rsid w:val="00D50646"/>
    <w:rsid w:val="00D5278A"/>
    <w:rsid w:val="00D52EFE"/>
    <w:rsid w:val="00D53921"/>
    <w:rsid w:val="00D55D54"/>
    <w:rsid w:val="00D601ED"/>
    <w:rsid w:val="00D63BBE"/>
    <w:rsid w:val="00D63EF6"/>
    <w:rsid w:val="00D649AD"/>
    <w:rsid w:val="00D65739"/>
    <w:rsid w:val="00D6738F"/>
    <w:rsid w:val="00D70B39"/>
    <w:rsid w:val="00D70DFB"/>
    <w:rsid w:val="00D72C7C"/>
    <w:rsid w:val="00D72D88"/>
    <w:rsid w:val="00D73029"/>
    <w:rsid w:val="00D731E6"/>
    <w:rsid w:val="00D740B7"/>
    <w:rsid w:val="00D766DF"/>
    <w:rsid w:val="00D814CF"/>
    <w:rsid w:val="00D8194D"/>
    <w:rsid w:val="00D81A69"/>
    <w:rsid w:val="00D82E25"/>
    <w:rsid w:val="00D834F4"/>
    <w:rsid w:val="00D8386D"/>
    <w:rsid w:val="00D83F78"/>
    <w:rsid w:val="00D86F54"/>
    <w:rsid w:val="00D87A1A"/>
    <w:rsid w:val="00D87EC2"/>
    <w:rsid w:val="00D914EB"/>
    <w:rsid w:val="00D91FF8"/>
    <w:rsid w:val="00D92392"/>
    <w:rsid w:val="00D930FA"/>
    <w:rsid w:val="00D936D4"/>
    <w:rsid w:val="00D93968"/>
    <w:rsid w:val="00D95512"/>
    <w:rsid w:val="00D95578"/>
    <w:rsid w:val="00D96325"/>
    <w:rsid w:val="00D97AC7"/>
    <w:rsid w:val="00DA1AA5"/>
    <w:rsid w:val="00DA29FC"/>
    <w:rsid w:val="00DA42E3"/>
    <w:rsid w:val="00DA4F14"/>
    <w:rsid w:val="00DA5826"/>
    <w:rsid w:val="00DA5A74"/>
    <w:rsid w:val="00DA5CC4"/>
    <w:rsid w:val="00DB07F2"/>
    <w:rsid w:val="00DB0D5A"/>
    <w:rsid w:val="00DB284A"/>
    <w:rsid w:val="00DB46C6"/>
    <w:rsid w:val="00DB4D3A"/>
    <w:rsid w:val="00DB63B2"/>
    <w:rsid w:val="00DB65D8"/>
    <w:rsid w:val="00DC0B6D"/>
    <w:rsid w:val="00DC0ECB"/>
    <w:rsid w:val="00DC2BE1"/>
    <w:rsid w:val="00DD0EDF"/>
    <w:rsid w:val="00DD6104"/>
    <w:rsid w:val="00DD6969"/>
    <w:rsid w:val="00DE0798"/>
    <w:rsid w:val="00DE2002"/>
    <w:rsid w:val="00DE2D32"/>
    <w:rsid w:val="00DE2ED6"/>
    <w:rsid w:val="00DE3C5E"/>
    <w:rsid w:val="00DE4D4D"/>
    <w:rsid w:val="00DE531F"/>
    <w:rsid w:val="00DE5C92"/>
    <w:rsid w:val="00DE71A6"/>
    <w:rsid w:val="00DF7AE9"/>
    <w:rsid w:val="00E022E4"/>
    <w:rsid w:val="00E02D53"/>
    <w:rsid w:val="00E03B46"/>
    <w:rsid w:val="00E04AF5"/>
    <w:rsid w:val="00E053BC"/>
    <w:rsid w:val="00E05704"/>
    <w:rsid w:val="00E105F9"/>
    <w:rsid w:val="00E11862"/>
    <w:rsid w:val="00E13D28"/>
    <w:rsid w:val="00E14370"/>
    <w:rsid w:val="00E151C9"/>
    <w:rsid w:val="00E210D8"/>
    <w:rsid w:val="00E21D8B"/>
    <w:rsid w:val="00E21DB8"/>
    <w:rsid w:val="00E24341"/>
    <w:rsid w:val="00E24393"/>
    <w:rsid w:val="00E24D66"/>
    <w:rsid w:val="00E24E72"/>
    <w:rsid w:val="00E25057"/>
    <w:rsid w:val="00E3057F"/>
    <w:rsid w:val="00E33308"/>
    <w:rsid w:val="00E35742"/>
    <w:rsid w:val="00E3678A"/>
    <w:rsid w:val="00E40F65"/>
    <w:rsid w:val="00E42FFF"/>
    <w:rsid w:val="00E46185"/>
    <w:rsid w:val="00E50628"/>
    <w:rsid w:val="00E525C7"/>
    <w:rsid w:val="00E54292"/>
    <w:rsid w:val="00E557F0"/>
    <w:rsid w:val="00E56D4F"/>
    <w:rsid w:val="00E57577"/>
    <w:rsid w:val="00E62869"/>
    <w:rsid w:val="00E65448"/>
    <w:rsid w:val="00E6627C"/>
    <w:rsid w:val="00E67261"/>
    <w:rsid w:val="00E705E4"/>
    <w:rsid w:val="00E74DC7"/>
    <w:rsid w:val="00E750E9"/>
    <w:rsid w:val="00E80F96"/>
    <w:rsid w:val="00E83987"/>
    <w:rsid w:val="00E83BC8"/>
    <w:rsid w:val="00E8553F"/>
    <w:rsid w:val="00E86B39"/>
    <w:rsid w:val="00E87699"/>
    <w:rsid w:val="00E934D2"/>
    <w:rsid w:val="00E93FF2"/>
    <w:rsid w:val="00E947C6"/>
    <w:rsid w:val="00E94BD3"/>
    <w:rsid w:val="00E9505F"/>
    <w:rsid w:val="00E952B5"/>
    <w:rsid w:val="00E96B1F"/>
    <w:rsid w:val="00E9733A"/>
    <w:rsid w:val="00EA27C8"/>
    <w:rsid w:val="00EA2D58"/>
    <w:rsid w:val="00EA2DF3"/>
    <w:rsid w:val="00EA77AC"/>
    <w:rsid w:val="00EB248D"/>
    <w:rsid w:val="00EB509B"/>
    <w:rsid w:val="00EB5F08"/>
    <w:rsid w:val="00EC0160"/>
    <w:rsid w:val="00EC261F"/>
    <w:rsid w:val="00EC27D8"/>
    <w:rsid w:val="00EC6AF3"/>
    <w:rsid w:val="00ED04C1"/>
    <w:rsid w:val="00ED2E9B"/>
    <w:rsid w:val="00ED2EE8"/>
    <w:rsid w:val="00ED329E"/>
    <w:rsid w:val="00ED492F"/>
    <w:rsid w:val="00EE3E36"/>
    <w:rsid w:val="00EE5338"/>
    <w:rsid w:val="00EE5BC5"/>
    <w:rsid w:val="00EF1C63"/>
    <w:rsid w:val="00EF2E3A"/>
    <w:rsid w:val="00EF387C"/>
    <w:rsid w:val="00EF4014"/>
    <w:rsid w:val="00EF42BF"/>
    <w:rsid w:val="00EF5E08"/>
    <w:rsid w:val="00EF6FB8"/>
    <w:rsid w:val="00F02BBF"/>
    <w:rsid w:val="00F04486"/>
    <w:rsid w:val="00F047E2"/>
    <w:rsid w:val="00F05C33"/>
    <w:rsid w:val="00F06E56"/>
    <w:rsid w:val="00F078DC"/>
    <w:rsid w:val="00F13E86"/>
    <w:rsid w:val="00F14983"/>
    <w:rsid w:val="00F17B00"/>
    <w:rsid w:val="00F20CD6"/>
    <w:rsid w:val="00F251F1"/>
    <w:rsid w:val="00F26845"/>
    <w:rsid w:val="00F27029"/>
    <w:rsid w:val="00F30A49"/>
    <w:rsid w:val="00F30E98"/>
    <w:rsid w:val="00F31F62"/>
    <w:rsid w:val="00F342E9"/>
    <w:rsid w:val="00F34D7A"/>
    <w:rsid w:val="00F353BC"/>
    <w:rsid w:val="00F36EFC"/>
    <w:rsid w:val="00F421C9"/>
    <w:rsid w:val="00F45001"/>
    <w:rsid w:val="00F50077"/>
    <w:rsid w:val="00F607B2"/>
    <w:rsid w:val="00F609BC"/>
    <w:rsid w:val="00F61E58"/>
    <w:rsid w:val="00F66C32"/>
    <w:rsid w:val="00F674E1"/>
    <w:rsid w:val="00F677A9"/>
    <w:rsid w:val="00F67BFD"/>
    <w:rsid w:val="00F73DBC"/>
    <w:rsid w:val="00F7401A"/>
    <w:rsid w:val="00F747DB"/>
    <w:rsid w:val="00F77CD3"/>
    <w:rsid w:val="00F81BE7"/>
    <w:rsid w:val="00F84CF5"/>
    <w:rsid w:val="00F84E74"/>
    <w:rsid w:val="00F86283"/>
    <w:rsid w:val="00F86662"/>
    <w:rsid w:val="00F90D5A"/>
    <w:rsid w:val="00F91428"/>
    <w:rsid w:val="00F926BC"/>
    <w:rsid w:val="00F92D35"/>
    <w:rsid w:val="00F93594"/>
    <w:rsid w:val="00F93BC3"/>
    <w:rsid w:val="00F968FD"/>
    <w:rsid w:val="00F96A0E"/>
    <w:rsid w:val="00F976F4"/>
    <w:rsid w:val="00FA11F0"/>
    <w:rsid w:val="00FA420B"/>
    <w:rsid w:val="00FA6201"/>
    <w:rsid w:val="00FA7D14"/>
    <w:rsid w:val="00FB0019"/>
    <w:rsid w:val="00FB11FA"/>
    <w:rsid w:val="00FB291A"/>
    <w:rsid w:val="00FB404A"/>
    <w:rsid w:val="00FB514D"/>
    <w:rsid w:val="00FB5E5A"/>
    <w:rsid w:val="00FB6362"/>
    <w:rsid w:val="00FB7848"/>
    <w:rsid w:val="00FC0686"/>
    <w:rsid w:val="00FC1138"/>
    <w:rsid w:val="00FC4875"/>
    <w:rsid w:val="00FC4FF9"/>
    <w:rsid w:val="00FC6C4D"/>
    <w:rsid w:val="00FC771D"/>
    <w:rsid w:val="00FD1E13"/>
    <w:rsid w:val="00FD2A59"/>
    <w:rsid w:val="00FD32E0"/>
    <w:rsid w:val="00FD3E98"/>
    <w:rsid w:val="00FD41A7"/>
    <w:rsid w:val="00FD41EA"/>
    <w:rsid w:val="00FD5F13"/>
    <w:rsid w:val="00FD7EB1"/>
    <w:rsid w:val="00FE0245"/>
    <w:rsid w:val="00FE0900"/>
    <w:rsid w:val="00FE3116"/>
    <w:rsid w:val="00FE38D0"/>
    <w:rsid w:val="00FE41C9"/>
    <w:rsid w:val="00FE4B60"/>
    <w:rsid w:val="00FE534D"/>
    <w:rsid w:val="00FE5FA1"/>
    <w:rsid w:val="00FE6C88"/>
    <w:rsid w:val="00FE7F93"/>
    <w:rsid w:val="00FF0973"/>
    <w:rsid w:val="00FF5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14:docId w14:val="37BE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2664D"/>
    <w:pPr>
      <w:spacing w:line="260" w:lineRule="atLeast"/>
    </w:pPr>
    <w:rPr>
      <w:sz w:val="22"/>
    </w:rPr>
  </w:style>
  <w:style w:type="paragraph" w:styleId="Heading1">
    <w:name w:val="heading 1"/>
    <w:basedOn w:val="Normal"/>
    <w:next w:val="Normal"/>
    <w:link w:val="Heading1Char"/>
    <w:uiPriority w:val="9"/>
    <w:qFormat/>
    <w:rsid w:val="006E70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70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70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70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70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70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70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0D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E70D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2664D"/>
  </w:style>
  <w:style w:type="paragraph" w:customStyle="1" w:styleId="OPCParaBase">
    <w:name w:val="OPCParaBase"/>
    <w:qFormat/>
    <w:rsid w:val="0042664D"/>
    <w:pPr>
      <w:spacing w:line="260" w:lineRule="atLeast"/>
    </w:pPr>
    <w:rPr>
      <w:rFonts w:eastAsia="Times New Roman" w:cs="Times New Roman"/>
      <w:sz w:val="22"/>
      <w:lang w:eastAsia="en-AU"/>
    </w:rPr>
  </w:style>
  <w:style w:type="paragraph" w:customStyle="1" w:styleId="ShortT">
    <w:name w:val="ShortT"/>
    <w:basedOn w:val="OPCParaBase"/>
    <w:next w:val="Normal"/>
    <w:qFormat/>
    <w:rsid w:val="0042664D"/>
    <w:pPr>
      <w:spacing w:line="240" w:lineRule="auto"/>
    </w:pPr>
    <w:rPr>
      <w:b/>
      <w:sz w:val="40"/>
    </w:rPr>
  </w:style>
  <w:style w:type="paragraph" w:customStyle="1" w:styleId="ActHead1">
    <w:name w:val="ActHead 1"/>
    <w:aliases w:val="c"/>
    <w:basedOn w:val="OPCParaBase"/>
    <w:next w:val="Normal"/>
    <w:qFormat/>
    <w:rsid w:val="004266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266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266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266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266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266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266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266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266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2664D"/>
  </w:style>
  <w:style w:type="paragraph" w:customStyle="1" w:styleId="Blocks">
    <w:name w:val="Blocks"/>
    <w:aliases w:val="bb"/>
    <w:basedOn w:val="OPCParaBase"/>
    <w:qFormat/>
    <w:rsid w:val="0042664D"/>
    <w:pPr>
      <w:spacing w:line="240" w:lineRule="auto"/>
    </w:pPr>
    <w:rPr>
      <w:sz w:val="24"/>
    </w:rPr>
  </w:style>
  <w:style w:type="paragraph" w:customStyle="1" w:styleId="BoxText">
    <w:name w:val="BoxText"/>
    <w:aliases w:val="bt"/>
    <w:basedOn w:val="OPCParaBase"/>
    <w:qFormat/>
    <w:rsid w:val="004266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2664D"/>
    <w:rPr>
      <w:b/>
    </w:rPr>
  </w:style>
  <w:style w:type="paragraph" w:customStyle="1" w:styleId="BoxHeadItalic">
    <w:name w:val="BoxHeadItalic"/>
    <w:aliases w:val="bhi"/>
    <w:basedOn w:val="BoxText"/>
    <w:next w:val="BoxStep"/>
    <w:qFormat/>
    <w:rsid w:val="0042664D"/>
    <w:rPr>
      <w:i/>
    </w:rPr>
  </w:style>
  <w:style w:type="paragraph" w:customStyle="1" w:styleId="BoxList">
    <w:name w:val="BoxList"/>
    <w:aliases w:val="bl"/>
    <w:basedOn w:val="BoxText"/>
    <w:qFormat/>
    <w:rsid w:val="0042664D"/>
    <w:pPr>
      <w:ind w:left="1559" w:hanging="425"/>
    </w:pPr>
  </w:style>
  <w:style w:type="paragraph" w:customStyle="1" w:styleId="BoxNote">
    <w:name w:val="BoxNote"/>
    <w:aliases w:val="bn"/>
    <w:basedOn w:val="BoxText"/>
    <w:qFormat/>
    <w:rsid w:val="0042664D"/>
    <w:pPr>
      <w:tabs>
        <w:tab w:val="left" w:pos="1985"/>
      </w:tabs>
      <w:spacing w:before="122" w:line="198" w:lineRule="exact"/>
      <w:ind w:left="2948" w:hanging="1814"/>
    </w:pPr>
    <w:rPr>
      <w:sz w:val="18"/>
    </w:rPr>
  </w:style>
  <w:style w:type="paragraph" w:customStyle="1" w:styleId="BoxPara">
    <w:name w:val="BoxPara"/>
    <w:aliases w:val="bp"/>
    <w:basedOn w:val="BoxText"/>
    <w:qFormat/>
    <w:rsid w:val="0042664D"/>
    <w:pPr>
      <w:tabs>
        <w:tab w:val="right" w:pos="2268"/>
      </w:tabs>
      <w:ind w:left="2552" w:hanging="1418"/>
    </w:pPr>
  </w:style>
  <w:style w:type="paragraph" w:customStyle="1" w:styleId="BoxStep">
    <w:name w:val="BoxStep"/>
    <w:aliases w:val="bs"/>
    <w:basedOn w:val="BoxText"/>
    <w:qFormat/>
    <w:rsid w:val="0042664D"/>
    <w:pPr>
      <w:ind w:left="1985" w:hanging="851"/>
    </w:pPr>
  </w:style>
  <w:style w:type="character" w:customStyle="1" w:styleId="CharAmPartNo">
    <w:name w:val="CharAmPartNo"/>
    <w:basedOn w:val="OPCCharBase"/>
    <w:qFormat/>
    <w:rsid w:val="0042664D"/>
  </w:style>
  <w:style w:type="character" w:customStyle="1" w:styleId="CharAmPartText">
    <w:name w:val="CharAmPartText"/>
    <w:basedOn w:val="OPCCharBase"/>
    <w:qFormat/>
    <w:rsid w:val="0042664D"/>
  </w:style>
  <w:style w:type="character" w:customStyle="1" w:styleId="CharAmSchNo">
    <w:name w:val="CharAmSchNo"/>
    <w:basedOn w:val="OPCCharBase"/>
    <w:qFormat/>
    <w:rsid w:val="0042664D"/>
  </w:style>
  <w:style w:type="character" w:customStyle="1" w:styleId="CharAmSchText">
    <w:name w:val="CharAmSchText"/>
    <w:basedOn w:val="OPCCharBase"/>
    <w:qFormat/>
    <w:rsid w:val="0042664D"/>
  </w:style>
  <w:style w:type="character" w:customStyle="1" w:styleId="CharBoldItalic">
    <w:name w:val="CharBoldItalic"/>
    <w:basedOn w:val="OPCCharBase"/>
    <w:uiPriority w:val="1"/>
    <w:qFormat/>
    <w:rsid w:val="0042664D"/>
    <w:rPr>
      <w:b/>
      <w:i/>
    </w:rPr>
  </w:style>
  <w:style w:type="character" w:customStyle="1" w:styleId="CharChapNo">
    <w:name w:val="CharChapNo"/>
    <w:basedOn w:val="OPCCharBase"/>
    <w:uiPriority w:val="1"/>
    <w:qFormat/>
    <w:rsid w:val="0042664D"/>
  </w:style>
  <w:style w:type="character" w:customStyle="1" w:styleId="CharChapText">
    <w:name w:val="CharChapText"/>
    <w:basedOn w:val="OPCCharBase"/>
    <w:uiPriority w:val="1"/>
    <w:qFormat/>
    <w:rsid w:val="0042664D"/>
  </w:style>
  <w:style w:type="character" w:customStyle="1" w:styleId="CharDivNo">
    <w:name w:val="CharDivNo"/>
    <w:basedOn w:val="OPCCharBase"/>
    <w:uiPriority w:val="1"/>
    <w:qFormat/>
    <w:rsid w:val="0042664D"/>
  </w:style>
  <w:style w:type="character" w:customStyle="1" w:styleId="CharDivText">
    <w:name w:val="CharDivText"/>
    <w:basedOn w:val="OPCCharBase"/>
    <w:uiPriority w:val="1"/>
    <w:qFormat/>
    <w:rsid w:val="0042664D"/>
  </w:style>
  <w:style w:type="character" w:customStyle="1" w:styleId="CharItalic">
    <w:name w:val="CharItalic"/>
    <w:basedOn w:val="OPCCharBase"/>
    <w:uiPriority w:val="1"/>
    <w:qFormat/>
    <w:rsid w:val="0042664D"/>
    <w:rPr>
      <w:i/>
    </w:rPr>
  </w:style>
  <w:style w:type="character" w:customStyle="1" w:styleId="CharPartNo">
    <w:name w:val="CharPartNo"/>
    <w:basedOn w:val="OPCCharBase"/>
    <w:uiPriority w:val="1"/>
    <w:qFormat/>
    <w:rsid w:val="0042664D"/>
  </w:style>
  <w:style w:type="character" w:customStyle="1" w:styleId="CharPartText">
    <w:name w:val="CharPartText"/>
    <w:basedOn w:val="OPCCharBase"/>
    <w:uiPriority w:val="1"/>
    <w:qFormat/>
    <w:rsid w:val="0042664D"/>
  </w:style>
  <w:style w:type="character" w:customStyle="1" w:styleId="CharSectno">
    <w:name w:val="CharSectno"/>
    <w:basedOn w:val="OPCCharBase"/>
    <w:qFormat/>
    <w:rsid w:val="0042664D"/>
  </w:style>
  <w:style w:type="character" w:customStyle="1" w:styleId="CharSubdNo">
    <w:name w:val="CharSubdNo"/>
    <w:basedOn w:val="OPCCharBase"/>
    <w:uiPriority w:val="1"/>
    <w:qFormat/>
    <w:rsid w:val="0042664D"/>
  </w:style>
  <w:style w:type="character" w:customStyle="1" w:styleId="CharSubdText">
    <w:name w:val="CharSubdText"/>
    <w:basedOn w:val="OPCCharBase"/>
    <w:uiPriority w:val="1"/>
    <w:qFormat/>
    <w:rsid w:val="0042664D"/>
  </w:style>
  <w:style w:type="paragraph" w:customStyle="1" w:styleId="CTA--">
    <w:name w:val="CTA --"/>
    <w:basedOn w:val="OPCParaBase"/>
    <w:next w:val="Normal"/>
    <w:rsid w:val="0042664D"/>
    <w:pPr>
      <w:spacing w:before="60" w:line="240" w:lineRule="atLeast"/>
      <w:ind w:left="142" w:hanging="142"/>
    </w:pPr>
    <w:rPr>
      <w:sz w:val="20"/>
    </w:rPr>
  </w:style>
  <w:style w:type="paragraph" w:customStyle="1" w:styleId="CTA-">
    <w:name w:val="CTA -"/>
    <w:basedOn w:val="OPCParaBase"/>
    <w:rsid w:val="0042664D"/>
    <w:pPr>
      <w:spacing w:before="60" w:line="240" w:lineRule="atLeast"/>
      <w:ind w:left="85" w:hanging="85"/>
    </w:pPr>
    <w:rPr>
      <w:sz w:val="20"/>
    </w:rPr>
  </w:style>
  <w:style w:type="paragraph" w:customStyle="1" w:styleId="CTA---">
    <w:name w:val="CTA ---"/>
    <w:basedOn w:val="OPCParaBase"/>
    <w:next w:val="Normal"/>
    <w:rsid w:val="0042664D"/>
    <w:pPr>
      <w:spacing w:before="60" w:line="240" w:lineRule="atLeast"/>
      <w:ind w:left="198" w:hanging="198"/>
    </w:pPr>
    <w:rPr>
      <w:sz w:val="20"/>
    </w:rPr>
  </w:style>
  <w:style w:type="paragraph" w:customStyle="1" w:styleId="CTA----">
    <w:name w:val="CTA ----"/>
    <w:basedOn w:val="OPCParaBase"/>
    <w:next w:val="Normal"/>
    <w:rsid w:val="0042664D"/>
    <w:pPr>
      <w:spacing w:before="60" w:line="240" w:lineRule="atLeast"/>
      <w:ind w:left="255" w:hanging="255"/>
    </w:pPr>
    <w:rPr>
      <w:sz w:val="20"/>
    </w:rPr>
  </w:style>
  <w:style w:type="paragraph" w:customStyle="1" w:styleId="CTA1a">
    <w:name w:val="CTA 1(a)"/>
    <w:basedOn w:val="OPCParaBase"/>
    <w:rsid w:val="0042664D"/>
    <w:pPr>
      <w:tabs>
        <w:tab w:val="right" w:pos="414"/>
      </w:tabs>
      <w:spacing w:before="40" w:line="240" w:lineRule="atLeast"/>
      <w:ind w:left="675" w:hanging="675"/>
    </w:pPr>
    <w:rPr>
      <w:sz w:val="20"/>
    </w:rPr>
  </w:style>
  <w:style w:type="paragraph" w:customStyle="1" w:styleId="CTA1ai">
    <w:name w:val="CTA 1(a)(i)"/>
    <w:basedOn w:val="OPCParaBase"/>
    <w:rsid w:val="0042664D"/>
    <w:pPr>
      <w:tabs>
        <w:tab w:val="right" w:pos="1004"/>
      </w:tabs>
      <w:spacing w:before="40" w:line="240" w:lineRule="atLeast"/>
      <w:ind w:left="1253" w:hanging="1253"/>
    </w:pPr>
    <w:rPr>
      <w:sz w:val="20"/>
    </w:rPr>
  </w:style>
  <w:style w:type="paragraph" w:customStyle="1" w:styleId="CTA2a">
    <w:name w:val="CTA 2(a)"/>
    <w:basedOn w:val="OPCParaBase"/>
    <w:rsid w:val="0042664D"/>
    <w:pPr>
      <w:tabs>
        <w:tab w:val="right" w:pos="482"/>
      </w:tabs>
      <w:spacing w:before="40" w:line="240" w:lineRule="atLeast"/>
      <w:ind w:left="748" w:hanging="748"/>
    </w:pPr>
    <w:rPr>
      <w:sz w:val="20"/>
    </w:rPr>
  </w:style>
  <w:style w:type="paragraph" w:customStyle="1" w:styleId="CTA2ai">
    <w:name w:val="CTA 2(a)(i)"/>
    <w:basedOn w:val="OPCParaBase"/>
    <w:rsid w:val="0042664D"/>
    <w:pPr>
      <w:tabs>
        <w:tab w:val="right" w:pos="1089"/>
      </w:tabs>
      <w:spacing w:before="40" w:line="240" w:lineRule="atLeast"/>
      <w:ind w:left="1327" w:hanging="1327"/>
    </w:pPr>
    <w:rPr>
      <w:sz w:val="20"/>
    </w:rPr>
  </w:style>
  <w:style w:type="paragraph" w:customStyle="1" w:styleId="CTA3a">
    <w:name w:val="CTA 3(a)"/>
    <w:basedOn w:val="OPCParaBase"/>
    <w:rsid w:val="0042664D"/>
    <w:pPr>
      <w:tabs>
        <w:tab w:val="right" w:pos="556"/>
      </w:tabs>
      <w:spacing w:before="40" w:line="240" w:lineRule="atLeast"/>
      <w:ind w:left="805" w:hanging="805"/>
    </w:pPr>
    <w:rPr>
      <w:sz w:val="20"/>
    </w:rPr>
  </w:style>
  <w:style w:type="paragraph" w:customStyle="1" w:styleId="CTA3ai">
    <w:name w:val="CTA 3(a)(i)"/>
    <w:basedOn w:val="OPCParaBase"/>
    <w:rsid w:val="0042664D"/>
    <w:pPr>
      <w:tabs>
        <w:tab w:val="right" w:pos="1140"/>
      </w:tabs>
      <w:spacing w:before="40" w:line="240" w:lineRule="atLeast"/>
      <w:ind w:left="1361" w:hanging="1361"/>
    </w:pPr>
    <w:rPr>
      <w:sz w:val="20"/>
    </w:rPr>
  </w:style>
  <w:style w:type="paragraph" w:customStyle="1" w:styleId="CTA4a">
    <w:name w:val="CTA 4(a)"/>
    <w:basedOn w:val="OPCParaBase"/>
    <w:rsid w:val="0042664D"/>
    <w:pPr>
      <w:tabs>
        <w:tab w:val="right" w:pos="624"/>
      </w:tabs>
      <w:spacing w:before="40" w:line="240" w:lineRule="atLeast"/>
      <w:ind w:left="873" w:hanging="873"/>
    </w:pPr>
    <w:rPr>
      <w:sz w:val="20"/>
    </w:rPr>
  </w:style>
  <w:style w:type="paragraph" w:customStyle="1" w:styleId="CTA4ai">
    <w:name w:val="CTA 4(a)(i)"/>
    <w:basedOn w:val="OPCParaBase"/>
    <w:rsid w:val="0042664D"/>
    <w:pPr>
      <w:tabs>
        <w:tab w:val="right" w:pos="1213"/>
      </w:tabs>
      <w:spacing w:before="40" w:line="240" w:lineRule="atLeast"/>
      <w:ind w:left="1452" w:hanging="1452"/>
    </w:pPr>
    <w:rPr>
      <w:sz w:val="20"/>
    </w:rPr>
  </w:style>
  <w:style w:type="paragraph" w:customStyle="1" w:styleId="CTACAPS">
    <w:name w:val="CTA CAPS"/>
    <w:basedOn w:val="OPCParaBase"/>
    <w:rsid w:val="0042664D"/>
    <w:pPr>
      <w:spacing w:before="60" w:line="240" w:lineRule="atLeast"/>
    </w:pPr>
    <w:rPr>
      <w:sz w:val="20"/>
    </w:rPr>
  </w:style>
  <w:style w:type="paragraph" w:customStyle="1" w:styleId="CTAright">
    <w:name w:val="CTA right"/>
    <w:basedOn w:val="OPCParaBase"/>
    <w:rsid w:val="0042664D"/>
    <w:pPr>
      <w:spacing w:before="60" w:line="240" w:lineRule="auto"/>
      <w:jc w:val="right"/>
    </w:pPr>
    <w:rPr>
      <w:sz w:val="20"/>
    </w:rPr>
  </w:style>
  <w:style w:type="paragraph" w:customStyle="1" w:styleId="subsection">
    <w:name w:val="subsection"/>
    <w:aliases w:val="ss,Subsection"/>
    <w:basedOn w:val="OPCParaBase"/>
    <w:link w:val="subsectionChar"/>
    <w:rsid w:val="0042664D"/>
    <w:pPr>
      <w:tabs>
        <w:tab w:val="right" w:pos="1021"/>
      </w:tabs>
      <w:spacing w:before="180" w:line="240" w:lineRule="auto"/>
      <w:ind w:left="1134" w:hanging="1134"/>
    </w:pPr>
  </w:style>
  <w:style w:type="paragraph" w:customStyle="1" w:styleId="Definition">
    <w:name w:val="Definition"/>
    <w:aliases w:val="dd"/>
    <w:basedOn w:val="OPCParaBase"/>
    <w:rsid w:val="0042664D"/>
    <w:pPr>
      <w:spacing w:before="180" w:line="240" w:lineRule="auto"/>
      <w:ind w:left="1134"/>
    </w:pPr>
  </w:style>
  <w:style w:type="paragraph" w:customStyle="1" w:styleId="ETAsubitem">
    <w:name w:val="ETA(subitem)"/>
    <w:basedOn w:val="OPCParaBase"/>
    <w:rsid w:val="0042664D"/>
    <w:pPr>
      <w:tabs>
        <w:tab w:val="right" w:pos="340"/>
      </w:tabs>
      <w:spacing w:before="60" w:line="240" w:lineRule="auto"/>
      <w:ind w:left="454" w:hanging="454"/>
    </w:pPr>
    <w:rPr>
      <w:sz w:val="20"/>
    </w:rPr>
  </w:style>
  <w:style w:type="paragraph" w:customStyle="1" w:styleId="ETApara">
    <w:name w:val="ETA(para)"/>
    <w:basedOn w:val="OPCParaBase"/>
    <w:rsid w:val="0042664D"/>
    <w:pPr>
      <w:tabs>
        <w:tab w:val="right" w:pos="754"/>
      </w:tabs>
      <w:spacing w:before="60" w:line="240" w:lineRule="auto"/>
      <w:ind w:left="828" w:hanging="828"/>
    </w:pPr>
    <w:rPr>
      <w:sz w:val="20"/>
    </w:rPr>
  </w:style>
  <w:style w:type="paragraph" w:customStyle="1" w:styleId="ETAsubpara">
    <w:name w:val="ETA(subpara)"/>
    <w:basedOn w:val="OPCParaBase"/>
    <w:rsid w:val="0042664D"/>
    <w:pPr>
      <w:tabs>
        <w:tab w:val="right" w:pos="1083"/>
      </w:tabs>
      <w:spacing w:before="60" w:line="240" w:lineRule="auto"/>
      <w:ind w:left="1191" w:hanging="1191"/>
    </w:pPr>
    <w:rPr>
      <w:sz w:val="20"/>
    </w:rPr>
  </w:style>
  <w:style w:type="paragraph" w:customStyle="1" w:styleId="ETAsub-subpara">
    <w:name w:val="ETA(sub-subpara)"/>
    <w:basedOn w:val="OPCParaBase"/>
    <w:rsid w:val="0042664D"/>
    <w:pPr>
      <w:tabs>
        <w:tab w:val="right" w:pos="1412"/>
      </w:tabs>
      <w:spacing w:before="60" w:line="240" w:lineRule="auto"/>
      <w:ind w:left="1525" w:hanging="1525"/>
    </w:pPr>
    <w:rPr>
      <w:sz w:val="20"/>
    </w:rPr>
  </w:style>
  <w:style w:type="paragraph" w:customStyle="1" w:styleId="Formula">
    <w:name w:val="Formula"/>
    <w:basedOn w:val="OPCParaBase"/>
    <w:rsid w:val="0042664D"/>
    <w:pPr>
      <w:spacing w:line="240" w:lineRule="auto"/>
      <w:ind w:left="1134"/>
    </w:pPr>
    <w:rPr>
      <w:sz w:val="20"/>
    </w:rPr>
  </w:style>
  <w:style w:type="paragraph" w:styleId="Header">
    <w:name w:val="header"/>
    <w:basedOn w:val="OPCParaBase"/>
    <w:link w:val="HeaderChar"/>
    <w:unhideWhenUsed/>
    <w:rsid w:val="004266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2664D"/>
    <w:rPr>
      <w:rFonts w:eastAsia="Times New Roman" w:cs="Times New Roman"/>
      <w:sz w:val="16"/>
      <w:lang w:eastAsia="en-AU"/>
    </w:rPr>
  </w:style>
  <w:style w:type="paragraph" w:customStyle="1" w:styleId="House">
    <w:name w:val="House"/>
    <w:basedOn w:val="OPCParaBase"/>
    <w:rsid w:val="0042664D"/>
    <w:pPr>
      <w:spacing w:line="240" w:lineRule="auto"/>
    </w:pPr>
    <w:rPr>
      <w:sz w:val="28"/>
    </w:rPr>
  </w:style>
  <w:style w:type="paragraph" w:customStyle="1" w:styleId="Item">
    <w:name w:val="Item"/>
    <w:aliases w:val="i"/>
    <w:basedOn w:val="OPCParaBase"/>
    <w:next w:val="ItemHead"/>
    <w:rsid w:val="0042664D"/>
    <w:pPr>
      <w:keepLines/>
      <w:spacing w:before="80" w:line="240" w:lineRule="auto"/>
      <w:ind w:left="709"/>
    </w:pPr>
  </w:style>
  <w:style w:type="paragraph" w:customStyle="1" w:styleId="ItemHead">
    <w:name w:val="ItemHead"/>
    <w:aliases w:val="ih"/>
    <w:basedOn w:val="OPCParaBase"/>
    <w:next w:val="Item"/>
    <w:rsid w:val="004266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2664D"/>
    <w:pPr>
      <w:spacing w:line="240" w:lineRule="auto"/>
    </w:pPr>
    <w:rPr>
      <w:b/>
      <w:sz w:val="32"/>
    </w:rPr>
  </w:style>
  <w:style w:type="paragraph" w:customStyle="1" w:styleId="notedraft">
    <w:name w:val="note(draft)"/>
    <w:aliases w:val="nd"/>
    <w:basedOn w:val="OPCParaBase"/>
    <w:rsid w:val="0042664D"/>
    <w:pPr>
      <w:spacing w:before="240" w:line="240" w:lineRule="auto"/>
      <w:ind w:left="284" w:hanging="284"/>
    </w:pPr>
    <w:rPr>
      <w:i/>
      <w:sz w:val="24"/>
    </w:rPr>
  </w:style>
  <w:style w:type="paragraph" w:customStyle="1" w:styleId="notemargin">
    <w:name w:val="note(margin)"/>
    <w:aliases w:val="nm"/>
    <w:basedOn w:val="OPCParaBase"/>
    <w:rsid w:val="0042664D"/>
    <w:pPr>
      <w:tabs>
        <w:tab w:val="left" w:pos="709"/>
      </w:tabs>
      <w:spacing w:before="122" w:line="198" w:lineRule="exact"/>
      <w:ind w:left="709" w:hanging="709"/>
    </w:pPr>
    <w:rPr>
      <w:sz w:val="18"/>
    </w:rPr>
  </w:style>
  <w:style w:type="paragraph" w:customStyle="1" w:styleId="noteToPara">
    <w:name w:val="noteToPara"/>
    <w:aliases w:val="ntp"/>
    <w:basedOn w:val="OPCParaBase"/>
    <w:rsid w:val="0042664D"/>
    <w:pPr>
      <w:spacing w:before="122" w:line="198" w:lineRule="exact"/>
      <w:ind w:left="2353" w:hanging="709"/>
    </w:pPr>
    <w:rPr>
      <w:sz w:val="18"/>
    </w:rPr>
  </w:style>
  <w:style w:type="paragraph" w:customStyle="1" w:styleId="noteParlAmend">
    <w:name w:val="note(ParlAmend)"/>
    <w:aliases w:val="npp"/>
    <w:basedOn w:val="OPCParaBase"/>
    <w:next w:val="ParlAmend"/>
    <w:rsid w:val="0042664D"/>
    <w:pPr>
      <w:spacing w:line="240" w:lineRule="auto"/>
      <w:jc w:val="right"/>
    </w:pPr>
    <w:rPr>
      <w:rFonts w:ascii="Arial" w:hAnsi="Arial"/>
      <w:b/>
      <w:i/>
    </w:rPr>
  </w:style>
  <w:style w:type="paragraph" w:customStyle="1" w:styleId="Page1">
    <w:name w:val="Page1"/>
    <w:basedOn w:val="OPCParaBase"/>
    <w:rsid w:val="0042664D"/>
    <w:pPr>
      <w:spacing w:before="5600" w:line="240" w:lineRule="auto"/>
    </w:pPr>
    <w:rPr>
      <w:b/>
      <w:sz w:val="32"/>
    </w:rPr>
  </w:style>
  <w:style w:type="paragraph" w:customStyle="1" w:styleId="PageBreak">
    <w:name w:val="PageBreak"/>
    <w:aliases w:val="pb"/>
    <w:basedOn w:val="OPCParaBase"/>
    <w:rsid w:val="0042664D"/>
    <w:pPr>
      <w:spacing w:line="240" w:lineRule="auto"/>
    </w:pPr>
    <w:rPr>
      <w:sz w:val="20"/>
    </w:rPr>
  </w:style>
  <w:style w:type="paragraph" w:customStyle="1" w:styleId="paragraphsub">
    <w:name w:val="paragraph(sub)"/>
    <w:aliases w:val="aa"/>
    <w:basedOn w:val="OPCParaBase"/>
    <w:rsid w:val="0042664D"/>
    <w:pPr>
      <w:tabs>
        <w:tab w:val="right" w:pos="1985"/>
      </w:tabs>
      <w:spacing w:before="40" w:line="240" w:lineRule="auto"/>
      <w:ind w:left="2098" w:hanging="2098"/>
    </w:pPr>
  </w:style>
  <w:style w:type="paragraph" w:customStyle="1" w:styleId="paragraphsub-sub">
    <w:name w:val="paragraph(sub-sub)"/>
    <w:aliases w:val="aaa"/>
    <w:basedOn w:val="OPCParaBase"/>
    <w:rsid w:val="0042664D"/>
    <w:pPr>
      <w:tabs>
        <w:tab w:val="right" w:pos="2722"/>
      </w:tabs>
      <w:spacing w:before="40" w:line="240" w:lineRule="auto"/>
      <w:ind w:left="2835" w:hanging="2835"/>
    </w:pPr>
  </w:style>
  <w:style w:type="paragraph" w:customStyle="1" w:styleId="paragraph">
    <w:name w:val="paragraph"/>
    <w:aliases w:val="a"/>
    <w:basedOn w:val="OPCParaBase"/>
    <w:link w:val="paragraphChar"/>
    <w:rsid w:val="0042664D"/>
    <w:pPr>
      <w:tabs>
        <w:tab w:val="right" w:pos="1531"/>
      </w:tabs>
      <w:spacing w:before="40" w:line="240" w:lineRule="auto"/>
      <w:ind w:left="1644" w:hanging="1644"/>
    </w:pPr>
  </w:style>
  <w:style w:type="paragraph" w:customStyle="1" w:styleId="ParlAmend">
    <w:name w:val="ParlAmend"/>
    <w:aliases w:val="pp"/>
    <w:basedOn w:val="OPCParaBase"/>
    <w:rsid w:val="0042664D"/>
    <w:pPr>
      <w:spacing w:before="240" w:line="240" w:lineRule="atLeast"/>
      <w:ind w:hanging="567"/>
    </w:pPr>
    <w:rPr>
      <w:sz w:val="24"/>
    </w:rPr>
  </w:style>
  <w:style w:type="paragraph" w:customStyle="1" w:styleId="Penalty">
    <w:name w:val="Penalty"/>
    <w:basedOn w:val="OPCParaBase"/>
    <w:rsid w:val="0042664D"/>
    <w:pPr>
      <w:tabs>
        <w:tab w:val="left" w:pos="2977"/>
      </w:tabs>
      <w:spacing w:before="180" w:line="240" w:lineRule="auto"/>
      <w:ind w:left="1985" w:hanging="851"/>
    </w:pPr>
  </w:style>
  <w:style w:type="paragraph" w:customStyle="1" w:styleId="Portfolio">
    <w:name w:val="Portfolio"/>
    <w:basedOn w:val="OPCParaBase"/>
    <w:rsid w:val="0042664D"/>
    <w:pPr>
      <w:spacing w:line="240" w:lineRule="auto"/>
    </w:pPr>
    <w:rPr>
      <w:i/>
      <w:sz w:val="20"/>
    </w:rPr>
  </w:style>
  <w:style w:type="paragraph" w:customStyle="1" w:styleId="Preamble">
    <w:name w:val="Preamble"/>
    <w:basedOn w:val="OPCParaBase"/>
    <w:next w:val="Normal"/>
    <w:rsid w:val="004266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2664D"/>
    <w:pPr>
      <w:spacing w:line="240" w:lineRule="auto"/>
    </w:pPr>
    <w:rPr>
      <w:i/>
      <w:sz w:val="20"/>
    </w:rPr>
  </w:style>
  <w:style w:type="paragraph" w:customStyle="1" w:styleId="Session">
    <w:name w:val="Session"/>
    <w:basedOn w:val="OPCParaBase"/>
    <w:rsid w:val="0042664D"/>
    <w:pPr>
      <w:spacing w:line="240" w:lineRule="auto"/>
    </w:pPr>
    <w:rPr>
      <w:sz w:val="28"/>
    </w:rPr>
  </w:style>
  <w:style w:type="paragraph" w:customStyle="1" w:styleId="Sponsor">
    <w:name w:val="Sponsor"/>
    <w:basedOn w:val="OPCParaBase"/>
    <w:rsid w:val="0042664D"/>
    <w:pPr>
      <w:spacing w:line="240" w:lineRule="auto"/>
    </w:pPr>
    <w:rPr>
      <w:i/>
    </w:rPr>
  </w:style>
  <w:style w:type="paragraph" w:customStyle="1" w:styleId="Subitem">
    <w:name w:val="Subitem"/>
    <w:aliases w:val="iss"/>
    <w:basedOn w:val="OPCParaBase"/>
    <w:rsid w:val="0042664D"/>
    <w:pPr>
      <w:spacing w:before="180" w:line="240" w:lineRule="auto"/>
      <w:ind w:left="709" w:hanging="709"/>
    </w:pPr>
  </w:style>
  <w:style w:type="paragraph" w:customStyle="1" w:styleId="SubitemHead">
    <w:name w:val="SubitemHead"/>
    <w:aliases w:val="issh"/>
    <w:basedOn w:val="OPCParaBase"/>
    <w:rsid w:val="004266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2664D"/>
    <w:pPr>
      <w:spacing w:before="40" w:line="240" w:lineRule="auto"/>
      <w:ind w:left="1134"/>
    </w:pPr>
  </w:style>
  <w:style w:type="paragraph" w:customStyle="1" w:styleId="SubsectionHead">
    <w:name w:val="SubsectionHead"/>
    <w:aliases w:val="ssh"/>
    <w:basedOn w:val="OPCParaBase"/>
    <w:next w:val="subsection"/>
    <w:rsid w:val="0042664D"/>
    <w:pPr>
      <w:keepNext/>
      <w:keepLines/>
      <w:spacing w:before="240" w:line="240" w:lineRule="auto"/>
      <w:ind w:left="1134"/>
    </w:pPr>
    <w:rPr>
      <w:i/>
    </w:rPr>
  </w:style>
  <w:style w:type="paragraph" w:customStyle="1" w:styleId="Tablea">
    <w:name w:val="Table(a)"/>
    <w:aliases w:val="ta"/>
    <w:basedOn w:val="OPCParaBase"/>
    <w:rsid w:val="0042664D"/>
    <w:pPr>
      <w:spacing w:before="60" w:line="240" w:lineRule="auto"/>
      <w:ind w:left="284" w:hanging="284"/>
    </w:pPr>
    <w:rPr>
      <w:sz w:val="20"/>
    </w:rPr>
  </w:style>
  <w:style w:type="paragraph" w:customStyle="1" w:styleId="TableAA">
    <w:name w:val="Table(AA)"/>
    <w:aliases w:val="taaa"/>
    <w:basedOn w:val="OPCParaBase"/>
    <w:rsid w:val="004266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266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2664D"/>
    <w:pPr>
      <w:spacing w:before="60" w:line="240" w:lineRule="atLeast"/>
    </w:pPr>
    <w:rPr>
      <w:sz w:val="20"/>
    </w:rPr>
  </w:style>
  <w:style w:type="paragraph" w:customStyle="1" w:styleId="TLPBoxTextnote">
    <w:name w:val="TLPBoxText(note"/>
    <w:aliases w:val="right)"/>
    <w:basedOn w:val="OPCParaBase"/>
    <w:rsid w:val="004266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266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2664D"/>
    <w:pPr>
      <w:spacing w:before="122" w:line="198" w:lineRule="exact"/>
      <w:ind w:left="1985" w:hanging="851"/>
      <w:jc w:val="right"/>
    </w:pPr>
    <w:rPr>
      <w:sz w:val="18"/>
    </w:rPr>
  </w:style>
  <w:style w:type="paragraph" w:customStyle="1" w:styleId="TLPTableBullet">
    <w:name w:val="TLPTableBullet"/>
    <w:aliases w:val="ttb"/>
    <w:basedOn w:val="OPCParaBase"/>
    <w:rsid w:val="0042664D"/>
    <w:pPr>
      <w:spacing w:line="240" w:lineRule="exact"/>
      <w:ind w:left="284" w:hanging="284"/>
    </w:pPr>
    <w:rPr>
      <w:sz w:val="20"/>
    </w:rPr>
  </w:style>
  <w:style w:type="paragraph" w:styleId="TOC1">
    <w:name w:val="toc 1"/>
    <w:basedOn w:val="OPCParaBase"/>
    <w:next w:val="Normal"/>
    <w:uiPriority w:val="39"/>
    <w:semiHidden/>
    <w:unhideWhenUsed/>
    <w:rsid w:val="0042664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2664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2664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2664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2664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266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266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266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2664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2664D"/>
    <w:pPr>
      <w:keepLines/>
      <w:spacing w:before="240" w:after="120" w:line="240" w:lineRule="auto"/>
      <w:ind w:left="794"/>
    </w:pPr>
    <w:rPr>
      <w:b/>
      <w:kern w:val="28"/>
      <w:sz w:val="20"/>
    </w:rPr>
  </w:style>
  <w:style w:type="paragraph" w:customStyle="1" w:styleId="TofSectsHeading">
    <w:name w:val="TofSects(Heading)"/>
    <w:basedOn w:val="OPCParaBase"/>
    <w:rsid w:val="0042664D"/>
    <w:pPr>
      <w:spacing w:before="240" w:after="120" w:line="240" w:lineRule="auto"/>
    </w:pPr>
    <w:rPr>
      <w:b/>
      <w:sz w:val="24"/>
    </w:rPr>
  </w:style>
  <w:style w:type="paragraph" w:customStyle="1" w:styleId="TofSectsSection">
    <w:name w:val="TofSects(Section)"/>
    <w:basedOn w:val="OPCParaBase"/>
    <w:rsid w:val="0042664D"/>
    <w:pPr>
      <w:keepLines/>
      <w:spacing w:before="40" w:line="240" w:lineRule="auto"/>
      <w:ind w:left="1588" w:hanging="794"/>
    </w:pPr>
    <w:rPr>
      <w:kern w:val="28"/>
      <w:sz w:val="18"/>
    </w:rPr>
  </w:style>
  <w:style w:type="paragraph" w:customStyle="1" w:styleId="TofSectsSubdiv">
    <w:name w:val="TofSects(Subdiv)"/>
    <w:basedOn w:val="OPCParaBase"/>
    <w:rsid w:val="0042664D"/>
    <w:pPr>
      <w:keepLines/>
      <w:spacing w:before="80" w:line="240" w:lineRule="auto"/>
      <w:ind w:left="1588" w:hanging="794"/>
    </w:pPr>
    <w:rPr>
      <w:kern w:val="28"/>
    </w:rPr>
  </w:style>
  <w:style w:type="paragraph" w:customStyle="1" w:styleId="WRStyle">
    <w:name w:val="WR Style"/>
    <w:aliases w:val="WR"/>
    <w:basedOn w:val="OPCParaBase"/>
    <w:rsid w:val="0042664D"/>
    <w:pPr>
      <w:spacing w:before="240" w:line="240" w:lineRule="auto"/>
      <w:ind w:left="284" w:hanging="284"/>
    </w:pPr>
    <w:rPr>
      <w:b/>
      <w:i/>
      <w:kern w:val="28"/>
      <w:sz w:val="24"/>
    </w:rPr>
  </w:style>
  <w:style w:type="paragraph" w:customStyle="1" w:styleId="notepara">
    <w:name w:val="note(para)"/>
    <w:aliases w:val="na"/>
    <w:basedOn w:val="OPCParaBase"/>
    <w:rsid w:val="0042664D"/>
    <w:pPr>
      <w:spacing w:before="40" w:line="198" w:lineRule="exact"/>
      <w:ind w:left="2354" w:hanging="369"/>
    </w:pPr>
    <w:rPr>
      <w:sz w:val="18"/>
    </w:rPr>
  </w:style>
  <w:style w:type="paragraph" w:styleId="Footer">
    <w:name w:val="footer"/>
    <w:link w:val="FooterChar"/>
    <w:rsid w:val="004266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2664D"/>
    <w:rPr>
      <w:rFonts w:eastAsia="Times New Roman" w:cs="Times New Roman"/>
      <w:sz w:val="22"/>
      <w:szCs w:val="24"/>
      <w:lang w:eastAsia="en-AU"/>
    </w:rPr>
  </w:style>
  <w:style w:type="character" w:styleId="LineNumber">
    <w:name w:val="line number"/>
    <w:basedOn w:val="OPCCharBase"/>
    <w:uiPriority w:val="99"/>
    <w:semiHidden/>
    <w:unhideWhenUsed/>
    <w:rsid w:val="0042664D"/>
    <w:rPr>
      <w:sz w:val="16"/>
    </w:rPr>
  </w:style>
  <w:style w:type="table" w:customStyle="1" w:styleId="CFlag">
    <w:name w:val="CFlag"/>
    <w:basedOn w:val="TableNormal"/>
    <w:uiPriority w:val="99"/>
    <w:rsid w:val="0042664D"/>
    <w:rPr>
      <w:rFonts w:eastAsia="Times New Roman" w:cs="Times New Roman"/>
      <w:lang w:eastAsia="en-AU"/>
    </w:rPr>
    <w:tblPr/>
  </w:style>
  <w:style w:type="paragraph" w:customStyle="1" w:styleId="NotesHeading1">
    <w:name w:val="NotesHeading 1"/>
    <w:basedOn w:val="OPCParaBase"/>
    <w:next w:val="Normal"/>
    <w:rsid w:val="0042664D"/>
    <w:rPr>
      <w:b/>
      <w:sz w:val="28"/>
      <w:szCs w:val="28"/>
    </w:rPr>
  </w:style>
  <w:style w:type="paragraph" w:customStyle="1" w:styleId="NotesHeading2">
    <w:name w:val="NotesHeading 2"/>
    <w:basedOn w:val="OPCParaBase"/>
    <w:next w:val="Normal"/>
    <w:rsid w:val="0042664D"/>
    <w:rPr>
      <w:b/>
      <w:sz w:val="28"/>
      <w:szCs w:val="28"/>
    </w:rPr>
  </w:style>
  <w:style w:type="paragraph" w:customStyle="1" w:styleId="SignCoverPageEnd">
    <w:name w:val="SignCoverPageEnd"/>
    <w:basedOn w:val="OPCParaBase"/>
    <w:next w:val="Normal"/>
    <w:rsid w:val="004266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2664D"/>
    <w:pPr>
      <w:pBdr>
        <w:top w:val="single" w:sz="4" w:space="1" w:color="auto"/>
      </w:pBdr>
      <w:spacing w:before="360"/>
      <w:ind w:right="397"/>
      <w:jc w:val="both"/>
    </w:pPr>
  </w:style>
  <w:style w:type="paragraph" w:customStyle="1" w:styleId="Paragraphsub-sub-sub">
    <w:name w:val="Paragraph(sub-sub-sub)"/>
    <w:aliases w:val="aaaa"/>
    <w:basedOn w:val="OPCParaBase"/>
    <w:rsid w:val="004266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266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266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266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2664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2664D"/>
    <w:pPr>
      <w:spacing w:before="120"/>
    </w:pPr>
  </w:style>
  <w:style w:type="paragraph" w:customStyle="1" w:styleId="TableTextEndNotes">
    <w:name w:val="TableTextEndNotes"/>
    <w:aliases w:val="Tten"/>
    <w:basedOn w:val="Normal"/>
    <w:rsid w:val="0042664D"/>
    <w:pPr>
      <w:spacing w:before="60" w:line="240" w:lineRule="auto"/>
    </w:pPr>
    <w:rPr>
      <w:rFonts w:cs="Arial"/>
      <w:sz w:val="20"/>
      <w:szCs w:val="22"/>
    </w:rPr>
  </w:style>
  <w:style w:type="paragraph" w:customStyle="1" w:styleId="TableHeading">
    <w:name w:val="TableHeading"/>
    <w:aliases w:val="th"/>
    <w:basedOn w:val="OPCParaBase"/>
    <w:next w:val="Tabletext"/>
    <w:rsid w:val="0042664D"/>
    <w:pPr>
      <w:keepNext/>
      <w:spacing w:before="60" w:line="240" w:lineRule="atLeast"/>
    </w:pPr>
    <w:rPr>
      <w:b/>
      <w:sz w:val="20"/>
    </w:rPr>
  </w:style>
  <w:style w:type="paragraph" w:customStyle="1" w:styleId="NoteToSubpara">
    <w:name w:val="NoteToSubpara"/>
    <w:aliases w:val="nts"/>
    <w:basedOn w:val="OPCParaBase"/>
    <w:rsid w:val="0042664D"/>
    <w:pPr>
      <w:spacing w:before="40" w:line="198" w:lineRule="exact"/>
      <w:ind w:left="2835" w:hanging="709"/>
    </w:pPr>
    <w:rPr>
      <w:sz w:val="18"/>
    </w:rPr>
  </w:style>
  <w:style w:type="paragraph" w:customStyle="1" w:styleId="ENoteTableHeading">
    <w:name w:val="ENoteTableHeading"/>
    <w:aliases w:val="enth"/>
    <w:basedOn w:val="OPCParaBase"/>
    <w:rsid w:val="0042664D"/>
    <w:pPr>
      <w:keepNext/>
      <w:spacing w:before="60" w:line="240" w:lineRule="atLeast"/>
    </w:pPr>
    <w:rPr>
      <w:rFonts w:ascii="Arial" w:hAnsi="Arial"/>
      <w:b/>
      <w:sz w:val="16"/>
    </w:rPr>
  </w:style>
  <w:style w:type="paragraph" w:customStyle="1" w:styleId="ENoteTTi">
    <w:name w:val="ENoteTTi"/>
    <w:aliases w:val="entti"/>
    <w:basedOn w:val="OPCParaBase"/>
    <w:rsid w:val="0042664D"/>
    <w:pPr>
      <w:keepNext/>
      <w:spacing w:before="60" w:line="240" w:lineRule="atLeast"/>
      <w:ind w:left="170"/>
    </w:pPr>
    <w:rPr>
      <w:sz w:val="16"/>
    </w:rPr>
  </w:style>
  <w:style w:type="paragraph" w:customStyle="1" w:styleId="ENotesHeading1">
    <w:name w:val="ENotesHeading 1"/>
    <w:aliases w:val="Enh1"/>
    <w:basedOn w:val="OPCParaBase"/>
    <w:next w:val="Normal"/>
    <w:rsid w:val="0042664D"/>
    <w:pPr>
      <w:spacing w:before="120"/>
      <w:outlineLvl w:val="1"/>
    </w:pPr>
    <w:rPr>
      <w:b/>
      <w:sz w:val="28"/>
      <w:szCs w:val="28"/>
    </w:rPr>
  </w:style>
  <w:style w:type="paragraph" w:customStyle="1" w:styleId="ENotesHeading2">
    <w:name w:val="ENotesHeading 2"/>
    <w:aliases w:val="Enh2"/>
    <w:basedOn w:val="OPCParaBase"/>
    <w:next w:val="Normal"/>
    <w:rsid w:val="0042664D"/>
    <w:pPr>
      <w:spacing w:before="120" w:after="120"/>
      <w:outlineLvl w:val="2"/>
    </w:pPr>
    <w:rPr>
      <w:b/>
      <w:sz w:val="24"/>
      <w:szCs w:val="28"/>
    </w:rPr>
  </w:style>
  <w:style w:type="paragraph" w:customStyle="1" w:styleId="ENoteTTIndentHeading">
    <w:name w:val="ENoteTTIndentHeading"/>
    <w:aliases w:val="enTTHi"/>
    <w:basedOn w:val="OPCParaBase"/>
    <w:rsid w:val="004266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2664D"/>
    <w:pPr>
      <w:spacing w:before="60" w:line="240" w:lineRule="atLeast"/>
    </w:pPr>
    <w:rPr>
      <w:sz w:val="16"/>
    </w:rPr>
  </w:style>
  <w:style w:type="paragraph" w:customStyle="1" w:styleId="MadeunderText">
    <w:name w:val="MadeunderText"/>
    <w:basedOn w:val="OPCParaBase"/>
    <w:next w:val="Normal"/>
    <w:rsid w:val="0042664D"/>
    <w:pPr>
      <w:spacing w:before="240"/>
    </w:pPr>
    <w:rPr>
      <w:sz w:val="24"/>
      <w:szCs w:val="24"/>
    </w:rPr>
  </w:style>
  <w:style w:type="paragraph" w:customStyle="1" w:styleId="ENotesHeading3">
    <w:name w:val="ENotesHeading 3"/>
    <w:aliases w:val="Enh3"/>
    <w:basedOn w:val="OPCParaBase"/>
    <w:next w:val="Normal"/>
    <w:rsid w:val="0042664D"/>
    <w:pPr>
      <w:keepNext/>
      <w:spacing w:before="120" w:line="240" w:lineRule="auto"/>
      <w:outlineLvl w:val="4"/>
    </w:pPr>
    <w:rPr>
      <w:b/>
      <w:szCs w:val="24"/>
    </w:rPr>
  </w:style>
  <w:style w:type="paragraph" w:customStyle="1" w:styleId="SubPartCASA">
    <w:name w:val="SubPart(CASA)"/>
    <w:aliases w:val="csp"/>
    <w:basedOn w:val="OPCParaBase"/>
    <w:next w:val="ActHead3"/>
    <w:rsid w:val="0042664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2664D"/>
  </w:style>
  <w:style w:type="character" w:customStyle="1" w:styleId="CharSubPartNoCASA">
    <w:name w:val="CharSubPartNo(CASA)"/>
    <w:basedOn w:val="OPCCharBase"/>
    <w:uiPriority w:val="1"/>
    <w:rsid w:val="0042664D"/>
  </w:style>
  <w:style w:type="paragraph" w:customStyle="1" w:styleId="ENoteTTIndentHeadingSub">
    <w:name w:val="ENoteTTIndentHeadingSub"/>
    <w:aliases w:val="enTTHis"/>
    <w:basedOn w:val="OPCParaBase"/>
    <w:rsid w:val="0042664D"/>
    <w:pPr>
      <w:keepNext/>
      <w:spacing w:before="60" w:line="240" w:lineRule="atLeast"/>
      <w:ind w:left="340"/>
    </w:pPr>
    <w:rPr>
      <w:b/>
      <w:sz w:val="16"/>
    </w:rPr>
  </w:style>
  <w:style w:type="paragraph" w:customStyle="1" w:styleId="ENoteTTiSub">
    <w:name w:val="ENoteTTiSub"/>
    <w:aliases w:val="enttis"/>
    <w:basedOn w:val="OPCParaBase"/>
    <w:rsid w:val="0042664D"/>
    <w:pPr>
      <w:keepNext/>
      <w:spacing w:before="60" w:line="240" w:lineRule="atLeast"/>
      <w:ind w:left="340"/>
    </w:pPr>
    <w:rPr>
      <w:sz w:val="16"/>
    </w:rPr>
  </w:style>
  <w:style w:type="paragraph" w:customStyle="1" w:styleId="SubDivisionMigration">
    <w:name w:val="SubDivisionMigration"/>
    <w:aliases w:val="sdm"/>
    <w:basedOn w:val="OPCParaBase"/>
    <w:rsid w:val="004266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2664D"/>
    <w:pPr>
      <w:keepNext/>
      <w:keepLines/>
      <w:spacing w:before="240" w:line="240" w:lineRule="auto"/>
      <w:ind w:left="1134" w:hanging="1134"/>
    </w:pPr>
    <w:rPr>
      <w:b/>
      <w:sz w:val="28"/>
    </w:rPr>
  </w:style>
  <w:style w:type="table" w:styleId="TableGrid">
    <w:name w:val="Table Grid"/>
    <w:basedOn w:val="TableNormal"/>
    <w:uiPriority w:val="59"/>
    <w:rsid w:val="00426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2664D"/>
    <w:pPr>
      <w:spacing w:before="122" w:line="240" w:lineRule="auto"/>
      <w:ind w:left="1985" w:hanging="851"/>
    </w:pPr>
    <w:rPr>
      <w:sz w:val="18"/>
    </w:rPr>
  </w:style>
  <w:style w:type="paragraph" w:customStyle="1" w:styleId="FreeForm">
    <w:name w:val="FreeForm"/>
    <w:rsid w:val="0042664D"/>
    <w:rPr>
      <w:rFonts w:ascii="Arial" w:hAnsi="Arial"/>
      <w:sz w:val="22"/>
    </w:rPr>
  </w:style>
  <w:style w:type="paragraph" w:customStyle="1" w:styleId="SOText">
    <w:name w:val="SO Text"/>
    <w:aliases w:val="sot"/>
    <w:link w:val="SOTextChar"/>
    <w:rsid w:val="004266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2664D"/>
    <w:rPr>
      <w:sz w:val="22"/>
    </w:rPr>
  </w:style>
  <w:style w:type="paragraph" w:customStyle="1" w:styleId="SOTextNote">
    <w:name w:val="SO TextNote"/>
    <w:aliases w:val="sont"/>
    <w:basedOn w:val="SOText"/>
    <w:qFormat/>
    <w:rsid w:val="0042664D"/>
    <w:pPr>
      <w:spacing w:before="122" w:line="198" w:lineRule="exact"/>
      <w:ind w:left="1843" w:hanging="709"/>
    </w:pPr>
    <w:rPr>
      <w:sz w:val="18"/>
    </w:rPr>
  </w:style>
  <w:style w:type="paragraph" w:customStyle="1" w:styleId="SOPara">
    <w:name w:val="SO Para"/>
    <w:aliases w:val="soa"/>
    <w:basedOn w:val="SOText"/>
    <w:link w:val="SOParaChar"/>
    <w:qFormat/>
    <w:rsid w:val="0042664D"/>
    <w:pPr>
      <w:tabs>
        <w:tab w:val="right" w:pos="1786"/>
      </w:tabs>
      <w:spacing w:before="40"/>
      <w:ind w:left="2070" w:hanging="936"/>
    </w:pPr>
  </w:style>
  <w:style w:type="character" w:customStyle="1" w:styleId="SOParaChar">
    <w:name w:val="SO Para Char"/>
    <w:aliases w:val="soa Char"/>
    <w:basedOn w:val="DefaultParagraphFont"/>
    <w:link w:val="SOPara"/>
    <w:rsid w:val="0042664D"/>
    <w:rPr>
      <w:sz w:val="22"/>
    </w:rPr>
  </w:style>
  <w:style w:type="paragraph" w:customStyle="1" w:styleId="FileName">
    <w:name w:val="FileName"/>
    <w:basedOn w:val="Normal"/>
    <w:rsid w:val="0042664D"/>
  </w:style>
  <w:style w:type="paragraph" w:customStyle="1" w:styleId="SOHeadBold">
    <w:name w:val="SO HeadBold"/>
    <w:aliases w:val="sohb"/>
    <w:basedOn w:val="SOText"/>
    <w:next w:val="SOText"/>
    <w:link w:val="SOHeadBoldChar"/>
    <w:qFormat/>
    <w:rsid w:val="0042664D"/>
    <w:rPr>
      <w:b/>
    </w:rPr>
  </w:style>
  <w:style w:type="character" w:customStyle="1" w:styleId="SOHeadBoldChar">
    <w:name w:val="SO HeadBold Char"/>
    <w:aliases w:val="sohb Char"/>
    <w:basedOn w:val="DefaultParagraphFont"/>
    <w:link w:val="SOHeadBold"/>
    <w:rsid w:val="0042664D"/>
    <w:rPr>
      <w:b/>
      <w:sz w:val="22"/>
    </w:rPr>
  </w:style>
  <w:style w:type="paragraph" w:customStyle="1" w:styleId="SOHeadItalic">
    <w:name w:val="SO HeadItalic"/>
    <w:aliases w:val="sohi"/>
    <w:basedOn w:val="SOText"/>
    <w:next w:val="SOText"/>
    <w:link w:val="SOHeadItalicChar"/>
    <w:qFormat/>
    <w:rsid w:val="0042664D"/>
    <w:rPr>
      <w:i/>
    </w:rPr>
  </w:style>
  <w:style w:type="character" w:customStyle="1" w:styleId="SOHeadItalicChar">
    <w:name w:val="SO HeadItalic Char"/>
    <w:aliases w:val="sohi Char"/>
    <w:basedOn w:val="DefaultParagraphFont"/>
    <w:link w:val="SOHeadItalic"/>
    <w:rsid w:val="0042664D"/>
    <w:rPr>
      <w:i/>
      <w:sz w:val="22"/>
    </w:rPr>
  </w:style>
  <w:style w:type="paragraph" w:customStyle="1" w:styleId="SOBullet">
    <w:name w:val="SO Bullet"/>
    <w:aliases w:val="sotb"/>
    <w:basedOn w:val="SOText"/>
    <w:link w:val="SOBulletChar"/>
    <w:qFormat/>
    <w:rsid w:val="0042664D"/>
    <w:pPr>
      <w:ind w:left="1559" w:hanging="425"/>
    </w:pPr>
  </w:style>
  <w:style w:type="character" w:customStyle="1" w:styleId="SOBulletChar">
    <w:name w:val="SO Bullet Char"/>
    <w:aliases w:val="sotb Char"/>
    <w:basedOn w:val="DefaultParagraphFont"/>
    <w:link w:val="SOBullet"/>
    <w:rsid w:val="0042664D"/>
    <w:rPr>
      <w:sz w:val="22"/>
    </w:rPr>
  </w:style>
  <w:style w:type="paragraph" w:customStyle="1" w:styleId="SOBulletNote">
    <w:name w:val="SO BulletNote"/>
    <w:aliases w:val="sonb"/>
    <w:basedOn w:val="SOTextNote"/>
    <w:link w:val="SOBulletNoteChar"/>
    <w:qFormat/>
    <w:rsid w:val="0042664D"/>
    <w:pPr>
      <w:tabs>
        <w:tab w:val="left" w:pos="1560"/>
      </w:tabs>
      <w:ind w:left="2268" w:hanging="1134"/>
    </w:pPr>
  </w:style>
  <w:style w:type="character" w:customStyle="1" w:styleId="SOBulletNoteChar">
    <w:name w:val="SO BulletNote Char"/>
    <w:aliases w:val="sonb Char"/>
    <w:basedOn w:val="DefaultParagraphFont"/>
    <w:link w:val="SOBulletNote"/>
    <w:rsid w:val="0042664D"/>
    <w:rPr>
      <w:sz w:val="18"/>
    </w:rPr>
  </w:style>
  <w:style w:type="paragraph" w:customStyle="1" w:styleId="SOText2">
    <w:name w:val="SO Text2"/>
    <w:aliases w:val="sot2"/>
    <w:basedOn w:val="Normal"/>
    <w:next w:val="SOText"/>
    <w:link w:val="SOText2Char"/>
    <w:rsid w:val="004266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2664D"/>
    <w:rPr>
      <w:sz w:val="22"/>
    </w:rPr>
  </w:style>
  <w:style w:type="paragraph" w:customStyle="1" w:styleId="Transitional">
    <w:name w:val="Transitional"/>
    <w:aliases w:val="tr"/>
    <w:basedOn w:val="ItemHead"/>
    <w:next w:val="Item"/>
    <w:rsid w:val="0042664D"/>
  </w:style>
  <w:style w:type="character" w:customStyle="1" w:styleId="subsectionChar">
    <w:name w:val="subsection Char"/>
    <w:aliases w:val="ss Char"/>
    <w:basedOn w:val="DefaultParagraphFont"/>
    <w:link w:val="subsection"/>
    <w:locked/>
    <w:rsid w:val="006E70D5"/>
    <w:rPr>
      <w:rFonts w:eastAsia="Times New Roman" w:cs="Times New Roman"/>
      <w:sz w:val="22"/>
      <w:lang w:eastAsia="en-AU"/>
    </w:rPr>
  </w:style>
  <w:style w:type="character" w:customStyle="1" w:styleId="notetextChar">
    <w:name w:val="note(text) Char"/>
    <w:aliases w:val="n Char"/>
    <w:basedOn w:val="DefaultParagraphFont"/>
    <w:link w:val="notetext"/>
    <w:rsid w:val="006E70D5"/>
    <w:rPr>
      <w:rFonts w:eastAsia="Times New Roman" w:cs="Times New Roman"/>
      <w:sz w:val="18"/>
      <w:lang w:eastAsia="en-AU"/>
    </w:rPr>
  </w:style>
  <w:style w:type="character" w:customStyle="1" w:styleId="Heading1Char">
    <w:name w:val="Heading 1 Char"/>
    <w:basedOn w:val="DefaultParagraphFont"/>
    <w:link w:val="Heading1"/>
    <w:uiPriority w:val="9"/>
    <w:rsid w:val="006E70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70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70D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E70D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E70D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E70D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E70D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E70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E70D5"/>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C835BB"/>
    <w:pPr>
      <w:spacing w:line="240" w:lineRule="auto"/>
    </w:pPr>
    <w:rPr>
      <w:sz w:val="20"/>
    </w:rPr>
  </w:style>
  <w:style w:type="character" w:customStyle="1" w:styleId="EndnoteTextChar">
    <w:name w:val="Endnote Text Char"/>
    <w:basedOn w:val="DefaultParagraphFont"/>
    <w:link w:val="EndnoteText"/>
    <w:uiPriority w:val="99"/>
    <w:semiHidden/>
    <w:rsid w:val="00C835BB"/>
  </w:style>
  <w:style w:type="character" w:styleId="EndnoteReference">
    <w:name w:val="endnote reference"/>
    <w:basedOn w:val="DefaultParagraphFont"/>
    <w:uiPriority w:val="99"/>
    <w:semiHidden/>
    <w:unhideWhenUsed/>
    <w:rsid w:val="00C835BB"/>
    <w:rPr>
      <w:vertAlign w:val="superscript"/>
    </w:rPr>
  </w:style>
  <w:style w:type="character" w:customStyle="1" w:styleId="paragraphChar">
    <w:name w:val="paragraph Char"/>
    <w:aliases w:val="a Char"/>
    <w:link w:val="paragraph"/>
    <w:rsid w:val="00390376"/>
    <w:rPr>
      <w:rFonts w:eastAsia="Times New Roman" w:cs="Times New Roman"/>
      <w:sz w:val="22"/>
      <w:lang w:eastAsia="en-AU"/>
    </w:rPr>
  </w:style>
  <w:style w:type="paragraph" w:styleId="BalloonText">
    <w:name w:val="Balloon Text"/>
    <w:basedOn w:val="Normal"/>
    <w:link w:val="BalloonTextChar"/>
    <w:uiPriority w:val="99"/>
    <w:semiHidden/>
    <w:unhideWhenUsed/>
    <w:rsid w:val="001412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2B3"/>
    <w:rPr>
      <w:rFonts w:ascii="Tahoma" w:hAnsi="Tahoma" w:cs="Tahoma"/>
      <w:sz w:val="16"/>
      <w:szCs w:val="16"/>
    </w:rPr>
  </w:style>
  <w:style w:type="character" w:customStyle="1" w:styleId="ActHead5Char">
    <w:name w:val="ActHead 5 Char"/>
    <w:aliases w:val="s Char"/>
    <w:link w:val="ActHead5"/>
    <w:rsid w:val="00583A0F"/>
    <w:rPr>
      <w:rFonts w:eastAsia="Times New Roman" w:cs="Times New Roman"/>
      <w:b/>
      <w:kern w:val="28"/>
      <w:sz w:val="24"/>
      <w:lang w:eastAsia="en-AU"/>
    </w:rPr>
  </w:style>
  <w:style w:type="paragraph" w:styleId="ListParagraph">
    <w:name w:val="List Paragraph"/>
    <w:basedOn w:val="Normal"/>
    <w:uiPriority w:val="34"/>
    <w:qFormat/>
    <w:rsid w:val="00CF799C"/>
    <w:pPr>
      <w:spacing w:line="240" w:lineRule="auto"/>
      <w:ind w:left="720"/>
    </w:pPr>
    <w:rPr>
      <w:rFonts w:cs="Times New Roman"/>
      <w:sz w:val="24"/>
      <w:szCs w:val="24"/>
      <w:lang w:eastAsia="en-AU"/>
    </w:rPr>
  </w:style>
  <w:style w:type="character" w:styleId="Hyperlink">
    <w:name w:val="Hyperlink"/>
    <w:basedOn w:val="DefaultParagraphFont"/>
    <w:uiPriority w:val="99"/>
    <w:semiHidden/>
    <w:unhideWhenUsed/>
    <w:rsid w:val="0031542F"/>
    <w:rPr>
      <w:color w:val="0000FF" w:themeColor="hyperlink"/>
      <w:u w:val="single"/>
    </w:rPr>
  </w:style>
  <w:style w:type="character" w:styleId="FollowedHyperlink">
    <w:name w:val="FollowedHyperlink"/>
    <w:basedOn w:val="DefaultParagraphFont"/>
    <w:uiPriority w:val="99"/>
    <w:semiHidden/>
    <w:unhideWhenUsed/>
    <w:rsid w:val="0031542F"/>
    <w:rPr>
      <w:color w:val="0000FF" w:themeColor="hyperlink"/>
      <w:u w:val="single"/>
    </w:rPr>
  </w:style>
  <w:style w:type="paragraph" w:customStyle="1" w:styleId="ShortTP1">
    <w:name w:val="ShortTP1"/>
    <w:basedOn w:val="ShortT"/>
    <w:link w:val="ShortTP1Char"/>
    <w:rsid w:val="003E2157"/>
    <w:pPr>
      <w:spacing w:before="800"/>
    </w:pPr>
  </w:style>
  <w:style w:type="character" w:customStyle="1" w:styleId="ShortTP1Char">
    <w:name w:val="ShortTP1 Char"/>
    <w:basedOn w:val="DefaultParagraphFont"/>
    <w:link w:val="ShortTP1"/>
    <w:rsid w:val="003E2157"/>
    <w:rPr>
      <w:rFonts w:eastAsia="Times New Roman" w:cs="Times New Roman"/>
      <w:b/>
      <w:sz w:val="40"/>
      <w:lang w:eastAsia="en-AU"/>
    </w:rPr>
  </w:style>
  <w:style w:type="paragraph" w:customStyle="1" w:styleId="ActNoP1">
    <w:name w:val="ActNoP1"/>
    <w:basedOn w:val="Actno"/>
    <w:link w:val="ActNoP1Char"/>
    <w:rsid w:val="003E2157"/>
    <w:pPr>
      <w:spacing w:before="800"/>
    </w:pPr>
    <w:rPr>
      <w:sz w:val="28"/>
    </w:rPr>
  </w:style>
  <w:style w:type="character" w:customStyle="1" w:styleId="ActNoP1Char">
    <w:name w:val="ActNoP1 Char"/>
    <w:basedOn w:val="DefaultParagraphFont"/>
    <w:link w:val="ActNoP1"/>
    <w:rsid w:val="003E2157"/>
    <w:rPr>
      <w:rFonts w:eastAsia="Times New Roman" w:cs="Times New Roman"/>
      <w:b/>
      <w:sz w:val="28"/>
      <w:lang w:eastAsia="en-AU"/>
    </w:rPr>
  </w:style>
  <w:style w:type="paragraph" w:customStyle="1" w:styleId="AssentBk">
    <w:name w:val="AssentBk"/>
    <w:basedOn w:val="Normal"/>
    <w:rsid w:val="003E2157"/>
    <w:pPr>
      <w:spacing w:line="240" w:lineRule="auto"/>
    </w:pPr>
    <w:rPr>
      <w:rFonts w:eastAsia="Times New Roman" w:cs="Times New Roman"/>
      <w:sz w:val="20"/>
      <w:lang w:eastAsia="en-AU"/>
    </w:rPr>
  </w:style>
  <w:style w:type="paragraph" w:customStyle="1" w:styleId="AssentDt">
    <w:name w:val="AssentDt"/>
    <w:basedOn w:val="Normal"/>
    <w:rsid w:val="00E03B46"/>
    <w:pPr>
      <w:spacing w:line="240" w:lineRule="auto"/>
    </w:pPr>
    <w:rPr>
      <w:rFonts w:eastAsia="Times New Roman" w:cs="Times New Roman"/>
      <w:sz w:val="20"/>
      <w:lang w:eastAsia="en-AU"/>
    </w:rPr>
  </w:style>
  <w:style w:type="paragraph" w:customStyle="1" w:styleId="2ndRd">
    <w:name w:val="2ndRd"/>
    <w:basedOn w:val="Normal"/>
    <w:rsid w:val="00E03B46"/>
    <w:pPr>
      <w:spacing w:line="240" w:lineRule="auto"/>
    </w:pPr>
    <w:rPr>
      <w:rFonts w:eastAsia="Times New Roman" w:cs="Times New Roman"/>
      <w:sz w:val="20"/>
      <w:lang w:eastAsia="en-AU"/>
    </w:rPr>
  </w:style>
  <w:style w:type="paragraph" w:customStyle="1" w:styleId="ScalePlusRef">
    <w:name w:val="ScalePlusRef"/>
    <w:basedOn w:val="Normal"/>
    <w:rsid w:val="00E03B4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2862">
      <w:bodyDiv w:val="1"/>
      <w:marLeft w:val="0"/>
      <w:marRight w:val="0"/>
      <w:marTop w:val="0"/>
      <w:marBottom w:val="0"/>
      <w:divBdr>
        <w:top w:val="none" w:sz="0" w:space="0" w:color="auto"/>
        <w:left w:val="none" w:sz="0" w:space="0" w:color="auto"/>
        <w:bottom w:val="none" w:sz="0" w:space="0" w:color="auto"/>
        <w:right w:val="none" w:sz="0" w:space="0" w:color="auto"/>
      </w:divBdr>
    </w:div>
    <w:div w:id="744377140">
      <w:bodyDiv w:val="1"/>
      <w:marLeft w:val="0"/>
      <w:marRight w:val="0"/>
      <w:marTop w:val="0"/>
      <w:marBottom w:val="0"/>
      <w:divBdr>
        <w:top w:val="none" w:sz="0" w:space="0" w:color="auto"/>
        <w:left w:val="none" w:sz="0" w:space="0" w:color="auto"/>
        <w:bottom w:val="none" w:sz="0" w:space="0" w:color="auto"/>
        <w:right w:val="none" w:sz="0" w:space="0" w:color="auto"/>
      </w:divBdr>
    </w:div>
    <w:div w:id="16171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footer" Target="footer6.xml"/><Relationship Id="rId30"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23</Pages>
  <Words>4272</Words>
  <Characters>20891</Characters>
  <Application>Microsoft Office Word</Application>
  <DocSecurity>0</DocSecurity>
  <PresentationFormat/>
  <Lines>596</Lines>
  <Paragraphs>359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2021-02-02T05:14:00Z</cp:lastPrinted>
  <dcterms:created xsi:type="dcterms:W3CDTF">2021-09-09T05:57:00Z</dcterms:created>
  <dcterms:modified xsi:type="dcterms:W3CDTF">2021-09-09T05:58:00Z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Sydney Harbour Federation Trust Amendment Act 2021</vt:lpwstr>
  </property>
  <property fmtid="{D5CDD505-2E9C-101B-9397-08002B2CF9AE}" pid="5" name="ActNo">
    <vt:lpwstr>No. 49,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OPC7537</vt:lpwstr>
  </property>
  <property fmtid="{D5CDD505-2E9C-101B-9397-08002B2CF9AE}" pid="10" name="DoNotAsk">
    <vt:lpwstr>0</vt:lpwstr>
  </property>
  <property fmtid="{D5CDD505-2E9C-101B-9397-08002B2CF9AE}" pid="11" name="ChangedTitle">
    <vt:lpwstr/>
  </property>
</Properties>
</file>