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750E6" w:rsidRDefault="008750E6" w:rsidP="008750E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9.2pt" o:ole="" fillcolor="window">
            <v:imagedata r:id="rId7" o:title=""/>
          </v:shape>
          <o:OLEObject Type="Embed" ProgID="Word.Picture.8" ShapeID="_x0000_i1026" DrawAspect="Content" ObjectID="_1676375450" r:id="rId8"/>
        </w:object>
      </w:r>
    </w:p>
    <w:p w:rsidR="008750E6" w:rsidRDefault="008750E6" w:rsidP="008750E6"/>
    <w:p w:rsidR="008750E6" w:rsidRDefault="008750E6" w:rsidP="008750E6"/>
    <w:p w:rsidR="008750E6" w:rsidRDefault="008750E6" w:rsidP="008750E6"/>
    <w:p w:rsidR="008750E6" w:rsidRDefault="008750E6" w:rsidP="008750E6"/>
    <w:p w:rsidR="008750E6" w:rsidRDefault="008750E6" w:rsidP="008750E6"/>
    <w:p w:rsidR="008750E6" w:rsidRDefault="008750E6" w:rsidP="008750E6"/>
    <w:p w:rsidR="00D01043" w:rsidRDefault="008750E6" w:rsidP="00D01043">
      <w:pPr>
        <w:pStyle w:val="ShortT"/>
      </w:pPr>
      <w:r>
        <w:t>Financial Sector Reform (Hayne Royal Commission Response No. 2) Act 2021</w:t>
      </w:r>
    </w:p>
    <w:p w:rsidR="0048364F" w:rsidRPr="00FB55D9" w:rsidRDefault="0048364F" w:rsidP="0048364F"/>
    <w:p w:rsidR="00D01043" w:rsidRDefault="00D01043" w:rsidP="008750E6">
      <w:pPr>
        <w:pStyle w:val="Actno"/>
        <w:spacing w:before="400"/>
      </w:pPr>
      <w:r>
        <w:t>No.</w:t>
      </w:r>
      <w:r w:rsidR="00324508">
        <w:t xml:space="preserve"> 19</w:t>
      </w:r>
      <w:r>
        <w:t>, 2021</w:t>
      </w:r>
    </w:p>
    <w:p w:rsidR="0048364F" w:rsidRPr="00FB55D9" w:rsidRDefault="0048364F" w:rsidP="0048364F"/>
    <w:p w:rsidR="00D01043" w:rsidRDefault="00D01043" w:rsidP="00D01043">
      <w:pPr>
        <w:rPr>
          <w:lang w:eastAsia="en-AU"/>
        </w:rPr>
      </w:pPr>
    </w:p>
    <w:p w:rsidR="0048364F" w:rsidRPr="00FB55D9" w:rsidRDefault="0048364F" w:rsidP="0048364F"/>
    <w:p w:rsidR="0048364F" w:rsidRPr="00FB55D9" w:rsidRDefault="0048364F" w:rsidP="0048364F"/>
    <w:p w:rsidR="0048364F" w:rsidRPr="00FB55D9" w:rsidRDefault="0048364F" w:rsidP="0048364F"/>
    <w:p w:rsidR="008750E6" w:rsidRDefault="008750E6" w:rsidP="008750E6">
      <w:pPr>
        <w:pStyle w:val="LongT"/>
      </w:pPr>
      <w:r>
        <w:t>An Act to amend the law in relation to the financial sector, and for related purposes</w:t>
      </w:r>
    </w:p>
    <w:p w:rsidR="0048364F" w:rsidRPr="003C052D" w:rsidRDefault="0048364F" w:rsidP="0048364F">
      <w:pPr>
        <w:pStyle w:val="Header"/>
        <w:tabs>
          <w:tab w:val="clear" w:pos="4150"/>
          <w:tab w:val="clear" w:pos="8307"/>
        </w:tabs>
      </w:pPr>
      <w:r w:rsidRPr="003C052D">
        <w:rPr>
          <w:rStyle w:val="CharAmSchNo"/>
        </w:rPr>
        <w:t xml:space="preserve"> </w:t>
      </w:r>
      <w:r w:rsidRPr="003C052D">
        <w:rPr>
          <w:rStyle w:val="CharAmSchText"/>
        </w:rPr>
        <w:t xml:space="preserve"> </w:t>
      </w:r>
    </w:p>
    <w:p w:rsidR="0048364F" w:rsidRPr="003C052D" w:rsidRDefault="0048364F" w:rsidP="0048364F">
      <w:pPr>
        <w:pStyle w:val="Header"/>
        <w:tabs>
          <w:tab w:val="clear" w:pos="4150"/>
          <w:tab w:val="clear" w:pos="8307"/>
        </w:tabs>
      </w:pPr>
      <w:r w:rsidRPr="003C052D">
        <w:rPr>
          <w:rStyle w:val="CharAmPartNo"/>
        </w:rPr>
        <w:t xml:space="preserve"> </w:t>
      </w:r>
      <w:r w:rsidRPr="003C052D">
        <w:rPr>
          <w:rStyle w:val="CharAmPartText"/>
        </w:rPr>
        <w:t xml:space="preserve"> </w:t>
      </w:r>
    </w:p>
    <w:p w:rsidR="0048364F" w:rsidRPr="00FB55D9" w:rsidRDefault="0048364F" w:rsidP="0048364F">
      <w:pPr>
        <w:sectPr w:rsidR="0048364F" w:rsidRPr="00FB55D9" w:rsidSect="008750E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rsidR="0048364F" w:rsidRPr="00FB55D9" w:rsidRDefault="0048364F" w:rsidP="0048364F">
      <w:pPr>
        <w:outlineLvl w:val="0"/>
        <w:rPr>
          <w:sz w:val="36"/>
        </w:rPr>
      </w:pPr>
      <w:r w:rsidRPr="00FB55D9">
        <w:rPr>
          <w:sz w:val="36"/>
        </w:rPr>
        <w:lastRenderedPageBreak/>
        <w:t>Contents</w:t>
      </w:r>
    </w:p>
    <w:p w:rsidR="005D5DF9" w:rsidRDefault="005D5DF9" w:rsidP="005D5DF9">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D5DF9">
        <w:rPr>
          <w:noProof/>
        </w:rPr>
        <w:tab/>
      </w:r>
      <w:r w:rsidRPr="005D5DF9">
        <w:rPr>
          <w:noProof/>
        </w:rPr>
        <w:fldChar w:fldCharType="begin"/>
      </w:r>
      <w:r w:rsidRPr="005D5DF9">
        <w:rPr>
          <w:noProof/>
        </w:rPr>
        <w:instrText xml:space="preserve"> PAGEREF _Toc65762017 \h </w:instrText>
      </w:r>
      <w:r w:rsidRPr="005D5DF9">
        <w:rPr>
          <w:noProof/>
        </w:rPr>
      </w:r>
      <w:r w:rsidRPr="005D5DF9">
        <w:rPr>
          <w:noProof/>
        </w:rPr>
        <w:fldChar w:fldCharType="separate"/>
      </w:r>
      <w:r w:rsidRPr="005D5DF9">
        <w:rPr>
          <w:noProof/>
        </w:rPr>
        <w:t>1</w:t>
      </w:r>
      <w:r w:rsidRPr="005D5DF9">
        <w:rPr>
          <w:noProof/>
        </w:rPr>
        <w:fldChar w:fldCharType="end"/>
      </w:r>
    </w:p>
    <w:p w:rsidR="005D5DF9" w:rsidRDefault="005D5DF9" w:rsidP="005D5DF9">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5D5DF9">
        <w:rPr>
          <w:noProof/>
        </w:rPr>
        <w:tab/>
      </w:r>
      <w:r w:rsidRPr="005D5DF9">
        <w:rPr>
          <w:noProof/>
        </w:rPr>
        <w:fldChar w:fldCharType="begin"/>
      </w:r>
      <w:r w:rsidRPr="005D5DF9">
        <w:rPr>
          <w:noProof/>
        </w:rPr>
        <w:instrText xml:space="preserve"> PAGEREF _Toc65762018 \h </w:instrText>
      </w:r>
      <w:r w:rsidRPr="005D5DF9">
        <w:rPr>
          <w:noProof/>
        </w:rPr>
      </w:r>
      <w:r w:rsidRPr="005D5DF9">
        <w:rPr>
          <w:noProof/>
        </w:rPr>
        <w:fldChar w:fldCharType="separate"/>
      </w:r>
      <w:r w:rsidRPr="005D5DF9">
        <w:rPr>
          <w:noProof/>
        </w:rPr>
        <w:t>2</w:t>
      </w:r>
      <w:r w:rsidRPr="005D5DF9">
        <w:rPr>
          <w:noProof/>
        </w:rPr>
        <w:fldChar w:fldCharType="end"/>
      </w:r>
    </w:p>
    <w:p w:rsidR="005D5DF9" w:rsidRDefault="005D5DF9" w:rsidP="005D5DF9">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5D5DF9">
        <w:rPr>
          <w:noProof/>
        </w:rPr>
        <w:tab/>
      </w:r>
      <w:r w:rsidRPr="005D5DF9">
        <w:rPr>
          <w:noProof/>
        </w:rPr>
        <w:fldChar w:fldCharType="begin"/>
      </w:r>
      <w:r w:rsidRPr="005D5DF9">
        <w:rPr>
          <w:noProof/>
        </w:rPr>
        <w:instrText xml:space="preserve"> PAGEREF _Toc65762019 \h </w:instrText>
      </w:r>
      <w:r w:rsidRPr="005D5DF9">
        <w:rPr>
          <w:noProof/>
        </w:rPr>
      </w:r>
      <w:r w:rsidRPr="005D5DF9">
        <w:rPr>
          <w:noProof/>
        </w:rPr>
        <w:fldChar w:fldCharType="separate"/>
      </w:r>
      <w:r w:rsidRPr="005D5DF9">
        <w:rPr>
          <w:noProof/>
        </w:rPr>
        <w:t>2</w:t>
      </w:r>
      <w:r w:rsidRPr="005D5DF9">
        <w:rPr>
          <w:noProof/>
        </w:rPr>
        <w:fldChar w:fldCharType="end"/>
      </w:r>
    </w:p>
    <w:p w:rsidR="005D5DF9" w:rsidRDefault="005D5DF9">
      <w:pPr>
        <w:pStyle w:val="TOC6"/>
        <w:rPr>
          <w:rFonts w:asciiTheme="minorHAnsi" w:eastAsiaTheme="minorEastAsia" w:hAnsiTheme="minorHAnsi" w:cstheme="minorBidi"/>
          <w:b w:val="0"/>
          <w:noProof/>
          <w:kern w:val="0"/>
          <w:sz w:val="22"/>
          <w:szCs w:val="22"/>
        </w:rPr>
      </w:pPr>
      <w:r>
        <w:rPr>
          <w:noProof/>
        </w:rPr>
        <w:t>Schedule 1—Ongoing fee arrangements</w:t>
      </w:r>
      <w:r w:rsidRPr="005D5DF9">
        <w:rPr>
          <w:b w:val="0"/>
          <w:noProof/>
          <w:sz w:val="18"/>
        </w:rPr>
        <w:tab/>
      </w:r>
      <w:r w:rsidRPr="005D5DF9">
        <w:rPr>
          <w:b w:val="0"/>
          <w:noProof/>
          <w:sz w:val="18"/>
        </w:rPr>
        <w:fldChar w:fldCharType="begin"/>
      </w:r>
      <w:r w:rsidRPr="005D5DF9">
        <w:rPr>
          <w:b w:val="0"/>
          <w:noProof/>
          <w:sz w:val="18"/>
        </w:rPr>
        <w:instrText xml:space="preserve"> PAGEREF _Toc65762020 \h </w:instrText>
      </w:r>
      <w:r w:rsidRPr="005D5DF9">
        <w:rPr>
          <w:b w:val="0"/>
          <w:noProof/>
          <w:sz w:val="18"/>
        </w:rPr>
      </w:r>
      <w:r w:rsidRPr="005D5DF9">
        <w:rPr>
          <w:b w:val="0"/>
          <w:noProof/>
          <w:sz w:val="18"/>
        </w:rPr>
        <w:fldChar w:fldCharType="separate"/>
      </w:r>
      <w:r w:rsidRPr="005D5DF9">
        <w:rPr>
          <w:b w:val="0"/>
          <w:noProof/>
          <w:sz w:val="18"/>
        </w:rPr>
        <w:t>3</w:t>
      </w:r>
      <w:r w:rsidRPr="005D5DF9">
        <w:rPr>
          <w:b w:val="0"/>
          <w:noProof/>
          <w:sz w:val="18"/>
        </w:rPr>
        <w:fldChar w:fldCharType="end"/>
      </w:r>
    </w:p>
    <w:p w:rsidR="005D5DF9" w:rsidRDefault="005D5DF9">
      <w:pPr>
        <w:pStyle w:val="TOC7"/>
        <w:rPr>
          <w:rFonts w:asciiTheme="minorHAnsi" w:eastAsiaTheme="minorEastAsia" w:hAnsiTheme="minorHAnsi" w:cstheme="minorBidi"/>
          <w:noProof/>
          <w:kern w:val="0"/>
          <w:sz w:val="22"/>
          <w:szCs w:val="22"/>
        </w:rPr>
      </w:pPr>
      <w:r>
        <w:rPr>
          <w:noProof/>
        </w:rPr>
        <w:t>Part 1—Main amendments</w:t>
      </w:r>
      <w:r w:rsidRPr="005D5DF9">
        <w:rPr>
          <w:noProof/>
          <w:sz w:val="18"/>
        </w:rPr>
        <w:tab/>
      </w:r>
      <w:r w:rsidRPr="005D5DF9">
        <w:rPr>
          <w:noProof/>
          <w:sz w:val="18"/>
        </w:rPr>
        <w:fldChar w:fldCharType="begin"/>
      </w:r>
      <w:r w:rsidRPr="005D5DF9">
        <w:rPr>
          <w:noProof/>
          <w:sz w:val="18"/>
        </w:rPr>
        <w:instrText xml:space="preserve"> PAGEREF _Toc65762021 \h </w:instrText>
      </w:r>
      <w:r w:rsidRPr="005D5DF9">
        <w:rPr>
          <w:noProof/>
          <w:sz w:val="18"/>
        </w:rPr>
      </w:r>
      <w:r w:rsidRPr="005D5DF9">
        <w:rPr>
          <w:noProof/>
          <w:sz w:val="18"/>
        </w:rPr>
        <w:fldChar w:fldCharType="separate"/>
      </w:r>
      <w:r w:rsidRPr="005D5DF9">
        <w:rPr>
          <w:noProof/>
          <w:sz w:val="18"/>
        </w:rPr>
        <w:t>3</w:t>
      </w:r>
      <w:r w:rsidRPr="005D5DF9">
        <w:rPr>
          <w:noProof/>
          <w:sz w:val="18"/>
        </w:rPr>
        <w:fldChar w:fldCharType="end"/>
      </w:r>
    </w:p>
    <w:p w:rsidR="005D5DF9" w:rsidRDefault="005D5DF9">
      <w:pPr>
        <w:pStyle w:val="TOC9"/>
        <w:rPr>
          <w:rFonts w:asciiTheme="minorHAnsi" w:eastAsiaTheme="minorEastAsia" w:hAnsiTheme="minorHAnsi" w:cstheme="minorBidi"/>
          <w:i w:val="0"/>
          <w:noProof/>
          <w:kern w:val="0"/>
          <w:sz w:val="22"/>
          <w:szCs w:val="22"/>
        </w:rPr>
      </w:pPr>
      <w:r>
        <w:rPr>
          <w:noProof/>
        </w:rPr>
        <w:t>Corporations Act 2001</w:t>
      </w:r>
      <w:r w:rsidRPr="005D5DF9">
        <w:rPr>
          <w:i w:val="0"/>
          <w:noProof/>
          <w:sz w:val="18"/>
        </w:rPr>
        <w:tab/>
      </w:r>
      <w:r w:rsidRPr="005D5DF9">
        <w:rPr>
          <w:i w:val="0"/>
          <w:noProof/>
          <w:sz w:val="18"/>
        </w:rPr>
        <w:fldChar w:fldCharType="begin"/>
      </w:r>
      <w:r w:rsidRPr="005D5DF9">
        <w:rPr>
          <w:i w:val="0"/>
          <w:noProof/>
          <w:sz w:val="18"/>
        </w:rPr>
        <w:instrText xml:space="preserve"> PAGEREF _Toc65762022 \h </w:instrText>
      </w:r>
      <w:r w:rsidRPr="005D5DF9">
        <w:rPr>
          <w:i w:val="0"/>
          <w:noProof/>
          <w:sz w:val="18"/>
        </w:rPr>
      </w:r>
      <w:r w:rsidRPr="005D5DF9">
        <w:rPr>
          <w:i w:val="0"/>
          <w:noProof/>
          <w:sz w:val="18"/>
        </w:rPr>
        <w:fldChar w:fldCharType="separate"/>
      </w:r>
      <w:r w:rsidRPr="005D5DF9">
        <w:rPr>
          <w:i w:val="0"/>
          <w:noProof/>
          <w:sz w:val="18"/>
        </w:rPr>
        <w:t>3</w:t>
      </w:r>
      <w:r w:rsidRPr="005D5DF9">
        <w:rPr>
          <w:i w:val="0"/>
          <w:noProof/>
          <w:sz w:val="18"/>
        </w:rPr>
        <w:fldChar w:fldCharType="end"/>
      </w:r>
    </w:p>
    <w:p w:rsidR="005D5DF9" w:rsidRDefault="005D5DF9">
      <w:pPr>
        <w:pStyle w:val="TOC7"/>
        <w:rPr>
          <w:rFonts w:asciiTheme="minorHAnsi" w:eastAsiaTheme="minorEastAsia" w:hAnsiTheme="minorHAnsi" w:cstheme="minorBidi"/>
          <w:noProof/>
          <w:kern w:val="0"/>
          <w:sz w:val="22"/>
          <w:szCs w:val="22"/>
        </w:rPr>
      </w:pPr>
      <w:r>
        <w:rPr>
          <w:noProof/>
        </w:rPr>
        <w:t>Part 2—Consequential amendments</w:t>
      </w:r>
      <w:r w:rsidRPr="005D5DF9">
        <w:rPr>
          <w:noProof/>
          <w:sz w:val="18"/>
        </w:rPr>
        <w:tab/>
      </w:r>
      <w:r w:rsidRPr="005D5DF9">
        <w:rPr>
          <w:noProof/>
          <w:sz w:val="18"/>
        </w:rPr>
        <w:fldChar w:fldCharType="begin"/>
      </w:r>
      <w:r w:rsidRPr="005D5DF9">
        <w:rPr>
          <w:noProof/>
          <w:sz w:val="18"/>
        </w:rPr>
        <w:instrText xml:space="preserve"> PAGEREF _Toc65762048 \h </w:instrText>
      </w:r>
      <w:r w:rsidRPr="005D5DF9">
        <w:rPr>
          <w:noProof/>
          <w:sz w:val="18"/>
        </w:rPr>
      </w:r>
      <w:r w:rsidRPr="005D5DF9">
        <w:rPr>
          <w:noProof/>
          <w:sz w:val="18"/>
        </w:rPr>
        <w:fldChar w:fldCharType="separate"/>
      </w:r>
      <w:r w:rsidRPr="005D5DF9">
        <w:rPr>
          <w:noProof/>
          <w:sz w:val="18"/>
        </w:rPr>
        <w:t>20</w:t>
      </w:r>
      <w:r w:rsidRPr="005D5DF9">
        <w:rPr>
          <w:noProof/>
          <w:sz w:val="18"/>
        </w:rPr>
        <w:fldChar w:fldCharType="end"/>
      </w:r>
    </w:p>
    <w:p w:rsidR="005D5DF9" w:rsidRDefault="005D5DF9">
      <w:pPr>
        <w:pStyle w:val="TOC9"/>
        <w:rPr>
          <w:rFonts w:asciiTheme="minorHAnsi" w:eastAsiaTheme="minorEastAsia" w:hAnsiTheme="minorHAnsi" w:cstheme="minorBidi"/>
          <w:i w:val="0"/>
          <w:noProof/>
          <w:kern w:val="0"/>
          <w:sz w:val="22"/>
          <w:szCs w:val="22"/>
        </w:rPr>
      </w:pPr>
      <w:r>
        <w:rPr>
          <w:noProof/>
        </w:rPr>
        <w:t>Corporations Act 2001</w:t>
      </w:r>
      <w:r w:rsidRPr="005D5DF9">
        <w:rPr>
          <w:i w:val="0"/>
          <w:noProof/>
          <w:sz w:val="18"/>
        </w:rPr>
        <w:tab/>
      </w:r>
      <w:r w:rsidRPr="005D5DF9">
        <w:rPr>
          <w:i w:val="0"/>
          <w:noProof/>
          <w:sz w:val="18"/>
        </w:rPr>
        <w:fldChar w:fldCharType="begin"/>
      </w:r>
      <w:r w:rsidRPr="005D5DF9">
        <w:rPr>
          <w:i w:val="0"/>
          <w:noProof/>
          <w:sz w:val="18"/>
        </w:rPr>
        <w:instrText xml:space="preserve"> PAGEREF _Toc65762049 \h </w:instrText>
      </w:r>
      <w:r w:rsidRPr="005D5DF9">
        <w:rPr>
          <w:i w:val="0"/>
          <w:noProof/>
          <w:sz w:val="18"/>
        </w:rPr>
      </w:r>
      <w:r w:rsidRPr="005D5DF9">
        <w:rPr>
          <w:i w:val="0"/>
          <w:noProof/>
          <w:sz w:val="18"/>
        </w:rPr>
        <w:fldChar w:fldCharType="separate"/>
      </w:r>
      <w:r w:rsidRPr="005D5DF9">
        <w:rPr>
          <w:i w:val="0"/>
          <w:noProof/>
          <w:sz w:val="18"/>
        </w:rPr>
        <w:t>20</w:t>
      </w:r>
      <w:r w:rsidRPr="005D5DF9">
        <w:rPr>
          <w:i w:val="0"/>
          <w:noProof/>
          <w:sz w:val="18"/>
        </w:rPr>
        <w:fldChar w:fldCharType="end"/>
      </w:r>
    </w:p>
    <w:p w:rsidR="005D5DF9" w:rsidRDefault="005D5DF9">
      <w:pPr>
        <w:pStyle w:val="TOC6"/>
        <w:rPr>
          <w:rFonts w:asciiTheme="minorHAnsi" w:eastAsiaTheme="minorEastAsia" w:hAnsiTheme="minorHAnsi" w:cstheme="minorBidi"/>
          <w:b w:val="0"/>
          <w:noProof/>
          <w:kern w:val="0"/>
          <w:sz w:val="22"/>
          <w:szCs w:val="22"/>
        </w:rPr>
      </w:pPr>
      <w:r>
        <w:rPr>
          <w:noProof/>
        </w:rPr>
        <w:t>Schedule 2—Disclosure of lack of independence</w:t>
      </w:r>
      <w:r w:rsidRPr="005D5DF9">
        <w:rPr>
          <w:b w:val="0"/>
          <w:noProof/>
          <w:sz w:val="18"/>
        </w:rPr>
        <w:tab/>
      </w:r>
      <w:r w:rsidRPr="005D5DF9">
        <w:rPr>
          <w:b w:val="0"/>
          <w:noProof/>
          <w:sz w:val="18"/>
        </w:rPr>
        <w:fldChar w:fldCharType="begin"/>
      </w:r>
      <w:r w:rsidRPr="005D5DF9">
        <w:rPr>
          <w:b w:val="0"/>
          <w:noProof/>
          <w:sz w:val="18"/>
        </w:rPr>
        <w:instrText xml:space="preserve"> PAGEREF _Toc65762050 \h </w:instrText>
      </w:r>
      <w:r w:rsidRPr="005D5DF9">
        <w:rPr>
          <w:b w:val="0"/>
          <w:noProof/>
          <w:sz w:val="18"/>
        </w:rPr>
      </w:r>
      <w:r w:rsidRPr="005D5DF9">
        <w:rPr>
          <w:b w:val="0"/>
          <w:noProof/>
          <w:sz w:val="18"/>
        </w:rPr>
        <w:fldChar w:fldCharType="separate"/>
      </w:r>
      <w:r w:rsidRPr="005D5DF9">
        <w:rPr>
          <w:b w:val="0"/>
          <w:noProof/>
          <w:sz w:val="18"/>
        </w:rPr>
        <w:t>22</w:t>
      </w:r>
      <w:r w:rsidRPr="005D5DF9">
        <w:rPr>
          <w:b w:val="0"/>
          <w:noProof/>
          <w:sz w:val="18"/>
        </w:rPr>
        <w:fldChar w:fldCharType="end"/>
      </w:r>
    </w:p>
    <w:p w:rsidR="005D5DF9" w:rsidRDefault="005D5DF9">
      <w:pPr>
        <w:pStyle w:val="TOC9"/>
        <w:rPr>
          <w:rFonts w:asciiTheme="minorHAnsi" w:eastAsiaTheme="minorEastAsia" w:hAnsiTheme="minorHAnsi" w:cstheme="minorBidi"/>
          <w:i w:val="0"/>
          <w:noProof/>
          <w:kern w:val="0"/>
          <w:sz w:val="22"/>
          <w:szCs w:val="22"/>
        </w:rPr>
      </w:pPr>
      <w:r>
        <w:rPr>
          <w:noProof/>
        </w:rPr>
        <w:t>Corporations Act 2001</w:t>
      </w:r>
      <w:r w:rsidRPr="005D5DF9">
        <w:rPr>
          <w:i w:val="0"/>
          <w:noProof/>
          <w:sz w:val="18"/>
        </w:rPr>
        <w:tab/>
      </w:r>
      <w:r w:rsidRPr="005D5DF9">
        <w:rPr>
          <w:i w:val="0"/>
          <w:noProof/>
          <w:sz w:val="18"/>
        </w:rPr>
        <w:fldChar w:fldCharType="begin"/>
      </w:r>
      <w:r w:rsidRPr="005D5DF9">
        <w:rPr>
          <w:i w:val="0"/>
          <w:noProof/>
          <w:sz w:val="18"/>
        </w:rPr>
        <w:instrText xml:space="preserve"> PAGEREF _Toc65762051 \h </w:instrText>
      </w:r>
      <w:r w:rsidRPr="005D5DF9">
        <w:rPr>
          <w:i w:val="0"/>
          <w:noProof/>
          <w:sz w:val="18"/>
        </w:rPr>
      </w:r>
      <w:r w:rsidRPr="005D5DF9">
        <w:rPr>
          <w:i w:val="0"/>
          <w:noProof/>
          <w:sz w:val="18"/>
        </w:rPr>
        <w:fldChar w:fldCharType="separate"/>
      </w:r>
      <w:r w:rsidRPr="005D5DF9">
        <w:rPr>
          <w:i w:val="0"/>
          <w:noProof/>
          <w:sz w:val="18"/>
        </w:rPr>
        <w:t>22</w:t>
      </w:r>
      <w:r w:rsidRPr="005D5DF9">
        <w:rPr>
          <w:i w:val="0"/>
          <w:noProof/>
          <w:sz w:val="18"/>
        </w:rPr>
        <w:fldChar w:fldCharType="end"/>
      </w:r>
    </w:p>
    <w:p w:rsidR="005D5DF9" w:rsidRDefault="005D5DF9">
      <w:pPr>
        <w:pStyle w:val="TOC6"/>
        <w:rPr>
          <w:rFonts w:asciiTheme="minorHAnsi" w:eastAsiaTheme="minorEastAsia" w:hAnsiTheme="minorHAnsi" w:cstheme="minorBidi"/>
          <w:b w:val="0"/>
          <w:noProof/>
          <w:kern w:val="0"/>
          <w:sz w:val="22"/>
          <w:szCs w:val="22"/>
        </w:rPr>
      </w:pPr>
      <w:r>
        <w:rPr>
          <w:noProof/>
        </w:rPr>
        <w:t>Schedule 3—Advice fees in superannuation</w:t>
      </w:r>
      <w:r w:rsidRPr="005D5DF9">
        <w:rPr>
          <w:b w:val="0"/>
          <w:noProof/>
          <w:sz w:val="18"/>
        </w:rPr>
        <w:tab/>
      </w:r>
      <w:r w:rsidRPr="005D5DF9">
        <w:rPr>
          <w:b w:val="0"/>
          <w:noProof/>
          <w:sz w:val="18"/>
        </w:rPr>
        <w:fldChar w:fldCharType="begin"/>
      </w:r>
      <w:r w:rsidRPr="005D5DF9">
        <w:rPr>
          <w:b w:val="0"/>
          <w:noProof/>
          <w:sz w:val="18"/>
        </w:rPr>
        <w:instrText xml:space="preserve"> PAGEREF _Toc65762055 \h </w:instrText>
      </w:r>
      <w:r w:rsidRPr="005D5DF9">
        <w:rPr>
          <w:b w:val="0"/>
          <w:noProof/>
          <w:sz w:val="18"/>
        </w:rPr>
      </w:r>
      <w:r w:rsidRPr="005D5DF9">
        <w:rPr>
          <w:b w:val="0"/>
          <w:noProof/>
          <w:sz w:val="18"/>
        </w:rPr>
        <w:fldChar w:fldCharType="separate"/>
      </w:r>
      <w:r w:rsidRPr="005D5DF9">
        <w:rPr>
          <w:b w:val="0"/>
          <w:noProof/>
          <w:sz w:val="18"/>
        </w:rPr>
        <w:t>26</w:t>
      </w:r>
      <w:r w:rsidRPr="005D5DF9">
        <w:rPr>
          <w:b w:val="0"/>
          <w:noProof/>
          <w:sz w:val="18"/>
        </w:rPr>
        <w:fldChar w:fldCharType="end"/>
      </w:r>
    </w:p>
    <w:p w:rsidR="005D5DF9" w:rsidRDefault="005D5DF9">
      <w:pPr>
        <w:pStyle w:val="TOC7"/>
        <w:rPr>
          <w:rFonts w:asciiTheme="minorHAnsi" w:eastAsiaTheme="minorEastAsia" w:hAnsiTheme="minorHAnsi" w:cstheme="minorBidi"/>
          <w:noProof/>
          <w:kern w:val="0"/>
          <w:sz w:val="22"/>
          <w:szCs w:val="22"/>
        </w:rPr>
      </w:pPr>
      <w:r>
        <w:rPr>
          <w:noProof/>
        </w:rPr>
        <w:t>Part 1—General fees rules</w:t>
      </w:r>
      <w:r w:rsidRPr="005D5DF9">
        <w:rPr>
          <w:noProof/>
          <w:sz w:val="18"/>
        </w:rPr>
        <w:tab/>
      </w:r>
      <w:r w:rsidRPr="005D5DF9">
        <w:rPr>
          <w:noProof/>
          <w:sz w:val="18"/>
        </w:rPr>
        <w:fldChar w:fldCharType="begin"/>
      </w:r>
      <w:r w:rsidRPr="005D5DF9">
        <w:rPr>
          <w:noProof/>
          <w:sz w:val="18"/>
        </w:rPr>
        <w:instrText xml:space="preserve"> PAGEREF _Toc65762056 \h </w:instrText>
      </w:r>
      <w:r w:rsidRPr="005D5DF9">
        <w:rPr>
          <w:noProof/>
          <w:sz w:val="18"/>
        </w:rPr>
      </w:r>
      <w:r w:rsidRPr="005D5DF9">
        <w:rPr>
          <w:noProof/>
          <w:sz w:val="18"/>
        </w:rPr>
        <w:fldChar w:fldCharType="separate"/>
      </w:r>
      <w:r w:rsidRPr="005D5DF9">
        <w:rPr>
          <w:noProof/>
          <w:sz w:val="18"/>
        </w:rPr>
        <w:t>26</w:t>
      </w:r>
      <w:r w:rsidRPr="005D5DF9">
        <w:rPr>
          <w:noProof/>
          <w:sz w:val="18"/>
        </w:rPr>
        <w:fldChar w:fldCharType="end"/>
      </w:r>
    </w:p>
    <w:p w:rsidR="005D5DF9" w:rsidRDefault="005D5DF9">
      <w:pPr>
        <w:pStyle w:val="TOC9"/>
        <w:rPr>
          <w:rFonts w:asciiTheme="minorHAnsi" w:eastAsiaTheme="minorEastAsia" w:hAnsiTheme="minorHAnsi" w:cstheme="minorBidi"/>
          <w:i w:val="0"/>
          <w:noProof/>
          <w:kern w:val="0"/>
          <w:sz w:val="22"/>
          <w:szCs w:val="22"/>
        </w:rPr>
      </w:pPr>
      <w:r>
        <w:rPr>
          <w:noProof/>
        </w:rPr>
        <w:t>Superannuation Industry (Supervision) Act 1993</w:t>
      </w:r>
      <w:r w:rsidRPr="005D5DF9">
        <w:rPr>
          <w:i w:val="0"/>
          <w:noProof/>
          <w:sz w:val="18"/>
        </w:rPr>
        <w:tab/>
      </w:r>
      <w:r w:rsidRPr="005D5DF9">
        <w:rPr>
          <w:i w:val="0"/>
          <w:noProof/>
          <w:sz w:val="18"/>
        </w:rPr>
        <w:fldChar w:fldCharType="begin"/>
      </w:r>
      <w:r w:rsidRPr="005D5DF9">
        <w:rPr>
          <w:i w:val="0"/>
          <w:noProof/>
          <w:sz w:val="18"/>
        </w:rPr>
        <w:instrText xml:space="preserve"> PAGEREF _Toc65762057 \h </w:instrText>
      </w:r>
      <w:r w:rsidRPr="005D5DF9">
        <w:rPr>
          <w:i w:val="0"/>
          <w:noProof/>
          <w:sz w:val="18"/>
        </w:rPr>
      </w:r>
      <w:r w:rsidRPr="005D5DF9">
        <w:rPr>
          <w:i w:val="0"/>
          <w:noProof/>
          <w:sz w:val="18"/>
        </w:rPr>
        <w:fldChar w:fldCharType="separate"/>
      </w:r>
      <w:r w:rsidRPr="005D5DF9">
        <w:rPr>
          <w:i w:val="0"/>
          <w:noProof/>
          <w:sz w:val="18"/>
        </w:rPr>
        <w:t>26</w:t>
      </w:r>
      <w:r w:rsidRPr="005D5DF9">
        <w:rPr>
          <w:i w:val="0"/>
          <w:noProof/>
          <w:sz w:val="18"/>
        </w:rPr>
        <w:fldChar w:fldCharType="end"/>
      </w:r>
    </w:p>
    <w:p w:rsidR="005D5DF9" w:rsidRDefault="005D5DF9">
      <w:pPr>
        <w:pStyle w:val="TOC7"/>
        <w:rPr>
          <w:rFonts w:asciiTheme="minorHAnsi" w:eastAsiaTheme="minorEastAsia" w:hAnsiTheme="minorHAnsi" w:cstheme="minorBidi"/>
          <w:noProof/>
          <w:kern w:val="0"/>
          <w:sz w:val="22"/>
          <w:szCs w:val="22"/>
        </w:rPr>
      </w:pPr>
      <w:r>
        <w:rPr>
          <w:noProof/>
        </w:rPr>
        <w:t>Part 2—Fees for MySuper products</w:t>
      </w:r>
      <w:r w:rsidRPr="005D5DF9">
        <w:rPr>
          <w:noProof/>
          <w:sz w:val="18"/>
        </w:rPr>
        <w:tab/>
      </w:r>
      <w:r w:rsidRPr="005D5DF9">
        <w:rPr>
          <w:noProof/>
          <w:sz w:val="18"/>
        </w:rPr>
        <w:fldChar w:fldCharType="begin"/>
      </w:r>
      <w:r w:rsidRPr="005D5DF9">
        <w:rPr>
          <w:noProof/>
          <w:sz w:val="18"/>
        </w:rPr>
        <w:instrText xml:space="preserve"> PAGEREF _Toc65762060 \h </w:instrText>
      </w:r>
      <w:r w:rsidRPr="005D5DF9">
        <w:rPr>
          <w:noProof/>
          <w:sz w:val="18"/>
        </w:rPr>
      </w:r>
      <w:r w:rsidRPr="005D5DF9">
        <w:rPr>
          <w:noProof/>
          <w:sz w:val="18"/>
        </w:rPr>
        <w:fldChar w:fldCharType="separate"/>
      </w:r>
      <w:r w:rsidRPr="005D5DF9">
        <w:rPr>
          <w:noProof/>
          <w:sz w:val="18"/>
        </w:rPr>
        <w:t>28</w:t>
      </w:r>
      <w:r w:rsidRPr="005D5DF9">
        <w:rPr>
          <w:noProof/>
          <w:sz w:val="18"/>
        </w:rPr>
        <w:fldChar w:fldCharType="end"/>
      </w:r>
    </w:p>
    <w:p w:rsidR="005D5DF9" w:rsidRDefault="005D5DF9">
      <w:pPr>
        <w:pStyle w:val="TOC9"/>
        <w:rPr>
          <w:rFonts w:asciiTheme="minorHAnsi" w:eastAsiaTheme="minorEastAsia" w:hAnsiTheme="minorHAnsi" w:cstheme="minorBidi"/>
          <w:i w:val="0"/>
          <w:noProof/>
          <w:kern w:val="0"/>
          <w:sz w:val="22"/>
          <w:szCs w:val="22"/>
        </w:rPr>
      </w:pPr>
      <w:r>
        <w:rPr>
          <w:noProof/>
        </w:rPr>
        <w:t>Superannuation Industry (Supervision) Act 1993</w:t>
      </w:r>
      <w:r w:rsidRPr="005D5DF9">
        <w:rPr>
          <w:i w:val="0"/>
          <w:noProof/>
          <w:sz w:val="18"/>
        </w:rPr>
        <w:tab/>
      </w:r>
      <w:r w:rsidRPr="005D5DF9">
        <w:rPr>
          <w:i w:val="0"/>
          <w:noProof/>
          <w:sz w:val="18"/>
        </w:rPr>
        <w:fldChar w:fldCharType="begin"/>
      </w:r>
      <w:r w:rsidRPr="005D5DF9">
        <w:rPr>
          <w:i w:val="0"/>
          <w:noProof/>
          <w:sz w:val="18"/>
        </w:rPr>
        <w:instrText xml:space="preserve"> PAGEREF _Toc65762061 \h </w:instrText>
      </w:r>
      <w:r w:rsidRPr="005D5DF9">
        <w:rPr>
          <w:i w:val="0"/>
          <w:noProof/>
          <w:sz w:val="18"/>
        </w:rPr>
      </w:r>
      <w:r w:rsidRPr="005D5DF9">
        <w:rPr>
          <w:i w:val="0"/>
          <w:noProof/>
          <w:sz w:val="18"/>
        </w:rPr>
        <w:fldChar w:fldCharType="separate"/>
      </w:r>
      <w:r w:rsidRPr="005D5DF9">
        <w:rPr>
          <w:i w:val="0"/>
          <w:noProof/>
          <w:sz w:val="18"/>
        </w:rPr>
        <w:t>28</w:t>
      </w:r>
      <w:r w:rsidRPr="005D5DF9">
        <w:rPr>
          <w:i w:val="0"/>
          <w:noProof/>
          <w:sz w:val="18"/>
        </w:rPr>
        <w:fldChar w:fldCharType="end"/>
      </w:r>
    </w:p>
    <w:p w:rsidR="005D5DF9" w:rsidRDefault="005D5DF9">
      <w:pPr>
        <w:pStyle w:val="TOC7"/>
        <w:rPr>
          <w:rFonts w:asciiTheme="minorHAnsi" w:eastAsiaTheme="minorEastAsia" w:hAnsiTheme="minorHAnsi" w:cstheme="minorBidi"/>
          <w:noProof/>
          <w:kern w:val="0"/>
          <w:sz w:val="22"/>
          <w:szCs w:val="22"/>
        </w:rPr>
      </w:pPr>
      <w:r>
        <w:rPr>
          <w:noProof/>
        </w:rPr>
        <w:t>Part 3—Application</w:t>
      </w:r>
      <w:r w:rsidRPr="005D5DF9">
        <w:rPr>
          <w:noProof/>
          <w:sz w:val="18"/>
        </w:rPr>
        <w:tab/>
      </w:r>
      <w:r w:rsidRPr="005D5DF9">
        <w:rPr>
          <w:noProof/>
          <w:sz w:val="18"/>
        </w:rPr>
        <w:fldChar w:fldCharType="begin"/>
      </w:r>
      <w:r w:rsidRPr="005D5DF9">
        <w:rPr>
          <w:noProof/>
          <w:sz w:val="18"/>
        </w:rPr>
        <w:instrText xml:space="preserve"> PAGEREF _Toc65762062 \h </w:instrText>
      </w:r>
      <w:r w:rsidRPr="005D5DF9">
        <w:rPr>
          <w:noProof/>
          <w:sz w:val="18"/>
        </w:rPr>
      </w:r>
      <w:r w:rsidRPr="005D5DF9">
        <w:rPr>
          <w:noProof/>
          <w:sz w:val="18"/>
        </w:rPr>
        <w:fldChar w:fldCharType="separate"/>
      </w:r>
      <w:r w:rsidRPr="005D5DF9">
        <w:rPr>
          <w:noProof/>
          <w:sz w:val="18"/>
        </w:rPr>
        <w:t>29</w:t>
      </w:r>
      <w:r w:rsidRPr="005D5DF9">
        <w:rPr>
          <w:noProof/>
          <w:sz w:val="18"/>
        </w:rPr>
        <w:fldChar w:fldCharType="end"/>
      </w:r>
    </w:p>
    <w:p w:rsidR="00060FF9" w:rsidRPr="00FB55D9" w:rsidRDefault="005D5DF9" w:rsidP="0048364F">
      <w:r>
        <w:fldChar w:fldCharType="end"/>
      </w:r>
    </w:p>
    <w:p w:rsidR="00FE7F93" w:rsidRPr="00FB55D9" w:rsidRDefault="00FE7F93" w:rsidP="0048364F">
      <w:pPr>
        <w:sectPr w:rsidR="00FE7F93" w:rsidRPr="00FB55D9" w:rsidSect="008750E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8750E6" w:rsidRDefault="008750E6">
      <w:r>
        <w:object w:dxaOrig="2146" w:dyaOrig="1561">
          <v:shape id="_x0000_i1027" type="#_x0000_t75" alt="Commonwealth Coat of Arms of Australia" style="width:108pt;height:79.2pt" o:ole="" fillcolor="window">
            <v:imagedata r:id="rId7" o:title=""/>
          </v:shape>
          <o:OLEObject Type="Embed" ProgID="Word.Picture.8" ShapeID="_x0000_i1027" DrawAspect="Content" ObjectID="_1676375451" r:id="rId20"/>
        </w:object>
      </w:r>
    </w:p>
    <w:p w:rsidR="008750E6" w:rsidRDefault="008750E6"/>
    <w:p w:rsidR="008750E6" w:rsidRDefault="008750E6" w:rsidP="00324508">
      <w:pPr>
        <w:spacing w:line="240" w:lineRule="auto"/>
      </w:pPr>
    </w:p>
    <w:p w:rsidR="008750E6" w:rsidRDefault="00EB2F68" w:rsidP="00324508">
      <w:pPr>
        <w:pStyle w:val="ShortTP1"/>
      </w:pPr>
      <w:fldSimple w:instr=" STYLEREF ShortT ">
        <w:r w:rsidR="005D5DF9">
          <w:rPr>
            <w:noProof/>
          </w:rPr>
          <w:t>Financial Sector Reform (Hayne Royal Commission Response No. 2) Act 2021</w:t>
        </w:r>
      </w:fldSimple>
    </w:p>
    <w:p w:rsidR="008750E6" w:rsidRDefault="00EB2F68" w:rsidP="00324508">
      <w:pPr>
        <w:pStyle w:val="ActNoP1"/>
      </w:pPr>
      <w:fldSimple w:instr=" STYLEREF Actno ">
        <w:r w:rsidR="005D5DF9">
          <w:rPr>
            <w:noProof/>
          </w:rPr>
          <w:t>No. 19, 2021</w:t>
        </w:r>
      </w:fldSimple>
    </w:p>
    <w:p w:rsidR="008750E6" w:rsidRPr="009A0728" w:rsidRDefault="008750E6" w:rsidP="00324508">
      <w:pPr>
        <w:pBdr>
          <w:bottom w:val="single" w:sz="6" w:space="0" w:color="auto"/>
        </w:pBdr>
        <w:spacing w:before="400" w:line="240" w:lineRule="auto"/>
        <w:rPr>
          <w:rFonts w:eastAsia="Times New Roman"/>
          <w:b/>
          <w:sz w:val="28"/>
        </w:rPr>
      </w:pPr>
    </w:p>
    <w:p w:rsidR="008750E6" w:rsidRPr="009A0728" w:rsidRDefault="008750E6" w:rsidP="00324508">
      <w:pPr>
        <w:spacing w:line="40" w:lineRule="exact"/>
        <w:rPr>
          <w:rFonts w:eastAsia="Calibri"/>
          <w:b/>
          <w:sz w:val="28"/>
        </w:rPr>
      </w:pPr>
    </w:p>
    <w:p w:rsidR="008750E6" w:rsidRPr="009A0728" w:rsidRDefault="008750E6" w:rsidP="00324508">
      <w:pPr>
        <w:pBdr>
          <w:top w:val="single" w:sz="12" w:space="0" w:color="auto"/>
        </w:pBdr>
        <w:spacing w:line="240" w:lineRule="auto"/>
        <w:rPr>
          <w:rFonts w:eastAsia="Times New Roman"/>
          <w:b/>
          <w:sz w:val="28"/>
        </w:rPr>
      </w:pPr>
    </w:p>
    <w:p w:rsidR="008750E6" w:rsidRDefault="008750E6" w:rsidP="008750E6">
      <w:pPr>
        <w:pStyle w:val="Page1"/>
        <w:spacing w:before="400"/>
      </w:pPr>
      <w:r>
        <w:t>An Act to amend the law in relation to the financial sector, and for related purposes</w:t>
      </w:r>
    </w:p>
    <w:p w:rsidR="00324508" w:rsidRDefault="00324508" w:rsidP="00324508">
      <w:pPr>
        <w:pStyle w:val="AssentDt"/>
        <w:spacing w:before="240"/>
        <w:rPr>
          <w:sz w:val="24"/>
        </w:rPr>
      </w:pPr>
      <w:r>
        <w:rPr>
          <w:sz w:val="24"/>
        </w:rPr>
        <w:t>[</w:t>
      </w:r>
      <w:r>
        <w:rPr>
          <w:i/>
          <w:sz w:val="24"/>
        </w:rPr>
        <w:t>Assented to 2 March 2021</w:t>
      </w:r>
      <w:r>
        <w:rPr>
          <w:sz w:val="24"/>
        </w:rPr>
        <w:t>]</w:t>
      </w:r>
    </w:p>
    <w:p w:rsidR="0048364F" w:rsidRPr="00FB55D9" w:rsidRDefault="0048364F" w:rsidP="00FB55D9">
      <w:pPr>
        <w:spacing w:before="240" w:line="240" w:lineRule="auto"/>
        <w:rPr>
          <w:sz w:val="32"/>
        </w:rPr>
      </w:pPr>
      <w:r w:rsidRPr="00FB55D9">
        <w:rPr>
          <w:sz w:val="32"/>
        </w:rPr>
        <w:t>The Parliament of Australia enacts:</w:t>
      </w:r>
    </w:p>
    <w:p w:rsidR="0048364F" w:rsidRPr="00FB55D9" w:rsidRDefault="0048364F" w:rsidP="00FB55D9">
      <w:pPr>
        <w:pStyle w:val="ActHead5"/>
      </w:pPr>
      <w:bookmarkStart w:id="1" w:name="_Toc65762017"/>
      <w:r w:rsidRPr="003C052D">
        <w:rPr>
          <w:rStyle w:val="CharSectno"/>
        </w:rPr>
        <w:t>1</w:t>
      </w:r>
      <w:r w:rsidRPr="00FB55D9">
        <w:t xml:space="preserve">  Short title</w:t>
      </w:r>
      <w:bookmarkEnd w:id="1"/>
    </w:p>
    <w:p w:rsidR="00D01043" w:rsidRDefault="00D01043" w:rsidP="00D01043">
      <w:pPr>
        <w:pStyle w:val="subsection"/>
      </w:pPr>
      <w:r>
        <w:tab/>
      </w:r>
      <w:r>
        <w:tab/>
        <w:t xml:space="preserve">This Act is the </w:t>
      </w:r>
      <w:r w:rsidRPr="00D01043">
        <w:rPr>
          <w:i/>
        </w:rPr>
        <w:t>Financial Sector Reform (Hayne Royal Commission Response No. 2) Act 2021</w:t>
      </w:r>
      <w:r>
        <w:t>.</w:t>
      </w:r>
    </w:p>
    <w:p w:rsidR="0048364F" w:rsidRPr="00FB55D9" w:rsidRDefault="0048364F" w:rsidP="00FB55D9">
      <w:pPr>
        <w:pStyle w:val="ActHead5"/>
      </w:pPr>
      <w:bookmarkStart w:id="2" w:name="_Toc65762018"/>
      <w:r w:rsidRPr="003C052D">
        <w:rPr>
          <w:rStyle w:val="CharSectno"/>
        </w:rPr>
        <w:lastRenderedPageBreak/>
        <w:t>2</w:t>
      </w:r>
      <w:r w:rsidRPr="00FB55D9">
        <w:t xml:space="preserve">  Commencement</w:t>
      </w:r>
      <w:bookmarkEnd w:id="2"/>
    </w:p>
    <w:p w:rsidR="0048364F" w:rsidRPr="00FB55D9" w:rsidRDefault="0048364F" w:rsidP="00FB55D9">
      <w:pPr>
        <w:pStyle w:val="subsection"/>
      </w:pPr>
      <w:r w:rsidRPr="00FB55D9">
        <w:tab/>
        <w:t>(1)</w:t>
      </w:r>
      <w:r w:rsidRPr="00FB55D9">
        <w:tab/>
        <w:t>Each provision of this Act specified in column 1 of the table commences, or is taken to have commenced, in accordance with column 2 of the table. Any other statement in column 2 has effect according to its terms.</w:t>
      </w:r>
    </w:p>
    <w:p w:rsidR="0048364F" w:rsidRPr="00FB55D9" w:rsidRDefault="0048364F" w:rsidP="00FB55D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B55D9" w:rsidTr="00750118">
        <w:trPr>
          <w:tblHeader/>
        </w:trPr>
        <w:tc>
          <w:tcPr>
            <w:tcW w:w="7111" w:type="dxa"/>
            <w:gridSpan w:val="3"/>
            <w:tcBorders>
              <w:top w:val="single" w:sz="12" w:space="0" w:color="auto"/>
              <w:bottom w:val="single" w:sz="6" w:space="0" w:color="auto"/>
            </w:tcBorders>
            <w:shd w:val="clear" w:color="auto" w:fill="auto"/>
          </w:tcPr>
          <w:p w:rsidR="0048364F" w:rsidRPr="00FB55D9" w:rsidRDefault="0048364F" w:rsidP="00FB55D9">
            <w:pPr>
              <w:pStyle w:val="TableHeading"/>
            </w:pPr>
            <w:r w:rsidRPr="00FB55D9">
              <w:t>Commencement information</w:t>
            </w:r>
          </w:p>
        </w:tc>
      </w:tr>
      <w:tr w:rsidR="0048364F" w:rsidRPr="00FB55D9" w:rsidTr="00750118">
        <w:trPr>
          <w:tblHeader/>
        </w:trPr>
        <w:tc>
          <w:tcPr>
            <w:tcW w:w="1701" w:type="dxa"/>
            <w:tcBorders>
              <w:top w:val="single" w:sz="6" w:space="0" w:color="auto"/>
              <w:bottom w:val="single" w:sz="6" w:space="0" w:color="auto"/>
            </w:tcBorders>
            <w:shd w:val="clear" w:color="auto" w:fill="auto"/>
          </w:tcPr>
          <w:p w:rsidR="0048364F" w:rsidRPr="00FB55D9" w:rsidRDefault="0048364F" w:rsidP="00FB55D9">
            <w:pPr>
              <w:pStyle w:val="TableHeading"/>
            </w:pPr>
            <w:r w:rsidRPr="00FB55D9">
              <w:t>Column 1</w:t>
            </w:r>
          </w:p>
        </w:tc>
        <w:tc>
          <w:tcPr>
            <w:tcW w:w="3828" w:type="dxa"/>
            <w:tcBorders>
              <w:top w:val="single" w:sz="6" w:space="0" w:color="auto"/>
              <w:bottom w:val="single" w:sz="6" w:space="0" w:color="auto"/>
            </w:tcBorders>
            <w:shd w:val="clear" w:color="auto" w:fill="auto"/>
          </w:tcPr>
          <w:p w:rsidR="0048364F" w:rsidRPr="00FB55D9" w:rsidRDefault="0048364F" w:rsidP="00FB55D9">
            <w:pPr>
              <w:pStyle w:val="TableHeading"/>
            </w:pPr>
            <w:r w:rsidRPr="00FB55D9">
              <w:t>Column 2</w:t>
            </w:r>
          </w:p>
        </w:tc>
        <w:tc>
          <w:tcPr>
            <w:tcW w:w="1582" w:type="dxa"/>
            <w:tcBorders>
              <w:top w:val="single" w:sz="6" w:space="0" w:color="auto"/>
              <w:bottom w:val="single" w:sz="6" w:space="0" w:color="auto"/>
            </w:tcBorders>
            <w:shd w:val="clear" w:color="auto" w:fill="auto"/>
          </w:tcPr>
          <w:p w:rsidR="0048364F" w:rsidRPr="00FB55D9" w:rsidRDefault="0048364F" w:rsidP="00FB55D9">
            <w:pPr>
              <w:pStyle w:val="TableHeading"/>
            </w:pPr>
            <w:r w:rsidRPr="00FB55D9">
              <w:t>Column 3</w:t>
            </w:r>
          </w:p>
        </w:tc>
      </w:tr>
      <w:tr w:rsidR="0048364F" w:rsidRPr="00FB55D9" w:rsidTr="00750118">
        <w:trPr>
          <w:tblHeader/>
        </w:trPr>
        <w:tc>
          <w:tcPr>
            <w:tcW w:w="1701" w:type="dxa"/>
            <w:tcBorders>
              <w:top w:val="single" w:sz="6" w:space="0" w:color="auto"/>
              <w:bottom w:val="single" w:sz="12" w:space="0" w:color="auto"/>
            </w:tcBorders>
            <w:shd w:val="clear" w:color="auto" w:fill="auto"/>
          </w:tcPr>
          <w:p w:rsidR="0048364F" w:rsidRPr="00FB55D9" w:rsidRDefault="0048364F" w:rsidP="00FB55D9">
            <w:pPr>
              <w:pStyle w:val="TableHeading"/>
            </w:pPr>
            <w:r w:rsidRPr="00FB55D9">
              <w:t>Provisions</w:t>
            </w:r>
          </w:p>
        </w:tc>
        <w:tc>
          <w:tcPr>
            <w:tcW w:w="3828" w:type="dxa"/>
            <w:tcBorders>
              <w:top w:val="single" w:sz="6" w:space="0" w:color="auto"/>
              <w:bottom w:val="single" w:sz="12" w:space="0" w:color="auto"/>
            </w:tcBorders>
            <w:shd w:val="clear" w:color="auto" w:fill="auto"/>
          </w:tcPr>
          <w:p w:rsidR="0048364F" w:rsidRPr="00FB55D9" w:rsidRDefault="0048364F" w:rsidP="00FB55D9">
            <w:pPr>
              <w:pStyle w:val="TableHeading"/>
            </w:pPr>
            <w:r w:rsidRPr="00FB55D9">
              <w:t>Commencement</w:t>
            </w:r>
          </w:p>
        </w:tc>
        <w:tc>
          <w:tcPr>
            <w:tcW w:w="1582" w:type="dxa"/>
            <w:tcBorders>
              <w:top w:val="single" w:sz="6" w:space="0" w:color="auto"/>
              <w:bottom w:val="single" w:sz="12" w:space="0" w:color="auto"/>
            </w:tcBorders>
            <w:shd w:val="clear" w:color="auto" w:fill="auto"/>
          </w:tcPr>
          <w:p w:rsidR="0048364F" w:rsidRPr="00FB55D9" w:rsidRDefault="0048364F" w:rsidP="00FB55D9">
            <w:pPr>
              <w:pStyle w:val="TableHeading"/>
            </w:pPr>
            <w:r w:rsidRPr="00FB55D9">
              <w:t>Date/Details</w:t>
            </w:r>
          </w:p>
        </w:tc>
      </w:tr>
      <w:tr w:rsidR="0048364F" w:rsidRPr="00FB55D9" w:rsidTr="00750118">
        <w:tc>
          <w:tcPr>
            <w:tcW w:w="1701" w:type="dxa"/>
            <w:tcBorders>
              <w:top w:val="single" w:sz="12" w:space="0" w:color="auto"/>
              <w:bottom w:val="single" w:sz="2" w:space="0" w:color="auto"/>
            </w:tcBorders>
            <w:shd w:val="clear" w:color="auto" w:fill="auto"/>
          </w:tcPr>
          <w:p w:rsidR="0048364F" w:rsidRPr="00FB55D9" w:rsidRDefault="0048364F" w:rsidP="00FB55D9">
            <w:pPr>
              <w:pStyle w:val="Tabletext"/>
            </w:pPr>
            <w:r w:rsidRPr="00FB55D9">
              <w:t xml:space="preserve">1.  </w:t>
            </w:r>
            <w:r w:rsidR="009A2362" w:rsidRPr="00FB55D9">
              <w:t>Sections 1</w:t>
            </w:r>
            <w:r w:rsidRPr="00FB55D9">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FB55D9" w:rsidRDefault="0048364F" w:rsidP="00FB55D9">
            <w:pPr>
              <w:pStyle w:val="Tabletext"/>
            </w:pPr>
            <w:r w:rsidRPr="00FB55D9">
              <w:t>The day this Act receives the Royal Assent.</w:t>
            </w:r>
          </w:p>
        </w:tc>
        <w:tc>
          <w:tcPr>
            <w:tcW w:w="1582" w:type="dxa"/>
            <w:tcBorders>
              <w:top w:val="single" w:sz="12" w:space="0" w:color="auto"/>
              <w:bottom w:val="single" w:sz="2" w:space="0" w:color="auto"/>
            </w:tcBorders>
            <w:shd w:val="clear" w:color="auto" w:fill="auto"/>
          </w:tcPr>
          <w:p w:rsidR="0048364F" w:rsidRPr="00FB55D9" w:rsidRDefault="006D1BC8" w:rsidP="00FB55D9">
            <w:pPr>
              <w:pStyle w:val="Tabletext"/>
            </w:pPr>
            <w:r>
              <w:t>2 March 2021</w:t>
            </w:r>
          </w:p>
        </w:tc>
      </w:tr>
      <w:tr w:rsidR="008A0B84" w:rsidRPr="00FB55D9" w:rsidTr="00750118">
        <w:tc>
          <w:tcPr>
            <w:tcW w:w="1701" w:type="dxa"/>
            <w:tcBorders>
              <w:top w:val="single" w:sz="2" w:space="0" w:color="auto"/>
              <w:bottom w:val="single" w:sz="12" w:space="0" w:color="auto"/>
            </w:tcBorders>
            <w:shd w:val="clear" w:color="auto" w:fill="auto"/>
          </w:tcPr>
          <w:p w:rsidR="008A0B84" w:rsidRPr="00FB55D9" w:rsidRDefault="00750118" w:rsidP="00FB55D9">
            <w:pPr>
              <w:pStyle w:val="Tabletext"/>
            </w:pPr>
            <w:r w:rsidRPr="00FB55D9">
              <w:t>2</w:t>
            </w:r>
            <w:r w:rsidR="008A0B84" w:rsidRPr="00FB55D9">
              <w:t xml:space="preserve">.  </w:t>
            </w:r>
            <w:r w:rsidRPr="00FB55D9">
              <w:t>Schedules 1 to 3</w:t>
            </w:r>
          </w:p>
        </w:tc>
        <w:tc>
          <w:tcPr>
            <w:tcW w:w="3828" w:type="dxa"/>
            <w:tcBorders>
              <w:top w:val="single" w:sz="2" w:space="0" w:color="auto"/>
              <w:bottom w:val="single" w:sz="12" w:space="0" w:color="auto"/>
            </w:tcBorders>
            <w:shd w:val="clear" w:color="auto" w:fill="auto"/>
          </w:tcPr>
          <w:p w:rsidR="008A0B84" w:rsidRPr="00FB55D9" w:rsidRDefault="00750118" w:rsidP="00FB55D9">
            <w:pPr>
              <w:pStyle w:val="Tabletext"/>
            </w:pPr>
            <w:r w:rsidRPr="00FB55D9">
              <w:t>1 July</w:t>
            </w:r>
            <w:r w:rsidR="008A0B84" w:rsidRPr="00FB55D9">
              <w:t xml:space="preserve"> 2021.</w:t>
            </w:r>
          </w:p>
        </w:tc>
        <w:tc>
          <w:tcPr>
            <w:tcW w:w="1582" w:type="dxa"/>
            <w:tcBorders>
              <w:top w:val="single" w:sz="2" w:space="0" w:color="auto"/>
              <w:bottom w:val="single" w:sz="12" w:space="0" w:color="auto"/>
            </w:tcBorders>
            <w:shd w:val="clear" w:color="auto" w:fill="auto"/>
          </w:tcPr>
          <w:p w:rsidR="008A0B84" w:rsidRPr="00FB55D9" w:rsidRDefault="00750118" w:rsidP="00FB55D9">
            <w:pPr>
              <w:pStyle w:val="Tabletext"/>
            </w:pPr>
            <w:r w:rsidRPr="00FB55D9">
              <w:t>1 July</w:t>
            </w:r>
            <w:r w:rsidR="008A0B84" w:rsidRPr="00FB55D9">
              <w:t xml:space="preserve"> 2021</w:t>
            </w:r>
          </w:p>
        </w:tc>
      </w:tr>
    </w:tbl>
    <w:p w:rsidR="0048364F" w:rsidRPr="00FB55D9" w:rsidRDefault="00201D27" w:rsidP="00FB55D9">
      <w:pPr>
        <w:pStyle w:val="notetext"/>
      </w:pPr>
      <w:r w:rsidRPr="00FB55D9">
        <w:t>Note:</w:t>
      </w:r>
      <w:r w:rsidRPr="00FB55D9">
        <w:tab/>
        <w:t>This table relates only to the provisions of this Act as originally enacted. It will not be amended to deal with any later amendments of this Act.</w:t>
      </w:r>
    </w:p>
    <w:p w:rsidR="0048364F" w:rsidRPr="00FB55D9" w:rsidRDefault="0048364F" w:rsidP="00FB55D9">
      <w:pPr>
        <w:pStyle w:val="subsection"/>
      </w:pPr>
      <w:r w:rsidRPr="00FB55D9">
        <w:tab/>
        <w:t>(2)</w:t>
      </w:r>
      <w:r w:rsidRPr="00FB55D9">
        <w:tab/>
      </w:r>
      <w:r w:rsidR="00201D27" w:rsidRPr="00FB55D9">
        <w:t xml:space="preserve">Any information in </w:t>
      </w:r>
      <w:r w:rsidR="00877D48" w:rsidRPr="00FB55D9">
        <w:t>c</w:t>
      </w:r>
      <w:r w:rsidR="00201D27" w:rsidRPr="00FB55D9">
        <w:t>olumn 3 of the table is not part of this Act. Information may be inserted in this column, or information in it may be edited, in any published version of this Act.</w:t>
      </w:r>
    </w:p>
    <w:p w:rsidR="0048364F" w:rsidRPr="00FB55D9" w:rsidRDefault="0048364F" w:rsidP="00FB55D9">
      <w:pPr>
        <w:pStyle w:val="ActHead5"/>
      </w:pPr>
      <w:bookmarkStart w:id="3" w:name="_Toc65762019"/>
      <w:r w:rsidRPr="003C052D">
        <w:rPr>
          <w:rStyle w:val="CharSectno"/>
        </w:rPr>
        <w:t>3</w:t>
      </w:r>
      <w:r w:rsidRPr="00FB55D9">
        <w:t xml:space="preserve">  Schedules</w:t>
      </w:r>
      <w:bookmarkEnd w:id="3"/>
    </w:p>
    <w:p w:rsidR="0048364F" w:rsidRPr="00FB55D9" w:rsidRDefault="0048364F" w:rsidP="00FB55D9">
      <w:pPr>
        <w:pStyle w:val="subsection"/>
      </w:pPr>
      <w:r w:rsidRPr="00FB55D9">
        <w:tab/>
      </w:r>
      <w:r w:rsidRPr="00FB55D9">
        <w:tab/>
      </w:r>
      <w:r w:rsidR="00202618" w:rsidRPr="00FB55D9">
        <w:t>Legislation that is specified in a Schedule to this Act is amended or repealed as set out in the applicable items in the Schedule concerned, and any other item in a Schedule to this Act has effect according to its terms.</w:t>
      </w:r>
    </w:p>
    <w:p w:rsidR="008A0B84" w:rsidRPr="00FB55D9" w:rsidRDefault="008A0B84" w:rsidP="00FB55D9">
      <w:pPr>
        <w:pStyle w:val="ActHead6"/>
        <w:pageBreakBefore/>
        <w:jc w:val="both"/>
      </w:pPr>
      <w:bookmarkStart w:id="4" w:name="_Toc65762020"/>
      <w:r w:rsidRPr="003C052D">
        <w:rPr>
          <w:rStyle w:val="CharAmSchNo"/>
        </w:rPr>
        <w:lastRenderedPageBreak/>
        <w:t>Schedule 1</w:t>
      </w:r>
      <w:r w:rsidRPr="00FB55D9">
        <w:t>—</w:t>
      </w:r>
      <w:r w:rsidRPr="003C052D">
        <w:rPr>
          <w:rStyle w:val="CharAmSchText"/>
        </w:rPr>
        <w:t>Ongoing fee arrangements</w:t>
      </w:r>
      <w:bookmarkEnd w:id="4"/>
    </w:p>
    <w:p w:rsidR="008A0B84" w:rsidRPr="00FB55D9" w:rsidRDefault="008A0B84" w:rsidP="00FB55D9">
      <w:pPr>
        <w:pStyle w:val="ActHead7"/>
      </w:pPr>
      <w:bookmarkStart w:id="5" w:name="_Toc65762021"/>
      <w:r w:rsidRPr="003C052D">
        <w:rPr>
          <w:rStyle w:val="CharAmPartNo"/>
        </w:rPr>
        <w:t>Part 1</w:t>
      </w:r>
      <w:r w:rsidRPr="00FB55D9">
        <w:t>—</w:t>
      </w:r>
      <w:r w:rsidRPr="003C052D">
        <w:rPr>
          <w:rStyle w:val="CharAmPartText"/>
        </w:rPr>
        <w:t>Main amendments</w:t>
      </w:r>
      <w:bookmarkEnd w:id="5"/>
    </w:p>
    <w:p w:rsidR="008A0B84" w:rsidRPr="00FB55D9" w:rsidRDefault="008A0B84" w:rsidP="00FB55D9">
      <w:pPr>
        <w:pStyle w:val="ActHead9"/>
        <w:rPr>
          <w:i w:val="0"/>
        </w:rPr>
      </w:pPr>
      <w:bookmarkStart w:id="6" w:name="_Toc65762022"/>
      <w:r w:rsidRPr="00FB55D9">
        <w:t>Corporations Act 2001</w:t>
      </w:r>
      <w:bookmarkEnd w:id="6"/>
    </w:p>
    <w:p w:rsidR="008A0B84" w:rsidRPr="00FB55D9" w:rsidRDefault="00750118" w:rsidP="00FB55D9">
      <w:pPr>
        <w:pStyle w:val="ItemHead"/>
      </w:pPr>
      <w:r w:rsidRPr="00FB55D9">
        <w:t>1</w:t>
      </w:r>
      <w:r w:rsidR="008A0B84" w:rsidRPr="00FB55D9">
        <w:t xml:space="preserve">  </w:t>
      </w:r>
      <w:r w:rsidRPr="00FB55D9">
        <w:t>Section 9</w:t>
      </w:r>
      <w:r w:rsidR="008A0B84" w:rsidRPr="00FB55D9">
        <w:t>60</w:t>
      </w:r>
    </w:p>
    <w:p w:rsidR="008A0B84" w:rsidRPr="00FB55D9" w:rsidRDefault="008A0B84" w:rsidP="00FB55D9">
      <w:pPr>
        <w:pStyle w:val="Item"/>
      </w:pPr>
      <w:r w:rsidRPr="00FB55D9">
        <w:t>Insert:</w:t>
      </w:r>
    </w:p>
    <w:p w:rsidR="008A0B84" w:rsidRPr="00FB55D9" w:rsidRDefault="008A0B84" w:rsidP="00FB55D9">
      <w:pPr>
        <w:pStyle w:val="Definition"/>
      </w:pPr>
      <w:r w:rsidRPr="00FB55D9">
        <w:rPr>
          <w:b/>
          <w:i/>
        </w:rPr>
        <w:t>anniversary day</w:t>
      </w:r>
      <w:r w:rsidRPr="00FB55D9">
        <w:t xml:space="preserve">, for an ongoing fee arrangement, has the meaning given by </w:t>
      </w:r>
      <w:r w:rsidR="00750118" w:rsidRPr="00FB55D9">
        <w:t>subsection 9</w:t>
      </w:r>
      <w:r w:rsidRPr="00FB55D9">
        <w:t>62G(3).</w:t>
      </w:r>
    </w:p>
    <w:p w:rsidR="008A0B84" w:rsidRPr="00FB55D9" w:rsidRDefault="00750118" w:rsidP="00FB55D9">
      <w:pPr>
        <w:pStyle w:val="ItemHead"/>
      </w:pPr>
      <w:r w:rsidRPr="00FB55D9">
        <w:t>2</w:t>
      </w:r>
      <w:r w:rsidR="008A0B84" w:rsidRPr="00FB55D9">
        <w:t xml:space="preserve">  </w:t>
      </w:r>
      <w:r w:rsidRPr="00FB55D9">
        <w:t>Section 9</w:t>
      </w:r>
      <w:r w:rsidR="008A0B84" w:rsidRPr="00FB55D9">
        <w:t>60</w:t>
      </w:r>
    </w:p>
    <w:p w:rsidR="008A0B84" w:rsidRPr="00FB55D9" w:rsidRDefault="008A0B84" w:rsidP="00FB55D9">
      <w:pPr>
        <w:pStyle w:val="Item"/>
      </w:pPr>
      <w:r w:rsidRPr="00FB55D9">
        <w:t>Repeal the following definitions:</w:t>
      </w:r>
    </w:p>
    <w:p w:rsidR="008A0B84" w:rsidRPr="00FB55D9" w:rsidRDefault="008A0B84" w:rsidP="00FB55D9">
      <w:pPr>
        <w:pStyle w:val="paragraph"/>
      </w:pPr>
      <w:r w:rsidRPr="00FB55D9">
        <w:tab/>
        <w:t>(a)</w:t>
      </w:r>
      <w:r w:rsidRPr="00FB55D9">
        <w:tab/>
        <w:t xml:space="preserve">definition of </w:t>
      </w:r>
      <w:r w:rsidRPr="00FB55D9">
        <w:rPr>
          <w:b/>
          <w:i/>
        </w:rPr>
        <w:t>disclosure day</w:t>
      </w:r>
      <w:r w:rsidRPr="00FB55D9">
        <w:t>;</w:t>
      </w:r>
    </w:p>
    <w:p w:rsidR="008A0B84" w:rsidRPr="00FB55D9" w:rsidRDefault="008A0B84" w:rsidP="00FB55D9">
      <w:pPr>
        <w:pStyle w:val="paragraph"/>
      </w:pPr>
      <w:r w:rsidRPr="00FB55D9">
        <w:tab/>
        <w:t>(b)</w:t>
      </w:r>
      <w:r w:rsidRPr="00FB55D9">
        <w:tab/>
        <w:t xml:space="preserve">definition of </w:t>
      </w:r>
      <w:r w:rsidRPr="00FB55D9">
        <w:rPr>
          <w:b/>
          <w:i/>
        </w:rPr>
        <w:t>renewal notice</w:t>
      </w:r>
      <w:r w:rsidRPr="00FB55D9">
        <w:t>;</w:t>
      </w:r>
    </w:p>
    <w:p w:rsidR="008A0B84" w:rsidRPr="00FB55D9" w:rsidRDefault="008A0B84" w:rsidP="00FB55D9">
      <w:pPr>
        <w:pStyle w:val="paragraph"/>
      </w:pPr>
      <w:r w:rsidRPr="00FB55D9">
        <w:tab/>
        <w:t>(c)</w:t>
      </w:r>
      <w:r w:rsidRPr="00FB55D9">
        <w:tab/>
        <w:t xml:space="preserve">definition of </w:t>
      </w:r>
      <w:r w:rsidRPr="00FB55D9">
        <w:rPr>
          <w:b/>
          <w:i/>
        </w:rPr>
        <w:t>renewal notice day</w:t>
      </w:r>
      <w:r w:rsidRPr="00FB55D9">
        <w:t>.</w:t>
      </w:r>
    </w:p>
    <w:p w:rsidR="008A0B84" w:rsidRPr="00FB55D9" w:rsidRDefault="00750118" w:rsidP="00FB55D9">
      <w:pPr>
        <w:pStyle w:val="ItemHead"/>
      </w:pPr>
      <w:r w:rsidRPr="00FB55D9">
        <w:t>3</w:t>
      </w:r>
      <w:r w:rsidR="008A0B84" w:rsidRPr="00FB55D9">
        <w:t xml:space="preserve">  </w:t>
      </w:r>
      <w:r w:rsidRPr="00FB55D9">
        <w:t>Section 9</w:t>
      </w:r>
      <w:r w:rsidR="008A0B84" w:rsidRPr="00FB55D9">
        <w:t xml:space="preserve">60 (definition of </w:t>
      </w:r>
      <w:r w:rsidR="008A0B84" w:rsidRPr="00FB55D9">
        <w:rPr>
          <w:i/>
        </w:rPr>
        <w:t>renewal period</w:t>
      </w:r>
      <w:r w:rsidR="008A0B84" w:rsidRPr="00FB55D9">
        <w:t>)</w:t>
      </w:r>
    </w:p>
    <w:p w:rsidR="008A0B84" w:rsidRPr="00FB55D9" w:rsidRDefault="008A0B84" w:rsidP="00FB55D9">
      <w:pPr>
        <w:pStyle w:val="Item"/>
      </w:pPr>
      <w:r w:rsidRPr="00FB55D9">
        <w:t>Omit “</w:t>
      </w:r>
      <w:r w:rsidR="00750118" w:rsidRPr="00FB55D9">
        <w:t>subsection 9</w:t>
      </w:r>
      <w:r w:rsidRPr="00FB55D9">
        <w:t>62L(2)”, substitute “</w:t>
      </w:r>
      <w:r w:rsidR="00750118" w:rsidRPr="00FB55D9">
        <w:t>section 9</w:t>
      </w:r>
      <w:r w:rsidRPr="00FB55D9">
        <w:t>62L”.</w:t>
      </w:r>
    </w:p>
    <w:p w:rsidR="008A0B84" w:rsidRPr="00FB55D9" w:rsidRDefault="00750118" w:rsidP="00FB55D9">
      <w:pPr>
        <w:pStyle w:val="ItemHead"/>
      </w:pPr>
      <w:r w:rsidRPr="00FB55D9">
        <w:t>4</w:t>
      </w:r>
      <w:r w:rsidR="008A0B84" w:rsidRPr="00FB55D9">
        <w:t xml:space="preserve">  Sections 962CA and 962D</w:t>
      </w:r>
    </w:p>
    <w:p w:rsidR="008A0B84" w:rsidRPr="00FB55D9" w:rsidRDefault="008A0B84" w:rsidP="00FB55D9">
      <w:pPr>
        <w:pStyle w:val="Item"/>
      </w:pPr>
      <w:r w:rsidRPr="00FB55D9">
        <w:t>Repeal the sections.</w:t>
      </w:r>
    </w:p>
    <w:p w:rsidR="008A0B84" w:rsidRPr="00FB55D9" w:rsidRDefault="00750118" w:rsidP="00FB55D9">
      <w:pPr>
        <w:pStyle w:val="ItemHead"/>
      </w:pPr>
      <w:r w:rsidRPr="00FB55D9">
        <w:t>5</w:t>
      </w:r>
      <w:r w:rsidR="008A0B84" w:rsidRPr="00FB55D9">
        <w:t xml:space="preserve">  </w:t>
      </w:r>
      <w:r w:rsidRPr="00FB55D9">
        <w:t>Subsection 9</w:t>
      </w:r>
      <w:r w:rsidR="008A0B84" w:rsidRPr="00FB55D9">
        <w:t>62F(1)</w:t>
      </w:r>
    </w:p>
    <w:p w:rsidR="008A0B84" w:rsidRPr="00FB55D9" w:rsidRDefault="008A0B84" w:rsidP="00FB55D9">
      <w:pPr>
        <w:pStyle w:val="Item"/>
      </w:pPr>
      <w:r w:rsidRPr="00FB55D9">
        <w:t xml:space="preserve">Omit “(the disclosure obligation) or </w:t>
      </w:r>
      <w:r w:rsidR="00750118" w:rsidRPr="00FB55D9">
        <w:t>section 9</w:t>
      </w:r>
      <w:r w:rsidRPr="00FB55D9">
        <w:t>62K (the renewal notice obligation)”.</w:t>
      </w:r>
    </w:p>
    <w:p w:rsidR="008A0B84" w:rsidRPr="00FB55D9" w:rsidRDefault="00750118" w:rsidP="00FB55D9">
      <w:pPr>
        <w:pStyle w:val="ItemHead"/>
      </w:pPr>
      <w:r w:rsidRPr="00FB55D9">
        <w:t>6</w:t>
      </w:r>
      <w:r w:rsidR="008A0B84" w:rsidRPr="00FB55D9">
        <w:t xml:space="preserve">  Subsections 962F(2) and (3)</w:t>
      </w:r>
    </w:p>
    <w:p w:rsidR="008A0B84" w:rsidRPr="00FB55D9" w:rsidRDefault="008A0B84" w:rsidP="00FB55D9">
      <w:pPr>
        <w:pStyle w:val="Item"/>
      </w:pPr>
      <w:r w:rsidRPr="00FB55D9">
        <w:t xml:space="preserve">Omit “or </w:t>
      </w:r>
      <w:r w:rsidR="00750118" w:rsidRPr="00FB55D9">
        <w:t>section 9</w:t>
      </w:r>
      <w:r w:rsidRPr="00FB55D9">
        <w:t>62K”.</w:t>
      </w:r>
    </w:p>
    <w:p w:rsidR="008A0B84" w:rsidRPr="00FB55D9" w:rsidRDefault="00750118" w:rsidP="00FB55D9">
      <w:pPr>
        <w:pStyle w:val="ItemHead"/>
      </w:pPr>
      <w:r w:rsidRPr="00FB55D9">
        <w:t>7</w:t>
      </w:r>
      <w:r w:rsidR="008A0B84" w:rsidRPr="00FB55D9">
        <w:t xml:space="preserve">  After </w:t>
      </w:r>
      <w:r w:rsidRPr="00FB55D9">
        <w:t>section 9</w:t>
      </w:r>
      <w:r w:rsidR="008A0B84" w:rsidRPr="00FB55D9">
        <w:t>62F</w:t>
      </w:r>
    </w:p>
    <w:p w:rsidR="008A0B84" w:rsidRPr="00FB55D9" w:rsidRDefault="008A0B84" w:rsidP="00FB55D9">
      <w:pPr>
        <w:pStyle w:val="Item"/>
      </w:pPr>
      <w:r w:rsidRPr="00FB55D9">
        <w:t>Insert:</w:t>
      </w:r>
    </w:p>
    <w:p w:rsidR="008A0B84" w:rsidRPr="00FB55D9" w:rsidRDefault="008A0B84" w:rsidP="00FB55D9">
      <w:pPr>
        <w:pStyle w:val="ActHead5"/>
      </w:pPr>
      <w:bookmarkStart w:id="7" w:name="_Toc65762023"/>
      <w:r w:rsidRPr="003C052D">
        <w:rPr>
          <w:rStyle w:val="CharSectno"/>
        </w:rPr>
        <w:lastRenderedPageBreak/>
        <w:t>962FA</w:t>
      </w:r>
      <w:r w:rsidRPr="00FB55D9">
        <w:t xml:space="preserve">  Arrangement terminates if Subdivision C not complied with</w:t>
      </w:r>
      <w:bookmarkEnd w:id="7"/>
    </w:p>
    <w:p w:rsidR="008A0B84" w:rsidRPr="00FB55D9" w:rsidRDefault="008A0B84" w:rsidP="00FB55D9">
      <w:pPr>
        <w:pStyle w:val="subsection"/>
      </w:pPr>
      <w:r w:rsidRPr="00FB55D9">
        <w:tab/>
        <w:t>(1)</w:t>
      </w:r>
      <w:r w:rsidRPr="00FB55D9">
        <w:tab/>
        <w:t>It is a condition of the ongoing fee arrangement that the arrangement terminates if any of the following provisions have not been complied with in relation to the arrangement, whether by the current or a previous fee recipient:</w:t>
      </w:r>
    </w:p>
    <w:p w:rsidR="008A0B84" w:rsidRPr="00FB55D9" w:rsidRDefault="008A0B84" w:rsidP="00FB55D9">
      <w:pPr>
        <w:pStyle w:val="paragraph"/>
      </w:pPr>
      <w:r w:rsidRPr="00FB55D9">
        <w:tab/>
        <w:t>(a)</w:t>
      </w:r>
      <w:r w:rsidRPr="00FB55D9">
        <w:tab/>
      </w:r>
      <w:r w:rsidR="00750118" w:rsidRPr="00FB55D9">
        <w:t>section 9</w:t>
      </w:r>
      <w:r w:rsidRPr="00FB55D9">
        <w:t>62R (fee recipient must not deduct ongoing fees without consent);</w:t>
      </w:r>
    </w:p>
    <w:p w:rsidR="008A0B84" w:rsidRPr="00FB55D9" w:rsidRDefault="008A0B84" w:rsidP="00FB55D9">
      <w:pPr>
        <w:pStyle w:val="paragraph"/>
      </w:pPr>
      <w:r w:rsidRPr="00FB55D9">
        <w:tab/>
        <w:t>(b)</w:t>
      </w:r>
      <w:r w:rsidRPr="00FB55D9">
        <w:tab/>
      </w:r>
      <w:r w:rsidR="00750118" w:rsidRPr="00FB55D9">
        <w:t>section 9</w:t>
      </w:r>
      <w:r w:rsidRPr="00FB55D9">
        <w:t>62S (fee recipient must not arrange for deduction of ongoing fees without consent or accept such deductions).</w:t>
      </w:r>
    </w:p>
    <w:p w:rsidR="008A0B84" w:rsidRPr="00FB55D9" w:rsidRDefault="008A0B84" w:rsidP="00FB55D9">
      <w:pPr>
        <w:pStyle w:val="notetext"/>
      </w:pPr>
      <w:r w:rsidRPr="00FB55D9">
        <w:t>Note:</w:t>
      </w:r>
      <w:r w:rsidRPr="00FB55D9">
        <w:tab/>
        <w:t>A Court may order that the fee recipient refund amounts deducted without consent (see section 1317GB).</w:t>
      </w:r>
    </w:p>
    <w:p w:rsidR="008A0B84" w:rsidRPr="00FB55D9" w:rsidRDefault="008A0B84" w:rsidP="00FB55D9">
      <w:pPr>
        <w:pStyle w:val="subsection"/>
      </w:pPr>
      <w:r w:rsidRPr="00FB55D9">
        <w:tab/>
        <w:t>(2)</w:t>
      </w:r>
      <w:r w:rsidRPr="00FB55D9">
        <w:tab/>
        <w:t>The client is not taken to have waived the client’s rights under the condition (subject to subsection (3)), or to have entered into a new ongoing fee arrangement, if the client gives consent under Subdivision C, in relation to the deduction of ongoing fees relating to the ongoing fee arrangement, after a failure to comply with a provision referred to in subsection (1) in relation to the ongoing fee arrangement.</w:t>
      </w:r>
    </w:p>
    <w:p w:rsidR="008A0B84" w:rsidRPr="00FB55D9" w:rsidRDefault="008A0B84" w:rsidP="00FB55D9">
      <w:pPr>
        <w:pStyle w:val="subsection"/>
      </w:pPr>
      <w:r w:rsidRPr="00FB55D9">
        <w:tab/>
        <w:t>(3)</w:t>
      </w:r>
      <w:r w:rsidRPr="00FB55D9">
        <w:tab/>
        <w:t>However, if the client gives that consent after a failure to comply with a provision referred to in subsection (1) in relation to the ongoing fee arrangement, the fee recipient is not obliged to refund an amount deducted, or received as a result of a deduction made, in accordance with the consent.</w:t>
      </w:r>
    </w:p>
    <w:p w:rsidR="008A0B84" w:rsidRPr="00FB55D9" w:rsidRDefault="00750118" w:rsidP="00FB55D9">
      <w:pPr>
        <w:pStyle w:val="ItemHead"/>
      </w:pPr>
      <w:r w:rsidRPr="00FB55D9">
        <w:t>8</w:t>
      </w:r>
      <w:r w:rsidR="008A0B84" w:rsidRPr="00FB55D9">
        <w:t xml:space="preserve">  </w:t>
      </w:r>
      <w:r w:rsidRPr="00FB55D9">
        <w:t>Section 9</w:t>
      </w:r>
      <w:r w:rsidR="008A0B84" w:rsidRPr="00FB55D9">
        <w:t>62G (heading)</w:t>
      </w:r>
    </w:p>
    <w:p w:rsidR="008A0B84" w:rsidRPr="00FB55D9" w:rsidRDefault="008A0B84" w:rsidP="00FB55D9">
      <w:pPr>
        <w:pStyle w:val="Item"/>
      </w:pPr>
      <w:r w:rsidRPr="00FB55D9">
        <w:t>Repeal the heading, substitute:</w:t>
      </w:r>
    </w:p>
    <w:p w:rsidR="008A0B84" w:rsidRPr="00FB55D9" w:rsidRDefault="008A0B84" w:rsidP="00FB55D9">
      <w:pPr>
        <w:pStyle w:val="ActHead5"/>
      </w:pPr>
      <w:bookmarkStart w:id="8" w:name="_Toc65762024"/>
      <w:r w:rsidRPr="003C052D">
        <w:rPr>
          <w:rStyle w:val="CharSectno"/>
        </w:rPr>
        <w:t>962G</w:t>
      </w:r>
      <w:r w:rsidRPr="00FB55D9">
        <w:t xml:space="preserve">  Annual requirement to give fee disclosure statement</w:t>
      </w:r>
      <w:bookmarkEnd w:id="8"/>
    </w:p>
    <w:p w:rsidR="008A0B84" w:rsidRPr="00FB55D9" w:rsidRDefault="00750118" w:rsidP="00FB55D9">
      <w:pPr>
        <w:pStyle w:val="ItemHead"/>
      </w:pPr>
      <w:r w:rsidRPr="00FB55D9">
        <w:t>9</w:t>
      </w:r>
      <w:r w:rsidR="008A0B84" w:rsidRPr="00FB55D9">
        <w:t xml:space="preserve">  </w:t>
      </w:r>
      <w:r w:rsidRPr="00FB55D9">
        <w:t>Subsection 9</w:t>
      </w:r>
      <w:r w:rsidR="008A0B84" w:rsidRPr="00FB55D9">
        <w:t>62G(1)</w:t>
      </w:r>
    </w:p>
    <w:p w:rsidR="008A0B84" w:rsidRPr="00FB55D9" w:rsidRDefault="008A0B84" w:rsidP="00FB55D9">
      <w:pPr>
        <w:pStyle w:val="Item"/>
      </w:pPr>
      <w:r w:rsidRPr="00FB55D9">
        <w:t>Repeal the subsection, substitute:</w:t>
      </w:r>
    </w:p>
    <w:p w:rsidR="008A0B84" w:rsidRPr="00FB55D9" w:rsidRDefault="008A0B84" w:rsidP="00FB55D9">
      <w:pPr>
        <w:pStyle w:val="subsection"/>
      </w:pPr>
      <w:r w:rsidRPr="00FB55D9">
        <w:tab/>
        <w:t>(1)</w:t>
      </w:r>
      <w:r w:rsidRPr="00FB55D9">
        <w:tab/>
        <w:t>The current fee recipient in relation to an ongoing fee arrangement must, no later than 60 days after the anniversary day for the arrangement in each year, give the client a fee disclosure statement for the arrangement and the anniversary day.</w:t>
      </w:r>
    </w:p>
    <w:p w:rsidR="008A0B84" w:rsidRPr="00FB55D9" w:rsidRDefault="00750118" w:rsidP="00FB55D9">
      <w:pPr>
        <w:pStyle w:val="ItemHead"/>
      </w:pPr>
      <w:r w:rsidRPr="00FB55D9">
        <w:lastRenderedPageBreak/>
        <w:t>10</w:t>
      </w:r>
      <w:r w:rsidR="008A0B84" w:rsidRPr="00FB55D9">
        <w:t xml:space="preserve">  At the end of </w:t>
      </w:r>
      <w:r w:rsidRPr="00FB55D9">
        <w:t>section 9</w:t>
      </w:r>
      <w:r w:rsidR="008A0B84" w:rsidRPr="00FB55D9">
        <w:t>62G</w:t>
      </w:r>
    </w:p>
    <w:p w:rsidR="008A0B84" w:rsidRPr="00FB55D9" w:rsidRDefault="008A0B84" w:rsidP="00FB55D9">
      <w:pPr>
        <w:pStyle w:val="Item"/>
      </w:pPr>
      <w:r w:rsidRPr="00FB55D9">
        <w:t>Add:</w:t>
      </w:r>
    </w:p>
    <w:p w:rsidR="008A0B84" w:rsidRPr="00FB55D9" w:rsidRDefault="008A0B84" w:rsidP="00FB55D9">
      <w:pPr>
        <w:pStyle w:val="SubsectionHead"/>
        <w:rPr>
          <w:b/>
        </w:rPr>
      </w:pPr>
      <w:r w:rsidRPr="00FB55D9">
        <w:t xml:space="preserve">Meaning of </w:t>
      </w:r>
      <w:r w:rsidRPr="00FB55D9">
        <w:rPr>
          <w:b/>
        </w:rPr>
        <w:t>anniversary day</w:t>
      </w:r>
    </w:p>
    <w:p w:rsidR="008A0B84" w:rsidRPr="00FB55D9" w:rsidRDefault="008A0B84" w:rsidP="00FB55D9">
      <w:pPr>
        <w:pStyle w:val="subsection"/>
      </w:pPr>
      <w:r w:rsidRPr="00FB55D9">
        <w:tab/>
        <w:t>(3)</w:t>
      </w:r>
      <w:r w:rsidRPr="00FB55D9">
        <w:tab/>
      </w:r>
      <w:r w:rsidRPr="00FB55D9">
        <w:rPr>
          <w:b/>
          <w:i/>
        </w:rPr>
        <w:t>Anniversary day</w:t>
      </w:r>
      <w:r w:rsidRPr="00FB55D9">
        <w:t>, for an ongoing fee arrangement, means the anniversary of the day on which the arrangement was entered into.</w:t>
      </w:r>
    </w:p>
    <w:p w:rsidR="008A0B84" w:rsidRPr="00FB55D9" w:rsidRDefault="008A0B84" w:rsidP="00FB55D9">
      <w:pPr>
        <w:pStyle w:val="notetext"/>
      </w:pPr>
      <w:r w:rsidRPr="00FB55D9">
        <w:t>Note:</w:t>
      </w:r>
      <w:r w:rsidRPr="00FB55D9">
        <w:tab/>
      </w:r>
      <w:r w:rsidR="00750118" w:rsidRPr="00FB55D9">
        <w:t>Section 1</w:t>
      </w:r>
      <w:r w:rsidRPr="00FB55D9">
        <w:t xml:space="preserve">673C provides a modified meaning of </w:t>
      </w:r>
      <w:r w:rsidRPr="00FB55D9">
        <w:rPr>
          <w:b/>
          <w:i/>
        </w:rPr>
        <w:t>anniversary day</w:t>
      </w:r>
      <w:r w:rsidRPr="00FB55D9">
        <w:t xml:space="preserve"> in relation to ongoing fee arrangements in force before </w:t>
      </w:r>
      <w:r w:rsidR="00750118" w:rsidRPr="00FB55D9">
        <w:t>1 July</w:t>
      </w:r>
      <w:r w:rsidRPr="00FB55D9">
        <w:t xml:space="preserve"> 2021.</w:t>
      </w:r>
    </w:p>
    <w:p w:rsidR="008A0B84" w:rsidRPr="00FB55D9" w:rsidRDefault="008A0B84" w:rsidP="00FB55D9">
      <w:pPr>
        <w:pStyle w:val="SubsectionHead"/>
      </w:pPr>
      <w:r w:rsidRPr="00FB55D9">
        <w:t>Civil penalty</w:t>
      </w:r>
    </w:p>
    <w:p w:rsidR="008A0B84" w:rsidRPr="00FB55D9" w:rsidRDefault="008A0B84" w:rsidP="00FB55D9">
      <w:pPr>
        <w:pStyle w:val="subsection"/>
      </w:pPr>
      <w:r w:rsidRPr="00FB55D9">
        <w:tab/>
        <w:t>(4)</w:t>
      </w:r>
      <w:r w:rsidRPr="00FB55D9">
        <w:tab/>
        <w:t>A person contravenes this subsection if the person contravenes subsection (1).</w:t>
      </w:r>
    </w:p>
    <w:p w:rsidR="008A0B84" w:rsidRPr="00FB55D9" w:rsidRDefault="008A0B84" w:rsidP="00FB55D9">
      <w:pPr>
        <w:pStyle w:val="notetext"/>
      </w:pPr>
      <w:r w:rsidRPr="00FB55D9">
        <w:t>Note:</w:t>
      </w:r>
      <w:r w:rsidRPr="00FB55D9">
        <w:tab/>
        <w:t>This subsection is a civil penalty provision (see section 1317E).</w:t>
      </w:r>
    </w:p>
    <w:p w:rsidR="008A0B84" w:rsidRPr="00FB55D9" w:rsidRDefault="00750118" w:rsidP="00FB55D9">
      <w:pPr>
        <w:pStyle w:val="ItemHead"/>
      </w:pPr>
      <w:r w:rsidRPr="00FB55D9">
        <w:t>11</w:t>
      </w:r>
      <w:r w:rsidR="008A0B84" w:rsidRPr="00FB55D9">
        <w:t xml:space="preserve">  </w:t>
      </w:r>
      <w:r w:rsidRPr="00FB55D9">
        <w:t>Subsection 9</w:t>
      </w:r>
      <w:r w:rsidR="008A0B84" w:rsidRPr="00FB55D9">
        <w:t>62H(1)</w:t>
      </w:r>
    </w:p>
    <w:p w:rsidR="008A0B84" w:rsidRPr="00FB55D9" w:rsidRDefault="008A0B84" w:rsidP="00FB55D9">
      <w:pPr>
        <w:pStyle w:val="Item"/>
      </w:pPr>
      <w:r w:rsidRPr="00FB55D9">
        <w:t>Repeal the subsection, substitute:</w:t>
      </w:r>
    </w:p>
    <w:p w:rsidR="008A0B84" w:rsidRPr="00FB55D9" w:rsidRDefault="008A0B84" w:rsidP="00FB55D9">
      <w:pPr>
        <w:pStyle w:val="SubsectionHead"/>
      </w:pPr>
      <w:r w:rsidRPr="00FB55D9">
        <w:t>Fee disclosure statement</w:t>
      </w:r>
    </w:p>
    <w:p w:rsidR="008A0B84" w:rsidRPr="00FB55D9" w:rsidRDefault="008A0B84" w:rsidP="00FB55D9">
      <w:pPr>
        <w:pStyle w:val="subsection"/>
      </w:pPr>
      <w:r w:rsidRPr="00FB55D9">
        <w:tab/>
        <w:t>(1)</w:t>
      </w:r>
      <w:r w:rsidRPr="00FB55D9">
        <w:tab/>
        <w:t xml:space="preserve">A </w:t>
      </w:r>
      <w:r w:rsidRPr="00FB55D9">
        <w:rPr>
          <w:b/>
          <w:i/>
        </w:rPr>
        <w:t>fee disclosure statement</w:t>
      </w:r>
      <w:r w:rsidRPr="00FB55D9">
        <w:t xml:space="preserve"> for an ongoing fee arrangement and an anniversary day is a statement in writing that:</w:t>
      </w:r>
    </w:p>
    <w:p w:rsidR="008A0B84" w:rsidRPr="00FB55D9" w:rsidRDefault="008A0B84" w:rsidP="00FB55D9">
      <w:pPr>
        <w:pStyle w:val="paragraph"/>
      </w:pPr>
      <w:r w:rsidRPr="00FB55D9">
        <w:tab/>
        <w:t>(a)</w:t>
      </w:r>
      <w:r w:rsidRPr="00FB55D9">
        <w:tab/>
        <w:t>includes the information and statements required under this section; and</w:t>
      </w:r>
    </w:p>
    <w:p w:rsidR="008A0B84" w:rsidRPr="00FB55D9" w:rsidRDefault="008A0B84" w:rsidP="00FB55D9">
      <w:pPr>
        <w:pStyle w:val="paragraph"/>
      </w:pPr>
      <w:r w:rsidRPr="00FB55D9">
        <w:tab/>
        <w:t>(b)</w:t>
      </w:r>
      <w:r w:rsidRPr="00FB55D9">
        <w:tab/>
        <w:t>relates to:</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 xml:space="preserve">the period of 12 months (the </w:t>
      </w:r>
      <w:r w:rsidRPr="00FB55D9">
        <w:rPr>
          <w:b/>
          <w:i/>
        </w:rPr>
        <w:t>previous year</w:t>
      </w:r>
      <w:r w:rsidRPr="00FB55D9">
        <w:t>) ending immediately before the anniversary day; and</w:t>
      </w:r>
    </w:p>
    <w:p w:rsidR="008A0B84" w:rsidRPr="00FB55D9" w:rsidRDefault="008A0B84" w:rsidP="00FB55D9">
      <w:pPr>
        <w:pStyle w:val="paragraphsub"/>
      </w:pPr>
      <w:r w:rsidRPr="00FB55D9">
        <w:tab/>
        <w:t>(ii)</w:t>
      </w:r>
      <w:r w:rsidRPr="00FB55D9">
        <w:tab/>
        <w:t xml:space="preserve">the period of 12 months (the </w:t>
      </w:r>
      <w:r w:rsidRPr="00FB55D9">
        <w:rPr>
          <w:b/>
          <w:i/>
        </w:rPr>
        <w:t>upcoming year</w:t>
      </w:r>
      <w:r w:rsidRPr="00FB55D9">
        <w:t>) starting on the anniversary day.</w:t>
      </w:r>
    </w:p>
    <w:p w:rsidR="008A0B84" w:rsidRPr="00FB55D9" w:rsidRDefault="008A0B84" w:rsidP="00FB55D9">
      <w:pPr>
        <w:pStyle w:val="subsection"/>
      </w:pPr>
      <w:r w:rsidRPr="00FB55D9">
        <w:tab/>
        <w:t>(1A)</w:t>
      </w:r>
      <w:r w:rsidRPr="00FB55D9">
        <w:tab/>
        <w:t>A fee disclosure statement may also include other information.</w:t>
      </w:r>
    </w:p>
    <w:p w:rsidR="008A0B84" w:rsidRPr="00FB55D9" w:rsidRDefault="00750118" w:rsidP="00FB55D9">
      <w:pPr>
        <w:pStyle w:val="ItemHead"/>
      </w:pPr>
      <w:r w:rsidRPr="00FB55D9">
        <w:t>12</w:t>
      </w:r>
      <w:r w:rsidR="008A0B84" w:rsidRPr="00FB55D9">
        <w:t xml:space="preserve">  Before </w:t>
      </w:r>
      <w:r w:rsidRPr="00FB55D9">
        <w:t>subsection 9</w:t>
      </w:r>
      <w:r w:rsidR="008A0B84" w:rsidRPr="00FB55D9">
        <w:t>62H(2)</w:t>
      </w:r>
    </w:p>
    <w:p w:rsidR="008A0B84" w:rsidRPr="00FB55D9" w:rsidRDefault="008A0B84" w:rsidP="00FB55D9">
      <w:pPr>
        <w:pStyle w:val="Item"/>
      </w:pPr>
      <w:r w:rsidRPr="00FB55D9">
        <w:t>Insert:</w:t>
      </w:r>
    </w:p>
    <w:p w:rsidR="008A0B84" w:rsidRPr="00FB55D9" w:rsidRDefault="008A0B84" w:rsidP="00FB55D9">
      <w:pPr>
        <w:pStyle w:val="SubsectionHead"/>
      </w:pPr>
      <w:r w:rsidRPr="00FB55D9">
        <w:lastRenderedPageBreak/>
        <w:t>Information relating to the previous year</w:t>
      </w:r>
    </w:p>
    <w:p w:rsidR="008A0B84" w:rsidRPr="00FB55D9" w:rsidRDefault="00750118" w:rsidP="00FB55D9">
      <w:pPr>
        <w:pStyle w:val="ItemHead"/>
      </w:pPr>
      <w:r w:rsidRPr="00FB55D9">
        <w:t>13</w:t>
      </w:r>
      <w:r w:rsidR="008A0B84" w:rsidRPr="00FB55D9">
        <w:t xml:space="preserve">  </w:t>
      </w:r>
      <w:r w:rsidRPr="00FB55D9">
        <w:t>Subsection 9</w:t>
      </w:r>
      <w:r w:rsidR="008A0B84" w:rsidRPr="00FB55D9">
        <w:t>62H(2)</w:t>
      </w:r>
    </w:p>
    <w:p w:rsidR="008A0B84" w:rsidRPr="00FB55D9" w:rsidRDefault="008A0B84" w:rsidP="00FB55D9">
      <w:pPr>
        <w:pStyle w:val="Item"/>
      </w:pPr>
      <w:r w:rsidRPr="00FB55D9">
        <w:t>Omit “The following information is required for a fee disclosure statement in relation to an ongoing fee arrangement,”, substitute “The fee disclosure statement must include the following information relating to the previous year,”.</w:t>
      </w:r>
    </w:p>
    <w:p w:rsidR="008A0B84" w:rsidRPr="00FB55D9" w:rsidRDefault="00750118" w:rsidP="00FB55D9">
      <w:pPr>
        <w:pStyle w:val="ItemHead"/>
      </w:pPr>
      <w:r w:rsidRPr="00FB55D9">
        <w:t>14</w:t>
      </w:r>
      <w:r w:rsidR="008A0B84" w:rsidRPr="00FB55D9">
        <w:t xml:space="preserve">  Paragraph 962H(2)(a)</w:t>
      </w:r>
    </w:p>
    <w:p w:rsidR="008A0B84" w:rsidRPr="00FB55D9" w:rsidRDefault="008A0B84" w:rsidP="00FB55D9">
      <w:pPr>
        <w:pStyle w:val="Item"/>
      </w:pPr>
      <w:r w:rsidRPr="00FB55D9">
        <w:t>Omit “, expressed in Australian dollars unless an alternative is provided in the regulations”.</w:t>
      </w:r>
    </w:p>
    <w:p w:rsidR="008A0B84" w:rsidRPr="00FB55D9" w:rsidRDefault="00750118" w:rsidP="00FB55D9">
      <w:pPr>
        <w:pStyle w:val="ItemHead"/>
      </w:pPr>
      <w:r w:rsidRPr="00FB55D9">
        <w:t>15</w:t>
      </w:r>
      <w:r w:rsidR="008A0B84" w:rsidRPr="00FB55D9">
        <w:t xml:space="preserve">  Paragraph 962H(2)(f)</w:t>
      </w:r>
    </w:p>
    <w:p w:rsidR="008A0B84" w:rsidRPr="00FB55D9" w:rsidRDefault="008A0B84" w:rsidP="00FB55D9">
      <w:pPr>
        <w:pStyle w:val="Item"/>
      </w:pPr>
      <w:r w:rsidRPr="00FB55D9">
        <w:t>Omit “, including information that relates to a period that begins after the previous year”.</w:t>
      </w:r>
    </w:p>
    <w:p w:rsidR="008A0B84" w:rsidRPr="00FB55D9" w:rsidRDefault="00750118" w:rsidP="00FB55D9">
      <w:pPr>
        <w:pStyle w:val="ItemHead"/>
      </w:pPr>
      <w:r w:rsidRPr="00FB55D9">
        <w:t>16</w:t>
      </w:r>
      <w:r w:rsidR="008A0B84" w:rsidRPr="00FB55D9">
        <w:t xml:space="preserve">  After </w:t>
      </w:r>
      <w:r w:rsidRPr="00FB55D9">
        <w:t>subsection 9</w:t>
      </w:r>
      <w:r w:rsidR="008A0B84" w:rsidRPr="00FB55D9">
        <w:t>62H(2)</w:t>
      </w:r>
    </w:p>
    <w:p w:rsidR="008A0B84" w:rsidRPr="00FB55D9" w:rsidRDefault="008A0B84" w:rsidP="00FB55D9">
      <w:pPr>
        <w:pStyle w:val="Item"/>
      </w:pPr>
      <w:r w:rsidRPr="00FB55D9">
        <w:t>Insert:</w:t>
      </w:r>
    </w:p>
    <w:p w:rsidR="008A0B84" w:rsidRPr="00FB55D9" w:rsidRDefault="008A0B84" w:rsidP="00FB55D9">
      <w:pPr>
        <w:pStyle w:val="SubsectionHead"/>
      </w:pPr>
      <w:r w:rsidRPr="00FB55D9">
        <w:t>Information relating to the upcoming year</w:t>
      </w:r>
    </w:p>
    <w:p w:rsidR="008A0B84" w:rsidRPr="00FB55D9" w:rsidRDefault="008A0B84" w:rsidP="00FB55D9">
      <w:pPr>
        <w:pStyle w:val="subsection"/>
      </w:pPr>
      <w:r w:rsidRPr="00FB55D9">
        <w:tab/>
        <w:t>(2A)</w:t>
      </w:r>
      <w:r w:rsidRPr="00FB55D9">
        <w:tab/>
        <w:t>The fee disclosure statement must include the following information relating to the upcoming year, subject to subsection (3):</w:t>
      </w:r>
    </w:p>
    <w:p w:rsidR="008A0B84" w:rsidRPr="00FB55D9" w:rsidRDefault="008A0B84" w:rsidP="00FB55D9">
      <w:pPr>
        <w:pStyle w:val="paragraph"/>
      </w:pPr>
      <w:r w:rsidRPr="00FB55D9">
        <w:tab/>
        <w:t>(a)</w:t>
      </w:r>
      <w:r w:rsidRPr="00FB55D9">
        <w:tab/>
        <w:t>the amount of each ongoing fee that the client will be required to pay under the arrangement during the upcoming year;</w:t>
      </w:r>
    </w:p>
    <w:p w:rsidR="008A0B84" w:rsidRPr="00FB55D9" w:rsidRDefault="008A0B84" w:rsidP="00FB55D9">
      <w:pPr>
        <w:pStyle w:val="paragraph"/>
      </w:pPr>
      <w:r w:rsidRPr="00FB55D9">
        <w:tab/>
        <w:t>(b)</w:t>
      </w:r>
      <w:r w:rsidRPr="00FB55D9">
        <w:tab/>
        <w:t>information about the services that the client will be entitled to receive under the arrangement during the upcoming year;</w:t>
      </w:r>
    </w:p>
    <w:p w:rsidR="008A0B84" w:rsidRPr="00FB55D9" w:rsidRDefault="008A0B84" w:rsidP="00FB55D9">
      <w:pPr>
        <w:pStyle w:val="paragraph"/>
      </w:pPr>
      <w:r w:rsidRPr="00FB55D9">
        <w:tab/>
        <w:t>(c)</w:t>
      </w:r>
      <w:r w:rsidRPr="00FB55D9">
        <w:tab/>
        <w:t xml:space="preserve">if the client will be required to pay under the arrangement an ongoing fee after the end of the upcoming year for a service referred to in </w:t>
      </w:r>
      <w:r w:rsidR="00750118" w:rsidRPr="00FB55D9">
        <w:t>paragraph (</w:t>
      </w:r>
      <w:r w:rsidRPr="00FB55D9">
        <w:t>b)—the amount of any such ongoing fee;</w:t>
      </w:r>
    </w:p>
    <w:p w:rsidR="008A0B84" w:rsidRPr="00FB55D9" w:rsidRDefault="008A0B84" w:rsidP="00FB55D9">
      <w:pPr>
        <w:pStyle w:val="paragraph"/>
      </w:pPr>
      <w:r w:rsidRPr="00FB55D9">
        <w:tab/>
        <w:t>(d)</w:t>
      </w:r>
      <w:r w:rsidRPr="00FB55D9">
        <w:tab/>
        <w:t>information about any other prescribed matters.</w:t>
      </w:r>
    </w:p>
    <w:p w:rsidR="008A0B84" w:rsidRPr="00FB55D9" w:rsidRDefault="008A0B84" w:rsidP="00FB55D9">
      <w:pPr>
        <w:pStyle w:val="subsection"/>
      </w:pPr>
      <w:r w:rsidRPr="00FB55D9">
        <w:tab/>
        <w:t>(2B)</w:t>
      </w:r>
      <w:r w:rsidRPr="00FB55D9">
        <w:tab/>
        <w:t xml:space="preserve">If an amount of an ongoing fee that is required to be included in a fee disclosure statement under subsection (2A) cannot be determined at the time of preparing the statement, the statement must include a reasonable estimate of the amount of the ongoing </w:t>
      </w:r>
      <w:r w:rsidRPr="00FB55D9">
        <w:lastRenderedPageBreak/>
        <w:t>fee and an explanation of the method used to work out the estimate.</w:t>
      </w:r>
    </w:p>
    <w:p w:rsidR="008A0B84" w:rsidRPr="00FB55D9" w:rsidRDefault="008A0B84" w:rsidP="00FB55D9">
      <w:pPr>
        <w:pStyle w:val="SubsectionHead"/>
      </w:pPr>
      <w:r w:rsidRPr="00FB55D9">
        <w:t>Statements relating to renewal</w:t>
      </w:r>
    </w:p>
    <w:p w:rsidR="008A0B84" w:rsidRPr="00FB55D9" w:rsidRDefault="008A0B84" w:rsidP="00FB55D9">
      <w:pPr>
        <w:pStyle w:val="subsection"/>
      </w:pPr>
      <w:r w:rsidRPr="00FB55D9">
        <w:tab/>
        <w:t>(2C)</w:t>
      </w:r>
      <w:r w:rsidRPr="00FB55D9">
        <w:tab/>
        <w:t>The fee disclosure statement must include:</w:t>
      </w:r>
    </w:p>
    <w:p w:rsidR="008A0B84" w:rsidRPr="00FB55D9" w:rsidRDefault="008A0B84" w:rsidP="00FB55D9">
      <w:pPr>
        <w:pStyle w:val="paragraph"/>
      </w:pPr>
      <w:r w:rsidRPr="00FB55D9">
        <w:tab/>
        <w:t>(a)</w:t>
      </w:r>
      <w:r w:rsidRPr="00FB55D9">
        <w:tab/>
        <w:t>a statement that the client may renew the ongoing fee arrangement by giving the current fee recipient notice in writing of the election; and</w:t>
      </w:r>
    </w:p>
    <w:p w:rsidR="008A0B84" w:rsidRPr="00FB55D9" w:rsidRDefault="008A0B84" w:rsidP="00FB55D9">
      <w:pPr>
        <w:pStyle w:val="paragraph"/>
      </w:pPr>
      <w:r w:rsidRPr="00FB55D9">
        <w:tab/>
        <w:t>(b)</w:t>
      </w:r>
      <w:r w:rsidRPr="00FB55D9">
        <w:tab/>
        <w:t>a statement that the arrangement will terminate, and no further advice will be provided or fee charged under it, if the client does not elect to renew the arrangement; and</w:t>
      </w:r>
    </w:p>
    <w:p w:rsidR="008A0B84" w:rsidRPr="00FB55D9" w:rsidRDefault="008A0B84" w:rsidP="00FB55D9">
      <w:pPr>
        <w:pStyle w:val="paragraph"/>
      </w:pPr>
      <w:bookmarkStart w:id="9" w:name="OPCCaretStart"/>
      <w:bookmarkEnd w:id="9"/>
      <w:r w:rsidRPr="00FB55D9">
        <w:tab/>
        <w:t>(c)</w:t>
      </w:r>
      <w:r w:rsidRPr="00FB55D9">
        <w:tab/>
        <w:t>a statement that the client will be taken to have elected not to renew the arrangement if the client does not give the current fee recipient notice in writing of an election to renew before the end of the renewal period; and</w:t>
      </w:r>
    </w:p>
    <w:p w:rsidR="008A0B84" w:rsidRPr="00FB55D9" w:rsidRDefault="008A0B84" w:rsidP="00FB55D9">
      <w:pPr>
        <w:pStyle w:val="paragraph"/>
      </w:pPr>
      <w:r w:rsidRPr="00FB55D9">
        <w:tab/>
        <w:t>(d)</w:t>
      </w:r>
      <w:r w:rsidRPr="00FB55D9">
        <w:tab/>
        <w:t>a statement that the renewal period is a period of 120 days beginning on the anniversary day.</w:t>
      </w:r>
    </w:p>
    <w:p w:rsidR="008A0B84" w:rsidRPr="00FB55D9" w:rsidRDefault="008A0B84" w:rsidP="00FB55D9">
      <w:pPr>
        <w:pStyle w:val="SubsectionHead"/>
      </w:pPr>
      <w:r w:rsidRPr="00FB55D9">
        <w:t>Other requirements</w:t>
      </w:r>
    </w:p>
    <w:p w:rsidR="008A0B84" w:rsidRPr="00FB55D9" w:rsidRDefault="00750118" w:rsidP="00FB55D9">
      <w:pPr>
        <w:pStyle w:val="ItemHead"/>
      </w:pPr>
      <w:r w:rsidRPr="00FB55D9">
        <w:t>17</w:t>
      </w:r>
      <w:r w:rsidR="008A0B84" w:rsidRPr="00FB55D9">
        <w:t xml:space="preserve">  At the end of </w:t>
      </w:r>
      <w:r w:rsidRPr="00FB55D9">
        <w:t>section 9</w:t>
      </w:r>
      <w:r w:rsidR="008A0B84" w:rsidRPr="00FB55D9">
        <w:t>62H</w:t>
      </w:r>
    </w:p>
    <w:p w:rsidR="008A0B84" w:rsidRPr="00FB55D9" w:rsidRDefault="008A0B84" w:rsidP="00FB55D9">
      <w:pPr>
        <w:pStyle w:val="Item"/>
      </w:pPr>
      <w:r w:rsidRPr="00FB55D9">
        <w:t>Add:</w:t>
      </w:r>
    </w:p>
    <w:p w:rsidR="008A0B84" w:rsidRPr="00FB55D9" w:rsidRDefault="008A0B84" w:rsidP="00FB55D9">
      <w:pPr>
        <w:pStyle w:val="subsection"/>
      </w:pPr>
      <w:r w:rsidRPr="00FB55D9">
        <w:tab/>
        <w:t>(4)</w:t>
      </w:r>
      <w:r w:rsidRPr="00FB55D9">
        <w:tab/>
        <w:t>Information about the amount of an ongoing fee that is required to be included in a fee disclosure statement under this section must be expressed in Australian dollars, unless an alternative is provided in the regulations.</w:t>
      </w:r>
    </w:p>
    <w:p w:rsidR="008A0B84" w:rsidRPr="00FB55D9" w:rsidRDefault="00750118" w:rsidP="00FB55D9">
      <w:pPr>
        <w:pStyle w:val="ItemHead"/>
      </w:pPr>
      <w:r w:rsidRPr="00FB55D9">
        <w:t>18</w:t>
      </w:r>
      <w:r w:rsidR="008A0B84" w:rsidRPr="00FB55D9">
        <w:t xml:space="preserve">  </w:t>
      </w:r>
      <w:r w:rsidRPr="00FB55D9">
        <w:t>Section 9</w:t>
      </w:r>
      <w:r w:rsidR="008A0B84" w:rsidRPr="00FB55D9">
        <w:t>62J</w:t>
      </w:r>
    </w:p>
    <w:p w:rsidR="008A0B84" w:rsidRPr="00FB55D9" w:rsidRDefault="008A0B84" w:rsidP="00FB55D9">
      <w:pPr>
        <w:pStyle w:val="Item"/>
      </w:pPr>
      <w:r w:rsidRPr="00FB55D9">
        <w:t>Repeal the section.</w:t>
      </w:r>
    </w:p>
    <w:p w:rsidR="008A0B84" w:rsidRPr="00FB55D9" w:rsidRDefault="00750118" w:rsidP="00FB55D9">
      <w:pPr>
        <w:pStyle w:val="ItemHead"/>
      </w:pPr>
      <w:r w:rsidRPr="00FB55D9">
        <w:t>19</w:t>
      </w:r>
      <w:r w:rsidR="008A0B84" w:rsidRPr="00FB55D9">
        <w:t xml:space="preserve">  </w:t>
      </w:r>
      <w:r w:rsidRPr="00FB55D9">
        <w:t>Section 9</w:t>
      </w:r>
      <w:r w:rsidR="008A0B84" w:rsidRPr="00FB55D9">
        <w:t>62K</w:t>
      </w:r>
    </w:p>
    <w:p w:rsidR="008A0B84" w:rsidRPr="00FB55D9" w:rsidRDefault="008A0B84" w:rsidP="00FB55D9">
      <w:pPr>
        <w:pStyle w:val="Item"/>
      </w:pPr>
      <w:r w:rsidRPr="00FB55D9">
        <w:t>Repeal the section.</w:t>
      </w:r>
    </w:p>
    <w:p w:rsidR="008A0B84" w:rsidRPr="00FB55D9" w:rsidRDefault="00750118" w:rsidP="00FB55D9">
      <w:pPr>
        <w:pStyle w:val="ItemHead"/>
      </w:pPr>
      <w:r w:rsidRPr="00FB55D9">
        <w:t>20</w:t>
      </w:r>
      <w:r w:rsidR="008A0B84" w:rsidRPr="00FB55D9">
        <w:t xml:space="preserve">  </w:t>
      </w:r>
      <w:r w:rsidRPr="00FB55D9">
        <w:t>Section 9</w:t>
      </w:r>
      <w:r w:rsidR="008A0B84" w:rsidRPr="00FB55D9">
        <w:t>62L</w:t>
      </w:r>
    </w:p>
    <w:p w:rsidR="008A0B84" w:rsidRPr="00FB55D9" w:rsidRDefault="008A0B84" w:rsidP="00FB55D9">
      <w:pPr>
        <w:pStyle w:val="Item"/>
      </w:pPr>
      <w:r w:rsidRPr="00FB55D9">
        <w:t>Repeal the section, substitute:</w:t>
      </w:r>
    </w:p>
    <w:p w:rsidR="008A0B84" w:rsidRPr="00FB55D9" w:rsidRDefault="008A0B84" w:rsidP="00FB55D9">
      <w:pPr>
        <w:pStyle w:val="ActHead5"/>
      </w:pPr>
      <w:bookmarkStart w:id="10" w:name="_Toc65762025"/>
      <w:r w:rsidRPr="003C052D">
        <w:rPr>
          <w:rStyle w:val="CharSectno"/>
        </w:rPr>
        <w:lastRenderedPageBreak/>
        <w:t>962L</w:t>
      </w:r>
      <w:r w:rsidRPr="00FB55D9">
        <w:t xml:space="preserve">  Renewal period</w:t>
      </w:r>
      <w:bookmarkEnd w:id="10"/>
    </w:p>
    <w:p w:rsidR="008A0B84" w:rsidRPr="00FB55D9" w:rsidRDefault="008A0B84" w:rsidP="00FB55D9">
      <w:pPr>
        <w:pStyle w:val="subsection"/>
      </w:pPr>
      <w:r w:rsidRPr="00FB55D9">
        <w:tab/>
      </w:r>
      <w:r w:rsidRPr="00FB55D9">
        <w:tab/>
        <w:t xml:space="preserve">The </w:t>
      </w:r>
      <w:r w:rsidRPr="00FB55D9">
        <w:rPr>
          <w:b/>
          <w:i/>
        </w:rPr>
        <w:t>renewal period</w:t>
      </w:r>
      <w:r w:rsidRPr="00FB55D9">
        <w:t xml:space="preserve"> for an anniversary day is the period of 120 days beginning on the anniversary day.</w:t>
      </w:r>
    </w:p>
    <w:p w:rsidR="008A0B84" w:rsidRPr="00FB55D9" w:rsidRDefault="00750118" w:rsidP="00FB55D9">
      <w:pPr>
        <w:pStyle w:val="ItemHead"/>
      </w:pPr>
      <w:r w:rsidRPr="00FB55D9">
        <w:t>21</w:t>
      </w:r>
      <w:r w:rsidR="008A0B84" w:rsidRPr="00FB55D9">
        <w:t xml:space="preserve">  </w:t>
      </w:r>
      <w:r w:rsidRPr="00FB55D9">
        <w:t>Section 9</w:t>
      </w:r>
      <w:r w:rsidR="008A0B84" w:rsidRPr="00FB55D9">
        <w:t>62M</w:t>
      </w:r>
    </w:p>
    <w:p w:rsidR="008A0B84" w:rsidRPr="00FB55D9" w:rsidRDefault="008A0B84" w:rsidP="00FB55D9">
      <w:pPr>
        <w:pStyle w:val="Item"/>
      </w:pPr>
      <w:r w:rsidRPr="00FB55D9">
        <w:t>Omit “for the arrangement”, substitute “for an anniversary day”.</w:t>
      </w:r>
    </w:p>
    <w:p w:rsidR="008A0B84" w:rsidRPr="00FB55D9" w:rsidRDefault="00750118" w:rsidP="00FB55D9">
      <w:pPr>
        <w:pStyle w:val="ItemHead"/>
      </w:pPr>
      <w:r w:rsidRPr="00FB55D9">
        <w:t>22</w:t>
      </w:r>
      <w:r w:rsidR="008A0B84" w:rsidRPr="00FB55D9">
        <w:t xml:space="preserve">  </w:t>
      </w:r>
      <w:r w:rsidRPr="00FB55D9">
        <w:t>Section 9</w:t>
      </w:r>
      <w:r w:rsidR="008A0B84" w:rsidRPr="00FB55D9">
        <w:t>62N</w:t>
      </w:r>
    </w:p>
    <w:p w:rsidR="008A0B84" w:rsidRPr="00FB55D9" w:rsidRDefault="008A0B84" w:rsidP="00FB55D9">
      <w:pPr>
        <w:pStyle w:val="Item"/>
      </w:pPr>
      <w:r w:rsidRPr="00FB55D9">
        <w:t>Omit “for the arrangement” (first occurring), substitute “for an anniversary day”.</w:t>
      </w:r>
    </w:p>
    <w:p w:rsidR="008A0B84" w:rsidRPr="00FB55D9" w:rsidRDefault="00750118" w:rsidP="00FB55D9">
      <w:pPr>
        <w:pStyle w:val="ItemHead"/>
      </w:pPr>
      <w:r w:rsidRPr="00FB55D9">
        <w:t>23</w:t>
      </w:r>
      <w:r w:rsidR="008A0B84" w:rsidRPr="00FB55D9">
        <w:t xml:space="preserve">  </w:t>
      </w:r>
      <w:r w:rsidRPr="00FB55D9">
        <w:t>Section 9</w:t>
      </w:r>
      <w:r w:rsidR="008A0B84" w:rsidRPr="00FB55D9">
        <w:t>62N</w:t>
      </w:r>
    </w:p>
    <w:p w:rsidR="008A0B84" w:rsidRPr="00FB55D9" w:rsidRDefault="008A0B84" w:rsidP="00FB55D9">
      <w:pPr>
        <w:pStyle w:val="Item"/>
      </w:pPr>
      <w:r w:rsidRPr="00FB55D9">
        <w:t>Omit “after the end of the renewal period for the arrangement”, substitute “after the end of the renewal period for the anniversary day”.</w:t>
      </w:r>
    </w:p>
    <w:p w:rsidR="008A0B84" w:rsidRPr="00FB55D9" w:rsidRDefault="00750118" w:rsidP="00FB55D9">
      <w:pPr>
        <w:pStyle w:val="ItemHead"/>
      </w:pPr>
      <w:r w:rsidRPr="00FB55D9">
        <w:t>24</w:t>
      </w:r>
      <w:r w:rsidR="008A0B84" w:rsidRPr="00FB55D9">
        <w:t xml:space="preserve">  Subdivision C of Division 3 of Part 7.7A</w:t>
      </w:r>
    </w:p>
    <w:p w:rsidR="008A0B84" w:rsidRPr="00FB55D9" w:rsidRDefault="008A0B84" w:rsidP="00FB55D9">
      <w:pPr>
        <w:pStyle w:val="Item"/>
      </w:pPr>
      <w:r w:rsidRPr="00FB55D9">
        <w:t>Repeal the Subdivision, substitute:</w:t>
      </w:r>
    </w:p>
    <w:p w:rsidR="008A0B84" w:rsidRPr="00FB55D9" w:rsidRDefault="008A0B84" w:rsidP="00FB55D9">
      <w:pPr>
        <w:pStyle w:val="ActHead4"/>
      </w:pPr>
      <w:bookmarkStart w:id="11" w:name="_Toc65762026"/>
      <w:r w:rsidRPr="003C052D">
        <w:rPr>
          <w:rStyle w:val="CharSubdNo"/>
        </w:rPr>
        <w:t>Subdivision C</w:t>
      </w:r>
      <w:r w:rsidRPr="00FB55D9">
        <w:t>—</w:t>
      </w:r>
      <w:r w:rsidRPr="003C052D">
        <w:rPr>
          <w:rStyle w:val="CharSubdText"/>
        </w:rPr>
        <w:t>Consent required for deduction of ongoing fees from accounts</w:t>
      </w:r>
      <w:bookmarkEnd w:id="11"/>
    </w:p>
    <w:p w:rsidR="008A0B84" w:rsidRPr="00FB55D9" w:rsidRDefault="008A0B84" w:rsidP="00FB55D9">
      <w:pPr>
        <w:pStyle w:val="ActHead5"/>
      </w:pPr>
      <w:bookmarkStart w:id="12" w:name="_Toc65762027"/>
      <w:r w:rsidRPr="003C052D">
        <w:rPr>
          <w:rStyle w:val="CharSectno"/>
        </w:rPr>
        <w:t>962R</w:t>
      </w:r>
      <w:r w:rsidRPr="00FB55D9">
        <w:t xml:space="preserve">  Fee recipient must not deduct ongoing fees without consent</w:t>
      </w:r>
      <w:bookmarkEnd w:id="12"/>
    </w:p>
    <w:p w:rsidR="008A0B84" w:rsidRPr="00FB55D9" w:rsidRDefault="008A0B84" w:rsidP="00FB55D9">
      <w:pPr>
        <w:pStyle w:val="subsection"/>
      </w:pPr>
      <w:r w:rsidRPr="00FB55D9">
        <w:tab/>
        <w:t>(1)</w:t>
      </w:r>
      <w:r w:rsidRPr="00FB55D9">
        <w:tab/>
        <w:t>This section applies if:</w:t>
      </w:r>
    </w:p>
    <w:p w:rsidR="008A0B84" w:rsidRPr="00FB55D9" w:rsidRDefault="008A0B84" w:rsidP="00FB55D9">
      <w:pPr>
        <w:pStyle w:val="paragraph"/>
      </w:pPr>
      <w:r w:rsidRPr="00FB55D9">
        <w:tab/>
        <w:t>(a)</w:t>
      </w:r>
      <w:r w:rsidRPr="00FB55D9">
        <w:tab/>
        <w:t>an ongoing fee is, or will be, payable to a fee recipient under an ongoing fee arrangement; and</w:t>
      </w:r>
    </w:p>
    <w:p w:rsidR="008A0B84" w:rsidRPr="00FB55D9" w:rsidRDefault="008A0B84" w:rsidP="00FB55D9">
      <w:pPr>
        <w:pStyle w:val="paragraph"/>
      </w:pPr>
      <w:r w:rsidRPr="00FB55D9">
        <w:tab/>
        <w:t>(b)</w:t>
      </w:r>
      <w:r w:rsidRPr="00FB55D9">
        <w:tab/>
        <w:t xml:space="preserve">a person (the </w:t>
      </w:r>
      <w:r w:rsidRPr="00FB55D9">
        <w:rPr>
          <w:b/>
          <w:i/>
        </w:rPr>
        <w:t>account holder</w:t>
      </w:r>
      <w:r w:rsidRPr="00FB55D9">
        <w:t>) holds an account with the fee recipient; and</w:t>
      </w:r>
    </w:p>
    <w:p w:rsidR="008A0B84" w:rsidRPr="00FB55D9" w:rsidRDefault="008A0B84" w:rsidP="00FB55D9">
      <w:pPr>
        <w:pStyle w:val="paragraph"/>
      </w:pPr>
      <w:r w:rsidRPr="00FB55D9">
        <w:tab/>
        <w:t>(c)</w:t>
      </w:r>
      <w:r w:rsidRPr="00FB55D9">
        <w:tab/>
        <w:t>the account is not:</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an account linked to a credit card; or</w:t>
      </w:r>
    </w:p>
    <w:p w:rsidR="008A0B84" w:rsidRPr="00FB55D9" w:rsidRDefault="008A0B84" w:rsidP="00FB55D9">
      <w:pPr>
        <w:pStyle w:val="paragraphsub"/>
      </w:pPr>
      <w:r w:rsidRPr="00FB55D9">
        <w:tab/>
        <w:t>(ii)</w:t>
      </w:r>
      <w:r w:rsidRPr="00FB55D9">
        <w:tab/>
        <w:t>a basic deposit product; and</w:t>
      </w:r>
    </w:p>
    <w:p w:rsidR="008A0B84" w:rsidRPr="00FB55D9" w:rsidRDefault="008A0B84" w:rsidP="00FB55D9">
      <w:pPr>
        <w:pStyle w:val="paragraph"/>
      </w:pPr>
      <w:r w:rsidRPr="00FB55D9">
        <w:tab/>
        <w:t>(d)</w:t>
      </w:r>
      <w:r w:rsidRPr="00FB55D9">
        <w:tab/>
        <w:t>the fee recipient proposes to deduct the amount of the ongoing fee from the account holder’s account.</w:t>
      </w:r>
    </w:p>
    <w:p w:rsidR="008A0B84" w:rsidRPr="00FB55D9" w:rsidRDefault="008A0B84" w:rsidP="00FB55D9">
      <w:pPr>
        <w:pStyle w:val="subsection"/>
      </w:pPr>
      <w:r w:rsidRPr="00FB55D9">
        <w:tab/>
        <w:t>(2)</w:t>
      </w:r>
      <w:r w:rsidRPr="00FB55D9">
        <w:tab/>
        <w:t>Subject to subsection (3), the fee recipient must not deduct the amount of the ongoing fee from the account unless all of the following are satisfied:</w:t>
      </w:r>
    </w:p>
    <w:p w:rsidR="008A0B84" w:rsidRPr="00FB55D9" w:rsidRDefault="008A0B84" w:rsidP="00FB55D9">
      <w:pPr>
        <w:pStyle w:val="paragraph"/>
      </w:pPr>
      <w:r w:rsidRPr="00FB55D9">
        <w:lastRenderedPageBreak/>
        <w:tab/>
        <w:t>(a)</w:t>
      </w:r>
      <w:r w:rsidRPr="00FB55D9">
        <w:tab/>
        <w:t>the account holder has given the fee recipient written consent for the fee recipient to deduct amounts from the account in respect of ongoing fees under the ongoing fee arrangement;</w:t>
      </w:r>
    </w:p>
    <w:p w:rsidR="008A0B84" w:rsidRPr="00FB55D9" w:rsidRDefault="008A0B84" w:rsidP="00FB55D9">
      <w:pPr>
        <w:pStyle w:val="paragraph"/>
      </w:pPr>
      <w:r w:rsidRPr="00FB55D9">
        <w:tab/>
        <w:t>(b)</w:t>
      </w:r>
      <w:r w:rsidRPr="00FB55D9">
        <w:tab/>
        <w:t xml:space="preserve">if requirements that apply in relation to the consent are determined under </w:t>
      </w:r>
      <w:r w:rsidR="00750118" w:rsidRPr="00FB55D9">
        <w:t>section 9</w:t>
      </w:r>
      <w:r w:rsidRPr="00FB55D9">
        <w:t>62T—the consent complies with those requirements;</w:t>
      </w:r>
    </w:p>
    <w:p w:rsidR="008A0B84" w:rsidRPr="00FB55D9" w:rsidRDefault="008A0B84" w:rsidP="00FB55D9">
      <w:pPr>
        <w:pStyle w:val="paragraph"/>
      </w:pPr>
      <w:r w:rsidRPr="00FB55D9">
        <w:tab/>
        <w:t>(c)</w:t>
      </w:r>
      <w:r w:rsidRPr="00FB55D9">
        <w:tab/>
        <w:t>at the time of making the deduction:</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the consent has not been withdrawn under paragraph 962U(1)(a); and</w:t>
      </w:r>
    </w:p>
    <w:p w:rsidR="008A0B84" w:rsidRPr="00FB55D9" w:rsidRDefault="008A0B84" w:rsidP="00FB55D9">
      <w:pPr>
        <w:pStyle w:val="paragraphsub"/>
      </w:pPr>
      <w:r w:rsidRPr="00FB55D9">
        <w:tab/>
        <w:t>(ii)</w:t>
      </w:r>
      <w:r w:rsidRPr="00FB55D9">
        <w:tab/>
        <w:t>if the consent has been varied under paragraph 962U(1)(b)—the consent as varied still allows for the deduction to be made; and</w:t>
      </w:r>
    </w:p>
    <w:p w:rsidR="008A0B84" w:rsidRPr="00FB55D9" w:rsidRDefault="008A0B84" w:rsidP="00FB55D9">
      <w:pPr>
        <w:pStyle w:val="paragraphsub"/>
      </w:pPr>
      <w:r w:rsidRPr="00FB55D9">
        <w:tab/>
        <w:t>(iii)</w:t>
      </w:r>
      <w:r w:rsidRPr="00FB55D9">
        <w:tab/>
        <w:t xml:space="preserve">the consent has not ceased to have effect under </w:t>
      </w:r>
      <w:r w:rsidR="00750118" w:rsidRPr="00FB55D9">
        <w:t>section 9</w:t>
      </w:r>
      <w:r w:rsidRPr="00FB55D9">
        <w:t>62V.</w:t>
      </w:r>
    </w:p>
    <w:p w:rsidR="008A0B84" w:rsidRPr="00FB55D9" w:rsidRDefault="008A0B84" w:rsidP="00FB55D9">
      <w:pPr>
        <w:pStyle w:val="subsection"/>
      </w:pPr>
      <w:r w:rsidRPr="00FB55D9">
        <w:tab/>
        <w:t>(3)</w:t>
      </w:r>
      <w:r w:rsidRPr="00FB55D9">
        <w:tab/>
        <w:t>If the account holder holds the account jointly with one or more other persons, the fee recipient must not deduct the amount of the ongoing fee from the account unless all of the paragraphs in subsection (2) are satisfied in relation to the account holder as well as each of those other persons as account holders.</w:t>
      </w:r>
    </w:p>
    <w:p w:rsidR="008A0B84" w:rsidRPr="00FB55D9" w:rsidRDefault="008A0B84" w:rsidP="00FB55D9">
      <w:pPr>
        <w:pStyle w:val="subsection"/>
      </w:pPr>
      <w:r w:rsidRPr="00FB55D9">
        <w:tab/>
        <w:t>(4)</w:t>
      </w:r>
      <w:r w:rsidRPr="00FB55D9">
        <w:tab/>
        <w:t>A person contravenes this subsection if the person contravenes subsection (2) or (3).</w:t>
      </w:r>
    </w:p>
    <w:p w:rsidR="008A0B84" w:rsidRPr="00FB55D9" w:rsidRDefault="008A0B84" w:rsidP="00FB55D9">
      <w:pPr>
        <w:pStyle w:val="notetext"/>
      </w:pPr>
      <w:r w:rsidRPr="00FB55D9">
        <w:t>Note:</w:t>
      </w:r>
      <w:r w:rsidRPr="00FB55D9">
        <w:tab/>
        <w:t>This subsection is a civil penalty provision (see section 1317E).</w:t>
      </w:r>
    </w:p>
    <w:p w:rsidR="008A0B84" w:rsidRPr="00FB55D9" w:rsidRDefault="008A0B84" w:rsidP="00FB55D9">
      <w:pPr>
        <w:pStyle w:val="ActHead5"/>
      </w:pPr>
      <w:bookmarkStart w:id="13" w:name="_Toc65762028"/>
      <w:r w:rsidRPr="003C052D">
        <w:rPr>
          <w:rStyle w:val="CharSectno"/>
        </w:rPr>
        <w:t>962S</w:t>
      </w:r>
      <w:r w:rsidRPr="00FB55D9">
        <w:t xml:space="preserve">  Fee recipient must not arrange for deduction of ongoing fees without consent or accept such deductions</w:t>
      </w:r>
      <w:bookmarkEnd w:id="13"/>
    </w:p>
    <w:p w:rsidR="008A0B84" w:rsidRPr="00FB55D9" w:rsidRDefault="008A0B84" w:rsidP="00FB55D9">
      <w:pPr>
        <w:pStyle w:val="subsection"/>
      </w:pPr>
      <w:r w:rsidRPr="00FB55D9">
        <w:tab/>
        <w:t>(1)</w:t>
      </w:r>
      <w:r w:rsidRPr="00FB55D9">
        <w:tab/>
        <w:t>This section applies if:</w:t>
      </w:r>
    </w:p>
    <w:p w:rsidR="008A0B84" w:rsidRPr="00FB55D9" w:rsidRDefault="008A0B84" w:rsidP="00FB55D9">
      <w:pPr>
        <w:pStyle w:val="paragraph"/>
      </w:pPr>
      <w:r w:rsidRPr="00FB55D9">
        <w:tab/>
        <w:t>(a)</w:t>
      </w:r>
      <w:r w:rsidRPr="00FB55D9">
        <w:tab/>
        <w:t>an ongoing fee is, or will be, payable to a fee recipient under an ongoing fee arrangement; and</w:t>
      </w:r>
    </w:p>
    <w:p w:rsidR="008A0B84" w:rsidRPr="00FB55D9" w:rsidRDefault="008A0B84" w:rsidP="00FB55D9">
      <w:pPr>
        <w:pStyle w:val="paragraph"/>
      </w:pPr>
      <w:r w:rsidRPr="00FB55D9">
        <w:tab/>
        <w:t>(b)</w:t>
      </w:r>
      <w:r w:rsidRPr="00FB55D9">
        <w:tab/>
        <w:t xml:space="preserve">a person (the </w:t>
      </w:r>
      <w:r w:rsidRPr="00FB55D9">
        <w:rPr>
          <w:b/>
          <w:i/>
        </w:rPr>
        <w:t>account holder</w:t>
      </w:r>
      <w:r w:rsidRPr="00FB55D9">
        <w:t xml:space="preserve">) holds an account with another person (the </w:t>
      </w:r>
      <w:r w:rsidRPr="00FB55D9">
        <w:rPr>
          <w:b/>
          <w:i/>
        </w:rPr>
        <w:t>account provider</w:t>
      </w:r>
      <w:r w:rsidRPr="00FB55D9">
        <w:t>) who is not the fee recipient; and</w:t>
      </w:r>
    </w:p>
    <w:p w:rsidR="008A0B84" w:rsidRPr="00FB55D9" w:rsidRDefault="008A0B84" w:rsidP="00FB55D9">
      <w:pPr>
        <w:pStyle w:val="paragraph"/>
      </w:pPr>
      <w:r w:rsidRPr="00FB55D9">
        <w:tab/>
        <w:t>(c)</w:t>
      </w:r>
      <w:r w:rsidRPr="00FB55D9">
        <w:tab/>
        <w:t>the account is not:</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an account linked to a credit card; or</w:t>
      </w:r>
    </w:p>
    <w:p w:rsidR="008A0B84" w:rsidRPr="00FB55D9" w:rsidRDefault="008A0B84" w:rsidP="00FB55D9">
      <w:pPr>
        <w:pStyle w:val="paragraphsub"/>
      </w:pPr>
      <w:r w:rsidRPr="00FB55D9">
        <w:tab/>
        <w:t>(ii)</w:t>
      </w:r>
      <w:r w:rsidRPr="00FB55D9">
        <w:tab/>
        <w:t>a basic deposit product; and</w:t>
      </w:r>
    </w:p>
    <w:p w:rsidR="008A0B84" w:rsidRPr="00FB55D9" w:rsidRDefault="008A0B84" w:rsidP="00FB55D9">
      <w:pPr>
        <w:pStyle w:val="paragraph"/>
      </w:pPr>
      <w:r w:rsidRPr="00FB55D9">
        <w:lastRenderedPageBreak/>
        <w:tab/>
        <w:t>(d)</w:t>
      </w:r>
      <w:r w:rsidRPr="00FB55D9">
        <w:tab/>
        <w:t>the fee recipient proposes to arrange with the account provider for the amount of the ongoing fee to be deducted from the account holder’s account.</w:t>
      </w:r>
    </w:p>
    <w:p w:rsidR="008A0B84" w:rsidRPr="00FB55D9" w:rsidRDefault="008A0B84" w:rsidP="00FB55D9">
      <w:pPr>
        <w:pStyle w:val="subsection"/>
      </w:pPr>
      <w:r w:rsidRPr="00FB55D9">
        <w:tab/>
        <w:t>(2)</w:t>
      </w:r>
      <w:r w:rsidRPr="00FB55D9">
        <w:tab/>
        <w:t>To avoid doubt, the fee recipient proposes to arrange with the account provider for the amount of the ongoing fee to be deducted from the account holder’s account:</w:t>
      </w:r>
    </w:p>
    <w:p w:rsidR="008A0B84" w:rsidRPr="00FB55D9" w:rsidRDefault="008A0B84" w:rsidP="00FB55D9">
      <w:pPr>
        <w:pStyle w:val="paragraph"/>
      </w:pPr>
      <w:r w:rsidRPr="00FB55D9">
        <w:tab/>
        <w:t>(a)</w:t>
      </w:r>
      <w:r w:rsidRPr="00FB55D9">
        <w:tab/>
        <w:t>if the fee recipient is a financial services licensee—by doing so directly or through another entity such as a representative of the financial services licensee; or</w:t>
      </w:r>
    </w:p>
    <w:p w:rsidR="008A0B84" w:rsidRPr="00FB55D9" w:rsidRDefault="008A0B84" w:rsidP="00FB55D9">
      <w:pPr>
        <w:pStyle w:val="paragraph"/>
      </w:pPr>
      <w:r w:rsidRPr="00FB55D9">
        <w:tab/>
        <w:t>(b)</w:t>
      </w:r>
      <w:r w:rsidRPr="00FB55D9">
        <w:tab/>
        <w:t>if the fee recipient is a representative of a financial services licensee—by doing so directly or through another entity such as the financial services licensee.</w:t>
      </w:r>
    </w:p>
    <w:p w:rsidR="008A0B84" w:rsidRPr="00FB55D9" w:rsidRDefault="008A0B84" w:rsidP="00FB55D9">
      <w:pPr>
        <w:pStyle w:val="SubsectionHead"/>
      </w:pPr>
      <w:r w:rsidRPr="00FB55D9">
        <w:t>Fee recipient must not arrange deductions without consent</w:t>
      </w:r>
    </w:p>
    <w:p w:rsidR="008A0B84" w:rsidRPr="00FB55D9" w:rsidRDefault="008A0B84" w:rsidP="00FB55D9">
      <w:pPr>
        <w:pStyle w:val="subsection"/>
      </w:pPr>
      <w:r w:rsidRPr="00FB55D9">
        <w:tab/>
        <w:t>(3)</w:t>
      </w:r>
      <w:r w:rsidRPr="00FB55D9">
        <w:tab/>
        <w:t>Subject to subsection (4), the fee recipient must not arrange for the account provider to deduct the amount from the account unless all of the following are satisfied:</w:t>
      </w:r>
    </w:p>
    <w:p w:rsidR="008A0B84" w:rsidRPr="00FB55D9" w:rsidRDefault="008A0B84" w:rsidP="00FB55D9">
      <w:pPr>
        <w:pStyle w:val="paragraph"/>
      </w:pPr>
      <w:r w:rsidRPr="00FB55D9">
        <w:tab/>
        <w:t>(a)</w:t>
      </w:r>
      <w:r w:rsidRPr="00FB55D9">
        <w:tab/>
        <w:t>the account holder has given the fee recipient written consent for the fee recipient to arrange for amounts to be deducted from the account in respect of ongoing fees under the ongoing fee arrangement;</w:t>
      </w:r>
    </w:p>
    <w:p w:rsidR="008A0B84" w:rsidRPr="00FB55D9" w:rsidRDefault="008A0B84" w:rsidP="00FB55D9">
      <w:pPr>
        <w:pStyle w:val="paragraph"/>
      </w:pPr>
      <w:r w:rsidRPr="00FB55D9">
        <w:tab/>
        <w:t>(b)</w:t>
      </w:r>
      <w:r w:rsidRPr="00FB55D9">
        <w:tab/>
        <w:t xml:space="preserve">if requirements that apply in relation to the consent are determined under </w:t>
      </w:r>
      <w:r w:rsidR="00750118" w:rsidRPr="00FB55D9">
        <w:t>section 9</w:t>
      </w:r>
      <w:r w:rsidRPr="00FB55D9">
        <w:t>62T—the consent complies with those requirements;</w:t>
      </w:r>
    </w:p>
    <w:p w:rsidR="008A0B84" w:rsidRPr="00FB55D9" w:rsidRDefault="008A0B84" w:rsidP="00FB55D9">
      <w:pPr>
        <w:pStyle w:val="paragraph"/>
      </w:pPr>
      <w:r w:rsidRPr="00FB55D9">
        <w:tab/>
        <w:t>(c)</w:t>
      </w:r>
      <w:r w:rsidRPr="00FB55D9">
        <w:tab/>
        <w:t>the fee recipient has given a copy of the account holder’s consent to the account provider;</w:t>
      </w:r>
    </w:p>
    <w:p w:rsidR="008A0B84" w:rsidRPr="00FB55D9" w:rsidRDefault="008A0B84" w:rsidP="00FB55D9">
      <w:pPr>
        <w:pStyle w:val="paragraph"/>
      </w:pPr>
      <w:r w:rsidRPr="00FB55D9">
        <w:tab/>
        <w:t>(d)</w:t>
      </w:r>
      <w:r w:rsidRPr="00FB55D9">
        <w:tab/>
        <w:t>at the time of giving the copy of the consent to the account provider:</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the consent has not been withdrawn under paragraph 962U(1)(a); and</w:t>
      </w:r>
    </w:p>
    <w:p w:rsidR="008A0B84" w:rsidRPr="00FB55D9" w:rsidRDefault="008A0B84" w:rsidP="00FB55D9">
      <w:pPr>
        <w:pStyle w:val="paragraphsub"/>
      </w:pPr>
      <w:r w:rsidRPr="00FB55D9">
        <w:tab/>
        <w:t>(ii)</w:t>
      </w:r>
      <w:r w:rsidRPr="00FB55D9">
        <w:tab/>
        <w:t>if the consent has been varied under paragraph 962U(1)(b)—the consent as varied still allows for the deduction to be made; and</w:t>
      </w:r>
    </w:p>
    <w:p w:rsidR="008A0B84" w:rsidRPr="00FB55D9" w:rsidRDefault="008A0B84" w:rsidP="00FB55D9">
      <w:pPr>
        <w:pStyle w:val="paragraphsub"/>
      </w:pPr>
      <w:r w:rsidRPr="00FB55D9">
        <w:tab/>
        <w:t>(iii)</w:t>
      </w:r>
      <w:r w:rsidRPr="00FB55D9">
        <w:tab/>
        <w:t xml:space="preserve">the consent has not ceased to have effect under </w:t>
      </w:r>
      <w:r w:rsidR="00750118" w:rsidRPr="00FB55D9">
        <w:t>section 9</w:t>
      </w:r>
      <w:r w:rsidRPr="00FB55D9">
        <w:t>62V.</w:t>
      </w:r>
    </w:p>
    <w:p w:rsidR="008A0B84" w:rsidRPr="00FB55D9" w:rsidRDefault="008A0B84" w:rsidP="00FB55D9">
      <w:pPr>
        <w:pStyle w:val="subsection"/>
      </w:pPr>
      <w:r w:rsidRPr="00FB55D9">
        <w:tab/>
        <w:t>(4)</w:t>
      </w:r>
      <w:r w:rsidRPr="00FB55D9">
        <w:tab/>
        <w:t xml:space="preserve">If the account holder holds the account jointly with one or more other persons, the fee recipient must not arrange for deductions </w:t>
      </w:r>
      <w:r w:rsidRPr="00FB55D9">
        <w:lastRenderedPageBreak/>
        <w:t>from the account unless all of the paragraphs in subsection (3) are satisfied in relation to the account holder as well as each of those other persons as account holders.</w:t>
      </w:r>
    </w:p>
    <w:p w:rsidR="008A0B84" w:rsidRPr="00FB55D9" w:rsidRDefault="008A0B84" w:rsidP="00FB55D9">
      <w:pPr>
        <w:pStyle w:val="subsection"/>
      </w:pPr>
      <w:r w:rsidRPr="00FB55D9">
        <w:tab/>
        <w:t>(5)</w:t>
      </w:r>
      <w:r w:rsidRPr="00FB55D9">
        <w:tab/>
        <w:t>A person contravenes this subsection if the person contravenes subsection (3) or (4).</w:t>
      </w:r>
    </w:p>
    <w:p w:rsidR="008A0B84" w:rsidRPr="00FB55D9" w:rsidRDefault="008A0B84" w:rsidP="00FB55D9">
      <w:pPr>
        <w:pStyle w:val="notetext"/>
      </w:pPr>
      <w:r w:rsidRPr="00FB55D9">
        <w:t>Note:</w:t>
      </w:r>
      <w:r w:rsidRPr="00FB55D9">
        <w:tab/>
        <w:t>This subsection is a civil penalty provision (see section 1317E).</w:t>
      </w:r>
    </w:p>
    <w:p w:rsidR="008A0B84" w:rsidRPr="00FB55D9" w:rsidRDefault="008A0B84" w:rsidP="00FB55D9">
      <w:pPr>
        <w:pStyle w:val="SubsectionHead"/>
      </w:pPr>
      <w:r w:rsidRPr="00FB55D9">
        <w:t>Fee recipient must not accept deductions made without consent</w:t>
      </w:r>
    </w:p>
    <w:p w:rsidR="008A0B84" w:rsidRPr="00FB55D9" w:rsidRDefault="008A0B84" w:rsidP="00FB55D9">
      <w:pPr>
        <w:pStyle w:val="subsection"/>
      </w:pPr>
      <w:r w:rsidRPr="00FB55D9">
        <w:tab/>
        <w:t>(6)</w:t>
      </w:r>
      <w:r w:rsidRPr="00FB55D9">
        <w:tab/>
        <w:t>Subject to subsection (7), if the fee recipient has arranged with the account provider, with the account holder’s consent, for an amount to be deducted from the account, the fee recipient must not accept payment of the amount unless at the time the payment is made to the fee recipient all of the following are satisfied:</w:t>
      </w:r>
    </w:p>
    <w:p w:rsidR="008A0B84" w:rsidRPr="00FB55D9" w:rsidRDefault="008A0B84" w:rsidP="00FB55D9">
      <w:pPr>
        <w:pStyle w:val="paragraph"/>
      </w:pPr>
      <w:r w:rsidRPr="00FB55D9">
        <w:tab/>
        <w:t>(a)</w:t>
      </w:r>
      <w:r w:rsidRPr="00FB55D9">
        <w:tab/>
        <w:t>the consent has not been withdrawn under paragraph 962U(1)(a);</w:t>
      </w:r>
    </w:p>
    <w:p w:rsidR="008A0B84" w:rsidRPr="00FB55D9" w:rsidRDefault="008A0B84" w:rsidP="00FB55D9">
      <w:pPr>
        <w:pStyle w:val="paragraph"/>
      </w:pPr>
      <w:r w:rsidRPr="00FB55D9">
        <w:tab/>
        <w:t>(b)</w:t>
      </w:r>
      <w:r w:rsidRPr="00FB55D9">
        <w:tab/>
        <w:t>if the consent has been varied under paragraph 962U(1)(b)—the consent as varied still allows for the deduction to be made;</w:t>
      </w:r>
    </w:p>
    <w:p w:rsidR="008A0B84" w:rsidRPr="00FB55D9" w:rsidRDefault="008A0B84" w:rsidP="00FB55D9">
      <w:pPr>
        <w:pStyle w:val="paragraph"/>
      </w:pPr>
      <w:r w:rsidRPr="00FB55D9">
        <w:tab/>
        <w:t>(c)</w:t>
      </w:r>
      <w:r w:rsidRPr="00FB55D9">
        <w:tab/>
        <w:t xml:space="preserve">the consent has not ceased to have effect under </w:t>
      </w:r>
      <w:r w:rsidR="00750118" w:rsidRPr="00FB55D9">
        <w:t>section 9</w:t>
      </w:r>
      <w:r w:rsidRPr="00FB55D9">
        <w:t>62V.</w:t>
      </w:r>
    </w:p>
    <w:p w:rsidR="008A0B84" w:rsidRPr="00FB55D9" w:rsidRDefault="008A0B84" w:rsidP="00FB55D9">
      <w:pPr>
        <w:pStyle w:val="subsection"/>
      </w:pPr>
      <w:r w:rsidRPr="00FB55D9">
        <w:tab/>
        <w:t>(7)</w:t>
      </w:r>
      <w:r w:rsidRPr="00FB55D9">
        <w:tab/>
        <w:t>If the account holder holds the account jointly with one or more other persons, the fee recipient must not accept the payment unless all of the paragraphs in subsection (6) are satisfied in relation to the account holder as well as each of those other persons as account holders.</w:t>
      </w:r>
    </w:p>
    <w:p w:rsidR="008A0B84" w:rsidRPr="00FB55D9" w:rsidRDefault="008A0B84" w:rsidP="00FB55D9">
      <w:pPr>
        <w:pStyle w:val="subsection"/>
      </w:pPr>
      <w:r w:rsidRPr="00FB55D9">
        <w:tab/>
        <w:t>(8)</w:t>
      </w:r>
      <w:r w:rsidRPr="00FB55D9">
        <w:tab/>
        <w:t>A person contravenes this subsection if the person contravenes subsection (6) or (7).</w:t>
      </w:r>
    </w:p>
    <w:p w:rsidR="008A0B84" w:rsidRPr="00FB55D9" w:rsidRDefault="008A0B84" w:rsidP="00FB55D9">
      <w:pPr>
        <w:pStyle w:val="notetext"/>
      </w:pPr>
      <w:r w:rsidRPr="00FB55D9">
        <w:t>Note:</w:t>
      </w:r>
      <w:r w:rsidRPr="00FB55D9">
        <w:tab/>
        <w:t>This subsection is a civil penalty provision (see section 1317E).</w:t>
      </w:r>
    </w:p>
    <w:p w:rsidR="008A0B84" w:rsidRPr="00FB55D9" w:rsidRDefault="008A0B84" w:rsidP="00FB55D9">
      <w:pPr>
        <w:pStyle w:val="subsection"/>
      </w:pPr>
      <w:r w:rsidRPr="00FB55D9">
        <w:tab/>
        <w:t>(9)</w:t>
      </w:r>
      <w:r w:rsidRPr="00FB55D9">
        <w:tab/>
        <w:t>However, subsection (8) does not apply if an amount accepted in contravention of subsection (6) or (7) is repaid into the account holder’s account within 10 business days of the day on which the payment was accepted.</w:t>
      </w:r>
    </w:p>
    <w:p w:rsidR="008A0B84" w:rsidRPr="00FB55D9" w:rsidRDefault="008A0B84" w:rsidP="00FB55D9">
      <w:pPr>
        <w:pStyle w:val="ActHead5"/>
      </w:pPr>
      <w:bookmarkStart w:id="14" w:name="_Toc65762029"/>
      <w:r w:rsidRPr="003C052D">
        <w:rPr>
          <w:rStyle w:val="CharSectno"/>
        </w:rPr>
        <w:lastRenderedPageBreak/>
        <w:t>962T</w:t>
      </w:r>
      <w:r w:rsidRPr="00FB55D9">
        <w:t xml:space="preserve">  Requirements relating to consent</w:t>
      </w:r>
      <w:bookmarkEnd w:id="14"/>
    </w:p>
    <w:p w:rsidR="008A0B84" w:rsidRPr="00FB55D9" w:rsidRDefault="008A0B84" w:rsidP="00FB55D9">
      <w:pPr>
        <w:pStyle w:val="subsection"/>
      </w:pPr>
      <w:r w:rsidRPr="00FB55D9">
        <w:tab/>
        <w:t>(1)</w:t>
      </w:r>
      <w:r w:rsidRPr="00FB55D9">
        <w:tab/>
        <w:t>ASIC may, by legislative instrument, determine requirements for the giving of consent to deductions from an account for the purposes of this Subdivision.</w:t>
      </w:r>
    </w:p>
    <w:p w:rsidR="008A0B84" w:rsidRPr="00FB55D9" w:rsidRDefault="008A0B84" w:rsidP="00FB55D9">
      <w:pPr>
        <w:pStyle w:val="subsection"/>
      </w:pPr>
      <w:r w:rsidRPr="00FB55D9">
        <w:tab/>
        <w:t>(2)</w:t>
      </w:r>
      <w:r w:rsidRPr="00FB55D9">
        <w:tab/>
        <w:t>Without limiting subsection (1), the instrument may require that:</w:t>
      </w:r>
    </w:p>
    <w:p w:rsidR="008A0B84" w:rsidRPr="00FB55D9" w:rsidRDefault="008A0B84" w:rsidP="00FB55D9">
      <w:pPr>
        <w:pStyle w:val="paragraph"/>
      </w:pPr>
      <w:r w:rsidRPr="00FB55D9">
        <w:tab/>
        <w:t>(a)</w:t>
      </w:r>
      <w:r w:rsidRPr="00FB55D9">
        <w:tab/>
        <w:t>a specified form, or specified form of words, must be used for giving consent; or</w:t>
      </w:r>
    </w:p>
    <w:p w:rsidR="008A0B84" w:rsidRPr="00FB55D9" w:rsidRDefault="008A0B84" w:rsidP="00FB55D9">
      <w:pPr>
        <w:pStyle w:val="paragraph"/>
      </w:pPr>
      <w:r w:rsidRPr="00FB55D9">
        <w:tab/>
        <w:t>(b)</w:t>
      </w:r>
      <w:r w:rsidRPr="00FB55D9">
        <w:tab/>
        <w:t>a consent must include specified information.</w:t>
      </w:r>
    </w:p>
    <w:p w:rsidR="008A0B84" w:rsidRPr="00FB55D9" w:rsidRDefault="008A0B84" w:rsidP="00FB55D9">
      <w:pPr>
        <w:pStyle w:val="ActHead5"/>
      </w:pPr>
      <w:bookmarkStart w:id="15" w:name="_Toc65762030"/>
      <w:r w:rsidRPr="003C052D">
        <w:rPr>
          <w:rStyle w:val="CharSectno"/>
        </w:rPr>
        <w:t>962U</w:t>
      </w:r>
      <w:r w:rsidRPr="00FB55D9">
        <w:t xml:space="preserve">  Variation or withdrawal of consent</w:t>
      </w:r>
      <w:bookmarkEnd w:id="15"/>
    </w:p>
    <w:p w:rsidR="008A0B84" w:rsidRPr="00FB55D9" w:rsidRDefault="008A0B84" w:rsidP="00FB55D9">
      <w:pPr>
        <w:pStyle w:val="subsection"/>
      </w:pPr>
      <w:r w:rsidRPr="00FB55D9">
        <w:tab/>
        <w:t>(1)</w:t>
      </w:r>
      <w:r w:rsidRPr="00FB55D9">
        <w:tab/>
        <w:t xml:space="preserve">If a person (the </w:t>
      </w:r>
      <w:r w:rsidRPr="00FB55D9">
        <w:rPr>
          <w:b/>
          <w:i/>
        </w:rPr>
        <w:t>account holder</w:t>
      </w:r>
      <w:r w:rsidRPr="00FB55D9">
        <w:t xml:space="preserve">) who holds an account gives consent to a fee recipient under </w:t>
      </w:r>
      <w:r w:rsidR="00750118" w:rsidRPr="00FB55D9">
        <w:t>section 9</w:t>
      </w:r>
      <w:r w:rsidRPr="00FB55D9">
        <w:t>62R or 962S for the purposes of this Subdivision, the account holder may:</w:t>
      </w:r>
    </w:p>
    <w:p w:rsidR="008A0B84" w:rsidRPr="00FB55D9" w:rsidRDefault="008A0B84" w:rsidP="00FB55D9">
      <w:pPr>
        <w:pStyle w:val="paragraph"/>
      </w:pPr>
      <w:r w:rsidRPr="00FB55D9">
        <w:tab/>
        <w:t>(a)</w:t>
      </w:r>
      <w:r w:rsidRPr="00FB55D9">
        <w:tab/>
        <w:t>withdraw the consent at any time, by notice in writing to the fee recipient; and</w:t>
      </w:r>
    </w:p>
    <w:p w:rsidR="008A0B84" w:rsidRPr="00FB55D9" w:rsidRDefault="008A0B84" w:rsidP="00FB55D9">
      <w:pPr>
        <w:pStyle w:val="paragraph"/>
      </w:pPr>
      <w:r w:rsidRPr="00FB55D9">
        <w:tab/>
        <w:t>(b)</w:t>
      </w:r>
      <w:r w:rsidRPr="00FB55D9">
        <w:tab/>
        <w:t>vary the consent at any time, by notice in writing to the fee recipient.</w:t>
      </w:r>
    </w:p>
    <w:p w:rsidR="008A0B84" w:rsidRPr="00FB55D9" w:rsidRDefault="008A0B84" w:rsidP="00FB55D9">
      <w:pPr>
        <w:pStyle w:val="subsection"/>
      </w:pPr>
      <w:r w:rsidRPr="00FB55D9">
        <w:tab/>
        <w:t>(2)</w:t>
      </w:r>
      <w:r w:rsidRPr="00FB55D9">
        <w:tab/>
        <w:t>If the fee recipient receives a notice from the account holder under subsection (1), the fee recipient must within 10 business days of receipt:</w:t>
      </w:r>
    </w:p>
    <w:p w:rsidR="008A0B84" w:rsidRPr="00FB55D9" w:rsidRDefault="008A0B84" w:rsidP="00FB55D9">
      <w:pPr>
        <w:pStyle w:val="paragraph"/>
      </w:pPr>
      <w:r w:rsidRPr="00FB55D9">
        <w:tab/>
        <w:t>(a)</w:t>
      </w:r>
      <w:r w:rsidRPr="00FB55D9">
        <w:tab/>
        <w:t>give written confirmation to the account holder that the notice was received; and</w:t>
      </w:r>
    </w:p>
    <w:p w:rsidR="008A0B84" w:rsidRPr="00FB55D9" w:rsidRDefault="008A0B84" w:rsidP="00FB55D9">
      <w:pPr>
        <w:pStyle w:val="paragraph"/>
      </w:pPr>
      <w:r w:rsidRPr="00FB55D9">
        <w:tab/>
        <w:t>(b)</w:t>
      </w:r>
      <w:r w:rsidRPr="00FB55D9">
        <w:tab/>
        <w:t>if the fee recipient gave a copy of the account holder’s consent to an account provider under paragraph 962S(3)(c)—give the account provider a copy of the notice.</w:t>
      </w:r>
    </w:p>
    <w:p w:rsidR="008A0B84" w:rsidRPr="00FB55D9" w:rsidRDefault="008A0B84" w:rsidP="00FB55D9">
      <w:pPr>
        <w:pStyle w:val="subsection"/>
      </w:pPr>
      <w:r w:rsidRPr="00FB55D9">
        <w:tab/>
        <w:t>(3)</w:t>
      </w:r>
      <w:r w:rsidRPr="00FB55D9">
        <w:tab/>
        <w:t>A person contravenes this subsection if the person contravenes subsection (2).</w:t>
      </w:r>
    </w:p>
    <w:p w:rsidR="008A0B84" w:rsidRPr="00FB55D9" w:rsidRDefault="008A0B84" w:rsidP="00FB55D9">
      <w:pPr>
        <w:pStyle w:val="notetext"/>
      </w:pPr>
      <w:r w:rsidRPr="00FB55D9">
        <w:t>Note:</w:t>
      </w:r>
      <w:r w:rsidRPr="00FB55D9">
        <w:tab/>
        <w:t>This subsection is a civil penalty provision (see section 1317E).</w:t>
      </w:r>
    </w:p>
    <w:p w:rsidR="008A0B84" w:rsidRPr="00FB55D9" w:rsidRDefault="008A0B84" w:rsidP="00FB55D9">
      <w:pPr>
        <w:pStyle w:val="ActHead5"/>
      </w:pPr>
      <w:bookmarkStart w:id="16" w:name="_Toc65762031"/>
      <w:r w:rsidRPr="003C052D">
        <w:rPr>
          <w:rStyle w:val="CharSectno"/>
        </w:rPr>
        <w:t>962V</w:t>
      </w:r>
      <w:r w:rsidRPr="00FB55D9">
        <w:t xml:space="preserve">  When consent ceases to have effect</w:t>
      </w:r>
      <w:bookmarkEnd w:id="16"/>
    </w:p>
    <w:p w:rsidR="008A0B84" w:rsidRPr="00FB55D9" w:rsidRDefault="008A0B84" w:rsidP="00FB55D9">
      <w:pPr>
        <w:pStyle w:val="subsection"/>
      </w:pPr>
      <w:r w:rsidRPr="00FB55D9">
        <w:tab/>
        <w:t>(1)</w:t>
      </w:r>
      <w:r w:rsidRPr="00FB55D9">
        <w:tab/>
        <w:t>A consent given in relation to an ongoing fee arrangement for the purposes of this Subdivision ceases to have effect:</w:t>
      </w:r>
    </w:p>
    <w:p w:rsidR="008A0B84" w:rsidRPr="00FB55D9" w:rsidRDefault="008A0B84" w:rsidP="00FB55D9">
      <w:pPr>
        <w:pStyle w:val="paragraph"/>
      </w:pPr>
      <w:r w:rsidRPr="00FB55D9">
        <w:lastRenderedPageBreak/>
        <w:tab/>
        <w:t>(a)</w:t>
      </w:r>
      <w:r w:rsidRPr="00FB55D9">
        <w:tab/>
        <w:t xml:space="preserve">unless </w:t>
      </w:r>
      <w:r w:rsidR="00750118" w:rsidRPr="00FB55D9">
        <w:t>paragraph (</w:t>
      </w:r>
      <w:r w:rsidRPr="00FB55D9">
        <w:t>b) or (c) applies—at the end of the period of 150 days after the anniversary day for the ongoing fee arrangement; or</w:t>
      </w:r>
    </w:p>
    <w:p w:rsidR="008A0B84" w:rsidRPr="00FB55D9" w:rsidRDefault="008A0B84" w:rsidP="00FB55D9">
      <w:pPr>
        <w:pStyle w:val="paragraph"/>
      </w:pPr>
      <w:r w:rsidRPr="00FB55D9">
        <w:tab/>
        <w:t>(b)</w:t>
      </w:r>
      <w:r w:rsidRPr="00FB55D9">
        <w:tab/>
        <w:t>if the ongoing fee arrangement is terminated—at the time the ongoing fee arrangement terminates; or</w:t>
      </w:r>
    </w:p>
    <w:p w:rsidR="008A0B84" w:rsidRPr="00FB55D9" w:rsidRDefault="008A0B84" w:rsidP="00FB55D9">
      <w:pPr>
        <w:pStyle w:val="paragraph"/>
      </w:pPr>
      <w:r w:rsidRPr="00FB55D9">
        <w:tab/>
        <w:t>(c)</w:t>
      </w:r>
      <w:r w:rsidRPr="00FB55D9">
        <w:tab/>
        <w:t>if a new consent is given in relation to the ongoing fee arrangement for the purposes of this Subdivision—at the time that new consent is given.</w:t>
      </w:r>
    </w:p>
    <w:p w:rsidR="008A0B84" w:rsidRPr="00FB55D9" w:rsidRDefault="008A0B84" w:rsidP="00FB55D9">
      <w:pPr>
        <w:pStyle w:val="subsection"/>
      </w:pPr>
      <w:r w:rsidRPr="00FB55D9">
        <w:tab/>
        <w:t>(2)</w:t>
      </w:r>
      <w:r w:rsidRPr="00FB55D9">
        <w:tab/>
        <w:t>If:</w:t>
      </w:r>
    </w:p>
    <w:p w:rsidR="008A0B84" w:rsidRPr="00FB55D9" w:rsidRDefault="008A0B84" w:rsidP="00FB55D9">
      <w:pPr>
        <w:pStyle w:val="paragraph"/>
      </w:pPr>
      <w:r w:rsidRPr="00FB55D9">
        <w:tab/>
        <w:t>(a)</w:t>
      </w:r>
      <w:r w:rsidRPr="00FB55D9">
        <w:tab/>
        <w:t>a consent given in relation to an ongoing fee arrangement for the purposes of this Subdivision ceases to have effect under subsection (1); and</w:t>
      </w:r>
    </w:p>
    <w:p w:rsidR="008A0B84" w:rsidRPr="00FB55D9" w:rsidRDefault="008A0B84" w:rsidP="00FB55D9">
      <w:pPr>
        <w:pStyle w:val="paragraph"/>
      </w:pPr>
      <w:r w:rsidRPr="00FB55D9">
        <w:tab/>
        <w:t>(b)</w:t>
      </w:r>
      <w:r w:rsidRPr="00FB55D9">
        <w:tab/>
        <w:t>a fee recipient gave a copy of the consent to an account provider under paragraph 962S(3)(c);</w:t>
      </w:r>
    </w:p>
    <w:p w:rsidR="008A0B84" w:rsidRPr="00FB55D9" w:rsidRDefault="008A0B84" w:rsidP="00FB55D9">
      <w:pPr>
        <w:pStyle w:val="subsection2"/>
      </w:pPr>
      <w:r w:rsidRPr="00FB55D9">
        <w:t>the fee recipient must give written notice of the cessation to the account provider within 10 business days of the cessation.</w:t>
      </w:r>
    </w:p>
    <w:p w:rsidR="008A0B84" w:rsidRPr="00FB55D9" w:rsidRDefault="008A0B84" w:rsidP="00FB55D9">
      <w:pPr>
        <w:pStyle w:val="subsection"/>
      </w:pPr>
      <w:r w:rsidRPr="00FB55D9">
        <w:tab/>
        <w:t>(3)</w:t>
      </w:r>
      <w:r w:rsidRPr="00FB55D9">
        <w:tab/>
        <w:t>A person contravenes this subsection if the person contravenes subsection (2).</w:t>
      </w:r>
    </w:p>
    <w:p w:rsidR="008A0B84" w:rsidRPr="00FB55D9" w:rsidRDefault="008A0B84" w:rsidP="00FB55D9">
      <w:pPr>
        <w:pStyle w:val="notetext"/>
      </w:pPr>
      <w:r w:rsidRPr="00FB55D9">
        <w:t>Note:</w:t>
      </w:r>
      <w:r w:rsidRPr="00FB55D9">
        <w:tab/>
        <w:t>This subsection is a civil penalty provision (see section 1317E).</w:t>
      </w:r>
    </w:p>
    <w:p w:rsidR="008A0B84" w:rsidRPr="00FB55D9" w:rsidRDefault="008A0B84" w:rsidP="00FB55D9">
      <w:pPr>
        <w:pStyle w:val="ActHead5"/>
      </w:pPr>
      <w:bookmarkStart w:id="17" w:name="_Toc65762032"/>
      <w:r w:rsidRPr="003C052D">
        <w:rPr>
          <w:rStyle w:val="CharSectno"/>
        </w:rPr>
        <w:t>962W</w:t>
      </w:r>
      <w:r w:rsidRPr="00FB55D9">
        <w:t xml:space="preserve">  Conditions requiring consent to be given are void</w:t>
      </w:r>
      <w:bookmarkEnd w:id="17"/>
    </w:p>
    <w:p w:rsidR="008A0B84" w:rsidRPr="00FB55D9" w:rsidRDefault="008A0B84" w:rsidP="00FB55D9">
      <w:pPr>
        <w:pStyle w:val="subsection"/>
      </w:pPr>
      <w:r w:rsidRPr="00FB55D9">
        <w:tab/>
      </w:r>
      <w:r w:rsidRPr="00FB55D9">
        <w:tab/>
        <w:t>Any condition of the ongoing fee arrangement, or any other arrangement, that requires the client to do either or both of the following is void:</w:t>
      </w:r>
    </w:p>
    <w:p w:rsidR="008A0B84" w:rsidRPr="00FB55D9" w:rsidRDefault="008A0B84" w:rsidP="00FB55D9">
      <w:pPr>
        <w:pStyle w:val="paragraph"/>
      </w:pPr>
      <w:r w:rsidRPr="00FB55D9">
        <w:tab/>
        <w:t>(a)</w:t>
      </w:r>
      <w:r w:rsidRPr="00FB55D9">
        <w:tab/>
        <w:t>to give consent under this Subdivision in relation to the deduction of ongoing fees relating to the ongoing fee arrangement;</w:t>
      </w:r>
    </w:p>
    <w:p w:rsidR="008A0B84" w:rsidRPr="00FB55D9" w:rsidRDefault="008A0B84" w:rsidP="00FB55D9">
      <w:pPr>
        <w:pStyle w:val="paragraph"/>
      </w:pPr>
      <w:r w:rsidRPr="00FB55D9">
        <w:tab/>
        <w:t>(b)</w:t>
      </w:r>
      <w:r w:rsidRPr="00FB55D9">
        <w:tab/>
        <w:t>not to vary or withdraw such consent.</w:t>
      </w:r>
    </w:p>
    <w:p w:rsidR="008A0B84" w:rsidRPr="00FB55D9" w:rsidRDefault="008A0B84" w:rsidP="00FB55D9">
      <w:pPr>
        <w:pStyle w:val="ActHead4"/>
      </w:pPr>
      <w:bookmarkStart w:id="18" w:name="_Toc65762033"/>
      <w:r w:rsidRPr="003C052D">
        <w:rPr>
          <w:rStyle w:val="CharSubdNo"/>
        </w:rPr>
        <w:t>Subdivision D</w:t>
      </w:r>
      <w:r w:rsidRPr="00FB55D9">
        <w:t>—</w:t>
      </w:r>
      <w:r w:rsidRPr="003C052D">
        <w:rPr>
          <w:rStyle w:val="CharSubdText"/>
        </w:rPr>
        <w:t>Records of compliance</w:t>
      </w:r>
      <w:bookmarkEnd w:id="18"/>
    </w:p>
    <w:p w:rsidR="008A0B84" w:rsidRPr="00FB55D9" w:rsidRDefault="008A0B84" w:rsidP="00FB55D9">
      <w:pPr>
        <w:pStyle w:val="ActHead5"/>
      </w:pPr>
      <w:bookmarkStart w:id="19" w:name="_Toc65762034"/>
      <w:r w:rsidRPr="003C052D">
        <w:rPr>
          <w:rStyle w:val="CharSectno"/>
        </w:rPr>
        <w:t>962X</w:t>
      </w:r>
      <w:r w:rsidRPr="00FB55D9">
        <w:t xml:space="preserve">  Obligation to keep records of compliance</w:t>
      </w:r>
      <w:bookmarkEnd w:id="19"/>
    </w:p>
    <w:p w:rsidR="008A0B84" w:rsidRPr="00FB55D9" w:rsidRDefault="008A0B84" w:rsidP="00FB55D9">
      <w:pPr>
        <w:pStyle w:val="subsection"/>
      </w:pPr>
      <w:r w:rsidRPr="00FB55D9">
        <w:tab/>
        <w:t>(1)</w:t>
      </w:r>
      <w:r w:rsidRPr="00FB55D9">
        <w:tab/>
        <w:t>A fee recipient in relation to an ongoing fee arrangement must keep records sufficient to enable the fee recipient’s compliance with this Division in relation to the ongoing fee arrangement to be readily ascertained.</w:t>
      </w:r>
    </w:p>
    <w:p w:rsidR="008A0B84" w:rsidRPr="00FB55D9" w:rsidRDefault="008A0B84" w:rsidP="00FB55D9">
      <w:pPr>
        <w:pStyle w:val="notetext"/>
      </w:pPr>
      <w:r w:rsidRPr="00FB55D9">
        <w:lastRenderedPageBreak/>
        <w:t>Note 1:</w:t>
      </w:r>
      <w:r w:rsidRPr="00FB55D9">
        <w:tab/>
        <w:t xml:space="preserve">Failure to comply with this subsection is an offence: see </w:t>
      </w:r>
      <w:r w:rsidR="00750118" w:rsidRPr="00FB55D9">
        <w:t>subsection 1</w:t>
      </w:r>
      <w:r w:rsidRPr="00FB55D9">
        <w:t>311(1).</w:t>
      </w:r>
    </w:p>
    <w:p w:rsidR="008A0B84" w:rsidRPr="00FB55D9" w:rsidRDefault="008A0B84" w:rsidP="00FB55D9">
      <w:pPr>
        <w:pStyle w:val="notetext"/>
      </w:pPr>
      <w:r w:rsidRPr="00FB55D9">
        <w:t>Note 2:</w:t>
      </w:r>
      <w:r w:rsidRPr="00FB55D9">
        <w:tab/>
        <w:t>For preservation of records, see section 1101C.</w:t>
      </w:r>
    </w:p>
    <w:p w:rsidR="008A0B84" w:rsidRPr="00FB55D9" w:rsidRDefault="008A0B84" w:rsidP="00FB55D9">
      <w:pPr>
        <w:pStyle w:val="subsection"/>
      </w:pPr>
      <w:r w:rsidRPr="00FB55D9">
        <w:tab/>
        <w:t>(2)</w:t>
      </w:r>
      <w:r w:rsidRPr="00FB55D9">
        <w:tab/>
        <w:t>The regulations may specify records that the fee recipient must keep as part of the obligation in subsection (1).</w:t>
      </w:r>
    </w:p>
    <w:p w:rsidR="008A0B84" w:rsidRPr="00FB55D9" w:rsidRDefault="00750118" w:rsidP="00FB55D9">
      <w:pPr>
        <w:pStyle w:val="ItemHead"/>
      </w:pPr>
      <w:r w:rsidRPr="00FB55D9">
        <w:t>25</w:t>
      </w:r>
      <w:r w:rsidR="008A0B84" w:rsidRPr="00FB55D9">
        <w:t xml:space="preserve">  After section 1317GA</w:t>
      </w:r>
    </w:p>
    <w:p w:rsidR="008A0B84" w:rsidRPr="00FB55D9" w:rsidRDefault="008A0B84" w:rsidP="00FB55D9">
      <w:pPr>
        <w:pStyle w:val="Item"/>
      </w:pPr>
      <w:r w:rsidRPr="00FB55D9">
        <w:t>Insert:</w:t>
      </w:r>
    </w:p>
    <w:p w:rsidR="008A0B84" w:rsidRPr="00FB55D9" w:rsidRDefault="008A0B84" w:rsidP="00FB55D9">
      <w:pPr>
        <w:pStyle w:val="ActHead5"/>
      </w:pPr>
      <w:bookmarkStart w:id="20" w:name="_Toc65762035"/>
      <w:r w:rsidRPr="003C052D">
        <w:rPr>
          <w:rStyle w:val="CharSectno"/>
        </w:rPr>
        <w:t>1317GB</w:t>
      </w:r>
      <w:r w:rsidRPr="00FB55D9">
        <w:t xml:space="preserve">  Refund orders—contraventions of </w:t>
      </w:r>
      <w:r w:rsidR="00750118" w:rsidRPr="00FB55D9">
        <w:t>section 9</w:t>
      </w:r>
      <w:r w:rsidRPr="00FB55D9">
        <w:t>62R or 962S</w:t>
      </w:r>
      <w:bookmarkEnd w:id="20"/>
    </w:p>
    <w:p w:rsidR="008A0B84" w:rsidRPr="00FB55D9" w:rsidRDefault="008A0B84" w:rsidP="00FB55D9">
      <w:pPr>
        <w:pStyle w:val="subsection"/>
      </w:pPr>
      <w:r w:rsidRPr="00FB55D9">
        <w:tab/>
        <w:t>(1)</w:t>
      </w:r>
      <w:r w:rsidRPr="00FB55D9">
        <w:tab/>
        <w:t xml:space="preserve">This section applies if a person (the </w:t>
      </w:r>
      <w:r w:rsidRPr="00FB55D9">
        <w:rPr>
          <w:b/>
          <w:i/>
        </w:rPr>
        <w:t>fee recipient</w:t>
      </w:r>
      <w:r w:rsidRPr="00FB55D9">
        <w:t>):</w:t>
      </w:r>
    </w:p>
    <w:p w:rsidR="008A0B84" w:rsidRPr="00FB55D9" w:rsidRDefault="008A0B84" w:rsidP="00FB55D9">
      <w:pPr>
        <w:pStyle w:val="paragraph"/>
      </w:pPr>
      <w:r w:rsidRPr="00FB55D9">
        <w:tab/>
        <w:t>(a)</w:t>
      </w:r>
      <w:r w:rsidRPr="00FB55D9">
        <w:tab/>
        <w:t xml:space="preserve">deducts an amount of an ongoing fee payable under an ongoing fee arrangement from an account held by a person (the </w:t>
      </w:r>
      <w:r w:rsidRPr="00FB55D9">
        <w:rPr>
          <w:b/>
          <w:i/>
        </w:rPr>
        <w:t>account holder</w:t>
      </w:r>
      <w:r w:rsidRPr="00FB55D9">
        <w:t>) with the fee recipient; or</w:t>
      </w:r>
    </w:p>
    <w:p w:rsidR="008A0B84" w:rsidRPr="00FB55D9" w:rsidRDefault="008A0B84" w:rsidP="00FB55D9">
      <w:pPr>
        <w:pStyle w:val="paragraph"/>
      </w:pPr>
      <w:r w:rsidRPr="00FB55D9">
        <w:tab/>
        <w:t>(b)</w:t>
      </w:r>
      <w:r w:rsidRPr="00FB55D9">
        <w:tab/>
        <w:t xml:space="preserve">accepts payment of the amount of the ongoing fee that has been deducted from an account held by a person (the </w:t>
      </w:r>
      <w:r w:rsidRPr="00FB55D9">
        <w:rPr>
          <w:b/>
          <w:i/>
        </w:rPr>
        <w:t>account holder</w:t>
      </w:r>
      <w:r w:rsidRPr="00FB55D9">
        <w:t xml:space="preserve">) with another person (the </w:t>
      </w:r>
      <w:r w:rsidRPr="00FB55D9">
        <w:rPr>
          <w:b/>
          <w:i/>
        </w:rPr>
        <w:t>account provider</w:t>
      </w:r>
      <w:r w:rsidRPr="00FB55D9">
        <w:t>) under an arrangement the fee recipient made with the account provider.</w:t>
      </w:r>
    </w:p>
    <w:p w:rsidR="008A0B84" w:rsidRPr="00FB55D9" w:rsidRDefault="008A0B84" w:rsidP="00FB55D9">
      <w:pPr>
        <w:pStyle w:val="subsection"/>
      </w:pPr>
      <w:r w:rsidRPr="00FB55D9">
        <w:tab/>
        <w:t>(2)</w:t>
      </w:r>
      <w:r w:rsidRPr="00FB55D9">
        <w:tab/>
        <w:t>A Court may order that the fee recipient refund the amount if the Court is satisfied that:</w:t>
      </w:r>
    </w:p>
    <w:p w:rsidR="008A0B84" w:rsidRPr="00FB55D9" w:rsidRDefault="008A0B84" w:rsidP="00FB55D9">
      <w:pPr>
        <w:pStyle w:val="paragraph"/>
      </w:pPr>
      <w:r w:rsidRPr="00FB55D9">
        <w:tab/>
        <w:t>(a)</w:t>
      </w:r>
      <w:r w:rsidRPr="00FB55D9">
        <w:tab/>
        <w:t>either:</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 xml:space="preserve">if </w:t>
      </w:r>
      <w:r w:rsidR="00750118" w:rsidRPr="00FB55D9">
        <w:t>paragraph (</w:t>
      </w:r>
      <w:r w:rsidRPr="00FB55D9">
        <w:t xml:space="preserve">1)(a) applies—the fee recipient knowingly or recklessly contravened </w:t>
      </w:r>
      <w:r w:rsidR="00750118" w:rsidRPr="00FB55D9">
        <w:t>section 9</w:t>
      </w:r>
      <w:r w:rsidRPr="00FB55D9">
        <w:t>62R (fee recipient must not deduct ongoing fees without consent) in deducting the amount; or</w:t>
      </w:r>
    </w:p>
    <w:p w:rsidR="008A0B84" w:rsidRPr="00FB55D9" w:rsidRDefault="008A0B84" w:rsidP="00FB55D9">
      <w:pPr>
        <w:pStyle w:val="paragraphsub"/>
      </w:pPr>
      <w:r w:rsidRPr="00FB55D9">
        <w:tab/>
        <w:t>(ii)</w:t>
      </w:r>
      <w:r w:rsidRPr="00FB55D9">
        <w:tab/>
        <w:t xml:space="preserve">if </w:t>
      </w:r>
      <w:r w:rsidR="00750118" w:rsidRPr="00FB55D9">
        <w:t>paragraph (</w:t>
      </w:r>
      <w:r w:rsidRPr="00FB55D9">
        <w:t xml:space="preserve">1)(b) applies—the fee recipient knowingly or recklessly contravened </w:t>
      </w:r>
      <w:r w:rsidR="00750118" w:rsidRPr="00FB55D9">
        <w:t>section 9</w:t>
      </w:r>
      <w:r w:rsidRPr="00FB55D9">
        <w:t>62S (fee recipient must not arrange for deduction of ongoing fees without consent or accept such deductions) in arranging for the deduction of the amount, or accepting payment of the amount; and</w:t>
      </w:r>
    </w:p>
    <w:p w:rsidR="008A0B84" w:rsidRPr="00FB55D9" w:rsidRDefault="008A0B84" w:rsidP="00FB55D9">
      <w:pPr>
        <w:pStyle w:val="paragraph"/>
      </w:pPr>
      <w:r w:rsidRPr="00FB55D9">
        <w:tab/>
        <w:t>(b)</w:t>
      </w:r>
      <w:r w:rsidRPr="00FB55D9">
        <w:tab/>
        <w:t>it is reasonable in all the circumstances to make the order.</w:t>
      </w:r>
    </w:p>
    <w:p w:rsidR="008A0B84" w:rsidRPr="00FB55D9" w:rsidRDefault="008A0B84" w:rsidP="00FB55D9">
      <w:pPr>
        <w:pStyle w:val="notetext"/>
      </w:pPr>
      <w:r w:rsidRPr="00FB55D9">
        <w:t>Note:</w:t>
      </w:r>
      <w:r w:rsidRPr="00FB55D9">
        <w:tab/>
        <w:t>An order may be made under this subsection whether or not a declaration of contravention has been made under section 1317E.</w:t>
      </w:r>
    </w:p>
    <w:p w:rsidR="008A0B84" w:rsidRPr="00FB55D9" w:rsidRDefault="008A0B84" w:rsidP="00FB55D9">
      <w:pPr>
        <w:pStyle w:val="SubsectionHead"/>
      </w:pPr>
      <w:r w:rsidRPr="00FB55D9">
        <w:lastRenderedPageBreak/>
        <w:t>Applications for order</w:t>
      </w:r>
    </w:p>
    <w:p w:rsidR="008A0B84" w:rsidRPr="00FB55D9" w:rsidRDefault="008A0B84" w:rsidP="00FB55D9">
      <w:pPr>
        <w:pStyle w:val="subsection"/>
      </w:pPr>
      <w:r w:rsidRPr="00FB55D9">
        <w:tab/>
        <w:t>(3)</w:t>
      </w:r>
      <w:r w:rsidRPr="00FB55D9">
        <w:tab/>
        <w:t>The Court may make the order under this section:</w:t>
      </w:r>
    </w:p>
    <w:p w:rsidR="008A0B84" w:rsidRPr="00FB55D9" w:rsidRDefault="008A0B84" w:rsidP="00FB55D9">
      <w:pPr>
        <w:pStyle w:val="paragraph"/>
      </w:pPr>
      <w:r w:rsidRPr="00FB55D9">
        <w:tab/>
        <w:t>(a)</w:t>
      </w:r>
      <w:r w:rsidRPr="00FB55D9">
        <w:tab/>
        <w:t>on its own initiative, during proceedings before the Court; or</w:t>
      </w:r>
    </w:p>
    <w:p w:rsidR="008A0B84" w:rsidRPr="00FB55D9" w:rsidRDefault="008A0B84" w:rsidP="00FB55D9">
      <w:pPr>
        <w:pStyle w:val="paragraph"/>
      </w:pPr>
      <w:r w:rsidRPr="00FB55D9">
        <w:tab/>
        <w:t>(b)</w:t>
      </w:r>
      <w:r w:rsidRPr="00FB55D9">
        <w:tab/>
        <w:t>on application by ASIC; or</w:t>
      </w:r>
    </w:p>
    <w:p w:rsidR="008A0B84" w:rsidRPr="00FB55D9" w:rsidRDefault="008A0B84" w:rsidP="00FB55D9">
      <w:pPr>
        <w:pStyle w:val="paragraph"/>
      </w:pPr>
      <w:r w:rsidRPr="00FB55D9">
        <w:tab/>
        <w:t>(c)</w:t>
      </w:r>
      <w:r w:rsidRPr="00FB55D9">
        <w:tab/>
        <w:t>on the application of the account holder.</w:t>
      </w:r>
    </w:p>
    <w:p w:rsidR="008A0B84" w:rsidRPr="00FB55D9" w:rsidRDefault="008A0B84" w:rsidP="00FB55D9">
      <w:pPr>
        <w:pStyle w:val="SubsectionHead"/>
      </w:pPr>
      <w:r w:rsidRPr="00FB55D9">
        <w:t>When order may be made</w:t>
      </w:r>
    </w:p>
    <w:p w:rsidR="008A0B84" w:rsidRPr="00FB55D9" w:rsidRDefault="008A0B84" w:rsidP="00FB55D9">
      <w:pPr>
        <w:pStyle w:val="subsection"/>
      </w:pPr>
      <w:r w:rsidRPr="00FB55D9">
        <w:tab/>
        <w:t>(4)</w:t>
      </w:r>
      <w:r w:rsidRPr="00FB55D9">
        <w:tab/>
        <w:t>The Court must not make an order under this section in relation to amounts paid more than 6 years before the proceedings for the order are commenced.</w:t>
      </w:r>
    </w:p>
    <w:p w:rsidR="008A0B84" w:rsidRPr="00FB55D9" w:rsidRDefault="008A0B84" w:rsidP="00FB55D9">
      <w:pPr>
        <w:pStyle w:val="SubsectionHead"/>
      </w:pPr>
      <w:r w:rsidRPr="00FB55D9">
        <w:t>Recovery of amount as a debt</w:t>
      </w:r>
    </w:p>
    <w:p w:rsidR="008A0B84" w:rsidRPr="00FB55D9" w:rsidRDefault="008A0B84" w:rsidP="00FB55D9">
      <w:pPr>
        <w:pStyle w:val="subsection"/>
      </w:pPr>
      <w:r w:rsidRPr="00FB55D9">
        <w:tab/>
        <w:t>(5)</w:t>
      </w:r>
      <w:r w:rsidRPr="00FB55D9">
        <w:tab/>
        <w:t>If the Court makes an order that the fee recipient refund an amount specified in the order to the account holder, the account holder may recover the amount as a debt due to the account holder.</w:t>
      </w:r>
    </w:p>
    <w:p w:rsidR="008A0B84" w:rsidRPr="00FB55D9" w:rsidRDefault="00750118" w:rsidP="00FB55D9">
      <w:pPr>
        <w:pStyle w:val="ItemHead"/>
      </w:pPr>
      <w:r w:rsidRPr="00FB55D9">
        <w:t>26</w:t>
      </w:r>
      <w:r w:rsidR="008A0B84" w:rsidRPr="00FB55D9">
        <w:t xml:space="preserve">  In the appropriate position in Chapter 10</w:t>
      </w:r>
    </w:p>
    <w:p w:rsidR="008A0B84" w:rsidRPr="00FB55D9" w:rsidRDefault="008A0B84" w:rsidP="00FB55D9">
      <w:pPr>
        <w:pStyle w:val="Item"/>
      </w:pPr>
      <w:r w:rsidRPr="00FB55D9">
        <w:t>Insert:</w:t>
      </w:r>
    </w:p>
    <w:p w:rsidR="008A0B84" w:rsidRPr="00FB55D9" w:rsidRDefault="008A0B84" w:rsidP="00FB55D9">
      <w:pPr>
        <w:pStyle w:val="ActHead2"/>
      </w:pPr>
      <w:bookmarkStart w:id="21" w:name="_Toc65762036"/>
      <w:r w:rsidRPr="003C052D">
        <w:rPr>
          <w:rStyle w:val="CharPartNo"/>
        </w:rPr>
        <w:t>Part 10.46</w:t>
      </w:r>
      <w:r w:rsidRPr="00FB55D9">
        <w:t>—</w:t>
      </w:r>
      <w:r w:rsidRPr="003C052D">
        <w:rPr>
          <w:rStyle w:val="CharPartText"/>
        </w:rPr>
        <w:t>Application and transitional provisions relating to Schedule 1 to the Financial Sector Reform (Hayne Royal Commission Response No. 2) Act 202</w:t>
      </w:r>
      <w:r w:rsidR="00D01043">
        <w:rPr>
          <w:rStyle w:val="CharPartText"/>
        </w:rPr>
        <w:t>1</w:t>
      </w:r>
      <w:bookmarkEnd w:id="21"/>
    </w:p>
    <w:p w:rsidR="008A0B84" w:rsidRPr="00FB55D9" w:rsidRDefault="008A0B84" w:rsidP="00FB55D9">
      <w:pPr>
        <w:pStyle w:val="ActHead3"/>
      </w:pPr>
      <w:bookmarkStart w:id="22" w:name="_Toc65762037"/>
      <w:r w:rsidRPr="003C052D">
        <w:rPr>
          <w:rStyle w:val="CharDivNo"/>
        </w:rPr>
        <w:t>Division 1</w:t>
      </w:r>
      <w:r w:rsidRPr="00FB55D9">
        <w:t>—</w:t>
      </w:r>
      <w:r w:rsidRPr="003C052D">
        <w:rPr>
          <w:rStyle w:val="CharDivText"/>
        </w:rPr>
        <w:t>Introduction</w:t>
      </w:r>
      <w:bookmarkEnd w:id="22"/>
    </w:p>
    <w:p w:rsidR="008A0B84" w:rsidRPr="00FB55D9" w:rsidRDefault="008A0B84" w:rsidP="00FB55D9">
      <w:pPr>
        <w:pStyle w:val="ActHead5"/>
      </w:pPr>
      <w:bookmarkStart w:id="23" w:name="_Toc65762038"/>
      <w:r w:rsidRPr="003C052D">
        <w:rPr>
          <w:rStyle w:val="CharSectno"/>
        </w:rPr>
        <w:t>1673</w:t>
      </w:r>
      <w:r w:rsidRPr="00FB55D9">
        <w:t xml:space="preserve">  Definitions</w:t>
      </w:r>
      <w:bookmarkEnd w:id="23"/>
    </w:p>
    <w:p w:rsidR="008A0B84" w:rsidRPr="00FB55D9" w:rsidRDefault="008A0B84" w:rsidP="00FB55D9">
      <w:pPr>
        <w:pStyle w:val="subsection"/>
      </w:pPr>
      <w:r w:rsidRPr="00FB55D9">
        <w:tab/>
      </w:r>
      <w:r w:rsidRPr="00FB55D9">
        <w:tab/>
        <w:t>In this Part:</w:t>
      </w:r>
    </w:p>
    <w:p w:rsidR="008A0B84" w:rsidRPr="00FB55D9" w:rsidRDefault="008A0B84" w:rsidP="00FB55D9">
      <w:pPr>
        <w:pStyle w:val="Definition"/>
      </w:pPr>
      <w:r w:rsidRPr="00FB55D9">
        <w:rPr>
          <w:b/>
          <w:i/>
        </w:rPr>
        <w:t xml:space="preserve">amending Schedule </w:t>
      </w:r>
      <w:r w:rsidRPr="00FB55D9">
        <w:t xml:space="preserve">means Schedule 1 to the </w:t>
      </w:r>
      <w:r w:rsidRPr="00FB55D9">
        <w:rPr>
          <w:i/>
        </w:rPr>
        <w:t>Financial Sector Reform (Hayne Royal Commission Response No. 2) Act 202</w:t>
      </w:r>
      <w:r w:rsidR="00D01043">
        <w:rPr>
          <w:i/>
        </w:rPr>
        <w:t>1</w:t>
      </w:r>
      <w:r w:rsidRPr="00FB55D9">
        <w:t>.</w:t>
      </w:r>
    </w:p>
    <w:p w:rsidR="008A0B84" w:rsidRPr="00FB55D9" w:rsidRDefault="008A0B84" w:rsidP="00FB55D9">
      <w:pPr>
        <w:pStyle w:val="Definition"/>
        <w:rPr>
          <w:i/>
        </w:rPr>
      </w:pPr>
      <w:r w:rsidRPr="00FB55D9">
        <w:rPr>
          <w:b/>
          <w:i/>
        </w:rPr>
        <w:t>disclosure day</w:t>
      </w:r>
      <w:r w:rsidRPr="00FB55D9">
        <w:rPr>
          <w:i/>
        </w:rPr>
        <w:t xml:space="preserve"> </w:t>
      </w:r>
      <w:r w:rsidRPr="00FB55D9">
        <w:t>for an ongoing fee arrangement has the same meaning as it has in Part 7.7A, as in force immediately before the amending Schedule commences.</w:t>
      </w:r>
    </w:p>
    <w:p w:rsidR="008A0B84" w:rsidRPr="00FB55D9" w:rsidRDefault="008A0B84" w:rsidP="00FB55D9">
      <w:pPr>
        <w:pStyle w:val="Definition"/>
        <w:rPr>
          <w:i/>
        </w:rPr>
      </w:pPr>
      <w:r w:rsidRPr="00FB55D9">
        <w:rPr>
          <w:b/>
          <w:i/>
        </w:rPr>
        <w:lastRenderedPageBreak/>
        <w:t>renewal notice</w:t>
      </w:r>
      <w:r w:rsidRPr="00FB55D9">
        <w:t xml:space="preserve"> has the same meaning as it has in Part 7.7A, as in force immediately before the amending Schedule commences.</w:t>
      </w:r>
    </w:p>
    <w:p w:rsidR="008A0B84" w:rsidRPr="00FB55D9" w:rsidRDefault="008A0B84" w:rsidP="00FB55D9">
      <w:pPr>
        <w:pStyle w:val="Definition"/>
        <w:rPr>
          <w:i/>
        </w:rPr>
      </w:pPr>
      <w:r w:rsidRPr="00FB55D9">
        <w:rPr>
          <w:b/>
          <w:i/>
        </w:rPr>
        <w:t>renewal notice</w:t>
      </w:r>
      <w:r w:rsidRPr="00FB55D9">
        <w:rPr>
          <w:i/>
        </w:rPr>
        <w:t xml:space="preserve"> </w:t>
      </w:r>
      <w:r w:rsidRPr="00FB55D9">
        <w:rPr>
          <w:b/>
          <w:i/>
        </w:rPr>
        <w:t>day</w:t>
      </w:r>
      <w:r w:rsidRPr="00FB55D9">
        <w:t xml:space="preserve"> has the same meaning as it has in Part 7.7A, as in force immediately before the amending Schedule commences.</w:t>
      </w:r>
    </w:p>
    <w:p w:rsidR="008A0B84" w:rsidRPr="00FB55D9" w:rsidRDefault="008A0B84" w:rsidP="00FB55D9">
      <w:pPr>
        <w:pStyle w:val="Definition"/>
      </w:pPr>
      <w:r w:rsidRPr="00FB55D9">
        <w:rPr>
          <w:b/>
          <w:i/>
        </w:rPr>
        <w:t>transition day</w:t>
      </w:r>
      <w:r w:rsidRPr="00FB55D9">
        <w:t>, for an ongoing fee arrangement, means the earlier of:</w:t>
      </w:r>
    </w:p>
    <w:p w:rsidR="008A0B84" w:rsidRPr="00FB55D9" w:rsidRDefault="008A0B84" w:rsidP="00FB55D9">
      <w:pPr>
        <w:pStyle w:val="paragraph"/>
      </w:pPr>
      <w:r w:rsidRPr="00FB55D9">
        <w:tab/>
        <w:t>(a)</w:t>
      </w:r>
      <w:r w:rsidRPr="00FB55D9">
        <w:tab/>
        <w:t xml:space="preserve">the day when a fee disclosure statement is given for the arrangement in accordance with </w:t>
      </w:r>
      <w:r w:rsidR="00750118" w:rsidRPr="00FB55D9">
        <w:t>subsection 1</w:t>
      </w:r>
      <w:r w:rsidRPr="00FB55D9">
        <w:t>673C(3); and</w:t>
      </w:r>
    </w:p>
    <w:p w:rsidR="008A0B84" w:rsidRPr="00FB55D9" w:rsidRDefault="008A0B84" w:rsidP="00FB55D9">
      <w:pPr>
        <w:pStyle w:val="paragraph"/>
      </w:pPr>
      <w:r w:rsidRPr="00FB55D9">
        <w:tab/>
        <w:t>(b)</w:t>
      </w:r>
      <w:r w:rsidRPr="00FB55D9">
        <w:tab/>
        <w:t>the last day of the 12 month transition period.</w:t>
      </w:r>
    </w:p>
    <w:p w:rsidR="008A0B84" w:rsidRPr="00FB55D9" w:rsidRDefault="008A0B84" w:rsidP="00FB55D9">
      <w:pPr>
        <w:pStyle w:val="ActHead3"/>
      </w:pPr>
      <w:bookmarkStart w:id="24" w:name="_Toc65762039"/>
      <w:r w:rsidRPr="003C052D">
        <w:rPr>
          <w:rStyle w:val="CharDivNo"/>
        </w:rPr>
        <w:t>Division 2</w:t>
      </w:r>
      <w:r w:rsidRPr="00FB55D9">
        <w:t>—</w:t>
      </w:r>
      <w:r w:rsidRPr="003C052D">
        <w:rPr>
          <w:rStyle w:val="CharDivText"/>
        </w:rPr>
        <w:t>New ongoing fee arrangements</w:t>
      </w:r>
      <w:bookmarkEnd w:id="24"/>
    </w:p>
    <w:p w:rsidR="008A0B84" w:rsidRPr="00FB55D9" w:rsidRDefault="008A0B84" w:rsidP="00FB55D9">
      <w:pPr>
        <w:pStyle w:val="ActHead5"/>
      </w:pPr>
      <w:bookmarkStart w:id="25" w:name="_Toc65762040"/>
      <w:r w:rsidRPr="003C052D">
        <w:rPr>
          <w:rStyle w:val="CharSectno"/>
        </w:rPr>
        <w:t>1673A</w:t>
      </w:r>
      <w:r w:rsidRPr="00FB55D9">
        <w:t xml:space="preserve">  Application provision for new ongoing fee arrangements</w:t>
      </w:r>
      <w:bookmarkEnd w:id="25"/>
    </w:p>
    <w:p w:rsidR="008A0B84" w:rsidRPr="00FB55D9" w:rsidRDefault="008A0B84" w:rsidP="00FB55D9">
      <w:pPr>
        <w:pStyle w:val="subsection"/>
      </w:pPr>
      <w:r w:rsidRPr="00FB55D9">
        <w:tab/>
      </w:r>
      <w:r w:rsidRPr="00FB55D9">
        <w:tab/>
        <w:t xml:space="preserve">The amendments made by the amending Schedule apply in relation to an ongoing fee arrangement entered into on or after </w:t>
      </w:r>
      <w:r w:rsidR="00750118" w:rsidRPr="00FB55D9">
        <w:t>1 July</w:t>
      </w:r>
      <w:r w:rsidRPr="00FB55D9">
        <w:t xml:space="preserve"> 2021.</w:t>
      </w:r>
    </w:p>
    <w:p w:rsidR="008A0B84" w:rsidRPr="00FB55D9" w:rsidRDefault="008A0B84" w:rsidP="00FB55D9">
      <w:pPr>
        <w:pStyle w:val="ActHead3"/>
      </w:pPr>
      <w:bookmarkStart w:id="26" w:name="_Toc65762041"/>
      <w:r w:rsidRPr="003C052D">
        <w:rPr>
          <w:rStyle w:val="CharDivNo"/>
        </w:rPr>
        <w:t>Division 3</w:t>
      </w:r>
      <w:r w:rsidRPr="00FB55D9">
        <w:t>—</w:t>
      </w:r>
      <w:r w:rsidRPr="003C052D">
        <w:rPr>
          <w:rStyle w:val="CharDivText"/>
        </w:rPr>
        <w:t>Existing ongoing fee arrangements</w:t>
      </w:r>
      <w:bookmarkEnd w:id="26"/>
    </w:p>
    <w:p w:rsidR="008A0B84" w:rsidRPr="00FB55D9" w:rsidRDefault="008A0B84" w:rsidP="00FB55D9">
      <w:pPr>
        <w:pStyle w:val="ActHead5"/>
      </w:pPr>
      <w:bookmarkStart w:id="27" w:name="_Toc65762042"/>
      <w:r w:rsidRPr="003C052D">
        <w:rPr>
          <w:rStyle w:val="CharSectno"/>
        </w:rPr>
        <w:t>1673B</w:t>
      </w:r>
      <w:r w:rsidRPr="00FB55D9">
        <w:t xml:space="preserve">  Application of this Division</w:t>
      </w:r>
      <w:bookmarkEnd w:id="27"/>
    </w:p>
    <w:p w:rsidR="008A0B84" w:rsidRPr="00FB55D9" w:rsidRDefault="008A0B84" w:rsidP="00FB55D9">
      <w:pPr>
        <w:pStyle w:val="subsection"/>
      </w:pPr>
      <w:r w:rsidRPr="00FB55D9">
        <w:tab/>
      </w:r>
      <w:r w:rsidRPr="00FB55D9">
        <w:tab/>
        <w:t xml:space="preserve">This Division applies in relation to an ongoing fee arrangement that is in force immediately before </w:t>
      </w:r>
      <w:r w:rsidR="00750118" w:rsidRPr="00FB55D9">
        <w:t>1 July</w:t>
      </w:r>
      <w:r w:rsidRPr="00FB55D9">
        <w:t xml:space="preserve"> 2021.</w:t>
      </w:r>
    </w:p>
    <w:p w:rsidR="008A0B84" w:rsidRPr="00FB55D9" w:rsidRDefault="008A0B84" w:rsidP="00FB55D9">
      <w:pPr>
        <w:pStyle w:val="ActHead5"/>
      </w:pPr>
      <w:bookmarkStart w:id="28" w:name="_Toc65762043"/>
      <w:r w:rsidRPr="003C052D">
        <w:rPr>
          <w:rStyle w:val="CharSectno"/>
        </w:rPr>
        <w:t>1673C</w:t>
      </w:r>
      <w:r w:rsidRPr="00FB55D9">
        <w:t xml:space="preserve">  Application—annual requirement to give fee disclosure statement</w:t>
      </w:r>
      <w:bookmarkEnd w:id="28"/>
    </w:p>
    <w:p w:rsidR="008A0B84" w:rsidRPr="00FB55D9" w:rsidRDefault="008A0B84" w:rsidP="00FB55D9">
      <w:pPr>
        <w:pStyle w:val="SubsectionHead"/>
      </w:pPr>
      <w:r w:rsidRPr="00FB55D9">
        <w:t>General rule</w:t>
      </w:r>
    </w:p>
    <w:p w:rsidR="008A0B84" w:rsidRPr="00FB55D9" w:rsidRDefault="008A0B84" w:rsidP="00FB55D9">
      <w:pPr>
        <w:pStyle w:val="subsection"/>
      </w:pPr>
      <w:r w:rsidRPr="00FB55D9">
        <w:tab/>
        <w:t>(1)</w:t>
      </w:r>
      <w:r w:rsidRPr="00FB55D9">
        <w:tab/>
        <w:t xml:space="preserve">Subject to this section, Subdivision B of Division 3 of Part 7.7A, as amended by the amending Schedule, applies to the ongoing fee arrangement on and from </w:t>
      </w:r>
      <w:r w:rsidR="00750118" w:rsidRPr="00FB55D9">
        <w:t>1 July</w:t>
      </w:r>
      <w:r w:rsidRPr="00FB55D9">
        <w:t xml:space="preserve"> 2021.</w:t>
      </w:r>
    </w:p>
    <w:p w:rsidR="008A0B84" w:rsidRPr="00FB55D9" w:rsidRDefault="008A0B84" w:rsidP="00FB55D9">
      <w:pPr>
        <w:pStyle w:val="SubsectionHead"/>
      </w:pPr>
      <w:r w:rsidRPr="00FB55D9">
        <w:t>Modified application during transition period</w:t>
      </w:r>
    </w:p>
    <w:p w:rsidR="008A0B84" w:rsidRPr="00FB55D9" w:rsidRDefault="008A0B84" w:rsidP="00FB55D9">
      <w:pPr>
        <w:pStyle w:val="subsection"/>
      </w:pPr>
      <w:r w:rsidRPr="00FB55D9">
        <w:tab/>
        <w:t>(2)</w:t>
      </w:r>
      <w:r w:rsidRPr="00FB55D9">
        <w:tab/>
        <w:t xml:space="preserve">For the period from </w:t>
      </w:r>
      <w:r w:rsidR="00750118" w:rsidRPr="00FB55D9">
        <w:t>1 July</w:t>
      </w:r>
      <w:r w:rsidRPr="00FB55D9">
        <w:t xml:space="preserve"> 2021 to 30 June 2022 (the </w:t>
      </w:r>
      <w:r w:rsidRPr="00FB55D9">
        <w:rPr>
          <w:b/>
          <w:i/>
        </w:rPr>
        <w:t>12 month transition period</w:t>
      </w:r>
      <w:r w:rsidRPr="00FB55D9">
        <w:t>):</w:t>
      </w:r>
    </w:p>
    <w:p w:rsidR="008A0B84" w:rsidRPr="00FB55D9" w:rsidRDefault="008A0B84" w:rsidP="00FB55D9">
      <w:pPr>
        <w:pStyle w:val="paragraph"/>
      </w:pPr>
      <w:r w:rsidRPr="00FB55D9">
        <w:lastRenderedPageBreak/>
        <w:tab/>
        <w:t>(a)</w:t>
      </w:r>
      <w:r w:rsidRPr="00FB55D9">
        <w:tab/>
      </w:r>
      <w:r w:rsidR="00750118" w:rsidRPr="00FB55D9">
        <w:t>subsection 9</w:t>
      </w:r>
      <w:r w:rsidRPr="00FB55D9">
        <w:t>62G(1), as amended by the amending Schedule, applies in relation to the ongoing fee arrangement as if it were replaced with subsection (3) of this section; and</w:t>
      </w:r>
    </w:p>
    <w:p w:rsidR="008A0B84" w:rsidRPr="00FB55D9" w:rsidRDefault="008A0B84" w:rsidP="00FB55D9">
      <w:pPr>
        <w:pStyle w:val="paragraph"/>
      </w:pPr>
      <w:r w:rsidRPr="00FB55D9">
        <w:tab/>
        <w:t>(b)</w:t>
      </w:r>
      <w:r w:rsidRPr="00FB55D9">
        <w:tab/>
      </w:r>
      <w:r w:rsidR="00750118" w:rsidRPr="00FB55D9">
        <w:t>subsection 9</w:t>
      </w:r>
      <w:r w:rsidRPr="00FB55D9">
        <w:t>62H(1), as amended by the amending Schedule, applies in relation to the ongoing fee arrangement as if it were replaced with subsection (4) of this section.</w:t>
      </w:r>
    </w:p>
    <w:p w:rsidR="008A0B84" w:rsidRPr="00FB55D9" w:rsidRDefault="008A0B84" w:rsidP="00FB55D9">
      <w:pPr>
        <w:pStyle w:val="subsection"/>
      </w:pPr>
      <w:r w:rsidRPr="00FB55D9">
        <w:tab/>
        <w:t>(3)</w:t>
      </w:r>
      <w:r w:rsidRPr="00FB55D9">
        <w:tab/>
        <w:t>The current fee recipient in relation to the ongoing fee arrangement must, on a day that is before the end of the 12 month transition period, give the client a fee disclosure statement for the arrangement and the transition day.</w:t>
      </w:r>
    </w:p>
    <w:p w:rsidR="008A0B84" w:rsidRPr="00FB55D9" w:rsidRDefault="008A0B84" w:rsidP="00FB55D9">
      <w:pPr>
        <w:pStyle w:val="subsection"/>
      </w:pPr>
      <w:r w:rsidRPr="00FB55D9">
        <w:tab/>
        <w:t>(4)</w:t>
      </w:r>
      <w:r w:rsidRPr="00FB55D9">
        <w:tab/>
        <w:t xml:space="preserve">A </w:t>
      </w:r>
      <w:r w:rsidRPr="00FB55D9">
        <w:rPr>
          <w:b/>
          <w:i/>
        </w:rPr>
        <w:t>fee disclosure statement</w:t>
      </w:r>
      <w:r w:rsidRPr="00FB55D9">
        <w:t xml:space="preserve"> for an ongoing fee arrangement and a transition day is a statement in writing that:</w:t>
      </w:r>
    </w:p>
    <w:p w:rsidR="008A0B84" w:rsidRPr="00FB55D9" w:rsidRDefault="008A0B84" w:rsidP="00FB55D9">
      <w:pPr>
        <w:pStyle w:val="paragraph"/>
      </w:pPr>
      <w:r w:rsidRPr="00FB55D9">
        <w:tab/>
        <w:t>(a)</w:t>
      </w:r>
      <w:r w:rsidRPr="00FB55D9">
        <w:tab/>
        <w:t>includes the information and statements required under this section; and</w:t>
      </w:r>
    </w:p>
    <w:p w:rsidR="008A0B84" w:rsidRPr="00FB55D9" w:rsidRDefault="008A0B84" w:rsidP="00FB55D9">
      <w:pPr>
        <w:pStyle w:val="paragraph"/>
      </w:pPr>
      <w:r w:rsidRPr="00FB55D9">
        <w:tab/>
        <w:t>(b)</w:t>
      </w:r>
      <w:r w:rsidRPr="00FB55D9">
        <w:tab/>
        <w:t>relates to:</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 xml:space="preserve">the period of 12 months (the </w:t>
      </w:r>
      <w:r w:rsidRPr="00FB55D9">
        <w:rPr>
          <w:b/>
          <w:i/>
        </w:rPr>
        <w:t>previous year</w:t>
      </w:r>
      <w:r w:rsidRPr="00FB55D9">
        <w:t>) ending immediately before the transition day for the arrangement; and</w:t>
      </w:r>
    </w:p>
    <w:p w:rsidR="008A0B84" w:rsidRPr="00FB55D9" w:rsidRDefault="008A0B84" w:rsidP="00FB55D9">
      <w:pPr>
        <w:pStyle w:val="paragraphsub"/>
      </w:pPr>
      <w:r w:rsidRPr="00FB55D9">
        <w:tab/>
        <w:t>(ii)</w:t>
      </w:r>
      <w:r w:rsidRPr="00FB55D9">
        <w:tab/>
        <w:t xml:space="preserve">the period of 12 months (the </w:t>
      </w:r>
      <w:r w:rsidRPr="00FB55D9">
        <w:rPr>
          <w:b/>
          <w:i/>
        </w:rPr>
        <w:t>upcoming year</w:t>
      </w:r>
      <w:r w:rsidRPr="00FB55D9">
        <w:t>) starting on the transition day for the arrangement.</w:t>
      </w:r>
    </w:p>
    <w:p w:rsidR="008A0B84" w:rsidRPr="00FB55D9" w:rsidRDefault="008A0B84" w:rsidP="00FB55D9">
      <w:pPr>
        <w:pStyle w:val="SubsectionHead"/>
      </w:pPr>
      <w:r w:rsidRPr="00FB55D9">
        <w:t>Modified application after transition period</w:t>
      </w:r>
    </w:p>
    <w:p w:rsidR="008A0B84" w:rsidRPr="00FB55D9" w:rsidRDefault="008A0B84" w:rsidP="00FB55D9">
      <w:pPr>
        <w:pStyle w:val="subsection"/>
      </w:pPr>
      <w:r w:rsidRPr="00FB55D9">
        <w:tab/>
        <w:t>(5)</w:t>
      </w:r>
      <w:r w:rsidRPr="00FB55D9">
        <w:tab/>
        <w:t xml:space="preserve">After </w:t>
      </w:r>
      <w:r w:rsidR="00750118" w:rsidRPr="00FB55D9">
        <w:t>1 July</w:t>
      </w:r>
      <w:r w:rsidRPr="00FB55D9">
        <w:t xml:space="preserve"> 2021, </w:t>
      </w:r>
      <w:r w:rsidR="00750118" w:rsidRPr="00FB55D9">
        <w:t>subsection 9</w:t>
      </w:r>
      <w:r w:rsidRPr="00FB55D9">
        <w:t>62G(3), as inserted by the amending Schedule, applies in relation to the ongoing fee arrangement as if it were replaced with subsection (6) of this section.</w:t>
      </w:r>
    </w:p>
    <w:p w:rsidR="008A0B84" w:rsidRPr="00FB55D9" w:rsidRDefault="008A0B84" w:rsidP="00FB55D9">
      <w:pPr>
        <w:pStyle w:val="subsection"/>
      </w:pPr>
      <w:r w:rsidRPr="00FB55D9">
        <w:tab/>
        <w:t>(6)</w:t>
      </w:r>
      <w:r w:rsidRPr="00FB55D9">
        <w:tab/>
      </w:r>
      <w:r w:rsidRPr="00FB55D9">
        <w:rPr>
          <w:b/>
          <w:i/>
        </w:rPr>
        <w:t>Anniversary day</w:t>
      </w:r>
      <w:r w:rsidRPr="00FB55D9">
        <w:t>, for an ongoing fee arrangement, means:</w:t>
      </w:r>
    </w:p>
    <w:p w:rsidR="008A0B84" w:rsidRPr="00FB55D9" w:rsidRDefault="008A0B84" w:rsidP="00FB55D9">
      <w:pPr>
        <w:pStyle w:val="paragraph"/>
      </w:pPr>
      <w:r w:rsidRPr="00FB55D9">
        <w:tab/>
        <w:t>(a)</w:t>
      </w:r>
      <w:r w:rsidRPr="00FB55D9">
        <w:tab/>
        <w:t>the transition day for the arrangement; or</w:t>
      </w:r>
    </w:p>
    <w:p w:rsidR="008A0B84" w:rsidRPr="00FB55D9" w:rsidRDefault="008A0B84" w:rsidP="00FB55D9">
      <w:pPr>
        <w:pStyle w:val="paragraph"/>
      </w:pPr>
      <w:r w:rsidRPr="00FB55D9">
        <w:tab/>
        <w:t>(b)</w:t>
      </w:r>
      <w:r w:rsidRPr="00FB55D9">
        <w:tab/>
        <w:t>the anniversary of the transition day for the arrangement.</w:t>
      </w:r>
    </w:p>
    <w:p w:rsidR="008A0B84" w:rsidRPr="00FB55D9" w:rsidRDefault="008A0B84" w:rsidP="00FB55D9">
      <w:pPr>
        <w:pStyle w:val="SubsectionHead"/>
      </w:pPr>
      <w:r w:rsidRPr="00FB55D9">
        <w:t>Acquisition of property</w:t>
      </w:r>
    </w:p>
    <w:p w:rsidR="008A0B84" w:rsidRPr="00FB55D9" w:rsidRDefault="008A0B84" w:rsidP="00FB55D9">
      <w:pPr>
        <w:pStyle w:val="subsection"/>
      </w:pPr>
      <w:r w:rsidRPr="00FB55D9">
        <w:tab/>
        <w:t>(7)</w:t>
      </w:r>
      <w:r w:rsidRPr="00FB55D9">
        <w:tab/>
      </w:r>
      <w:r w:rsidR="00750118" w:rsidRPr="00FB55D9">
        <w:t>Section 1</w:t>
      </w:r>
      <w:r w:rsidRPr="00FB55D9">
        <w:t>350 does not apply in relation to the operation of Subdivision B of Division 3 of Part 7.7A, as amended by the amending Schedule, in respect of the ongoing fee arrangement.</w:t>
      </w:r>
    </w:p>
    <w:p w:rsidR="008A0B84" w:rsidRPr="00FB55D9" w:rsidRDefault="008A0B84" w:rsidP="00FB55D9">
      <w:pPr>
        <w:pStyle w:val="ActHead5"/>
      </w:pPr>
      <w:bookmarkStart w:id="29" w:name="_Toc65762044"/>
      <w:r w:rsidRPr="003C052D">
        <w:rPr>
          <w:rStyle w:val="CharSectno"/>
        </w:rPr>
        <w:lastRenderedPageBreak/>
        <w:t>1673D</w:t>
      </w:r>
      <w:r w:rsidRPr="00FB55D9">
        <w:t xml:space="preserve">  Transitional—existing obligation to give a fee disclosure statement under </w:t>
      </w:r>
      <w:r w:rsidR="00750118" w:rsidRPr="00FB55D9">
        <w:t>section 9</w:t>
      </w:r>
      <w:r w:rsidRPr="00FB55D9">
        <w:t>62G</w:t>
      </w:r>
      <w:bookmarkEnd w:id="29"/>
    </w:p>
    <w:p w:rsidR="008A0B84" w:rsidRPr="00FB55D9" w:rsidRDefault="008A0B84" w:rsidP="00FB55D9">
      <w:pPr>
        <w:pStyle w:val="subsection"/>
      </w:pPr>
      <w:r w:rsidRPr="00FB55D9">
        <w:tab/>
        <w:t>(1)</w:t>
      </w:r>
      <w:r w:rsidRPr="00FB55D9">
        <w:tab/>
        <w:t>This section applies if:</w:t>
      </w:r>
    </w:p>
    <w:p w:rsidR="008A0B84" w:rsidRPr="00FB55D9" w:rsidRDefault="008A0B84" w:rsidP="00FB55D9">
      <w:pPr>
        <w:pStyle w:val="paragraph"/>
      </w:pPr>
      <w:r w:rsidRPr="00FB55D9">
        <w:tab/>
        <w:t>(a)</w:t>
      </w:r>
      <w:r w:rsidRPr="00FB55D9">
        <w:tab/>
        <w:t xml:space="preserve">a disclosure day for the ongoing fee arrangement occurs before </w:t>
      </w:r>
      <w:r w:rsidR="00750118" w:rsidRPr="00FB55D9">
        <w:t>1 July</w:t>
      </w:r>
      <w:r w:rsidRPr="00FB55D9">
        <w:t xml:space="preserve"> 2021; and</w:t>
      </w:r>
    </w:p>
    <w:p w:rsidR="008A0B84" w:rsidRPr="00FB55D9" w:rsidRDefault="008A0B84" w:rsidP="00FB55D9">
      <w:pPr>
        <w:pStyle w:val="paragraph"/>
      </w:pPr>
      <w:r w:rsidRPr="00FB55D9">
        <w:tab/>
        <w:t>(b)</w:t>
      </w:r>
      <w:r w:rsidRPr="00FB55D9">
        <w:tab/>
        <w:t xml:space="preserve">the period of 60 days beginning on the disclosure day ends on or after </w:t>
      </w:r>
      <w:r w:rsidR="00750118" w:rsidRPr="00FB55D9">
        <w:t>1 July</w:t>
      </w:r>
      <w:r w:rsidRPr="00FB55D9">
        <w:t xml:space="preserve"> 2021; and</w:t>
      </w:r>
    </w:p>
    <w:p w:rsidR="008A0B84" w:rsidRPr="00FB55D9" w:rsidRDefault="008A0B84" w:rsidP="00FB55D9">
      <w:pPr>
        <w:pStyle w:val="paragraph"/>
      </w:pPr>
      <w:r w:rsidRPr="00FB55D9">
        <w:tab/>
        <w:t>(c)</w:t>
      </w:r>
      <w:r w:rsidRPr="00FB55D9">
        <w:tab/>
        <w:t xml:space="preserve">before </w:t>
      </w:r>
      <w:r w:rsidR="00750118" w:rsidRPr="00FB55D9">
        <w:t>1 July</w:t>
      </w:r>
      <w:r w:rsidRPr="00FB55D9">
        <w:t xml:space="preserve"> 2021 the current fee recipient in relation to the ongoing fee arrangement has not given a fee disclosure statement in relation to the ongoing fee arrangement in accordance with the obligation arising under </w:t>
      </w:r>
      <w:r w:rsidR="00750118" w:rsidRPr="00FB55D9">
        <w:t>section 9</w:t>
      </w:r>
      <w:r w:rsidRPr="00FB55D9">
        <w:t xml:space="preserve">62G (as in force before </w:t>
      </w:r>
      <w:r w:rsidR="00750118" w:rsidRPr="00FB55D9">
        <w:t>1 July</w:t>
      </w:r>
      <w:r w:rsidRPr="00FB55D9">
        <w:t xml:space="preserve"> 2021) in relation to the disclosure day.</w:t>
      </w:r>
    </w:p>
    <w:p w:rsidR="008A0B84" w:rsidRPr="00FB55D9" w:rsidRDefault="008A0B84" w:rsidP="00FB55D9">
      <w:pPr>
        <w:pStyle w:val="subsection"/>
      </w:pPr>
      <w:r w:rsidRPr="00FB55D9">
        <w:tab/>
        <w:t>(2)</w:t>
      </w:r>
      <w:r w:rsidRPr="00FB55D9">
        <w:tab/>
        <w:t xml:space="preserve">The obligation on the fee recipient to give the fee disclosure statement within the 60 day period beginning on the disclosure day ceases on </w:t>
      </w:r>
      <w:r w:rsidR="00750118" w:rsidRPr="00FB55D9">
        <w:t>1 July</w:t>
      </w:r>
      <w:r w:rsidRPr="00FB55D9">
        <w:t xml:space="preserve"> 2021.</w:t>
      </w:r>
    </w:p>
    <w:p w:rsidR="008A0B84" w:rsidRPr="00FB55D9" w:rsidRDefault="008A0B84" w:rsidP="00FB55D9">
      <w:pPr>
        <w:pStyle w:val="subsection"/>
      </w:pPr>
      <w:r w:rsidRPr="00FB55D9">
        <w:tab/>
        <w:t>(3)</w:t>
      </w:r>
      <w:r w:rsidRPr="00FB55D9">
        <w:tab/>
        <w:t>However, to the extent that the fee disclosure statement referred to in subsection (2) would have been required to include information in relation to a period that would not otherwise be required to be included in a fee disclosure statement given under section 1673C, the fee disclosure statement given under that section must include that information.</w:t>
      </w:r>
    </w:p>
    <w:p w:rsidR="008A0B84" w:rsidRPr="00FB55D9" w:rsidRDefault="008A0B84" w:rsidP="00FB55D9">
      <w:pPr>
        <w:pStyle w:val="ActHead5"/>
      </w:pPr>
      <w:bookmarkStart w:id="30" w:name="_Toc65762045"/>
      <w:r w:rsidRPr="003C052D">
        <w:rPr>
          <w:rStyle w:val="CharSectno"/>
        </w:rPr>
        <w:t>1673E</w:t>
      </w:r>
      <w:r w:rsidRPr="00FB55D9">
        <w:t xml:space="preserve">  Transitional—existing obligation to give a renewal notice and fee disclosure statement under </w:t>
      </w:r>
      <w:r w:rsidR="00750118" w:rsidRPr="00FB55D9">
        <w:t>section 9</w:t>
      </w:r>
      <w:r w:rsidRPr="00FB55D9">
        <w:t>62K</w:t>
      </w:r>
      <w:bookmarkEnd w:id="30"/>
    </w:p>
    <w:p w:rsidR="008A0B84" w:rsidRPr="00FB55D9" w:rsidRDefault="008A0B84" w:rsidP="00FB55D9">
      <w:pPr>
        <w:pStyle w:val="subsection"/>
      </w:pPr>
      <w:r w:rsidRPr="00FB55D9">
        <w:tab/>
        <w:t>(1)</w:t>
      </w:r>
      <w:r w:rsidRPr="00FB55D9">
        <w:tab/>
        <w:t>This section applies if:</w:t>
      </w:r>
    </w:p>
    <w:p w:rsidR="008A0B84" w:rsidRPr="00FB55D9" w:rsidRDefault="008A0B84" w:rsidP="00FB55D9">
      <w:pPr>
        <w:pStyle w:val="paragraph"/>
      </w:pPr>
      <w:r w:rsidRPr="00FB55D9">
        <w:tab/>
        <w:t>(a)</w:t>
      </w:r>
      <w:r w:rsidRPr="00FB55D9">
        <w:tab/>
        <w:t xml:space="preserve">a renewal notice day for the ongoing fee arrangement occurs before </w:t>
      </w:r>
      <w:r w:rsidR="00750118" w:rsidRPr="00FB55D9">
        <w:t>1 July</w:t>
      </w:r>
      <w:r w:rsidRPr="00FB55D9">
        <w:t xml:space="preserve"> 2021; and</w:t>
      </w:r>
    </w:p>
    <w:p w:rsidR="008A0B84" w:rsidRPr="00FB55D9" w:rsidRDefault="008A0B84" w:rsidP="00FB55D9">
      <w:pPr>
        <w:pStyle w:val="paragraph"/>
      </w:pPr>
      <w:r w:rsidRPr="00FB55D9">
        <w:tab/>
        <w:t>(b)</w:t>
      </w:r>
      <w:r w:rsidRPr="00FB55D9">
        <w:tab/>
        <w:t xml:space="preserve">the period of 60 days beginning on the renewal notice day ends on or after </w:t>
      </w:r>
      <w:r w:rsidR="00750118" w:rsidRPr="00FB55D9">
        <w:t>1 July</w:t>
      </w:r>
      <w:r w:rsidRPr="00FB55D9">
        <w:t xml:space="preserve"> 2021; and</w:t>
      </w:r>
    </w:p>
    <w:p w:rsidR="008A0B84" w:rsidRPr="00FB55D9" w:rsidRDefault="008A0B84" w:rsidP="00FB55D9">
      <w:pPr>
        <w:pStyle w:val="paragraph"/>
      </w:pPr>
      <w:r w:rsidRPr="00FB55D9">
        <w:tab/>
        <w:t>(c)</w:t>
      </w:r>
      <w:r w:rsidRPr="00FB55D9">
        <w:tab/>
        <w:t xml:space="preserve">before </w:t>
      </w:r>
      <w:r w:rsidR="00750118" w:rsidRPr="00FB55D9">
        <w:t>1 July</w:t>
      </w:r>
      <w:r w:rsidRPr="00FB55D9">
        <w:t xml:space="preserve"> 2021 the current fee recipient in relation to the ongoing fee arrangement has not given a renewal notice and a fee disclosure statement in relation to the ongoing fee arrangement in accordance with the obligation arising under </w:t>
      </w:r>
      <w:r w:rsidR="00750118" w:rsidRPr="00FB55D9">
        <w:t>section 9</w:t>
      </w:r>
      <w:r w:rsidRPr="00FB55D9">
        <w:t xml:space="preserve">62K (as in force before </w:t>
      </w:r>
      <w:r w:rsidR="00750118" w:rsidRPr="00FB55D9">
        <w:t>1 July</w:t>
      </w:r>
      <w:r w:rsidRPr="00FB55D9">
        <w:t xml:space="preserve"> 2021) in relation to the renewal notice day.</w:t>
      </w:r>
    </w:p>
    <w:p w:rsidR="008A0B84" w:rsidRPr="00FB55D9" w:rsidRDefault="008A0B84" w:rsidP="00FB55D9">
      <w:pPr>
        <w:pStyle w:val="subsection"/>
      </w:pPr>
      <w:r w:rsidRPr="00FB55D9">
        <w:lastRenderedPageBreak/>
        <w:tab/>
        <w:t>(2)</w:t>
      </w:r>
      <w:r w:rsidRPr="00FB55D9">
        <w:tab/>
        <w:t xml:space="preserve">The obligation on the fee recipient to give the renewal notice and fee disclosure statement within the 60 day period beginning on the renewal notice day ceases on </w:t>
      </w:r>
      <w:r w:rsidR="00750118" w:rsidRPr="00FB55D9">
        <w:t>1 July</w:t>
      </w:r>
      <w:r w:rsidRPr="00FB55D9">
        <w:t xml:space="preserve"> 2021.</w:t>
      </w:r>
    </w:p>
    <w:p w:rsidR="008A0B84" w:rsidRPr="00FB55D9" w:rsidRDefault="008A0B84" w:rsidP="00FB55D9">
      <w:pPr>
        <w:pStyle w:val="subsection"/>
      </w:pPr>
      <w:r w:rsidRPr="00FB55D9">
        <w:tab/>
        <w:t>(3)</w:t>
      </w:r>
      <w:r w:rsidRPr="00FB55D9">
        <w:tab/>
        <w:t>However, to the extent that the fee disclosure statement referred to in subsection (2) would have been required to include information in relation to a period that would not otherwise be required to be included in a fee disclosure statement given under section 1673C, the fee disclosure statement given under that section must include that information.</w:t>
      </w:r>
    </w:p>
    <w:p w:rsidR="008A0B84" w:rsidRPr="00FB55D9" w:rsidRDefault="008A0B84" w:rsidP="00FB55D9">
      <w:pPr>
        <w:pStyle w:val="ActHead5"/>
      </w:pPr>
      <w:bookmarkStart w:id="31" w:name="_Toc65762046"/>
      <w:r w:rsidRPr="003C052D">
        <w:rPr>
          <w:rStyle w:val="CharSectno"/>
        </w:rPr>
        <w:t>1673F</w:t>
      </w:r>
      <w:r w:rsidRPr="00FB55D9">
        <w:t xml:space="preserve">  Application—consent requirements for deductions of ongoing fees</w:t>
      </w:r>
      <w:bookmarkEnd w:id="31"/>
    </w:p>
    <w:p w:rsidR="008A0B84" w:rsidRPr="00FB55D9" w:rsidRDefault="008A0B84" w:rsidP="00FB55D9">
      <w:pPr>
        <w:pStyle w:val="subsection"/>
      </w:pPr>
      <w:r w:rsidRPr="00FB55D9">
        <w:tab/>
        <w:t>(1)</w:t>
      </w:r>
      <w:r w:rsidRPr="00FB55D9">
        <w:tab/>
        <w:t xml:space="preserve">Subdivision C of Division 3 of Part 7.7A, as inserted by the amending Schedule, applies in relation to the ongoing fee arrangement on and from </w:t>
      </w:r>
      <w:r w:rsidR="00750118" w:rsidRPr="00FB55D9">
        <w:t>1 July</w:t>
      </w:r>
      <w:r w:rsidRPr="00FB55D9">
        <w:t xml:space="preserve"> 2022.</w:t>
      </w:r>
    </w:p>
    <w:p w:rsidR="008A0B84" w:rsidRPr="00FB55D9" w:rsidRDefault="008A0B84" w:rsidP="00FB55D9">
      <w:pPr>
        <w:pStyle w:val="subsection"/>
      </w:pPr>
      <w:r w:rsidRPr="00FB55D9">
        <w:tab/>
        <w:t>(2)</w:t>
      </w:r>
      <w:r w:rsidRPr="00FB55D9">
        <w:tab/>
        <w:t xml:space="preserve">However, if a person gives a fee recipient in relation to the ongoing fee arrangement consent for the purposes of that Subdivision before </w:t>
      </w:r>
      <w:r w:rsidR="00750118" w:rsidRPr="00FB55D9">
        <w:t>1 July</w:t>
      </w:r>
      <w:r w:rsidRPr="00FB55D9">
        <w:t xml:space="preserve"> 2022:</w:t>
      </w:r>
    </w:p>
    <w:p w:rsidR="008A0B84" w:rsidRPr="00FB55D9" w:rsidRDefault="008A0B84" w:rsidP="00FB55D9">
      <w:pPr>
        <w:pStyle w:val="paragraph"/>
      </w:pPr>
      <w:r w:rsidRPr="00FB55D9">
        <w:tab/>
        <w:t>(a)</w:t>
      </w:r>
      <w:r w:rsidRPr="00FB55D9">
        <w:tab/>
      </w:r>
      <w:r w:rsidR="00750118" w:rsidRPr="00FB55D9">
        <w:t>section 9</w:t>
      </w:r>
      <w:r w:rsidRPr="00FB55D9">
        <w:t>62U (variation or withdrawal of consent) in that Subdivision applies in relation to the consent from when it is given; and</w:t>
      </w:r>
    </w:p>
    <w:p w:rsidR="008A0B84" w:rsidRPr="00FB55D9" w:rsidRDefault="008A0B84" w:rsidP="00FB55D9">
      <w:pPr>
        <w:pStyle w:val="paragraph"/>
      </w:pPr>
      <w:r w:rsidRPr="00FB55D9">
        <w:tab/>
        <w:t>(b)</w:t>
      </w:r>
      <w:r w:rsidRPr="00FB55D9">
        <w:tab/>
      </w:r>
      <w:r w:rsidR="00750118" w:rsidRPr="00FB55D9">
        <w:t>section 9</w:t>
      </w:r>
      <w:r w:rsidRPr="00FB55D9">
        <w:t>62X (obligation to keep records of compliance), as inserted by the amending Schedule, applies in relation to records relating to the consent.</w:t>
      </w:r>
    </w:p>
    <w:p w:rsidR="008A0B84" w:rsidRPr="00FB55D9" w:rsidRDefault="008A0B84" w:rsidP="00FB55D9">
      <w:pPr>
        <w:pStyle w:val="subsection"/>
      </w:pPr>
      <w:r w:rsidRPr="00FB55D9">
        <w:tab/>
        <w:t>(3)</w:t>
      </w:r>
      <w:r w:rsidRPr="00FB55D9">
        <w:tab/>
      </w:r>
      <w:r w:rsidR="00750118" w:rsidRPr="00FB55D9">
        <w:t>Section 1</w:t>
      </w:r>
      <w:r w:rsidRPr="00FB55D9">
        <w:t>350 does not apply in relation to the operation of Subdivision C of Division 3 of Part 7.7A, as inserted by the amending Schedule, in respect of the ongoing fee arrangement.</w:t>
      </w:r>
    </w:p>
    <w:p w:rsidR="008A0B84" w:rsidRPr="00FB55D9" w:rsidRDefault="008A0B84" w:rsidP="00FB55D9">
      <w:pPr>
        <w:pStyle w:val="ActHead5"/>
      </w:pPr>
      <w:bookmarkStart w:id="32" w:name="_Toc65762047"/>
      <w:r w:rsidRPr="003C052D">
        <w:rPr>
          <w:rStyle w:val="CharSectno"/>
        </w:rPr>
        <w:t>1673G</w:t>
      </w:r>
      <w:r w:rsidRPr="00FB55D9">
        <w:t xml:space="preserve">  Application—compliance records</w:t>
      </w:r>
      <w:bookmarkEnd w:id="32"/>
    </w:p>
    <w:p w:rsidR="008A0B84" w:rsidRPr="00FB55D9" w:rsidRDefault="008A0B84" w:rsidP="00FB55D9">
      <w:pPr>
        <w:pStyle w:val="subsection"/>
      </w:pPr>
      <w:r w:rsidRPr="00FB55D9">
        <w:tab/>
      </w:r>
      <w:r w:rsidRPr="00FB55D9">
        <w:tab/>
        <w:t xml:space="preserve">Subdivision D of Division 3 of Part 7.7A, as inserted by the amending Schedule, applies on and from </w:t>
      </w:r>
      <w:r w:rsidR="00750118" w:rsidRPr="00FB55D9">
        <w:t>1 July</w:t>
      </w:r>
      <w:r w:rsidRPr="00FB55D9">
        <w:t xml:space="preserve"> 2021 in relation to a fee recipient’s compliance with Division 3 of Part 7.7A on and from that date in relation to the ongoing fee arrangement.</w:t>
      </w:r>
    </w:p>
    <w:p w:rsidR="008A0B84" w:rsidRPr="00FB55D9" w:rsidRDefault="008A0B84" w:rsidP="00FB55D9">
      <w:pPr>
        <w:pStyle w:val="ActHead7"/>
        <w:pageBreakBefore/>
      </w:pPr>
      <w:bookmarkStart w:id="33" w:name="_Toc65762048"/>
      <w:r w:rsidRPr="003C052D">
        <w:rPr>
          <w:rStyle w:val="CharAmPartNo"/>
        </w:rPr>
        <w:lastRenderedPageBreak/>
        <w:t>Part 2</w:t>
      </w:r>
      <w:r w:rsidRPr="00FB55D9">
        <w:t>—</w:t>
      </w:r>
      <w:r w:rsidRPr="003C052D">
        <w:rPr>
          <w:rStyle w:val="CharAmPartText"/>
        </w:rPr>
        <w:t>Consequential amendments</w:t>
      </w:r>
      <w:bookmarkEnd w:id="33"/>
    </w:p>
    <w:p w:rsidR="008A0B84" w:rsidRPr="00FB55D9" w:rsidRDefault="008A0B84" w:rsidP="00FB55D9">
      <w:pPr>
        <w:pStyle w:val="ActHead9"/>
        <w:rPr>
          <w:i w:val="0"/>
        </w:rPr>
      </w:pPr>
      <w:bookmarkStart w:id="34" w:name="_Toc65762049"/>
      <w:r w:rsidRPr="00FB55D9">
        <w:t>Corporations Act 2001</w:t>
      </w:r>
      <w:bookmarkEnd w:id="34"/>
    </w:p>
    <w:p w:rsidR="008A0B84" w:rsidRPr="00FB55D9" w:rsidRDefault="00750118" w:rsidP="00FB55D9">
      <w:pPr>
        <w:pStyle w:val="ItemHead"/>
      </w:pPr>
      <w:r w:rsidRPr="00FB55D9">
        <w:t>27</w:t>
      </w:r>
      <w:r w:rsidR="008A0B84" w:rsidRPr="00FB55D9">
        <w:t xml:space="preserve">  </w:t>
      </w:r>
      <w:r w:rsidRPr="00FB55D9">
        <w:t>Section 9</w:t>
      </w:r>
      <w:r w:rsidR="008A0B84" w:rsidRPr="00FB55D9">
        <w:t xml:space="preserve"> (</w:t>
      </w:r>
      <w:r w:rsidRPr="00FB55D9">
        <w:t>paragraph (</w:t>
      </w:r>
      <w:proofErr w:type="spellStart"/>
      <w:r w:rsidR="008A0B84" w:rsidRPr="00FB55D9">
        <w:t>ba</w:t>
      </w:r>
      <w:proofErr w:type="spellEnd"/>
      <w:r w:rsidR="008A0B84" w:rsidRPr="00FB55D9">
        <w:t xml:space="preserve">) of the definition of </w:t>
      </w:r>
      <w:r w:rsidR="008A0B84" w:rsidRPr="00FB55D9">
        <w:rPr>
          <w:i/>
        </w:rPr>
        <w:t>civil penalty order</w:t>
      </w:r>
      <w:r w:rsidR="008A0B84" w:rsidRPr="00FB55D9">
        <w:t>)</w:t>
      </w:r>
    </w:p>
    <w:p w:rsidR="008A0B84" w:rsidRPr="00FB55D9" w:rsidRDefault="008A0B84" w:rsidP="00FB55D9">
      <w:pPr>
        <w:pStyle w:val="Item"/>
      </w:pPr>
      <w:r w:rsidRPr="00FB55D9">
        <w:t>After “section 1317GA”, insert “or 1317GB”.</w:t>
      </w:r>
    </w:p>
    <w:p w:rsidR="008A0B84" w:rsidRPr="00FB55D9" w:rsidRDefault="00750118" w:rsidP="00FB55D9">
      <w:pPr>
        <w:pStyle w:val="ItemHead"/>
      </w:pPr>
      <w:r w:rsidRPr="00FB55D9">
        <w:t>28</w:t>
      </w:r>
      <w:r w:rsidR="008A0B84" w:rsidRPr="00FB55D9">
        <w:t xml:space="preserve">  </w:t>
      </w:r>
      <w:r w:rsidRPr="00FB55D9">
        <w:t>Section 9</w:t>
      </w:r>
      <w:r w:rsidR="008A0B84" w:rsidRPr="00FB55D9">
        <w:t xml:space="preserve"> (after </w:t>
      </w:r>
      <w:r w:rsidRPr="00FB55D9">
        <w:t>paragraph (</w:t>
      </w:r>
      <w:r w:rsidR="008A0B84" w:rsidRPr="00FB55D9">
        <w:t xml:space="preserve">c) of the definition of </w:t>
      </w:r>
      <w:r w:rsidR="008A0B84" w:rsidRPr="00FB55D9">
        <w:rPr>
          <w:i/>
        </w:rPr>
        <w:t>Part 7.7A civil penalty provision</w:t>
      </w:r>
      <w:r w:rsidR="008A0B84" w:rsidRPr="00FB55D9">
        <w:t>)</w:t>
      </w:r>
    </w:p>
    <w:p w:rsidR="008A0B84" w:rsidRPr="00FB55D9" w:rsidRDefault="008A0B84" w:rsidP="00FB55D9">
      <w:pPr>
        <w:pStyle w:val="Item"/>
      </w:pPr>
      <w:r w:rsidRPr="00FB55D9">
        <w:t>Insert:</w:t>
      </w:r>
    </w:p>
    <w:p w:rsidR="008A0B84" w:rsidRPr="00FB55D9" w:rsidRDefault="008A0B84" w:rsidP="00FB55D9">
      <w:pPr>
        <w:pStyle w:val="paragraph"/>
      </w:pPr>
      <w:r w:rsidRPr="00FB55D9">
        <w:tab/>
        <w:t>(ca)</w:t>
      </w:r>
      <w:r w:rsidRPr="00FB55D9">
        <w:tab/>
      </w:r>
      <w:r w:rsidR="00750118" w:rsidRPr="00FB55D9">
        <w:t>subsection 9</w:t>
      </w:r>
      <w:r w:rsidRPr="00FB55D9">
        <w:t>62G(4) (fee recipient must give fee disclosure statement);</w:t>
      </w:r>
    </w:p>
    <w:p w:rsidR="008A0B84" w:rsidRPr="00FB55D9" w:rsidRDefault="00750118" w:rsidP="00FB55D9">
      <w:pPr>
        <w:pStyle w:val="ItemHead"/>
      </w:pPr>
      <w:r w:rsidRPr="00FB55D9">
        <w:t>29</w:t>
      </w:r>
      <w:r w:rsidR="008A0B84" w:rsidRPr="00FB55D9">
        <w:t xml:space="preserve">  </w:t>
      </w:r>
      <w:r w:rsidRPr="00FB55D9">
        <w:t>Section 9</w:t>
      </w:r>
      <w:r w:rsidR="008A0B84" w:rsidRPr="00FB55D9">
        <w:t xml:space="preserve"> (</w:t>
      </w:r>
      <w:r w:rsidRPr="00FB55D9">
        <w:t>paragraph (</w:t>
      </w:r>
      <w:r w:rsidR="008A0B84" w:rsidRPr="00FB55D9">
        <w:t xml:space="preserve">e) of the definition of </w:t>
      </w:r>
      <w:r w:rsidR="008A0B84" w:rsidRPr="00FB55D9">
        <w:rPr>
          <w:i/>
        </w:rPr>
        <w:t>Part 7.7A civil penalty provision</w:t>
      </w:r>
      <w:r w:rsidR="008A0B84" w:rsidRPr="00FB55D9">
        <w:t>)</w:t>
      </w:r>
    </w:p>
    <w:p w:rsidR="008A0B84" w:rsidRPr="00FB55D9" w:rsidRDefault="008A0B84" w:rsidP="00FB55D9">
      <w:pPr>
        <w:pStyle w:val="Item"/>
      </w:pPr>
      <w:r w:rsidRPr="00FB55D9">
        <w:t>Repeal the paragraph, substitute:</w:t>
      </w:r>
    </w:p>
    <w:p w:rsidR="008A0B84" w:rsidRPr="00FB55D9" w:rsidRDefault="008A0B84" w:rsidP="00FB55D9">
      <w:pPr>
        <w:pStyle w:val="paragraph"/>
      </w:pPr>
      <w:r w:rsidRPr="00FB55D9">
        <w:tab/>
        <w:t>(e)</w:t>
      </w:r>
      <w:r w:rsidRPr="00FB55D9">
        <w:tab/>
      </w:r>
      <w:r w:rsidR="00750118" w:rsidRPr="00FB55D9">
        <w:t>subsection 9</w:t>
      </w:r>
      <w:r w:rsidRPr="00FB55D9">
        <w:t>62R(4) (fee recipient must not deduct ongoing fees without consent);</w:t>
      </w:r>
    </w:p>
    <w:p w:rsidR="008A0B84" w:rsidRPr="00FB55D9" w:rsidRDefault="008A0B84" w:rsidP="00FB55D9">
      <w:pPr>
        <w:pStyle w:val="paragraph"/>
      </w:pPr>
      <w:r w:rsidRPr="00FB55D9">
        <w:tab/>
        <w:t>(</w:t>
      </w:r>
      <w:proofErr w:type="spellStart"/>
      <w:r w:rsidRPr="00FB55D9">
        <w:t>ea</w:t>
      </w:r>
      <w:proofErr w:type="spellEnd"/>
      <w:r w:rsidRPr="00FB55D9">
        <w:t>)</w:t>
      </w:r>
      <w:r w:rsidRPr="00FB55D9">
        <w:tab/>
      </w:r>
      <w:r w:rsidR="00750118" w:rsidRPr="00FB55D9">
        <w:t>subsection 9</w:t>
      </w:r>
      <w:r w:rsidRPr="00FB55D9">
        <w:t>62S(5) or (8) (fee recipient must not arrange for deduction of ongoing fees without consent or accept such deductions);</w:t>
      </w:r>
    </w:p>
    <w:p w:rsidR="008A0B84" w:rsidRPr="00FB55D9" w:rsidRDefault="008A0B84" w:rsidP="00FB55D9">
      <w:pPr>
        <w:pStyle w:val="paragraph"/>
      </w:pPr>
      <w:r w:rsidRPr="00FB55D9">
        <w:tab/>
        <w:t>(eb)</w:t>
      </w:r>
      <w:r w:rsidRPr="00FB55D9">
        <w:tab/>
      </w:r>
      <w:r w:rsidR="00750118" w:rsidRPr="00FB55D9">
        <w:t>subsection 9</w:t>
      </w:r>
      <w:r w:rsidRPr="00FB55D9">
        <w:t>62U(3) (fee recipient must confirm receipt of variation or withdrawal of consent for deductions of ongoing fees);</w:t>
      </w:r>
    </w:p>
    <w:p w:rsidR="008A0B84" w:rsidRPr="00FB55D9" w:rsidRDefault="008A0B84" w:rsidP="00FB55D9">
      <w:pPr>
        <w:pStyle w:val="paragraph"/>
      </w:pPr>
      <w:r w:rsidRPr="00FB55D9">
        <w:tab/>
        <w:t>(</w:t>
      </w:r>
      <w:proofErr w:type="spellStart"/>
      <w:r w:rsidRPr="00FB55D9">
        <w:t>ec</w:t>
      </w:r>
      <w:proofErr w:type="spellEnd"/>
      <w:r w:rsidRPr="00FB55D9">
        <w:t>)</w:t>
      </w:r>
      <w:r w:rsidRPr="00FB55D9">
        <w:tab/>
      </w:r>
      <w:r w:rsidR="00750118" w:rsidRPr="00FB55D9">
        <w:t>subsection 9</w:t>
      </w:r>
      <w:r w:rsidRPr="00FB55D9">
        <w:t>62V(3) (fee recipient must give written notice of cessation of consent to account provider);</w:t>
      </w:r>
    </w:p>
    <w:p w:rsidR="008A0B84" w:rsidRPr="00FB55D9" w:rsidRDefault="00750118" w:rsidP="00FB55D9">
      <w:pPr>
        <w:pStyle w:val="ItemHead"/>
      </w:pPr>
      <w:r w:rsidRPr="00FB55D9">
        <w:t>30</w:t>
      </w:r>
      <w:r w:rsidR="008A0B84" w:rsidRPr="00FB55D9">
        <w:t xml:space="preserve">  In the appropriate position in </w:t>
      </w:r>
      <w:r w:rsidRPr="00FB55D9">
        <w:t>subsection 1</w:t>
      </w:r>
      <w:r w:rsidR="008A0B84" w:rsidRPr="00FB55D9">
        <w:t>317E(3)</w:t>
      </w:r>
    </w:p>
    <w:p w:rsidR="008A0B84" w:rsidRPr="00FB55D9" w:rsidRDefault="008A0B84" w:rsidP="00FB55D9">
      <w:pPr>
        <w:pStyle w:val="Item"/>
      </w:pPr>
      <w:r w:rsidRPr="00FB55D9">
        <w:t>Insert:</w:t>
      </w:r>
    </w:p>
    <w:p w:rsidR="008A0B84" w:rsidRPr="00FB55D9" w:rsidRDefault="008A0B84" w:rsidP="00FB55D9">
      <w:pPr>
        <w:pStyle w:val="Tabletext"/>
      </w:pPr>
    </w:p>
    <w:tbl>
      <w:tblPr>
        <w:tblW w:w="7435" w:type="dxa"/>
        <w:tblLayout w:type="fixed"/>
        <w:tblLook w:val="0000" w:firstRow="0" w:lastRow="0" w:firstColumn="0" w:lastColumn="0" w:noHBand="0" w:noVBand="0"/>
      </w:tblPr>
      <w:tblGrid>
        <w:gridCol w:w="2410"/>
        <w:gridCol w:w="3119"/>
        <w:gridCol w:w="1906"/>
      </w:tblGrid>
      <w:tr w:rsidR="008A0B84" w:rsidRPr="00FB55D9" w:rsidTr="00750118">
        <w:tc>
          <w:tcPr>
            <w:tcW w:w="2410" w:type="dxa"/>
            <w:shd w:val="clear" w:color="auto" w:fill="auto"/>
          </w:tcPr>
          <w:p w:rsidR="008A0B84" w:rsidRPr="00FB55D9" w:rsidRDefault="00750118" w:rsidP="00FB55D9">
            <w:pPr>
              <w:pStyle w:val="Tabletext"/>
            </w:pPr>
            <w:r w:rsidRPr="00FB55D9">
              <w:t>subsection 9</w:t>
            </w:r>
            <w:r w:rsidR="008A0B84" w:rsidRPr="00FB55D9">
              <w:t>62G(4)</w:t>
            </w:r>
          </w:p>
        </w:tc>
        <w:tc>
          <w:tcPr>
            <w:tcW w:w="3119" w:type="dxa"/>
            <w:shd w:val="clear" w:color="auto" w:fill="auto"/>
          </w:tcPr>
          <w:p w:rsidR="008A0B84" w:rsidRPr="00FB55D9" w:rsidRDefault="008A0B84" w:rsidP="00FB55D9">
            <w:pPr>
              <w:pStyle w:val="Tabletext"/>
            </w:pPr>
            <w:r w:rsidRPr="00FB55D9">
              <w:t>fee recipient must give client a fee disclosure statement</w:t>
            </w:r>
          </w:p>
        </w:tc>
        <w:tc>
          <w:tcPr>
            <w:tcW w:w="1906" w:type="dxa"/>
            <w:shd w:val="clear" w:color="auto" w:fill="auto"/>
          </w:tcPr>
          <w:p w:rsidR="008A0B84" w:rsidRPr="00FB55D9" w:rsidRDefault="008A0B84" w:rsidP="00FB55D9">
            <w:pPr>
              <w:pStyle w:val="Tabletext"/>
            </w:pPr>
            <w:r w:rsidRPr="00FB55D9">
              <w:t>uncategorised</w:t>
            </w:r>
          </w:p>
        </w:tc>
      </w:tr>
    </w:tbl>
    <w:p w:rsidR="008A0B84" w:rsidRPr="00FB55D9" w:rsidRDefault="008A0B84" w:rsidP="00FB55D9">
      <w:pPr>
        <w:pStyle w:val="Tabletext"/>
      </w:pPr>
    </w:p>
    <w:p w:rsidR="008A0B84" w:rsidRPr="00FB55D9" w:rsidRDefault="00750118" w:rsidP="00FB55D9">
      <w:pPr>
        <w:pStyle w:val="ItemHead"/>
      </w:pPr>
      <w:r w:rsidRPr="00FB55D9">
        <w:lastRenderedPageBreak/>
        <w:t>31</w:t>
      </w:r>
      <w:r w:rsidR="008A0B84" w:rsidRPr="00FB55D9">
        <w:t xml:space="preserve">  Subsection 1317E(3) (table item dealing with </w:t>
      </w:r>
      <w:r w:rsidRPr="00FB55D9">
        <w:t>subsection 9</w:t>
      </w:r>
      <w:r w:rsidR="008A0B84" w:rsidRPr="00FB55D9">
        <w:t>62S(1))</w:t>
      </w:r>
    </w:p>
    <w:p w:rsidR="008A0B84" w:rsidRPr="00FB55D9" w:rsidRDefault="008A0B84" w:rsidP="00FB55D9">
      <w:pPr>
        <w:pStyle w:val="Item"/>
      </w:pPr>
      <w:r w:rsidRPr="00FB55D9">
        <w:t>Repeal the item, substitute:</w:t>
      </w:r>
    </w:p>
    <w:p w:rsidR="008A0B84" w:rsidRPr="00FB55D9" w:rsidRDefault="008A0B84" w:rsidP="00FB55D9">
      <w:pPr>
        <w:pStyle w:val="Tabletext"/>
      </w:pPr>
    </w:p>
    <w:tbl>
      <w:tblPr>
        <w:tblW w:w="743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410"/>
        <w:gridCol w:w="3119"/>
        <w:gridCol w:w="1906"/>
      </w:tblGrid>
      <w:tr w:rsidR="008A0B84" w:rsidRPr="00FB55D9" w:rsidTr="00750118">
        <w:tc>
          <w:tcPr>
            <w:tcW w:w="2410" w:type="dxa"/>
            <w:tcBorders>
              <w:top w:val="nil"/>
            </w:tcBorders>
            <w:shd w:val="clear" w:color="auto" w:fill="auto"/>
          </w:tcPr>
          <w:p w:rsidR="008A0B84" w:rsidRPr="00FB55D9" w:rsidRDefault="00750118" w:rsidP="00FB55D9">
            <w:pPr>
              <w:pStyle w:val="Tabletext"/>
            </w:pPr>
            <w:r w:rsidRPr="00FB55D9">
              <w:t>subsection 9</w:t>
            </w:r>
            <w:r w:rsidR="008A0B84" w:rsidRPr="00FB55D9">
              <w:t>62R(4)</w:t>
            </w:r>
          </w:p>
        </w:tc>
        <w:tc>
          <w:tcPr>
            <w:tcW w:w="3119" w:type="dxa"/>
            <w:tcBorders>
              <w:top w:val="nil"/>
            </w:tcBorders>
            <w:shd w:val="clear" w:color="auto" w:fill="auto"/>
          </w:tcPr>
          <w:p w:rsidR="008A0B84" w:rsidRPr="00FB55D9" w:rsidRDefault="008A0B84" w:rsidP="00FB55D9">
            <w:pPr>
              <w:pStyle w:val="Tabletext"/>
            </w:pPr>
            <w:r w:rsidRPr="00FB55D9">
              <w:t>fee recipient must obtain consent to deduct ongoing fees from an account</w:t>
            </w:r>
          </w:p>
        </w:tc>
        <w:tc>
          <w:tcPr>
            <w:tcW w:w="1906" w:type="dxa"/>
            <w:tcBorders>
              <w:top w:val="nil"/>
            </w:tcBorders>
            <w:shd w:val="clear" w:color="auto" w:fill="auto"/>
          </w:tcPr>
          <w:p w:rsidR="008A0B84" w:rsidRPr="00FB55D9" w:rsidRDefault="008A0B84" w:rsidP="00FB55D9">
            <w:pPr>
              <w:pStyle w:val="Tabletext"/>
            </w:pPr>
            <w:r w:rsidRPr="00FB55D9">
              <w:t>uncategorised</w:t>
            </w:r>
          </w:p>
        </w:tc>
      </w:tr>
      <w:tr w:rsidR="008A0B84" w:rsidRPr="00FB55D9" w:rsidTr="00750118">
        <w:tc>
          <w:tcPr>
            <w:tcW w:w="2410" w:type="dxa"/>
            <w:shd w:val="clear" w:color="auto" w:fill="auto"/>
          </w:tcPr>
          <w:p w:rsidR="008A0B84" w:rsidRPr="00FB55D9" w:rsidRDefault="00750118" w:rsidP="00FB55D9">
            <w:pPr>
              <w:pStyle w:val="Tabletext"/>
            </w:pPr>
            <w:r w:rsidRPr="00FB55D9">
              <w:t>subsection 9</w:t>
            </w:r>
            <w:r w:rsidR="008A0B84" w:rsidRPr="00FB55D9">
              <w:t>62S(5)</w:t>
            </w:r>
          </w:p>
        </w:tc>
        <w:tc>
          <w:tcPr>
            <w:tcW w:w="3119" w:type="dxa"/>
            <w:shd w:val="clear" w:color="auto" w:fill="auto"/>
          </w:tcPr>
          <w:p w:rsidR="008A0B84" w:rsidRPr="00FB55D9" w:rsidRDefault="008A0B84" w:rsidP="00FB55D9">
            <w:pPr>
              <w:pStyle w:val="Tabletext"/>
            </w:pPr>
            <w:r w:rsidRPr="00FB55D9">
              <w:t>fee recipient must obtain consent to arrange for deductions of ongoing fees from an account</w:t>
            </w:r>
          </w:p>
        </w:tc>
        <w:tc>
          <w:tcPr>
            <w:tcW w:w="1906" w:type="dxa"/>
            <w:shd w:val="clear" w:color="auto" w:fill="auto"/>
          </w:tcPr>
          <w:p w:rsidR="008A0B84" w:rsidRPr="00FB55D9" w:rsidRDefault="008A0B84" w:rsidP="00FB55D9">
            <w:pPr>
              <w:pStyle w:val="Tabletext"/>
            </w:pPr>
            <w:r w:rsidRPr="00FB55D9">
              <w:t>uncategorised</w:t>
            </w:r>
          </w:p>
        </w:tc>
      </w:tr>
      <w:tr w:rsidR="008A0B84" w:rsidRPr="00FB55D9" w:rsidTr="00750118">
        <w:tc>
          <w:tcPr>
            <w:tcW w:w="2410" w:type="dxa"/>
            <w:tcBorders>
              <w:bottom w:val="single" w:sz="2" w:space="0" w:color="auto"/>
            </w:tcBorders>
            <w:shd w:val="clear" w:color="auto" w:fill="auto"/>
          </w:tcPr>
          <w:p w:rsidR="008A0B84" w:rsidRPr="00FB55D9" w:rsidRDefault="00750118" w:rsidP="00FB55D9">
            <w:pPr>
              <w:pStyle w:val="Tabletext"/>
            </w:pPr>
            <w:r w:rsidRPr="00FB55D9">
              <w:t>subsection 9</w:t>
            </w:r>
            <w:r w:rsidR="008A0B84" w:rsidRPr="00FB55D9">
              <w:t>62S(8)</w:t>
            </w:r>
          </w:p>
        </w:tc>
        <w:tc>
          <w:tcPr>
            <w:tcW w:w="3119" w:type="dxa"/>
            <w:tcBorders>
              <w:bottom w:val="single" w:sz="2" w:space="0" w:color="auto"/>
            </w:tcBorders>
            <w:shd w:val="clear" w:color="auto" w:fill="auto"/>
          </w:tcPr>
          <w:p w:rsidR="008A0B84" w:rsidRPr="00FB55D9" w:rsidRDefault="008A0B84" w:rsidP="00FB55D9">
            <w:pPr>
              <w:pStyle w:val="Tabletext"/>
            </w:pPr>
            <w:r w:rsidRPr="00FB55D9">
              <w:t>fee recipient must not accept payment of ongoing fees resulting from a deduction from an account without consent</w:t>
            </w:r>
          </w:p>
        </w:tc>
        <w:tc>
          <w:tcPr>
            <w:tcW w:w="1906" w:type="dxa"/>
            <w:tcBorders>
              <w:bottom w:val="single" w:sz="2" w:space="0" w:color="auto"/>
            </w:tcBorders>
            <w:shd w:val="clear" w:color="auto" w:fill="auto"/>
          </w:tcPr>
          <w:p w:rsidR="008A0B84" w:rsidRPr="00FB55D9" w:rsidRDefault="008A0B84" w:rsidP="00FB55D9">
            <w:pPr>
              <w:pStyle w:val="Tabletext"/>
            </w:pPr>
            <w:r w:rsidRPr="00FB55D9">
              <w:t>uncategorised</w:t>
            </w:r>
          </w:p>
        </w:tc>
      </w:tr>
      <w:tr w:rsidR="008A0B84" w:rsidRPr="00FB55D9" w:rsidTr="00750118">
        <w:tc>
          <w:tcPr>
            <w:tcW w:w="2410" w:type="dxa"/>
            <w:tcBorders>
              <w:top w:val="single" w:sz="2" w:space="0" w:color="auto"/>
              <w:bottom w:val="single" w:sz="2" w:space="0" w:color="auto"/>
            </w:tcBorders>
            <w:shd w:val="clear" w:color="auto" w:fill="auto"/>
          </w:tcPr>
          <w:p w:rsidR="008A0B84" w:rsidRPr="00FB55D9" w:rsidRDefault="00750118" w:rsidP="00FB55D9">
            <w:pPr>
              <w:pStyle w:val="Tabletext"/>
            </w:pPr>
            <w:r w:rsidRPr="00FB55D9">
              <w:t>subsection 9</w:t>
            </w:r>
            <w:r w:rsidR="008A0B84" w:rsidRPr="00FB55D9">
              <w:t>62U(3)</w:t>
            </w:r>
          </w:p>
        </w:tc>
        <w:tc>
          <w:tcPr>
            <w:tcW w:w="3119" w:type="dxa"/>
            <w:tcBorders>
              <w:top w:val="single" w:sz="2" w:space="0" w:color="auto"/>
              <w:bottom w:val="single" w:sz="2" w:space="0" w:color="auto"/>
            </w:tcBorders>
            <w:shd w:val="clear" w:color="auto" w:fill="auto"/>
          </w:tcPr>
          <w:p w:rsidR="008A0B84" w:rsidRPr="00FB55D9" w:rsidRDefault="008A0B84" w:rsidP="00FB55D9">
            <w:pPr>
              <w:pStyle w:val="Tabletext"/>
            </w:pPr>
            <w:r w:rsidRPr="00FB55D9">
              <w:t>fee recipient to confirm receipt of variation or withdrawal of consent for deductions of ongoing fees</w:t>
            </w:r>
          </w:p>
        </w:tc>
        <w:tc>
          <w:tcPr>
            <w:tcW w:w="1906" w:type="dxa"/>
            <w:tcBorders>
              <w:top w:val="single" w:sz="2" w:space="0" w:color="auto"/>
              <w:bottom w:val="single" w:sz="2" w:space="0" w:color="auto"/>
            </w:tcBorders>
            <w:shd w:val="clear" w:color="auto" w:fill="auto"/>
          </w:tcPr>
          <w:p w:rsidR="008A0B84" w:rsidRPr="00FB55D9" w:rsidRDefault="008A0B84" w:rsidP="00FB55D9">
            <w:pPr>
              <w:pStyle w:val="Tabletext"/>
            </w:pPr>
            <w:r w:rsidRPr="00FB55D9">
              <w:t>uncategorised</w:t>
            </w:r>
          </w:p>
        </w:tc>
      </w:tr>
      <w:tr w:rsidR="008A0B84" w:rsidRPr="00FB55D9" w:rsidTr="00750118">
        <w:tc>
          <w:tcPr>
            <w:tcW w:w="2410" w:type="dxa"/>
            <w:tcBorders>
              <w:top w:val="single" w:sz="2" w:space="0" w:color="auto"/>
              <w:bottom w:val="nil"/>
            </w:tcBorders>
            <w:shd w:val="clear" w:color="auto" w:fill="auto"/>
          </w:tcPr>
          <w:p w:rsidR="008A0B84" w:rsidRPr="00FB55D9" w:rsidRDefault="00750118" w:rsidP="00FB55D9">
            <w:pPr>
              <w:pStyle w:val="Tabletext"/>
            </w:pPr>
            <w:r w:rsidRPr="00FB55D9">
              <w:t>subsection 9</w:t>
            </w:r>
            <w:r w:rsidR="008A0B84" w:rsidRPr="00FB55D9">
              <w:t>62V(3)</w:t>
            </w:r>
          </w:p>
        </w:tc>
        <w:tc>
          <w:tcPr>
            <w:tcW w:w="3119" w:type="dxa"/>
            <w:tcBorders>
              <w:top w:val="single" w:sz="2" w:space="0" w:color="auto"/>
              <w:bottom w:val="nil"/>
            </w:tcBorders>
            <w:shd w:val="clear" w:color="auto" w:fill="auto"/>
          </w:tcPr>
          <w:p w:rsidR="008A0B84" w:rsidRPr="00FB55D9" w:rsidRDefault="008A0B84" w:rsidP="00FB55D9">
            <w:pPr>
              <w:pStyle w:val="Tabletext"/>
            </w:pPr>
            <w:r w:rsidRPr="00FB55D9">
              <w:t>fee recipient to give written notice of cessation of consent to account provider</w:t>
            </w:r>
          </w:p>
        </w:tc>
        <w:tc>
          <w:tcPr>
            <w:tcW w:w="1906" w:type="dxa"/>
            <w:tcBorders>
              <w:top w:val="single" w:sz="2" w:space="0" w:color="auto"/>
              <w:bottom w:val="nil"/>
            </w:tcBorders>
            <w:shd w:val="clear" w:color="auto" w:fill="auto"/>
          </w:tcPr>
          <w:p w:rsidR="008A0B84" w:rsidRPr="00FB55D9" w:rsidRDefault="008A0B84" w:rsidP="00FB55D9">
            <w:pPr>
              <w:pStyle w:val="Tabletext"/>
            </w:pPr>
            <w:r w:rsidRPr="00FB55D9">
              <w:t>uncategorised</w:t>
            </w:r>
          </w:p>
        </w:tc>
      </w:tr>
    </w:tbl>
    <w:p w:rsidR="008A0B84" w:rsidRPr="00FB55D9" w:rsidRDefault="008A0B84" w:rsidP="00FB55D9">
      <w:pPr>
        <w:pStyle w:val="Tabletext"/>
      </w:pPr>
    </w:p>
    <w:p w:rsidR="008A0B84" w:rsidRPr="00FB55D9" w:rsidRDefault="00750118" w:rsidP="00FB55D9">
      <w:pPr>
        <w:pStyle w:val="ItemHead"/>
      </w:pPr>
      <w:r w:rsidRPr="00FB55D9">
        <w:t>32</w:t>
      </w:r>
      <w:r w:rsidR="008A0B84" w:rsidRPr="00FB55D9">
        <w:t xml:space="preserve">  Subparagraph 1317QF(2)(a)(ii)</w:t>
      </w:r>
    </w:p>
    <w:p w:rsidR="008A0B84" w:rsidRPr="00FB55D9" w:rsidRDefault="008A0B84" w:rsidP="00FB55D9">
      <w:pPr>
        <w:pStyle w:val="Item"/>
      </w:pPr>
      <w:r w:rsidRPr="00FB55D9">
        <w:t>After “section 1317GA”, insert “or 1317GB”.</w:t>
      </w:r>
    </w:p>
    <w:p w:rsidR="008A0B84" w:rsidRPr="00FB55D9" w:rsidRDefault="00750118" w:rsidP="00FB55D9">
      <w:pPr>
        <w:pStyle w:val="ItemHead"/>
      </w:pPr>
      <w:r w:rsidRPr="00FB55D9">
        <w:t>33</w:t>
      </w:r>
      <w:r w:rsidR="008A0B84" w:rsidRPr="00FB55D9">
        <w:t xml:space="preserve">  At the end of paragraph 1317QF(3)(b)</w:t>
      </w:r>
    </w:p>
    <w:p w:rsidR="008A0B84" w:rsidRPr="00FB55D9" w:rsidRDefault="008A0B84" w:rsidP="00FB55D9">
      <w:pPr>
        <w:pStyle w:val="Item"/>
      </w:pPr>
      <w:r w:rsidRPr="00FB55D9">
        <w:t>Add “or 1317GB”.</w:t>
      </w:r>
    </w:p>
    <w:p w:rsidR="008A0B84" w:rsidRPr="00FB55D9" w:rsidRDefault="00750118" w:rsidP="00FB55D9">
      <w:pPr>
        <w:pStyle w:val="ItemHead"/>
      </w:pPr>
      <w:r w:rsidRPr="00FB55D9">
        <w:t>34</w:t>
      </w:r>
      <w:r w:rsidR="008A0B84" w:rsidRPr="00FB55D9">
        <w:t xml:space="preserve">  Subsection 1317S(1) (</w:t>
      </w:r>
      <w:r w:rsidRPr="00FB55D9">
        <w:t>paragraph (</w:t>
      </w:r>
      <w:r w:rsidR="008A0B84" w:rsidRPr="00FB55D9">
        <w:t xml:space="preserve">a) of the definition of </w:t>
      </w:r>
      <w:r w:rsidR="008A0B84" w:rsidRPr="00FB55D9">
        <w:rPr>
          <w:i/>
        </w:rPr>
        <w:t>eligible proceedings</w:t>
      </w:r>
      <w:r w:rsidR="008A0B84" w:rsidRPr="00FB55D9">
        <w:t>)</w:t>
      </w:r>
    </w:p>
    <w:p w:rsidR="008A0B84" w:rsidRPr="00FB55D9" w:rsidRDefault="008A0B84" w:rsidP="00FB55D9">
      <w:pPr>
        <w:pStyle w:val="Item"/>
      </w:pPr>
      <w:r w:rsidRPr="00FB55D9">
        <w:t>After “1317GA,”, insert “1317GB,”.</w:t>
      </w:r>
    </w:p>
    <w:p w:rsidR="008A0B84" w:rsidRPr="00FB55D9" w:rsidRDefault="00750118" w:rsidP="00FB55D9">
      <w:pPr>
        <w:pStyle w:val="ItemHead"/>
      </w:pPr>
      <w:r w:rsidRPr="00FB55D9">
        <w:t>35</w:t>
      </w:r>
      <w:r w:rsidR="008A0B84" w:rsidRPr="00FB55D9">
        <w:t xml:space="preserve">  In the appropriate position in Schedule 3</w:t>
      </w:r>
    </w:p>
    <w:p w:rsidR="008A0B84" w:rsidRPr="00FB55D9" w:rsidRDefault="008A0B84" w:rsidP="00FB55D9">
      <w:pPr>
        <w:pStyle w:val="Item"/>
      </w:pPr>
      <w:r w:rsidRPr="00FB55D9">
        <w:t>Insert:</w:t>
      </w:r>
    </w:p>
    <w:p w:rsidR="008A0B84" w:rsidRPr="00FB55D9" w:rsidRDefault="008A0B84" w:rsidP="00FB55D9">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8A0B84" w:rsidRPr="00FB55D9" w:rsidTr="00750118">
        <w:tc>
          <w:tcPr>
            <w:tcW w:w="3261" w:type="dxa"/>
            <w:shd w:val="clear" w:color="auto" w:fill="auto"/>
          </w:tcPr>
          <w:p w:rsidR="008A0B84" w:rsidRPr="00FB55D9" w:rsidRDefault="00750118" w:rsidP="00FB55D9">
            <w:pPr>
              <w:pStyle w:val="Tabletext"/>
            </w:pPr>
            <w:r w:rsidRPr="00FB55D9">
              <w:t>Subsection 9</w:t>
            </w:r>
            <w:r w:rsidR="008A0B84" w:rsidRPr="00FB55D9">
              <w:t>62X(1)</w:t>
            </w:r>
          </w:p>
        </w:tc>
        <w:tc>
          <w:tcPr>
            <w:tcW w:w="4111" w:type="dxa"/>
            <w:shd w:val="clear" w:color="auto" w:fill="auto"/>
          </w:tcPr>
          <w:p w:rsidR="008A0B84" w:rsidRPr="00FB55D9" w:rsidRDefault="008A0B84" w:rsidP="00FB55D9">
            <w:pPr>
              <w:pStyle w:val="Tabletext"/>
            </w:pPr>
            <w:r w:rsidRPr="00FB55D9">
              <w:t>5 years imprisonment</w:t>
            </w:r>
          </w:p>
        </w:tc>
      </w:tr>
    </w:tbl>
    <w:p w:rsidR="005B45F0" w:rsidRPr="00FB55D9" w:rsidRDefault="00F539E9" w:rsidP="00FB55D9">
      <w:pPr>
        <w:pStyle w:val="ActHead6"/>
        <w:pageBreakBefore/>
      </w:pPr>
      <w:bookmarkStart w:id="35" w:name="_Toc65762050"/>
      <w:r w:rsidRPr="003C052D">
        <w:rPr>
          <w:rStyle w:val="CharAmSchNo"/>
        </w:rPr>
        <w:lastRenderedPageBreak/>
        <w:t>Schedule 2</w:t>
      </w:r>
      <w:r w:rsidR="005B45F0" w:rsidRPr="00FB55D9">
        <w:t>—</w:t>
      </w:r>
      <w:r w:rsidR="005B45F0" w:rsidRPr="003C052D">
        <w:rPr>
          <w:rStyle w:val="CharAmSchText"/>
        </w:rPr>
        <w:t>Disclosure of lack of independence</w:t>
      </w:r>
      <w:bookmarkEnd w:id="35"/>
    </w:p>
    <w:p w:rsidR="005B45F0" w:rsidRPr="003C052D" w:rsidRDefault="005B45F0" w:rsidP="00FB55D9">
      <w:pPr>
        <w:pStyle w:val="Header"/>
      </w:pPr>
      <w:r w:rsidRPr="003C052D">
        <w:rPr>
          <w:rStyle w:val="CharAmPartNo"/>
        </w:rPr>
        <w:t xml:space="preserve"> </w:t>
      </w:r>
      <w:r w:rsidRPr="003C052D">
        <w:rPr>
          <w:rStyle w:val="CharAmPartText"/>
        </w:rPr>
        <w:t xml:space="preserve"> </w:t>
      </w:r>
    </w:p>
    <w:p w:rsidR="005B45F0" w:rsidRPr="00FB55D9" w:rsidRDefault="005B45F0" w:rsidP="00FB55D9">
      <w:pPr>
        <w:pStyle w:val="ActHead9"/>
        <w:rPr>
          <w:i w:val="0"/>
        </w:rPr>
      </w:pPr>
      <w:bookmarkStart w:id="36" w:name="_Toc65762051"/>
      <w:r w:rsidRPr="00FB55D9">
        <w:t>Corporations Act 2001</w:t>
      </w:r>
      <w:bookmarkEnd w:id="36"/>
    </w:p>
    <w:p w:rsidR="005B45F0" w:rsidRPr="00FB55D9" w:rsidRDefault="00750118" w:rsidP="00FB55D9">
      <w:pPr>
        <w:pStyle w:val="ItemHead"/>
      </w:pPr>
      <w:r w:rsidRPr="00FB55D9">
        <w:t>1</w:t>
      </w:r>
      <w:r w:rsidR="005B45F0" w:rsidRPr="00FB55D9">
        <w:t xml:space="preserve">  At the end of </w:t>
      </w:r>
      <w:r w:rsidRPr="00FB55D9">
        <w:t>subsection 9</w:t>
      </w:r>
      <w:r w:rsidR="005B45F0" w:rsidRPr="00FB55D9">
        <w:t>23A(1)</w:t>
      </w:r>
    </w:p>
    <w:p w:rsidR="005B45F0" w:rsidRPr="00FB55D9" w:rsidRDefault="005B45F0" w:rsidP="00FB55D9">
      <w:pPr>
        <w:pStyle w:val="Item"/>
      </w:pPr>
      <w:r w:rsidRPr="00FB55D9">
        <w:t>Add:</w:t>
      </w:r>
    </w:p>
    <w:p w:rsidR="005B45F0" w:rsidRPr="00FB55D9" w:rsidRDefault="005B45F0" w:rsidP="00FB55D9">
      <w:pPr>
        <w:pStyle w:val="notetext"/>
      </w:pPr>
      <w:r w:rsidRPr="00FB55D9">
        <w:t>Note 3:</w:t>
      </w:r>
      <w:r w:rsidRPr="00FB55D9">
        <w:tab/>
        <w:t>A Financial Services Guide may need to include a statement relating to the restriction in this subsection (see paragraphs 942B(2)(fa) and 942C(2)(</w:t>
      </w:r>
      <w:proofErr w:type="spellStart"/>
      <w:r w:rsidRPr="00FB55D9">
        <w:t>ga</w:t>
      </w:r>
      <w:proofErr w:type="spellEnd"/>
      <w:r w:rsidRPr="00FB55D9">
        <w:t>)).</w:t>
      </w:r>
    </w:p>
    <w:p w:rsidR="005B45F0" w:rsidRPr="00FB55D9" w:rsidRDefault="00750118" w:rsidP="00FB55D9">
      <w:pPr>
        <w:pStyle w:val="ItemHead"/>
      </w:pPr>
      <w:r w:rsidRPr="00FB55D9">
        <w:t>2</w:t>
      </w:r>
      <w:r w:rsidR="005B45F0" w:rsidRPr="00FB55D9">
        <w:t xml:space="preserve">  At the end of </w:t>
      </w:r>
      <w:r w:rsidRPr="00FB55D9">
        <w:t>section 9</w:t>
      </w:r>
      <w:r w:rsidR="005B45F0" w:rsidRPr="00FB55D9">
        <w:t>23A</w:t>
      </w:r>
    </w:p>
    <w:p w:rsidR="005B45F0" w:rsidRPr="00FB55D9" w:rsidRDefault="005B45F0" w:rsidP="00FB55D9">
      <w:pPr>
        <w:pStyle w:val="Item"/>
      </w:pPr>
      <w:r w:rsidRPr="00FB55D9">
        <w:t>Add:</w:t>
      </w:r>
    </w:p>
    <w:p w:rsidR="005B45F0" w:rsidRPr="00FB55D9" w:rsidRDefault="005B45F0" w:rsidP="00FB55D9">
      <w:pPr>
        <w:pStyle w:val="subsection"/>
      </w:pPr>
      <w:r w:rsidRPr="00FB55D9">
        <w:tab/>
        <w:t>(6)</w:t>
      </w:r>
      <w:r w:rsidRPr="00FB55D9">
        <w:tab/>
        <w:t>To avoid doubt, for the purposes of this section a restricted word or expression is not assumed or used if the restricted word or expression is included in a statement in accordance with a requirement in paragraph 942B(2)(fa) or 942C(2)(</w:t>
      </w:r>
      <w:proofErr w:type="spellStart"/>
      <w:r w:rsidRPr="00FB55D9">
        <w:t>ga</w:t>
      </w:r>
      <w:proofErr w:type="spellEnd"/>
      <w:r w:rsidRPr="00FB55D9">
        <w:t>).</w:t>
      </w:r>
    </w:p>
    <w:p w:rsidR="005B45F0" w:rsidRPr="00FB55D9" w:rsidRDefault="00750118" w:rsidP="00FB55D9">
      <w:pPr>
        <w:pStyle w:val="ItemHead"/>
      </w:pPr>
      <w:r w:rsidRPr="00FB55D9">
        <w:t>3</w:t>
      </w:r>
      <w:r w:rsidR="005B45F0" w:rsidRPr="00FB55D9">
        <w:t xml:space="preserve">  </w:t>
      </w:r>
      <w:r w:rsidRPr="00FB55D9">
        <w:t>Subsection 9</w:t>
      </w:r>
      <w:r w:rsidR="005B45F0" w:rsidRPr="00FB55D9">
        <w:t>41C(7)</w:t>
      </w:r>
    </w:p>
    <w:p w:rsidR="005B45F0" w:rsidRPr="00FB55D9" w:rsidRDefault="005B45F0" w:rsidP="00FB55D9">
      <w:pPr>
        <w:pStyle w:val="Item"/>
      </w:pPr>
      <w:r w:rsidRPr="00FB55D9">
        <w:t>Omit “paragraphs 942B(2)(a) and (h), or paragraphs 942C(2)(a) and (</w:t>
      </w:r>
      <w:proofErr w:type="spellStart"/>
      <w:r w:rsidRPr="00FB55D9">
        <w:t>i</w:t>
      </w:r>
      <w:proofErr w:type="spellEnd"/>
      <w:r w:rsidRPr="00FB55D9">
        <w:t>),”, substitute “paragraphs 942B(2)(a), (fa) and (h), or paragraphs 942C(2)(a), (</w:t>
      </w:r>
      <w:proofErr w:type="spellStart"/>
      <w:r w:rsidRPr="00FB55D9">
        <w:t>ga</w:t>
      </w:r>
      <w:proofErr w:type="spellEnd"/>
      <w:r w:rsidRPr="00FB55D9">
        <w:t>) and (</w:t>
      </w:r>
      <w:proofErr w:type="spellStart"/>
      <w:r w:rsidRPr="00FB55D9">
        <w:t>i</w:t>
      </w:r>
      <w:proofErr w:type="spellEnd"/>
      <w:r w:rsidRPr="00FB55D9">
        <w:t>),”.</w:t>
      </w:r>
    </w:p>
    <w:p w:rsidR="005B45F0" w:rsidRPr="00FB55D9" w:rsidRDefault="00750118" w:rsidP="00FB55D9">
      <w:pPr>
        <w:pStyle w:val="ItemHead"/>
      </w:pPr>
      <w:r w:rsidRPr="00FB55D9">
        <w:t>4</w:t>
      </w:r>
      <w:r w:rsidR="005B45F0" w:rsidRPr="00FB55D9">
        <w:t xml:space="preserve">  </w:t>
      </w:r>
      <w:r w:rsidR="009A2362" w:rsidRPr="00FB55D9">
        <w:t>Paragraph 9</w:t>
      </w:r>
      <w:r w:rsidR="005B45F0" w:rsidRPr="00FB55D9">
        <w:t>41D(3)(a)</w:t>
      </w:r>
    </w:p>
    <w:p w:rsidR="005B45F0" w:rsidRPr="00FB55D9" w:rsidRDefault="005B45F0" w:rsidP="00FB55D9">
      <w:pPr>
        <w:pStyle w:val="Item"/>
      </w:pPr>
      <w:r w:rsidRPr="00FB55D9">
        <w:t>Omit “paragraphs 942B(2)(e), (f) and (</w:t>
      </w:r>
      <w:proofErr w:type="spellStart"/>
      <w:r w:rsidRPr="00FB55D9">
        <w:t>i</w:t>
      </w:r>
      <w:proofErr w:type="spellEnd"/>
      <w:r w:rsidRPr="00FB55D9">
        <w:t>), or paragraphs 942C(2)(f), (g) and (j),”, substitute “paragraphs 942B(2)(e), (f), (fa) and (</w:t>
      </w:r>
      <w:proofErr w:type="spellStart"/>
      <w:r w:rsidRPr="00FB55D9">
        <w:t>i</w:t>
      </w:r>
      <w:proofErr w:type="spellEnd"/>
      <w:r w:rsidRPr="00FB55D9">
        <w:t>), or paragraphs 942C(2)(f), (g), (</w:t>
      </w:r>
      <w:proofErr w:type="spellStart"/>
      <w:r w:rsidRPr="00FB55D9">
        <w:t>ga</w:t>
      </w:r>
      <w:proofErr w:type="spellEnd"/>
      <w:r w:rsidRPr="00FB55D9">
        <w:t>) and (j),”.</w:t>
      </w:r>
    </w:p>
    <w:p w:rsidR="005B45F0" w:rsidRPr="00FB55D9" w:rsidRDefault="00750118" w:rsidP="00FB55D9">
      <w:pPr>
        <w:pStyle w:val="ItemHead"/>
      </w:pPr>
      <w:r w:rsidRPr="00FB55D9">
        <w:t>5</w:t>
      </w:r>
      <w:r w:rsidR="005B45F0" w:rsidRPr="00FB55D9">
        <w:t xml:space="preserve">  After paragraph 942B(2)(f)</w:t>
      </w:r>
    </w:p>
    <w:p w:rsidR="005B45F0" w:rsidRPr="00FB55D9" w:rsidRDefault="005B45F0" w:rsidP="00FB55D9">
      <w:pPr>
        <w:pStyle w:val="Item"/>
      </w:pPr>
      <w:r w:rsidRPr="00FB55D9">
        <w:t>Insert:</w:t>
      </w:r>
    </w:p>
    <w:p w:rsidR="005B45F0" w:rsidRPr="00FB55D9" w:rsidRDefault="005B45F0" w:rsidP="00FB55D9">
      <w:pPr>
        <w:pStyle w:val="paragraph"/>
      </w:pPr>
      <w:r w:rsidRPr="00FB55D9">
        <w:tab/>
        <w:t>(fa)</w:t>
      </w:r>
      <w:r w:rsidRPr="00FB55D9">
        <w:tab/>
        <w:t xml:space="preserve">if the authorised services provided by the providing entity include the provision of personal advice to retail clients, and the providing entity would contravene </w:t>
      </w:r>
      <w:r w:rsidR="00750118" w:rsidRPr="00FB55D9">
        <w:t>subsection 9</w:t>
      </w:r>
      <w:r w:rsidRPr="00FB55D9">
        <w:t xml:space="preserve">23A(1) by assuming or using a restricted word or expression (within the meaning of </w:t>
      </w:r>
      <w:r w:rsidR="00750118" w:rsidRPr="00FB55D9">
        <w:t>subsection 9</w:t>
      </w:r>
      <w:r w:rsidRPr="00FB55D9">
        <w:t>23A(5)) in relation to such provision of personal advice—a statement that:</w:t>
      </w:r>
    </w:p>
    <w:p w:rsidR="005B45F0" w:rsidRPr="00FB55D9" w:rsidRDefault="005B45F0" w:rsidP="00FB55D9">
      <w:pPr>
        <w:pStyle w:val="paragraphsub"/>
      </w:pPr>
      <w:r w:rsidRPr="00FB55D9">
        <w:lastRenderedPageBreak/>
        <w:tab/>
        <w:t>(</w:t>
      </w:r>
      <w:proofErr w:type="spellStart"/>
      <w:r w:rsidRPr="00FB55D9">
        <w:t>i</w:t>
      </w:r>
      <w:proofErr w:type="spellEnd"/>
      <w:r w:rsidRPr="00FB55D9">
        <w:t>)</w:t>
      </w:r>
      <w:r w:rsidRPr="00FB55D9">
        <w:tab/>
        <w:t xml:space="preserve">sets out that the providing entity is not independent, impartial or unbiased (which are restricted words or expressions within the meaning of </w:t>
      </w:r>
      <w:r w:rsidR="00750118" w:rsidRPr="00FB55D9">
        <w:t>subsection 9</w:t>
      </w:r>
      <w:r w:rsidRPr="00FB55D9">
        <w:t>23A(5)) in relation to the provision of personal advice, and explains the reasons why; and</w:t>
      </w:r>
    </w:p>
    <w:p w:rsidR="005B45F0" w:rsidRPr="00FB55D9" w:rsidRDefault="005B45F0" w:rsidP="00FB55D9">
      <w:pPr>
        <w:pStyle w:val="paragraphsub"/>
      </w:pPr>
      <w:r w:rsidRPr="00FB55D9">
        <w:tab/>
        <w:t>(ii)</w:t>
      </w:r>
      <w:r w:rsidRPr="00FB55D9">
        <w:tab/>
        <w:t>if any other word or expression has been specified as a restricted word or expression in regulations made for the purposes of subparagraph 923A(5)(a)(ii)—sets out that the providing entity is not able to assume or use the restricted word or expression in relation to the provision of personal advice, and explains the reasons why; and</w:t>
      </w:r>
    </w:p>
    <w:p w:rsidR="005B45F0" w:rsidRPr="00FB55D9" w:rsidRDefault="005B45F0" w:rsidP="00FB55D9">
      <w:pPr>
        <w:pStyle w:val="paragraphsub"/>
      </w:pPr>
      <w:r w:rsidRPr="00FB55D9">
        <w:tab/>
        <w:t>(iii)</w:t>
      </w:r>
      <w:r w:rsidRPr="00FB55D9">
        <w:tab/>
        <w:t>meets the requirements (if any) determined in an instrument under subsection (7A); and</w:t>
      </w:r>
    </w:p>
    <w:p w:rsidR="005B45F0" w:rsidRPr="00FB55D9" w:rsidRDefault="00750118" w:rsidP="00FB55D9">
      <w:pPr>
        <w:pStyle w:val="ItemHead"/>
      </w:pPr>
      <w:r w:rsidRPr="00FB55D9">
        <w:t>6</w:t>
      </w:r>
      <w:r w:rsidR="005B45F0" w:rsidRPr="00FB55D9">
        <w:t xml:space="preserve">  After </w:t>
      </w:r>
      <w:r w:rsidRPr="00FB55D9">
        <w:t>subsection 9</w:t>
      </w:r>
      <w:r w:rsidR="005B45F0" w:rsidRPr="00FB55D9">
        <w:t>42B(7)</w:t>
      </w:r>
    </w:p>
    <w:p w:rsidR="005B45F0" w:rsidRPr="00FB55D9" w:rsidRDefault="005B45F0" w:rsidP="00FB55D9">
      <w:pPr>
        <w:pStyle w:val="Item"/>
      </w:pPr>
      <w:r w:rsidRPr="00FB55D9">
        <w:t>Insert:</w:t>
      </w:r>
    </w:p>
    <w:p w:rsidR="005B45F0" w:rsidRPr="00FB55D9" w:rsidRDefault="005B45F0" w:rsidP="00FB55D9">
      <w:pPr>
        <w:pStyle w:val="subsection"/>
      </w:pPr>
      <w:r w:rsidRPr="00FB55D9">
        <w:tab/>
        <w:t>(7A)</w:t>
      </w:r>
      <w:r w:rsidRPr="00FB55D9">
        <w:tab/>
        <w:t>ASIC may, by legislative instrument, determine requirements for a statement for the purposes of sub</w:t>
      </w:r>
      <w:r w:rsidR="00750118" w:rsidRPr="00FB55D9">
        <w:t>paragraph (</w:t>
      </w:r>
      <w:r w:rsidRPr="00FB55D9">
        <w:t>2)(fa)(iii).</w:t>
      </w:r>
    </w:p>
    <w:p w:rsidR="005B45F0" w:rsidRPr="00FB55D9" w:rsidRDefault="005B45F0" w:rsidP="00FB55D9">
      <w:pPr>
        <w:pStyle w:val="subsection"/>
      </w:pPr>
      <w:r w:rsidRPr="00FB55D9">
        <w:tab/>
        <w:t>(7B)</w:t>
      </w:r>
      <w:r w:rsidRPr="00FB55D9">
        <w:tab/>
        <w:t>Without limiting subsection (7A), the instrument may include the following:</w:t>
      </w:r>
    </w:p>
    <w:p w:rsidR="005B45F0" w:rsidRPr="00FB55D9" w:rsidRDefault="005B45F0" w:rsidP="00FB55D9">
      <w:pPr>
        <w:pStyle w:val="paragraph"/>
      </w:pPr>
      <w:r w:rsidRPr="00FB55D9">
        <w:tab/>
        <w:t>(a)</w:t>
      </w:r>
      <w:r w:rsidRPr="00FB55D9">
        <w:tab/>
        <w:t>requirements that a specified form, or specified form of words, be used for the statement;</w:t>
      </w:r>
    </w:p>
    <w:p w:rsidR="005B45F0" w:rsidRPr="00FB55D9" w:rsidRDefault="005B45F0" w:rsidP="00FB55D9">
      <w:pPr>
        <w:pStyle w:val="paragraph"/>
      </w:pPr>
      <w:r w:rsidRPr="00FB55D9">
        <w:tab/>
        <w:t>(b)</w:t>
      </w:r>
      <w:r w:rsidRPr="00FB55D9">
        <w:tab/>
        <w:t>requirements for the statement to include specified information;</w:t>
      </w:r>
    </w:p>
    <w:p w:rsidR="005B45F0" w:rsidRPr="00FB55D9" w:rsidRDefault="005B45F0" w:rsidP="00FB55D9">
      <w:pPr>
        <w:pStyle w:val="paragraph"/>
      </w:pPr>
      <w:r w:rsidRPr="00FB55D9">
        <w:tab/>
        <w:t>(c)</w:t>
      </w:r>
      <w:r w:rsidRPr="00FB55D9">
        <w:tab/>
        <w:t>requirements about the presentation, structure and format of the statement, including the location of the statement within the Financial Services Guide.</w:t>
      </w:r>
    </w:p>
    <w:p w:rsidR="005B45F0" w:rsidRPr="00FB55D9" w:rsidRDefault="00750118" w:rsidP="00FB55D9">
      <w:pPr>
        <w:pStyle w:val="ItemHead"/>
      </w:pPr>
      <w:r w:rsidRPr="00FB55D9">
        <w:t>7</w:t>
      </w:r>
      <w:r w:rsidR="005B45F0" w:rsidRPr="00FB55D9">
        <w:t xml:space="preserve">  After paragraph 942C(2)(g)</w:t>
      </w:r>
    </w:p>
    <w:p w:rsidR="005B45F0" w:rsidRPr="00FB55D9" w:rsidRDefault="005B45F0" w:rsidP="00FB55D9">
      <w:pPr>
        <w:pStyle w:val="Item"/>
      </w:pPr>
      <w:r w:rsidRPr="00FB55D9">
        <w:t>Insert:</w:t>
      </w:r>
    </w:p>
    <w:p w:rsidR="005B45F0" w:rsidRPr="00FB55D9" w:rsidRDefault="005B45F0" w:rsidP="00FB55D9">
      <w:pPr>
        <w:pStyle w:val="paragraph"/>
      </w:pPr>
      <w:r w:rsidRPr="00FB55D9">
        <w:tab/>
        <w:t>(</w:t>
      </w:r>
      <w:proofErr w:type="spellStart"/>
      <w:r w:rsidRPr="00FB55D9">
        <w:t>ga</w:t>
      </w:r>
      <w:proofErr w:type="spellEnd"/>
      <w:r w:rsidRPr="00FB55D9">
        <w:t>)</w:t>
      </w:r>
      <w:r w:rsidRPr="00FB55D9">
        <w:tab/>
        <w:t xml:space="preserve">if the authorised services provided by the providing entity include the provision of personal advice to retail clients, and the providing entity would contravene </w:t>
      </w:r>
      <w:r w:rsidR="00750118" w:rsidRPr="00FB55D9">
        <w:t>subsection 9</w:t>
      </w:r>
      <w:r w:rsidRPr="00FB55D9">
        <w:t xml:space="preserve">23A(1) by assuming or using a restricted word or expression (within the meaning of </w:t>
      </w:r>
      <w:r w:rsidR="00750118" w:rsidRPr="00FB55D9">
        <w:t>subsection 9</w:t>
      </w:r>
      <w:r w:rsidRPr="00FB55D9">
        <w:t>23A(5)) in relation to such provision of personal advice—a statement that:</w:t>
      </w:r>
    </w:p>
    <w:p w:rsidR="005B45F0" w:rsidRPr="00FB55D9" w:rsidRDefault="005B45F0" w:rsidP="00FB55D9">
      <w:pPr>
        <w:pStyle w:val="paragraphsub"/>
      </w:pPr>
      <w:r w:rsidRPr="00FB55D9">
        <w:lastRenderedPageBreak/>
        <w:tab/>
        <w:t>(</w:t>
      </w:r>
      <w:proofErr w:type="spellStart"/>
      <w:r w:rsidRPr="00FB55D9">
        <w:t>i</w:t>
      </w:r>
      <w:proofErr w:type="spellEnd"/>
      <w:r w:rsidRPr="00FB55D9">
        <w:t>)</w:t>
      </w:r>
      <w:r w:rsidRPr="00FB55D9">
        <w:tab/>
        <w:t xml:space="preserve">sets out that the providing entity is not independent, impartial or unbiased (which are restricted words or expressions within the meaning of </w:t>
      </w:r>
      <w:r w:rsidR="00750118" w:rsidRPr="00FB55D9">
        <w:t>subsection 9</w:t>
      </w:r>
      <w:r w:rsidRPr="00FB55D9">
        <w:t>23A(5)) in relation to the provision of personal advice, and explains the reasons why; and</w:t>
      </w:r>
    </w:p>
    <w:p w:rsidR="005B45F0" w:rsidRPr="00FB55D9" w:rsidRDefault="005B45F0" w:rsidP="00FB55D9">
      <w:pPr>
        <w:pStyle w:val="paragraphsub"/>
      </w:pPr>
      <w:r w:rsidRPr="00FB55D9">
        <w:tab/>
        <w:t>(ii)</w:t>
      </w:r>
      <w:r w:rsidRPr="00FB55D9">
        <w:tab/>
        <w:t>if any other word or expression has been specified as a restricted word or expression in regulations made for the purposes of subparagraph 923A(5)(a)(ii)—sets out that the providing entity is not able to assume or use the restricted word or expression in relation to the provision of personal advice, and explains the reasons why; and</w:t>
      </w:r>
    </w:p>
    <w:p w:rsidR="005B45F0" w:rsidRPr="00FB55D9" w:rsidRDefault="005B45F0" w:rsidP="00FB55D9">
      <w:pPr>
        <w:pStyle w:val="paragraphsub"/>
      </w:pPr>
      <w:r w:rsidRPr="00FB55D9">
        <w:tab/>
        <w:t>(iii)</w:t>
      </w:r>
      <w:r w:rsidRPr="00FB55D9">
        <w:tab/>
        <w:t>meets the requirements (if any) determined in an instrument under subsection (7A); and</w:t>
      </w:r>
    </w:p>
    <w:p w:rsidR="005B45F0" w:rsidRPr="00FB55D9" w:rsidRDefault="00750118" w:rsidP="00FB55D9">
      <w:pPr>
        <w:pStyle w:val="ItemHead"/>
      </w:pPr>
      <w:r w:rsidRPr="00FB55D9">
        <w:t>8</w:t>
      </w:r>
      <w:r w:rsidR="005B45F0" w:rsidRPr="00FB55D9">
        <w:t xml:space="preserve">  After </w:t>
      </w:r>
      <w:r w:rsidRPr="00FB55D9">
        <w:t>subsection 9</w:t>
      </w:r>
      <w:r w:rsidR="005B45F0" w:rsidRPr="00FB55D9">
        <w:t>42C(7)</w:t>
      </w:r>
    </w:p>
    <w:p w:rsidR="005B45F0" w:rsidRPr="00FB55D9" w:rsidRDefault="005B45F0" w:rsidP="00FB55D9">
      <w:pPr>
        <w:pStyle w:val="Item"/>
      </w:pPr>
      <w:r w:rsidRPr="00FB55D9">
        <w:t>Insert:</w:t>
      </w:r>
    </w:p>
    <w:p w:rsidR="005B45F0" w:rsidRPr="00FB55D9" w:rsidRDefault="005B45F0" w:rsidP="00FB55D9">
      <w:pPr>
        <w:pStyle w:val="subsection"/>
      </w:pPr>
      <w:r w:rsidRPr="00FB55D9">
        <w:tab/>
        <w:t>(7A)</w:t>
      </w:r>
      <w:r w:rsidRPr="00FB55D9">
        <w:tab/>
        <w:t>ASIC may, by legislative instrument, determine requirements for a statement for the purposes of sub</w:t>
      </w:r>
      <w:r w:rsidR="00750118" w:rsidRPr="00FB55D9">
        <w:t>paragraph (</w:t>
      </w:r>
      <w:r w:rsidRPr="00FB55D9">
        <w:t>2)(</w:t>
      </w:r>
      <w:proofErr w:type="spellStart"/>
      <w:r w:rsidRPr="00FB55D9">
        <w:t>ga</w:t>
      </w:r>
      <w:proofErr w:type="spellEnd"/>
      <w:r w:rsidRPr="00FB55D9">
        <w:t>)(iii).</w:t>
      </w:r>
    </w:p>
    <w:p w:rsidR="005B45F0" w:rsidRPr="00FB55D9" w:rsidRDefault="005B45F0" w:rsidP="00FB55D9">
      <w:pPr>
        <w:pStyle w:val="subsection"/>
      </w:pPr>
      <w:r w:rsidRPr="00FB55D9">
        <w:tab/>
        <w:t>(7B)</w:t>
      </w:r>
      <w:r w:rsidRPr="00FB55D9">
        <w:tab/>
        <w:t>Without limiting subsection (7A), the instrument may include the following:</w:t>
      </w:r>
    </w:p>
    <w:p w:rsidR="005B45F0" w:rsidRPr="00FB55D9" w:rsidRDefault="005B45F0" w:rsidP="00FB55D9">
      <w:pPr>
        <w:pStyle w:val="paragraph"/>
      </w:pPr>
      <w:r w:rsidRPr="00FB55D9">
        <w:tab/>
        <w:t>(a)</w:t>
      </w:r>
      <w:r w:rsidRPr="00FB55D9">
        <w:tab/>
        <w:t>requirements that a specified form, or specified form of words, be used for the statement;</w:t>
      </w:r>
    </w:p>
    <w:p w:rsidR="005B45F0" w:rsidRPr="00FB55D9" w:rsidRDefault="005B45F0" w:rsidP="00FB55D9">
      <w:pPr>
        <w:pStyle w:val="paragraph"/>
      </w:pPr>
      <w:r w:rsidRPr="00FB55D9">
        <w:tab/>
        <w:t>(b)</w:t>
      </w:r>
      <w:r w:rsidRPr="00FB55D9">
        <w:tab/>
        <w:t>requirements for the statement to include specified information;</w:t>
      </w:r>
    </w:p>
    <w:p w:rsidR="005B45F0" w:rsidRPr="00FB55D9" w:rsidRDefault="005B45F0" w:rsidP="00FB55D9">
      <w:pPr>
        <w:pStyle w:val="paragraph"/>
      </w:pPr>
      <w:r w:rsidRPr="00FB55D9">
        <w:tab/>
        <w:t>(c)</w:t>
      </w:r>
      <w:r w:rsidRPr="00FB55D9">
        <w:tab/>
        <w:t>requirements about the presentation, structure and format of the statement, including the location of the statement within the Financial Services Guide.</w:t>
      </w:r>
    </w:p>
    <w:p w:rsidR="005B45F0" w:rsidRPr="00FB55D9" w:rsidRDefault="00750118" w:rsidP="00FB55D9">
      <w:pPr>
        <w:pStyle w:val="ItemHead"/>
      </w:pPr>
      <w:r w:rsidRPr="00FB55D9">
        <w:t>9</w:t>
      </w:r>
      <w:r w:rsidR="005B45F0" w:rsidRPr="00FB55D9">
        <w:t xml:space="preserve">  In the appropriate position in Chapter 10</w:t>
      </w:r>
    </w:p>
    <w:p w:rsidR="005B45F0" w:rsidRPr="00FB55D9" w:rsidRDefault="005B45F0" w:rsidP="00FB55D9">
      <w:pPr>
        <w:pStyle w:val="Item"/>
      </w:pPr>
      <w:r w:rsidRPr="00FB55D9">
        <w:t>Insert:</w:t>
      </w:r>
    </w:p>
    <w:p w:rsidR="005B45F0" w:rsidRPr="00FB55D9" w:rsidRDefault="005B45F0" w:rsidP="00FB55D9">
      <w:pPr>
        <w:pStyle w:val="ActHead2"/>
      </w:pPr>
      <w:bookmarkStart w:id="37" w:name="f_Check_Lines_above"/>
      <w:bookmarkStart w:id="38" w:name="_Toc65762052"/>
      <w:bookmarkEnd w:id="37"/>
      <w:r w:rsidRPr="003C052D">
        <w:rPr>
          <w:rStyle w:val="CharPartNo"/>
        </w:rPr>
        <w:lastRenderedPageBreak/>
        <w:t>Part 10.47</w:t>
      </w:r>
      <w:r w:rsidRPr="00FB55D9">
        <w:t>—</w:t>
      </w:r>
      <w:r w:rsidRPr="003C052D">
        <w:rPr>
          <w:rStyle w:val="CharPartText"/>
        </w:rPr>
        <w:t>Application and transitional p</w:t>
      </w:r>
      <w:r w:rsidR="00F539E9" w:rsidRPr="003C052D">
        <w:rPr>
          <w:rStyle w:val="CharPartText"/>
        </w:rPr>
        <w:t>rovisions relating to Schedule 2</w:t>
      </w:r>
      <w:r w:rsidRPr="003C052D">
        <w:rPr>
          <w:rStyle w:val="CharPartText"/>
        </w:rPr>
        <w:t xml:space="preserve"> to the Financial Sector Reform (Hayne Royal Commission Response</w:t>
      </w:r>
      <w:r w:rsidR="00F539E9" w:rsidRPr="003C052D">
        <w:rPr>
          <w:rStyle w:val="CharPartText"/>
        </w:rPr>
        <w:t xml:space="preserve"> No. 2</w:t>
      </w:r>
      <w:r w:rsidRPr="003C052D">
        <w:rPr>
          <w:rStyle w:val="CharPartText"/>
        </w:rPr>
        <w:t>) Act 202</w:t>
      </w:r>
      <w:r w:rsidR="00D01043">
        <w:rPr>
          <w:rStyle w:val="CharPartText"/>
        </w:rPr>
        <w:t>1</w:t>
      </w:r>
      <w:bookmarkEnd w:id="38"/>
    </w:p>
    <w:p w:rsidR="005B45F0" w:rsidRPr="003C052D" w:rsidRDefault="005B45F0" w:rsidP="00FB55D9">
      <w:pPr>
        <w:pStyle w:val="Header"/>
      </w:pPr>
      <w:r w:rsidRPr="003C052D">
        <w:rPr>
          <w:rStyle w:val="CharDivNo"/>
        </w:rPr>
        <w:t xml:space="preserve"> </w:t>
      </w:r>
      <w:r w:rsidRPr="003C052D">
        <w:rPr>
          <w:rStyle w:val="CharDivText"/>
        </w:rPr>
        <w:t xml:space="preserve"> </w:t>
      </w:r>
    </w:p>
    <w:p w:rsidR="005B45F0" w:rsidRPr="00FB55D9" w:rsidRDefault="005B45F0" w:rsidP="00FB55D9">
      <w:pPr>
        <w:pStyle w:val="ActHead5"/>
      </w:pPr>
      <w:bookmarkStart w:id="39" w:name="_Toc65762053"/>
      <w:r w:rsidRPr="003C052D">
        <w:rPr>
          <w:rStyle w:val="CharSectno"/>
        </w:rPr>
        <w:t>1674</w:t>
      </w:r>
      <w:r w:rsidRPr="00FB55D9">
        <w:t xml:space="preserve">  Application of disclosure of lack of independence reforms</w:t>
      </w:r>
      <w:bookmarkEnd w:id="39"/>
    </w:p>
    <w:p w:rsidR="005B45F0" w:rsidRPr="00FB55D9" w:rsidRDefault="005B45F0" w:rsidP="00FB55D9">
      <w:pPr>
        <w:pStyle w:val="subsection"/>
      </w:pPr>
      <w:r w:rsidRPr="00FB55D9">
        <w:tab/>
      </w:r>
      <w:r w:rsidRPr="00FB55D9">
        <w:tab/>
        <w:t>The amendments made by Schedule</w:t>
      </w:r>
      <w:r w:rsidRPr="00FB55D9">
        <w:rPr>
          <w:i/>
        </w:rPr>
        <w:t> </w:t>
      </w:r>
      <w:r w:rsidR="00F539E9" w:rsidRPr="00FB55D9">
        <w:t>2</w:t>
      </w:r>
      <w:r w:rsidRPr="00FB55D9">
        <w:t xml:space="preserve"> to the </w:t>
      </w:r>
      <w:r w:rsidRPr="00FB55D9">
        <w:rPr>
          <w:i/>
        </w:rPr>
        <w:t>Financial Sector Reform (Hayne Royal Commission Response</w:t>
      </w:r>
      <w:r w:rsidR="00F539E9" w:rsidRPr="00FB55D9">
        <w:rPr>
          <w:i/>
        </w:rPr>
        <w:t xml:space="preserve"> No. 2</w:t>
      </w:r>
      <w:r w:rsidRPr="00FB55D9">
        <w:rPr>
          <w:i/>
        </w:rPr>
        <w:t>) Act 202</w:t>
      </w:r>
      <w:r w:rsidR="00D01043">
        <w:rPr>
          <w:i/>
        </w:rPr>
        <w:t>1</w:t>
      </w:r>
      <w:r w:rsidRPr="00FB55D9">
        <w:t xml:space="preserve"> apply in relation to a financial service provided on or after </w:t>
      </w:r>
      <w:r w:rsidR="00750118" w:rsidRPr="00FB55D9">
        <w:t>1 July</w:t>
      </w:r>
      <w:r w:rsidRPr="00FB55D9">
        <w:t xml:space="preserve"> 2021.</w:t>
      </w:r>
    </w:p>
    <w:p w:rsidR="005B45F0" w:rsidRPr="00FB55D9" w:rsidRDefault="005B45F0" w:rsidP="00FB55D9">
      <w:pPr>
        <w:pStyle w:val="ActHead5"/>
      </w:pPr>
      <w:bookmarkStart w:id="40" w:name="_Toc65762054"/>
      <w:r w:rsidRPr="003C052D">
        <w:rPr>
          <w:rStyle w:val="CharSectno"/>
        </w:rPr>
        <w:t>1674A</w:t>
      </w:r>
      <w:r w:rsidRPr="00FB55D9">
        <w:t xml:space="preserve">  Obligation to give updated Financial Services Guide</w:t>
      </w:r>
      <w:bookmarkEnd w:id="40"/>
    </w:p>
    <w:p w:rsidR="005B45F0" w:rsidRPr="00FB55D9" w:rsidRDefault="005B45F0" w:rsidP="00FB55D9">
      <w:pPr>
        <w:pStyle w:val="subsection"/>
      </w:pPr>
      <w:r w:rsidRPr="00FB55D9">
        <w:tab/>
        <w:t>(1)</w:t>
      </w:r>
      <w:r w:rsidRPr="00FB55D9">
        <w:tab/>
        <w:t>If:</w:t>
      </w:r>
    </w:p>
    <w:p w:rsidR="005B45F0" w:rsidRPr="00FB55D9" w:rsidRDefault="005B45F0" w:rsidP="00FB55D9">
      <w:pPr>
        <w:pStyle w:val="paragraph"/>
      </w:pPr>
      <w:r w:rsidRPr="00FB55D9">
        <w:tab/>
        <w:t>(a)</w:t>
      </w:r>
      <w:r w:rsidRPr="00FB55D9">
        <w:tab/>
        <w:t xml:space="preserve">the providing entity has given a Financial Services Guide to the client under </w:t>
      </w:r>
      <w:r w:rsidR="00750118" w:rsidRPr="00FB55D9">
        <w:t>section 9</w:t>
      </w:r>
      <w:r w:rsidRPr="00FB55D9">
        <w:t xml:space="preserve">41A or 941B before </w:t>
      </w:r>
      <w:r w:rsidR="00750118" w:rsidRPr="00FB55D9">
        <w:t>1 July</w:t>
      </w:r>
      <w:r w:rsidRPr="00FB55D9">
        <w:t xml:space="preserve"> 2021; and</w:t>
      </w:r>
    </w:p>
    <w:p w:rsidR="005B45F0" w:rsidRPr="00FB55D9" w:rsidRDefault="005B45F0" w:rsidP="00FB55D9">
      <w:pPr>
        <w:pStyle w:val="paragraph"/>
      </w:pPr>
      <w:r w:rsidRPr="00FB55D9">
        <w:tab/>
        <w:t>(b)</w:t>
      </w:r>
      <w:r w:rsidRPr="00FB55D9">
        <w:tab/>
        <w:t xml:space="preserve">the providing entity will provide a financial service to the client on or after </w:t>
      </w:r>
      <w:r w:rsidR="00750118" w:rsidRPr="00FB55D9">
        <w:t>1 July</w:t>
      </w:r>
      <w:r w:rsidR="00662C29" w:rsidRPr="00FB55D9">
        <w:t xml:space="preserve"> </w:t>
      </w:r>
      <w:r w:rsidRPr="00FB55D9">
        <w:t>2021; and</w:t>
      </w:r>
    </w:p>
    <w:p w:rsidR="005B45F0" w:rsidRPr="00FB55D9" w:rsidRDefault="005B45F0" w:rsidP="00FB55D9">
      <w:pPr>
        <w:pStyle w:val="paragraph"/>
      </w:pPr>
      <w:r w:rsidRPr="00FB55D9">
        <w:tab/>
        <w:t>(c)</w:t>
      </w:r>
      <w:r w:rsidRPr="00FB55D9">
        <w:tab/>
        <w:t>paragraph 942B(2)(fa) or 942C(2</w:t>
      </w:r>
      <w:r w:rsidR="00F539E9" w:rsidRPr="00FB55D9">
        <w:t>)(</w:t>
      </w:r>
      <w:proofErr w:type="spellStart"/>
      <w:r w:rsidR="00F539E9" w:rsidRPr="00FB55D9">
        <w:t>ga</w:t>
      </w:r>
      <w:proofErr w:type="spellEnd"/>
      <w:r w:rsidR="00F539E9" w:rsidRPr="00FB55D9">
        <w:t>), as inserted by Schedule 2</w:t>
      </w:r>
      <w:r w:rsidRPr="00FB55D9">
        <w:t xml:space="preserve"> to the </w:t>
      </w:r>
      <w:r w:rsidRPr="00FB55D9">
        <w:rPr>
          <w:i/>
        </w:rPr>
        <w:t>Financial Sector Reform (Hayne Royal Commission Response</w:t>
      </w:r>
      <w:r w:rsidR="00F539E9" w:rsidRPr="00FB55D9">
        <w:rPr>
          <w:i/>
        </w:rPr>
        <w:t xml:space="preserve"> No. 2</w:t>
      </w:r>
      <w:r w:rsidRPr="00FB55D9">
        <w:rPr>
          <w:i/>
        </w:rPr>
        <w:t>) Act 202</w:t>
      </w:r>
      <w:r w:rsidR="00D01043">
        <w:rPr>
          <w:i/>
        </w:rPr>
        <w:t>1</w:t>
      </w:r>
      <w:r w:rsidRPr="00FB55D9">
        <w:t>, applies in relation to the providing entity and the financial service;</w:t>
      </w:r>
    </w:p>
    <w:p w:rsidR="005B45F0" w:rsidRPr="00FB55D9" w:rsidRDefault="005B45F0" w:rsidP="00FB55D9">
      <w:pPr>
        <w:pStyle w:val="subsection2"/>
      </w:pPr>
      <w:r w:rsidRPr="00FB55D9">
        <w:t>the providing entity must, before the financial service is provided to the client, give the client:</w:t>
      </w:r>
    </w:p>
    <w:p w:rsidR="005B45F0" w:rsidRPr="00FB55D9" w:rsidRDefault="005B45F0" w:rsidP="00FB55D9">
      <w:pPr>
        <w:pStyle w:val="paragraph"/>
      </w:pPr>
      <w:r w:rsidRPr="00FB55D9">
        <w:tab/>
        <w:t>(d)</w:t>
      </w:r>
      <w:r w:rsidRPr="00FB55D9">
        <w:tab/>
        <w:t xml:space="preserve">another Financial Services Guide that contains the statement required by whichever of the paragraphs referred to in </w:t>
      </w:r>
      <w:r w:rsidR="00750118" w:rsidRPr="00FB55D9">
        <w:t>paragraph (</w:t>
      </w:r>
      <w:r w:rsidRPr="00FB55D9">
        <w:t>c) of this subsection is applicable; or</w:t>
      </w:r>
    </w:p>
    <w:p w:rsidR="005B45F0" w:rsidRPr="00FB55D9" w:rsidRDefault="005B45F0" w:rsidP="00FB55D9">
      <w:pPr>
        <w:pStyle w:val="paragraph"/>
      </w:pPr>
      <w:r w:rsidRPr="00FB55D9">
        <w:tab/>
        <w:t>(e)</w:t>
      </w:r>
      <w:r w:rsidRPr="00FB55D9">
        <w:tab/>
        <w:t>a Supplementary Financial Services Guide that contains that statement.</w:t>
      </w:r>
    </w:p>
    <w:p w:rsidR="005B45F0" w:rsidRPr="00FB55D9" w:rsidRDefault="005B45F0" w:rsidP="00FB55D9">
      <w:pPr>
        <w:pStyle w:val="subsection"/>
      </w:pPr>
      <w:r w:rsidRPr="00FB55D9">
        <w:tab/>
        <w:t>(2)</w:t>
      </w:r>
      <w:r w:rsidRPr="00FB55D9">
        <w:tab/>
        <w:t>Subsections 941A(1) and 941B(1) apply as if the reference in those subsections to “this Division” included a reference to this section.</w:t>
      </w:r>
    </w:p>
    <w:p w:rsidR="005B45F0" w:rsidRPr="00FB55D9" w:rsidRDefault="00F539E9" w:rsidP="00FB55D9">
      <w:pPr>
        <w:pStyle w:val="ActHead6"/>
        <w:pageBreakBefore/>
      </w:pPr>
      <w:bookmarkStart w:id="41" w:name="_Toc65762055"/>
      <w:r w:rsidRPr="003C052D">
        <w:rPr>
          <w:rStyle w:val="CharAmSchNo"/>
        </w:rPr>
        <w:lastRenderedPageBreak/>
        <w:t>Schedule 3</w:t>
      </w:r>
      <w:r w:rsidR="005B45F0" w:rsidRPr="00FB55D9">
        <w:t>—</w:t>
      </w:r>
      <w:r w:rsidR="005B45F0" w:rsidRPr="003C052D">
        <w:rPr>
          <w:rStyle w:val="CharAmSchText"/>
        </w:rPr>
        <w:t>Advice fees in superannuation</w:t>
      </w:r>
      <w:bookmarkEnd w:id="41"/>
    </w:p>
    <w:p w:rsidR="008A0B84" w:rsidRPr="00FB55D9" w:rsidRDefault="008A0B84" w:rsidP="00FB55D9">
      <w:pPr>
        <w:pStyle w:val="ActHead7"/>
      </w:pPr>
      <w:bookmarkStart w:id="42" w:name="_Toc65762056"/>
      <w:r w:rsidRPr="003C052D">
        <w:rPr>
          <w:rStyle w:val="CharAmPartNo"/>
        </w:rPr>
        <w:t>Part 1</w:t>
      </w:r>
      <w:r w:rsidRPr="00FB55D9">
        <w:t>—</w:t>
      </w:r>
      <w:r w:rsidRPr="003C052D">
        <w:rPr>
          <w:rStyle w:val="CharAmPartText"/>
        </w:rPr>
        <w:t>General fees rules</w:t>
      </w:r>
      <w:bookmarkEnd w:id="42"/>
    </w:p>
    <w:p w:rsidR="008A0B84" w:rsidRPr="00FB55D9" w:rsidRDefault="008A0B84" w:rsidP="00FB55D9">
      <w:pPr>
        <w:pStyle w:val="ActHead9"/>
        <w:rPr>
          <w:i w:val="0"/>
        </w:rPr>
      </w:pPr>
      <w:bookmarkStart w:id="43" w:name="_Toc65762057"/>
      <w:r w:rsidRPr="00FB55D9">
        <w:t>Superannuation Industry (Supervision) Act 1993</w:t>
      </w:r>
      <w:bookmarkEnd w:id="43"/>
    </w:p>
    <w:p w:rsidR="008A0B84" w:rsidRPr="00FB55D9" w:rsidRDefault="00750118" w:rsidP="00FB55D9">
      <w:pPr>
        <w:pStyle w:val="ItemHead"/>
      </w:pPr>
      <w:r w:rsidRPr="00FB55D9">
        <w:t>1</w:t>
      </w:r>
      <w:r w:rsidR="008A0B84" w:rsidRPr="00FB55D9">
        <w:t xml:space="preserve">  Subsection 10(1)</w:t>
      </w:r>
    </w:p>
    <w:p w:rsidR="008A0B84" w:rsidRPr="00FB55D9" w:rsidRDefault="008A0B84" w:rsidP="00FB55D9">
      <w:pPr>
        <w:pStyle w:val="Item"/>
      </w:pPr>
      <w:r w:rsidRPr="00FB55D9">
        <w:t>Insert:</w:t>
      </w:r>
    </w:p>
    <w:p w:rsidR="008A0B84" w:rsidRPr="00FB55D9" w:rsidRDefault="008A0B84" w:rsidP="00FB55D9">
      <w:pPr>
        <w:pStyle w:val="Definition"/>
      </w:pPr>
      <w:r w:rsidRPr="00FB55D9">
        <w:rPr>
          <w:b/>
          <w:i/>
        </w:rPr>
        <w:t>ongoing fee arrangement</w:t>
      </w:r>
      <w:r w:rsidRPr="00FB55D9">
        <w:t xml:space="preserve"> has the same meaning as in Part 7.7A of the </w:t>
      </w:r>
      <w:r w:rsidRPr="00FB55D9">
        <w:rPr>
          <w:i/>
        </w:rPr>
        <w:t>Corporations Act 2001</w:t>
      </w:r>
      <w:r w:rsidRPr="00FB55D9">
        <w:t>.</w:t>
      </w:r>
    </w:p>
    <w:p w:rsidR="008A0B84" w:rsidRPr="00FB55D9" w:rsidRDefault="00750118" w:rsidP="00FB55D9">
      <w:pPr>
        <w:pStyle w:val="ItemHead"/>
      </w:pPr>
      <w:r w:rsidRPr="00FB55D9">
        <w:t>2</w:t>
      </w:r>
      <w:r w:rsidR="008A0B84" w:rsidRPr="00FB55D9">
        <w:t xml:space="preserve">  </w:t>
      </w:r>
      <w:r w:rsidRPr="00FB55D9">
        <w:t>Section 9</w:t>
      </w:r>
      <w:r w:rsidR="008A0B84" w:rsidRPr="00FB55D9">
        <w:t>9F (heading)</w:t>
      </w:r>
    </w:p>
    <w:p w:rsidR="008A0B84" w:rsidRPr="00FB55D9" w:rsidRDefault="008A0B84" w:rsidP="00FB55D9">
      <w:pPr>
        <w:pStyle w:val="Item"/>
      </w:pPr>
      <w:r w:rsidRPr="00FB55D9">
        <w:t>Repeal the heading, substitute:</w:t>
      </w:r>
    </w:p>
    <w:p w:rsidR="008A0B84" w:rsidRPr="00FB55D9" w:rsidRDefault="008A0B84" w:rsidP="00FB55D9">
      <w:pPr>
        <w:pStyle w:val="ActHead5"/>
      </w:pPr>
      <w:bookmarkStart w:id="44" w:name="_Toc65762058"/>
      <w:r w:rsidRPr="003C052D">
        <w:rPr>
          <w:rStyle w:val="CharSectno"/>
        </w:rPr>
        <w:t>99F</w:t>
      </w:r>
      <w:r w:rsidRPr="00FB55D9">
        <w:t xml:space="preserve">  Cost of financial product advice—collectively charged fees</w:t>
      </w:r>
      <w:bookmarkEnd w:id="44"/>
    </w:p>
    <w:p w:rsidR="008A0B84" w:rsidRPr="00FB55D9" w:rsidRDefault="00750118" w:rsidP="00FB55D9">
      <w:pPr>
        <w:pStyle w:val="ItemHead"/>
      </w:pPr>
      <w:r w:rsidRPr="00FB55D9">
        <w:t>3</w:t>
      </w:r>
      <w:r w:rsidR="008A0B84" w:rsidRPr="00FB55D9">
        <w:t xml:space="preserve">  After </w:t>
      </w:r>
      <w:r w:rsidRPr="00FB55D9">
        <w:t>section 9</w:t>
      </w:r>
      <w:r w:rsidR="008A0B84" w:rsidRPr="00FB55D9">
        <w:t>9F</w:t>
      </w:r>
    </w:p>
    <w:p w:rsidR="008A0B84" w:rsidRPr="00FB55D9" w:rsidRDefault="008A0B84" w:rsidP="00FB55D9">
      <w:pPr>
        <w:pStyle w:val="Item"/>
      </w:pPr>
      <w:r w:rsidRPr="00FB55D9">
        <w:t>Insert:</w:t>
      </w:r>
    </w:p>
    <w:p w:rsidR="008A0B84" w:rsidRPr="00FB55D9" w:rsidRDefault="008A0B84" w:rsidP="00FB55D9">
      <w:pPr>
        <w:pStyle w:val="ActHead5"/>
      </w:pPr>
      <w:bookmarkStart w:id="45" w:name="_Toc65762059"/>
      <w:r w:rsidRPr="003C052D">
        <w:rPr>
          <w:rStyle w:val="CharSectno"/>
        </w:rPr>
        <w:t>99FA</w:t>
      </w:r>
      <w:r w:rsidRPr="00FB55D9">
        <w:t xml:space="preserve">  Cost of financial product advice—fees charged to member concerned</w:t>
      </w:r>
      <w:bookmarkEnd w:id="45"/>
    </w:p>
    <w:p w:rsidR="008A0B84" w:rsidRPr="00FB55D9" w:rsidRDefault="008A0B84" w:rsidP="00FB55D9">
      <w:pPr>
        <w:pStyle w:val="subsection"/>
      </w:pPr>
      <w:r w:rsidRPr="00FB55D9">
        <w:tab/>
        <w:t>(1)</w:t>
      </w:r>
      <w:r w:rsidRPr="00FB55D9">
        <w:tab/>
        <w:t>The trustee or the trustees of a regulated superannuation fund must not directly or indirectly pass the cost of providing financial product advice in relation to a member of the fund on to the member, unless:</w:t>
      </w:r>
    </w:p>
    <w:p w:rsidR="008A0B84" w:rsidRPr="00FB55D9" w:rsidRDefault="008A0B84" w:rsidP="00FB55D9">
      <w:pPr>
        <w:pStyle w:val="paragraph"/>
      </w:pPr>
      <w:r w:rsidRPr="00FB55D9">
        <w:tab/>
        <w:t>(a)</w:t>
      </w:r>
      <w:r w:rsidRPr="00FB55D9">
        <w:tab/>
        <w:t>the cost is to be paid in accordance with the terms of an arrangement entered into by the member; and</w:t>
      </w:r>
    </w:p>
    <w:p w:rsidR="008A0B84" w:rsidRPr="00FB55D9" w:rsidRDefault="008A0B84" w:rsidP="00FB55D9">
      <w:pPr>
        <w:pStyle w:val="paragraph"/>
      </w:pPr>
      <w:r w:rsidRPr="00FB55D9">
        <w:tab/>
        <w:t>(b)</w:t>
      </w:r>
      <w:r w:rsidRPr="00FB55D9">
        <w:tab/>
        <w:t>the trustee passes the cost on, or the trustees pass the cost on, in accordance with the terms of a written consent of the member; and</w:t>
      </w:r>
    </w:p>
    <w:p w:rsidR="008A0B84" w:rsidRPr="00FB55D9" w:rsidRDefault="008A0B84" w:rsidP="00FB55D9">
      <w:pPr>
        <w:pStyle w:val="paragraph"/>
      </w:pPr>
      <w:r w:rsidRPr="00FB55D9">
        <w:tab/>
        <w:t>(c)</w:t>
      </w:r>
      <w:r w:rsidRPr="00FB55D9">
        <w:tab/>
        <w:t>if the arrangement is an ongoing fee arrangement:</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 xml:space="preserve">the consent is of a kind described in paragraph 962R(2)(a) or 962S(3)(a) of the </w:t>
      </w:r>
      <w:r w:rsidRPr="00FB55D9">
        <w:rPr>
          <w:i/>
        </w:rPr>
        <w:t>Corporations Act 2001</w:t>
      </w:r>
      <w:r w:rsidRPr="00FB55D9">
        <w:t>; and</w:t>
      </w:r>
    </w:p>
    <w:p w:rsidR="008A0B84" w:rsidRPr="00FB55D9" w:rsidRDefault="008A0B84" w:rsidP="00FB55D9">
      <w:pPr>
        <w:pStyle w:val="paragraphsub"/>
      </w:pPr>
      <w:r w:rsidRPr="00FB55D9">
        <w:lastRenderedPageBreak/>
        <w:tab/>
        <w:t>(ii)</w:t>
      </w:r>
      <w:r w:rsidRPr="00FB55D9">
        <w:tab/>
        <w:t xml:space="preserve">if requirements that apply in relation to the consent are determined under </w:t>
      </w:r>
      <w:r w:rsidR="00750118" w:rsidRPr="00FB55D9">
        <w:t>section 9</w:t>
      </w:r>
      <w:r w:rsidRPr="00FB55D9">
        <w:t>62T of that Act—the consent complies with those requirements; and</w:t>
      </w:r>
    </w:p>
    <w:p w:rsidR="008A0B84" w:rsidRPr="00FB55D9" w:rsidRDefault="008A0B84" w:rsidP="00FB55D9">
      <w:pPr>
        <w:pStyle w:val="paragraph"/>
      </w:pPr>
      <w:r w:rsidRPr="00FB55D9">
        <w:tab/>
        <w:t>(d)</w:t>
      </w:r>
      <w:r w:rsidRPr="00FB55D9">
        <w:tab/>
        <w:t>if the arrangement is not an ongoing fee arrangement:</w:t>
      </w:r>
    </w:p>
    <w:p w:rsidR="008A0B84" w:rsidRPr="00FB55D9" w:rsidRDefault="008A0B84" w:rsidP="00FB55D9">
      <w:pPr>
        <w:pStyle w:val="paragraphsub"/>
      </w:pPr>
      <w:r w:rsidRPr="00FB55D9">
        <w:tab/>
        <w:t>(</w:t>
      </w:r>
      <w:proofErr w:type="spellStart"/>
      <w:r w:rsidRPr="00FB55D9">
        <w:t>i</w:t>
      </w:r>
      <w:proofErr w:type="spellEnd"/>
      <w:r w:rsidRPr="00FB55D9">
        <w:t>)</w:t>
      </w:r>
      <w:r w:rsidRPr="00FB55D9">
        <w:tab/>
        <w:t>the consent is for the trustee or the trustees to directly or indirectly pass the cost of providing financial product advice in relation to the member on to the member; and</w:t>
      </w:r>
    </w:p>
    <w:p w:rsidR="008A0B84" w:rsidRPr="00FB55D9" w:rsidRDefault="008A0B84" w:rsidP="00FB55D9">
      <w:pPr>
        <w:pStyle w:val="paragraphsub"/>
      </w:pPr>
      <w:r w:rsidRPr="00FB55D9">
        <w:tab/>
        <w:t>(ii)</w:t>
      </w:r>
      <w:r w:rsidRPr="00FB55D9">
        <w:tab/>
        <w:t>if requirements that apply in relation to the consent are determined under subsection (2)—the consent complies with those requirements; and</w:t>
      </w:r>
    </w:p>
    <w:p w:rsidR="008A0B84" w:rsidRPr="00FB55D9" w:rsidRDefault="008A0B84" w:rsidP="00FB55D9">
      <w:pPr>
        <w:pStyle w:val="paragraph"/>
      </w:pPr>
      <w:r w:rsidRPr="00FB55D9">
        <w:tab/>
        <w:t>(e)</w:t>
      </w:r>
      <w:r w:rsidRPr="00FB55D9">
        <w:tab/>
        <w:t>the trustee has, or the trustees have, the consent or a copy of the consent.</w:t>
      </w:r>
    </w:p>
    <w:p w:rsidR="008A0B84" w:rsidRPr="00FB55D9" w:rsidRDefault="008A0B84" w:rsidP="00FB55D9">
      <w:pPr>
        <w:pStyle w:val="notetext"/>
      </w:pPr>
      <w:r w:rsidRPr="00FB55D9">
        <w:t>Note:</w:t>
      </w:r>
      <w:r w:rsidRPr="00FB55D9">
        <w:tab/>
        <w:t xml:space="preserve">If the arrangement is an ongoing fee arrangement, it may be terminated as a result of </w:t>
      </w:r>
      <w:r w:rsidR="00750118" w:rsidRPr="00FB55D9">
        <w:t>section 9</w:t>
      </w:r>
      <w:r w:rsidRPr="00FB55D9">
        <w:t xml:space="preserve">62F or 962FA of the </w:t>
      </w:r>
      <w:r w:rsidRPr="00FB55D9">
        <w:rPr>
          <w:i/>
        </w:rPr>
        <w:t>Corporations Act 2001</w:t>
      </w:r>
      <w:r w:rsidRPr="00FB55D9">
        <w:t>.</w:t>
      </w:r>
    </w:p>
    <w:p w:rsidR="008A0B84" w:rsidRPr="00FB55D9" w:rsidRDefault="008A0B84" w:rsidP="00FB55D9">
      <w:pPr>
        <w:pStyle w:val="subsection"/>
      </w:pPr>
      <w:r w:rsidRPr="00FB55D9">
        <w:tab/>
        <w:t>(2)</w:t>
      </w:r>
      <w:r w:rsidRPr="00FB55D9">
        <w:tab/>
        <w:t>ASIC may, by legislative instrument, make a determination specifying requirements for the purposes of sub</w:t>
      </w:r>
      <w:r w:rsidR="00750118" w:rsidRPr="00FB55D9">
        <w:t>paragraph (</w:t>
      </w:r>
      <w:r w:rsidRPr="00FB55D9">
        <w:t>1)(d)(ii).</w:t>
      </w:r>
    </w:p>
    <w:p w:rsidR="008A0B84" w:rsidRPr="00FB55D9" w:rsidRDefault="008A0B84" w:rsidP="00FB55D9">
      <w:pPr>
        <w:pStyle w:val="subsection"/>
      </w:pPr>
      <w:r w:rsidRPr="00FB55D9">
        <w:tab/>
        <w:t>(3)</w:t>
      </w:r>
      <w:r w:rsidRPr="00FB55D9">
        <w:tab/>
        <w:t>Subsection (1) does not apply if the cost is shared by passing it on to the member mentioned in subsection (1) and to other members of the fund.</w:t>
      </w:r>
    </w:p>
    <w:p w:rsidR="008A0B84" w:rsidRPr="00FB55D9" w:rsidRDefault="008A0B84" w:rsidP="00FB55D9">
      <w:pPr>
        <w:pStyle w:val="ActHead7"/>
        <w:pageBreakBefore/>
      </w:pPr>
      <w:bookmarkStart w:id="46" w:name="_Toc65762060"/>
      <w:r w:rsidRPr="003C052D">
        <w:rPr>
          <w:rStyle w:val="CharAmPartNo"/>
        </w:rPr>
        <w:lastRenderedPageBreak/>
        <w:t>Part 2</w:t>
      </w:r>
      <w:r w:rsidRPr="00FB55D9">
        <w:t>—</w:t>
      </w:r>
      <w:r w:rsidRPr="003C052D">
        <w:rPr>
          <w:rStyle w:val="CharAmPartText"/>
        </w:rPr>
        <w:t xml:space="preserve">Fees for </w:t>
      </w:r>
      <w:proofErr w:type="spellStart"/>
      <w:r w:rsidRPr="003C052D">
        <w:rPr>
          <w:rStyle w:val="CharAmPartText"/>
        </w:rPr>
        <w:t>MySuper</w:t>
      </w:r>
      <w:proofErr w:type="spellEnd"/>
      <w:r w:rsidRPr="003C052D">
        <w:rPr>
          <w:rStyle w:val="CharAmPartText"/>
        </w:rPr>
        <w:t xml:space="preserve"> products</w:t>
      </w:r>
      <w:bookmarkEnd w:id="46"/>
    </w:p>
    <w:p w:rsidR="008A0B84" w:rsidRPr="00FB55D9" w:rsidRDefault="008A0B84" w:rsidP="00FB55D9">
      <w:pPr>
        <w:pStyle w:val="ActHead9"/>
      </w:pPr>
      <w:bookmarkStart w:id="47" w:name="_Toc65762061"/>
      <w:r w:rsidRPr="00FB55D9">
        <w:t>Superannuation Industry (Supervision) Act 1993</w:t>
      </w:r>
      <w:bookmarkEnd w:id="47"/>
    </w:p>
    <w:p w:rsidR="008A0B84" w:rsidRPr="00FB55D9" w:rsidRDefault="00750118" w:rsidP="00FB55D9">
      <w:pPr>
        <w:pStyle w:val="ItemHead"/>
      </w:pPr>
      <w:r w:rsidRPr="00FB55D9">
        <w:t>4</w:t>
      </w:r>
      <w:r w:rsidR="008A0B84" w:rsidRPr="00FB55D9">
        <w:t xml:space="preserve">  After paragraph 29V(7)(a)</w:t>
      </w:r>
    </w:p>
    <w:p w:rsidR="008A0B84" w:rsidRPr="00FB55D9" w:rsidRDefault="008A0B84" w:rsidP="00FB55D9">
      <w:pPr>
        <w:pStyle w:val="Item"/>
      </w:pPr>
      <w:r w:rsidRPr="00FB55D9">
        <w:t>Insert:</w:t>
      </w:r>
    </w:p>
    <w:p w:rsidR="008A0B84" w:rsidRPr="00FB55D9" w:rsidRDefault="008A0B84" w:rsidP="00FB55D9">
      <w:pPr>
        <w:pStyle w:val="paragraph"/>
      </w:pPr>
      <w:r w:rsidRPr="00FB55D9">
        <w:tab/>
        <w:t>(aa)</w:t>
      </w:r>
      <w:r w:rsidRPr="00FB55D9">
        <w:tab/>
        <w:t xml:space="preserve">the fee does not satisfy the condition in </w:t>
      </w:r>
      <w:r w:rsidR="00750118" w:rsidRPr="00FB55D9">
        <w:t>paragraph (</w:t>
      </w:r>
      <w:r w:rsidRPr="00FB55D9">
        <w:t>8)(a); and</w:t>
      </w:r>
    </w:p>
    <w:p w:rsidR="008A0B84" w:rsidRPr="00FB55D9" w:rsidRDefault="00750118" w:rsidP="00FB55D9">
      <w:pPr>
        <w:pStyle w:val="ItemHead"/>
      </w:pPr>
      <w:r w:rsidRPr="00FB55D9">
        <w:t>5</w:t>
      </w:r>
      <w:r w:rsidR="008A0B84" w:rsidRPr="00FB55D9">
        <w:t xml:space="preserve">  Paragraph 29V(7)(b)</w:t>
      </w:r>
    </w:p>
    <w:p w:rsidR="008A0B84" w:rsidRPr="00FB55D9" w:rsidRDefault="008A0B84" w:rsidP="00FB55D9">
      <w:pPr>
        <w:pStyle w:val="Item"/>
      </w:pPr>
      <w:r w:rsidRPr="00FB55D9">
        <w:t>Omit “, an advice fee”.</w:t>
      </w:r>
    </w:p>
    <w:p w:rsidR="008A0B84" w:rsidRPr="00FB55D9" w:rsidRDefault="00750118" w:rsidP="00FB55D9">
      <w:pPr>
        <w:pStyle w:val="ItemHead"/>
      </w:pPr>
      <w:r w:rsidRPr="00FB55D9">
        <w:t>6</w:t>
      </w:r>
      <w:r w:rsidR="008A0B84" w:rsidRPr="00FB55D9">
        <w:t xml:space="preserve">  Paragraph 29V(8)(b)</w:t>
      </w:r>
    </w:p>
    <w:p w:rsidR="008A0B84" w:rsidRPr="00FB55D9" w:rsidRDefault="008A0B84" w:rsidP="00FB55D9">
      <w:pPr>
        <w:pStyle w:val="Item"/>
      </w:pPr>
      <w:r w:rsidRPr="00FB55D9">
        <w:t>Omit “, an activity fee”.</w:t>
      </w:r>
    </w:p>
    <w:p w:rsidR="008A0B84" w:rsidRPr="00FB55D9" w:rsidRDefault="00750118" w:rsidP="00FB55D9">
      <w:pPr>
        <w:pStyle w:val="ItemHead"/>
      </w:pPr>
      <w:r w:rsidRPr="00FB55D9">
        <w:t>7</w:t>
      </w:r>
      <w:r w:rsidR="008A0B84" w:rsidRPr="00FB55D9">
        <w:t xml:space="preserve">  At the end of subsection 29VA(9A)</w:t>
      </w:r>
    </w:p>
    <w:p w:rsidR="008A0B84" w:rsidRPr="00FB55D9" w:rsidRDefault="008A0B84" w:rsidP="00FB55D9">
      <w:pPr>
        <w:pStyle w:val="Item"/>
      </w:pPr>
      <w:r w:rsidRPr="00FB55D9">
        <w:t>Add:</w:t>
      </w:r>
    </w:p>
    <w:p w:rsidR="008A0B84" w:rsidRPr="00FB55D9" w:rsidRDefault="008A0B84" w:rsidP="00FB55D9">
      <w:pPr>
        <w:pStyle w:val="paragraph"/>
      </w:pPr>
      <w:r w:rsidRPr="00FB55D9">
        <w:tab/>
        <w:t>; and (d)</w:t>
      </w:r>
      <w:r w:rsidRPr="00FB55D9">
        <w:tab/>
        <w:t>the fee is to be paid in accordance with the terms of an arrangement entered into by the member; and</w:t>
      </w:r>
    </w:p>
    <w:p w:rsidR="008A0B84" w:rsidRPr="00FB55D9" w:rsidRDefault="008A0B84" w:rsidP="00FB55D9">
      <w:pPr>
        <w:pStyle w:val="paragraph"/>
      </w:pPr>
      <w:r w:rsidRPr="00FB55D9">
        <w:tab/>
        <w:t>(e)</w:t>
      </w:r>
      <w:r w:rsidRPr="00FB55D9">
        <w:tab/>
        <w:t>the arrangement is not an ongoing fee arrangement.</w:t>
      </w:r>
    </w:p>
    <w:p w:rsidR="008A0B84" w:rsidRPr="00FB55D9" w:rsidRDefault="008A0B84" w:rsidP="00FB55D9">
      <w:pPr>
        <w:pStyle w:val="ActHead7"/>
        <w:pageBreakBefore/>
      </w:pPr>
      <w:bookmarkStart w:id="48" w:name="_Toc65762062"/>
      <w:r w:rsidRPr="003C052D">
        <w:rPr>
          <w:rStyle w:val="CharAmPartNo"/>
        </w:rPr>
        <w:lastRenderedPageBreak/>
        <w:t>Part 3</w:t>
      </w:r>
      <w:r w:rsidRPr="00FB55D9">
        <w:t>—</w:t>
      </w:r>
      <w:r w:rsidRPr="003C052D">
        <w:rPr>
          <w:rStyle w:val="CharAmPartText"/>
        </w:rPr>
        <w:t>Application</w:t>
      </w:r>
      <w:bookmarkEnd w:id="48"/>
    </w:p>
    <w:p w:rsidR="008A0B84" w:rsidRPr="00FB55D9" w:rsidRDefault="00750118" w:rsidP="00FB55D9">
      <w:pPr>
        <w:pStyle w:val="Transitional"/>
      </w:pPr>
      <w:r w:rsidRPr="00FB55D9">
        <w:t>8</w:t>
      </w:r>
      <w:r w:rsidR="008A0B84" w:rsidRPr="00FB55D9">
        <w:t xml:space="preserve">  Application</w:t>
      </w:r>
    </w:p>
    <w:p w:rsidR="008A0B84" w:rsidRPr="00FB55D9" w:rsidRDefault="008A0B84" w:rsidP="00FB55D9">
      <w:pPr>
        <w:pStyle w:val="Item"/>
      </w:pPr>
      <w:r w:rsidRPr="00FB55D9">
        <w:t>The amendments made by this Schedule apply:</w:t>
      </w:r>
    </w:p>
    <w:p w:rsidR="008A0B84" w:rsidRPr="00FB55D9" w:rsidRDefault="008A0B84" w:rsidP="00FB55D9">
      <w:pPr>
        <w:pStyle w:val="paragraph"/>
      </w:pPr>
      <w:r w:rsidRPr="00FB55D9">
        <w:tab/>
        <w:t>(a)</w:t>
      </w:r>
      <w:r w:rsidRPr="00FB55D9">
        <w:tab/>
        <w:t xml:space="preserve">in relation to a fee payable under an arrangement entered into on or after </w:t>
      </w:r>
      <w:r w:rsidR="00750118" w:rsidRPr="00FB55D9">
        <w:t>1 July</w:t>
      </w:r>
      <w:r w:rsidRPr="00FB55D9">
        <w:t xml:space="preserve"> 2021—on and after </w:t>
      </w:r>
      <w:r w:rsidR="00750118" w:rsidRPr="00FB55D9">
        <w:t>1 July</w:t>
      </w:r>
      <w:r w:rsidRPr="00FB55D9">
        <w:t xml:space="preserve"> 2021; or</w:t>
      </w:r>
    </w:p>
    <w:p w:rsidR="008A0B84" w:rsidRDefault="008A0B84" w:rsidP="00FB55D9">
      <w:pPr>
        <w:pStyle w:val="paragraph"/>
      </w:pPr>
      <w:r w:rsidRPr="00FB55D9">
        <w:tab/>
        <w:t>(b)</w:t>
      </w:r>
      <w:r w:rsidRPr="00FB55D9">
        <w:tab/>
        <w:t xml:space="preserve">in relation to a fee payable under an arrangement entered into before </w:t>
      </w:r>
      <w:r w:rsidR="00750118" w:rsidRPr="00FB55D9">
        <w:t>1 July</w:t>
      </w:r>
      <w:r w:rsidRPr="00FB55D9">
        <w:t xml:space="preserve"> 2021—on and after </w:t>
      </w:r>
      <w:r w:rsidR="00750118" w:rsidRPr="00FB55D9">
        <w:t>1 July</w:t>
      </w:r>
      <w:r w:rsidRPr="00FB55D9">
        <w:t xml:space="preserve"> 2022.</w:t>
      </w:r>
    </w:p>
    <w:p w:rsidR="00324508" w:rsidRDefault="00324508" w:rsidP="00324508"/>
    <w:p w:rsidR="00324508" w:rsidRDefault="00324508" w:rsidP="00324508">
      <w:pPr>
        <w:pStyle w:val="AssentBk"/>
        <w:keepNext/>
      </w:pPr>
    </w:p>
    <w:p w:rsidR="00324508" w:rsidRDefault="00324508" w:rsidP="00324508">
      <w:pPr>
        <w:pStyle w:val="AssentBk"/>
        <w:keepNext/>
      </w:pPr>
    </w:p>
    <w:p w:rsidR="00324508" w:rsidRDefault="00324508" w:rsidP="00324508">
      <w:pPr>
        <w:pStyle w:val="2ndRd"/>
        <w:keepNext/>
        <w:pBdr>
          <w:top w:val="single" w:sz="2" w:space="1" w:color="auto"/>
        </w:pBdr>
      </w:pPr>
    </w:p>
    <w:p w:rsidR="00324508" w:rsidRDefault="00324508" w:rsidP="00324508">
      <w:pPr>
        <w:pStyle w:val="2ndRd"/>
        <w:keepNext/>
        <w:spacing w:line="260" w:lineRule="atLeast"/>
        <w:rPr>
          <w:i/>
        </w:rPr>
      </w:pPr>
      <w:r>
        <w:t>[</w:t>
      </w:r>
      <w:r>
        <w:rPr>
          <w:i/>
        </w:rPr>
        <w:t>Minister’s second reading speech made in—</w:t>
      </w:r>
    </w:p>
    <w:p w:rsidR="00324508" w:rsidRDefault="00324508" w:rsidP="00324508">
      <w:pPr>
        <w:pStyle w:val="2ndRd"/>
        <w:keepNext/>
        <w:spacing w:line="260" w:lineRule="atLeast"/>
        <w:rPr>
          <w:i/>
        </w:rPr>
      </w:pPr>
      <w:r>
        <w:rPr>
          <w:i/>
        </w:rPr>
        <w:t>House of Representatives on 9 December 2020</w:t>
      </w:r>
    </w:p>
    <w:p w:rsidR="00324508" w:rsidRDefault="00324508" w:rsidP="00324508">
      <w:pPr>
        <w:pStyle w:val="2ndRd"/>
        <w:keepNext/>
        <w:spacing w:line="260" w:lineRule="atLeast"/>
        <w:rPr>
          <w:i/>
        </w:rPr>
      </w:pPr>
      <w:r>
        <w:rPr>
          <w:i/>
        </w:rPr>
        <w:t>Senate on 15 February 2021</w:t>
      </w:r>
      <w:r>
        <w:t>]</w:t>
      </w:r>
    </w:p>
    <w:p w:rsidR="00324508" w:rsidRDefault="00324508" w:rsidP="00324508"/>
    <w:p w:rsidR="008750E6" w:rsidRPr="00324508" w:rsidRDefault="00324508" w:rsidP="00AD3322">
      <w:pPr>
        <w:framePr w:hSpace="180" w:wrap="around" w:vAnchor="text" w:hAnchor="page" w:x="2417" w:y="6003"/>
      </w:pPr>
      <w:r>
        <w:t>(180/20)</w:t>
      </w:r>
    </w:p>
    <w:p w:rsidR="00324508" w:rsidRDefault="00324508"/>
    <w:sectPr w:rsidR="00324508" w:rsidSect="008750E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508" w:rsidRDefault="00324508" w:rsidP="0048364F">
      <w:pPr>
        <w:spacing w:line="240" w:lineRule="auto"/>
      </w:pPr>
      <w:r>
        <w:separator/>
      </w:r>
    </w:p>
  </w:endnote>
  <w:endnote w:type="continuationSeparator" w:id="0">
    <w:p w:rsidR="00324508" w:rsidRDefault="0032450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5F1388" w:rsidRDefault="00324508" w:rsidP="00FB55D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Default="00324508" w:rsidP="00324508">
    <w:pPr>
      <w:pStyle w:val="ScalePlusRef"/>
    </w:pPr>
    <w:r>
      <w:t>Note: An electronic version of this Act is available on the Federal Register of Legislation (</w:t>
    </w:r>
    <w:hyperlink r:id="rId1" w:history="1">
      <w:r>
        <w:t>https://www.legislation.gov.au/</w:t>
      </w:r>
    </w:hyperlink>
    <w:r>
      <w:t>)</w:t>
    </w:r>
  </w:p>
  <w:p w:rsidR="00324508" w:rsidRDefault="00324508" w:rsidP="00324508"/>
  <w:p w:rsidR="00324508" w:rsidRDefault="00324508" w:rsidP="00FB55D9">
    <w:pPr>
      <w:pStyle w:val="Footer"/>
      <w:spacing w:before="120"/>
    </w:pPr>
  </w:p>
  <w:p w:rsidR="00324508" w:rsidRPr="005F1388" w:rsidRDefault="0032450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ED79B6" w:rsidRDefault="00324508" w:rsidP="00FB55D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Default="00324508" w:rsidP="00FB55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24508" w:rsidTr="009A2362">
      <w:tc>
        <w:tcPr>
          <w:tcW w:w="646" w:type="dxa"/>
        </w:tcPr>
        <w:p w:rsidR="00324508" w:rsidRDefault="00324508" w:rsidP="009A236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xxix</w:t>
          </w:r>
          <w:r w:rsidRPr="00ED79B6">
            <w:rPr>
              <w:i/>
              <w:sz w:val="18"/>
            </w:rPr>
            <w:fldChar w:fldCharType="end"/>
          </w:r>
        </w:p>
      </w:tc>
      <w:tc>
        <w:tcPr>
          <w:tcW w:w="5387" w:type="dxa"/>
        </w:tcPr>
        <w:p w:rsidR="00324508" w:rsidRDefault="00324508" w:rsidP="009A236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D5DF9">
            <w:rPr>
              <w:i/>
              <w:sz w:val="18"/>
            </w:rPr>
            <w:t>Financial Sector Reform (Hayne Royal Commission Response No. 2) Act 2021</w:t>
          </w:r>
          <w:r w:rsidRPr="00ED79B6">
            <w:rPr>
              <w:i/>
              <w:sz w:val="18"/>
            </w:rPr>
            <w:fldChar w:fldCharType="end"/>
          </w:r>
        </w:p>
      </w:tc>
      <w:tc>
        <w:tcPr>
          <w:tcW w:w="1270" w:type="dxa"/>
        </w:tcPr>
        <w:p w:rsidR="00324508" w:rsidRDefault="00324508" w:rsidP="009A236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D5DF9">
            <w:rPr>
              <w:i/>
              <w:sz w:val="18"/>
            </w:rPr>
            <w:t>No. 19, 2021</w:t>
          </w:r>
          <w:r w:rsidRPr="00ED79B6">
            <w:rPr>
              <w:i/>
              <w:sz w:val="18"/>
            </w:rPr>
            <w:fldChar w:fldCharType="end"/>
          </w:r>
        </w:p>
      </w:tc>
    </w:tr>
  </w:tbl>
  <w:p w:rsidR="00324508" w:rsidRDefault="0032450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Default="00324508" w:rsidP="00FB55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24508" w:rsidTr="009A2362">
      <w:tc>
        <w:tcPr>
          <w:tcW w:w="1247" w:type="dxa"/>
        </w:tcPr>
        <w:p w:rsidR="00324508" w:rsidRDefault="00324508" w:rsidP="009A236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D5DF9">
            <w:rPr>
              <w:i/>
              <w:sz w:val="18"/>
            </w:rPr>
            <w:t>No. 19, 2021</w:t>
          </w:r>
          <w:r w:rsidRPr="00ED79B6">
            <w:rPr>
              <w:i/>
              <w:sz w:val="18"/>
            </w:rPr>
            <w:fldChar w:fldCharType="end"/>
          </w:r>
        </w:p>
      </w:tc>
      <w:tc>
        <w:tcPr>
          <w:tcW w:w="5387" w:type="dxa"/>
        </w:tcPr>
        <w:p w:rsidR="00324508" w:rsidRDefault="00324508" w:rsidP="009A236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D5DF9">
            <w:rPr>
              <w:i/>
              <w:sz w:val="18"/>
            </w:rPr>
            <w:t>Financial Sector Reform (Hayne Royal Commission Response No. 2) Act 2021</w:t>
          </w:r>
          <w:r w:rsidRPr="00ED79B6">
            <w:rPr>
              <w:i/>
              <w:sz w:val="18"/>
            </w:rPr>
            <w:fldChar w:fldCharType="end"/>
          </w:r>
        </w:p>
      </w:tc>
      <w:tc>
        <w:tcPr>
          <w:tcW w:w="669" w:type="dxa"/>
        </w:tcPr>
        <w:p w:rsidR="00324508" w:rsidRDefault="00324508" w:rsidP="009A236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rsidR="00324508" w:rsidRPr="00ED79B6" w:rsidRDefault="0032450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A961C4" w:rsidRDefault="00324508" w:rsidP="00FB55D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24508" w:rsidTr="003C052D">
      <w:tc>
        <w:tcPr>
          <w:tcW w:w="646" w:type="dxa"/>
        </w:tcPr>
        <w:p w:rsidR="00324508" w:rsidRDefault="00324508" w:rsidP="009A236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28</w:t>
          </w:r>
          <w:r w:rsidRPr="007A1328">
            <w:rPr>
              <w:i/>
              <w:sz w:val="18"/>
            </w:rPr>
            <w:fldChar w:fldCharType="end"/>
          </w:r>
        </w:p>
      </w:tc>
      <w:tc>
        <w:tcPr>
          <w:tcW w:w="5387" w:type="dxa"/>
        </w:tcPr>
        <w:p w:rsidR="00324508" w:rsidRDefault="00324508" w:rsidP="009A236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D5DF9">
            <w:rPr>
              <w:i/>
              <w:sz w:val="18"/>
            </w:rPr>
            <w:t>Financial Sector Reform (Hayne Royal Commission Response No. 2) Act 2021</w:t>
          </w:r>
          <w:r w:rsidRPr="007A1328">
            <w:rPr>
              <w:i/>
              <w:sz w:val="18"/>
            </w:rPr>
            <w:fldChar w:fldCharType="end"/>
          </w:r>
        </w:p>
      </w:tc>
      <w:tc>
        <w:tcPr>
          <w:tcW w:w="1270" w:type="dxa"/>
        </w:tcPr>
        <w:p w:rsidR="00324508" w:rsidRDefault="00324508" w:rsidP="009A236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D5DF9">
            <w:rPr>
              <w:i/>
              <w:sz w:val="18"/>
            </w:rPr>
            <w:t>No. 19, 2021</w:t>
          </w:r>
          <w:r w:rsidRPr="007A1328">
            <w:rPr>
              <w:i/>
              <w:sz w:val="18"/>
            </w:rPr>
            <w:fldChar w:fldCharType="end"/>
          </w:r>
        </w:p>
      </w:tc>
    </w:tr>
  </w:tbl>
  <w:p w:rsidR="00324508" w:rsidRPr="00A961C4" w:rsidRDefault="0032450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A961C4" w:rsidRDefault="00324508" w:rsidP="00FB55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24508" w:rsidTr="003C052D">
      <w:tc>
        <w:tcPr>
          <w:tcW w:w="1247" w:type="dxa"/>
        </w:tcPr>
        <w:p w:rsidR="00324508" w:rsidRDefault="00324508" w:rsidP="009A236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D5DF9">
            <w:rPr>
              <w:i/>
              <w:sz w:val="18"/>
            </w:rPr>
            <w:t>No. 19, 2021</w:t>
          </w:r>
          <w:r w:rsidRPr="007A1328">
            <w:rPr>
              <w:i/>
              <w:sz w:val="18"/>
            </w:rPr>
            <w:fldChar w:fldCharType="end"/>
          </w:r>
        </w:p>
      </w:tc>
      <w:tc>
        <w:tcPr>
          <w:tcW w:w="5387" w:type="dxa"/>
        </w:tcPr>
        <w:p w:rsidR="00324508" w:rsidRDefault="00324508" w:rsidP="009A236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D5DF9">
            <w:rPr>
              <w:i/>
              <w:sz w:val="18"/>
            </w:rPr>
            <w:t>Financial Sector Reform (Hayne Royal Commission Response No. 2) Act 2021</w:t>
          </w:r>
          <w:r w:rsidRPr="007A1328">
            <w:rPr>
              <w:i/>
              <w:sz w:val="18"/>
            </w:rPr>
            <w:fldChar w:fldCharType="end"/>
          </w:r>
        </w:p>
      </w:tc>
      <w:tc>
        <w:tcPr>
          <w:tcW w:w="669" w:type="dxa"/>
        </w:tcPr>
        <w:p w:rsidR="00324508" w:rsidRDefault="00324508" w:rsidP="009A236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29</w:t>
          </w:r>
          <w:r w:rsidRPr="007A1328">
            <w:rPr>
              <w:i/>
              <w:sz w:val="18"/>
            </w:rPr>
            <w:fldChar w:fldCharType="end"/>
          </w:r>
        </w:p>
      </w:tc>
    </w:tr>
  </w:tbl>
  <w:p w:rsidR="00324508" w:rsidRPr="00055B5C" w:rsidRDefault="0032450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A961C4" w:rsidRDefault="00324508" w:rsidP="00FB55D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324508" w:rsidTr="003C052D">
      <w:tc>
        <w:tcPr>
          <w:tcW w:w="1247" w:type="dxa"/>
        </w:tcPr>
        <w:p w:rsidR="00324508" w:rsidRDefault="00324508" w:rsidP="009A236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D5DF9">
            <w:rPr>
              <w:i/>
              <w:sz w:val="18"/>
            </w:rPr>
            <w:t>No. 19, 2021</w:t>
          </w:r>
          <w:r w:rsidRPr="007A1328">
            <w:rPr>
              <w:i/>
              <w:sz w:val="18"/>
            </w:rPr>
            <w:fldChar w:fldCharType="end"/>
          </w:r>
        </w:p>
      </w:tc>
      <w:tc>
        <w:tcPr>
          <w:tcW w:w="5387" w:type="dxa"/>
        </w:tcPr>
        <w:p w:rsidR="00324508" w:rsidRDefault="00324508" w:rsidP="009A236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D5DF9">
            <w:rPr>
              <w:i/>
              <w:sz w:val="18"/>
            </w:rPr>
            <w:t>Financial Sector Reform (Hayne Royal Commission Response No. 2) Act 2021</w:t>
          </w:r>
          <w:r w:rsidRPr="007A1328">
            <w:rPr>
              <w:i/>
              <w:sz w:val="18"/>
            </w:rPr>
            <w:fldChar w:fldCharType="end"/>
          </w:r>
        </w:p>
      </w:tc>
      <w:tc>
        <w:tcPr>
          <w:tcW w:w="669" w:type="dxa"/>
        </w:tcPr>
        <w:p w:rsidR="00324508" w:rsidRDefault="00324508" w:rsidP="009A236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rsidR="00324508" w:rsidRPr="00A961C4" w:rsidRDefault="0032450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508" w:rsidRDefault="00324508" w:rsidP="0048364F">
      <w:pPr>
        <w:spacing w:line="240" w:lineRule="auto"/>
      </w:pPr>
      <w:r>
        <w:separator/>
      </w:r>
    </w:p>
  </w:footnote>
  <w:footnote w:type="continuationSeparator" w:id="0">
    <w:p w:rsidR="00324508" w:rsidRDefault="0032450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5F1388" w:rsidRDefault="00324508"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5F1388" w:rsidRDefault="0032450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5F1388" w:rsidRDefault="0032450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ED79B6" w:rsidRDefault="0032450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ED79B6" w:rsidRDefault="0032450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ED79B6" w:rsidRDefault="0032450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A961C4" w:rsidRDefault="00324508" w:rsidP="0048364F">
    <w:pPr>
      <w:rPr>
        <w:b/>
        <w:sz w:val="20"/>
      </w:rPr>
    </w:pPr>
    <w:r>
      <w:rPr>
        <w:b/>
        <w:sz w:val="20"/>
      </w:rPr>
      <w:fldChar w:fldCharType="begin"/>
    </w:r>
    <w:r>
      <w:rPr>
        <w:b/>
        <w:sz w:val="20"/>
      </w:rPr>
      <w:instrText xml:space="preserve"> STYLEREF CharAmSchNo </w:instrText>
    </w:r>
    <w:r w:rsidR="00AD3322">
      <w:rPr>
        <w:b/>
        <w:sz w:val="20"/>
      </w:rPr>
      <w:fldChar w:fldCharType="separate"/>
    </w:r>
    <w:r w:rsidR="00AD332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D3322">
      <w:rPr>
        <w:sz w:val="20"/>
      </w:rPr>
      <w:fldChar w:fldCharType="separate"/>
    </w:r>
    <w:r w:rsidR="00AD3322">
      <w:rPr>
        <w:noProof/>
        <w:sz w:val="20"/>
      </w:rPr>
      <w:t>Ongoing fee arrangements</w:t>
    </w:r>
    <w:r>
      <w:rPr>
        <w:sz w:val="20"/>
      </w:rPr>
      <w:fldChar w:fldCharType="end"/>
    </w:r>
  </w:p>
  <w:p w:rsidR="00324508" w:rsidRPr="00A961C4" w:rsidRDefault="00324508" w:rsidP="0048364F">
    <w:pPr>
      <w:rPr>
        <w:b/>
        <w:sz w:val="20"/>
      </w:rPr>
    </w:pPr>
    <w:r>
      <w:rPr>
        <w:b/>
        <w:sz w:val="20"/>
      </w:rPr>
      <w:fldChar w:fldCharType="begin"/>
    </w:r>
    <w:r>
      <w:rPr>
        <w:b/>
        <w:sz w:val="20"/>
      </w:rPr>
      <w:instrText xml:space="preserve"> STYLEREF CharAmPartNo </w:instrText>
    </w:r>
    <w:r w:rsidR="00AD3322">
      <w:rPr>
        <w:b/>
        <w:sz w:val="20"/>
      </w:rPr>
      <w:fldChar w:fldCharType="separate"/>
    </w:r>
    <w:r w:rsidR="00AD3322">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D3322">
      <w:rPr>
        <w:sz w:val="20"/>
      </w:rPr>
      <w:fldChar w:fldCharType="separate"/>
    </w:r>
    <w:r w:rsidR="00AD3322">
      <w:rPr>
        <w:noProof/>
        <w:sz w:val="20"/>
      </w:rPr>
      <w:t>Main amendments</w:t>
    </w:r>
    <w:r>
      <w:rPr>
        <w:sz w:val="20"/>
      </w:rPr>
      <w:fldChar w:fldCharType="end"/>
    </w:r>
  </w:p>
  <w:p w:rsidR="00324508" w:rsidRPr="00A961C4" w:rsidRDefault="0032450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A961C4" w:rsidRDefault="00324508" w:rsidP="0048364F">
    <w:pPr>
      <w:jc w:val="right"/>
      <w:rPr>
        <w:sz w:val="20"/>
      </w:rPr>
    </w:pPr>
    <w:r w:rsidRPr="00A961C4">
      <w:rPr>
        <w:sz w:val="20"/>
      </w:rPr>
      <w:fldChar w:fldCharType="begin"/>
    </w:r>
    <w:r w:rsidRPr="00A961C4">
      <w:rPr>
        <w:sz w:val="20"/>
      </w:rPr>
      <w:instrText xml:space="preserve"> STYLEREF CharAmSchText </w:instrText>
    </w:r>
    <w:r w:rsidR="005D5DF9">
      <w:rPr>
        <w:sz w:val="20"/>
      </w:rPr>
      <w:fldChar w:fldCharType="separate"/>
    </w:r>
    <w:r w:rsidR="00AD3322">
      <w:rPr>
        <w:noProof/>
        <w:sz w:val="20"/>
      </w:rPr>
      <w:t>Ongoing fee arrangements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D5DF9">
      <w:rPr>
        <w:b/>
        <w:sz w:val="20"/>
      </w:rPr>
      <w:fldChar w:fldCharType="separate"/>
    </w:r>
    <w:r w:rsidR="00AD3322">
      <w:rPr>
        <w:b/>
        <w:noProof/>
        <w:sz w:val="20"/>
      </w:rPr>
      <w:t>Schedule 1</w:t>
    </w:r>
    <w:r>
      <w:rPr>
        <w:b/>
        <w:sz w:val="20"/>
      </w:rPr>
      <w:fldChar w:fldCharType="end"/>
    </w:r>
  </w:p>
  <w:p w:rsidR="00324508" w:rsidRPr="00A961C4" w:rsidRDefault="00324508" w:rsidP="0048364F">
    <w:pPr>
      <w:jc w:val="right"/>
      <w:rPr>
        <w:b/>
        <w:sz w:val="20"/>
      </w:rPr>
    </w:pPr>
    <w:r w:rsidRPr="00A961C4">
      <w:rPr>
        <w:sz w:val="20"/>
      </w:rPr>
      <w:fldChar w:fldCharType="begin"/>
    </w:r>
    <w:r w:rsidRPr="00A961C4">
      <w:rPr>
        <w:sz w:val="20"/>
      </w:rPr>
      <w:instrText xml:space="preserve"> STYLEREF CharAmPartText </w:instrText>
    </w:r>
    <w:r w:rsidR="00AD3322">
      <w:rPr>
        <w:sz w:val="20"/>
      </w:rPr>
      <w:fldChar w:fldCharType="separate"/>
    </w:r>
    <w:r w:rsidR="00AD3322">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D3322">
      <w:rPr>
        <w:b/>
        <w:sz w:val="20"/>
      </w:rPr>
      <w:fldChar w:fldCharType="separate"/>
    </w:r>
    <w:r w:rsidR="00AD3322">
      <w:rPr>
        <w:b/>
        <w:noProof/>
        <w:sz w:val="20"/>
      </w:rPr>
      <w:t>Part 1</w:t>
    </w:r>
    <w:r w:rsidRPr="00A961C4">
      <w:rPr>
        <w:b/>
        <w:sz w:val="20"/>
      </w:rPr>
      <w:fldChar w:fldCharType="end"/>
    </w:r>
  </w:p>
  <w:p w:rsidR="00324508" w:rsidRPr="00A961C4" w:rsidRDefault="0032450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08" w:rsidRPr="00A961C4" w:rsidRDefault="0032450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F0"/>
    <w:rsid w:val="00001F4F"/>
    <w:rsid w:val="000113BC"/>
    <w:rsid w:val="000136AF"/>
    <w:rsid w:val="000417C9"/>
    <w:rsid w:val="00050E23"/>
    <w:rsid w:val="00052E13"/>
    <w:rsid w:val="00055B5C"/>
    <w:rsid w:val="00056391"/>
    <w:rsid w:val="00060FF9"/>
    <w:rsid w:val="000614BF"/>
    <w:rsid w:val="000B1FD2"/>
    <w:rsid w:val="000D05EF"/>
    <w:rsid w:val="000F21C1"/>
    <w:rsid w:val="00101D90"/>
    <w:rsid w:val="0010745C"/>
    <w:rsid w:val="00113BD1"/>
    <w:rsid w:val="00122206"/>
    <w:rsid w:val="00136616"/>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E3590"/>
    <w:rsid w:val="001E7407"/>
    <w:rsid w:val="00201D27"/>
    <w:rsid w:val="00202618"/>
    <w:rsid w:val="0023065D"/>
    <w:rsid w:val="00231B14"/>
    <w:rsid w:val="00240749"/>
    <w:rsid w:val="00263820"/>
    <w:rsid w:val="00275197"/>
    <w:rsid w:val="00293B89"/>
    <w:rsid w:val="00297ECB"/>
    <w:rsid w:val="002B5A30"/>
    <w:rsid w:val="002D043A"/>
    <w:rsid w:val="002D395A"/>
    <w:rsid w:val="002E31CC"/>
    <w:rsid w:val="002F28EF"/>
    <w:rsid w:val="00324508"/>
    <w:rsid w:val="003415D3"/>
    <w:rsid w:val="00350417"/>
    <w:rsid w:val="00352B0F"/>
    <w:rsid w:val="00373874"/>
    <w:rsid w:val="00375C6C"/>
    <w:rsid w:val="003A7B3C"/>
    <w:rsid w:val="003B4E3D"/>
    <w:rsid w:val="003C052D"/>
    <w:rsid w:val="003C5F2B"/>
    <w:rsid w:val="003D0BFE"/>
    <w:rsid w:val="003D5700"/>
    <w:rsid w:val="00405579"/>
    <w:rsid w:val="00410B8E"/>
    <w:rsid w:val="004116CD"/>
    <w:rsid w:val="00421FC1"/>
    <w:rsid w:val="004229C7"/>
    <w:rsid w:val="00424CA9"/>
    <w:rsid w:val="004312FF"/>
    <w:rsid w:val="00436785"/>
    <w:rsid w:val="00436BD5"/>
    <w:rsid w:val="00437E4B"/>
    <w:rsid w:val="0044291A"/>
    <w:rsid w:val="0048196B"/>
    <w:rsid w:val="0048364F"/>
    <w:rsid w:val="00486D05"/>
    <w:rsid w:val="00496F97"/>
    <w:rsid w:val="004C7C8C"/>
    <w:rsid w:val="004E2A4A"/>
    <w:rsid w:val="004E39BC"/>
    <w:rsid w:val="004F0D23"/>
    <w:rsid w:val="004F1FAC"/>
    <w:rsid w:val="00516B8D"/>
    <w:rsid w:val="00537FBC"/>
    <w:rsid w:val="00543469"/>
    <w:rsid w:val="00551B54"/>
    <w:rsid w:val="00584811"/>
    <w:rsid w:val="00593AA6"/>
    <w:rsid w:val="00594161"/>
    <w:rsid w:val="00594749"/>
    <w:rsid w:val="005A0D92"/>
    <w:rsid w:val="005B403A"/>
    <w:rsid w:val="005B4067"/>
    <w:rsid w:val="005B45F0"/>
    <w:rsid w:val="005C3F41"/>
    <w:rsid w:val="005D5AE9"/>
    <w:rsid w:val="005D5DF9"/>
    <w:rsid w:val="005E106B"/>
    <w:rsid w:val="005E152A"/>
    <w:rsid w:val="005E3A1B"/>
    <w:rsid w:val="00600219"/>
    <w:rsid w:val="006167FD"/>
    <w:rsid w:val="0063300D"/>
    <w:rsid w:val="00641DE5"/>
    <w:rsid w:val="00656F0C"/>
    <w:rsid w:val="00662C29"/>
    <w:rsid w:val="0067223D"/>
    <w:rsid w:val="00677CC2"/>
    <w:rsid w:val="00681F92"/>
    <w:rsid w:val="006842C2"/>
    <w:rsid w:val="00685F42"/>
    <w:rsid w:val="0069207B"/>
    <w:rsid w:val="00693780"/>
    <w:rsid w:val="006A4B23"/>
    <w:rsid w:val="006C2874"/>
    <w:rsid w:val="006C7F8C"/>
    <w:rsid w:val="006D1BC8"/>
    <w:rsid w:val="006D380D"/>
    <w:rsid w:val="006E0135"/>
    <w:rsid w:val="006E303A"/>
    <w:rsid w:val="006F7E19"/>
    <w:rsid w:val="00700B2C"/>
    <w:rsid w:val="00711B83"/>
    <w:rsid w:val="00712D8D"/>
    <w:rsid w:val="00713084"/>
    <w:rsid w:val="00714B26"/>
    <w:rsid w:val="00731E00"/>
    <w:rsid w:val="007440B7"/>
    <w:rsid w:val="00750118"/>
    <w:rsid w:val="007634AD"/>
    <w:rsid w:val="007715C9"/>
    <w:rsid w:val="00774EDD"/>
    <w:rsid w:val="007757EC"/>
    <w:rsid w:val="0078383E"/>
    <w:rsid w:val="007B30AA"/>
    <w:rsid w:val="007E02DA"/>
    <w:rsid w:val="007E7D4A"/>
    <w:rsid w:val="008006CC"/>
    <w:rsid w:val="00807F18"/>
    <w:rsid w:val="00831E8D"/>
    <w:rsid w:val="008457B7"/>
    <w:rsid w:val="00856A31"/>
    <w:rsid w:val="00857D6B"/>
    <w:rsid w:val="008750E6"/>
    <w:rsid w:val="008754D0"/>
    <w:rsid w:val="00877D48"/>
    <w:rsid w:val="00883781"/>
    <w:rsid w:val="00885570"/>
    <w:rsid w:val="00893958"/>
    <w:rsid w:val="008A0B84"/>
    <w:rsid w:val="008A2E77"/>
    <w:rsid w:val="008C6F6F"/>
    <w:rsid w:val="008D0EE0"/>
    <w:rsid w:val="008D3E94"/>
    <w:rsid w:val="008F4F1C"/>
    <w:rsid w:val="008F77C4"/>
    <w:rsid w:val="009103F3"/>
    <w:rsid w:val="00932377"/>
    <w:rsid w:val="00967042"/>
    <w:rsid w:val="0098255A"/>
    <w:rsid w:val="00982DCC"/>
    <w:rsid w:val="009845BE"/>
    <w:rsid w:val="009969C9"/>
    <w:rsid w:val="009A2362"/>
    <w:rsid w:val="009F7BD0"/>
    <w:rsid w:val="00A048FF"/>
    <w:rsid w:val="00A10775"/>
    <w:rsid w:val="00A1364D"/>
    <w:rsid w:val="00A22466"/>
    <w:rsid w:val="00A231E2"/>
    <w:rsid w:val="00A36C48"/>
    <w:rsid w:val="00A41E0B"/>
    <w:rsid w:val="00A55631"/>
    <w:rsid w:val="00A64912"/>
    <w:rsid w:val="00A70A74"/>
    <w:rsid w:val="00A743C3"/>
    <w:rsid w:val="00A849B2"/>
    <w:rsid w:val="00AA3795"/>
    <w:rsid w:val="00AC1E75"/>
    <w:rsid w:val="00AD3322"/>
    <w:rsid w:val="00AD5641"/>
    <w:rsid w:val="00AE1088"/>
    <w:rsid w:val="00AF1BA4"/>
    <w:rsid w:val="00AF2D42"/>
    <w:rsid w:val="00B032D8"/>
    <w:rsid w:val="00B30D95"/>
    <w:rsid w:val="00B33B3C"/>
    <w:rsid w:val="00B6382D"/>
    <w:rsid w:val="00BA5026"/>
    <w:rsid w:val="00BA5FAF"/>
    <w:rsid w:val="00BB40BF"/>
    <w:rsid w:val="00BC0CD1"/>
    <w:rsid w:val="00BE719A"/>
    <w:rsid w:val="00BE720A"/>
    <w:rsid w:val="00BF0461"/>
    <w:rsid w:val="00BF4944"/>
    <w:rsid w:val="00BF56D4"/>
    <w:rsid w:val="00C04409"/>
    <w:rsid w:val="00C067E5"/>
    <w:rsid w:val="00C164CA"/>
    <w:rsid w:val="00C176CF"/>
    <w:rsid w:val="00C357BE"/>
    <w:rsid w:val="00C42BF8"/>
    <w:rsid w:val="00C460AE"/>
    <w:rsid w:val="00C50043"/>
    <w:rsid w:val="00C54E84"/>
    <w:rsid w:val="00C63944"/>
    <w:rsid w:val="00C654D3"/>
    <w:rsid w:val="00C7573B"/>
    <w:rsid w:val="00C76CF3"/>
    <w:rsid w:val="00C920BB"/>
    <w:rsid w:val="00CD75F5"/>
    <w:rsid w:val="00CE1E31"/>
    <w:rsid w:val="00CF0BB2"/>
    <w:rsid w:val="00D00EAA"/>
    <w:rsid w:val="00D01043"/>
    <w:rsid w:val="00D071FB"/>
    <w:rsid w:val="00D13441"/>
    <w:rsid w:val="00D243A3"/>
    <w:rsid w:val="00D43DB8"/>
    <w:rsid w:val="00D477C3"/>
    <w:rsid w:val="00D52EFE"/>
    <w:rsid w:val="00D63EF6"/>
    <w:rsid w:val="00D64C5F"/>
    <w:rsid w:val="00D70DFB"/>
    <w:rsid w:val="00D73029"/>
    <w:rsid w:val="00D766DF"/>
    <w:rsid w:val="00DC3621"/>
    <w:rsid w:val="00DE2002"/>
    <w:rsid w:val="00DF1103"/>
    <w:rsid w:val="00DF7AE9"/>
    <w:rsid w:val="00E05704"/>
    <w:rsid w:val="00E1610F"/>
    <w:rsid w:val="00E24D66"/>
    <w:rsid w:val="00E54292"/>
    <w:rsid w:val="00E74DC7"/>
    <w:rsid w:val="00E84ECA"/>
    <w:rsid w:val="00E8713A"/>
    <w:rsid w:val="00E87699"/>
    <w:rsid w:val="00E947C6"/>
    <w:rsid w:val="00EB2F68"/>
    <w:rsid w:val="00EB510C"/>
    <w:rsid w:val="00ED492F"/>
    <w:rsid w:val="00ED7F95"/>
    <w:rsid w:val="00EE3037"/>
    <w:rsid w:val="00EE3E36"/>
    <w:rsid w:val="00EF2E3A"/>
    <w:rsid w:val="00F047E2"/>
    <w:rsid w:val="00F078DC"/>
    <w:rsid w:val="00F13E86"/>
    <w:rsid w:val="00F17B00"/>
    <w:rsid w:val="00F20BCA"/>
    <w:rsid w:val="00F211D8"/>
    <w:rsid w:val="00F539E9"/>
    <w:rsid w:val="00F677A9"/>
    <w:rsid w:val="00F84CF5"/>
    <w:rsid w:val="00F92D35"/>
    <w:rsid w:val="00FA420B"/>
    <w:rsid w:val="00FB55D9"/>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C91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B55D9"/>
    <w:pPr>
      <w:spacing w:line="260" w:lineRule="atLeast"/>
    </w:pPr>
    <w:rPr>
      <w:sz w:val="22"/>
    </w:rPr>
  </w:style>
  <w:style w:type="paragraph" w:styleId="Heading1">
    <w:name w:val="heading 1"/>
    <w:basedOn w:val="Normal"/>
    <w:next w:val="Normal"/>
    <w:link w:val="Heading1Char"/>
    <w:uiPriority w:val="9"/>
    <w:qFormat/>
    <w:rsid w:val="00662C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2C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2C2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2C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2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2C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2C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2C2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62C2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B55D9"/>
  </w:style>
  <w:style w:type="paragraph" w:customStyle="1" w:styleId="OPCParaBase">
    <w:name w:val="OPCParaBase"/>
    <w:qFormat/>
    <w:rsid w:val="00FB55D9"/>
    <w:pPr>
      <w:spacing w:line="260" w:lineRule="atLeast"/>
    </w:pPr>
    <w:rPr>
      <w:rFonts w:eastAsia="Times New Roman" w:cs="Times New Roman"/>
      <w:sz w:val="22"/>
      <w:lang w:eastAsia="en-AU"/>
    </w:rPr>
  </w:style>
  <w:style w:type="paragraph" w:customStyle="1" w:styleId="ShortT">
    <w:name w:val="ShortT"/>
    <w:basedOn w:val="OPCParaBase"/>
    <w:next w:val="Normal"/>
    <w:qFormat/>
    <w:rsid w:val="00FB55D9"/>
    <w:pPr>
      <w:spacing w:line="240" w:lineRule="auto"/>
    </w:pPr>
    <w:rPr>
      <w:b/>
      <w:sz w:val="40"/>
    </w:rPr>
  </w:style>
  <w:style w:type="paragraph" w:customStyle="1" w:styleId="ActHead1">
    <w:name w:val="ActHead 1"/>
    <w:aliases w:val="c"/>
    <w:basedOn w:val="OPCParaBase"/>
    <w:next w:val="Normal"/>
    <w:qFormat/>
    <w:rsid w:val="00FB55D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B55D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FB55D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B55D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B55D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FB55D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FB55D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B55D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B55D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B55D9"/>
  </w:style>
  <w:style w:type="paragraph" w:customStyle="1" w:styleId="Blocks">
    <w:name w:val="Blocks"/>
    <w:aliases w:val="bb"/>
    <w:basedOn w:val="OPCParaBase"/>
    <w:qFormat/>
    <w:rsid w:val="00FB55D9"/>
    <w:pPr>
      <w:spacing w:line="240" w:lineRule="auto"/>
    </w:pPr>
    <w:rPr>
      <w:sz w:val="24"/>
    </w:rPr>
  </w:style>
  <w:style w:type="paragraph" w:customStyle="1" w:styleId="BoxText">
    <w:name w:val="BoxText"/>
    <w:aliases w:val="bt"/>
    <w:basedOn w:val="OPCParaBase"/>
    <w:qFormat/>
    <w:rsid w:val="00FB55D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B55D9"/>
    <w:rPr>
      <w:b/>
    </w:rPr>
  </w:style>
  <w:style w:type="paragraph" w:customStyle="1" w:styleId="BoxHeadItalic">
    <w:name w:val="BoxHeadItalic"/>
    <w:aliases w:val="bhi"/>
    <w:basedOn w:val="BoxText"/>
    <w:next w:val="BoxStep"/>
    <w:qFormat/>
    <w:rsid w:val="00FB55D9"/>
    <w:rPr>
      <w:i/>
    </w:rPr>
  </w:style>
  <w:style w:type="paragraph" w:customStyle="1" w:styleId="BoxList">
    <w:name w:val="BoxList"/>
    <w:aliases w:val="bl"/>
    <w:basedOn w:val="BoxText"/>
    <w:qFormat/>
    <w:rsid w:val="00FB55D9"/>
    <w:pPr>
      <w:ind w:left="1559" w:hanging="425"/>
    </w:pPr>
  </w:style>
  <w:style w:type="paragraph" w:customStyle="1" w:styleId="BoxNote">
    <w:name w:val="BoxNote"/>
    <w:aliases w:val="bn"/>
    <w:basedOn w:val="BoxText"/>
    <w:qFormat/>
    <w:rsid w:val="00FB55D9"/>
    <w:pPr>
      <w:tabs>
        <w:tab w:val="left" w:pos="1985"/>
      </w:tabs>
      <w:spacing w:before="122" w:line="198" w:lineRule="exact"/>
      <w:ind w:left="2948" w:hanging="1814"/>
    </w:pPr>
    <w:rPr>
      <w:sz w:val="18"/>
    </w:rPr>
  </w:style>
  <w:style w:type="paragraph" w:customStyle="1" w:styleId="BoxPara">
    <w:name w:val="BoxPara"/>
    <w:aliases w:val="bp"/>
    <w:basedOn w:val="BoxText"/>
    <w:qFormat/>
    <w:rsid w:val="00FB55D9"/>
    <w:pPr>
      <w:tabs>
        <w:tab w:val="right" w:pos="2268"/>
      </w:tabs>
      <w:ind w:left="2552" w:hanging="1418"/>
    </w:pPr>
  </w:style>
  <w:style w:type="paragraph" w:customStyle="1" w:styleId="BoxStep">
    <w:name w:val="BoxStep"/>
    <w:aliases w:val="bs"/>
    <w:basedOn w:val="BoxText"/>
    <w:qFormat/>
    <w:rsid w:val="00FB55D9"/>
    <w:pPr>
      <w:ind w:left="1985" w:hanging="851"/>
    </w:pPr>
  </w:style>
  <w:style w:type="character" w:customStyle="1" w:styleId="CharAmPartNo">
    <w:name w:val="CharAmPartNo"/>
    <w:basedOn w:val="OPCCharBase"/>
    <w:qFormat/>
    <w:rsid w:val="00FB55D9"/>
  </w:style>
  <w:style w:type="character" w:customStyle="1" w:styleId="CharAmPartText">
    <w:name w:val="CharAmPartText"/>
    <w:basedOn w:val="OPCCharBase"/>
    <w:qFormat/>
    <w:rsid w:val="00FB55D9"/>
  </w:style>
  <w:style w:type="character" w:customStyle="1" w:styleId="CharAmSchNo">
    <w:name w:val="CharAmSchNo"/>
    <w:basedOn w:val="OPCCharBase"/>
    <w:qFormat/>
    <w:rsid w:val="00FB55D9"/>
  </w:style>
  <w:style w:type="character" w:customStyle="1" w:styleId="CharAmSchText">
    <w:name w:val="CharAmSchText"/>
    <w:basedOn w:val="OPCCharBase"/>
    <w:qFormat/>
    <w:rsid w:val="00FB55D9"/>
  </w:style>
  <w:style w:type="character" w:customStyle="1" w:styleId="CharBoldItalic">
    <w:name w:val="CharBoldItalic"/>
    <w:basedOn w:val="OPCCharBase"/>
    <w:uiPriority w:val="1"/>
    <w:qFormat/>
    <w:rsid w:val="00FB55D9"/>
    <w:rPr>
      <w:b/>
      <w:i/>
    </w:rPr>
  </w:style>
  <w:style w:type="character" w:customStyle="1" w:styleId="CharChapNo">
    <w:name w:val="CharChapNo"/>
    <w:basedOn w:val="OPCCharBase"/>
    <w:uiPriority w:val="1"/>
    <w:qFormat/>
    <w:rsid w:val="00FB55D9"/>
  </w:style>
  <w:style w:type="character" w:customStyle="1" w:styleId="CharChapText">
    <w:name w:val="CharChapText"/>
    <w:basedOn w:val="OPCCharBase"/>
    <w:uiPriority w:val="1"/>
    <w:qFormat/>
    <w:rsid w:val="00FB55D9"/>
  </w:style>
  <w:style w:type="character" w:customStyle="1" w:styleId="CharDivNo">
    <w:name w:val="CharDivNo"/>
    <w:basedOn w:val="OPCCharBase"/>
    <w:uiPriority w:val="1"/>
    <w:qFormat/>
    <w:rsid w:val="00FB55D9"/>
  </w:style>
  <w:style w:type="character" w:customStyle="1" w:styleId="CharDivText">
    <w:name w:val="CharDivText"/>
    <w:basedOn w:val="OPCCharBase"/>
    <w:uiPriority w:val="1"/>
    <w:qFormat/>
    <w:rsid w:val="00FB55D9"/>
  </w:style>
  <w:style w:type="character" w:customStyle="1" w:styleId="CharItalic">
    <w:name w:val="CharItalic"/>
    <w:basedOn w:val="OPCCharBase"/>
    <w:uiPriority w:val="1"/>
    <w:qFormat/>
    <w:rsid w:val="00FB55D9"/>
    <w:rPr>
      <w:i/>
    </w:rPr>
  </w:style>
  <w:style w:type="character" w:customStyle="1" w:styleId="CharPartNo">
    <w:name w:val="CharPartNo"/>
    <w:basedOn w:val="OPCCharBase"/>
    <w:uiPriority w:val="1"/>
    <w:qFormat/>
    <w:rsid w:val="00FB55D9"/>
  </w:style>
  <w:style w:type="character" w:customStyle="1" w:styleId="CharPartText">
    <w:name w:val="CharPartText"/>
    <w:basedOn w:val="OPCCharBase"/>
    <w:uiPriority w:val="1"/>
    <w:qFormat/>
    <w:rsid w:val="00FB55D9"/>
  </w:style>
  <w:style w:type="character" w:customStyle="1" w:styleId="CharSectno">
    <w:name w:val="CharSectno"/>
    <w:basedOn w:val="OPCCharBase"/>
    <w:qFormat/>
    <w:rsid w:val="00FB55D9"/>
  </w:style>
  <w:style w:type="character" w:customStyle="1" w:styleId="CharSubdNo">
    <w:name w:val="CharSubdNo"/>
    <w:basedOn w:val="OPCCharBase"/>
    <w:uiPriority w:val="1"/>
    <w:qFormat/>
    <w:rsid w:val="00FB55D9"/>
  </w:style>
  <w:style w:type="character" w:customStyle="1" w:styleId="CharSubdText">
    <w:name w:val="CharSubdText"/>
    <w:basedOn w:val="OPCCharBase"/>
    <w:uiPriority w:val="1"/>
    <w:qFormat/>
    <w:rsid w:val="00FB55D9"/>
  </w:style>
  <w:style w:type="paragraph" w:customStyle="1" w:styleId="CTA--">
    <w:name w:val="CTA --"/>
    <w:basedOn w:val="OPCParaBase"/>
    <w:next w:val="Normal"/>
    <w:rsid w:val="00FB55D9"/>
    <w:pPr>
      <w:spacing w:before="60" w:line="240" w:lineRule="atLeast"/>
      <w:ind w:left="142" w:hanging="142"/>
    </w:pPr>
    <w:rPr>
      <w:sz w:val="20"/>
    </w:rPr>
  </w:style>
  <w:style w:type="paragraph" w:customStyle="1" w:styleId="CTA-">
    <w:name w:val="CTA -"/>
    <w:basedOn w:val="OPCParaBase"/>
    <w:rsid w:val="00FB55D9"/>
    <w:pPr>
      <w:spacing w:before="60" w:line="240" w:lineRule="atLeast"/>
      <w:ind w:left="85" w:hanging="85"/>
    </w:pPr>
    <w:rPr>
      <w:sz w:val="20"/>
    </w:rPr>
  </w:style>
  <w:style w:type="paragraph" w:customStyle="1" w:styleId="CTA---">
    <w:name w:val="CTA ---"/>
    <w:basedOn w:val="OPCParaBase"/>
    <w:next w:val="Normal"/>
    <w:rsid w:val="00FB55D9"/>
    <w:pPr>
      <w:spacing w:before="60" w:line="240" w:lineRule="atLeast"/>
      <w:ind w:left="198" w:hanging="198"/>
    </w:pPr>
    <w:rPr>
      <w:sz w:val="20"/>
    </w:rPr>
  </w:style>
  <w:style w:type="paragraph" w:customStyle="1" w:styleId="CTA----">
    <w:name w:val="CTA ----"/>
    <w:basedOn w:val="OPCParaBase"/>
    <w:next w:val="Normal"/>
    <w:rsid w:val="00FB55D9"/>
    <w:pPr>
      <w:spacing w:before="60" w:line="240" w:lineRule="atLeast"/>
      <w:ind w:left="255" w:hanging="255"/>
    </w:pPr>
    <w:rPr>
      <w:sz w:val="20"/>
    </w:rPr>
  </w:style>
  <w:style w:type="paragraph" w:customStyle="1" w:styleId="CTA1a">
    <w:name w:val="CTA 1(a)"/>
    <w:basedOn w:val="OPCParaBase"/>
    <w:rsid w:val="00FB55D9"/>
    <w:pPr>
      <w:tabs>
        <w:tab w:val="right" w:pos="414"/>
      </w:tabs>
      <w:spacing w:before="40" w:line="240" w:lineRule="atLeast"/>
      <w:ind w:left="675" w:hanging="675"/>
    </w:pPr>
    <w:rPr>
      <w:sz w:val="20"/>
    </w:rPr>
  </w:style>
  <w:style w:type="paragraph" w:customStyle="1" w:styleId="CTA1ai">
    <w:name w:val="CTA 1(a)(i)"/>
    <w:basedOn w:val="OPCParaBase"/>
    <w:rsid w:val="00FB55D9"/>
    <w:pPr>
      <w:tabs>
        <w:tab w:val="right" w:pos="1004"/>
      </w:tabs>
      <w:spacing w:before="40" w:line="240" w:lineRule="atLeast"/>
      <w:ind w:left="1253" w:hanging="1253"/>
    </w:pPr>
    <w:rPr>
      <w:sz w:val="20"/>
    </w:rPr>
  </w:style>
  <w:style w:type="paragraph" w:customStyle="1" w:styleId="CTA2a">
    <w:name w:val="CTA 2(a)"/>
    <w:basedOn w:val="OPCParaBase"/>
    <w:rsid w:val="00FB55D9"/>
    <w:pPr>
      <w:tabs>
        <w:tab w:val="right" w:pos="482"/>
      </w:tabs>
      <w:spacing w:before="40" w:line="240" w:lineRule="atLeast"/>
      <w:ind w:left="748" w:hanging="748"/>
    </w:pPr>
    <w:rPr>
      <w:sz w:val="20"/>
    </w:rPr>
  </w:style>
  <w:style w:type="paragraph" w:customStyle="1" w:styleId="CTA2ai">
    <w:name w:val="CTA 2(a)(i)"/>
    <w:basedOn w:val="OPCParaBase"/>
    <w:rsid w:val="00FB55D9"/>
    <w:pPr>
      <w:tabs>
        <w:tab w:val="right" w:pos="1089"/>
      </w:tabs>
      <w:spacing w:before="40" w:line="240" w:lineRule="atLeast"/>
      <w:ind w:left="1327" w:hanging="1327"/>
    </w:pPr>
    <w:rPr>
      <w:sz w:val="20"/>
    </w:rPr>
  </w:style>
  <w:style w:type="paragraph" w:customStyle="1" w:styleId="CTA3a">
    <w:name w:val="CTA 3(a)"/>
    <w:basedOn w:val="OPCParaBase"/>
    <w:rsid w:val="00FB55D9"/>
    <w:pPr>
      <w:tabs>
        <w:tab w:val="right" w:pos="556"/>
      </w:tabs>
      <w:spacing w:before="40" w:line="240" w:lineRule="atLeast"/>
      <w:ind w:left="805" w:hanging="805"/>
    </w:pPr>
    <w:rPr>
      <w:sz w:val="20"/>
    </w:rPr>
  </w:style>
  <w:style w:type="paragraph" w:customStyle="1" w:styleId="CTA3ai">
    <w:name w:val="CTA 3(a)(i)"/>
    <w:basedOn w:val="OPCParaBase"/>
    <w:rsid w:val="00FB55D9"/>
    <w:pPr>
      <w:tabs>
        <w:tab w:val="right" w:pos="1140"/>
      </w:tabs>
      <w:spacing w:before="40" w:line="240" w:lineRule="atLeast"/>
      <w:ind w:left="1361" w:hanging="1361"/>
    </w:pPr>
    <w:rPr>
      <w:sz w:val="20"/>
    </w:rPr>
  </w:style>
  <w:style w:type="paragraph" w:customStyle="1" w:styleId="CTA4a">
    <w:name w:val="CTA 4(a)"/>
    <w:basedOn w:val="OPCParaBase"/>
    <w:rsid w:val="00FB55D9"/>
    <w:pPr>
      <w:tabs>
        <w:tab w:val="right" w:pos="624"/>
      </w:tabs>
      <w:spacing w:before="40" w:line="240" w:lineRule="atLeast"/>
      <w:ind w:left="873" w:hanging="873"/>
    </w:pPr>
    <w:rPr>
      <w:sz w:val="20"/>
    </w:rPr>
  </w:style>
  <w:style w:type="paragraph" w:customStyle="1" w:styleId="CTA4ai">
    <w:name w:val="CTA 4(a)(i)"/>
    <w:basedOn w:val="OPCParaBase"/>
    <w:rsid w:val="00FB55D9"/>
    <w:pPr>
      <w:tabs>
        <w:tab w:val="right" w:pos="1213"/>
      </w:tabs>
      <w:spacing w:before="40" w:line="240" w:lineRule="atLeast"/>
      <w:ind w:left="1452" w:hanging="1452"/>
    </w:pPr>
    <w:rPr>
      <w:sz w:val="20"/>
    </w:rPr>
  </w:style>
  <w:style w:type="paragraph" w:customStyle="1" w:styleId="CTACAPS">
    <w:name w:val="CTA CAPS"/>
    <w:basedOn w:val="OPCParaBase"/>
    <w:rsid w:val="00FB55D9"/>
    <w:pPr>
      <w:spacing w:before="60" w:line="240" w:lineRule="atLeast"/>
    </w:pPr>
    <w:rPr>
      <w:sz w:val="20"/>
    </w:rPr>
  </w:style>
  <w:style w:type="paragraph" w:customStyle="1" w:styleId="CTAright">
    <w:name w:val="CTA right"/>
    <w:basedOn w:val="OPCParaBase"/>
    <w:rsid w:val="00FB55D9"/>
    <w:pPr>
      <w:spacing w:before="60" w:line="240" w:lineRule="auto"/>
      <w:jc w:val="right"/>
    </w:pPr>
    <w:rPr>
      <w:sz w:val="20"/>
    </w:rPr>
  </w:style>
  <w:style w:type="paragraph" w:customStyle="1" w:styleId="subsection">
    <w:name w:val="subsection"/>
    <w:aliases w:val="ss,Subsection"/>
    <w:basedOn w:val="OPCParaBase"/>
    <w:link w:val="subsectionChar"/>
    <w:rsid w:val="00FB55D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B55D9"/>
    <w:pPr>
      <w:spacing w:before="180" w:line="240" w:lineRule="auto"/>
      <w:ind w:left="1134"/>
    </w:pPr>
  </w:style>
  <w:style w:type="paragraph" w:customStyle="1" w:styleId="ETAsubitem">
    <w:name w:val="ETA(subitem)"/>
    <w:basedOn w:val="OPCParaBase"/>
    <w:rsid w:val="00FB55D9"/>
    <w:pPr>
      <w:tabs>
        <w:tab w:val="right" w:pos="340"/>
      </w:tabs>
      <w:spacing w:before="60" w:line="240" w:lineRule="auto"/>
      <w:ind w:left="454" w:hanging="454"/>
    </w:pPr>
    <w:rPr>
      <w:sz w:val="20"/>
    </w:rPr>
  </w:style>
  <w:style w:type="paragraph" w:customStyle="1" w:styleId="ETApara">
    <w:name w:val="ETA(para)"/>
    <w:basedOn w:val="OPCParaBase"/>
    <w:rsid w:val="00FB55D9"/>
    <w:pPr>
      <w:tabs>
        <w:tab w:val="right" w:pos="754"/>
      </w:tabs>
      <w:spacing w:before="60" w:line="240" w:lineRule="auto"/>
      <w:ind w:left="828" w:hanging="828"/>
    </w:pPr>
    <w:rPr>
      <w:sz w:val="20"/>
    </w:rPr>
  </w:style>
  <w:style w:type="paragraph" w:customStyle="1" w:styleId="ETAsubpara">
    <w:name w:val="ETA(subpara)"/>
    <w:basedOn w:val="OPCParaBase"/>
    <w:rsid w:val="00FB55D9"/>
    <w:pPr>
      <w:tabs>
        <w:tab w:val="right" w:pos="1083"/>
      </w:tabs>
      <w:spacing w:before="60" w:line="240" w:lineRule="auto"/>
      <w:ind w:left="1191" w:hanging="1191"/>
    </w:pPr>
    <w:rPr>
      <w:sz w:val="20"/>
    </w:rPr>
  </w:style>
  <w:style w:type="paragraph" w:customStyle="1" w:styleId="ETAsub-subpara">
    <w:name w:val="ETA(sub-subpara)"/>
    <w:basedOn w:val="OPCParaBase"/>
    <w:rsid w:val="00FB55D9"/>
    <w:pPr>
      <w:tabs>
        <w:tab w:val="right" w:pos="1412"/>
      </w:tabs>
      <w:spacing w:before="60" w:line="240" w:lineRule="auto"/>
      <w:ind w:left="1525" w:hanging="1525"/>
    </w:pPr>
    <w:rPr>
      <w:sz w:val="20"/>
    </w:rPr>
  </w:style>
  <w:style w:type="paragraph" w:customStyle="1" w:styleId="Formula">
    <w:name w:val="Formula"/>
    <w:basedOn w:val="OPCParaBase"/>
    <w:rsid w:val="00FB55D9"/>
    <w:pPr>
      <w:spacing w:line="240" w:lineRule="auto"/>
      <w:ind w:left="1134"/>
    </w:pPr>
    <w:rPr>
      <w:sz w:val="20"/>
    </w:rPr>
  </w:style>
  <w:style w:type="paragraph" w:styleId="Header">
    <w:name w:val="header"/>
    <w:basedOn w:val="OPCParaBase"/>
    <w:link w:val="HeaderChar"/>
    <w:unhideWhenUsed/>
    <w:rsid w:val="00FB55D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B55D9"/>
    <w:rPr>
      <w:rFonts w:eastAsia="Times New Roman" w:cs="Times New Roman"/>
      <w:sz w:val="16"/>
      <w:lang w:eastAsia="en-AU"/>
    </w:rPr>
  </w:style>
  <w:style w:type="paragraph" w:customStyle="1" w:styleId="House">
    <w:name w:val="House"/>
    <w:basedOn w:val="OPCParaBase"/>
    <w:rsid w:val="00FB55D9"/>
    <w:pPr>
      <w:spacing w:line="240" w:lineRule="auto"/>
    </w:pPr>
    <w:rPr>
      <w:sz w:val="28"/>
    </w:rPr>
  </w:style>
  <w:style w:type="paragraph" w:customStyle="1" w:styleId="Item">
    <w:name w:val="Item"/>
    <w:aliases w:val="i"/>
    <w:basedOn w:val="OPCParaBase"/>
    <w:next w:val="ItemHead"/>
    <w:link w:val="ItemChar"/>
    <w:rsid w:val="00FB55D9"/>
    <w:pPr>
      <w:keepLines/>
      <w:spacing w:before="80" w:line="240" w:lineRule="auto"/>
      <w:ind w:left="709"/>
    </w:pPr>
  </w:style>
  <w:style w:type="paragraph" w:customStyle="1" w:styleId="ItemHead">
    <w:name w:val="ItemHead"/>
    <w:aliases w:val="ih"/>
    <w:basedOn w:val="OPCParaBase"/>
    <w:next w:val="Item"/>
    <w:link w:val="ItemHeadChar"/>
    <w:rsid w:val="00FB55D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B55D9"/>
    <w:pPr>
      <w:spacing w:line="240" w:lineRule="auto"/>
    </w:pPr>
    <w:rPr>
      <w:b/>
      <w:sz w:val="32"/>
    </w:rPr>
  </w:style>
  <w:style w:type="paragraph" w:customStyle="1" w:styleId="notedraft">
    <w:name w:val="note(draft)"/>
    <w:aliases w:val="nd"/>
    <w:basedOn w:val="OPCParaBase"/>
    <w:rsid w:val="00FB55D9"/>
    <w:pPr>
      <w:spacing w:before="240" w:line="240" w:lineRule="auto"/>
      <w:ind w:left="284" w:hanging="284"/>
    </w:pPr>
    <w:rPr>
      <w:i/>
      <w:sz w:val="24"/>
    </w:rPr>
  </w:style>
  <w:style w:type="paragraph" w:customStyle="1" w:styleId="notemargin">
    <w:name w:val="note(margin)"/>
    <w:aliases w:val="nm"/>
    <w:basedOn w:val="OPCParaBase"/>
    <w:rsid w:val="00FB55D9"/>
    <w:pPr>
      <w:tabs>
        <w:tab w:val="left" w:pos="709"/>
      </w:tabs>
      <w:spacing w:before="122" w:line="198" w:lineRule="exact"/>
      <w:ind w:left="709" w:hanging="709"/>
    </w:pPr>
    <w:rPr>
      <w:sz w:val="18"/>
    </w:rPr>
  </w:style>
  <w:style w:type="paragraph" w:customStyle="1" w:styleId="noteToPara">
    <w:name w:val="noteToPara"/>
    <w:aliases w:val="ntp"/>
    <w:basedOn w:val="OPCParaBase"/>
    <w:rsid w:val="00FB55D9"/>
    <w:pPr>
      <w:spacing w:before="122" w:line="198" w:lineRule="exact"/>
      <w:ind w:left="2353" w:hanging="709"/>
    </w:pPr>
    <w:rPr>
      <w:sz w:val="18"/>
    </w:rPr>
  </w:style>
  <w:style w:type="paragraph" w:customStyle="1" w:styleId="noteParlAmend">
    <w:name w:val="note(ParlAmend)"/>
    <w:aliases w:val="npp"/>
    <w:basedOn w:val="OPCParaBase"/>
    <w:next w:val="ParlAmend"/>
    <w:rsid w:val="00FB55D9"/>
    <w:pPr>
      <w:spacing w:line="240" w:lineRule="auto"/>
      <w:jc w:val="right"/>
    </w:pPr>
    <w:rPr>
      <w:rFonts w:ascii="Arial" w:hAnsi="Arial"/>
      <w:b/>
      <w:i/>
    </w:rPr>
  </w:style>
  <w:style w:type="paragraph" w:customStyle="1" w:styleId="Page1">
    <w:name w:val="Page1"/>
    <w:basedOn w:val="OPCParaBase"/>
    <w:rsid w:val="00FB55D9"/>
    <w:pPr>
      <w:spacing w:before="5600" w:line="240" w:lineRule="auto"/>
    </w:pPr>
    <w:rPr>
      <w:b/>
      <w:sz w:val="32"/>
    </w:rPr>
  </w:style>
  <w:style w:type="paragraph" w:customStyle="1" w:styleId="PageBreak">
    <w:name w:val="PageBreak"/>
    <w:aliases w:val="pb"/>
    <w:basedOn w:val="OPCParaBase"/>
    <w:rsid w:val="00FB55D9"/>
    <w:pPr>
      <w:spacing w:line="240" w:lineRule="auto"/>
    </w:pPr>
    <w:rPr>
      <w:sz w:val="20"/>
    </w:rPr>
  </w:style>
  <w:style w:type="paragraph" w:customStyle="1" w:styleId="paragraphsub">
    <w:name w:val="paragraph(sub)"/>
    <w:aliases w:val="aa"/>
    <w:basedOn w:val="OPCParaBase"/>
    <w:rsid w:val="00FB55D9"/>
    <w:pPr>
      <w:tabs>
        <w:tab w:val="right" w:pos="1985"/>
      </w:tabs>
      <w:spacing w:before="40" w:line="240" w:lineRule="auto"/>
      <w:ind w:left="2098" w:hanging="2098"/>
    </w:pPr>
  </w:style>
  <w:style w:type="paragraph" w:customStyle="1" w:styleId="paragraphsub-sub">
    <w:name w:val="paragraph(sub-sub)"/>
    <w:aliases w:val="aaa"/>
    <w:basedOn w:val="OPCParaBase"/>
    <w:rsid w:val="00FB55D9"/>
    <w:pPr>
      <w:tabs>
        <w:tab w:val="right" w:pos="2722"/>
      </w:tabs>
      <w:spacing w:before="40" w:line="240" w:lineRule="auto"/>
      <w:ind w:left="2835" w:hanging="2835"/>
    </w:pPr>
  </w:style>
  <w:style w:type="paragraph" w:customStyle="1" w:styleId="paragraph">
    <w:name w:val="paragraph"/>
    <w:aliases w:val="a"/>
    <w:basedOn w:val="OPCParaBase"/>
    <w:link w:val="paragraphChar"/>
    <w:rsid w:val="00FB55D9"/>
    <w:pPr>
      <w:tabs>
        <w:tab w:val="right" w:pos="1531"/>
      </w:tabs>
      <w:spacing w:before="40" w:line="240" w:lineRule="auto"/>
      <w:ind w:left="1644" w:hanging="1644"/>
    </w:pPr>
  </w:style>
  <w:style w:type="paragraph" w:customStyle="1" w:styleId="ParlAmend">
    <w:name w:val="ParlAmend"/>
    <w:aliases w:val="pp"/>
    <w:basedOn w:val="OPCParaBase"/>
    <w:rsid w:val="00FB55D9"/>
    <w:pPr>
      <w:spacing w:before="240" w:line="240" w:lineRule="atLeast"/>
      <w:ind w:hanging="567"/>
    </w:pPr>
    <w:rPr>
      <w:sz w:val="24"/>
    </w:rPr>
  </w:style>
  <w:style w:type="paragraph" w:customStyle="1" w:styleId="Penalty">
    <w:name w:val="Penalty"/>
    <w:basedOn w:val="OPCParaBase"/>
    <w:rsid w:val="00FB55D9"/>
    <w:pPr>
      <w:tabs>
        <w:tab w:val="left" w:pos="2977"/>
      </w:tabs>
      <w:spacing w:before="180" w:line="240" w:lineRule="auto"/>
      <w:ind w:left="1985" w:hanging="851"/>
    </w:pPr>
  </w:style>
  <w:style w:type="paragraph" w:customStyle="1" w:styleId="Portfolio">
    <w:name w:val="Portfolio"/>
    <w:basedOn w:val="OPCParaBase"/>
    <w:rsid w:val="00FB55D9"/>
    <w:pPr>
      <w:spacing w:line="240" w:lineRule="auto"/>
    </w:pPr>
    <w:rPr>
      <w:i/>
      <w:sz w:val="20"/>
    </w:rPr>
  </w:style>
  <w:style w:type="paragraph" w:customStyle="1" w:styleId="Preamble">
    <w:name w:val="Preamble"/>
    <w:basedOn w:val="OPCParaBase"/>
    <w:next w:val="Normal"/>
    <w:rsid w:val="00FB55D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B55D9"/>
    <w:pPr>
      <w:spacing w:line="240" w:lineRule="auto"/>
    </w:pPr>
    <w:rPr>
      <w:i/>
      <w:sz w:val="20"/>
    </w:rPr>
  </w:style>
  <w:style w:type="paragraph" w:customStyle="1" w:styleId="Session">
    <w:name w:val="Session"/>
    <w:basedOn w:val="OPCParaBase"/>
    <w:rsid w:val="00FB55D9"/>
    <w:pPr>
      <w:spacing w:line="240" w:lineRule="auto"/>
    </w:pPr>
    <w:rPr>
      <w:sz w:val="28"/>
    </w:rPr>
  </w:style>
  <w:style w:type="paragraph" w:customStyle="1" w:styleId="Sponsor">
    <w:name w:val="Sponsor"/>
    <w:basedOn w:val="OPCParaBase"/>
    <w:rsid w:val="00FB55D9"/>
    <w:pPr>
      <w:spacing w:line="240" w:lineRule="auto"/>
    </w:pPr>
    <w:rPr>
      <w:i/>
    </w:rPr>
  </w:style>
  <w:style w:type="paragraph" w:customStyle="1" w:styleId="Subitem">
    <w:name w:val="Subitem"/>
    <w:aliases w:val="iss"/>
    <w:basedOn w:val="OPCParaBase"/>
    <w:rsid w:val="00FB55D9"/>
    <w:pPr>
      <w:spacing w:before="180" w:line="240" w:lineRule="auto"/>
      <w:ind w:left="709" w:hanging="709"/>
    </w:pPr>
  </w:style>
  <w:style w:type="paragraph" w:customStyle="1" w:styleId="SubitemHead">
    <w:name w:val="SubitemHead"/>
    <w:aliases w:val="issh"/>
    <w:basedOn w:val="OPCParaBase"/>
    <w:rsid w:val="00FB55D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B55D9"/>
    <w:pPr>
      <w:spacing w:before="40" w:line="240" w:lineRule="auto"/>
      <w:ind w:left="1134"/>
    </w:pPr>
  </w:style>
  <w:style w:type="paragraph" w:customStyle="1" w:styleId="SubsectionHead">
    <w:name w:val="SubsectionHead"/>
    <w:aliases w:val="ssh"/>
    <w:basedOn w:val="OPCParaBase"/>
    <w:next w:val="subsection"/>
    <w:rsid w:val="00FB55D9"/>
    <w:pPr>
      <w:keepNext/>
      <w:keepLines/>
      <w:spacing w:before="240" w:line="240" w:lineRule="auto"/>
      <w:ind w:left="1134"/>
    </w:pPr>
    <w:rPr>
      <w:i/>
    </w:rPr>
  </w:style>
  <w:style w:type="paragraph" w:customStyle="1" w:styleId="Tablea">
    <w:name w:val="Table(a)"/>
    <w:aliases w:val="ta"/>
    <w:basedOn w:val="OPCParaBase"/>
    <w:rsid w:val="00FB55D9"/>
    <w:pPr>
      <w:spacing w:before="60" w:line="240" w:lineRule="auto"/>
      <w:ind w:left="284" w:hanging="284"/>
    </w:pPr>
    <w:rPr>
      <w:sz w:val="20"/>
    </w:rPr>
  </w:style>
  <w:style w:type="paragraph" w:customStyle="1" w:styleId="TableAA">
    <w:name w:val="Table(AA)"/>
    <w:aliases w:val="taaa"/>
    <w:basedOn w:val="OPCParaBase"/>
    <w:rsid w:val="00FB55D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B55D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B55D9"/>
    <w:pPr>
      <w:spacing w:before="60" w:line="240" w:lineRule="atLeast"/>
    </w:pPr>
    <w:rPr>
      <w:sz w:val="20"/>
    </w:rPr>
  </w:style>
  <w:style w:type="paragraph" w:customStyle="1" w:styleId="TLPBoxTextnote">
    <w:name w:val="TLPBoxText(note"/>
    <w:aliases w:val="right)"/>
    <w:basedOn w:val="OPCParaBase"/>
    <w:rsid w:val="00FB55D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B55D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B55D9"/>
    <w:pPr>
      <w:spacing w:before="122" w:line="198" w:lineRule="exact"/>
      <w:ind w:left="1985" w:hanging="851"/>
      <w:jc w:val="right"/>
    </w:pPr>
    <w:rPr>
      <w:sz w:val="18"/>
    </w:rPr>
  </w:style>
  <w:style w:type="paragraph" w:customStyle="1" w:styleId="TLPTableBullet">
    <w:name w:val="TLPTableBullet"/>
    <w:aliases w:val="ttb"/>
    <w:basedOn w:val="OPCParaBase"/>
    <w:rsid w:val="00FB55D9"/>
    <w:pPr>
      <w:spacing w:line="240" w:lineRule="exact"/>
      <w:ind w:left="284" w:hanging="284"/>
    </w:pPr>
    <w:rPr>
      <w:sz w:val="20"/>
    </w:rPr>
  </w:style>
  <w:style w:type="paragraph" w:styleId="TOC1">
    <w:name w:val="toc 1"/>
    <w:basedOn w:val="OPCParaBase"/>
    <w:next w:val="Normal"/>
    <w:uiPriority w:val="39"/>
    <w:semiHidden/>
    <w:unhideWhenUsed/>
    <w:rsid w:val="00FB55D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B55D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B55D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B55D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B55D9"/>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B55D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B55D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B55D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B55D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B55D9"/>
    <w:pPr>
      <w:keepLines/>
      <w:spacing w:before="240" w:after="120" w:line="240" w:lineRule="auto"/>
      <w:ind w:left="794"/>
    </w:pPr>
    <w:rPr>
      <w:b/>
      <w:kern w:val="28"/>
      <w:sz w:val="20"/>
    </w:rPr>
  </w:style>
  <w:style w:type="paragraph" w:customStyle="1" w:styleId="TofSectsHeading">
    <w:name w:val="TofSects(Heading)"/>
    <w:basedOn w:val="OPCParaBase"/>
    <w:rsid w:val="00FB55D9"/>
    <w:pPr>
      <w:spacing w:before="240" w:after="120" w:line="240" w:lineRule="auto"/>
    </w:pPr>
    <w:rPr>
      <w:b/>
      <w:sz w:val="24"/>
    </w:rPr>
  </w:style>
  <w:style w:type="paragraph" w:customStyle="1" w:styleId="TofSectsSection">
    <w:name w:val="TofSects(Section)"/>
    <w:basedOn w:val="OPCParaBase"/>
    <w:rsid w:val="00FB55D9"/>
    <w:pPr>
      <w:keepLines/>
      <w:spacing w:before="40" w:line="240" w:lineRule="auto"/>
      <w:ind w:left="1588" w:hanging="794"/>
    </w:pPr>
    <w:rPr>
      <w:kern w:val="28"/>
      <w:sz w:val="18"/>
    </w:rPr>
  </w:style>
  <w:style w:type="paragraph" w:customStyle="1" w:styleId="TofSectsSubdiv">
    <w:name w:val="TofSects(Subdiv)"/>
    <w:basedOn w:val="OPCParaBase"/>
    <w:rsid w:val="00FB55D9"/>
    <w:pPr>
      <w:keepLines/>
      <w:spacing w:before="80" w:line="240" w:lineRule="auto"/>
      <w:ind w:left="1588" w:hanging="794"/>
    </w:pPr>
    <w:rPr>
      <w:kern w:val="28"/>
    </w:rPr>
  </w:style>
  <w:style w:type="paragraph" w:customStyle="1" w:styleId="WRStyle">
    <w:name w:val="WR Style"/>
    <w:aliases w:val="WR"/>
    <w:basedOn w:val="OPCParaBase"/>
    <w:rsid w:val="00FB55D9"/>
    <w:pPr>
      <w:spacing w:before="240" w:line="240" w:lineRule="auto"/>
      <w:ind w:left="284" w:hanging="284"/>
    </w:pPr>
    <w:rPr>
      <w:b/>
      <w:i/>
      <w:kern w:val="28"/>
      <w:sz w:val="24"/>
    </w:rPr>
  </w:style>
  <w:style w:type="paragraph" w:customStyle="1" w:styleId="notepara">
    <w:name w:val="note(para)"/>
    <w:aliases w:val="na"/>
    <w:basedOn w:val="OPCParaBase"/>
    <w:rsid w:val="00FB55D9"/>
    <w:pPr>
      <w:spacing w:before="40" w:line="198" w:lineRule="exact"/>
      <w:ind w:left="2354" w:hanging="369"/>
    </w:pPr>
    <w:rPr>
      <w:sz w:val="18"/>
    </w:rPr>
  </w:style>
  <w:style w:type="paragraph" w:styleId="Footer">
    <w:name w:val="footer"/>
    <w:link w:val="FooterChar"/>
    <w:rsid w:val="00FB55D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B55D9"/>
    <w:rPr>
      <w:rFonts w:eastAsia="Times New Roman" w:cs="Times New Roman"/>
      <w:sz w:val="22"/>
      <w:szCs w:val="24"/>
      <w:lang w:eastAsia="en-AU"/>
    </w:rPr>
  </w:style>
  <w:style w:type="character" w:styleId="LineNumber">
    <w:name w:val="line number"/>
    <w:basedOn w:val="OPCCharBase"/>
    <w:uiPriority w:val="99"/>
    <w:semiHidden/>
    <w:unhideWhenUsed/>
    <w:rsid w:val="00FB55D9"/>
    <w:rPr>
      <w:sz w:val="16"/>
    </w:rPr>
  </w:style>
  <w:style w:type="table" w:customStyle="1" w:styleId="CFlag">
    <w:name w:val="CFlag"/>
    <w:basedOn w:val="TableNormal"/>
    <w:uiPriority w:val="99"/>
    <w:rsid w:val="00FB55D9"/>
    <w:rPr>
      <w:rFonts w:eastAsia="Times New Roman" w:cs="Times New Roman"/>
      <w:lang w:eastAsia="en-AU"/>
    </w:rPr>
    <w:tblPr/>
  </w:style>
  <w:style w:type="paragraph" w:customStyle="1" w:styleId="NotesHeading1">
    <w:name w:val="NotesHeading 1"/>
    <w:basedOn w:val="OPCParaBase"/>
    <w:next w:val="Normal"/>
    <w:rsid w:val="00FB55D9"/>
    <w:rPr>
      <w:b/>
      <w:sz w:val="28"/>
      <w:szCs w:val="28"/>
    </w:rPr>
  </w:style>
  <w:style w:type="paragraph" w:customStyle="1" w:styleId="NotesHeading2">
    <w:name w:val="NotesHeading 2"/>
    <w:basedOn w:val="OPCParaBase"/>
    <w:next w:val="Normal"/>
    <w:rsid w:val="00FB55D9"/>
    <w:rPr>
      <w:b/>
      <w:sz w:val="28"/>
      <w:szCs w:val="28"/>
    </w:rPr>
  </w:style>
  <w:style w:type="paragraph" w:customStyle="1" w:styleId="SignCoverPageEnd">
    <w:name w:val="SignCoverPageEnd"/>
    <w:basedOn w:val="OPCParaBase"/>
    <w:next w:val="Normal"/>
    <w:rsid w:val="00FB55D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B55D9"/>
    <w:pPr>
      <w:pBdr>
        <w:top w:val="single" w:sz="4" w:space="1" w:color="auto"/>
      </w:pBdr>
      <w:spacing w:before="360"/>
      <w:ind w:right="397"/>
      <w:jc w:val="both"/>
    </w:pPr>
  </w:style>
  <w:style w:type="paragraph" w:customStyle="1" w:styleId="Paragraphsub-sub-sub">
    <w:name w:val="Paragraph(sub-sub-sub)"/>
    <w:aliases w:val="aaaa"/>
    <w:basedOn w:val="OPCParaBase"/>
    <w:rsid w:val="00FB55D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B55D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B55D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B55D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B55D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B55D9"/>
    <w:pPr>
      <w:spacing w:before="120"/>
    </w:pPr>
  </w:style>
  <w:style w:type="paragraph" w:customStyle="1" w:styleId="TableTextEndNotes">
    <w:name w:val="TableTextEndNotes"/>
    <w:aliases w:val="Tten"/>
    <w:basedOn w:val="Normal"/>
    <w:rsid w:val="00FB55D9"/>
    <w:pPr>
      <w:spacing w:before="60" w:line="240" w:lineRule="auto"/>
    </w:pPr>
    <w:rPr>
      <w:rFonts w:cs="Arial"/>
      <w:sz w:val="20"/>
      <w:szCs w:val="22"/>
    </w:rPr>
  </w:style>
  <w:style w:type="paragraph" w:customStyle="1" w:styleId="TableHeading">
    <w:name w:val="TableHeading"/>
    <w:aliases w:val="th"/>
    <w:basedOn w:val="OPCParaBase"/>
    <w:next w:val="Tabletext"/>
    <w:rsid w:val="00FB55D9"/>
    <w:pPr>
      <w:keepNext/>
      <w:spacing w:before="60" w:line="240" w:lineRule="atLeast"/>
    </w:pPr>
    <w:rPr>
      <w:b/>
      <w:sz w:val="20"/>
    </w:rPr>
  </w:style>
  <w:style w:type="paragraph" w:customStyle="1" w:styleId="NoteToSubpara">
    <w:name w:val="NoteToSubpara"/>
    <w:aliases w:val="nts"/>
    <w:basedOn w:val="OPCParaBase"/>
    <w:rsid w:val="00FB55D9"/>
    <w:pPr>
      <w:spacing w:before="40" w:line="198" w:lineRule="exact"/>
      <w:ind w:left="2835" w:hanging="709"/>
    </w:pPr>
    <w:rPr>
      <w:sz w:val="18"/>
    </w:rPr>
  </w:style>
  <w:style w:type="paragraph" w:customStyle="1" w:styleId="ENoteTableHeading">
    <w:name w:val="ENoteTableHeading"/>
    <w:aliases w:val="enth"/>
    <w:basedOn w:val="OPCParaBase"/>
    <w:rsid w:val="00FB55D9"/>
    <w:pPr>
      <w:keepNext/>
      <w:spacing w:before="60" w:line="240" w:lineRule="atLeast"/>
    </w:pPr>
    <w:rPr>
      <w:rFonts w:ascii="Arial" w:hAnsi="Arial"/>
      <w:b/>
      <w:sz w:val="16"/>
    </w:rPr>
  </w:style>
  <w:style w:type="paragraph" w:customStyle="1" w:styleId="ENoteTTi">
    <w:name w:val="ENoteTTi"/>
    <w:aliases w:val="entti"/>
    <w:basedOn w:val="OPCParaBase"/>
    <w:rsid w:val="00FB55D9"/>
    <w:pPr>
      <w:keepNext/>
      <w:spacing w:before="60" w:line="240" w:lineRule="atLeast"/>
      <w:ind w:left="170"/>
    </w:pPr>
    <w:rPr>
      <w:sz w:val="16"/>
    </w:rPr>
  </w:style>
  <w:style w:type="paragraph" w:customStyle="1" w:styleId="ENotesHeading1">
    <w:name w:val="ENotesHeading 1"/>
    <w:aliases w:val="Enh1"/>
    <w:basedOn w:val="OPCParaBase"/>
    <w:next w:val="Normal"/>
    <w:rsid w:val="00FB55D9"/>
    <w:pPr>
      <w:spacing w:before="120"/>
      <w:outlineLvl w:val="1"/>
    </w:pPr>
    <w:rPr>
      <w:b/>
      <w:sz w:val="28"/>
      <w:szCs w:val="28"/>
    </w:rPr>
  </w:style>
  <w:style w:type="paragraph" w:customStyle="1" w:styleId="ENotesHeading2">
    <w:name w:val="ENotesHeading 2"/>
    <w:aliases w:val="Enh2"/>
    <w:basedOn w:val="OPCParaBase"/>
    <w:next w:val="Normal"/>
    <w:rsid w:val="00FB55D9"/>
    <w:pPr>
      <w:spacing w:before="120" w:after="120"/>
      <w:outlineLvl w:val="2"/>
    </w:pPr>
    <w:rPr>
      <w:b/>
      <w:sz w:val="24"/>
      <w:szCs w:val="28"/>
    </w:rPr>
  </w:style>
  <w:style w:type="paragraph" w:customStyle="1" w:styleId="ENoteTTIndentHeading">
    <w:name w:val="ENoteTTIndentHeading"/>
    <w:aliases w:val="enTTHi"/>
    <w:basedOn w:val="OPCParaBase"/>
    <w:rsid w:val="00FB55D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B55D9"/>
    <w:pPr>
      <w:spacing w:before="60" w:line="240" w:lineRule="atLeast"/>
    </w:pPr>
    <w:rPr>
      <w:sz w:val="16"/>
    </w:rPr>
  </w:style>
  <w:style w:type="paragraph" w:customStyle="1" w:styleId="MadeunderText">
    <w:name w:val="MadeunderText"/>
    <w:basedOn w:val="OPCParaBase"/>
    <w:next w:val="Normal"/>
    <w:rsid w:val="00FB55D9"/>
    <w:pPr>
      <w:spacing w:before="240"/>
    </w:pPr>
    <w:rPr>
      <w:sz w:val="24"/>
      <w:szCs w:val="24"/>
    </w:rPr>
  </w:style>
  <w:style w:type="paragraph" w:customStyle="1" w:styleId="ENotesHeading3">
    <w:name w:val="ENotesHeading 3"/>
    <w:aliases w:val="Enh3"/>
    <w:basedOn w:val="OPCParaBase"/>
    <w:next w:val="Normal"/>
    <w:rsid w:val="00FB55D9"/>
    <w:pPr>
      <w:keepNext/>
      <w:spacing w:before="120" w:line="240" w:lineRule="auto"/>
      <w:outlineLvl w:val="4"/>
    </w:pPr>
    <w:rPr>
      <w:b/>
      <w:szCs w:val="24"/>
    </w:rPr>
  </w:style>
  <w:style w:type="paragraph" w:customStyle="1" w:styleId="SubPartCASA">
    <w:name w:val="SubPart(CASA)"/>
    <w:aliases w:val="csp"/>
    <w:basedOn w:val="OPCParaBase"/>
    <w:next w:val="ActHead3"/>
    <w:rsid w:val="00FB55D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B55D9"/>
  </w:style>
  <w:style w:type="character" w:customStyle="1" w:styleId="CharSubPartNoCASA">
    <w:name w:val="CharSubPartNo(CASA)"/>
    <w:basedOn w:val="OPCCharBase"/>
    <w:uiPriority w:val="1"/>
    <w:rsid w:val="00FB55D9"/>
  </w:style>
  <w:style w:type="paragraph" w:customStyle="1" w:styleId="ENoteTTIndentHeadingSub">
    <w:name w:val="ENoteTTIndentHeadingSub"/>
    <w:aliases w:val="enTTHis"/>
    <w:basedOn w:val="OPCParaBase"/>
    <w:rsid w:val="00FB55D9"/>
    <w:pPr>
      <w:keepNext/>
      <w:spacing w:before="60" w:line="240" w:lineRule="atLeast"/>
      <w:ind w:left="340"/>
    </w:pPr>
    <w:rPr>
      <w:b/>
      <w:sz w:val="16"/>
    </w:rPr>
  </w:style>
  <w:style w:type="paragraph" w:customStyle="1" w:styleId="ENoteTTiSub">
    <w:name w:val="ENoteTTiSub"/>
    <w:aliases w:val="enttis"/>
    <w:basedOn w:val="OPCParaBase"/>
    <w:rsid w:val="00FB55D9"/>
    <w:pPr>
      <w:keepNext/>
      <w:spacing w:before="60" w:line="240" w:lineRule="atLeast"/>
      <w:ind w:left="340"/>
    </w:pPr>
    <w:rPr>
      <w:sz w:val="16"/>
    </w:rPr>
  </w:style>
  <w:style w:type="paragraph" w:customStyle="1" w:styleId="SubDivisionMigration">
    <w:name w:val="SubDivisionMigration"/>
    <w:aliases w:val="sdm"/>
    <w:basedOn w:val="OPCParaBase"/>
    <w:rsid w:val="00FB55D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B55D9"/>
    <w:pPr>
      <w:keepNext/>
      <w:keepLines/>
      <w:spacing w:before="240" w:line="240" w:lineRule="auto"/>
      <w:ind w:left="1134" w:hanging="1134"/>
    </w:pPr>
    <w:rPr>
      <w:b/>
      <w:sz w:val="28"/>
    </w:rPr>
  </w:style>
  <w:style w:type="table" w:styleId="TableGrid">
    <w:name w:val="Table Grid"/>
    <w:basedOn w:val="TableNormal"/>
    <w:uiPriority w:val="59"/>
    <w:rsid w:val="00FB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B55D9"/>
    <w:pPr>
      <w:spacing w:before="122" w:line="240" w:lineRule="auto"/>
      <w:ind w:left="1985" w:hanging="851"/>
    </w:pPr>
    <w:rPr>
      <w:sz w:val="18"/>
    </w:rPr>
  </w:style>
  <w:style w:type="paragraph" w:customStyle="1" w:styleId="FreeForm">
    <w:name w:val="FreeForm"/>
    <w:rsid w:val="00FB55D9"/>
    <w:rPr>
      <w:rFonts w:ascii="Arial" w:hAnsi="Arial"/>
      <w:sz w:val="22"/>
    </w:rPr>
  </w:style>
  <w:style w:type="paragraph" w:customStyle="1" w:styleId="SOText">
    <w:name w:val="SO Text"/>
    <w:aliases w:val="sot"/>
    <w:link w:val="SOTextChar"/>
    <w:rsid w:val="00FB55D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B55D9"/>
    <w:rPr>
      <w:sz w:val="22"/>
    </w:rPr>
  </w:style>
  <w:style w:type="paragraph" w:customStyle="1" w:styleId="SOTextNote">
    <w:name w:val="SO TextNote"/>
    <w:aliases w:val="sont"/>
    <w:basedOn w:val="SOText"/>
    <w:qFormat/>
    <w:rsid w:val="00FB55D9"/>
    <w:pPr>
      <w:spacing w:before="122" w:line="198" w:lineRule="exact"/>
      <w:ind w:left="1843" w:hanging="709"/>
    </w:pPr>
    <w:rPr>
      <w:sz w:val="18"/>
    </w:rPr>
  </w:style>
  <w:style w:type="paragraph" w:customStyle="1" w:styleId="SOPara">
    <w:name w:val="SO Para"/>
    <w:aliases w:val="soa"/>
    <w:basedOn w:val="SOText"/>
    <w:link w:val="SOParaChar"/>
    <w:qFormat/>
    <w:rsid w:val="00FB55D9"/>
    <w:pPr>
      <w:tabs>
        <w:tab w:val="right" w:pos="1786"/>
      </w:tabs>
      <w:spacing w:before="40"/>
      <w:ind w:left="2070" w:hanging="936"/>
    </w:pPr>
  </w:style>
  <w:style w:type="character" w:customStyle="1" w:styleId="SOParaChar">
    <w:name w:val="SO Para Char"/>
    <w:aliases w:val="soa Char"/>
    <w:basedOn w:val="DefaultParagraphFont"/>
    <w:link w:val="SOPara"/>
    <w:rsid w:val="00FB55D9"/>
    <w:rPr>
      <w:sz w:val="22"/>
    </w:rPr>
  </w:style>
  <w:style w:type="paragraph" w:customStyle="1" w:styleId="FileName">
    <w:name w:val="FileName"/>
    <w:basedOn w:val="Normal"/>
    <w:rsid w:val="00FB55D9"/>
  </w:style>
  <w:style w:type="paragraph" w:customStyle="1" w:styleId="SOHeadBold">
    <w:name w:val="SO HeadBold"/>
    <w:aliases w:val="sohb"/>
    <w:basedOn w:val="SOText"/>
    <w:next w:val="SOText"/>
    <w:link w:val="SOHeadBoldChar"/>
    <w:qFormat/>
    <w:rsid w:val="00FB55D9"/>
    <w:rPr>
      <w:b/>
    </w:rPr>
  </w:style>
  <w:style w:type="character" w:customStyle="1" w:styleId="SOHeadBoldChar">
    <w:name w:val="SO HeadBold Char"/>
    <w:aliases w:val="sohb Char"/>
    <w:basedOn w:val="DefaultParagraphFont"/>
    <w:link w:val="SOHeadBold"/>
    <w:rsid w:val="00FB55D9"/>
    <w:rPr>
      <w:b/>
      <w:sz w:val="22"/>
    </w:rPr>
  </w:style>
  <w:style w:type="paragraph" w:customStyle="1" w:styleId="SOHeadItalic">
    <w:name w:val="SO HeadItalic"/>
    <w:aliases w:val="sohi"/>
    <w:basedOn w:val="SOText"/>
    <w:next w:val="SOText"/>
    <w:link w:val="SOHeadItalicChar"/>
    <w:qFormat/>
    <w:rsid w:val="00FB55D9"/>
    <w:rPr>
      <w:i/>
    </w:rPr>
  </w:style>
  <w:style w:type="character" w:customStyle="1" w:styleId="SOHeadItalicChar">
    <w:name w:val="SO HeadItalic Char"/>
    <w:aliases w:val="sohi Char"/>
    <w:basedOn w:val="DefaultParagraphFont"/>
    <w:link w:val="SOHeadItalic"/>
    <w:rsid w:val="00FB55D9"/>
    <w:rPr>
      <w:i/>
      <w:sz w:val="22"/>
    </w:rPr>
  </w:style>
  <w:style w:type="paragraph" w:customStyle="1" w:styleId="SOBullet">
    <w:name w:val="SO Bullet"/>
    <w:aliases w:val="sotb"/>
    <w:basedOn w:val="SOText"/>
    <w:link w:val="SOBulletChar"/>
    <w:qFormat/>
    <w:rsid w:val="00FB55D9"/>
    <w:pPr>
      <w:ind w:left="1559" w:hanging="425"/>
    </w:pPr>
  </w:style>
  <w:style w:type="character" w:customStyle="1" w:styleId="SOBulletChar">
    <w:name w:val="SO Bullet Char"/>
    <w:aliases w:val="sotb Char"/>
    <w:basedOn w:val="DefaultParagraphFont"/>
    <w:link w:val="SOBullet"/>
    <w:rsid w:val="00FB55D9"/>
    <w:rPr>
      <w:sz w:val="22"/>
    </w:rPr>
  </w:style>
  <w:style w:type="paragraph" w:customStyle="1" w:styleId="SOBulletNote">
    <w:name w:val="SO BulletNote"/>
    <w:aliases w:val="sonb"/>
    <w:basedOn w:val="SOTextNote"/>
    <w:link w:val="SOBulletNoteChar"/>
    <w:qFormat/>
    <w:rsid w:val="00FB55D9"/>
    <w:pPr>
      <w:tabs>
        <w:tab w:val="left" w:pos="1560"/>
      </w:tabs>
      <w:ind w:left="2268" w:hanging="1134"/>
    </w:pPr>
  </w:style>
  <w:style w:type="character" w:customStyle="1" w:styleId="SOBulletNoteChar">
    <w:name w:val="SO BulletNote Char"/>
    <w:aliases w:val="sonb Char"/>
    <w:basedOn w:val="DefaultParagraphFont"/>
    <w:link w:val="SOBulletNote"/>
    <w:rsid w:val="00FB55D9"/>
    <w:rPr>
      <w:sz w:val="18"/>
    </w:rPr>
  </w:style>
  <w:style w:type="paragraph" w:customStyle="1" w:styleId="SOText2">
    <w:name w:val="SO Text2"/>
    <w:aliases w:val="sot2"/>
    <w:basedOn w:val="Normal"/>
    <w:next w:val="SOText"/>
    <w:link w:val="SOText2Char"/>
    <w:rsid w:val="00FB55D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B55D9"/>
    <w:rPr>
      <w:sz w:val="22"/>
    </w:rPr>
  </w:style>
  <w:style w:type="paragraph" w:customStyle="1" w:styleId="Transitional">
    <w:name w:val="Transitional"/>
    <w:aliases w:val="tr"/>
    <w:basedOn w:val="ItemHead"/>
    <w:next w:val="Item"/>
    <w:rsid w:val="00FB55D9"/>
  </w:style>
  <w:style w:type="character" w:customStyle="1" w:styleId="TabletextChar">
    <w:name w:val="Tabletext Char"/>
    <w:aliases w:val="tt Char"/>
    <w:basedOn w:val="DefaultParagraphFont"/>
    <w:link w:val="Tabletext"/>
    <w:rsid w:val="005B45F0"/>
    <w:rPr>
      <w:rFonts w:eastAsia="Times New Roman" w:cs="Times New Roman"/>
      <w:lang w:eastAsia="en-AU"/>
    </w:rPr>
  </w:style>
  <w:style w:type="character" w:customStyle="1" w:styleId="subsectionChar">
    <w:name w:val="subsection Char"/>
    <w:aliases w:val="ss Char"/>
    <w:link w:val="subsection"/>
    <w:rsid w:val="005B45F0"/>
    <w:rPr>
      <w:rFonts w:eastAsia="Times New Roman" w:cs="Times New Roman"/>
      <w:sz w:val="22"/>
      <w:lang w:eastAsia="en-AU"/>
    </w:rPr>
  </w:style>
  <w:style w:type="character" w:customStyle="1" w:styleId="ActHead3Char">
    <w:name w:val="ActHead 3 Char"/>
    <w:aliases w:val="d Char"/>
    <w:link w:val="ActHead3"/>
    <w:rsid w:val="005B45F0"/>
    <w:rPr>
      <w:rFonts w:eastAsia="Times New Roman" w:cs="Times New Roman"/>
      <w:b/>
      <w:kern w:val="28"/>
      <w:sz w:val="28"/>
      <w:lang w:eastAsia="en-AU"/>
    </w:rPr>
  </w:style>
  <w:style w:type="character" w:customStyle="1" w:styleId="paragraphChar">
    <w:name w:val="paragraph Char"/>
    <w:aliases w:val="a Char"/>
    <w:link w:val="paragraph"/>
    <w:rsid w:val="005B45F0"/>
    <w:rPr>
      <w:rFonts w:eastAsia="Times New Roman" w:cs="Times New Roman"/>
      <w:sz w:val="22"/>
      <w:lang w:eastAsia="en-AU"/>
    </w:rPr>
  </w:style>
  <w:style w:type="character" w:customStyle="1" w:styleId="ActHead2Char">
    <w:name w:val="ActHead 2 Char"/>
    <w:aliases w:val="p Char"/>
    <w:link w:val="ActHead2"/>
    <w:rsid w:val="005B45F0"/>
    <w:rPr>
      <w:rFonts w:eastAsia="Times New Roman" w:cs="Times New Roman"/>
      <w:b/>
      <w:kern w:val="28"/>
      <w:sz w:val="32"/>
      <w:lang w:eastAsia="en-AU"/>
    </w:rPr>
  </w:style>
  <w:style w:type="character" w:customStyle="1" w:styleId="ActHead5Char">
    <w:name w:val="ActHead 5 Char"/>
    <w:aliases w:val="s Char"/>
    <w:link w:val="ActHead5"/>
    <w:locked/>
    <w:rsid w:val="005B45F0"/>
    <w:rPr>
      <w:rFonts w:eastAsia="Times New Roman" w:cs="Times New Roman"/>
      <w:b/>
      <w:kern w:val="28"/>
      <w:sz w:val="24"/>
      <w:lang w:eastAsia="en-AU"/>
    </w:rPr>
  </w:style>
  <w:style w:type="character" w:customStyle="1" w:styleId="DefinitionChar">
    <w:name w:val="Definition Char"/>
    <w:aliases w:val="dd Char"/>
    <w:link w:val="Definition"/>
    <w:rsid w:val="005B45F0"/>
    <w:rPr>
      <w:rFonts w:eastAsia="Times New Roman" w:cs="Times New Roman"/>
      <w:sz w:val="22"/>
      <w:lang w:eastAsia="en-AU"/>
    </w:rPr>
  </w:style>
  <w:style w:type="character" w:customStyle="1" w:styleId="notetextChar">
    <w:name w:val="note(text) Char"/>
    <w:aliases w:val="n Char"/>
    <w:link w:val="notetext"/>
    <w:rsid w:val="005B45F0"/>
    <w:rPr>
      <w:rFonts w:eastAsia="Times New Roman" w:cs="Times New Roman"/>
      <w:sz w:val="18"/>
      <w:lang w:eastAsia="en-AU"/>
    </w:rPr>
  </w:style>
  <w:style w:type="character" w:customStyle="1" w:styleId="ItemHeadChar">
    <w:name w:val="ItemHead Char"/>
    <w:aliases w:val="ih Char"/>
    <w:link w:val="ItemHead"/>
    <w:rsid w:val="005B45F0"/>
    <w:rPr>
      <w:rFonts w:ascii="Arial" w:eastAsia="Times New Roman" w:hAnsi="Arial" w:cs="Times New Roman"/>
      <w:b/>
      <w:kern w:val="28"/>
      <w:sz w:val="24"/>
      <w:lang w:eastAsia="en-AU"/>
    </w:rPr>
  </w:style>
  <w:style w:type="character" w:customStyle="1" w:styleId="ItemChar">
    <w:name w:val="Item Char"/>
    <w:aliases w:val="i Char"/>
    <w:link w:val="Item"/>
    <w:rsid w:val="005B45F0"/>
    <w:rPr>
      <w:rFonts w:eastAsia="Times New Roman" w:cs="Times New Roman"/>
      <w:sz w:val="22"/>
      <w:lang w:eastAsia="en-AU"/>
    </w:rPr>
  </w:style>
  <w:style w:type="character" w:customStyle="1" w:styleId="ActHead6Char">
    <w:name w:val="ActHead 6 Char"/>
    <w:aliases w:val="as Char"/>
    <w:basedOn w:val="DefaultParagraphFont"/>
    <w:link w:val="ActHead6"/>
    <w:rsid w:val="005B45F0"/>
    <w:rPr>
      <w:rFonts w:ascii="Arial" w:eastAsia="Times New Roman" w:hAnsi="Arial" w:cs="Times New Roman"/>
      <w:b/>
      <w:kern w:val="28"/>
      <w:sz w:val="32"/>
      <w:lang w:eastAsia="en-AU"/>
    </w:rPr>
  </w:style>
  <w:style w:type="character" w:customStyle="1" w:styleId="ActHead7Char">
    <w:name w:val="ActHead 7 Char"/>
    <w:aliases w:val="ap Char"/>
    <w:basedOn w:val="DefaultParagraphFont"/>
    <w:link w:val="ActHead7"/>
    <w:rsid w:val="005B45F0"/>
    <w:rPr>
      <w:rFonts w:ascii="Arial" w:eastAsia="Times New Roman" w:hAnsi="Arial" w:cs="Times New Roman"/>
      <w:b/>
      <w:kern w:val="28"/>
      <w:sz w:val="28"/>
      <w:lang w:eastAsia="en-AU"/>
    </w:rPr>
  </w:style>
  <w:style w:type="paragraph" w:customStyle="1" w:styleId="Specialas">
    <w:name w:val="Special as"/>
    <w:basedOn w:val="ActHead6"/>
    <w:link w:val="SpecialasChar"/>
    <w:rsid w:val="002F28EF"/>
    <w:pPr>
      <w:pageBreakBefore/>
      <w:outlineLvl w:val="9"/>
    </w:pPr>
  </w:style>
  <w:style w:type="character" w:customStyle="1" w:styleId="SpecialasChar">
    <w:name w:val="Special as Char"/>
    <w:basedOn w:val="DefaultParagraphFont"/>
    <w:link w:val="Specialas"/>
    <w:rsid w:val="002F28EF"/>
    <w:rPr>
      <w:rFonts w:ascii="Arial" w:eastAsia="Times New Roman" w:hAnsi="Arial" w:cs="Times New Roman"/>
      <w:b/>
      <w:kern w:val="28"/>
      <w:sz w:val="32"/>
      <w:lang w:eastAsia="en-AU"/>
    </w:rPr>
  </w:style>
  <w:style w:type="paragraph" w:customStyle="1" w:styleId="Specialih">
    <w:name w:val="Special ih"/>
    <w:basedOn w:val="ItemHead"/>
    <w:link w:val="SpecialihChar"/>
    <w:rsid w:val="002F28EF"/>
  </w:style>
  <w:style w:type="character" w:customStyle="1" w:styleId="SpecialihChar">
    <w:name w:val="Special ih Char"/>
    <w:basedOn w:val="ItemHeadChar"/>
    <w:link w:val="Specialih"/>
    <w:rsid w:val="002F28EF"/>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A743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3C3"/>
    <w:rPr>
      <w:rFonts w:ascii="Tahoma" w:hAnsi="Tahoma" w:cs="Tahoma"/>
      <w:sz w:val="16"/>
      <w:szCs w:val="16"/>
    </w:rPr>
  </w:style>
  <w:style w:type="character" w:customStyle="1" w:styleId="Heading1Char">
    <w:name w:val="Heading 1 Char"/>
    <w:basedOn w:val="DefaultParagraphFont"/>
    <w:link w:val="Heading1"/>
    <w:uiPriority w:val="9"/>
    <w:rsid w:val="00662C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2C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2C2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62C2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62C2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62C2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62C2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62C2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62C29"/>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231B14"/>
    <w:rPr>
      <w:color w:val="0000FF" w:themeColor="hyperlink"/>
      <w:u w:val="single"/>
    </w:rPr>
  </w:style>
  <w:style w:type="character" w:styleId="FollowedHyperlink">
    <w:name w:val="FollowedHyperlink"/>
    <w:basedOn w:val="DefaultParagraphFont"/>
    <w:uiPriority w:val="99"/>
    <w:semiHidden/>
    <w:unhideWhenUsed/>
    <w:rsid w:val="00231B14"/>
    <w:rPr>
      <w:color w:val="0000FF" w:themeColor="hyperlink"/>
      <w:u w:val="single"/>
    </w:rPr>
  </w:style>
  <w:style w:type="paragraph" w:customStyle="1" w:styleId="ShortTP1">
    <w:name w:val="ShortTP1"/>
    <w:basedOn w:val="ShortT"/>
    <w:link w:val="ShortTP1Char"/>
    <w:rsid w:val="008750E6"/>
    <w:pPr>
      <w:spacing w:before="800"/>
    </w:pPr>
  </w:style>
  <w:style w:type="character" w:customStyle="1" w:styleId="ShortTP1Char">
    <w:name w:val="ShortTP1 Char"/>
    <w:basedOn w:val="DefaultParagraphFont"/>
    <w:link w:val="ShortTP1"/>
    <w:rsid w:val="008750E6"/>
    <w:rPr>
      <w:rFonts w:eastAsia="Times New Roman" w:cs="Times New Roman"/>
      <w:b/>
      <w:sz w:val="40"/>
      <w:lang w:eastAsia="en-AU"/>
    </w:rPr>
  </w:style>
  <w:style w:type="paragraph" w:customStyle="1" w:styleId="ActNoP1">
    <w:name w:val="ActNoP1"/>
    <w:basedOn w:val="Actno"/>
    <w:link w:val="ActNoP1Char"/>
    <w:rsid w:val="008750E6"/>
    <w:pPr>
      <w:spacing w:before="800"/>
    </w:pPr>
    <w:rPr>
      <w:sz w:val="28"/>
    </w:rPr>
  </w:style>
  <w:style w:type="character" w:customStyle="1" w:styleId="ActNoP1Char">
    <w:name w:val="ActNoP1 Char"/>
    <w:basedOn w:val="DefaultParagraphFont"/>
    <w:link w:val="ActNoP1"/>
    <w:rsid w:val="008750E6"/>
    <w:rPr>
      <w:rFonts w:eastAsia="Times New Roman" w:cs="Times New Roman"/>
      <w:b/>
      <w:sz w:val="28"/>
      <w:lang w:eastAsia="en-AU"/>
    </w:rPr>
  </w:style>
  <w:style w:type="paragraph" w:customStyle="1" w:styleId="AssentBk">
    <w:name w:val="AssentBk"/>
    <w:basedOn w:val="Normal"/>
    <w:rsid w:val="008750E6"/>
    <w:pPr>
      <w:spacing w:line="240" w:lineRule="auto"/>
    </w:pPr>
    <w:rPr>
      <w:rFonts w:eastAsia="Times New Roman" w:cs="Times New Roman"/>
      <w:sz w:val="20"/>
      <w:lang w:eastAsia="en-AU"/>
    </w:rPr>
  </w:style>
  <w:style w:type="paragraph" w:customStyle="1" w:styleId="AssentDt">
    <w:name w:val="AssentDt"/>
    <w:basedOn w:val="Normal"/>
    <w:rsid w:val="00324508"/>
    <w:pPr>
      <w:spacing w:line="240" w:lineRule="auto"/>
    </w:pPr>
    <w:rPr>
      <w:rFonts w:eastAsia="Times New Roman" w:cs="Times New Roman"/>
      <w:sz w:val="20"/>
      <w:lang w:eastAsia="en-AU"/>
    </w:rPr>
  </w:style>
  <w:style w:type="paragraph" w:customStyle="1" w:styleId="2ndRd">
    <w:name w:val="2ndRd"/>
    <w:basedOn w:val="Normal"/>
    <w:rsid w:val="00324508"/>
    <w:pPr>
      <w:spacing w:line="240" w:lineRule="auto"/>
    </w:pPr>
    <w:rPr>
      <w:rFonts w:eastAsia="Times New Roman" w:cs="Times New Roman"/>
      <w:sz w:val="20"/>
      <w:lang w:eastAsia="en-AU"/>
    </w:rPr>
  </w:style>
  <w:style w:type="paragraph" w:customStyle="1" w:styleId="ScalePlusRef">
    <w:name w:val="ScalePlusRef"/>
    <w:basedOn w:val="Normal"/>
    <w:rsid w:val="0032450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33</Pages>
  <Words>6187</Words>
  <Characters>32390</Characters>
  <Application>Microsoft Office Word</Application>
  <DocSecurity>0</DocSecurity>
  <PresentationFormat/>
  <Lines>1199</Lines>
  <Paragraphs>622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2021-03-04T03:30:00Z</dcterms:created>
  <dcterms:modified xsi:type="dcterms:W3CDTF">2021-03-04T04:03:00Z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Sector Reform (Hayne Royal Commission Response No. 2) Act 2021</vt:lpwstr>
  </property>
  <property fmtid="{D5CDD505-2E9C-101B-9397-08002B2CF9AE}" pid="3" name="ActNo">
    <vt:lpwstr>No. 19,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OPC7599</vt:lpwstr>
  </property>
</Properties>
</file>