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C53BC" w14:textId="77777777" w:rsidR="00446364" w:rsidRDefault="00446364" w:rsidP="00446364">
      <w:r>
        <w:object w:dxaOrig="2146" w:dyaOrig="1561" w14:anchorId="6149C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685858547" r:id="rId9"/>
        </w:object>
      </w:r>
    </w:p>
    <w:p w14:paraId="08D537DB" w14:textId="77777777" w:rsidR="00446364" w:rsidRDefault="00446364" w:rsidP="00446364"/>
    <w:p w14:paraId="76CC76E4" w14:textId="77777777" w:rsidR="00446364" w:rsidRDefault="00446364" w:rsidP="00446364"/>
    <w:p w14:paraId="1CF9FAB9" w14:textId="77777777" w:rsidR="00446364" w:rsidRDefault="00446364" w:rsidP="00446364"/>
    <w:p w14:paraId="3D144248" w14:textId="77777777" w:rsidR="00446364" w:rsidRDefault="00446364" w:rsidP="00446364"/>
    <w:p w14:paraId="4D3F8B0A" w14:textId="77777777" w:rsidR="00446364" w:rsidRDefault="00446364" w:rsidP="00446364"/>
    <w:p w14:paraId="19C5D208" w14:textId="77777777" w:rsidR="00446364" w:rsidRDefault="00446364" w:rsidP="00446364"/>
    <w:p w14:paraId="551736C0" w14:textId="77777777" w:rsidR="00FE71DC" w:rsidRDefault="00446364" w:rsidP="00FE71DC">
      <w:pPr>
        <w:pStyle w:val="ShortT"/>
      </w:pPr>
      <w:r>
        <w:t>Higher Education Legislation Amendment (Provider Category Standards and Other Measures) Act 2021</w:t>
      </w:r>
    </w:p>
    <w:p w14:paraId="769C4647" w14:textId="77777777" w:rsidR="0048364F" w:rsidRPr="00E77DE0" w:rsidRDefault="0048364F" w:rsidP="0048364F"/>
    <w:p w14:paraId="64410C86" w14:textId="77777777" w:rsidR="00FE71DC" w:rsidRDefault="00FE71DC" w:rsidP="00446364">
      <w:pPr>
        <w:pStyle w:val="Actno"/>
        <w:spacing w:before="400"/>
      </w:pPr>
      <w:r>
        <w:t>No.</w:t>
      </w:r>
      <w:r w:rsidR="00394DA8">
        <w:t xml:space="preserve"> 14</w:t>
      </w:r>
      <w:r>
        <w:t>, 2021</w:t>
      </w:r>
    </w:p>
    <w:p w14:paraId="2E8A5EE7" w14:textId="77777777" w:rsidR="0048364F" w:rsidRPr="00E77DE0" w:rsidRDefault="0048364F" w:rsidP="0048364F"/>
    <w:p w14:paraId="0D677ED1" w14:textId="77777777" w:rsidR="004E5B89" w:rsidRDefault="004E5B89" w:rsidP="004E5B89">
      <w:pPr>
        <w:rPr>
          <w:lang w:eastAsia="en-AU"/>
        </w:rPr>
      </w:pPr>
    </w:p>
    <w:p w14:paraId="5678C28F" w14:textId="77777777" w:rsidR="0048364F" w:rsidRPr="00E77DE0" w:rsidRDefault="0048364F" w:rsidP="0048364F"/>
    <w:p w14:paraId="71CCCF59" w14:textId="77777777" w:rsidR="0048364F" w:rsidRPr="00E77DE0" w:rsidRDefault="0048364F" w:rsidP="0048364F"/>
    <w:p w14:paraId="593B7CA5" w14:textId="77777777" w:rsidR="0048364F" w:rsidRPr="00E77DE0" w:rsidRDefault="0048364F" w:rsidP="0048364F"/>
    <w:p w14:paraId="5A29B4C2" w14:textId="77777777" w:rsidR="00446364" w:rsidRDefault="00446364" w:rsidP="00446364">
      <w:pPr>
        <w:pStyle w:val="LongT"/>
      </w:pPr>
      <w:r>
        <w:t>An Act to amend the law relating to higher education, and for related purposes</w:t>
      </w:r>
    </w:p>
    <w:p w14:paraId="0D08691F" w14:textId="77777777" w:rsidR="0048364F" w:rsidRPr="003D1661" w:rsidRDefault="0048364F" w:rsidP="0048364F">
      <w:pPr>
        <w:pStyle w:val="Header"/>
        <w:tabs>
          <w:tab w:val="clear" w:pos="4150"/>
          <w:tab w:val="clear" w:pos="8307"/>
        </w:tabs>
      </w:pPr>
      <w:r w:rsidRPr="003D1661">
        <w:rPr>
          <w:rStyle w:val="CharAmSchNo"/>
        </w:rPr>
        <w:t xml:space="preserve"> </w:t>
      </w:r>
      <w:r w:rsidRPr="003D1661">
        <w:rPr>
          <w:rStyle w:val="CharAmSchText"/>
        </w:rPr>
        <w:t xml:space="preserve"> </w:t>
      </w:r>
    </w:p>
    <w:p w14:paraId="16B57A4B" w14:textId="77777777" w:rsidR="0048364F" w:rsidRPr="003D1661" w:rsidRDefault="0048364F" w:rsidP="0048364F">
      <w:pPr>
        <w:pStyle w:val="Header"/>
        <w:tabs>
          <w:tab w:val="clear" w:pos="4150"/>
          <w:tab w:val="clear" w:pos="8307"/>
        </w:tabs>
      </w:pPr>
      <w:r w:rsidRPr="003D1661">
        <w:rPr>
          <w:rStyle w:val="CharAmPartNo"/>
        </w:rPr>
        <w:t xml:space="preserve"> </w:t>
      </w:r>
      <w:r w:rsidRPr="003D1661">
        <w:rPr>
          <w:rStyle w:val="CharAmPartText"/>
        </w:rPr>
        <w:t xml:space="preserve"> </w:t>
      </w:r>
    </w:p>
    <w:p w14:paraId="4B215348" w14:textId="77777777" w:rsidR="0048364F" w:rsidRPr="00E77DE0" w:rsidRDefault="0048364F" w:rsidP="0048364F">
      <w:pPr>
        <w:sectPr w:rsidR="0048364F" w:rsidRPr="00E77DE0" w:rsidSect="00446364">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5884C84C" w14:textId="77777777" w:rsidR="0048364F" w:rsidRPr="00E77DE0" w:rsidRDefault="0048364F" w:rsidP="008527E1">
      <w:pPr>
        <w:rPr>
          <w:sz w:val="36"/>
        </w:rPr>
      </w:pPr>
      <w:r w:rsidRPr="00E77DE0">
        <w:rPr>
          <w:sz w:val="36"/>
        </w:rPr>
        <w:lastRenderedPageBreak/>
        <w:t>Contents</w:t>
      </w:r>
    </w:p>
    <w:bookmarkStart w:id="0" w:name="BKCheck15B_1"/>
    <w:bookmarkEnd w:id="0"/>
    <w:p w14:paraId="7904EEF6" w14:textId="679FA512" w:rsidR="0088095D" w:rsidRDefault="0088095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8095D">
        <w:rPr>
          <w:noProof/>
        </w:rPr>
        <w:tab/>
      </w:r>
      <w:r w:rsidRPr="0088095D">
        <w:rPr>
          <w:noProof/>
        </w:rPr>
        <w:fldChar w:fldCharType="begin"/>
      </w:r>
      <w:r w:rsidRPr="0088095D">
        <w:rPr>
          <w:noProof/>
        </w:rPr>
        <w:instrText xml:space="preserve"> PAGEREF _Toc65761535 \h </w:instrText>
      </w:r>
      <w:r w:rsidRPr="0088095D">
        <w:rPr>
          <w:noProof/>
        </w:rPr>
      </w:r>
      <w:r w:rsidRPr="0088095D">
        <w:rPr>
          <w:noProof/>
        </w:rPr>
        <w:fldChar w:fldCharType="separate"/>
      </w:r>
      <w:r w:rsidR="004A1128">
        <w:rPr>
          <w:noProof/>
        </w:rPr>
        <w:t>2</w:t>
      </w:r>
      <w:r w:rsidRPr="0088095D">
        <w:rPr>
          <w:noProof/>
        </w:rPr>
        <w:fldChar w:fldCharType="end"/>
      </w:r>
    </w:p>
    <w:p w14:paraId="4D504E06" w14:textId="17DFE84B" w:rsidR="0088095D" w:rsidRDefault="0088095D">
      <w:pPr>
        <w:pStyle w:val="TOC5"/>
        <w:rPr>
          <w:rFonts w:asciiTheme="minorHAnsi" w:eastAsiaTheme="minorEastAsia" w:hAnsiTheme="minorHAnsi" w:cstheme="minorBidi"/>
          <w:noProof/>
          <w:kern w:val="0"/>
          <w:sz w:val="22"/>
          <w:szCs w:val="22"/>
        </w:rPr>
      </w:pPr>
      <w:r>
        <w:rPr>
          <w:noProof/>
        </w:rPr>
        <w:t>2</w:t>
      </w:r>
      <w:r>
        <w:rPr>
          <w:noProof/>
        </w:rPr>
        <w:tab/>
        <w:t>Commencement</w:t>
      </w:r>
      <w:r w:rsidRPr="0088095D">
        <w:rPr>
          <w:noProof/>
        </w:rPr>
        <w:tab/>
      </w:r>
      <w:r w:rsidRPr="0088095D">
        <w:rPr>
          <w:noProof/>
        </w:rPr>
        <w:fldChar w:fldCharType="begin"/>
      </w:r>
      <w:r w:rsidRPr="0088095D">
        <w:rPr>
          <w:noProof/>
        </w:rPr>
        <w:instrText xml:space="preserve"> PAGEREF _Toc65761536 \h </w:instrText>
      </w:r>
      <w:r w:rsidRPr="0088095D">
        <w:rPr>
          <w:noProof/>
        </w:rPr>
      </w:r>
      <w:r w:rsidRPr="0088095D">
        <w:rPr>
          <w:noProof/>
        </w:rPr>
        <w:fldChar w:fldCharType="separate"/>
      </w:r>
      <w:r w:rsidR="004A1128">
        <w:rPr>
          <w:noProof/>
        </w:rPr>
        <w:t>2</w:t>
      </w:r>
      <w:r w:rsidRPr="0088095D">
        <w:rPr>
          <w:noProof/>
        </w:rPr>
        <w:fldChar w:fldCharType="end"/>
      </w:r>
    </w:p>
    <w:p w14:paraId="1CCE235C" w14:textId="2841C3D8" w:rsidR="0088095D" w:rsidRDefault="0088095D">
      <w:pPr>
        <w:pStyle w:val="TOC5"/>
        <w:rPr>
          <w:rFonts w:asciiTheme="minorHAnsi" w:eastAsiaTheme="minorEastAsia" w:hAnsiTheme="minorHAnsi" w:cstheme="minorBidi"/>
          <w:noProof/>
          <w:kern w:val="0"/>
          <w:sz w:val="22"/>
          <w:szCs w:val="22"/>
        </w:rPr>
      </w:pPr>
      <w:r>
        <w:rPr>
          <w:noProof/>
        </w:rPr>
        <w:t>3</w:t>
      </w:r>
      <w:r>
        <w:rPr>
          <w:noProof/>
        </w:rPr>
        <w:tab/>
        <w:t>Schedules</w:t>
      </w:r>
      <w:r w:rsidRPr="0088095D">
        <w:rPr>
          <w:noProof/>
        </w:rPr>
        <w:tab/>
      </w:r>
      <w:r w:rsidRPr="0088095D">
        <w:rPr>
          <w:noProof/>
        </w:rPr>
        <w:fldChar w:fldCharType="begin"/>
      </w:r>
      <w:r w:rsidRPr="0088095D">
        <w:rPr>
          <w:noProof/>
        </w:rPr>
        <w:instrText xml:space="preserve"> PAGEREF _Toc65761537 \h </w:instrText>
      </w:r>
      <w:r w:rsidRPr="0088095D">
        <w:rPr>
          <w:noProof/>
        </w:rPr>
      </w:r>
      <w:r w:rsidRPr="0088095D">
        <w:rPr>
          <w:noProof/>
        </w:rPr>
        <w:fldChar w:fldCharType="separate"/>
      </w:r>
      <w:r w:rsidR="004A1128">
        <w:rPr>
          <w:noProof/>
        </w:rPr>
        <w:t>3</w:t>
      </w:r>
      <w:r w:rsidRPr="0088095D">
        <w:rPr>
          <w:noProof/>
        </w:rPr>
        <w:fldChar w:fldCharType="end"/>
      </w:r>
    </w:p>
    <w:p w14:paraId="2B2F3878" w14:textId="51E00FE0" w:rsidR="0088095D" w:rsidRDefault="0088095D">
      <w:pPr>
        <w:pStyle w:val="TOC6"/>
        <w:rPr>
          <w:rFonts w:asciiTheme="minorHAnsi" w:eastAsiaTheme="minorEastAsia" w:hAnsiTheme="minorHAnsi" w:cstheme="minorBidi"/>
          <w:b w:val="0"/>
          <w:noProof/>
          <w:kern w:val="0"/>
          <w:sz w:val="22"/>
          <w:szCs w:val="22"/>
        </w:rPr>
      </w:pPr>
      <w:r>
        <w:rPr>
          <w:noProof/>
        </w:rPr>
        <w:t>Schedule 1—Higher education standards and other amendments</w:t>
      </w:r>
      <w:r w:rsidRPr="0088095D">
        <w:rPr>
          <w:b w:val="0"/>
          <w:noProof/>
          <w:sz w:val="18"/>
        </w:rPr>
        <w:tab/>
      </w:r>
      <w:r w:rsidRPr="0088095D">
        <w:rPr>
          <w:b w:val="0"/>
          <w:noProof/>
          <w:sz w:val="18"/>
        </w:rPr>
        <w:fldChar w:fldCharType="begin"/>
      </w:r>
      <w:r w:rsidRPr="0088095D">
        <w:rPr>
          <w:b w:val="0"/>
          <w:noProof/>
          <w:sz w:val="18"/>
        </w:rPr>
        <w:instrText xml:space="preserve"> PAGEREF _Toc65761538 \h </w:instrText>
      </w:r>
      <w:r w:rsidRPr="0088095D">
        <w:rPr>
          <w:b w:val="0"/>
          <w:noProof/>
          <w:sz w:val="18"/>
        </w:rPr>
      </w:r>
      <w:r w:rsidRPr="0088095D">
        <w:rPr>
          <w:b w:val="0"/>
          <w:noProof/>
          <w:sz w:val="18"/>
        </w:rPr>
        <w:fldChar w:fldCharType="separate"/>
      </w:r>
      <w:r w:rsidR="004A1128">
        <w:rPr>
          <w:b w:val="0"/>
          <w:noProof/>
          <w:sz w:val="18"/>
        </w:rPr>
        <w:t>4</w:t>
      </w:r>
      <w:r w:rsidRPr="0088095D">
        <w:rPr>
          <w:b w:val="0"/>
          <w:noProof/>
          <w:sz w:val="18"/>
        </w:rPr>
        <w:fldChar w:fldCharType="end"/>
      </w:r>
    </w:p>
    <w:p w14:paraId="4D962856" w14:textId="47480DD2" w:rsidR="0088095D" w:rsidRDefault="0088095D">
      <w:pPr>
        <w:pStyle w:val="TOC7"/>
        <w:rPr>
          <w:rFonts w:asciiTheme="minorHAnsi" w:eastAsiaTheme="minorEastAsia" w:hAnsiTheme="minorHAnsi" w:cstheme="minorBidi"/>
          <w:noProof/>
          <w:kern w:val="0"/>
          <w:sz w:val="22"/>
          <w:szCs w:val="22"/>
        </w:rPr>
      </w:pPr>
      <w:r>
        <w:rPr>
          <w:noProof/>
        </w:rPr>
        <w:t>Part 1—Higher education standards</w:t>
      </w:r>
      <w:r w:rsidRPr="0088095D">
        <w:rPr>
          <w:noProof/>
          <w:sz w:val="18"/>
        </w:rPr>
        <w:tab/>
      </w:r>
      <w:r w:rsidRPr="0088095D">
        <w:rPr>
          <w:noProof/>
          <w:sz w:val="18"/>
        </w:rPr>
        <w:fldChar w:fldCharType="begin"/>
      </w:r>
      <w:r w:rsidRPr="0088095D">
        <w:rPr>
          <w:noProof/>
          <w:sz w:val="18"/>
        </w:rPr>
        <w:instrText xml:space="preserve"> PAGEREF _Toc65761539 \h </w:instrText>
      </w:r>
      <w:r w:rsidRPr="0088095D">
        <w:rPr>
          <w:noProof/>
          <w:sz w:val="18"/>
        </w:rPr>
      </w:r>
      <w:r w:rsidRPr="0088095D">
        <w:rPr>
          <w:noProof/>
          <w:sz w:val="18"/>
        </w:rPr>
        <w:fldChar w:fldCharType="separate"/>
      </w:r>
      <w:r w:rsidR="004A1128">
        <w:rPr>
          <w:noProof/>
          <w:sz w:val="18"/>
        </w:rPr>
        <w:t>4</w:t>
      </w:r>
      <w:r w:rsidRPr="0088095D">
        <w:rPr>
          <w:noProof/>
          <w:sz w:val="18"/>
        </w:rPr>
        <w:fldChar w:fldCharType="end"/>
      </w:r>
    </w:p>
    <w:p w14:paraId="149655CB" w14:textId="69F30920" w:rsidR="0088095D" w:rsidRDefault="0088095D">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88095D">
        <w:rPr>
          <w:i w:val="0"/>
          <w:noProof/>
          <w:sz w:val="18"/>
        </w:rPr>
        <w:tab/>
      </w:r>
      <w:r w:rsidRPr="0088095D">
        <w:rPr>
          <w:i w:val="0"/>
          <w:noProof/>
          <w:sz w:val="18"/>
        </w:rPr>
        <w:fldChar w:fldCharType="begin"/>
      </w:r>
      <w:r w:rsidRPr="0088095D">
        <w:rPr>
          <w:i w:val="0"/>
          <w:noProof/>
          <w:sz w:val="18"/>
        </w:rPr>
        <w:instrText xml:space="preserve"> PAGEREF _Toc65761540 \h </w:instrText>
      </w:r>
      <w:r w:rsidRPr="0088095D">
        <w:rPr>
          <w:i w:val="0"/>
          <w:noProof/>
          <w:sz w:val="18"/>
        </w:rPr>
      </w:r>
      <w:r w:rsidRPr="0088095D">
        <w:rPr>
          <w:i w:val="0"/>
          <w:noProof/>
          <w:sz w:val="18"/>
        </w:rPr>
        <w:fldChar w:fldCharType="separate"/>
      </w:r>
      <w:r w:rsidR="004A1128">
        <w:rPr>
          <w:i w:val="0"/>
          <w:noProof/>
          <w:sz w:val="18"/>
        </w:rPr>
        <w:t>4</w:t>
      </w:r>
      <w:r w:rsidRPr="0088095D">
        <w:rPr>
          <w:i w:val="0"/>
          <w:noProof/>
          <w:sz w:val="18"/>
        </w:rPr>
        <w:fldChar w:fldCharType="end"/>
      </w:r>
    </w:p>
    <w:p w14:paraId="66660B76" w14:textId="658D911B" w:rsidR="0088095D" w:rsidRDefault="0088095D">
      <w:pPr>
        <w:pStyle w:val="TOC7"/>
        <w:rPr>
          <w:rFonts w:asciiTheme="minorHAnsi" w:eastAsiaTheme="minorEastAsia" w:hAnsiTheme="minorHAnsi" w:cstheme="minorBidi"/>
          <w:noProof/>
          <w:kern w:val="0"/>
          <w:sz w:val="22"/>
          <w:szCs w:val="22"/>
        </w:rPr>
      </w:pPr>
      <w:r>
        <w:rPr>
          <w:noProof/>
        </w:rPr>
        <w:t>Part 2—Other amendments</w:t>
      </w:r>
      <w:r w:rsidRPr="0088095D">
        <w:rPr>
          <w:noProof/>
          <w:sz w:val="18"/>
        </w:rPr>
        <w:tab/>
      </w:r>
      <w:r w:rsidRPr="0088095D">
        <w:rPr>
          <w:noProof/>
          <w:sz w:val="18"/>
        </w:rPr>
        <w:fldChar w:fldCharType="begin"/>
      </w:r>
      <w:r w:rsidRPr="0088095D">
        <w:rPr>
          <w:noProof/>
          <w:sz w:val="18"/>
        </w:rPr>
        <w:instrText xml:space="preserve"> PAGEREF _Toc65761542 \h </w:instrText>
      </w:r>
      <w:r w:rsidRPr="0088095D">
        <w:rPr>
          <w:noProof/>
          <w:sz w:val="18"/>
        </w:rPr>
      </w:r>
      <w:r w:rsidRPr="0088095D">
        <w:rPr>
          <w:noProof/>
          <w:sz w:val="18"/>
        </w:rPr>
        <w:fldChar w:fldCharType="separate"/>
      </w:r>
      <w:r w:rsidR="004A1128">
        <w:rPr>
          <w:noProof/>
          <w:sz w:val="18"/>
        </w:rPr>
        <w:t>10</w:t>
      </w:r>
      <w:r w:rsidRPr="0088095D">
        <w:rPr>
          <w:noProof/>
          <w:sz w:val="18"/>
        </w:rPr>
        <w:fldChar w:fldCharType="end"/>
      </w:r>
    </w:p>
    <w:p w14:paraId="73D288FA" w14:textId="62C26D3B" w:rsidR="0088095D" w:rsidRDefault="0088095D">
      <w:pPr>
        <w:pStyle w:val="TOC9"/>
        <w:rPr>
          <w:rFonts w:asciiTheme="minorHAnsi" w:eastAsiaTheme="minorEastAsia" w:hAnsiTheme="minorHAnsi" w:cstheme="minorBidi"/>
          <w:i w:val="0"/>
          <w:noProof/>
          <w:kern w:val="0"/>
          <w:sz w:val="22"/>
          <w:szCs w:val="22"/>
        </w:rPr>
      </w:pPr>
      <w:r>
        <w:rPr>
          <w:noProof/>
        </w:rPr>
        <w:t>Tertiary Education Quality and Standards Agency Act 2011</w:t>
      </w:r>
      <w:r w:rsidRPr="0088095D">
        <w:rPr>
          <w:i w:val="0"/>
          <w:noProof/>
          <w:sz w:val="18"/>
        </w:rPr>
        <w:tab/>
      </w:r>
      <w:r w:rsidRPr="0088095D">
        <w:rPr>
          <w:i w:val="0"/>
          <w:noProof/>
          <w:sz w:val="18"/>
        </w:rPr>
        <w:fldChar w:fldCharType="begin"/>
      </w:r>
      <w:r w:rsidRPr="0088095D">
        <w:rPr>
          <w:i w:val="0"/>
          <w:noProof/>
          <w:sz w:val="18"/>
        </w:rPr>
        <w:instrText xml:space="preserve"> PAGEREF _Toc65761543 \h </w:instrText>
      </w:r>
      <w:r w:rsidRPr="0088095D">
        <w:rPr>
          <w:i w:val="0"/>
          <w:noProof/>
          <w:sz w:val="18"/>
        </w:rPr>
      </w:r>
      <w:r w:rsidRPr="0088095D">
        <w:rPr>
          <w:i w:val="0"/>
          <w:noProof/>
          <w:sz w:val="18"/>
        </w:rPr>
        <w:fldChar w:fldCharType="separate"/>
      </w:r>
      <w:r w:rsidR="004A1128">
        <w:rPr>
          <w:i w:val="0"/>
          <w:noProof/>
          <w:sz w:val="18"/>
        </w:rPr>
        <w:t>10</w:t>
      </w:r>
      <w:r w:rsidRPr="0088095D">
        <w:rPr>
          <w:i w:val="0"/>
          <w:noProof/>
          <w:sz w:val="18"/>
        </w:rPr>
        <w:fldChar w:fldCharType="end"/>
      </w:r>
    </w:p>
    <w:p w14:paraId="6EDDDA3A" w14:textId="16A396F7" w:rsidR="0088095D" w:rsidRDefault="0088095D">
      <w:pPr>
        <w:pStyle w:val="TOC6"/>
        <w:rPr>
          <w:rFonts w:asciiTheme="minorHAnsi" w:eastAsiaTheme="minorEastAsia" w:hAnsiTheme="minorHAnsi" w:cstheme="minorBidi"/>
          <w:b w:val="0"/>
          <w:noProof/>
          <w:kern w:val="0"/>
          <w:sz w:val="22"/>
          <w:szCs w:val="22"/>
        </w:rPr>
      </w:pPr>
      <w:r>
        <w:rPr>
          <w:noProof/>
        </w:rPr>
        <w:t>Schedule 2—Indigenous student assistance grants</w:t>
      </w:r>
      <w:r w:rsidRPr="0088095D">
        <w:rPr>
          <w:b w:val="0"/>
          <w:noProof/>
          <w:sz w:val="18"/>
        </w:rPr>
        <w:tab/>
      </w:r>
      <w:r w:rsidRPr="0088095D">
        <w:rPr>
          <w:b w:val="0"/>
          <w:noProof/>
          <w:sz w:val="18"/>
        </w:rPr>
        <w:fldChar w:fldCharType="begin"/>
      </w:r>
      <w:r w:rsidRPr="0088095D">
        <w:rPr>
          <w:b w:val="0"/>
          <w:noProof/>
          <w:sz w:val="18"/>
        </w:rPr>
        <w:instrText xml:space="preserve"> PAGEREF _Toc65761551 \h </w:instrText>
      </w:r>
      <w:r w:rsidRPr="0088095D">
        <w:rPr>
          <w:b w:val="0"/>
          <w:noProof/>
          <w:sz w:val="18"/>
        </w:rPr>
      </w:r>
      <w:r w:rsidRPr="0088095D">
        <w:rPr>
          <w:b w:val="0"/>
          <w:noProof/>
          <w:sz w:val="18"/>
        </w:rPr>
        <w:fldChar w:fldCharType="separate"/>
      </w:r>
      <w:r w:rsidR="004A1128">
        <w:rPr>
          <w:b w:val="0"/>
          <w:noProof/>
          <w:sz w:val="18"/>
        </w:rPr>
        <w:t>18</w:t>
      </w:r>
      <w:r w:rsidRPr="0088095D">
        <w:rPr>
          <w:b w:val="0"/>
          <w:noProof/>
          <w:sz w:val="18"/>
        </w:rPr>
        <w:fldChar w:fldCharType="end"/>
      </w:r>
    </w:p>
    <w:p w14:paraId="5009C334" w14:textId="53186874" w:rsidR="0088095D" w:rsidRDefault="0088095D">
      <w:pPr>
        <w:pStyle w:val="TOC9"/>
        <w:rPr>
          <w:rFonts w:asciiTheme="minorHAnsi" w:eastAsiaTheme="minorEastAsia" w:hAnsiTheme="minorHAnsi" w:cstheme="minorBidi"/>
          <w:i w:val="0"/>
          <w:noProof/>
          <w:kern w:val="0"/>
          <w:sz w:val="22"/>
          <w:szCs w:val="22"/>
        </w:rPr>
      </w:pPr>
      <w:r>
        <w:rPr>
          <w:noProof/>
        </w:rPr>
        <w:t>Higher Education Support Act 2003</w:t>
      </w:r>
      <w:r w:rsidRPr="0088095D">
        <w:rPr>
          <w:i w:val="0"/>
          <w:noProof/>
          <w:sz w:val="18"/>
        </w:rPr>
        <w:tab/>
      </w:r>
      <w:r w:rsidRPr="0088095D">
        <w:rPr>
          <w:i w:val="0"/>
          <w:noProof/>
          <w:sz w:val="18"/>
        </w:rPr>
        <w:fldChar w:fldCharType="begin"/>
      </w:r>
      <w:r w:rsidRPr="0088095D">
        <w:rPr>
          <w:i w:val="0"/>
          <w:noProof/>
          <w:sz w:val="18"/>
        </w:rPr>
        <w:instrText xml:space="preserve"> PAGEREF _Toc65761552 \h </w:instrText>
      </w:r>
      <w:r w:rsidRPr="0088095D">
        <w:rPr>
          <w:i w:val="0"/>
          <w:noProof/>
          <w:sz w:val="18"/>
        </w:rPr>
      </w:r>
      <w:r w:rsidRPr="0088095D">
        <w:rPr>
          <w:i w:val="0"/>
          <w:noProof/>
          <w:sz w:val="18"/>
        </w:rPr>
        <w:fldChar w:fldCharType="separate"/>
      </w:r>
      <w:r w:rsidR="004A1128">
        <w:rPr>
          <w:i w:val="0"/>
          <w:noProof/>
          <w:sz w:val="18"/>
        </w:rPr>
        <w:t>18</w:t>
      </w:r>
      <w:r w:rsidRPr="0088095D">
        <w:rPr>
          <w:i w:val="0"/>
          <w:noProof/>
          <w:sz w:val="18"/>
        </w:rPr>
        <w:fldChar w:fldCharType="end"/>
      </w:r>
    </w:p>
    <w:p w14:paraId="21927D88" w14:textId="77777777" w:rsidR="00060FF9" w:rsidRPr="0088095D" w:rsidRDefault="0088095D" w:rsidP="0048364F">
      <w:pPr>
        <w:rPr>
          <w:rFonts w:cs="Times New Roman"/>
          <w:sz w:val="18"/>
        </w:rPr>
      </w:pPr>
      <w:r>
        <w:rPr>
          <w:rFonts w:cs="Times New Roman"/>
          <w:sz w:val="18"/>
        </w:rPr>
        <w:fldChar w:fldCharType="end"/>
      </w:r>
    </w:p>
    <w:p w14:paraId="0BE68381" w14:textId="77777777" w:rsidR="00FE7F93" w:rsidRPr="00E77DE0" w:rsidRDefault="00FE7F93" w:rsidP="0048364F">
      <w:pPr>
        <w:sectPr w:rsidR="00FE7F93" w:rsidRPr="00E77DE0" w:rsidSect="00446364">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254FAF13" w14:textId="77777777" w:rsidR="00446364" w:rsidRDefault="00446364">
      <w:r>
        <w:object w:dxaOrig="2146" w:dyaOrig="1561" w14:anchorId="66B2C678">
          <v:shape id="_x0000_i1026" type="#_x0000_t75" alt="Commonwealth Coat of Arms of Australia" style="width:110.25pt;height:80.25pt" o:ole="" fillcolor="window">
            <v:imagedata r:id="rId8" o:title=""/>
          </v:shape>
          <o:OLEObject Type="Embed" ProgID="Word.Picture.8" ShapeID="_x0000_i1026" DrawAspect="Content" ObjectID="_1685858548" r:id="rId21"/>
        </w:object>
      </w:r>
    </w:p>
    <w:p w14:paraId="7CFC431E" w14:textId="77777777" w:rsidR="00446364" w:rsidRDefault="00446364"/>
    <w:p w14:paraId="74A7C038" w14:textId="77777777" w:rsidR="00446364" w:rsidRDefault="00446364" w:rsidP="000178F8">
      <w:pPr>
        <w:spacing w:line="240" w:lineRule="auto"/>
      </w:pPr>
    </w:p>
    <w:p w14:paraId="62861AF4" w14:textId="4B6EB68A" w:rsidR="00446364" w:rsidRDefault="00AD6861" w:rsidP="000178F8">
      <w:pPr>
        <w:pStyle w:val="ShortTP1"/>
      </w:pPr>
      <w:r>
        <w:fldChar w:fldCharType="begin"/>
      </w:r>
      <w:r>
        <w:instrText xml:space="preserve"> STYLEREF ShortT </w:instrText>
      </w:r>
      <w:r>
        <w:fldChar w:fldCharType="separate"/>
      </w:r>
      <w:r w:rsidR="004A1128">
        <w:rPr>
          <w:noProof/>
        </w:rPr>
        <w:t>Higher Educ</w:t>
      </w:r>
      <w:bookmarkStart w:id="1" w:name="_GoBack"/>
      <w:bookmarkEnd w:id="1"/>
      <w:r w:rsidR="004A1128">
        <w:rPr>
          <w:noProof/>
        </w:rPr>
        <w:t>ation Legislation Amendment (Provider Category Standards and Other Measures) Act 2021</w:t>
      </w:r>
      <w:r>
        <w:rPr>
          <w:noProof/>
        </w:rPr>
        <w:fldChar w:fldCharType="end"/>
      </w:r>
    </w:p>
    <w:p w14:paraId="4DC4F129" w14:textId="2FD1FD59" w:rsidR="00446364" w:rsidRDefault="00AD6861" w:rsidP="000178F8">
      <w:pPr>
        <w:pStyle w:val="ActNoP1"/>
      </w:pPr>
      <w:r>
        <w:fldChar w:fldCharType="begin"/>
      </w:r>
      <w:r>
        <w:instrText xml:space="preserve"> STYLEREF Actno </w:instrText>
      </w:r>
      <w:r>
        <w:fldChar w:fldCharType="separate"/>
      </w:r>
      <w:r w:rsidR="004A1128">
        <w:rPr>
          <w:noProof/>
        </w:rPr>
        <w:t>No. 14, 2021</w:t>
      </w:r>
      <w:r>
        <w:rPr>
          <w:noProof/>
        </w:rPr>
        <w:fldChar w:fldCharType="end"/>
      </w:r>
    </w:p>
    <w:p w14:paraId="176488AA" w14:textId="77777777" w:rsidR="00446364" w:rsidRPr="009A0728" w:rsidRDefault="00446364" w:rsidP="009A0728">
      <w:pPr>
        <w:pBdr>
          <w:bottom w:val="single" w:sz="6" w:space="0" w:color="auto"/>
        </w:pBdr>
        <w:spacing w:before="400" w:line="240" w:lineRule="auto"/>
        <w:rPr>
          <w:rFonts w:eastAsia="Times New Roman"/>
          <w:b/>
          <w:sz w:val="28"/>
        </w:rPr>
      </w:pPr>
    </w:p>
    <w:p w14:paraId="06DBA246" w14:textId="77777777" w:rsidR="00446364" w:rsidRPr="009A0728" w:rsidRDefault="00446364" w:rsidP="009A0728">
      <w:pPr>
        <w:spacing w:line="40" w:lineRule="exact"/>
        <w:rPr>
          <w:rFonts w:eastAsia="Calibri"/>
          <w:b/>
          <w:sz w:val="28"/>
        </w:rPr>
      </w:pPr>
    </w:p>
    <w:p w14:paraId="32ED19F8" w14:textId="77777777" w:rsidR="00446364" w:rsidRPr="009A0728" w:rsidRDefault="00446364" w:rsidP="009A0728">
      <w:pPr>
        <w:pBdr>
          <w:top w:val="single" w:sz="12" w:space="0" w:color="auto"/>
        </w:pBdr>
        <w:spacing w:line="240" w:lineRule="auto"/>
        <w:rPr>
          <w:rFonts w:eastAsia="Times New Roman"/>
          <w:b/>
          <w:sz w:val="28"/>
        </w:rPr>
      </w:pPr>
    </w:p>
    <w:p w14:paraId="4D09FDF5" w14:textId="77777777" w:rsidR="00446364" w:rsidRDefault="00446364" w:rsidP="00446364">
      <w:pPr>
        <w:pStyle w:val="Page1"/>
        <w:spacing w:before="400"/>
      </w:pPr>
      <w:r>
        <w:t>An Act to amend the law relating to higher education, and for related purposes</w:t>
      </w:r>
    </w:p>
    <w:p w14:paraId="1360890E" w14:textId="77777777" w:rsidR="00394DA8" w:rsidRPr="0088095D" w:rsidRDefault="00394DA8" w:rsidP="0088095D">
      <w:pPr>
        <w:pStyle w:val="AssentDt"/>
        <w:spacing w:before="240"/>
        <w:rPr>
          <w:sz w:val="24"/>
        </w:rPr>
      </w:pPr>
      <w:r>
        <w:rPr>
          <w:sz w:val="24"/>
        </w:rPr>
        <w:t>[</w:t>
      </w:r>
      <w:r>
        <w:rPr>
          <w:i/>
          <w:sz w:val="24"/>
        </w:rPr>
        <w:t>Assented to 1 March 2021</w:t>
      </w:r>
      <w:r>
        <w:rPr>
          <w:sz w:val="24"/>
        </w:rPr>
        <w:t>]</w:t>
      </w:r>
    </w:p>
    <w:p w14:paraId="7976AAE2" w14:textId="77777777" w:rsidR="0048364F" w:rsidRPr="00E77DE0" w:rsidRDefault="0048364F" w:rsidP="00E77DE0">
      <w:pPr>
        <w:spacing w:before="240" w:line="240" w:lineRule="auto"/>
        <w:rPr>
          <w:sz w:val="32"/>
        </w:rPr>
      </w:pPr>
      <w:r w:rsidRPr="00E77DE0">
        <w:rPr>
          <w:sz w:val="32"/>
        </w:rPr>
        <w:t>The Parliament of Australia enacts:</w:t>
      </w:r>
    </w:p>
    <w:p w14:paraId="5886A745" w14:textId="77777777" w:rsidR="0048364F" w:rsidRPr="00E77DE0" w:rsidRDefault="0048364F" w:rsidP="00E77DE0">
      <w:pPr>
        <w:pStyle w:val="ActHead5"/>
      </w:pPr>
      <w:bookmarkStart w:id="2" w:name="_Toc65761535"/>
      <w:r w:rsidRPr="003D1661">
        <w:rPr>
          <w:rStyle w:val="CharSectno"/>
        </w:rPr>
        <w:lastRenderedPageBreak/>
        <w:t>1</w:t>
      </w:r>
      <w:r w:rsidRPr="00E77DE0">
        <w:t xml:space="preserve">  Short title</w:t>
      </w:r>
      <w:bookmarkEnd w:id="2"/>
    </w:p>
    <w:p w14:paraId="40CBF5FB" w14:textId="77777777" w:rsidR="00FE71DC" w:rsidRPr="00FE71DC" w:rsidRDefault="00FE71DC" w:rsidP="00FE71DC">
      <w:pPr>
        <w:pStyle w:val="subsection"/>
        <w:rPr>
          <w:i/>
        </w:rPr>
      </w:pPr>
      <w:r>
        <w:tab/>
      </w:r>
      <w:r>
        <w:tab/>
        <w:t xml:space="preserve">This Act is the </w:t>
      </w:r>
      <w:r w:rsidRPr="00FE71DC">
        <w:rPr>
          <w:i/>
        </w:rPr>
        <w:t>Higher Education Legislation Amendment (Provider Category Standards and Other Measures) Act 2021.</w:t>
      </w:r>
    </w:p>
    <w:p w14:paraId="6BA877F2" w14:textId="77777777" w:rsidR="0048364F" w:rsidRPr="00E77DE0" w:rsidRDefault="0048364F" w:rsidP="00E77DE0">
      <w:pPr>
        <w:pStyle w:val="ActHead5"/>
      </w:pPr>
      <w:bookmarkStart w:id="3" w:name="_Toc65761536"/>
      <w:r w:rsidRPr="003D1661">
        <w:rPr>
          <w:rStyle w:val="CharSectno"/>
        </w:rPr>
        <w:t>2</w:t>
      </w:r>
      <w:r w:rsidRPr="00E77DE0">
        <w:t xml:space="preserve">  Commencement</w:t>
      </w:r>
      <w:bookmarkEnd w:id="3"/>
    </w:p>
    <w:p w14:paraId="390E6FFB" w14:textId="77777777" w:rsidR="00562995" w:rsidRPr="00E77DE0" w:rsidRDefault="00562995" w:rsidP="00E77DE0">
      <w:pPr>
        <w:pStyle w:val="subsection"/>
      </w:pPr>
      <w:r w:rsidRPr="00E77DE0">
        <w:tab/>
        <w:t>(1)</w:t>
      </w:r>
      <w:r w:rsidRPr="00E77DE0">
        <w:tab/>
        <w:t>Each provision of this Act specified in column 1 of the table commences, or is taken to have commenced, in accordance with column 2 of the table. Any other statement in column 2 has effect according to its terms.</w:t>
      </w:r>
    </w:p>
    <w:p w14:paraId="79EACDC4" w14:textId="77777777" w:rsidR="00562995" w:rsidRPr="00E77DE0" w:rsidRDefault="00562995" w:rsidP="00E77DE0">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562995" w:rsidRPr="00E77DE0" w14:paraId="488E481E" w14:textId="77777777" w:rsidTr="00D22A64">
        <w:trPr>
          <w:cantSplit/>
          <w:tblHeader/>
        </w:trPr>
        <w:tc>
          <w:tcPr>
            <w:tcW w:w="7111" w:type="dxa"/>
            <w:gridSpan w:val="3"/>
            <w:tcBorders>
              <w:top w:val="single" w:sz="12" w:space="0" w:color="auto"/>
              <w:left w:val="nil"/>
              <w:bottom w:val="single" w:sz="6" w:space="0" w:color="auto"/>
              <w:right w:val="nil"/>
            </w:tcBorders>
            <w:hideMark/>
          </w:tcPr>
          <w:p w14:paraId="3FE4D363" w14:textId="77777777" w:rsidR="00562995" w:rsidRPr="00E77DE0" w:rsidRDefault="00562995" w:rsidP="00E77DE0">
            <w:pPr>
              <w:pStyle w:val="TableHeading"/>
            </w:pPr>
            <w:r w:rsidRPr="00E77DE0">
              <w:t>Commencement information</w:t>
            </w:r>
          </w:p>
        </w:tc>
      </w:tr>
      <w:tr w:rsidR="00562995" w:rsidRPr="00E77DE0" w14:paraId="1F112A8F" w14:textId="77777777" w:rsidTr="00D22A64">
        <w:trPr>
          <w:cantSplit/>
          <w:tblHeader/>
        </w:trPr>
        <w:tc>
          <w:tcPr>
            <w:tcW w:w="1701" w:type="dxa"/>
            <w:tcBorders>
              <w:top w:val="single" w:sz="6" w:space="0" w:color="auto"/>
              <w:left w:val="nil"/>
              <w:bottom w:val="single" w:sz="6" w:space="0" w:color="auto"/>
              <w:right w:val="nil"/>
            </w:tcBorders>
            <w:hideMark/>
          </w:tcPr>
          <w:p w14:paraId="157187DC" w14:textId="77777777" w:rsidR="00562995" w:rsidRPr="00E77DE0" w:rsidRDefault="00562995" w:rsidP="00E77DE0">
            <w:pPr>
              <w:pStyle w:val="TableHeading"/>
            </w:pPr>
            <w:r w:rsidRPr="00E77DE0">
              <w:t>Column 1</w:t>
            </w:r>
          </w:p>
        </w:tc>
        <w:tc>
          <w:tcPr>
            <w:tcW w:w="3828" w:type="dxa"/>
            <w:tcBorders>
              <w:top w:val="single" w:sz="6" w:space="0" w:color="auto"/>
              <w:left w:val="nil"/>
              <w:bottom w:val="single" w:sz="6" w:space="0" w:color="auto"/>
              <w:right w:val="nil"/>
            </w:tcBorders>
            <w:hideMark/>
          </w:tcPr>
          <w:p w14:paraId="3F75B80C" w14:textId="77777777" w:rsidR="00562995" w:rsidRPr="00E77DE0" w:rsidRDefault="00562995" w:rsidP="00E77DE0">
            <w:pPr>
              <w:pStyle w:val="TableHeading"/>
            </w:pPr>
            <w:r w:rsidRPr="00E77DE0">
              <w:t>Column 2</w:t>
            </w:r>
          </w:p>
        </w:tc>
        <w:tc>
          <w:tcPr>
            <w:tcW w:w="1582" w:type="dxa"/>
            <w:tcBorders>
              <w:top w:val="single" w:sz="6" w:space="0" w:color="auto"/>
              <w:left w:val="nil"/>
              <w:bottom w:val="single" w:sz="6" w:space="0" w:color="auto"/>
              <w:right w:val="nil"/>
            </w:tcBorders>
            <w:hideMark/>
          </w:tcPr>
          <w:p w14:paraId="222275E2" w14:textId="77777777" w:rsidR="00562995" w:rsidRPr="00E77DE0" w:rsidRDefault="00562995" w:rsidP="00E77DE0">
            <w:pPr>
              <w:pStyle w:val="TableHeading"/>
            </w:pPr>
            <w:r w:rsidRPr="00E77DE0">
              <w:t>Column 3</w:t>
            </w:r>
          </w:p>
        </w:tc>
      </w:tr>
      <w:tr w:rsidR="00562995" w:rsidRPr="00E77DE0" w14:paraId="214E1B8D" w14:textId="77777777" w:rsidTr="00D22A64">
        <w:trPr>
          <w:cantSplit/>
          <w:tblHeader/>
        </w:trPr>
        <w:tc>
          <w:tcPr>
            <w:tcW w:w="1701" w:type="dxa"/>
            <w:tcBorders>
              <w:top w:val="single" w:sz="6" w:space="0" w:color="auto"/>
              <w:left w:val="nil"/>
              <w:bottom w:val="single" w:sz="12" w:space="0" w:color="auto"/>
              <w:right w:val="nil"/>
            </w:tcBorders>
            <w:hideMark/>
          </w:tcPr>
          <w:p w14:paraId="709A600D" w14:textId="77777777" w:rsidR="00562995" w:rsidRPr="00E77DE0" w:rsidRDefault="00562995" w:rsidP="00E77DE0">
            <w:pPr>
              <w:pStyle w:val="TableHeading"/>
            </w:pPr>
            <w:r w:rsidRPr="00E77DE0">
              <w:t>Provisions</w:t>
            </w:r>
          </w:p>
        </w:tc>
        <w:tc>
          <w:tcPr>
            <w:tcW w:w="3828" w:type="dxa"/>
            <w:tcBorders>
              <w:top w:val="single" w:sz="6" w:space="0" w:color="auto"/>
              <w:left w:val="nil"/>
              <w:bottom w:val="single" w:sz="12" w:space="0" w:color="auto"/>
              <w:right w:val="nil"/>
            </w:tcBorders>
            <w:hideMark/>
          </w:tcPr>
          <w:p w14:paraId="6D63C416" w14:textId="77777777" w:rsidR="00562995" w:rsidRPr="00E77DE0" w:rsidRDefault="00562995" w:rsidP="00E77DE0">
            <w:pPr>
              <w:pStyle w:val="TableHeading"/>
            </w:pPr>
            <w:r w:rsidRPr="00E77DE0">
              <w:t>Commencement</w:t>
            </w:r>
          </w:p>
        </w:tc>
        <w:tc>
          <w:tcPr>
            <w:tcW w:w="1582" w:type="dxa"/>
            <w:tcBorders>
              <w:top w:val="single" w:sz="6" w:space="0" w:color="auto"/>
              <w:left w:val="nil"/>
              <w:bottom w:val="single" w:sz="12" w:space="0" w:color="auto"/>
              <w:right w:val="nil"/>
            </w:tcBorders>
            <w:hideMark/>
          </w:tcPr>
          <w:p w14:paraId="27667974" w14:textId="77777777" w:rsidR="00562995" w:rsidRPr="00E77DE0" w:rsidRDefault="00562995" w:rsidP="00E77DE0">
            <w:pPr>
              <w:pStyle w:val="TableHeading"/>
            </w:pPr>
            <w:r w:rsidRPr="00E77DE0">
              <w:t>Date/Details</w:t>
            </w:r>
          </w:p>
        </w:tc>
      </w:tr>
      <w:tr w:rsidR="00562995" w:rsidRPr="00E77DE0" w14:paraId="040EAD3D" w14:textId="77777777" w:rsidTr="00D22A64">
        <w:trPr>
          <w:cantSplit/>
        </w:trPr>
        <w:tc>
          <w:tcPr>
            <w:tcW w:w="1701" w:type="dxa"/>
            <w:tcBorders>
              <w:top w:val="single" w:sz="12" w:space="0" w:color="auto"/>
              <w:left w:val="nil"/>
              <w:bottom w:val="single" w:sz="2" w:space="0" w:color="auto"/>
              <w:right w:val="nil"/>
            </w:tcBorders>
            <w:hideMark/>
          </w:tcPr>
          <w:p w14:paraId="4C83C3D8" w14:textId="77777777" w:rsidR="00562995" w:rsidRPr="00E77DE0" w:rsidRDefault="00562995" w:rsidP="00E77DE0">
            <w:pPr>
              <w:pStyle w:val="Tabletext"/>
            </w:pPr>
            <w:r w:rsidRPr="00E77DE0">
              <w:t>1.  Sections</w:t>
            </w:r>
            <w:r w:rsidR="00E77DE0" w:rsidRPr="00E77DE0">
              <w:t> </w:t>
            </w:r>
            <w:r w:rsidRPr="00E77DE0">
              <w:t>1 to 3 and anything in this Act not elsewhere covered by this table</w:t>
            </w:r>
          </w:p>
        </w:tc>
        <w:tc>
          <w:tcPr>
            <w:tcW w:w="3828" w:type="dxa"/>
            <w:tcBorders>
              <w:top w:val="single" w:sz="12" w:space="0" w:color="auto"/>
              <w:left w:val="nil"/>
              <w:bottom w:val="single" w:sz="2" w:space="0" w:color="auto"/>
              <w:right w:val="nil"/>
            </w:tcBorders>
            <w:hideMark/>
          </w:tcPr>
          <w:p w14:paraId="75FD0437" w14:textId="77777777" w:rsidR="00562995" w:rsidRPr="00E77DE0" w:rsidRDefault="00562995" w:rsidP="00E77DE0">
            <w:pPr>
              <w:pStyle w:val="Tabletext"/>
            </w:pPr>
            <w:r w:rsidRPr="00E77DE0">
              <w:t>The day this Act receives the Royal Assent.</w:t>
            </w:r>
          </w:p>
        </w:tc>
        <w:tc>
          <w:tcPr>
            <w:tcW w:w="1582" w:type="dxa"/>
            <w:tcBorders>
              <w:top w:val="single" w:sz="12" w:space="0" w:color="auto"/>
              <w:left w:val="nil"/>
              <w:bottom w:val="single" w:sz="2" w:space="0" w:color="auto"/>
              <w:right w:val="nil"/>
            </w:tcBorders>
          </w:tcPr>
          <w:p w14:paraId="0697AE84" w14:textId="77777777" w:rsidR="00562995" w:rsidRPr="00E77DE0" w:rsidRDefault="0088095D" w:rsidP="00E77DE0">
            <w:pPr>
              <w:pStyle w:val="Tabletext"/>
            </w:pPr>
            <w:r>
              <w:t>1 March 2021</w:t>
            </w:r>
          </w:p>
        </w:tc>
      </w:tr>
      <w:tr w:rsidR="00562995" w:rsidRPr="00E77DE0" w14:paraId="19A85D15" w14:textId="77777777" w:rsidTr="00D22A64">
        <w:trPr>
          <w:cantSplit/>
        </w:trPr>
        <w:tc>
          <w:tcPr>
            <w:tcW w:w="1701" w:type="dxa"/>
            <w:tcBorders>
              <w:top w:val="single" w:sz="2" w:space="0" w:color="auto"/>
              <w:left w:val="nil"/>
              <w:bottom w:val="single" w:sz="2" w:space="0" w:color="auto"/>
              <w:right w:val="nil"/>
            </w:tcBorders>
            <w:hideMark/>
          </w:tcPr>
          <w:p w14:paraId="4218A1E0" w14:textId="77777777" w:rsidR="00562995" w:rsidRPr="00E77DE0" w:rsidRDefault="00562995" w:rsidP="00E77DE0">
            <w:pPr>
              <w:pStyle w:val="Tabletext"/>
            </w:pPr>
            <w:r w:rsidRPr="00E77DE0">
              <w:t xml:space="preserve">2.  </w:t>
            </w:r>
            <w:r w:rsidR="00052258" w:rsidRPr="00E77DE0">
              <w:t>Schedule</w:t>
            </w:r>
            <w:r w:rsidR="00E77DE0" w:rsidRPr="00E77DE0">
              <w:t> </w:t>
            </w:r>
            <w:r w:rsidR="00052258" w:rsidRPr="00E77DE0">
              <w:t>1</w:t>
            </w:r>
            <w:r w:rsidR="00464082" w:rsidRPr="00E77DE0">
              <w:t xml:space="preserve">, </w:t>
            </w:r>
            <w:r w:rsidR="00E37B21" w:rsidRPr="00E77DE0">
              <w:t>Part</w:t>
            </w:r>
            <w:r w:rsidR="00E77DE0" w:rsidRPr="00E77DE0">
              <w:t> </w:t>
            </w:r>
            <w:r w:rsidR="00E37B21" w:rsidRPr="00E77DE0">
              <w:t>1</w:t>
            </w:r>
            <w:r w:rsidR="00464082" w:rsidRPr="00E77DE0">
              <w:t xml:space="preserve"> </w:t>
            </w:r>
          </w:p>
        </w:tc>
        <w:tc>
          <w:tcPr>
            <w:tcW w:w="3828" w:type="dxa"/>
            <w:tcBorders>
              <w:top w:val="single" w:sz="2" w:space="0" w:color="auto"/>
              <w:left w:val="nil"/>
              <w:bottom w:val="single" w:sz="2" w:space="0" w:color="auto"/>
              <w:right w:val="nil"/>
            </w:tcBorders>
          </w:tcPr>
          <w:p w14:paraId="4606E85D" w14:textId="77777777" w:rsidR="00AC3CD1" w:rsidRPr="00E77DE0" w:rsidRDefault="00AC3CD1" w:rsidP="00E77DE0">
            <w:pPr>
              <w:pStyle w:val="Tabletext"/>
            </w:pPr>
            <w:r w:rsidRPr="00E77DE0">
              <w:t>A single day to be fixed by Proclamation.</w:t>
            </w:r>
          </w:p>
          <w:p w14:paraId="120D1766" w14:textId="77777777" w:rsidR="00562995" w:rsidRPr="00E77DE0" w:rsidRDefault="00AC3CD1" w:rsidP="00E77DE0">
            <w:pPr>
              <w:pStyle w:val="Tabletext"/>
            </w:pPr>
            <w:r w:rsidRPr="00E77DE0">
              <w:t>However, if the provisions do not commence within the period of 12 months beginning on the day this Act receives the Royal Assent, they commence on the day after the end of that period.</w:t>
            </w:r>
          </w:p>
        </w:tc>
        <w:tc>
          <w:tcPr>
            <w:tcW w:w="1582" w:type="dxa"/>
            <w:tcBorders>
              <w:top w:val="single" w:sz="2" w:space="0" w:color="auto"/>
              <w:left w:val="nil"/>
              <w:bottom w:val="single" w:sz="2" w:space="0" w:color="auto"/>
              <w:right w:val="nil"/>
            </w:tcBorders>
          </w:tcPr>
          <w:p w14:paraId="454F79A1" w14:textId="77777777" w:rsidR="00562995" w:rsidRDefault="00236DB8" w:rsidP="00E77DE0">
            <w:pPr>
              <w:pStyle w:val="Tabletext"/>
            </w:pPr>
            <w:r>
              <w:t>1 July 2021</w:t>
            </w:r>
          </w:p>
          <w:p w14:paraId="1B474ED7" w14:textId="0E51BE0A" w:rsidR="00AD6861" w:rsidRPr="00E77DE0" w:rsidRDefault="00AD6861" w:rsidP="00E77DE0">
            <w:pPr>
              <w:pStyle w:val="Tabletext"/>
            </w:pPr>
            <w:r>
              <w:t>(F2021N00125)</w:t>
            </w:r>
          </w:p>
        </w:tc>
      </w:tr>
      <w:tr w:rsidR="00D22A64" w:rsidRPr="00D22A64" w14:paraId="3AC98CC4" w14:textId="77777777" w:rsidTr="00D22A64">
        <w:tblPrEx>
          <w:tblBorders>
            <w:insideH w:val="single" w:sz="2" w:space="0" w:color="auto"/>
          </w:tblBorders>
        </w:tblPrEx>
        <w:tc>
          <w:tcPr>
            <w:tcW w:w="1701" w:type="dxa"/>
            <w:tcBorders>
              <w:top w:val="nil"/>
              <w:left w:val="nil"/>
              <w:bottom w:val="single" w:sz="2" w:space="0" w:color="auto"/>
              <w:right w:val="nil"/>
            </w:tcBorders>
            <w:hideMark/>
          </w:tcPr>
          <w:p w14:paraId="6B07B356" w14:textId="77777777" w:rsidR="00DC471D" w:rsidRPr="00D22A64" w:rsidRDefault="00D22A64" w:rsidP="00D22A64">
            <w:pPr>
              <w:pStyle w:val="Tabletext"/>
            </w:pPr>
            <w:r w:rsidRPr="00D22A64">
              <w:t>3.  Schedule 1, items 20 to 28</w:t>
            </w:r>
          </w:p>
        </w:tc>
        <w:tc>
          <w:tcPr>
            <w:tcW w:w="3828" w:type="dxa"/>
            <w:tcBorders>
              <w:top w:val="nil"/>
              <w:left w:val="nil"/>
              <w:bottom w:val="single" w:sz="2" w:space="0" w:color="auto"/>
              <w:right w:val="nil"/>
            </w:tcBorders>
            <w:hideMark/>
          </w:tcPr>
          <w:p w14:paraId="2177D9BD" w14:textId="77777777" w:rsidR="00DC471D" w:rsidRPr="00D22A64" w:rsidRDefault="00D22A64" w:rsidP="00D22A64">
            <w:pPr>
              <w:pStyle w:val="Tabletext"/>
            </w:pPr>
            <w:r w:rsidRPr="00D22A64">
              <w:t>The day after this Act receives the Royal Assent.</w:t>
            </w:r>
          </w:p>
        </w:tc>
        <w:tc>
          <w:tcPr>
            <w:tcW w:w="1582" w:type="dxa"/>
            <w:tcBorders>
              <w:top w:val="nil"/>
              <w:left w:val="nil"/>
              <w:bottom w:val="single" w:sz="2" w:space="0" w:color="auto"/>
              <w:right w:val="nil"/>
            </w:tcBorders>
          </w:tcPr>
          <w:p w14:paraId="0DE8E5EE" w14:textId="77777777" w:rsidR="00DC471D" w:rsidRPr="00D22A64" w:rsidRDefault="0088095D" w:rsidP="00D22A64">
            <w:pPr>
              <w:pStyle w:val="Tabletext"/>
            </w:pPr>
            <w:r>
              <w:t>2 March 2021</w:t>
            </w:r>
          </w:p>
        </w:tc>
      </w:tr>
      <w:tr w:rsidR="00D22A64" w:rsidRPr="00D22A64" w14:paraId="4D2C2AEF" w14:textId="77777777" w:rsidTr="00D22A64">
        <w:tblPrEx>
          <w:tblBorders>
            <w:insideH w:val="single" w:sz="2" w:space="0" w:color="auto"/>
          </w:tblBorders>
        </w:tblPrEx>
        <w:tc>
          <w:tcPr>
            <w:tcW w:w="1701" w:type="dxa"/>
            <w:tcBorders>
              <w:top w:val="single" w:sz="2" w:space="0" w:color="auto"/>
              <w:left w:val="nil"/>
              <w:bottom w:val="single" w:sz="2" w:space="0" w:color="auto"/>
              <w:right w:val="nil"/>
            </w:tcBorders>
            <w:hideMark/>
          </w:tcPr>
          <w:p w14:paraId="612A029C" w14:textId="77777777" w:rsidR="00DC471D" w:rsidRPr="00D22A64" w:rsidRDefault="00D22A64" w:rsidP="00D22A64">
            <w:pPr>
              <w:pStyle w:val="Tabletext"/>
            </w:pPr>
            <w:r w:rsidRPr="00D22A64">
              <w:t>3A.  Schedule 1, item 29</w:t>
            </w:r>
          </w:p>
        </w:tc>
        <w:tc>
          <w:tcPr>
            <w:tcW w:w="3828" w:type="dxa"/>
            <w:tcBorders>
              <w:top w:val="single" w:sz="2" w:space="0" w:color="auto"/>
              <w:left w:val="nil"/>
              <w:bottom w:val="single" w:sz="2" w:space="0" w:color="auto"/>
              <w:right w:val="nil"/>
            </w:tcBorders>
            <w:hideMark/>
          </w:tcPr>
          <w:p w14:paraId="23B2F87C" w14:textId="77777777" w:rsidR="00DC471D" w:rsidRPr="00D22A64" w:rsidRDefault="00D22A64" w:rsidP="00D22A64">
            <w:pPr>
              <w:pStyle w:val="Tabletext"/>
            </w:pPr>
            <w:r w:rsidRPr="00D22A64">
              <w:t>The seventh day after this Act receives the Royal Assent.</w:t>
            </w:r>
          </w:p>
        </w:tc>
        <w:tc>
          <w:tcPr>
            <w:tcW w:w="1582" w:type="dxa"/>
            <w:tcBorders>
              <w:top w:val="single" w:sz="2" w:space="0" w:color="auto"/>
              <w:left w:val="nil"/>
              <w:bottom w:val="single" w:sz="2" w:space="0" w:color="auto"/>
              <w:right w:val="nil"/>
            </w:tcBorders>
          </w:tcPr>
          <w:p w14:paraId="23F37069" w14:textId="77777777" w:rsidR="00DC471D" w:rsidRPr="00D22A64" w:rsidRDefault="0088095D" w:rsidP="00D22A64">
            <w:pPr>
              <w:pStyle w:val="Tabletext"/>
            </w:pPr>
            <w:r>
              <w:t>8 March 2021</w:t>
            </w:r>
          </w:p>
        </w:tc>
      </w:tr>
      <w:tr w:rsidR="00D22A64" w:rsidRPr="00D22A64" w14:paraId="76522139" w14:textId="77777777" w:rsidTr="00D22A64">
        <w:tblPrEx>
          <w:tblBorders>
            <w:insideH w:val="single" w:sz="2" w:space="0" w:color="auto"/>
          </w:tblBorders>
        </w:tblPrEx>
        <w:tc>
          <w:tcPr>
            <w:tcW w:w="1701" w:type="dxa"/>
            <w:tcBorders>
              <w:top w:val="single" w:sz="2" w:space="0" w:color="auto"/>
              <w:left w:val="nil"/>
              <w:bottom w:val="nil"/>
              <w:right w:val="nil"/>
            </w:tcBorders>
            <w:hideMark/>
          </w:tcPr>
          <w:p w14:paraId="3277F4E8" w14:textId="77777777" w:rsidR="00DC471D" w:rsidRPr="00D22A64" w:rsidRDefault="00D22A64" w:rsidP="00D22A64">
            <w:pPr>
              <w:pStyle w:val="Tabletext"/>
            </w:pPr>
            <w:r w:rsidRPr="00D22A64">
              <w:t>3B.  Schedule 1, item 30</w:t>
            </w:r>
          </w:p>
        </w:tc>
        <w:tc>
          <w:tcPr>
            <w:tcW w:w="3828" w:type="dxa"/>
            <w:tcBorders>
              <w:top w:val="single" w:sz="2" w:space="0" w:color="auto"/>
              <w:left w:val="nil"/>
              <w:bottom w:val="nil"/>
              <w:right w:val="nil"/>
            </w:tcBorders>
            <w:hideMark/>
          </w:tcPr>
          <w:p w14:paraId="3EFB3934" w14:textId="77777777" w:rsidR="00DC471D" w:rsidRPr="00D22A64" w:rsidRDefault="00D22A64" w:rsidP="00D22A64">
            <w:pPr>
              <w:pStyle w:val="Tabletext"/>
            </w:pPr>
            <w:r w:rsidRPr="00D22A64">
              <w:t>The day after this Act receives the Royal Assent.</w:t>
            </w:r>
          </w:p>
        </w:tc>
        <w:tc>
          <w:tcPr>
            <w:tcW w:w="1582" w:type="dxa"/>
            <w:tcBorders>
              <w:top w:val="single" w:sz="2" w:space="0" w:color="auto"/>
              <w:left w:val="nil"/>
              <w:bottom w:val="nil"/>
              <w:right w:val="nil"/>
            </w:tcBorders>
          </w:tcPr>
          <w:p w14:paraId="46CE6053" w14:textId="77777777" w:rsidR="00DC471D" w:rsidRPr="00D22A64" w:rsidRDefault="0088095D" w:rsidP="00D22A64">
            <w:pPr>
              <w:pStyle w:val="Tabletext"/>
            </w:pPr>
            <w:r>
              <w:t>2 March 2021</w:t>
            </w:r>
          </w:p>
        </w:tc>
      </w:tr>
      <w:tr w:rsidR="0081273D" w:rsidRPr="00E77DE0" w14:paraId="3DD1C4C9" w14:textId="77777777" w:rsidTr="00D22A64">
        <w:trPr>
          <w:cantSplit/>
        </w:trPr>
        <w:tc>
          <w:tcPr>
            <w:tcW w:w="1701" w:type="dxa"/>
            <w:tcBorders>
              <w:top w:val="single" w:sz="2" w:space="0" w:color="auto"/>
              <w:left w:val="nil"/>
              <w:bottom w:val="single" w:sz="2" w:space="0" w:color="auto"/>
              <w:right w:val="nil"/>
            </w:tcBorders>
          </w:tcPr>
          <w:p w14:paraId="47D17614" w14:textId="77777777" w:rsidR="0081273D" w:rsidRPr="00E77DE0" w:rsidRDefault="0081273D" w:rsidP="00E77DE0">
            <w:pPr>
              <w:pStyle w:val="Tabletext"/>
            </w:pPr>
            <w:r w:rsidRPr="00E77DE0">
              <w:t>4.  Schedule</w:t>
            </w:r>
            <w:r w:rsidR="00E77DE0" w:rsidRPr="00E77DE0">
              <w:t> </w:t>
            </w:r>
            <w:r w:rsidRPr="00E77DE0">
              <w:t>2</w:t>
            </w:r>
            <w:r w:rsidR="00464C98" w:rsidRPr="00E77DE0">
              <w:t>, items</w:t>
            </w:r>
            <w:r w:rsidR="00E77DE0" w:rsidRPr="00E77DE0">
              <w:t> </w:t>
            </w:r>
            <w:r w:rsidR="00464C98" w:rsidRPr="00E77DE0">
              <w:t>1 to 4</w:t>
            </w:r>
          </w:p>
        </w:tc>
        <w:tc>
          <w:tcPr>
            <w:tcW w:w="3828" w:type="dxa"/>
            <w:tcBorders>
              <w:top w:val="single" w:sz="2" w:space="0" w:color="auto"/>
              <w:left w:val="nil"/>
              <w:bottom w:val="single" w:sz="2" w:space="0" w:color="auto"/>
              <w:right w:val="nil"/>
            </w:tcBorders>
          </w:tcPr>
          <w:p w14:paraId="49ABA62C" w14:textId="77777777" w:rsidR="0081273D" w:rsidRPr="00E77DE0" w:rsidRDefault="0081273D" w:rsidP="00E77DE0">
            <w:pPr>
              <w:pStyle w:val="Tabletext"/>
            </w:pPr>
            <w:r w:rsidRPr="00E77DE0">
              <w:t>The day after this Act receives the Royal Assent.</w:t>
            </w:r>
          </w:p>
        </w:tc>
        <w:tc>
          <w:tcPr>
            <w:tcW w:w="1582" w:type="dxa"/>
            <w:tcBorders>
              <w:top w:val="single" w:sz="2" w:space="0" w:color="auto"/>
              <w:left w:val="nil"/>
              <w:bottom w:val="single" w:sz="2" w:space="0" w:color="auto"/>
              <w:right w:val="nil"/>
            </w:tcBorders>
          </w:tcPr>
          <w:p w14:paraId="5912B5B5" w14:textId="77777777" w:rsidR="0081273D" w:rsidRPr="00E77DE0" w:rsidRDefault="0088095D" w:rsidP="00E77DE0">
            <w:pPr>
              <w:pStyle w:val="Tabletext"/>
            </w:pPr>
            <w:r>
              <w:t>2 March 2021</w:t>
            </w:r>
          </w:p>
        </w:tc>
      </w:tr>
      <w:tr w:rsidR="00464C98" w:rsidRPr="00E77DE0" w14:paraId="7F30DEFF" w14:textId="77777777" w:rsidTr="00D22A64">
        <w:trPr>
          <w:cantSplit/>
        </w:trPr>
        <w:tc>
          <w:tcPr>
            <w:tcW w:w="1701" w:type="dxa"/>
            <w:tcBorders>
              <w:top w:val="single" w:sz="2" w:space="0" w:color="auto"/>
              <w:left w:val="nil"/>
              <w:bottom w:val="single" w:sz="12" w:space="0" w:color="auto"/>
              <w:right w:val="nil"/>
            </w:tcBorders>
          </w:tcPr>
          <w:p w14:paraId="3377194E" w14:textId="77777777" w:rsidR="00464C98" w:rsidRPr="00E77DE0" w:rsidRDefault="00464C98" w:rsidP="00E77DE0">
            <w:pPr>
              <w:pStyle w:val="Tabletext"/>
            </w:pPr>
            <w:r w:rsidRPr="00E77DE0">
              <w:lastRenderedPageBreak/>
              <w:t>5.  Schedule</w:t>
            </w:r>
            <w:r w:rsidR="00E77DE0" w:rsidRPr="00E77DE0">
              <w:t> </w:t>
            </w:r>
            <w:r w:rsidRPr="00E77DE0">
              <w:t>2, item</w:t>
            </w:r>
            <w:r w:rsidR="00E77DE0" w:rsidRPr="00E77DE0">
              <w:t> </w:t>
            </w:r>
            <w:r w:rsidRPr="00E77DE0">
              <w:t>5</w:t>
            </w:r>
          </w:p>
        </w:tc>
        <w:tc>
          <w:tcPr>
            <w:tcW w:w="3828" w:type="dxa"/>
            <w:tcBorders>
              <w:top w:val="single" w:sz="2" w:space="0" w:color="auto"/>
              <w:left w:val="nil"/>
              <w:bottom w:val="single" w:sz="12" w:space="0" w:color="auto"/>
              <w:right w:val="nil"/>
            </w:tcBorders>
          </w:tcPr>
          <w:p w14:paraId="7B128758" w14:textId="77777777" w:rsidR="00464C98" w:rsidRPr="00E77DE0" w:rsidRDefault="00464C98" w:rsidP="00E77DE0">
            <w:pPr>
              <w:pStyle w:val="Tabletext"/>
            </w:pPr>
            <w:r w:rsidRPr="00E77DE0">
              <w:t>Immediately after the commencement of the provisions covered by table item</w:t>
            </w:r>
            <w:r w:rsidR="00E77DE0" w:rsidRPr="00E77DE0">
              <w:t> </w:t>
            </w:r>
            <w:r w:rsidRPr="00E77DE0">
              <w:t>4.</w:t>
            </w:r>
          </w:p>
          <w:p w14:paraId="10DF3C26" w14:textId="77777777" w:rsidR="00464C98" w:rsidRPr="00E77DE0" w:rsidRDefault="00464C98" w:rsidP="00E77DE0">
            <w:pPr>
              <w:pStyle w:val="Tabletext"/>
            </w:pPr>
            <w:r w:rsidRPr="00E77DE0">
              <w:t>However, the provision does not commence at all if Schedule</w:t>
            </w:r>
            <w:r w:rsidR="00E77DE0" w:rsidRPr="00E77DE0">
              <w:t> </w:t>
            </w:r>
            <w:r w:rsidRPr="00E77DE0">
              <w:t xml:space="preserve">1 to the </w:t>
            </w:r>
            <w:r w:rsidRPr="00E77DE0">
              <w:rPr>
                <w:i/>
              </w:rPr>
              <w:t>Higher Education Support Amendment (Job</w:t>
            </w:r>
            <w:r w:rsidR="00E77DE0">
              <w:rPr>
                <w:i/>
              </w:rPr>
              <w:noBreakHyphen/>
            </w:r>
            <w:r w:rsidRPr="00E77DE0">
              <w:rPr>
                <w:i/>
              </w:rPr>
              <w:t>Ready Graduates and Supporting Regional and Remote Students) Act 2020</w:t>
            </w:r>
            <w:bookmarkStart w:id="4" w:name="BK_S3P2L25C19"/>
            <w:bookmarkEnd w:id="4"/>
            <w:r w:rsidRPr="00E77DE0">
              <w:rPr>
                <w:i/>
              </w:rPr>
              <w:t xml:space="preserve"> </w:t>
            </w:r>
            <w:r w:rsidRPr="00E77DE0">
              <w:t>commences on or before the day on which the provisions covered by table item</w:t>
            </w:r>
            <w:r w:rsidR="00E77DE0" w:rsidRPr="00E77DE0">
              <w:t> </w:t>
            </w:r>
            <w:r w:rsidRPr="00E77DE0">
              <w:t>4 commence.</w:t>
            </w:r>
          </w:p>
        </w:tc>
        <w:tc>
          <w:tcPr>
            <w:tcW w:w="1582" w:type="dxa"/>
            <w:tcBorders>
              <w:top w:val="single" w:sz="2" w:space="0" w:color="auto"/>
              <w:left w:val="nil"/>
              <w:bottom w:val="single" w:sz="12" w:space="0" w:color="auto"/>
              <w:right w:val="nil"/>
            </w:tcBorders>
          </w:tcPr>
          <w:p w14:paraId="5F1336F9" w14:textId="77777777" w:rsidR="00464C98" w:rsidRPr="00E77DE0" w:rsidRDefault="0088095D" w:rsidP="00E77DE0">
            <w:pPr>
              <w:pStyle w:val="Tabletext"/>
            </w:pPr>
            <w:r>
              <w:t>Never commenced</w:t>
            </w:r>
          </w:p>
        </w:tc>
      </w:tr>
    </w:tbl>
    <w:p w14:paraId="10E7D619" w14:textId="77777777" w:rsidR="00562995" w:rsidRPr="00E77DE0" w:rsidRDefault="00562995" w:rsidP="00E77DE0">
      <w:pPr>
        <w:pStyle w:val="notetext"/>
      </w:pPr>
      <w:r w:rsidRPr="00E77DE0">
        <w:rPr>
          <w:snapToGrid w:val="0"/>
          <w:lang w:eastAsia="en-US"/>
        </w:rPr>
        <w:t>Note:</w:t>
      </w:r>
      <w:r w:rsidRPr="00E77DE0">
        <w:rPr>
          <w:snapToGrid w:val="0"/>
          <w:lang w:eastAsia="en-US"/>
        </w:rPr>
        <w:tab/>
        <w:t>This table relates only to the provisions of this Act as originally enacted. It will not be amended to deal with any later amendments of this Act.</w:t>
      </w:r>
    </w:p>
    <w:p w14:paraId="290D417E" w14:textId="77777777" w:rsidR="00562995" w:rsidRPr="00E77DE0" w:rsidRDefault="00562995" w:rsidP="00E77DE0">
      <w:pPr>
        <w:pStyle w:val="subsection"/>
      </w:pPr>
      <w:r w:rsidRPr="00E77DE0">
        <w:tab/>
        <w:t>(2)</w:t>
      </w:r>
      <w:r w:rsidRPr="00E77DE0">
        <w:tab/>
        <w:t>Any information in column 3 of the table is not part of this Act. Information may be inserted in this column, or information in it may be edited, in any published version of this Act.</w:t>
      </w:r>
    </w:p>
    <w:p w14:paraId="7C965264" w14:textId="77777777" w:rsidR="0048364F" w:rsidRPr="00E77DE0" w:rsidRDefault="0048364F" w:rsidP="00E77DE0">
      <w:pPr>
        <w:pStyle w:val="ActHead5"/>
      </w:pPr>
      <w:bookmarkStart w:id="5" w:name="_Toc65761537"/>
      <w:r w:rsidRPr="003D1661">
        <w:rPr>
          <w:rStyle w:val="CharSectno"/>
        </w:rPr>
        <w:t>3</w:t>
      </w:r>
      <w:r w:rsidRPr="00E77DE0">
        <w:t xml:space="preserve">  Schedules</w:t>
      </w:r>
      <w:bookmarkEnd w:id="5"/>
    </w:p>
    <w:p w14:paraId="2DE3BB71" w14:textId="77777777" w:rsidR="0048364F" w:rsidRPr="00E77DE0" w:rsidRDefault="0048364F" w:rsidP="00E77DE0">
      <w:pPr>
        <w:pStyle w:val="subsection"/>
      </w:pPr>
      <w:r w:rsidRPr="00E77DE0">
        <w:tab/>
      </w:r>
      <w:r w:rsidRPr="00E77DE0">
        <w:tab/>
      </w:r>
      <w:r w:rsidR="00202618" w:rsidRPr="00E77DE0">
        <w:t>Legislation that is specified in a Schedule to this Act is amended or repealed as set out in the applicable items in the Schedule concerned, and any other item in a Schedule to this Act has effect according to its terms.</w:t>
      </w:r>
    </w:p>
    <w:p w14:paraId="149AB44C" w14:textId="77777777" w:rsidR="008D3E94" w:rsidRPr="00E77DE0" w:rsidRDefault="00052258" w:rsidP="00E77DE0">
      <w:pPr>
        <w:pStyle w:val="ActHead6"/>
        <w:pageBreakBefore/>
      </w:pPr>
      <w:bookmarkStart w:id="6" w:name="_Toc65761538"/>
      <w:bookmarkStart w:id="7" w:name="opcAmSched"/>
      <w:r w:rsidRPr="003D1661">
        <w:rPr>
          <w:rStyle w:val="CharAmSchNo"/>
        </w:rPr>
        <w:lastRenderedPageBreak/>
        <w:t>Schedule</w:t>
      </w:r>
      <w:r w:rsidR="00E77DE0" w:rsidRPr="003D1661">
        <w:rPr>
          <w:rStyle w:val="CharAmSchNo"/>
        </w:rPr>
        <w:t> </w:t>
      </w:r>
      <w:r w:rsidRPr="003D1661">
        <w:rPr>
          <w:rStyle w:val="CharAmSchNo"/>
        </w:rPr>
        <w:t>1</w:t>
      </w:r>
      <w:r w:rsidR="0048364F" w:rsidRPr="00E77DE0">
        <w:t>—</w:t>
      </w:r>
      <w:r w:rsidR="0081273D" w:rsidRPr="003D1661">
        <w:rPr>
          <w:rStyle w:val="CharAmSchText"/>
        </w:rPr>
        <w:t>Higher education standards and other amendments</w:t>
      </w:r>
      <w:bookmarkEnd w:id="6"/>
    </w:p>
    <w:p w14:paraId="0E037DB6" w14:textId="77777777" w:rsidR="001432D4" w:rsidRPr="00E77DE0" w:rsidRDefault="00E37B21" w:rsidP="00E77DE0">
      <w:pPr>
        <w:pStyle w:val="ActHead7"/>
      </w:pPr>
      <w:bookmarkStart w:id="8" w:name="_Toc65761539"/>
      <w:bookmarkEnd w:id="7"/>
      <w:r w:rsidRPr="003D1661">
        <w:rPr>
          <w:rStyle w:val="CharAmPartNo"/>
        </w:rPr>
        <w:t>Part</w:t>
      </w:r>
      <w:r w:rsidR="00E77DE0" w:rsidRPr="003D1661">
        <w:rPr>
          <w:rStyle w:val="CharAmPartNo"/>
        </w:rPr>
        <w:t> </w:t>
      </w:r>
      <w:r w:rsidRPr="003D1661">
        <w:rPr>
          <w:rStyle w:val="CharAmPartNo"/>
        </w:rPr>
        <w:t>1</w:t>
      </w:r>
      <w:r w:rsidR="007B6A76" w:rsidRPr="00E77DE0">
        <w:t>—</w:t>
      </w:r>
      <w:r w:rsidR="009039BE" w:rsidRPr="003D1661">
        <w:rPr>
          <w:rStyle w:val="CharAmPartText"/>
        </w:rPr>
        <w:t>Higher education standards</w:t>
      </w:r>
      <w:bookmarkEnd w:id="8"/>
    </w:p>
    <w:p w14:paraId="36FA6823" w14:textId="77777777" w:rsidR="007B6A76" w:rsidRPr="00E77DE0" w:rsidRDefault="007B6A76" w:rsidP="00E77DE0">
      <w:pPr>
        <w:pStyle w:val="ActHead9"/>
        <w:rPr>
          <w:i w:val="0"/>
        </w:rPr>
      </w:pPr>
      <w:bookmarkStart w:id="9" w:name="_Toc65761540"/>
      <w:r w:rsidRPr="00E77DE0">
        <w:t xml:space="preserve">Tertiary Education </w:t>
      </w:r>
      <w:r w:rsidR="00CA6D18" w:rsidRPr="00E77DE0">
        <w:t xml:space="preserve">Quality </w:t>
      </w:r>
      <w:r w:rsidRPr="00E77DE0">
        <w:t>and Standards Agency Act 2011</w:t>
      </w:r>
      <w:bookmarkEnd w:id="9"/>
    </w:p>
    <w:p w14:paraId="3F79E952" w14:textId="77777777" w:rsidR="009F2311" w:rsidRPr="00E77DE0" w:rsidRDefault="00E76AC0" w:rsidP="00E77DE0">
      <w:pPr>
        <w:pStyle w:val="ItemHead"/>
      </w:pPr>
      <w:r w:rsidRPr="00E77DE0">
        <w:t>1</w:t>
      </w:r>
      <w:r w:rsidR="00BD2A26" w:rsidRPr="00E77DE0">
        <w:t xml:space="preserve">  </w:t>
      </w:r>
      <w:r w:rsidR="00052258" w:rsidRPr="00E77DE0">
        <w:t>Section</w:t>
      </w:r>
      <w:r w:rsidR="00E77DE0" w:rsidRPr="00E77DE0">
        <w:t> </w:t>
      </w:r>
      <w:r w:rsidR="00052258" w:rsidRPr="00E77DE0">
        <w:t>4</w:t>
      </w:r>
    </w:p>
    <w:p w14:paraId="42F8CA20" w14:textId="77777777" w:rsidR="009F2311" w:rsidRPr="00E77DE0" w:rsidRDefault="009F2311" w:rsidP="00E77DE0">
      <w:pPr>
        <w:pStyle w:val="Item"/>
      </w:pPr>
      <w:r w:rsidRPr="00E77DE0">
        <w:t>Omit:</w:t>
      </w:r>
    </w:p>
    <w:p w14:paraId="5D6F1792" w14:textId="77777777" w:rsidR="009F2311" w:rsidRPr="00E77DE0" w:rsidRDefault="009F2311" w:rsidP="00E77DE0">
      <w:pPr>
        <w:pStyle w:val="SOBullet"/>
      </w:pPr>
      <w:r w:rsidRPr="00E77DE0">
        <w:t>•</w:t>
      </w:r>
      <w:r w:rsidRPr="00E77DE0">
        <w:tab/>
        <w:t>Registered higher education providers must have their courses of study accredited before those courses can be provided in connection with regulated higher education awards. Some providers (including Australian universities registered in the Australian university provider category) are authorised to self</w:t>
      </w:r>
      <w:r w:rsidR="00E77DE0">
        <w:noBreakHyphen/>
      </w:r>
      <w:r w:rsidRPr="00E77DE0">
        <w:t>accredit their courses of study.</w:t>
      </w:r>
    </w:p>
    <w:p w14:paraId="09E8361A" w14:textId="77777777" w:rsidR="009F2311" w:rsidRPr="00E77DE0" w:rsidRDefault="009F2311" w:rsidP="00E77DE0">
      <w:pPr>
        <w:pStyle w:val="Item"/>
      </w:pPr>
      <w:r w:rsidRPr="00E77DE0">
        <w:t>substitute:</w:t>
      </w:r>
    </w:p>
    <w:p w14:paraId="2C7032CD" w14:textId="77777777" w:rsidR="009F2311" w:rsidRPr="00E77DE0" w:rsidRDefault="009F2311" w:rsidP="00E77DE0">
      <w:pPr>
        <w:pStyle w:val="SOBullet"/>
      </w:pPr>
      <w:r w:rsidRPr="00E77DE0">
        <w:t>•</w:t>
      </w:r>
      <w:r w:rsidRPr="00E77DE0">
        <w:tab/>
        <w:t>Registered higher education providers must have their courses of study accredited before those courses can be provided in connection with regulated higher education awards. Some providers (including those providers registered in the “Australian University” provider category) are authorised to self</w:t>
      </w:r>
      <w:r w:rsidR="00E77DE0">
        <w:noBreakHyphen/>
      </w:r>
      <w:r w:rsidRPr="00E77DE0">
        <w:t>accredit some or all of their courses of study.</w:t>
      </w:r>
    </w:p>
    <w:p w14:paraId="6759B484" w14:textId="77777777" w:rsidR="004F1ED6" w:rsidRPr="00E77DE0" w:rsidRDefault="00E76AC0" w:rsidP="00E77DE0">
      <w:pPr>
        <w:pStyle w:val="ItemHead"/>
      </w:pPr>
      <w:r w:rsidRPr="00E77DE0">
        <w:t>2</w:t>
      </w:r>
      <w:r w:rsidR="004F1ED6" w:rsidRPr="00E77DE0">
        <w:t xml:space="preserve">  </w:t>
      </w:r>
      <w:r w:rsidR="00E37B21" w:rsidRPr="00E77DE0">
        <w:t>Section</w:t>
      </w:r>
      <w:r w:rsidR="00E77DE0" w:rsidRPr="00E77DE0">
        <w:t> </w:t>
      </w:r>
      <w:r w:rsidR="00E37B21" w:rsidRPr="00E77DE0">
        <w:t>5</w:t>
      </w:r>
      <w:r w:rsidR="002E54AD" w:rsidRPr="00E77DE0">
        <w:t xml:space="preserve"> (definition of </w:t>
      </w:r>
      <w:r w:rsidR="002E54AD" w:rsidRPr="00E77DE0">
        <w:rPr>
          <w:i/>
        </w:rPr>
        <w:t>Higher Education Standards Framework</w:t>
      </w:r>
      <w:r w:rsidR="002E54AD" w:rsidRPr="00E77DE0">
        <w:t>)</w:t>
      </w:r>
    </w:p>
    <w:p w14:paraId="776F282E" w14:textId="77777777" w:rsidR="002E54AD" w:rsidRPr="00E77DE0" w:rsidRDefault="002E54AD" w:rsidP="00E77DE0">
      <w:pPr>
        <w:pStyle w:val="Item"/>
      </w:pPr>
      <w:r w:rsidRPr="00E77DE0">
        <w:t>Repeal the definition, substitute:</w:t>
      </w:r>
    </w:p>
    <w:p w14:paraId="7E65730E" w14:textId="77777777" w:rsidR="00B87381" w:rsidRPr="00E77DE0" w:rsidRDefault="002E54AD" w:rsidP="00E77DE0">
      <w:pPr>
        <w:pStyle w:val="Definition"/>
      </w:pPr>
      <w:r w:rsidRPr="00E77DE0">
        <w:rPr>
          <w:b/>
          <w:i/>
        </w:rPr>
        <w:t>Higher Education Standards Framework</w:t>
      </w:r>
      <w:r w:rsidRPr="00E77DE0">
        <w:t xml:space="preserve"> means</w:t>
      </w:r>
      <w:r w:rsidR="00B87381" w:rsidRPr="00E77DE0">
        <w:t>:</w:t>
      </w:r>
    </w:p>
    <w:p w14:paraId="14FBD427" w14:textId="77777777" w:rsidR="00B87381" w:rsidRPr="00E77DE0" w:rsidRDefault="00B87381" w:rsidP="00E77DE0">
      <w:pPr>
        <w:pStyle w:val="paragraph"/>
      </w:pPr>
      <w:r w:rsidRPr="00E77DE0">
        <w:tab/>
        <w:t>(a)</w:t>
      </w:r>
      <w:r w:rsidRPr="00E77DE0">
        <w:tab/>
      </w:r>
      <w:r w:rsidR="002E54AD" w:rsidRPr="00E77DE0">
        <w:t>the Threshold Standards</w:t>
      </w:r>
      <w:r w:rsidRPr="00E77DE0">
        <w:t>;</w:t>
      </w:r>
      <w:r w:rsidR="002E54AD" w:rsidRPr="00E77DE0">
        <w:t xml:space="preserve"> and</w:t>
      </w:r>
    </w:p>
    <w:p w14:paraId="1C069D95" w14:textId="77777777" w:rsidR="002E54AD" w:rsidRPr="00E77DE0" w:rsidRDefault="00B87381" w:rsidP="00E77DE0">
      <w:pPr>
        <w:pStyle w:val="paragraph"/>
      </w:pPr>
      <w:r w:rsidRPr="00E77DE0">
        <w:tab/>
        <w:t>(b)</w:t>
      </w:r>
      <w:r w:rsidRPr="00E77DE0">
        <w:tab/>
      </w:r>
      <w:r w:rsidR="002E54AD" w:rsidRPr="00E77DE0">
        <w:t>any other standa</w:t>
      </w:r>
      <w:r w:rsidR="009039BE" w:rsidRPr="00E77DE0">
        <w:t xml:space="preserve">rds made under </w:t>
      </w:r>
      <w:r w:rsidR="00052258" w:rsidRPr="00E77DE0">
        <w:t>paragraph</w:t>
      </w:r>
      <w:r w:rsidR="00E77DE0" w:rsidRPr="00E77DE0">
        <w:t> </w:t>
      </w:r>
      <w:r w:rsidR="00052258" w:rsidRPr="00E77DE0">
        <w:t>5</w:t>
      </w:r>
      <w:r w:rsidR="009039BE" w:rsidRPr="00E77DE0">
        <w:t>8(1)(b</w:t>
      </w:r>
      <w:r w:rsidR="002E54AD" w:rsidRPr="00E77DE0">
        <w:t>).</w:t>
      </w:r>
    </w:p>
    <w:p w14:paraId="44D8268F" w14:textId="77777777" w:rsidR="00883F5D" w:rsidRPr="00E77DE0" w:rsidRDefault="00E76AC0" w:rsidP="00E77DE0">
      <w:pPr>
        <w:pStyle w:val="ItemHead"/>
      </w:pPr>
      <w:r w:rsidRPr="00E77DE0">
        <w:t>3</w:t>
      </w:r>
      <w:r w:rsidR="00883F5D" w:rsidRPr="00E77DE0">
        <w:t xml:space="preserve">  </w:t>
      </w:r>
      <w:r w:rsidR="00E37B21" w:rsidRPr="00E77DE0">
        <w:t>Section</w:t>
      </w:r>
      <w:r w:rsidR="00E77DE0" w:rsidRPr="00E77DE0">
        <w:t> </w:t>
      </w:r>
      <w:r w:rsidR="00E37B21" w:rsidRPr="00E77DE0">
        <w:t>5</w:t>
      </w:r>
      <w:r w:rsidR="00883F5D" w:rsidRPr="00E77DE0">
        <w:t xml:space="preserve"> (definition of </w:t>
      </w:r>
      <w:r w:rsidR="00883F5D" w:rsidRPr="00E77DE0">
        <w:rPr>
          <w:i/>
        </w:rPr>
        <w:t>provider category</w:t>
      </w:r>
      <w:r w:rsidR="00883F5D" w:rsidRPr="00E77DE0">
        <w:t>)</w:t>
      </w:r>
    </w:p>
    <w:p w14:paraId="334C1617" w14:textId="77777777" w:rsidR="00883F5D" w:rsidRPr="00E77DE0" w:rsidRDefault="00883F5D" w:rsidP="00E77DE0">
      <w:pPr>
        <w:pStyle w:val="Item"/>
      </w:pPr>
      <w:r w:rsidRPr="00E77DE0">
        <w:t>Omit “Provider Category Standards”, substitute “Threshold Standards”.</w:t>
      </w:r>
    </w:p>
    <w:p w14:paraId="08F8378B" w14:textId="77777777" w:rsidR="001432D4" w:rsidRPr="00E77DE0" w:rsidRDefault="00E76AC0" w:rsidP="00E77DE0">
      <w:pPr>
        <w:pStyle w:val="ItemHead"/>
      </w:pPr>
      <w:r w:rsidRPr="00E77DE0">
        <w:lastRenderedPageBreak/>
        <w:t>4</w:t>
      </w:r>
      <w:r w:rsidR="002E54AD" w:rsidRPr="00E77DE0">
        <w:t xml:space="preserve">  </w:t>
      </w:r>
      <w:r w:rsidR="00E37B21" w:rsidRPr="00E77DE0">
        <w:t>Section</w:t>
      </w:r>
      <w:r w:rsidR="00E77DE0" w:rsidRPr="00E77DE0">
        <w:t> </w:t>
      </w:r>
      <w:r w:rsidR="00E37B21" w:rsidRPr="00E77DE0">
        <w:t>5</w:t>
      </w:r>
    </w:p>
    <w:p w14:paraId="3577720A" w14:textId="77777777" w:rsidR="002E54AD" w:rsidRPr="00E77DE0" w:rsidRDefault="002E54AD" w:rsidP="00E77DE0">
      <w:pPr>
        <w:pStyle w:val="Item"/>
      </w:pPr>
      <w:r w:rsidRPr="00E77DE0">
        <w:t xml:space="preserve">Repeal the </w:t>
      </w:r>
      <w:r w:rsidR="003E1065" w:rsidRPr="00E77DE0">
        <w:t xml:space="preserve">following </w:t>
      </w:r>
      <w:r w:rsidRPr="00E77DE0">
        <w:t>definition</w:t>
      </w:r>
      <w:r w:rsidR="003E1065" w:rsidRPr="00E77DE0">
        <w:t>s:</w:t>
      </w:r>
    </w:p>
    <w:p w14:paraId="425EB95B" w14:textId="77777777" w:rsidR="003E1065" w:rsidRPr="00E77DE0" w:rsidRDefault="003E1065" w:rsidP="00E77DE0">
      <w:pPr>
        <w:pStyle w:val="paragraph"/>
      </w:pPr>
      <w:r w:rsidRPr="00E77DE0">
        <w:tab/>
        <w:t>(a)</w:t>
      </w:r>
      <w:r w:rsidRPr="00E77DE0">
        <w:tab/>
        <w:t xml:space="preserve">definition of </w:t>
      </w:r>
      <w:r w:rsidRPr="00E77DE0">
        <w:rPr>
          <w:b/>
          <w:i/>
        </w:rPr>
        <w:t>Provider Category Standards</w:t>
      </w:r>
      <w:r w:rsidRPr="00E77DE0">
        <w:t>;</w:t>
      </w:r>
    </w:p>
    <w:p w14:paraId="46F9BC16" w14:textId="77777777" w:rsidR="003E1065" w:rsidRPr="00E77DE0" w:rsidRDefault="003E1065" w:rsidP="00E77DE0">
      <w:pPr>
        <w:pStyle w:val="paragraph"/>
      </w:pPr>
      <w:r w:rsidRPr="00E77DE0">
        <w:tab/>
        <w:t>(b)</w:t>
      </w:r>
      <w:r w:rsidRPr="00E77DE0">
        <w:tab/>
        <w:t xml:space="preserve">definition of </w:t>
      </w:r>
      <w:r w:rsidRPr="00E77DE0">
        <w:rPr>
          <w:b/>
          <w:i/>
        </w:rPr>
        <w:t>Provider Course Accreditation Standards</w:t>
      </w:r>
      <w:r w:rsidRPr="00E77DE0">
        <w:t>;</w:t>
      </w:r>
    </w:p>
    <w:p w14:paraId="75B184A3" w14:textId="77777777" w:rsidR="003E1065" w:rsidRPr="00E77DE0" w:rsidRDefault="003E1065" w:rsidP="00E77DE0">
      <w:pPr>
        <w:pStyle w:val="paragraph"/>
      </w:pPr>
      <w:r w:rsidRPr="00E77DE0">
        <w:tab/>
        <w:t>(c)</w:t>
      </w:r>
      <w:r w:rsidRPr="00E77DE0">
        <w:tab/>
        <w:t xml:space="preserve">definition of </w:t>
      </w:r>
      <w:r w:rsidRPr="00E77DE0">
        <w:rPr>
          <w:b/>
          <w:i/>
        </w:rPr>
        <w:t>Provider Registration Standards</w:t>
      </w:r>
      <w:r w:rsidRPr="00E77DE0">
        <w:t>.</w:t>
      </w:r>
    </w:p>
    <w:p w14:paraId="363A4997" w14:textId="77777777" w:rsidR="002E54AD" w:rsidRPr="00E77DE0" w:rsidRDefault="00E76AC0" w:rsidP="00E77DE0">
      <w:pPr>
        <w:pStyle w:val="ItemHead"/>
      </w:pPr>
      <w:r w:rsidRPr="00E77DE0">
        <w:t>5</w:t>
      </w:r>
      <w:r w:rsidR="002E54AD" w:rsidRPr="00E77DE0">
        <w:t xml:space="preserve">  </w:t>
      </w:r>
      <w:r w:rsidR="00E37B21" w:rsidRPr="00E77DE0">
        <w:t>Section</w:t>
      </w:r>
      <w:r w:rsidR="00E77DE0" w:rsidRPr="00E77DE0">
        <w:t> </w:t>
      </w:r>
      <w:r w:rsidR="00E37B21" w:rsidRPr="00E77DE0">
        <w:t>5</w:t>
      </w:r>
      <w:r w:rsidR="002E54AD" w:rsidRPr="00E77DE0">
        <w:t xml:space="preserve"> (definition of </w:t>
      </w:r>
      <w:r w:rsidR="002E54AD" w:rsidRPr="00E77DE0">
        <w:rPr>
          <w:i/>
        </w:rPr>
        <w:t>Threshold Standards</w:t>
      </w:r>
      <w:r w:rsidR="002E54AD" w:rsidRPr="00E77DE0">
        <w:t>)</w:t>
      </w:r>
    </w:p>
    <w:p w14:paraId="752600BE" w14:textId="77777777" w:rsidR="002E54AD" w:rsidRPr="00E77DE0" w:rsidRDefault="003E1065" w:rsidP="00E77DE0">
      <w:pPr>
        <w:pStyle w:val="Item"/>
      </w:pPr>
      <w:r w:rsidRPr="00E77DE0">
        <w:t>Repeal the definition, substitute</w:t>
      </w:r>
      <w:r w:rsidR="002E54AD" w:rsidRPr="00E77DE0">
        <w:t>:</w:t>
      </w:r>
    </w:p>
    <w:p w14:paraId="4DF75F86" w14:textId="77777777" w:rsidR="002E54AD" w:rsidRPr="00E77DE0" w:rsidRDefault="002E54AD" w:rsidP="00E77DE0">
      <w:pPr>
        <w:pStyle w:val="Definition"/>
      </w:pPr>
      <w:r w:rsidRPr="00E77DE0">
        <w:rPr>
          <w:b/>
          <w:i/>
        </w:rPr>
        <w:t>Threshold Standards</w:t>
      </w:r>
      <w:r w:rsidRPr="00E77DE0">
        <w:t xml:space="preserve"> means the Threshold Standards made under </w:t>
      </w:r>
      <w:r w:rsidR="00052258" w:rsidRPr="00E77DE0">
        <w:t>paragraph</w:t>
      </w:r>
      <w:r w:rsidR="00E77DE0" w:rsidRPr="00E77DE0">
        <w:t> </w:t>
      </w:r>
      <w:r w:rsidR="00052258" w:rsidRPr="00E77DE0">
        <w:t>5</w:t>
      </w:r>
      <w:r w:rsidRPr="00E77DE0">
        <w:t>8(1)(a).</w:t>
      </w:r>
    </w:p>
    <w:p w14:paraId="2618841A" w14:textId="77777777" w:rsidR="0038435A" w:rsidRPr="00E77DE0" w:rsidRDefault="00E76AC0" w:rsidP="00E77DE0">
      <w:pPr>
        <w:pStyle w:val="ItemHead"/>
      </w:pPr>
      <w:r w:rsidRPr="00E77DE0">
        <w:t>6</w:t>
      </w:r>
      <w:r w:rsidR="0038435A" w:rsidRPr="00E77DE0">
        <w:t xml:space="preserve">  Paragraphs 19(2)(b)</w:t>
      </w:r>
      <w:r w:rsidR="00355A38" w:rsidRPr="00E77DE0">
        <w:t xml:space="preserve"> and</w:t>
      </w:r>
      <w:r w:rsidR="0038435A" w:rsidRPr="00E77DE0">
        <w:t xml:space="preserve"> 20(2)(b)</w:t>
      </w:r>
    </w:p>
    <w:p w14:paraId="1590ACEB" w14:textId="77777777" w:rsidR="0038435A" w:rsidRPr="00E77DE0" w:rsidRDefault="0038435A" w:rsidP="00E77DE0">
      <w:pPr>
        <w:pStyle w:val="Item"/>
      </w:pPr>
      <w:r w:rsidRPr="00E77DE0">
        <w:t>Omit “</w:t>
      </w:r>
      <w:r w:rsidR="00A460E2" w:rsidRPr="00E77DE0">
        <w:t xml:space="preserve">permits the use of the word </w:t>
      </w:r>
      <w:bookmarkStart w:id="10" w:name="BK_S3P5L11C35"/>
      <w:bookmarkEnd w:id="10"/>
      <w:r w:rsidR="00A460E2" w:rsidRPr="00E77DE0">
        <w:t>‘university’</w:t>
      </w:r>
      <w:r w:rsidR="00D95B6C" w:rsidRPr="00E77DE0">
        <w:t>:</w:t>
      </w:r>
      <w:r w:rsidRPr="00E77DE0">
        <w:t xml:space="preserve">”, substitute “is either the </w:t>
      </w:r>
      <w:bookmarkStart w:id="11" w:name="BK_S3P5L12C1"/>
      <w:bookmarkEnd w:id="11"/>
      <w:r w:rsidR="00A460E2" w:rsidRPr="00E77DE0">
        <w:t>‘</w:t>
      </w:r>
      <w:r w:rsidRPr="00E77DE0">
        <w:t>Australian University</w:t>
      </w:r>
      <w:r w:rsidR="00A460E2" w:rsidRPr="00E77DE0">
        <w:t>’</w:t>
      </w:r>
      <w:r w:rsidRPr="00E77DE0">
        <w:t xml:space="preserve"> or </w:t>
      </w:r>
      <w:bookmarkStart w:id="12" w:name="BK_S3P5L12C28"/>
      <w:bookmarkEnd w:id="12"/>
      <w:r w:rsidR="00A460E2" w:rsidRPr="00E77DE0">
        <w:t>‘</w:t>
      </w:r>
      <w:r w:rsidRPr="00E77DE0">
        <w:t>Overseas University</w:t>
      </w:r>
      <w:r w:rsidR="00A460E2" w:rsidRPr="00E77DE0">
        <w:t>’</w:t>
      </w:r>
      <w:r w:rsidRPr="00E77DE0">
        <w:t xml:space="preserve"> provider category</w:t>
      </w:r>
      <w:r w:rsidR="00D95B6C" w:rsidRPr="00E77DE0">
        <w:t>:</w:t>
      </w:r>
      <w:r w:rsidRPr="00E77DE0">
        <w:t>”.</w:t>
      </w:r>
    </w:p>
    <w:p w14:paraId="6A46742F" w14:textId="77777777" w:rsidR="00A4776D" w:rsidRPr="00E77DE0" w:rsidRDefault="00E76AC0" w:rsidP="00E77DE0">
      <w:pPr>
        <w:pStyle w:val="ItemHead"/>
      </w:pPr>
      <w:r w:rsidRPr="00E77DE0">
        <w:t>7</w:t>
      </w:r>
      <w:r w:rsidR="00A4776D" w:rsidRPr="00E77DE0">
        <w:t xml:space="preserve">  </w:t>
      </w:r>
      <w:r w:rsidR="002A60F3" w:rsidRPr="00E77DE0">
        <w:t>Paragraph</w:t>
      </w:r>
      <w:r w:rsidR="00E77DE0" w:rsidRPr="00E77DE0">
        <w:t xml:space="preserve"> </w:t>
      </w:r>
      <w:r w:rsidR="002A60F3" w:rsidRPr="00E77DE0">
        <w:t>3</w:t>
      </w:r>
      <w:r w:rsidR="00A4776D" w:rsidRPr="00E77DE0">
        <w:t>3(1)(a)</w:t>
      </w:r>
    </w:p>
    <w:p w14:paraId="2BE40D7C" w14:textId="77777777" w:rsidR="00A4776D" w:rsidRPr="00E77DE0" w:rsidRDefault="00A4776D" w:rsidP="00E77DE0">
      <w:pPr>
        <w:pStyle w:val="Item"/>
      </w:pPr>
      <w:r w:rsidRPr="00E77DE0">
        <w:t>Omit “a provider category th</w:t>
      </w:r>
      <w:r w:rsidR="00D91BBA" w:rsidRPr="00E77DE0">
        <w:t xml:space="preserve">at permits the use of the word </w:t>
      </w:r>
      <w:bookmarkStart w:id="13" w:name="BK_S3P5L15C1"/>
      <w:bookmarkEnd w:id="13"/>
      <w:r w:rsidR="00D91BBA" w:rsidRPr="00E77DE0">
        <w:t>‘university’</w:t>
      </w:r>
      <w:r w:rsidR="00387D64" w:rsidRPr="00E77DE0">
        <w:t>;</w:t>
      </w:r>
      <w:r w:rsidRPr="00E77DE0">
        <w:t xml:space="preserve">”, substitute “either the </w:t>
      </w:r>
      <w:bookmarkStart w:id="14" w:name="BK_S3P5L15C40"/>
      <w:bookmarkEnd w:id="14"/>
      <w:r w:rsidR="00D91BBA" w:rsidRPr="00E77DE0">
        <w:t>‘</w:t>
      </w:r>
      <w:r w:rsidRPr="00E77DE0">
        <w:t>Australian University</w:t>
      </w:r>
      <w:r w:rsidR="00D91BBA" w:rsidRPr="00E77DE0">
        <w:t>’</w:t>
      </w:r>
      <w:r w:rsidRPr="00E77DE0">
        <w:t xml:space="preserve"> or </w:t>
      </w:r>
      <w:bookmarkStart w:id="15" w:name="BK_S3P5L16C67"/>
      <w:bookmarkEnd w:id="15"/>
      <w:r w:rsidR="00872D66" w:rsidRPr="00E77DE0">
        <w:t>‘</w:t>
      </w:r>
      <w:r w:rsidRPr="00E77DE0">
        <w:t>Overseas University</w:t>
      </w:r>
      <w:r w:rsidR="00872D66" w:rsidRPr="00E77DE0">
        <w:t>’</w:t>
      </w:r>
      <w:r w:rsidRPr="00E77DE0">
        <w:t xml:space="preserve"> provider category</w:t>
      </w:r>
      <w:r w:rsidR="00387D64" w:rsidRPr="00E77DE0">
        <w:t>;</w:t>
      </w:r>
      <w:r w:rsidRPr="00E77DE0">
        <w:t>”.</w:t>
      </w:r>
    </w:p>
    <w:p w14:paraId="66E622CA" w14:textId="77777777" w:rsidR="00BF1848" w:rsidRPr="00E77DE0" w:rsidRDefault="00E76AC0" w:rsidP="00E77DE0">
      <w:pPr>
        <w:pStyle w:val="ItemHead"/>
      </w:pPr>
      <w:r w:rsidRPr="00E77DE0">
        <w:t>8</w:t>
      </w:r>
      <w:r w:rsidR="00BF1848" w:rsidRPr="00E77DE0">
        <w:t xml:space="preserve">  </w:t>
      </w:r>
      <w:r w:rsidR="002A60F3" w:rsidRPr="00E77DE0">
        <w:t>Paragraph</w:t>
      </w:r>
      <w:r w:rsidR="00E77DE0" w:rsidRPr="00E77DE0">
        <w:t xml:space="preserve"> </w:t>
      </w:r>
      <w:r w:rsidR="002A60F3" w:rsidRPr="00E77DE0">
        <w:t>3</w:t>
      </w:r>
      <w:r w:rsidR="00BF1848" w:rsidRPr="00E77DE0">
        <w:t>6(6)(b)</w:t>
      </w:r>
    </w:p>
    <w:p w14:paraId="25D189EF" w14:textId="77777777" w:rsidR="00BF1848" w:rsidRPr="00E77DE0" w:rsidRDefault="00BF1848" w:rsidP="00E77DE0">
      <w:pPr>
        <w:pStyle w:val="Item"/>
      </w:pPr>
      <w:r w:rsidRPr="00E77DE0">
        <w:t xml:space="preserve">Omit “a provider category that permits the use of the word </w:t>
      </w:r>
      <w:bookmarkStart w:id="16" w:name="BK_S3P5L19C1"/>
      <w:bookmarkEnd w:id="16"/>
      <w:r w:rsidRPr="00E77DE0">
        <w:t>‘university’</w:t>
      </w:r>
      <w:r w:rsidR="00387D64" w:rsidRPr="00E77DE0">
        <w:t>—</w:t>
      </w:r>
      <w:r w:rsidRPr="00E77DE0">
        <w:t xml:space="preserve">”, substitute “either the </w:t>
      </w:r>
      <w:bookmarkStart w:id="17" w:name="BK_S3P5L19C40"/>
      <w:bookmarkEnd w:id="17"/>
      <w:r w:rsidRPr="00E77DE0">
        <w:t xml:space="preserve">‘Australian University’ or </w:t>
      </w:r>
      <w:bookmarkStart w:id="18" w:name="BK_S3P5L20C1"/>
      <w:bookmarkEnd w:id="18"/>
      <w:r w:rsidR="00872D66" w:rsidRPr="00E77DE0">
        <w:t>‘</w:t>
      </w:r>
      <w:r w:rsidRPr="00E77DE0">
        <w:t>Overseas University</w:t>
      </w:r>
      <w:r w:rsidR="00872D66" w:rsidRPr="00E77DE0">
        <w:t>’</w:t>
      </w:r>
      <w:r w:rsidRPr="00E77DE0">
        <w:t xml:space="preserve"> provider category</w:t>
      </w:r>
      <w:r w:rsidR="00387D64" w:rsidRPr="00E77DE0">
        <w:t>—</w:t>
      </w:r>
      <w:r w:rsidRPr="00E77DE0">
        <w:t>”.</w:t>
      </w:r>
    </w:p>
    <w:p w14:paraId="72A55489" w14:textId="77777777" w:rsidR="00355A38" w:rsidRPr="00E77DE0" w:rsidRDefault="00E76AC0" w:rsidP="00E77DE0">
      <w:pPr>
        <w:pStyle w:val="ItemHead"/>
      </w:pPr>
      <w:r w:rsidRPr="00E77DE0">
        <w:t>9</w:t>
      </w:r>
      <w:r w:rsidR="00355A38" w:rsidRPr="00E77DE0">
        <w:t xml:space="preserve">  </w:t>
      </w:r>
      <w:r w:rsidR="002A60F3" w:rsidRPr="00E77DE0">
        <w:t>Paragraph</w:t>
      </w:r>
      <w:r w:rsidR="00E77DE0" w:rsidRPr="00E77DE0">
        <w:t xml:space="preserve"> </w:t>
      </w:r>
      <w:r w:rsidR="002A60F3" w:rsidRPr="00E77DE0">
        <w:t>3</w:t>
      </w:r>
      <w:r w:rsidR="00355A38" w:rsidRPr="00E77DE0">
        <w:t>9(1)(b)</w:t>
      </w:r>
    </w:p>
    <w:p w14:paraId="4BA90D3F" w14:textId="77777777" w:rsidR="00355A38" w:rsidRPr="00E77DE0" w:rsidRDefault="00355A38" w:rsidP="00E77DE0">
      <w:pPr>
        <w:pStyle w:val="Item"/>
      </w:pPr>
      <w:r w:rsidRPr="00E77DE0">
        <w:t>Omi</w:t>
      </w:r>
      <w:r w:rsidR="00D91BBA" w:rsidRPr="00E77DE0">
        <w:t xml:space="preserve">t “permits the use of the word </w:t>
      </w:r>
      <w:bookmarkStart w:id="19" w:name="BK_S3P5L22C35"/>
      <w:bookmarkEnd w:id="19"/>
      <w:r w:rsidR="00D91BBA" w:rsidRPr="00E77DE0">
        <w:t>‘university’</w:t>
      </w:r>
      <w:r w:rsidR="00333439" w:rsidRPr="00E77DE0">
        <w:t>.</w:t>
      </w:r>
      <w:r w:rsidRPr="00E77DE0">
        <w:t>”, substitute “</w:t>
      </w:r>
      <w:r w:rsidR="0079710E" w:rsidRPr="00E77DE0">
        <w:t xml:space="preserve">is </w:t>
      </w:r>
      <w:r w:rsidRPr="00E77DE0">
        <w:t xml:space="preserve">either the </w:t>
      </w:r>
      <w:bookmarkStart w:id="20" w:name="BK_S3P5L23C1"/>
      <w:bookmarkEnd w:id="20"/>
      <w:r w:rsidR="00D91BBA" w:rsidRPr="00E77DE0">
        <w:t>‘</w:t>
      </w:r>
      <w:r w:rsidRPr="00E77DE0">
        <w:t>Australian University</w:t>
      </w:r>
      <w:r w:rsidR="00D91BBA" w:rsidRPr="00E77DE0">
        <w:t>’</w:t>
      </w:r>
      <w:r w:rsidRPr="00E77DE0">
        <w:t xml:space="preserve"> or </w:t>
      </w:r>
      <w:bookmarkStart w:id="21" w:name="BK_S3P5L23C28"/>
      <w:bookmarkEnd w:id="21"/>
      <w:r w:rsidR="00D91BBA" w:rsidRPr="00E77DE0">
        <w:t>‘</w:t>
      </w:r>
      <w:r w:rsidRPr="00E77DE0">
        <w:t>Overseas University</w:t>
      </w:r>
      <w:r w:rsidR="00D91BBA" w:rsidRPr="00E77DE0">
        <w:t>’</w:t>
      </w:r>
      <w:r w:rsidRPr="00E77DE0">
        <w:t xml:space="preserve"> provider category</w:t>
      </w:r>
      <w:r w:rsidR="00333439" w:rsidRPr="00E77DE0">
        <w:t>.</w:t>
      </w:r>
      <w:r w:rsidRPr="00E77DE0">
        <w:t>”.</w:t>
      </w:r>
    </w:p>
    <w:p w14:paraId="2F6DFEEF" w14:textId="77777777" w:rsidR="008215B3" w:rsidRPr="00E77DE0" w:rsidRDefault="00E76AC0" w:rsidP="00E77DE0">
      <w:pPr>
        <w:pStyle w:val="ItemHead"/>
      </w:pPr>
      <w:r w:rsidRPr="00E77DE0">
        <w:t>10</w:t>
      </w:r>
      <w:r w:rsidR="008215B3" w:rsidRPr="00E77DE0">
        <w:t xml:space="preserve">  </w:t>
      </w:r>
      <w:r w:rsidR="002A60F3" w:rsidRPr="00E77DE0">
        <w:t>Paragraph</w:t>
      </w:r>
      <w:r w:rsidR="00E77DE0" w:rsidRPr="00E77DE0">
        <w:t xml:space="preserve"> </w:t>
      </w:r>
      <w:r w:rsidR="002A60F3" w:rsidRPr="00E77DE0">
        <w:t>4</w:t>
      </w:r>
      <w:r w:rsidR="008215B3" w:rsidRPr="00E77DE0">
        <w:t>5(1)(a)</w:t>
      </w:r>
    </w:p>
    <w:p w14:paraId="29D9D085" w14:textId="77777777" w:rsidR="008215B3" w:rsidRPr="00E77DE0" w:rsidRDefault="008215B3" w:rsidP="00E77DE0">
      <w:pPr>
        <w:pStyle w:val="Item"/>
      </w:pPr>
      <w:r w:rsidRPr="00E77DE0">
        <w:t>Omit “</w:t>
      </w:r>
      <w:r w:rsidR="004278D1" w:rsidRPr="00E77DE0">
        <w:t>the Australian university provider category</w:t>
      </w:r>
      <w:r w:rsidRPr="00E77DE0">
        <w:t xml:space="preserve">”, substitute “the </w:t>
      </w:r>
      <w:bookmarkStart w:id="22" w:name="BK_S3P5L26C1"/>
      <w:bookmarkEnd w:id="22"/>
      <w:r w:rsidRPr="00E77DE0">
        <w:t>‘Australian University’</w:t>
      </w:r>
      <w:r w:rsidR="004278D1" w:rsidRPr="00E77DE0">
        <w:t xml:space="preserve"> provider category</w:t>
      </w:r>
      <w:r w:rsidRPr="00E77DE0">
        <w:t>”.</w:t>
      </w:r>
    </w:p>
    <w:p w14:paraId="242152EA" w14:textId="77777777" w:rsidR="00F91EAE" w:rsidRPr="00E77DE0" w:rsidRDefault="00E76AC0" w:rsidP="00E77DE0">
      <w:pPr>
        <w:pStyle w:val="ItemHead"/>
      </w:pPr>
      <w:r w:rsidRPr="00E77DE0">
        <w:t>11</w:t>
      </w:r>
      <w:r w:rsidR="00F91EAE" w:rsidRPr="00E77DE0">
        <w:t xml:space="preserve">  </w:t>
      </w:r>
      <w:r w:rsidR="006454C1" w:rsidRPr="00E77DE0">
        <w:t xml:space="preserve">After </w:t>
      </w:r>
      <w:r w:rsidR="00052258" w:rsidRPr="00E77DE0">
        <w:t>subsection</w:t>
      </w:r>
      <w:r w:rsidR="00E77DE0" w:rsidRPr="00E77DE0">
        <w:t> </w:t>
      </w:r>
      <w:r w:rsidR="00052258" w:rsidRPr="00E77DE0">
        <w:t>4</w:t>
      </w:r>
      <w:r w:rsidR="00333439" w:rsidRPr="00E77DE0">
        <w:t>5(2</w:t>
      </w:r>
      <w:r w:rsidR="006454C1" w:rsidRPr="00E77DE0">
        <w:t>)</w:t>
      </w:r>
    </w:p>
    <w:p w14:paraId="2D769142" w14:textId="77777777" w:rsidR="006454C1" w:rsidRPr="00E77DE0" w:rsidRDefault="006454C1" w:rsidP="00E77DE0">
      <w:pPr>
        <w:pStyle w:val="Item"/>
      </w:pPr>
      <w:r w:rsidRPr="00E77DE0">
        <w:t>Insert:</w:t>
      </w:r>
    </w:p>
    <w:p w14:paraId="38AF57EF" w14:textId="77777777" w:rsidR="00FD22D4" w:rsidRPr="00E77DE0" w:rsidRDefault="00333439" w:rsidP="00E77DE0">
      <w:pPr>
        <w:pStyle w:val="subsection"/>
      </w:pPr>
      <w:r w:rsidRPr="00E77DE0">
        <w:lastRenderedPageBreak/>
        <w:tab/>
        <w:t>(2</w:t>
      </w:r>
      <w:r w:rsidR="00FD22D4" w:rsidRPr="00E77DE0">
        <w:t>A)</w:t>
      </w:r>
      <w:r w:rsidR="00FD22D4" w:rsidRPr="00E77DE0">
        <w:tab/>
      </w:r>
      <w:r w:rsidR="00E77DE0" w:rsidRPr="00E77DE0">
        <w:t>Subsection (</w:t>
      </w:r>
      <w:r w:rsidR="00FD22D4" w:rsidRPr="00E77DE0">
        <w:t xml:space="preserve">1) does not apply to a </w:t>
      </w:r>
      <w:r w:rsidR="00A970D9" w:rsidRPr="00E77DE0">
        <w:t xml:space="preserve">registered higher education </w:t>
      </w:r>
      <w:r w:rsidR="00FD22D4" w:rsidRPr="00E77DE0">
        <w:t>provider in the “Australian University” provider category if that provider has a specialised focus in accordance with the Threshold Standards.</w:t>
      </w:r>
    </w:p>
    <w:p w14:paraId="39CD4630" w14:textId="77777777" w:rsidR="009E7283" w:rsidRPr="00E77DE0" w:rsidRDefault="00E76AC0" w:rsidP="00E77DE0">
      <w:pPr>
        <w:pStyle w:val="ItemHead"/>
      </w:pPr>
      <w:r w:rsidRPr="00E77DE0">
        <w:t>12</w:t>
      </w:r>
      <w:r w:rsidR="00827063" w:rsidRPr="00E77DE0">
        <w:t xml:space="preserve">  </w:t>
      </w:r>
      <w:r w:rsidR="002A60F3" w:rsidRPr="00E77DE0">
        <w:t>Paragraph</w:t>
      </w:r>
      <w:r w:rsidR="00E77DE0" w:rsidRPr="00E77DE0">
        <w:t xml:space="preserve"> </w:t>
      </w:r>
      <w:r w:rsidR="002A60F3" w:rsidRPr="00E77DE0">
        <w:t>4</w:t>
      </w:r>
      <w:r w:rsidR="004B5B42" w:rsidRPr="00E77DE0">
        <w:t>9(1)(b)</w:t>
      </w:r>
    </w:p>
    <w:p w14:paraId="130A7B87" w14:textId="77777777" w:rsidR="004B5B42" w:rsidRPr="00E77DE0" w:rsidRDefault="004B5B42" w:rsidP="00E77DE0">
      <w:pPr>
        <w:pStyle w:val="Item"/>
      </w:pPr>
      <w:r w:rsidRPr="00E77DE0">
        <w:t>Omit “Provider Course Accreditation Standards”, substitute “Threshold Standards”.</w:t>
      </w:r>
    </w:p>
    <w:p w14:paraId="1431A697" w14:textId="77777777" w:rsidR="004B5B42" w:rsidRPr="00E77DE0" w:rsidRDefault="00E76AC0" w:rsidP="00E77DE0">
      <w:pPr>
        <w:pStyle w:val="ItemHead"/>
      </w:pPr>
      <w:r w:rsidRPr="00E77DE0">
        <w:t>13</w:t>
      </w:r>
      <w:r w:rsidR="004B5B42" w:rsidRPr="00E77DE0">
        <w:t xml:space="preserve">  </w:t>
      </w:r>
      <w:r w:rsidR="00052258" w:rsidRPr="00E77DE0">
        <w:t>Sub</w:t>
      </w:r>
      <w:r w:rsidR="00E37B21" w:rsidRPr="00E77DE0">
        <w:t>section</w:t>
      </w:r>
      <w:r w:rsidR="00E77DE0" w:rsidRPr="00E77DE0">
        <w:t> </w:t>
      </w:r>
      <w:r w:rsidR="00E37B21" w:rsidRPr="00E77DE0">
        <w:t>5</w:t>
      </w:r>
      <w:r w:rsidR="004B5B42" w:rsidRPr="00E77DE0">
        <w:t>6(1)</w:t>
      </w:r>
    </w:p>
    <w:p w14:paraId="4FD09957" w14:textId="77777777" w:rsidR="004B5B42" w:rsidRPr="00E77DE0" w:rsidRDefault="004B5B42" w:rsidP="00E77DE0">
      <w:pPr>
        <w:pStyle w:val="Item"/>
      </w:pPr>
      <w:r w:rsidRPr="00E77DE0">
        <w:t>Omit “Provider Course Accreditation Standards”, substitute “Threshold Standards”.</w:t>
      </w:r>
    </w:p>
    <w:p w14:paraId="10977813" w14:textId="77777777" w:rsidR="004B5B42" w:rsidRPr="00E77DE0" w:rsidRDefault="00E76AC0" w:rsidP="00E77DE0">
      <w:pPr>
        <w:pStyle w:val="ItemHead"/>
      </w:pPr>
      <w:r w:rsidRPr="00E77DE0">
        <w:t>14</w:t>
      </w:r>
      <w:r w:rsidR="002C6A66" w:rsidRPr="00E77DE0">
        <w:t xml:space="preserve">  </w:t>
      </w:r>
      <w:r w:rsidR="00052258" w:rsidRPr="00E77DE0">
        <w:t>Sub</w:t>
      </w:r>
      <w:r w:rsidR="00E37B21" w:rsidRPr="00E77DE0">
        <w:t>section</w:t>
      </w:r>
      <w:r w:rsidR="00E77DE0" w:rsidRPr="00E77DE0">
        <w:t> </w:t>
      </w:r>
      <w:r w:rsidR="00E37B21" w:rsidRPr="00E77DE0">
        <w:t>5</w:t>
      </w:r>
      <w:r w:rsidR="002C6A66" w:rsidRPr="00E77DE0">
        <w:t>8(1)</w:t>
      </w:r>
    </w:p>
    <w:p w14:paraId="1DE61FBC" w14:textId="77777777" w:rsidR="002C6A66" w:rsidRPr="00E77DE0" w:rsidRDefault="002C6A66" w:rsidP="00E77DE0">
      <w:pPr>
        <w:pStyle w:val="Item"/>
      </w:pPr>
      <w:r w:rsidRPr="00E77DE0">
        <w:t>Repeal the subsection, substitute:</w:t>
      </w:r>
    </w:p>
    <w:p w14:paraId="205C36EE" w14:textId="77777777" w:rsidR="002C6A66" w:rsidRPr="00E77DE0" w:rsidRDefault="002C6A66" w:rsidP="00E77DE0">
      <w:pPr>
        <w:pStyle w:val="SubsectionHead"/>
      </w:pPr>
      <w:r w:rsidRPr="00E77DE0">
        <w:t xml:space="preserve">Making the </w:t>
      </w:r>
      <w:r w:rsidR="00333439" w:rsidRPr="00E77DE0">
        <w:t>s</w:t>
      </w:r>
      <w:r w:rsidRPr="00E77DE0">
        <w:t>tandards</w:t>
      </w:r>
    </w:p>
    <w:p w14:paraId="0CB414D1" w14:textId="77777777" w:rsidR="00827063" w:rsidRPr="00E77DE0" w:rsidRDefault="002C6A66" w:rsidP="00E77DE0">
      <w:pPr>
        <w:pStyle w:val="subsection"/>
      </w:pPr>
      <w:r w:rsidRPr="00E77DE0">
        <w:tab/>
        <w:t>(1)</w:t>
      </w:r>
      <w:r w:rsidRPr="00E77DE0">
        <w:tab/>
        <w:t>The Minister may, by legislative instrument, make the following standards that make up the Higher Education Standards Framework:</w:t>
      </w:r>
    </w:p>
    <w:p w14:paraId="738F4CEC" w14:textId="77777777" w:rsidR="002C6A66" w:rsidRPr="00E77DE0" w:rsidRDefault="002C6A66" w:rsidP="00E77DE0">
      <w:pPr>
        <w:pStyle w:val="paragraph"/>
      </w:pPr>
      <w:r w:rsidRPr="00E77DE0">
        <w:tab/>
        <w:t>(a)</w:t>
      </w:r>
      <w:r w:rsidRPr="00E77DE0">
        <w:tab/>
        <w:t>the Threshold Standards;</w:t>
      </w:r>
    </w:p>
    <w:p w14:paraId="5B86E003" w14:textId="77777777" w:rsidR="002C6A66" w:rsidRPr="00E77DE0" w:rsidRDefault="002C6A66" w:rsidP="00E77DE0">
      <w:pPr>
        <w:pStyle w:val="paragraph"/>
      </w:pPr>
      <w:r w:rsidRPr="00E77DE0">
        <w:tab/>
        <w:t>(b)</w:t>
      </w:r>
      <w:r w:rsidRPr="00E77DE0">
        <w:tab/>
        <w:t>other standards against which the quality of higher education can be assessed.</w:t>
      </w:r>
    </w:p>
    <w:p w14:paraId="604CAAAE" w14:textId="77777777" w:rsidR="002C6A66" w:rsidRPr="00E77DE0" w:rsidRDefault="002C6A66" w:rsidP="00E77DE0">
      <w:pPr>
        <w:pStyle w:val="notetext"/>
      </w:pPr>
      <w:r w:rsidRPr="00E77DE0">
        <w:t>Note:</w:t>
      </w:r>
      <w:r w:rsidRPr="00E77DE0">
        <w:tab/>
        <w:t xml:space="preserve">For varying or revoking a standard, see </w:t>
      </w:r>
      <w:r w:rsidR="00052258" w:rsidRPr="00E77DE0">
        <w:t>sub</w:t>
      </w:r>
      <w:r w:rsidR="00E37B21" w:rsidRPr="00E77DE0">
        <w:t>section</w:t>
      </w:r>
      <w:r w:rsidR="00E77DE0" w:rsidRPr="00E77DE0">
        <w:t> </w:t>
      </w:r>
      <w:r w:rsidR="00E37B21" w:rsidRPr="00E77DE0">
        <w:t>3</w:t>
      </w:r>
      <w:r w:rsidRPr="00E77DE0">
        <w:t xml:space="preserve">3(3) of the </w:t>
      </w:r>
      <w:r w:rsidRPr="00E77DE0">
        <w:rPr>
          <w:i/>
        </w:rPr>
        <w:t>Acts Interpretation Act 1901</w:t>
      </w:r>
      <w:r w:rsidRPr="00E77DE0">
        <w:t>.</w:t>
      </w:r>
    </w:p>
    <w:p w14:paraId="783CBC02" w14:textId="77777777" w:rsidR="00C24FAD" w:rsidRPr="00E77DE0" w:rsidRDefault="00E76AC0" w:rsidP="00E77DE0">
      <w:pPr>
        <w:pStyle w:val="ItemHead"/>
      </w:pPr>
      <w:r w:rsidRPr="00E77DE0">
        <w:t>15</w:t>
      </w:r>
      <w:r w:rsidR="00C24FAD" w:rsidRPr="00E77DE0">
        <w:t xml:space="preserve">  After section</w:t>
      </w:r>
      <w:r w:rsidR="00E77DE0" w:rsidRPr="00E77DE0">
        <w:t> </w:t>
      </w:r>
      <w:r w:rsidR="00C24FAD" w:rsidRPr="00E77DE0">
        <w:t>59</w:t>
      </w:r>
    </w:p>
    <w:p w14:paraId="4D05A105" w14:textId="77777777" w:rsidR="00C24FAD" w:rsidRPr="00E77DE0" w:rsidRDefault="00C24FAD" w:rsidP="00E77DE0">
      <w:pPr>
        <w:pStyle w:val="Item"/>
      </w:pPr>
      <w:r w:rsidRPr="00E77DE0">
        <w:t>Insert:</w:t>
      </w:r>
    </w:p>
    <w:p w14:paraId="6BFF263D" w14:textId="77777777" w:rsidR="00C24FAD" w:rsidRPr="00E77DE0" w:rsidRDefault="00C24FAD" w:rsidP="00E77DE0">
      <w:pPr>
        <w:pStyle w:val="ActHead5"/>
      </w:pPr>
      <w:bookmarkStart w:id="23" w:name="_Toc65761541"/>
      <w:r w:rsidRPr="003D1661">
        <w:rPr>
          <w:rStyle w:val="CharSectno"/>
        </w:rPr>
        <w:t>59A</w:t>
      </w:r>
      <w:r w:rsidRPr="00E77DE0">
        <w:t xml:space="preserve">  Quality of research</w:t>
      </w:r>
      <w:bookmarkEnd w:id="23"/>
    </w:p>
    <w:p w14:paraId="366AE1CE" w14:textId="77777777" w:rsidR="00C24FAD" w:rsidRPr="00E77DE0" w:rsidRDefault="00C24FAD" w:rsidP="00E77DE0">
      <w:pPr>
        <w:pStyle w:val="subsection"/>
      </w:pPr>
      <w:r w:rsidRPr="00E77DE0">
        <w:tab/>
        <w:t>(1)</w:t>
      </w:r>
      <w:r w:rsidRPr="00E77DE0">
        <w:tab/>
        <w:t xml:space="preserve">If </w:t>
      </w:r>
      <w:proofErr w:type="spellStart"/>
      <w:r w:rsidRPr="00E77DE0">
        <w:t>TEQSA</w:t>
      </w:r>
      <w:proofErr w:type="spellEnd"/>
      <w:r w:rsidRPr="00E77DE0">
        <w:t xml:space="preserve"> is considering the Threshold Standards, to the extent they relate to research, in relation to:</w:t>
      </w:r>
    </w:p>
    <w:p w14:paraId="3D656830" w14:textId="77777777" w:rsidR="00C24FAD" w:rsidRPr="00E77DE0" w:rsidRDefault="00C24FAD" w:rsidP="00E77DE0">
      <w:pPr>
        <w:pStyle w:val="paragraph"/>
      </w:pPr>
      <w:r w:rsidRPr="00E77DE0">
        <w:tab/>
        <w:t>(a)</w:t>
      </w:r>
      <w:r w:rsidRPr="00E77DE0">
        <w:tab/>
        <w:t xml:space="preserve">a regulated entity </w:t>
      </w:r>
      <w:r w:rsidR="00B6731A" w:rsidRPr="00E77DE0">
        <w:t xml:space="preserve">that </w:t>
      </w:r>
      <w:r w:rsidRPr="00E77DE0">
        <w:t xml:space="preserve">has applied </w:t>
      </w:r>
      <w:r w:rsidR="00FB2108" w:rsidRPr="00E77DE0">
        <w:t>under section</w:t>
      </w:r>
      <w:r w:rsidR="00E77DE0" w:rsidRPr="00E77DE0">
        <w:t> </w:t>
      </w:r>
      <w:r w:rsidR="00FB2108" w:rsidRPr="00E77DE0">
        <w:t xml:space="preserve">18 </w:t>
      </w:r>
      <w:r w:rsidRPr="00E77DE0">
        <w:t xml:space="preserve">to </w:t>
      </w:r>
      <w:proofErr w:type="spellStart"/>
      <w:r w:rsidRPr="00E77DE0">
        <w:t>TEQSA</w:t>
      </w:r>
      <w:proofErr w:type="spellEnd"/>
      <w:r w:rsidRPr="00E77DE0">
        <w:t xml:space="preserve"> for registration within the “Australian University” provider category; or</w:t>
      </w:r>
    </w:p>
    <w:p w14:paraId="765AD6CC" w14:textId="77777777" w:rsidR="00FB2108" w:rsidRPr="00E77DE0" w:rsidRDefault="00FB2108" w:rsidP="00E77DE0">
      <w:pPr>
        <w:pStyle w:val="paragraph"/>
      </w:pPr>
      <w:r w:rsidRPr="00E77DE0">
        <w:lastRenderedPageBreak/>
        <w:tab/>
        <w:t>(b)</w:t>
      </w:r>
      <w:r w:rsidRPr="00E77DE0">
        <w:tab/>
        <w:t>a registered higher education provider that has applied under section</w:t>
      </w:r>
      <w:r w:rsidR="00E77DE0" w:rsidRPr="00E77DE0">
        <w:t> </w:t>
      </w:r>
      <w:r w:rsidRPr="00E77DE0">
        <w:t>38 to change to the “Australian University” provider category; or</w:t>
      </w:r>
    </w:p>
    <w:p w14:paraId="15EF3664" w14:textId="77777777" w:rsidR="00FB2108" w:rsidRPr="00E77DE0" w:rsidRDefault="00C24FAD" w:rsidP="00E77DE0">
      <w:pPr>
        <w:pStyle w:val="paragraph"/>
      </w:pPr>
      <w:r w:rsidRPr="00E77DE0">
        <w:tab/>
        <w:t>(</w:t>
      </w:r>
      <w:r w:rsidR="00FB2108" w:rsidRPr="00E77DE0">
        <w:t>c</w:t>
      </w:r>
      <w:r w:rsidRPr="00E77DE0">
        <w:t>)</w:t>
      </w:r>
      <w:r w:rsidRPr="00E77DE0">
        <w:tab/>
        <w:t>a registered higher education provider that is in the “Australian University” provider category</w:t>
      </w:r>
      <w:r w:rsidR="00FB2108" w:rsidRPr="00E77DE0">
        <w:t>;</w:t>
      </w:r>
    </w:p>
    <w:p w14:paraId="15064B8F" w14:textId="77777777" w:rsidR="00C24FAD" w:rsidRPr="00E77DE0" w:rsidRDefault="00C24FAD" w:rsidP="00E77DE0">
      <w:pPr>
        <w:pStyle w:val="subsection2"/>
      </w:pPr>
      <w:proofErr w:type="spellStart"/>
      <w:r w:rsidRPr="00E77DE0">
        <w:t>TEQSA</w:t>
      </w:r>
      <w:proofErr w:type="spellEnd"/>
      <w:r w:rsidRPr="00E77DE0">
        <w:t xml:space="preserve"> must have regard to the quality of the research undertaken by the entity or provider.</w:t>
      </w:r>
    </w:p>
    <w:p w14:paraId="2D8D6D64" w14:textId="77777777" w:rsidR="00C24FAD" w:rsidRPr="00E77DE0" w:rsidRDefault="00C24FAD" w:rsidP="00E77DE0">
      <w:pPr>
        <w:pStyle w:val="subsection"/>
      </w:pPr>
      <w:r w:rsidRPr="00E77DE0">
        <w:tab/>
        <w:t>(2)</w:t>
      </w:r>
      <w:r w:rsidRPr="00E77DE0">
        <w:tab/>
        <w:t xml:space="preserve">In doing so, if an instrument is in force under </w:t>
      </w:r>
      <w:r w:rsidR="00E77DE0" w:rsidRPr="00E77DE0">
        <w:t>subsection (</w:t>
      </w:r>
      <w:r w:rsidR="00CD607F" w:rsidRPr="00E77DE0">
        <w:t>7)</w:t>
      </w:r>
      <w:r w:rsidRPr="00E77DE0">
        <w:t xml:space="preserve">, </w:t>
      </w:r>
      <w:proofErr w:type="spellStart"/>
      <w:r w:rsidRPr="00E77DE0">
        <w:t>TEQSA</w:t>
      </w:r>
      <w:proofErr w:type="spellEnd"/>
      <w:r w:rsidRPr="00E77DE0">
        <w:t xml:space="preserve"> must have regard to the matters determined in the instrument.</w:t>
      </w:r>
    </w:p>
    <w:p w14:paraId="25AA50E6" w14:textId="77777777" w:rsidR="00C24FAD" w:rsidRPr="00E77DE0" w:rsidRDefault="00C24FAD" w:rsidP="00E77DE0">
      <w:pPr>
        <w:pStyle w:val="subsection"/>
      </w:pPr>
      <w:r w:rsidRPr="00E77DE0">
        <w:tab/>
        <w:t>(3)</w:t>
      </w:r>
      <w:r w:rsidRPr="00E77DE0">
        <w:tab/>
      </w:r>
      <w:r w:rsidR="00E77DE0" w:rsidRPr="00E77DE0">
        <w:t>Subsection (</w:t>
      </w:r>
      <w:r w:rsidR="00CD607F" w:rsidRPr="00E77DE0">
        <w:t>2</w:t>
      </w:r>
      <w:r w:rsidRPr="00E77DE0">
        <w:t xml:space="preserve">) does not limit the matters to which </w:t>
      </w:r>
      <w:proofErr w:type="spellStart"/>
      <w:r w:rsidRPr="00E77DE0">
        <w:t>TEQSA</w:t>
      </w:r>
      <w:proofErr w:type="spellEnd"/>
      <w:r w:rsidRPr="00E77DE0">
        <w:t xml:space="preserve"> may have regard.</w:t>
      </w:r>
    </w:p>
    <w:p w14:paraId="11EE4A8B" w14:textId="77777777" w:rsidR="00C24FAD" w:rsidRPr="00E77DE0" w:rsidRDefault="00C24FAD" w:rsidP="00E77DE0">
      <w:pPr>
        <w:pStyle w:val="SubsectionHead"/>
      </w:pPr>
      <w:r w:rsidRPr="00E77DE0">
        <w:t>Matters relating to the quality of research</w:t>
      </w:r>
    </w:p>
    <w:p w14:paraId="7DAE78CE" w14:textId="77777777" w:rsidR="00C24FAD" w:rsidRPr="00E77DE0" w:rsidRDefault="00C24FAD" w:rsidP="00E77DE0">
      <w:pPr>
        <w:pStyle w:val="subsection"/>
      </w:pPr>
      <w:r w:rsidRPr="00E77DE0">
        <w:tab/>
        <w:t>(4)</w:t>
      </w:r>
      <w:r w:rsidRPr="00E77DE0">
        <w:tab/>
      </w:r>
      <w:proofErr w:type="spellStart"/>
      <w:r w:rsidRPr="00E77DE0">
        <w:t>TEQSA</w:t>
      </w:r>
      <w:proofErr w:type="spellEnd"/>
      <w:r w:rsidRPr="00E77DE0">
        <w:t xml:space="preserve"> may, in writing, determine matters relating to the quality of research for the purposes of this section.</w:t>
      </w:r>
    </w:p>
    <w:p w14:paraId="295D6D86" w14:textId="77777777" w:rsidR="00C24FAD" w:rsidRPr="00E77DE0" w:rsidRDefault="00CD607F" w:rsidP="00E77DE0">
      <w:pPr>
        <w:pStyle w:val="subsection"/>
      </w:pPr>
      <w:r w:rsidRPr="00E77DE0">
        <w:tab/>
        <w:t>(5</w:t>
      </w:r>
      <w:r w:rsidR="00C24FAD" w:rsidRPr="00E77DE0">
        <w:t>)</w:t>
      </w:r>
      <w:r w:rsidR="00C24FAD" w:rsidRPr="00E77DE0">
        <w:tab/>
        <w:t xml:space="preserve">A determination under </w:t>
      </w:r>
      <w:r w:rsidR="00E77DE0" w:rsidRPr="00E77DE0">
        <w:t>subsection (</w:t>
      </w:r>
      <w:r w:rsidRPr="00E77DE0">
        <w:t>4</w:t>
      </w:r>
      <w:r w:rsidR="00C24FAD" w:rsidRPr="00E77DE0">
        <w:t>) has no effect unless the Minister has approved it in writing.</w:t>
      </w:r>
    </w:p>
    <w:p w14:paraId="003F7CBC" w14:textId="77777777" w:rsidR="00C24FAD" w:rsidRPr="00E77DE0" w:rsidRDefault="00CD607F" w:rsidP="00E77DE0">
      <w:pPr>
        <w:pStyle w:val="subsection"/>
      </w:pPr>
      <w:r w:rsidRPr="00E77DE0">
        <w:tab/>
        <w:t>(6</w:t>
      </w:r>
      <w:r w:rsidR="00C24FAD" w:rsidRPr="00E77DE0">
        <w:t>)</w:t>
      </w:r>
      <w:r w:rsidR="00C24FAD" w:rsidRPr="00E77DE0">
        <w:tab/>
      </w:r>
      <w:proofErr w:type="spellStart"/>
      <w:r w:rsidR="00C24FAD" w:rsidRPr="00E77DE0">
        <w:t>TEQSA</w:t>
      </w:r>
      <w:proofErr w:type="spellEnd"/>
      <w:r w:rsidR="00C24FAD" w:rsidRPr="00E77DE0">
        <w:t xml:space="preserve"> must give the Minister such information as the Minister reasonably requires for the purposes of approving the determination.</w:t>
      </w:r>
    </w:p>
    <w:p w14:paraId="1EA0DD9D" w14:textId="77777777" w:rsidR="00C24FAD" w:rsidRPr="00E77DE0" w:rsidRDefault="00C24FAD" w:rsidP="00E77DE0">
      <w:pPr>
        <w:pStyle w:val="subsection"/>
      </w:pPr>
      <w:r w:rsidRPr="00E77DE0">
        <w:tab/>
        <w:t>(</w:t>
      </w:r>
      <w:r w:rsidR="00CD607F" w:rsidRPr="00E77DE0">
        <w:t>7</w:t>
      </w:r>
      <w:r w:rsidRPr="00E77DE0">
        <w:t>)</w:t>
      </w:r>
      <w:r w:rsidRPr="00E77DE0">
        <w:tab/>
        <w:t xml:space="preserve">A determination under </w:t>
      </w:r>
      <w:r w:rsidR="00E77DE0" w:rsidRPr="00E77DE0">
        <w:t>subsection (</w:t>
      </w:r>
      <w:r w:rsidR="00CD607F" w:rsidRPr="00E77DE0">
        <w:t>4</w:t>
      </w:r>
      <w:r w:rsidRPr="00E77DE0">
        <w:t xml:space="preserve">) made by </w:t>
      </w:r>
      <w:proofErr w:type="spellStart"/>
      <w:r w:rsidRPr="00E77DE0">
        <w:t>TEQSA</w:t>
      </w:r>
      <w:proofErr w:type="spellEnd"/>
      <w:r w:rsidRPr="00E77DE0">
        <w:t xml:space="preserve"> and approved by the Minister is a legislative instrument made by the Minister on the day on which the determination is approved.</w:t>
      </w:r>
    </w:p>
    <w:p w14:paraId="1C62950C" w14:textId="77777777" w:rsidR="002C6A66" w:rsidRPr="00E77DE0" w:rsidRDefault="00E76AC0" w:rsidP="00E77DE0">
      <w:pPr>
        <w:pStyle w:val="ItemHead"/>
      </w:pPr>
      <w:r w:rsidRPr="00E77DE0">
        <w:t>16</w:t>
      </w:r>
      <w:r w:rsidR="002C6A66" w:rsidRPr="00E77DE0">
        <w:t xml:space="preserve">  </w:t>
      </w:r>
      <w:r w:rsidR="00052258" w:rsidRPr="00E77DE0">
        <w:t>Section</w:t>
      </w:r>
      <w:r w:rsidR="00E77DE0" w:rsidRPr="00E77DE0">
        <w:t> </w:t>
      </w:r>
      <w:r w:rsidR="00052258" w:rsidRPr="00E77DE0">
        <w:t>6</w:t>
      </w:r>
      <w:r w:rsidR="002C6A66" w:rsidRPr="00E77DE0">
        <w:t>1</w:t>
      </w:r>
    </w:p>
    <w:p w14:paraId="0CFCBA64" w14:textId="77777777" w:rsidR="002C6A66" w:rsidRPr="00E77DE0" w:rsidRDefault="002C6A66" w:rsidP="00E77DE0">
      <w:pPr>
        <w:pStyle w:val="Item"/>
      </w:pPr>
      <w:r w:rsidRPr="00E77DE0">
        <w:t>Omit “Provider Course Accreditation Standards”, substitute “Threshold Standards”.</w:t>
      </w:r>
    </w:p>
    <w:p w14:paraId="56873750" w14:textId="77777777" w:rsidR="002C6A66" w:rsidRPr="00E77DE0" w:rsidRDefault="00E76AC0" w:rsidP="00E77DE0">
      <w:pPr>
        <w:pStyle w:val="ItemHead"/>
      </w:pPr>
      <w:r w:rsidRPr="00E77DE0">
        <w:t>17</w:t>
      </w:r>
      <w:r w:rsidR="002C6A66" w:rsidRPr="00E77DE0">
        <w:t xml:space="preserve">  </w:t>
      </w:r>
      <w:r w:rsidR="002A60F3" w:rsidRPr="00E77DE0">
        <w:t>Paragraph</w:t>
      </w:r>
      <w:r w:rsidR="00E77DE0" w:rsidRPr="00E77DE0">
        <w:t xml:space="preserve"> </w:t>
      </w:r>
      <w:r w:rsidR="002A60F3" w:rsidRPr="00E77DE0">
        <w:t>9</w:t>
      </w:r>
      <w:r w:rsidR="002C6A66" w:rsidRPr="00E77DE0">
        <w:t>8(d)</w:t>
      </w:r>
    </w:p>
    <w:p w14:paraId="1C61DF9E" w14:textId="77777777" w:rsidR="002C6A66" w:rsidRPr="00E77DE0" w:rsidRDefault="002C6A66" w:rsidP="00E77DE0">
      <w:pPr>
        <w:pStyle w:val="Item"/>
      </w:pPr>
      <w:r w:rsidRPr="00E77DE0">
        <w:t>Omit “Provider Course Accreditation Standards”, substitute “Threshold Standards”.</w:t>
      </w:r>
    </w:p>
    <w:p w14:paraId="71CC64EC" w14:textId="77777777" w:rsidR="00E74CC1" w:rsidRPr="00E77DE0" w:rsidRDefault="00E76AC0" w:rsidP="00E77DE0">
      <w:pPr>
        <w:pStyle w:val="ItemHead"/>
      </w:pPr>
      <w:r w:rsidRPr="00E77DE0">
        <w:lastRenderedPageBreak/>
        <w:t>18</w:t>
      </w:r>
      <w:r w:rsidR="00E74CC1" w:rsidRPr="00E77DE0">
        <w:t xml:space="preserve">  Paragraphs 108(1)(b) and (2)(b)</w:t>
      </w:r>
    </w:p>
    <w:p w14:paraId="4948983C" w14:textId="77777777" w:rsidR="00E74CC1" w:rsidRPr="00E77DE0" w:rsidRDefault="00E74CC1" w:rsidP="00E77DE0">
      <w:pPr>
        <w:pStyle w:val="Item"/>
      </w:pPr>
      <w:r w:rsidRPr="00E77DE0">
        <w:t xml:space="preserve">Omit “a provider category that permits the use of the word </w:t>
      </w:r>
      <w:bookmarkStart w:id="24" w:name="BK_S3P8L3C1"/>
      <w:bookmarkEnd w:id="24"/>
      <w:r w:rsidRPr="00E77DE0">
        <w:t>‘university’</w:t>
      </w:r>
      <w:r w:rsidR="004278D1" w:rsidRPr="00E77DE0">
        <w:t>.</w:t>
      </w:r>
      <w:r w:rsidRPr="00E77DE0">
        <w:t>”, substitute “</w:t>
      </w:r>
      <w:r w:rsidR="0061177C" w:rsidRPr="00E77DE0">
        <w:t xml:space="preserve">either </w:t>
      </w:r>
      <w:r w:rsidRPr="00E77DE0">
        <w:t xml:space="preserve">the </w:t>
      </w:r>
      <w:bookmarkStart w:id="25" w:name="BK_S3P8L3C40"/>
      <w:bookmarkEnd w:id="25"/>
      <w:r w:rsidRPr="00E77DE0">
        <w:t xml:space="preserve">‘Australian University’ or </w:t>
      </w:r>
      <w:bookmarkStart w:id="26" w:name="BK_S3P8L4C67"/>
      <w:bookmarkEnd w:id="26"/>
      <w:r w:rsidRPr="00E77DE0">
        <w:t>‘Overseas University’ provider category</w:t>
      </w:r>
      <w:r w:rsidR="004278D1" w:rsidRPr="00E77DE0">
        <w:t>.</w:t>
      </w:r>
      <w:r w:rsidRPr="00E77DE0">
        <w:t>”.</w:t>
      </w:r>
    </w:p>
    <w:p w14:paraId="01052239" w14:textId="77777777" w:rsidR="00BA2528" w:rsidRPr="00E77DE0" w:rsidRDefault="00E76AC0" w:rsidP="00E77DE0">
      <w:pPr>
        <w:pStyle w:val="Transitional"/>
      </w:pPr>
      <w:r w:rsidRPr="00E77DE0">
        <w:t>19</w:t>
      </w:r>
      <w:r w:rsidR="00BA2528" w:rsidRPr="00E77DE0">
        <w:t xml:space="preserve">  Application</w:t>
      </w:r>
      <w:r w:rsidR="000E3EB8" w:rsidRPr="00E77DE0">
        <w:t xml:space="preserve"> and saving</w:t>
      </w:r>
      <w:r w:rsidR="00BA2528" w:rsidRPr="00E77DE0">
        <w:t xml:space="preserve"> provisions</w:t>
      </w:r>
    </w:p>
    <w:p w14:paraId="3CFE91D0" w14:textId="77777777" w:rsidR="00BA2528" w:rsidRPr="00E77DE0" w:rsidRDefault="00BA2528" w:rsidP="00E77DE0">
      <w:pPr>
        <w:pStyle w:val="Subitem"/>
      </w:pPr>
      <w:r w:rsidRPr="00E77DE0">
        <w:t>(1)</w:t>
      </w:r>
      <w:r w:rsidRPr="00E77DE0">
        <w:tab/>
        <w:t>The amendment</w:t>
      </w:r>
      <w:r w:rsidR="00BC1E15" w:rsidRPr="00E77DE0">
        <w:t>s</w:t>
      </w:r>
      <w:r w:rsidRPr="00E77DE0">
        <w:t xml:space="preserve"> of </w:t>
      </w:r>
      <w:r w:rsidR="00BC1E15" w:rsidRPr="00E77DE0">
        <w:t>paragraphs 19(2)(b) and 20(2)(b)</w:t>
      </w:r>
      <w:r w:rsidRPr="00E77DE0">
        <w:t xml:space="preserve"> of the </w:t>
      </w:r>
      <w:r w:rsidRPr="00E77DE0">
        <w:rPr>
          <w:i/>
        </w:rPr>
        <w:t xml:space="preserve">Tertiary Education Quality and Standards Agency Act 2011 </w:t>
      </w:r>
      <w:r w:rsidRPr="00E77DE0">
        <w:t xml:space="preserve">made by this </w:t>
      </w:r>
      <w:r w:rsidR="00BC1E15" w:rsidRPr="00E77DE0">
        <w:t>Part</w:t>
      </w:r>
      <w:r w:rsidRPr="00E77DE0">
        <w:t xml:space="preserve"> appl</w:t>
      </w:r>
      <w:r w:rsidR="00BC1E15" w:rsidRPr="00E77DE0">
        <w:t>y</w:t>
      </w:r>
      <w:r w:rsidRPr="00E77DE0">
        <w:t xml:space="preserve"> in relation to an </w:t>
      </w:r>
      <w:r w:rsidR="00BC1E15" w:rsidRPr="00E77DE0">
        <w:t>application made</w:t>
      </w:r>
      <w:r w:rsidRPr="00E77DE0">
        <w:t xml:space="preserve"> on or after the commencement of this item.</w:t>
      </w:r>
    </w:p>
    <w:p w14:paraId="0D2CBFBE" w14:textId="77777777" w:rsidR="00BF1848" w:rsidRPr="00E77DE0" w:rsidRDefault="00BF1848" w:rsidP="00E77DE0">
      <w:pPr>
        <w:pStyle w:val="Subitem"/>
      </w:pPr>
      <w:r w:rsidRPr="00E77DE0">
        <w:t>(</w:t>
      </w:r>
      <w:r w:rsidR="00A970D9" w:rsidRPr="00E77DE0">
        <w:t>2</w:t>
      </w:r>
      <w:r w:rsidRPr="00E77DE0">
        <w:t>)</w:t>
      </w:r>
      <w:r w:rsidRPr="00E77DE0">
        <w:tab/>
        <w:t>The amendment</w:t>
      </w:r>
      <w:r w:rsidR="00A054DE" w:rsidRPr="00E77DE0">
        <w:t>s</w:t>
      </w:r>
      <w:r w:rsidRPr="00E77DE0">
        <w:t xml:space="preserve"> of paragraphs 33(1)(a)</w:t>
      </w:r>
      <w:r w:rsidR="00A054DE" w:rsidRPr="00E77DE0">
        <w:t>, 36(6)(b) and</w:t>
      </w:r>
      <w:r w:rsidRPr="00E77DE0">
        <w:t xml:space="preserve"> </w:t>
      </w:r>
      <w:r w:rsidR="00A054DE" w:rsidRPr="00E77DE0">
        <w:t xml:space="preserve">39(1)(b) </w:t>
      </w:r>
      <w:r w:rsidRPr="00E77DE0">
        <w:t xml:space="preserve">of the </w:t>
      </w:r>
      <w:r w:rsidRPr="00E77DE0">
        <w:rPr>
          <w:i/>
        </w:rPr>
        <w:t xml:space="preserve">Tertiary Education Quality and Standards Agency Act 2011 </w:t>
      </w:r>
      <w:r w:rsidRPr="00E77DE0">
        <w:t>made by this Part appl</w:t>
      </w:r>
      <w:r w:rsidR="00A054DE" w:rsidRPr="00E77DE0">
        <w:t>y</w:t>
      </w:r>
      <w:r w:rsidRPr="00E77DE0">
        <w:t xml:space="preserve"> in relation to a decision made on or after the commencement of this item.</w:t>
      </w:r>
    </w:p>
    <w:p w14:paraId="08C49F8A" w14:textId="77777777" w:rsidR="00403328" w:rsidRPr="00E77DE0" w:rsidRDefault="00403328" w:rsidP="00E77DE0">
      <w:pPr>
        <w:pStyle w:val="Subitem"/>
      </w:pPr>
      <w:r w:rsidRPr="00E77DE0">
        <w:t>(</w:t>
      </w:r>
      <w:r w:rsidR="00CD607F" w:rsidRPr="00E77DE0">
        <w:t>3</w:t>
      </w:r>
      <w:r w:rsidRPr="00E77DE0">
        <w:t>)</w:t>
      </w:r>
      <w:r w:rsidRPr="00E77DE0">
        <w:tab/>
        <w:t>Subsection</w:t>
      </w:r>
      <w:r w:rsidR="00E77DE0" w:rsidRPr="00E77DE0">
        <w:t> </w:t>
      </w:r>
      <w:r w:rsidRPr="00E77DE0">
        <w:t>45(</w:t>
      </w:r>
      <w:r w:rsidR="00333439" w:rsidRPr="00E77DE0">
        <w:t>2</w:t>
      </w:r>
      <w:r w:rsidRPr="00E77DE0">
        <w:t xml:space="preserve">A) of the </w:t>
      </w:r>
      <w:r w:rsidRPr="00E77DE0">
        <w:rPr>
          <w:i/>
        </w:rPr>
        <w:t>Tertiary Education Quality and Standards Agency Act 2011</w:t>
      </w:r>
      <w:r w:rsidRPr="00E77DE0">
        <w:t>, as inserted by this Part, applies in relation to working out whether a registered higher education provider is authorised to self</w:t>
      </w:r>
      <w:r w:rsidR="00E77DE0">
        <w:noBreakHyphen/>
      </w:r>
      <w:r w:rsidRPr="00E77DE0">
        <w:t>accredit a course of study on or after the commencement of this item.</w:t>
      </w:r>
    </w:p>
    <w:p w14:paraId="7A29177E" w14:textId="77777777" w:rsidR="008215B3" w:rsidRPr="00E77DE0" w:rsidRDefault="00E37B21" w:rsidP="00E77DE0">
      <w:pPr>
        <w:pStyle w:val="Subitem"/>
      </w:pPr>
      <w:r w:rsidRPr="00E77DE0">
        <w:t>(</w:t>
      </w:r>
      <w:r w:rsidR="00CD607F" w:rsidRPr="00E77DE0">
        <w:t>4</w:t>
      </w:r>
      <w:r w:rsidR="008215B3" w:rsidRPr="00E77DE0">
        <w:t>)</w:t>
      </w:r>
      <w:r w:rsidR="008215B3" w:rsidRPr="00E77DE0">
        <w:tab/>
        <w:t xml:space="preserve">The amendment of </w:t>
      </w:r>
      <w:r w:rsidRPr="00E77DE0">
        <w:t>paragraph</w:t>
      </w:r>
      <w:r w:rsidR="00E77DE0" w:rsidRPr="00E77DE0">
        <w:t> </w:t>
      </w:r>
      <w:r w:rsidRPr="00E77DE0">
        <w:t>4</w:t>
      </w:r>
      <w:r w:rsidR="008215B3" w:rsidRPr="00E77DE0">
        <w:t xml:space="preserve">9(1)(b) of the </w:t>
      </w:r>
      <w:r w:rsidR="008215B3" w:rsidRPr="00E77DE0">
        <w:rPr>
          <w:i/>
        </w:rPr>
        <w:t>Tertiary Education Quality and Standards Agency Act 2011</w:t>
      </w:r>
      <w:r w:rsidR="008215B3" w:rsidRPr="00E77DE0">
        <w:t xml:space="preserve"> made by this Part applies in relation to </w:t>
      </w:r>
      <w:r w:rsidR="00AA5284" w:rsidRPr="00E77DE0">
        <w:t xml:space="preserve">an </w:t>
      </w:r>
      <w:r w:rsidR="008215B3" w:rsidRPr="00E77DE0">
        <w:t>application for a course of study to be accredited</w:t>
      </w:r>
      <w:r w:rsidR="000E3EB8" w:rsidRPr="00E77DE0">
        <w:t xml:space="preserve"> that</w:t>
      </w:r>
      <w:r w:rsidR="008215B3" w:rsidRPr="00E77DE0">
        <w:t>:</w:t>
      </w:r>
    </w:p>
    <w:p w14:paraId="15773CFB" w14:textId="77777777" w:rsidR="008215B3" w:rsidRPr="00E77DE0" w:rsidRDefault="008215B3" w:rsidP="00E77DE0">
      <w:pPr>
        <w:pStyle w:val="paragraph"/>
      </w:pPr>
      <w:r w:rsidRPr="00E77DE0">
        <w:tab/>
        <w:t>(a)</w:t>
      </w:r>
      <w:r w:rsidRPr="00E77DE0">
        <w:tab/>
      </w:r>
      <w:r w:rsidR="00AA5284" w:rsidRPr="00E77DE0">
        <w:t>is</w:t>
      </w:r>
      <w:r w:rsidR="000E3EB8" w:rsidRPr="00E77DE0">
        <w:t xml:space="preserve"> </w:t>
      </w:r>
      <w:r w:rsidRPr="00E77DE0">
        <w:t xml:space="preserve">made on or after the commencement of this item; </w:t>
      </w:r>
      <w:r w:rsidR="000E3EB8" w:rsidRPr="00E77DE0">
        <w:t>or</w:t>
      </w:r>
    </w:p>
    <w:p w14:paraId="1A6B1492" w14:textId="77777777" w:rsidR="008215B3" w:rsidRPr="00E77DE0" w:rsidRDefault="008215B3" w:rsidP="00E77DE0">
      <w:pPr>
        <w:pStyle w:val="paragraph"/>
      </w:pPr>
      <w:r w:rsidRPr="00E77DE0">
        <w:tab/>
        <w:t>(b)</w:t>
      </w:r>
      <w:r w:rsidRPr="00E77DE0">
        <w:tab/>
      </w:r>
      <w:r w:rsidR="00AA5284" w:rsidRPr="00E77DE0">
        <w:t>was</w:t>
      </w:r>
      <w:r w:rsidR="000E3EB8" w:rsidRPr="00E77DE0">
        <w:t xml:space="preserve"> </w:t>
      </w:r>
      <w:r w:rsidRPr="00E77DE0">
        <w:t xml:space="preserve">pending </w:t>
      </w:r>
      <w:r w:rsidR="000E3EB8" w:rsidRPr="00E77DE0">
        <w:t>immediately before that commencement.</w:t>
      </w:r>
    </w:p>
    <w:p w14:paraId="1900DF09" w14:textId="77777777" w:rsidR="000E3EB8" w:rsidRPr="00E77DE0" w:rsidRDefault="000E3EB8" w:rsidP="00E77DE0">
      <w:pPr>
        <w:pStyle w:val="Subitem"/>
      </w:pPr>
      <w:r w:rsidRPr="00E77DE0">
        <w:t>(</w:t>
      </w:r>
      <w:r w:rsidR="00CD607F" w:rsidRPr="00E77DE0">
        <w:t>5</w:t>
      </w:r>
      <w:r w:rsidRPr="00E77DE0">
        <w:t>)</w:t>
      </w:r>
      <w:r w:rsidRPr="00E77DE0">
        <w:tab/>
        <w:t xml:space="preserve">The amendment of </w:t>
      </w:r>
      <w:r w:rsidR="00E37B21" w:rsidRPr="00E77DE0">
        <w:t>subsection</w:t>
      </w:r>
      <w:r w:rsidR="00E77DE0" w:rsidRPr="00E77DE0">
        <w:t> </w:t>
      </w:r>
      <w:r w:rsidR="00E37B21" w:rsidRPr="00E77DE0">
        <w:t>5</w:t>
      </w:r>
      <w:r w:rsidRPr="00E77DE0">
        <w:t xml:space="preserve">6(1) of the </w:t>
      </w:r>
      <w:r w:rsidRPr="00E77DE0">
        <w:rPr>
          <w:i/>
        </w:rPr>
        <w:t>Tertiary Education Quality and Standards Agency Act 2011</w:t>
      </w:r>
      <w:r w:rsidRPr="00E77DE0">
        <w:t xml:space="preserve"> made by this Part applies in relation to </w:t>
      </w:r>
      <w:r w:rsidR="00AA5284" w:rsidRPr="00E77DE0">
        <w:t xml:space="preserve">an </w:t>
      </w:r>
      <w:r w:rsidRPr="00E77DE0">
        <w:t>application for renewal that:</w:t>
      </w:r>
    </w:p>
    <w:p w14:paraId="5179265F" w14:textId="77777777" w:rsidR="000E3EB8" w:rsidRPr="00E77DE0" w:rsidRDefault="000E3EB8" w:rsidP="00E77DE0">
      <w:pPr>
        <w:pStyle w:val="paragraph"/>
      </w:pPr>
      <w:r w:rsidRPr="00E77DE0">
        <w:tab/>
        <w:t>(a)</w:t>
      </w:r>
      <w:r w:rsidRPr="00E77DE0">
        <w:tab/>
      </w:r>
      <w:r w:rsidR="00AA5284" w:rsidRPr="00E77DE0">
        <w:t>is</w:t>
      </w:r>
      <w:r w:rsidRPr="00E77DE0">
        <w:t xml:space="preserve"> made on or after the commencement of this item; or</w:t>
      </w:r>
    </w:p>
    <w:p w14:paraId="2FC1FD01" w14:textId="77777777" w:rsidR="000E3EB8" w:rsidRPr="00E77DE0" w:rsidRDefault="000E3EB8" w:rsidP="00E77DE0">
      <w:pPr>
        <w:pStyle w:val="paragraph"/>
      </w:pPr>
      <w:r w:rsidRPr="00E77DE0">
        <w:tab/>
        <w:t>(b)</w:t>
      </w:r>
      <w:r w:rsidRPr="00E77DE0">
        <w:tab/>
      </w:r>
      <w:r w:rsidR="00AA5284" w:rsidRPr="00E77DE0">
        <w:t>was</w:t>
      </w:r>
      <w:r w:rsidRPr="00E77DE0">
        <w:t xml:space="preserve"> pending immediately before that commencement.</w:t>
      </w:r>
    </w:p>
    <w:p w14:paraId="4013D7D2" w14:textId="77777777" w:rsidR="00CD607F" w:rsidRPr="00E77DE0" w:rsidRDefault="00CD607F" w:rsidP="00E77DE0">
      <w:pPr>
        <w:pStyle w:val="Subitem"/>
      </w:pPr>
      <w:r w:rsidRPr="00E77DE0">
        <w:t>(6)</w:t>
      </w:r>
      <w:r w:rsidRPr="00E77DE0">
        <w:tab/>
        <w:t>Subsection</w:t>
      </w:r>
      <w:r w:rsidR="00E77DE0" w:rsidRPr="00E77DE0">
        <w:t> </w:t>
      </w:r>
      <w:r w:rsidRPr="00E77DE0">
        <w:t xml:space="preserve">59A(1) of the </w:t>
      </w:r>
      <w:r w:rsidRPr="00E77DE0">
        <w:rPr>
          <w:i/>
        </w:rPr>
        <w:t>Tertiary Education Quality and Standards Agency Act 2011</w:t>
      </w:r>
      <w:r w:rsidRPr="00E77DE0">
        <w:t>, as inserted by this Part, applies in relation to the consideration of the Threshold Standards on or after the commencement of this item, whether the research was undertaken before, on or after that commencement.</w:t>
      </w:r>
    </w:p>
    <w:p w14:paraId="544B5F91" w14:textId="77777777" w:rsidR="00AA5284" w:rsidRPr="00E77DE0" w:rsidRDefault="00AA5284" w:rsidP="00E77DE0">
      <w:pPr>
        <w:pStyle w:val="Subitem"/>
      </w:pPr>
      <w:r w:rsidRPr="00E77DE0">
        <w:lastRenderedPageBreak/>
        <w:t>(</w:t>
      </w:r>
      <w:r w:rsidR="00403328" w:rsidRPr="00E77DE0">
        <w:t>7</w:t>
      </w:r>
      <w:r w:rsidRPr="00E77DE0">
        <w:t>)</w:t>
      </w:r>
      <w:r w:rsidRPr="00E77DE0">
        <w:tab/>
        <w:t xml:space="preserve">The amendment of </w:t>
      </w:r>
      <w:r w:rsidR="00E37B21" w:rsidRPr="00E77DE0">
        <w:t>paragraph</w:t>
      </w:r>
      <w:r w:rsidR="00E77DE0" w:rsidRPr="00E77DE0">
        <w:t> </w:t>
      </w:r>
      <w:r w:rsidR="00E37B21" w:rsidRPr="00E77DE0">
        <w:t>9</w:t>
      </w:r>
      <w:r w:rsidRPr="00E77DE0">
        <w:t xml:space="preserve">8(d) of the </w:t>
      </w:r>
      <w:r w:rsidRPr="00E77DE0">
        <w:rPr>
          <w:i/>
        </w:rPr>
        <w:t>Tertiary Education Quality and Standards Agency Act 2011</w:t>
      </w:r>
      <w:r w:rsidRPr="00E77DE0">
        <w:t xml:space="preserve"> made by this Part applies in relation to a failure referred to in </w:t>
      </w:r>
      <w:r w:rsidR="00AC26A0" w:rsidRPr="00E77DE0">
        <w:t xml:space="preserve">that </w:t>
      </w:r>
      <w:r w:rsidR="00E37B21" w:rsidRPr="00E77DE0">
        <w:t>paragraph</w:t>
      </w:r>
      <w:r w:rsidR="00E77DE0" w:rsidRPr="00E77DE0">
        <w:t xml:space="preserve"> </w:t>
      </w:r>
      <w:r w:rsidRPr="00E77DE0">
        <w:t>that occurs on or after the commencement of this item.</w:t>
      </w:r>
    </w:p>
    <w:p w14:paraId="6A9E1411" w14:textId="77777777" w:rsidR="000E3EB8" w:rsidRPr="00E77DE0" w:rsidRDefault="000E3EB8" w:rsidP="00E77DE0">
      <w:pPr>
        <w:pStyle w:val="Subitem"/>
      </w:pPr>
      <w:r w:rsidRPr="00E77DE0">
        <w:t>(</w:t>
      </w:r>
      <w:r w:rsidR="00403328" w:rsidRPr="00E77DE0">
        <w:t>8</w:t>
      </w:r>
      <w:r w:rsidRPr="00E77DE0">
        <w:t>)</w:t>
      </w:r>
      <w:r w:rsidRPr="00E77DE0">
        <w:tab/>
        <w:t xml:space="preserve">Subdivision A of </w:t>
      </w:r>
      <w:r w:rsidR="00E37B21" w:rsidRPr="00E77DE0">
        <w:t>Division</w:t>
      </w:r>
      <w:r w:rsidR="00E77DE0" w:rsidRPr="00E77DE0">
        <w:t> </w:t>
      </w:r>
      <w:r w:rsidR="00E37B21" w:rsidRPr="00E77DE0">
        <w:t>1</w:t>
      </w:r>
      <w:r w:rsidRPr="00E77DE0">
        <w:t xml:space="preserve"> of </w:t>
      </w:r>
      <w:r w:rsidR="00E37B21" w:rsidRPr="00E77DE0">
        <w:t>Part</w:t>
      </w:r>
      <w:r w:rsidR="00E77DE0" w:rsidRPr="00E77DE0">
        <w:t> </w:t>
      </w:r>
      <w:r w:rsidR="00E37B21" w:rsidRPr="00E77DE0">
        <w:t>7</w:t>
      </w:r>
      <w:r w:rsidRPr="00E77DE0">
        <w:t xml:space="preserve"> of the </w:t>
      </w:r>
      <w:r w:rsidRPr="00E77DE0">
        <w:rPr>
          <w:i/>
        </w:rPr>
        <w:t>Tertiary Education Quality and Standards Agency Act 2011</w:t>
      </w:r>
      <w:r w:rsidRPr="00E77DE0">
        <w:t xml:space="preserve">, as in force immediately before the commencement of this item, continues to apply on and after that commencement in relation to a failure referred to in </w:t>
      </w:r>
      <w:r w:rsidR="00E37B21" w:rsidRPr="00E77DE0">
        <w:t>paragraph</w:t>
      </w:r>
      <w:r w:rsidR="00E77DE0" w:rsidRPr="00E77DE0">
        <w:t> </w:t>
      </w:r>
      <w:r w:rsidR="00E37B21" w:rsidRPr="00E77DE0">
        <w:t>9</w:t>
      </w:r>
      <w:r w:rsidRPr="00E77DE0">
        <w:t xml:space="preserve">8(d) of that Act </w:t>
      </w:r>
      <w:r w:rsidR="00024B52" w:rsidRPr="00E77DE0">
        <w:t>that occur</w:t>
      </w:r>
      <w:r w:rsidR="00AA5284" w:rsidRPr="00E77DE0">
        <w:t>red</w:t>
      </w:r>
      <w:r w:rsidR="00024B52" w:rsidRPr="00E77DE0">
        <w:t xml:space="preserve"> before that commencement.</w:t>
      </w:r>
    </w:p>
    <w:p w14:paraId="4D74BA93" w14:textId="77777777" w:rsidR="004B218C" w:rsidRPr="00E77DE0" w:rsidRDefault="000E3EB8" w:rsidP="00E77DE0">
      <w:pPr>
        <w:pStyle w:val="Subitem"/>
      </w:pPr>
      <w:r w:rsidRPr="00E77DE0">
        <w:t>(</w:t>
      </w:r>
      <w:r w:rsidR="00403328" w:rsidRPr="00E77DE0">
        <w:t>9</w:t>
      </w:r>
      <w:r w:rsidR="004B218C" w:rsidRPr="00E77DE0">
        <w:t>)</w:t>
      </w:r>
      <w:r w:rsidR="004B218C" w:rsidRPr="00E77DE0">
        <w:tab/>
        <w:t xml:space="preserve">The amendments of </w:t>
      </w:r>
      <w:r w:rsidR="00E37B21" w:rsidRPr="00E77DE0">
        <w:t>section</w:t>
      </w:r>
      <w:r w:rsidR="00E77DE0" w:rsidRPr="00E77DE0">
        <w:t> </w:t>
      </w:r>
      <w:r w:rsidR="00E37B21" w:rsidRPr="00E77DE0">
        <w:t>1</w:t>
      </w:r>
      <w:r w:rsidR="004B218C" w:rsidRPr="00E77DE0">
        <w:t xml:space="preserve">08 of the </w:t>
      </w:r>
      <w:r w:rsidR="004B218C" w:rsidRPr="00E77DE0">
        <w:rPr>
          <w:i/>
        </w:rPr>
        <w:t>Tertiary Education Quality and Standards Agency Act 2011</w:t>
      </w:r>
      <w:r w:rsidR="004B218C" w:rsidRPr="00E77DE0">
        <w:t xml:space="preserve"> made by this Part apply in relation to uses of the word “university” </w:t>
      </w:r>
      <w:r w:rsidR="000A2FB4" w:rsidRPr="00E77DE0">
        <w:t xml:space="preserve">(including </w:t>
      </w:r>
      <w:r w:rsidR="00946CE3" w:rsidRPr="00E77DE0">
        <w:t>uses covered by</w:t>
      </w:r>
      <w:r w:rsidR="000A2FB4" w:rsidRPr="00E77DE0">
        <w:t xml:space="preserve"> subsection</w:t>
      </w:r>
      <w:r w:rsidR="00E77DE0" w:rsidRPr="00E77DE0">
        <w:t> </w:t>
      </w:r>
      <w:r w:rsidR="000A2FB4" w:rsidRPr="00E77DE0">
        <w:t xml:space="preserve">108(3) of that Act) </w:t>
      </w:r>
      <w:r w:rsidR="004B218C" w:rsidRPr="00E77DE0">
        <w:t>on or after the commencement of this item</w:t>
      </w:r>
      <w:r w:rsidR="008C1A9F" w:rsidRPr="00E77DE0">
        <w:t>.</w:t>
      </w:r>
    </w:p>
    <w:p w14:paraId="1226708C" w14:textId="77777777" w:rsidR="00883F5D" w:rsidRPr="00E77DE0" w:rsidRDefault="00052258" w:rsidP="00E77DE0">
      <w:pPr>
        <w:pStyle w:val="ActHead7"/>
        <w:pageBreakBefore/>
      </w:pPr>
      <w:bookmarkStart w:id="27" w:name="_Toc65761542"/>
      <w:r w:rsidRPr="003D1661">
        <w:rPr>
          <w:rStyle w:val="CharAmPartNo"/>
        </w:rPr>
        <w:lastRenderedPageBreak/>
        <w:t>Part</w:t>
      </w:r>
      <w:r w:rsidR="00E77DE0" w:rsidRPr="003D1661">
        <w:rPr>
          <w:rStyle w:val="CharAmPartNo"/>
        </w:rPr>
        <w:t> </w:t>
      </w:r>
      <w:r w:rsidRPr="003D1661">
        <w:rPr>
          <w:rStyle w:val="CharAmPartNo"/>
        </w:rPr>
        <w:t>2</w:t>
      </w:r>
      <w:r w:rsidR="00883F5D" w:rsidRPr="00E77DE0">
        <w:t>—</w:t>
      </w:r>
      <w:r w:rsidR="00883F5D" w:rsidRPr="003D1661">
        <w:rPr>
          <w:rStyle w:val="CharAmPartText"/>
        </w:rPr>
        <w:t>Other amendments</w:t>
      </w:r>
      <w:bookmarkEnd w:id="27"/>
    </w:p>
    <w:p w14:paraId="67B867D9" w14:textId="77777777" w:rsidR="001B3DC9" w:rsidRPr="00E77DE0" w:rsidRDefault="001B3DC9" w:rsidP="00E77DE0">
      <w:pPr>
        <w:pStyle w:val="ActHead9"/>
        <w:rPr>
          <w:i w:val="0"/>
        </w:rPr>
      </w:pPr>
      <w:bookmarkStart w:id="28" w:name="_Toc65761543"/>
      <w:r w:rsidRPr="00E77DE0">
        <w:t>Tertiary Education Quality and Standards Agency Act 2011</w:t>
      </w:r>
      <w:bookmarkEnd w:id="28"/>
    </w:p>
    <w:p w14:paraId="2874EA7E" w14:textId="77777777" w:rsidR="00A460E2" w:rsidRPr="00E77DE0" w:rsidRDefault="00E76AC0" w:rsidP="00E77DE0">
      <w:pPr>
        <w:pStyle w:val="ItemHead"/>
      </w:pPr>
      <w:r w:rsidRPr="00E77DE0">
        <w:t>20</w:t>
      </w:r>
      <w:r w:rsidR="00A460E2" w:rsidRPr="00E77DE0">
        <w:t xml:space="preserve">  </w:t>
      </w:r>
      <w:r w:rsidR="00E37B21" w:rsidRPr="00E77DE0">
        <w:t>Section</w:t>
      </w:r>
      <w:r w:rsidR="00E77DE0" w:rsidRPr="00E77DE0">
        <w:t> </w:t>
      </w:r>
      <w:r w:rsidR="00E37B21" w:rsidRPr="00E77DE0">
        <w:t>5</w:t>
      </w:r>
      <w:r w:rsidR="00B4049E" w:rsidRPr="00E77DE0">
        <w:t xml:space="preserve"> (</w:t>
      </w:r>
      <w:r w:rsidR="00E77DE0" w:rsidRPr="00E77DE0">
        <w:t>paragraph (</w:t>
      </w:r>
      <w:r w:rsidR="00B4049E" w:rsidRPr="00E77DE0">
        <w:t xml:space="preserve">a) of the definition of </w:t>
      </w:r>
      <w:r w:rsidR="00B4049E" w:rsidRPr="00E77DE0">
        <w:rPr>
          <w:i/>
        </w:rPr>
        <w:t>higher education award</w:t>
      </w:r>
      <w:r w:rsidR="00B4049E" w:rsidRPr="00E77DE0">
        <w:t>)</w:t>
      </w:r>
    </w:p>
    <w:p w14:paraId="2854A483" w14:textId="77777777" w:rsidR="00B4049E" w:rsidRPr="00E77DE0" w:rsidRDefault="00B4049E" w:rsidP="00E77DE0">
      <w:pPr>
        <w:pStyle w:val="Item"/>
      </w:pPr>
      <w:r w:rsidRPr="00E77DE0">
        <w:t>After “bachelor degree,” insert “undergraduate certificate</w:t>
      </w:r>
      <w:r w:rsidR="008278F3" w:rsidRPr="00E77DE0">
        <w:t>,</w:t>
      </w:r>
      <w:r w:rsidRPr="00E77DE0">
        <w:t>”.</w:t>
      </w:r>
    </w:p>
    <w:p w14:paraId="52380D08" w14:textId="77777777" w:rsidR="00E1031F" w:rsidRPr="00E77DE0" w:rsidRDefault="00E76AC0" w:rsidP="00E77DE0">
      <w:pPr>
        <w:pStyle w:val="ItemHead"/>
      </w:pPr>
      <w:r w:rsidRPr="00E77DE0">
        <w:t>21</w:t>
      </w:r>
      <w:r w:rsidR="00E1031F" w:rsidRPr="00E77DE0">
        <w:t xml:space="preserve">  </w:t>
      </w:r>
      <w:r w:rsidR="00E37B21" w:rsidRPr="00E77DE0">
        <w:t>Section</w:t>
      </w:r>
      <w:r w:rsidR="00E77DE0" w:rsidRPr="00E77DE0">
        <w:t> </w:t>
      </w:r>
      <w:r w:rsidR="00E37B21" w:rsidRPr="00E77DE0">
        <w:t>5</w:t>
      </w:r>
    </w:p>
    <w:p w14:paraId="4B58C4C5" w14:textId="77777777" w:rsidR="00E1031F" w:rsidRPr="00E77DE0" w:rsidRDefault="00E1031F" w:rsidP="00E77DE0">
      <w:pPr>
        <w:pStyle w:val="Item"/>
      </w:pPr>
      <w:r w:rsidRPr="00E77DE0">
        <w:t>Insert:</w:t>
      </w:r>
    </w:p>
    <w:p w14:paraId="2781A3BE" w14:textId="77777777" w:rsidR="00E1031F" w:rsidRPr="00E77DE0" w:rsidRDefault="00E1031F" w:rsidP="00E77DE0">
      <w:pPr>
        <w:pStyle w:val="Definition"/>
      </w:pPr>
      <w:r w:rsidRPr="00E77DE0">
        <w:rPr>
          <w:b/>
          <w:i/>
        </w:rPr>
        <w:t>higher education student records</w:t>
      </w:r>
      <w:r w:rsidRPr="00E77DE0">
        <w:t>:</w:t>
      </w:r>
    </w:p>
    <w:p w14:paraId="33737243" w14:textId="77777777" w:rsidR="00E1031F" w:rsidRPr="00E77DE0" w:rsidRDefault="00E1031F" w:rsidP="00E77DE0">
      <w:pPr>
        <w:pStyle w:val="paragraph"/>
      </w:pPr>
      <w:r w:rsidRPr="00E77DE0">
        <w:tab/>
        <w:t>(a)</w:t>
      </w:r>
      <w:r w:rsidRPr="00E77DE0">
        <w:tab/>
        <w:t>in relation to an entity that is a registered higher education provider, means a document, or an object, in any form (including any electronic form) that is held by the entity because of the document’s or object’s connection with a person who is or was enrolled in an accredited course provided by the entity; and</w:t>
      </w:r>
    </w:p>
    <w:p w14:paraId="6EF33DB1" w14:textId="77777777" w:rsidR="00E1031F" w:rsidRPr="00E77DE0" w:rsidRDefault="00E1031F" w:rsidP="00E77DE0">
      <w:pPr>
        <w:pStyle w:val="paragraph"/>
      </w:pPr>
      <w:r w:rsidRPr="00E77DE0">
        <w:tab/>
        <w:t>(b)</w:t>
      </w:r>
      <w:r w:rsidRPr="00E77DE0">
        <w:tab/>
        <w:t xml:space="preserve">in relation to an entity that is a former registered higher education provider, means a document, or an object, in any form (including any electronic form) that was held by the entity when the entity was a registered higher education provider because of the document’s or object’s connection with a person </w:t>
      </w:r>
      <w:r w:rsidR="00847D67" w:rsidRPr="00E77DE0">
        <w:t xml:space="preserve">who </w:t>
      </w:r>
      <w:r w:rsidRPr="00E77DE0">
        <w:t>was enrolled in an accredited course provided by the entity.</w:t>
      </w:r>
    </w:p>
    <w:p w14:paraId="0492A8D7" w14:textId="77777777" w:rsidR="008A2BD8" w:rsidRPr="00E77DE0" w:rsidRDefault="00E76AC0" w:rsidP="00E77DE0">
      <w:pPr>
        <w:pStyle w:val="ItemHead"/>
      </w:pPr>
      <w:r w:rsidRPr="00E77DE0">
        <w:t>22</w:t>
      </w:r>
      <w:r w:rsidR="008A2BD8" w:rsidRPr="00E77DE0">
        <w:t xml:space="preserve">  </w:t>
      </w:r>
      <w:r w:rsidR="00052258" w:rsidRPr="00E77DE0">
        <w:t>Sub</w:t>
      </w:r>
      <w:r w:rsidR="00E37B21" w:rsidRPr="00E77DE0">
        <w:t>section</w:t>
      </w:r>
      <w:r w:rsidR="00E77DE0" w:rsidRPr="00E77DE0">
        <w:t> </w:t>
      </w:r>
      <w:r w:rsidR="00E37B21" w:rsidRPr="00E77DE0">
        <w:t>3</w:t>
      </w:r>
      <w:r w:rsidR="008A2BD8" w:rsidRPr="00E77DE0">
        <w:t>7A(1)</w:t>
      </w:r>
    </w:p>
    <w:p w14:paraId="0963E533" w14:textId="77777777" w:rsidR="008A2BD8" w:rsidRPr="00E77DE0" w:rsidRDefault="008A2BD8" w:rsidP="00E77DE0">
      <w:pPr>
        <w:pStyle w:val="Item"/>
      </w:pPr>
      <w:r w:rsidRPr="00E77DE0">
        <w:t xml:space="preserve">Omit “, so long as the period has not been previously extended by </w:t>
      </w:r>
      <w:proofErr w:type="spellStart"/>
      <w:r w:rsidRPr="00E77DE0">
        <w:t>TEQSA</w:t>
      </w:r>
      <w:proofErr w:type="spellEnd"/>
      <w:r w:rsidRPr="00E77DE0">
        <w:t>”.</w:t>
      </w:r>
    </w:p>
    <w:p w14:paraId="585C85A1" w14:textId="77777777" w:rsidR="00883F5D" w:rsidRPr="00E77DE0" w:rsidRDefault="00E76AC0" w:rsidP="00E77DE0">
      <w:pPr>
        <w:pStyle w:val="ItemHead"/>
      </w:pPr>
      <w:r w:rsidRPr="00E77DE0">
        <w:t>23</w:t>
      </w:r>
      <w:r w:rsidR="00883F5D" w:rsidRPr="00E77DE0">
        <w:t xml:space="preserve">  After </w:t>
      </w:r>
      <w:r w:rsidR="00052258" w:rsidRPr="00E77DE0">
        <w:t>sub</w:t>
      </w:r>
      <w:r w:rsidR="00E37B21" w:rsidRPr="00E77DE0">
        <w:t>section</w:t>
      </w:r>
      <w:r w:rsidR="00E77DE0" w:rsidRPr="00E77DE0">
        <w:t> </w:t>
      </w:r>
      <w:r w:rsidR="00E37B21" w:rsidRPr="00E77DE0">
        <w:t>3</w:t>
      </w:r>
      <w:r w:rsidR="00883F5D" w:rsidRPr="00E77DE0">
        <w:t>8(1)</w:t>
      </w:r>
    </w:p>
    <w:p w14:paraId="707F62DA" w14:textId="77777777" w:rsidR="00883F5D" w:rsidRPr="00E77DE0" w:rsidRDefault="00883F5D" w:rsidP="00E77DE0">
      <w:pPr>
        <w:pStyle w:val="Item"/>
      </w:pPr>
      <w:r w:rsidRPr="00E77DE0">
        <w:t>Insert:</w:t>
      </w:r>
    </w:p>
    <w:p w14:paraId="62003E94" w14:textId="77777777" w:rsidR="007B2379" w:rsidRPr="00E77DE0" w:rsidRDefault="00883F5D" w:rsidP="00E77DE0">
      <w:pPr>
        <w:pStyle w:val="subsection"/>
      </w:pPr>
      <w:r w:rsidRPr="00E77DE0">
        <w:tab/>
        <w:t>(1A)</w:t>
      </w:r>
      <w:r w:rsidRPr="00E77DE0">
        <w:tab/>
        <w:t xml:space="preserve">In relation to an application under </w:t>
      </w:r>
      <w:r w:rsidR="00E77DE0" w:rsidRPr="00E77DE0">
        <w:t>paragraph (</w:t>
      </w:r>
      <w:r w:rsidRPr="00E77DE0">
        <w:t xml:space="preserve">1)(b), if </w:t>
      </w:r>
      <w:proofErr w:type="spellStart"/>
      <w:r w:rsidR="00AC3CD1" w:rsidRPr="00E77DE0">
        <w:t>TEQSA</w:t>
      </w:r>
      <w:proofErr w:type="spellEnd"/>
      <w:r w:rsidRPr="00E77DE0">
        <w:t xml:space="preserve"> </w:t>
      </w:r>
      <w:r w:rsidR="00AC3CD1" w:rsidRPr="00E77DE0">
        <w:t>considers</w:t>
      </w:r>
      <w:r w:rsidRPr="00E77DE0">
        <w:t xml:space="preserve"> that the provider category in </w:t>
      </w:r>
      <w:r w:rsidR="00AC3CD1" w:rsidRPr="00E77DE0">
        <w:t>which the provider is</w:t>
      </w:r>
      <w:r w:rsidR="001B3DC9" w:rsidRPr="00E77DE0">
        <w:t xml:space="preserve"> </w:t>
      </w:r>
      <w:r w:rsidR="00AC3CD1" w:rsidRPr="00E77DE0">
        <w:t>registere</w:t>
      </w:r>
      <w:r w:rsidRPr="00E77DE0">
        <w:t>d should</w:t>
      </w:r>
      <w:r w:rsidR="00AC3CD1" w:rsidRPr="00E77DE0">
        <w:t xml:space="preserve"> </w:t>
      </w:r>
      <w:r w:rsidRPr="00E77DE0">
        <w:t>n</w:t>
      </w:r>
      <w:r w:rsidR="00AC3CD1" w:rsidRPr="00E77DE0">
        <w:t>o</w:t>
      </w:r>
      <w:r w:rsidRPr="00E77DE0">
        <w:t xml:space="preserve">t be changed, </w:t>
      </w:r>
      <w:proofErr w:type="spellStart"/>
      <w:r w:rsidRPr="00E77DE0">
        <w:t>TEQSA</w:t>
      </w:r>
      <w:proofErr w:type="spellEnd"/>
      <w:r w:rsidRPr="00E77DE0">
        <w:t xml:space="preserve"> may decide not to change that category.</w:t>
      </w:r>
    </w:p>
    <w:p w14:paraId="3E6D977F" w14:textId="77777777" w:rsidR="007B2379" w:rsidRPr="00E77DE0" w:rsidRDefault="00E76AC0" w:rsidP="00E77DE0">
      <w:pPr>
        <w:pStyle w:val="ItemHead"/>
      </w:pPr>
      <w:r w:rsidRPr="00E77DE0">
        <w:lastRenderedPageBreak/>
        <w:t>24</w:t>
      </w:r>
      <w:r w:rsidR="007B2379" w:rsidRPr="00E77DE0">
        <w:t xml:space="preserve">  </w:t>
      </w:r>
      <w:r w:rsidR="00052258" w:rsidRPr="00E77DE0">
        <w:t>Sub</w:t>
      </w:r>
      <w:r w:rsidR="00E37B21" w:rsidRPr="00E77DE0">
        <w:t>section</w:t>
      </w:r>
      <w:r w:rsidR="00E77DE0" w:rsidRPr="00E77DE0">
        <w:t> </w:t>
      </w:r>
      <w:r w:rsidR="00E37B21" w:rsidRPr="00E77DE0">
        <w:t>3</w:t>
      </w:r>
      <w:r w:rsidR="007B2379" w:rsidRPr="00E77DE0">
        <w:t>8(2)</w:t>
      </w:r>
    </w:p>
    <w:p w14:paraId="0D59B3EA" w14:textId="77777777" w:rsidR="007B2379" w:rsidRPr="00E77DE0" w:rsidRDefault="007B2379" w:rsidP="00E77DE0">
      <w:pPr>
        <w:pStyle w:val="Item"/>
      </w:pPr>
      <w:r w:rsidRPr="00E77DE0">
        <w:t xml:space="preserve">Omit “doing so”, substitute “making a decision under </w:t>
      </w:r>
      <w:r w:rsidR="00E77DE0" w:rsidRPr="00E77DE0">
        <w:t>subsection (</w:t>
      </w:r>
      <w:r w:rsidRPr="00E77DE0">
        <w:t>1) or (1A)”.</w:t>
      </w:r>
    </w:p>
    <w:p w14:paraId="4557C424" w14:textId="77777777" w:rsidR="00883F5D" w:rsidRPr="00E77DE0" w:rsidRDefault="00E76AC0" w:rsidP="00E77DE0">
      <w:pPr>
        <w:pStyle w:val="ItemHead"/>
      </w:pPr>
      <w:r w:rsidRPr="00E77DE0">
        <w:t>25</w:t>
      </w:r>
      <w:r w:rsidR="00883F5D" w:rsidRPr="00E77DE0">
        <w:t xml:space="preserve">  </w:t>
      </w:r>
      <w:r w:rsidR="00052258" w:rsidRPr="00E77DE0">
        <w:t>Section</w:t>
      </w:r>
      <w:r w:rsidR="00E77DE0" w:rsidRPr="00E77DE0">
        <w:t> </w:t>
      </w:r>
      <w:r w:rsidR="00052258" w:rsidRPr="00E77DE0">
        <w:t>4</w:t>
      </w:r>
      <w:r w:rsidR="00883F5D" w:rsidRPr="00E77DE0">
        <w:t>0</w:t>
      </w:r>
    </w:p>
    <w:p w14:paraId="530C7264" w14:textId="77777777" w:rsidR="00883F5D" w:rsidRPr="00E77DE0" w:rsidRDefault="00883F5D" w:rsidP="00E77DE0">
      <w:pPr>
        <w:pStyle w:val="Item"/>
      </w:pPr>
      <w:r w:rsidRPr="00E77DE0">
        <w:t>After “</w:t>
      </w:r>
      <w:r w:rsidR="00052258" w:rsidRPr="00E77DE0">
        <w:t>sub</w:t>
      </w:r>
      <w:r w:rsidR="00E37B21" w:rsidRPr="00E77DE0">
        <w:t>section</w:t>
      </w:r>
      <w:r w:rsidR="00E77DE0" w:rsidRPr="00E77DE0">
        <w:t> </w:t>
      </w:r>
      <w:r w:rsidR="00E37B21" w:rsidRPr="00E77DE0">
        <w:t>3</w:t>
      </w:r>
      <w:r w:rsidRPr="00E77DE0">
        <w:t>8(1)”, insert “or (1A)”.</w:t>
      </w:r>
    </w:p>
    <w:p w14:paraId="1F8D53F3" w14:textId="77777777" w:rsidR="008A2BD8" w:rsidRPr="00E77DE0" w:rsidRDefault="00E76AC0" w:rsidP="00E77DE0">
      <w:pPr>
        <w:pStyle w:val="ItemHead"/>
      </w:pPr>
      <w:r w:rsidRPr="00E77DE0">
        <w:t>26</w:t>
      </w:r>
      <w:r w:rsidR="008A2BD8" w:rsidRPr="00E77DE0">
        <w:t xml:space="preserve">  </w:t>
      </w:r>
      <w:r w:rsidR="00052258" w:rsidRPr="00E77DE0">
        <w:t>Sub</w:t>
      </w:r>
      <w:r w:rsidR="00E37B21" w:rsidRPr="00E77DE0">
        <w:t>section</w:t>
      </w:r>
      <w:r w:rsidR="00E77DE0" w:rsidRPr="00E77DE0">
        <w:t> </w:t>
      </w:r>
      <w:r w:rsidR="00E37B21" w:rsidRPr="00E77DE0">
        <w:t>5</w:t>
      </w:r>
      <w:r w:rsidR="008A2BD8" w:rsidRPr="00E77DE0">
        <w:t>7A(1)</w:t>
      </w:r>
    </w:p>
    <w:p w14:paraId="0BDA6128" w14:textId="77777777" w:rsidR="008A2BD8" w:rsidRPr="00E77DE0" w:rsidRDefault="008A2BD8" w:rsidP="00E77DE0">
      <w:pPr>
        <w:pStyle w:val="Item"/>
      </w:pPr>
      <w:r w:rsidRPr="00E77DE0">
        <w:t xml:space="preserve">Omit “, so long as the period has not been previously extended by </w:t>
      </w:r>
      <w:proofErr w:type="spellStart"/>
      <w:r w:rsidRPr="00E77DE0">
        <w:t>TEQSA</w:t>
      </w:r>
      <w:proofErr w:type="spellEnd"/>
      <w:r w:rsidRPr="00E77DE0">
        <w:t>”.</w:t>
      </w:r>
    </w:p>
    <w:p w14:paraId="53CDE0C5" w14:textId="77777777" w:rsidR="00883F5D" w:rsidRPr="00E77DE0" w:rsidRDefault="00E76AC0" w:rsidP="00E77DE0">
      <w:pPr>
        <w:pStyle w:val="ItemHead"/>
      </w:pPr>
      <w:r w:rsidRPr="00E77DE0">
        <w:t>27</w:t>
      </w:r>
      <w:r w:rsidR="00883F5D" w:rsidRPr="00E77DE0">
        <w:t xml:space="preserve">  </w:t>
      </w:r>
      <w:r w:rsidR="00E37B21" w:rsidRPr="00E77DE0">
        <w:t>Section</w:t>
      </w:r>
      <w:r w:rsidR="00E77DE0" w:rsidRPr="00E77DE0">
        <w:t> </w:t>
      </w:r>
      <w:r w:rsidR="00E37B21" w:rsidRPr="00E77DE0">
        <w:t>1</w:t>
      </w:r>
      <w:r w:rsidR="00883F5D" w:rsidRPr="00E77DE0">
        <w:t>83 (table)</w:t>
      </w:r>
    </w:p>
    <w:p w14:paraId="1C34C9F9" w14:textId="77777777" w:rsidR="00883F5D" w:rsidRPr="00E77DE0" w:rsidRDefault="00883F5D" w:rsidP="00E77DE0">
      <w:pPr>
        <w:pStyle w:val="Item"/>
      </w:pPr>
      <w:r w:rsidRPr="00E77DE0">
        <w:t>After:</w:t>
      </w:r>
    </w:p>
    <w:p w14:paraId="30351838" w14:textId="77777777" w:rsidR="00883F5D" w:rsidRPr="00E77DE0" w:rsidRDefault="00883F5D" w:rsidP="00E77DE0">
      <w:pPr>
        <w:pStyle w:val="Tabletext"/>
      </w:pPr>
      <w:r w:rsidRPr="00E77DE0">
        <w:t xml:space="preserve">A decision under </w:t>
      </w:r>
      <w:r w:rsidR="00E37B21" w:rsidRPr="00E77DE0">
        <w:t>section</w:t>
      </w:r>
      <w:r w:rsidR="00E77DE0" w:rsidRPr="00E77DE0">
        <w:t> </w:t>
      </w:r>
      <w:r w:rsidR="00E37B21" w:rsidRPr="00E77DE0">
        <w:t>3</w:t>
      </w:r>
      <w:r w:rsidRPr="00E77DE0">
        <w:t>8 to change the category in which a registered higher education provider is registered</w:t>
      </w:r>
    </w:p>
    <w:p w14:paraId="7FEEF01C" w14:textId="77777777" w:rsidR="00883F5D" w:rsidRPr="00E77DE0" w:rsidRDefault="00BB3DE9" w:rsidP="00E77DE0">
      <w:pPr>
        <w:pStyle w:val="Item"/>
      </w:pPr>
      <w:r w:rsidRPr="00E77DE0">
        <w:t>i</w:t>
      </w:r>
      <w:r w:rsidR="00883F5D" w:rsidRPr="00E77DE0">
        <w:t>nsert:</w:t>
      </w:r>
    </w:p>
    <w:p w14:paraId="0C7E653A" w14:textId="77777777" w:rsidR="00883F5D" w:rsidRPr="00E77DE0" w:rsidRDefault="00883F5D" w:rsidP="00E77DE0">
      <w:pPr>
        <w:pStyle w:val="Tabletext"/>
      </w:pPr>
      <w:r w:rsidRPr="00E77DE0">
        <w:t xml:space="preserve">A decision under </w:t>
      </w:r>
      <w:r w:rsidR="00E37B21" w:rsidRPr="00E77DE0">
        <w:t>section</w:t>
      </w:r>
      <w:r w:rsidR="00E77DE0" w:rsidRPr="00E77DE0">
        <w:t> </w:t>
      </w:r>
      <w:r w:rsidR="00E37B21" w:rsidRPr="00E77DE0">
        <w:t>3</w:t>
      </w:r>
      <w:r w:rsidRPr="00E77DE0">
        <w:t>8 not to change the category in which a registered higher education provider is registered</w:t>
      </w:r>
    </w:p>
    <w:p w14:paraId="67FE09B5" w14:textId="77777777" w:rsidR="00E1031F" w:rsidRPr="00E77DE0" w:rsidRDefault="00E76AC0" w:rsidP="00E77DE0">
      <w:pPr>
        <w:pStyle w:val="ItemHead"/>
      </w:pPr>
      <w:r w:rsidRPr="00E77DE0">
        <w:t>28</w:t>
      </w:r>
      <w:r w:rsidR="00E1031F" w:rsidRPr="00E77DE0">
        <w:t xml:space="preserve">  At the end of </w:t>
      </w:r>
      <w:r w:rsidR="00E37B21" w:rsidRPr="00E77DE0">
        <w:t>Division</w:t>
      </w:r>
      <w:r w:rsidR="00E77DE0" w:rsidRPr="00E77DE0">
        <w:t> </w:t>
      </w:r>
      <w:r w:rsidR="00E37B21" w:rsidRPr="00E77DE0">
        <w:t>2</w:t>
      </w:r>
      <w:r w:rsidR="00E1031F" w:rsidRPr="00E77DE0">
        <w:t xml:space="preserve"> of </w:t>
      </w:r>
      <w:r w:rsidR="00E37B21" w:rsidRPr="00E77DE0">
        <w:t>Part</w:t>
      </w:r>
      <w:r w:rsidR="00E77DE0" w:rsidRPr="00E77DE0">
        <w:t> </w:t>
      </w:r>
      <w:r w:rsidR="00E37B21" w:rsidRPr="00E77DE0">
        <w:t>1</w:t>
      </w:r>
      <w:r w:rsidR="00E1031F" w:rsidRPr="00E77DE0">
        <w:t>0</w:t>
      </w:r>
    </w:p>
    <w:p w14:paraId="17C741F8" w14:textId="77777777" w:rsidR="00E1031F" w:rsidRPr="00E77DE0" w:rsidRDefault="00E1031F" w:rsidP="00E77DE0">
      <w:pPr>
        <w:pStyle w:val="Item"/>
      </w:pPr>
      <w:r w:rsidRPr="00E77DE0">
        <w:t>Add:</w:t>
      </w:r>
    </w:p>
    <w:p w14:paraId="523A7912" w14:textId="77777777" w:rsidR="00E1031F" w:rsidRPr="00E77DE0" w:rsidRDefault="00E1031F" w:rsidP="00E77DE0">
      <w:pPr>
        <w:pStyle w:val="ActHead4"/>
      </w:pPr>
      <w:bookmarkStart w:id="29" w:name="_Toc65761544"/>
      <w:r w:rsidRPr="003D1661">
        <w:rPr>
          <w:rStyle w:val="CharSubdNo"/>
        </w:rPr>
        <w:t>Subdivision C</w:t>
      </w:r>
      <w:r w:rsidRPr="00E77DE0">
        <w:t>—</w:t>
      </w:r>
      <w:r w:rsidR="00B5528E" w:rsidRPr="003D1661">
        <w:rPr>
          <w:rStyle w:val="CharSubdText"/>
        </w:rPr>
        <w:t>Higher education student records</w:t>
      </w:r>
      <w:bookmarkEnd w:id="29"/>
    </w:p>
    <w:p w14:paraId="2843874D" w14:textId="77777777" w:rsidR="00E1031F" w:rsidRPr="00E77DE0" w:rsidRDefault="00E1031F" w:rsidP="00E77DE0">
      <w:pPr>
        <w:pStyle w:val="ActHead5"/>
      </w:pPr>
      <w:bookmarkStart w:id="30" w:name="_Toc65761545"/>
      <w:r w:rsidRPr="003D1661">
        <w:rPr>
          <w:rStyle w:val="CharSectno"/>
        </w:rPr>
        <w:t>197AA</w:t>
      </w:r>
      <w:r w:rsidRPr="00E77DE0">
        <w:t xml:space="preserve">  Higher education student records to be provided to </w:t>
      </w:r>
      <w:proofErr w:type="spellStart"/>
      <w:r w:rsidRPr="00E77DE0">
        <w:t>TEQSA</w:t>
      </w:r>
      <w:bookmarkEnd w:id="30"/>
      <w:proofErr w:type="spellEnd"/>
    </w:p>
    <w:p w14:paraId="41AA4DB2" w14:textId="77777777" w:rsidR="006854AC" w:rsidRPr="00E77DE0" w:rsidRDefault="006854AC" w:rsidP="00E77DE0">
      <w:pPr>
        <w:pStyle w:val="subsection"/>
      </w:pPr>
      <w:r w:rsidRPr="00E77DE0">
        <w:tab/>
        <w:t>(1)</w:t>
      </w:r>
      <w:r w:rsidRPr="00E77DE0">
        <w:tab/>
        <w:t>If:</w:t>
      </w:r>
    </w:p>
    <w:p w14:paraId="3D736C66" w14:textId="77777777" w:rsidR="006854AC" w:rsidRPr="00E77DE0" w:rsidRDefault="006854AC" w:rsidP="00E77DE0">
      <w:pPr>
        <w:pStyle w:val="paragraph"/>
      </w:pPr>
      <w:r w:rsidRPr="00E77DE0">
        <w:tab/>
        <w:t>(a)</w:t>
      </w:r>
      <w:r w:rsidRPr="00E77DE0">
        <w:tab/>
        <w:t>an entity that is a registered higher education provider has effectively ceased to operate; or</w:t>
      </w:r>
    </w:p>
    <w:p w14:paraId="10124A84" w14:textId="77777777" w:rsidR="006854AC" w:rsidRPr="00E77DE0" w:rsidRDefault="006854AC" w:rsidP="00E77DE0">
      <w:pPr>
        <w:pStyle w:val="paragraph"/>
      </w:pPr>
      <w:r w:rsidRPr="00E77DE0">
        <w:tab/>
        <w:t>(b)</w:t>
      </w:r>
      <w:r w:rsidRPr="00E77DE0">
        <w:tab/>
        <w:t>an entity’s registration as a registered higher education provider is cancelled;</w:t>
      </w:r>
    </w:p>
    <w:p w14:paraId="28C16C0B" w14:textId="77777777" w:rsidR="006854AC" w:rsidRPr="00E77DE0" w:rsidRDefault="006854AC" w:rsidP="00E77DE0">
      <w:pPr>
        <w:pStyle w:val="subsection2"/>
      </w:pPr>
      <w:proofErr w:type="spellStart"/>
      <w:r w:rsidRPr="00E77DE0">
        <w:t>TEQSA</w:t>
      </w:r>
      <w:proofErr w:type="spellEnd"/>
      <w:r w:rsidRPr="00E77DE0">
        <w:t xml:space="preserve"> may, by written notice given to a person </w:t>
      </w:r>
      <w:r w:rsidR="00DA4B22" w:rsidRPr="00E77DE0">
        <w:t xml:space="preserve">who </w:t>
      </w:r>
      <w:r w:rsidRPr="00E77DE0">
        <w:t xml:space="preserve">is, or was, an executive officer of the entity, require the person to provide </w:t>
      </w:r>
      <w:r w:rsidR="004956E2" w:rsidRPr="00E77DE0">
        <w:t xml:space="preserve">to </w:t>
      </w:r>
      <w:proofErr w:type="spellStart"/>
      <w:r w:rsidR="004956E2" w:rsidRPr="00E77DE0">
        <w:t>TEQSA</w:t>
      </w:r>
      <w:proofErr w:type="spellEnd"/>
      <w:r w:rsidR="004956E2" w:rsidRPr="00E77DE0">
        <w:t xml:space="preserve"> </w:t>
      </w:r>
      <w:r w:rsidRPr="00E77DE0">
        <w:t>a copy of such of the higher education student records relating to the entity as are specified in the notice within the period specified in the notice.</w:t>
      </w:r>
    </w:p>
    <w:p w14:paraId="1F5A9D6B" w14:textId="77777777" w:rsidR="006854AC" w:rsidRPr="00E77DE0" w:rsidRDefault="006854AC" w:rsidP="00E77DE0">
      <w:pPr>
        <w:pStyle w:val="subsection"/>
      </w:pPr>
      <w:r w:rsidRPr="00E77DE0">
        <w:lastRenderedPageBreak/>
        <w:tab/>
        <w:t>(2)</w:t>
      </w:r>
      <w:r w:rsidRPr="00E77DE0">
        <w:tab/>
        <w:t>The period specified in the notice must be at least 14 days after the notice is given.</w:t>
      </w:r>
    </w:p>
    <w:p w14:paraId="7255C6EB" w14:textId="77777777" w:rsidR="00DA4B22" w:rsidRPr="00E77DE0" w:rsidRDefault="00DA4B22" w:rsidP="00E77DE0">
      <w:pPr>
        <w:pStyle w:val="SubsectionHead"/>
      </w:pPr>
      <w:r w:rsidRPr="00E77DE0">
        <w:t>Offence</w:t>
      </w:r>
    </w:p>
    <w:p w14:paraId="5FBD1649" w14:textId="77777777" w:rsidR="006854AC" w:rsidRPr="00E77DE0" w:rsidRDefault="006854AC" w:rsidP="00E77DE0">
      <w:pPr>
        <w:pStyle w:val="subsection"/>
      </w:pPr>
      <w:r w:rsidRPr="00E77DE0">
        <w:tab/>
        <w:t>(</w:t>
      </w:r>
      <w:r w:rsidR="005353FF" w:rsidRPr="00E77DE0">
        <w:t>3</w:t>
      </w:r>
      <w:r w:rsidRPr="00E77DE0">
        <w:t>)</w:t>
      </w:r>
      <w:r w:rsidRPr="00E77DE0">
        <w:tab/>
        <w:t>A person commits an offence if:</w:t>
      </w:r>
    </w:p>
    <w:p w14:paraId="740CE487" w14:textId="77777777" w:rsidR="006854AC" w:rsidRPr="00E77DE0" w:rsidRDefault="006854AC" w:rsidP="00E77DE0">
      <w:pPr>
        <w:pStyle w:val="paragraph"/>
      </w:pPr>
      <w:r w:rsidRPr="00E77DE0">
        <w:tab/>
        <w:t>(a)</w:t>
      </w:r>
      <w:r w:rsidRPr="00E77DE0">
        <w:tab/>
        <w:t xml:space="preserve">the person is given a notice under </w:t>
      </w:r>
      <w:r w:rsidR="00E77DE0" w:rsidRPr="00E77DE0">
        <w:t>subsection (</w:t>
      </w:r>
      <w:r w:rsidRPr="00E77DE0">
        <w:t>1); and</w:t>
      </w:r>
    </w:p>
    <w:p w14:paraId="2DA81278" w14:textId="77777777" w:rsidR="006854AC" w:rsidRPr="00E77DE0" w:rsidRDefault="006854AC" w:rsidP="00E77DE0">
      <w:pPr>
        <w:pStyle w:val="paragraph"/>
      </w:pPr>
      <w:r w:rsidRPr="00E77DE0">
        <w:tab/>
        <w:t>(b)</w:t>
      </w:r>
      <w:r w:rsidRPr="00E77DE0">
        <w:tab/>
        <w:t>the person possesses or controls the higher education student records specified in the notice; and</w:t>
      </w:r>
    </w:p>
    <w:p w14:paraId="23D95026" w14:textId="77777777" w:rsidR="006854AC" w:rsidRPr="00E77DE0" w:rsidRDefault="006854AC" w:rsidP="00E77DE0">
      <w:pPr>
        <w:pStyle w:val="paragraph"/>
      </w:pPr>
      <w:r w:rsidRPr="00E77DE0">
        <w:tab/>
        <w:t>(c)</w:t>
      </w:r>
      <w:r w:rsidRPr="00E77DE0">
        <w:tab/>
        <w:t>the person fails to comply with the notice.</w:t>
      </w:r>
    </w:p>
    <w:p w14:paraId="62E49160" w14:textId="77777777" w:rsidR="00DA4B22" w:rsidRPr="00E77DE0" w:rsidRDefault="00DA4B22" w:rsidP="00E77DE0">
      <w:pPr>
        <w:pStyle w:val="Penalty"/>
      </w:pPr>
      <w:r w:rsidRPr="00E77DE0">
        <w:t>Penalty:</w:t>
      </w:r>
      <w:r w:rsidRPr="00E77DE0">
        <w:tab/>
        <w:t>150</w:t>
      </w:r>
      <w:r w:rsidRPr="00E77DE0">
        <w:rPr>
          <w:i/>
        </w:rPr>
        <w:t xml:space="preserve"> </w:t>
      </w:r>
      <w:r w:rsidRPr="00E77DE0">
        <w:t>penalty units.</w:t>
      </w:r>
    </w:p>
    <w:p w14:paraId="75AA0C54" w14:textId="77777777" w:rsidR="00DA4B22" w:rsidRPr="00E77DE0" w:rsidRDefault="00DA4B22" w:rsidP="00E77DE0">
      <w:pPr>
        <w:pStyle w:val="SubsectionHead"/>
      </w:pPr>
      <w:r w:rsidRPr="00E77DE0">
        <w:t>Civil penalty</w:t>
      </w:r>
    </w:p>
    <w:p w14:paraId="17A7E768" w14:textId="77777777" w:rsidR="00DA4B22" w:rsidRPr="00E77DE0" w:rsidRDefault="00DA4B22" w:rsidP="00E77DE0">
      <w:pPr>
        <w:pStyle w:val="subsection"/>
      </w:pPr>
      <w:r w:rsidRPr="00E77DE0">
        <w:tab/>
        <w:t>(</w:t>
      </w:r>
      <w:r w:rsidR="005353FF" w:rsidRPr="00E77DE0">
        <w:t>4</w:t>
      </w:r>
      <w:r w:rsidRPr="00E77DE0">
        <w:t>)</w:t>
      </w:r>
      <w:r w:rsidRPr="00E77DE0">
        <w:tab/>
        <w:t>A person contravenes this subsection if:</w:t>
      </w:r>
    </w:p>
    <w:p w14:paraId="1F65420C" w14:textId="77777777" w:rsidR="00DA4B22" w:rsidRPr="00E77DE0" w:rsidRDefault="00DA4B22" w:rsidP="00E77DE0">
      <w:pPr>
        <w:pStyle w:val="paragraph"/>
      </w:pPr>
      <w:r w:rsidRPr="00E77DE0">
        <w:tab/>
        <w:t>(a)</w:t>
      </w:r>
      <w:r w:rsidRPr="00E77DE0">
        <w:tab/>
        <w:t xml:space="preserve">the person is given a notice under </w:t>
      </w:r>
      <w:r w:rsidR="00E77DE0" w:rsidRPr="00E77DE0">
        <w:t>subsection (</w:t>
      </w:r>
      <w:r w:rsidRPr="00E77DE0">
        <w:t>1); and</w:t>
      </w:r>
    </w:p>
    <w:p w14:paraId="0AA381DB" w14:textId="77777777" w:rsidR="00DA4B22" w:rsidRPr="00E77DE0" w:rsidRDefault="00DA4B22" w:rsidP="00E77DE0">
      <w:pPr>
        <w:pStyle w:val="paragraph"/>
      </w:pPr>
      <w:r w:rsidRPr="00E77DE0">
        <w:tab/>
        <w:t>(b)</w:t>
      </w:r>
      <w:r w:rsidRPr="00E77DE0">
        <w:tab/>
        <w:t>the person possesses or controls the higher education student records specified in the notice; and</w:t>
      </w:r>
    </w:p>
    <w:p w14:paraId="3DB96A94" w14:textId="77777777" w:rsidR="00DA4B22" w:rsidRPr="00E77DE0" w:rsidRDefault="00DA4B22" w:rsidP="00E77DE0">
      <w:pPr>
        <w:pStyle w:val="paragraph"/>
      </w:pPr>
      <w:r w:rsidRPr="00E77DE0">
        <w:tab/>
        <w:t>(c)</w:t>
      </w:r>
      <w:r w:rsidRPr="00E77DE0">
        <w:tab/>
        <w:t>the person fails to comply with the notice.</w:t>
      </w:r>
    </w:p>
    <w:p w14:paraId="0D3A7634" w14:textId="77777777" w:rsidR="00E1031F" w:rsidRPr="00E77DE0" w:rsidRDefault="00E1031F" w:rsidP="00E77DE0">
      <w:pPr>
        <w:pStyle w:val="Penalty"/>
      </w:pPr>
      <w:r w:rsidRPr="00E77DE0">
        <w:t>Civil penalty:</w:t>
      </w:r>
      <w:r w:rsidRPr="00E77DE0">
        <w:tab/>
        <w:t>300</w:t>
      </w:r>
      <w:r w:rsidRPr="00E77DE0">
        <w:rPr>
          <w:i/>
        </w:rPr>
        <w:t xml:space="preserve"> </w:t>
      </w:r>
      <w:r w:rsidRPr="00E77DE0">
        <w:t>penalty units.</w:t>
      </w:r>
    </w:p>
    <w:p w14:paraId="16D5527B" w14:textId="77777777" w:rsidR="00E1031F" w:rsidRPr="00E77DE0" w:rsidRDefault="00E1031F" w:rsidP="00E77DE0">
      <w:pPr>
        <w:pStyle w:val="ActHead5"/>
      </w:pPr>
      <w:bookmarkStart w:id="31" w:name="_Toc65761546"/>
      <w:r w:rsidRPr="003D1661">
        <w:rPr>
          <w:rStyle w:val="CharSectno"/>
        </w:rPr>
        <w:t>197AB</w:t>
      </w:r>
      <w:r w:rsidRPr="00E77DE0">
        <w:t xml:space="preserve">  </w:t>
      </w:r>
      <w:proofErr w:type="spellStart"/>
      <w:r w:rsidRPr="00E77DE0">
        <w:t>TEQSA</w:t>
      </w:r>
      <w:proofErr w:type="spellEnd"/>
      <w:r w:rsidRPr="00E77DE0">
        <w:t xml:space="preserve"> may request higher education student records</w:t>
      </w:r>
      <w:bookmarkEnd w:id="31"/>
    </w:p>
    <w:p w14:paraId="10C9E4E5" w14:textId="77777777" w:rsidR="00E1031F" w:rsidRPr="00E77DE0" w:rsidRDefault="00E1031F" w:rsidP="00E77DE0">
      <w:pPr>
        <w:pStyle w:val="subsection"/>
      </w:pPr>
      <w:r w:rsidRPr="00E77DE0">
        <w:tab/>
      </w:r>
      <w:r w:rsidRPr="00E77DE0">
        <w:tab/>
        <w:t>If:</w:t>
      </w:r>
    </w:p>
    <w:p w14:paraId="2C5EDF1D" w14:textId="77777777" w:rsidR="00E1031F" w:rsidRPr="00E77DE0" w:rsidRDefault="00E1031F" w:rsidP="00E77DE0">
      <w:pPr>
        <w:pStyle w:val="paragraph"/>
      </w:pPr>
      <w:r w:rsidRPr="00E77DE0">
        <w:tab/>
        <w:t>(a)</w:t>
      </w:r>
      <w:r w:rsidRPr="00E77DE0">
        <w:tab/>
        <w:t>either:</w:t>
      </w:r>
    </w:p>
    <w:p w14:paraId="4EA21EAC" w14:textId="77777777" w:rsidR="00E1031F" w:rsidRPr="00E77DE0" w:rsidRDefault="00E1031F" w:rsidP="00E77DE0">
      <w:pPr>
        <w:pStyle w:val="paragraphsub"/>
      </w:pPr>
      <w:r w:rsidRPr="00E77DE0">
        <w:tab/>
        <w:t>(</w:t>
      </w:r>
      <w:proofErr w:type="spellStart"/>
      <w:r w:rsidRPr="00E77DE0">
        <w:t>i</w:t>
      </w:r>
      <w:proofErr w:type="spellEnd"/>
      <w:r w:rsidRPr="00E77DE0">
        <w:t>)</w:t>
      </w:r>
      <w:r w:rsidRPr="00E77DE0">
        <w:tab/>
        <w:t>an entity that is a registered higher education provider has effectively ceased to operate; or</w:t>
      </w:r>
    </w:p>
    <w:p w14:paraId="3C7F7CBC" w14:textId="77777777" w:rsidR="00E1031F" w:rsidRPr="00E77DE0" w:rsidRDefault="00E1031F" w:rsidP="00E77DE0">
      <w:pPr>
        <w:pStyle w:val="paragraphsub"/>
      </w:pPr>
      <w:r w:rsidRPr="00E77DE0">
        <w:tab/>
        <w:t>(ii)</w:t>
      </w:r>
      <w:r w:rsidRPr="00E77DE0">
        <w:tab/>
        <w:t>an entity’s registration as a registered higher education provider is cancelled; and</w:t>
      </w:r>
    </w:p>
    <w:p w14:paraId="01E10062" w14:textId="77777777" w:rsidR="00E1031F" w:rsidRPr="00E77DE0" w:rsidRDefault="00E1031F" w:rsidP="00E77DE0">
      <w:pPr>
        <w:pStyle w:val="paragraph"/>
      </w:pPr>
      <w:r w:rsidRPr="00E77DE0">
        <w:tab/>
        <w:t>(b)</w:t>
      </w:r>
      <w:r w:rsidRPr="00E77DE0">
        <w:tab/>
      </w:r>
      <w:proofErr w:type="spellStart"/>
      <w:r w:rsidRPr="00E77DE0">
        <w:t>TEQSA</w:t>
      </w:r>
      <w:proofErr w:type="spellEnd"/>
      <w:r w:rsidRPr="00E77DE0">
        <w:t xml:space="preserve"> consider</w:t>
      </w:r>
      <w:r w:rsidR="008D1B7F" w:rsidRPr="00E77DE0">
        <w:t>s</w:t>
      </w:r>
      <w:r w:rsidRPr="00E77DE0">
        <w:t xml:space="preserve"> that a person (the </w:t>
      </w:r>
      <w:r w:rsidRPr="00E77DE0">
        <w:rPr>
          <w:b/>
          <w:i/>
        </w:rPr>
        <w:t>holder</w:t>
      </w:r>
      <w:r w:rsidRPr="00E77DE0">
        <w:t>) may hold higher education student records relating to the entity; and</w:t>
      </w:r>
    </w:p>
    <w:p w14:paraId="2FD8590A" w14:textId="77777777" w:rsidR="00E1031F" w:rsidRPr="00E77DE0" w:rsidRDefault="00E1031F" w:rsidP="00E77DE0">
      <w:pPr>
        <w:pStyle w:val="paragraph"/>
      </w:pPr>
      <w:r w:rsidRPr="00E77DE0">
        <w:tab/>
        <w:t>(c)</w:t>
      </w:r>
      <w:r w:rsidRPr="00E77DE0">
        <w:tab/>
        <w:t xml:space="preserve">the holder is not a person </w:t>
      </w:r>
      <w:r w:rsidR="00921A96" w:rsidRPr="00E77DE0">
        <w:t>who is, or was, an executive officer of the entity</w:t>
      </w:r>
      <w:r w:rsidRPr="00E77DE0">
        <w:t>;</w:t>
      </w:r>
    </w:p>
    <w:p w14:paraId="19DC9946" w14:textId="77777777" w:rsidR="00E1031F" w:rsidRPr="00E77DE0" w:rsidRDefault="00E1031F" w:rsidP="00E77DE0">
      <w:pPr>
        <w:pStyle w:val="subsection2"/>
      </w:pPr>
      <w:proofErr w:type="spellStart"/>
      <w:r w:rsidRPr="00E77DE0">
        <w:t>TEQSA</w:t>
      </w:r>
      <w:proofErr w:type="spellEnd"/>
      <w:r w:rsidRPr="00E77DE0">
        <w:t xml:space="preserve"> may, by notice in writing, request the holder </w:t>
      </w:r>
      <w:r w:rsidR="006854AC" w:rsidRPr="00E77DE0">
        <w:t xml:space="preserve">to </w:t>
      </w:r>
      <w:r w:rsidR="00921A96" w:rsidRPr="00E77DE0">
        <w:t xml:space="preserve">provide </w:t>
      </w:r>
      <w:r w:rsidR="00213DB6" w:rsidRPr="00E77DE0">
        <w:t xml:space="preserve">to </w:t>
      </w:r>
      <w:proofErr w:type="spellStart"/>
      <w:r w:rsidR="00213DB6" w:rsidRPr="00E77DE0">
        <w:t>TEQSA</w:t>
      </w:r>
      <w:proofErr w:type="spellEnd"/>
      <w:r w:rsidR="00213DB6" w:rsidRPr="00E77DE0">
        <w:t xml:space="preserve"> </w:t>
      </w:r>
      <w:r w:rsidR="00921A96" w:rsidRPr="00E77DE0">
        <w:t>a copy of</w:t>
      </w:r>
      <w:r w:rsidRPr="00E77DE0">
        <w:t xml:space="preserve"> </w:t>
      </w:r>
      <w:r w:rsidR="00921A96" w:rsidRPr="00E77DE0">
        <w:t xml:space="preserve">such of </w:t>
      </w:r>
      <w:r w:rsidRPr="00E77DE0">
        <w:t xml:space="preserve">those records </w:t>
      </w:r>
      <w:r w:rsidR="001E420E" w:rsidRPr="00E77DE0">
        <w:t>as are specified in the notice</w:t>
      </w:r>
      <w:r w:rsidRPr="00E77DE0">
        <w:t>.</w:t>
      </w:r>
    </w:p>
    <w:p w14:paraId="3EF0C53B" w14:textId="77777777" w:rsidR="00E1031F" w:rsidRPr="00E77DE0" w:rsidRDefault="00E1031F" w:rsidP="00E77DE0">
      <w:pPr>
        <w:pStyle w:val="ActHead5"/>
      </w:pPr>
      <w:bookmarkStart w:id="32" w:name="_Toc65761547"/>
      <w:r w:rsidRPr="003D1661">
        <w:rPr>
          <w:rStyle w:val="CharSectno"/>
        </w:rPr>
        <w:lastRenderedPageBreak/>
        <w:t>197AC</w:t>
      </w:r>
      <w:r w:rsidRPr="00E77DE0">
        <w:t xml:space="preserve">  </w:t>
      </w:r>
      <w:r w:rsidR="00DA4B22" w:rsidRPr="00E77DE0">
        <w:t>Provision</w:t>
      </w:r>
      <w:r w:rsidRPr="00E77DE0">
        <w:t xml:space="preserve"> of higher education student records to another registered higher education provider</w:t>
      </w:r>
      <w:bookmarkEnd w:id="32"/>
    </w:p>
    <w:p w14:paraId="35CB481E" w14:textId="77777777" w:rsidR="00E1031F" w:rsidRPr="00E77DE0" w:rsidRDefault="00E1031F" w:rsidP="00E77DE0">
      <w:pPr>
        <w:pStyle w:val="subsection"/>
      </w:pPr>
      <w:r w:rsidRPr="00E77DE0">
        <w:tab/>
      </w:r>
      <w:r w:rsidRPr="00E77DE0">
        <w:tab/>
        <w:t>If:</w:t>
      </w:r>
    </w:p>
    <w:p w14:paraId="529A7F03" w14:textId="77777777" w:rsidR="00E1031F" w:rsidRPr="00E77DE0" w:rsidRDefault="00E1031F" w:rsidP="00E77DE0">
      <w:pPr>
        <w:pStyle w:val="paragraph"/>
      </w:pPr>
      <w:r w:rsidRPr="00E77DE0">
        <w:tab/>
        <w:t>(a)</w:t>
      </w:r>
      <w:r w:rsidRPr="00E77DE0">
        <w:tab/>
        <w:t xml:space="preserve">a person (the </w:t>
      </w:r>
      <w:r w:rsidRPr="00E77DE0">
        <w:rPr>
          <w:b/>
          <w:i/>
        </w:rPr>
        <w:t>student</w:t>
      </w:r>
      <w:r w:rsidRPr="00E77DE0">
        <w:t xml:space="preserve">) is enrolled in an accredited course provided by an entity (the </w:t>
      </w:r>
      <w:r w:rsidRPr="00E77DE0">
        <w:rPr>
          <w:b/>
          <w:i/>
        </w:rPr>
        <w:t>first entity</w:t>
      </w:r>
      <w:r w:rsidRPr="00E77DE0">
        <w:t>) that is a registered higher education provider; and</w:t>
      </w:r>
    </w:p>
    <w:p w14:paraId="0C07874F" w14:textId="77777777" w:rsidR="00E1031F" w:rsidRPr="00E77DE0" w:rsidRDefault="00E1031F" w:rsidP="00E77DE0">
      <w:pPr>
        <w:pStyle w:val="paragraph"/>
      </w:pPr>
      <w:r w:rsidRPr="00E77DE0">
        <w:tab/>
        <w:t>(b)</w:t>
      </w:r>
      <w:r w:rsidRPr="00E77DE0">
        <w:tab/>
        <w:t xml:space="preserve">the student </w:t>
      </w:r>
      <w:r w:rsidR="00B6731A" w:rsidRPr="00E77DE0">
        <w:t>transfer</w:t>
      </w:r>
      <w:r w:rsidR="008C7663" w:rsidRPr="00E77DE0">
        <w:t>s</w:t>
      </w:r>
      <w:r w:rsidR="00B6731A" w:rsidRPr="00E77DE0">
        <w:t xml:space="preserve"> to</w:t>
      </w:r>
      <w:r w:rsidRPr="00E77DE0">
        <w:t xml:space="preserve"> another registered higher education provider (the </w:t>
      </w:r>
      <w:r w:rsidRPr="00E77DE0">
        <w:rPr>
          <w:b/>
          <w:i/>
        </w:rPr>
        <w:t>second entity</w:t>
      </w:r>
      <w:r w:rsidRPr="00E77DE0">
        <w:t>);</w:t>
      </w:r>
    </w:p>
    <w:p w14:paraId="17DEA6C9" w14:textId="77777777" w:rsidR="00E1031F" w:rsidRPr="00E77DE0" w:rsidRDefault="00E1031F" w:rsidP="00E77DE0">
      <w:pPr>
        <w:pStyle w:val="subsection2"/>
      </w:pPr>
      <w:r w:rsidRPr="00E77DE0">
        <w:t>then:</w:t>
      </w:r>
    </w:p>
    <w:p w14:paraId="53B132A1" w14:textId="77777777" w:rsidR="00E1031F" w:rsidRPr="00E77DE0" w:rsidRDefault="00E1031F" w:rsidP="00E77DE0">
      <w:pPr>
        <w:pStyle w:val="paragraph"/>
      </w:pPr>
      <w:r w:rsidRPr="00E77DE0">
        <w:tab/>
        <w:t>(c)</w:t>
      </w:r>
      <w:r w:rsidRPr="00E77DE0">
        <w:tab/>
        <w:t xml:space="preserve">the student may request the first entity to </w:t>
      </w:r>
      <w:r w:rsidR="00847D67" w:rsidRPr="00E77DE0">
        <w:t xml:space="preserve">provide to the second entity a copy of the </w:t>
      </w:r>
      <w:r w:rsidRPr="00E77DE0">
        <w:t>higher education student records relating to the student; or</w:t>
      </w:r>
    </w:p>
    <w:p w14:paraId="4FF01A83" w14:textId="77777777" w:rsidR="00E1031F" w:rsidRPr="00E77DE0" w:rsidRDefault="00E1031F" w:rsidP="00E77DE0">
      <w:pPr>
        <w:pStyle w:val="paragraph"/>
      </w:pPr>
      <w:r w:rsidRPr="00E77DE0">
        <w:tab/>
        <w:t>(d)</w:t>
      </w:r>
      <w:r w:rsidRPr="00E77DE0">
        <w:tab/>
        <w:t xml:space="preserve">the second entity may request, in writing, the first entity </w:t>
      </w:r>
      <w:r w:rsidR="00847D67" w:rsidRPr="00E77DE0">
        <w:t>to provide to the second entity a copy of</w:t>
      </w:r>
      <w:r w:rsidRPr="00E77DE0">
        <w:t xml:space="preserve"> the higher education student records relating to the student.</w:t>
      </w:r>
    </w:p>
    <w:p w14:paraId="4935ED21" w14:textId="77777777" w:rsidR="00E1031F" w:rsidRPr="00E77DE0" w:rsidRDefault="00E1031F" w:rsidP="00E77DE0">
      <w:pPr>
        <w:pStyle w:val="ActHead5"/>
      </w:pPr>
      <w:bookmarkStart w:id="33" w:name="_Toc65761548"/>
      <w:r w:rsidRPr="003D1661">
        <w:rPr>
          <w:rStyle w:val="CharSectno"/>
        </w:rPr>
        <w:t>197AD</w:t>
      </w:r>
      <w:r w:rsidRPr="00E77DE0">
        <w:t xml:space="preserve">  </w:t>
      </w:r>
      <w:proofErr w:type="spellStart"/>
      <w:r w:rsidRPr="00E77DE0">
        <w:t>TEQSA’s</w:t>
      </w:r>
      <w:proofErr w:type="spellEnd"/>
      <w:r w:rsidRPr="00E77DE0">
        <w:t xml:space="preserve"> management of higher education student records</w:t>
      </w:r>
      <w:bookmarkEnd w:id="33"/>
    </w:p>
    <w:p w14:paraId="34D6E727" w14:textId="77777777" w:rsidR="00E1031F" w:rsidRPr="00E77DE0" w:rsidRDefault="00E1031F" w:rsidP="00E77DE0">
      <w:pPr>
        <w:pStyle w:val="subsection"/>
      </w:pPr>
      <w:r w:rsidRPr="00E77DE0">
        <w:tab/>
      </w:r>
      <w:r w:rsidRPr="00E77DE0">
        <w:tab/>
      </w:r>
      <w:proofErr w:type="spellStart"/>
      <w:r w:rsidRPr="00E77DE0">
        <w:t>TEQSA</w:t>
      </w:r>
      <w:proofErr w:type="spellEnd"/>
      <w:r w:rsidRPr="00E77DE0">
        <w:t xml:space="preserve"> may </w:t>
      </w:r>
      <w:r w:rsidR="00921A96" w:rsidRPr="00E77DE0">
        <w:t>provide a copy of</w:t>
      </w:r>
      <w:r w:rsidRPr="00E77DE0">
        <w:t xml:space="preserve"> a higher education student record </w:t>
      </w:r>
      <w:r w:rsidR="00BA1FD9" w:rsidRPr="00E77DE0">
        <w:t xml:space="preserve">it holds </w:t>
      </w:r>
      <w:r w:rsidRPr="00E77DE0">
        <w:t>to a registered higher education provider if:</w:t>
      </w:r>
    </w:p>
    <w:p w14:paraId="336E86AE" w14:textId="77777777" w:rsidR="00E1031F" w:rsidRPr="00E77DE0" w:rsidRDefault="00E1031F" w:rsidP="00E77DE0">
      <w:pPr>
        <w:pStyle w:val="paragraph"/>
      </w:pPr>
      <w:r w:rsidRPr="00E77DE0">
        <w:tab/>
        <w:t>(a)</w:t>
      </w:r>
      <w:r w:rsidRPr="00E77DE0">
        <w:tab/>
        <w:t xml:space="preserve">the person to whom the record relates </w:t>
      </w:r>
      <w:r w:rsidR="00BA1FD9" w:rsidRPr="00E77DE0">
        <w:t xml:space="preserve">has </w:t>
      </w:r>
      <w:r w:rsidRPr="00E77DE0">
        <w:t>enrol</w:t>
      </w:r>
      <w:r w:rsidR="00BA1FD9" w:rsidRPr="00E77DE0">
        <w:t>led, or is seeking to enrol,</w:t>
      </w:r>
      <w:r w:rsidRPr="00E77DE0">
        <w:t xml:space="preserve"> in an accredited course provided by the provider and </w:t>
      </w:r>
      <w:r w:rsidR="00921A96" w:rsidRPr="00E77DE0">
        <w:t xml:space="preserve">the person </w:t>
      </w:r>
      <w:r w:rsidRPr="00E77DE0">
        <w:t xml:space="preserve">requests </w:t>
      </w:r>
      <w:proofErr w:type="spellStart"/>
      <w:r w:rsidRPr="00E77DE0">
        <w:t>TEQSA</w:t>
      </w:r>
      <w:proofErr w:type="spellEnd"/>
      <w:r w:rsidRPr="00E77DE0">
        <w:t xml:space="preserve">, in writing, to </w:t>
      </w:r>
      <w:r w:rsidR="00921A96" w:rsidRPr="00E77DE0">
        <w:t>provide the copy</w:t>
      </w:r>
      <w:r w:rsidRPr="00E77DE0">
        <w:t>; or</w:t>
      </w:r>
    </w:p>
    <w:p w14:paraId="32318DF0" w14:textId="77777777" w:rsidR="00E1031F" w:rsidRPr="00E77DE0" w:rsidRDefault="00E1031F" w:rsidP="00E77DE0">
      <w:pPr>
        <w:pStyle w:val="paragraph"/>
      </w:pPr>
      <w:r w:rsidRPr="00E77DE0">
        <w:tab/>
        <w:t>(b)</w:t>
      </w:r>
      <w:r w:rsidRPr="00E77DE0">
        <w:tab/>
      </w:r>
      <w:r w:rsidR="00DB27F3" w:rsidRPr="00E77DE0">
        <w:t xml:space="preserve">with the consent of the person to whom the record relates, </w:t>
      </w:r>
      <w:r w:rsidRPr="00E77DE0">
        <w:t xml:space="preserve">the provider requests </w:t>
      </w:r>
      <w:proofErr w:type="spellStart"/>
      <w:r w:rsidRPr="00E77DE0">
        <w:t>TEQSA</w:t>
      </w:r>
      <w:proofErr w:type="spellEnd"/>
      <w:r w:rsidRPr="00E77DE0">
        <w:t xml:space="preserve">, in writing, to </w:t>
      </w:r>
      <w:r w:rsidR="00921A96" w:rsidRPr="00E77DE0">
        <w:t>provide the copy</w:t>
      </w:r>
      <w:r w:rsidRPr="00E77DE0">
        <w:t xml:space="preserve"> because th</w:t>
      </w:r>
      <w:r w:rsidR="00DB27F3" w:rsidRPr="00E77DE0">
        <w:t>at</w:t>
      </w:r>
      <w:r w:rsidRPr="00E77DE0">
        <w:t xml:space="preserve"> person has enrolled</w:t>
      </w:r>
      <w:r w:rsidR="00BA1FD9" w:rsidRPr="00E77DE0">
        <w:t>, or is seeking to enrol,</w:t>
      </w:r>
      <w:r w:rsidRPr="00E77DE0">
        <w:t xml:space="preserve"> in an accredited course provided by the provider.</w:t>
      </w:r>
    </w:p>
    <w:p w14:paraId="321F0A07" w14:textId="77777777" w:rsidR="00B5212A" w:rsidRPr="00E77DE0" w:rsidRDefault="00B5212A" w:rsidP="00E77DE0">
      <w:pPr>
        <w:pStyle w:val="ActHead5"/>
      </w:pPr>
      <w:bookmarkStart w:id="34" w:name="_Toc65761549"/>
      <w:r w:rsidRPr="003D1661">
        <w:rPr>
          <w:rStyle w:val="CharSectno"/>
        </w:rPr>
        <w:t>197AE</w:t>
      </w:r>
      <w:r w:rsidRPr="00E77DE0">
        <w:t xml:space="preserve">  Compensation</w:t>
      </w:r>
      <w:bookmarkEnd w:id="34"/>
    </w:p>
    <w:p w14:paraId="6BD08036" w14:textId="77777777" w:rsidR="00B5212A" w:rsidRPr="00E77DE0" w:rsidRDefault="00B5212A" w:rsidP="00E77DE0">
      <w:pPr>
        <w:pStyle w:val="subsection"/>
      </w:pPr>
      <w:r w:rsidRPr="00E77DE0">
        <w:tab/>
        <w:t>(1)</w:t>
      </w:r>
      <w:r w:rsidRPr="00E77DE0">
        <w:tab/>
        <w:t>If the operation of section</w:t>
      </w:r>
      <w:r w:rsidR="00E77DE0" w:rsidRPr="00E77DE0">
        <w:t> </w:t>
      </w:r>
      <w:r w:rsidRPr="00E77DE0">
        <w:t>197AA would result in an acquisition of property from a person otherwise than on just terms, the Commonwealth is liable to pay a reasonable amount of compensation to the person.</w:t>
      </w:r>
    </w:p>
    <w:p w14:paraId="38D3975F" w14:textId="77777777" w:rsidR="00B5212A" w:rsidRPr="00E77DE0" w:rsidRDefault="00B5212A" w:rsidP="00E77DE0">
      <w:pPr>
        <w:pStyle w:val="subsection"/>
      </w:pPr>
      <w:r w:rsidRPr="00E77DE0">
        <w:tab/>
        <w:t>(2)</w:t>
      </w:r>
      <w:r w:rsidRPr="00E77DE0">
        <w:tab/>
        <w:t xml:space="preserve">If the Commonwealth and the person do not agree on the amount of the compensation, the person may institute proceedings in the </w:t>
      </w:r>
      <w:r w:rsidRPr="00E77DE0">
        <w:lastRenderedPageBreak/>
        <w:t>Federal Court for the recovery from the Commonwealth of such reasonable amount of compensation as the court determines.</w:t>
      </w:r>
    </w:p>
    <w:p w14:paraId="2862E5D0" w14:textId="77777777" w:rsidR="00D22A64" w:rsidRDefault="00D22A64" w:rsidP="00D22A64">
      <w:pPr>
        <w:pStyle w:val="ItemHead"/>
      </w:pPr>
      <w:r>
        <w:t>29  After section 204</w:t>
      </w:r>
    </w:p>
    <w:p w14:paraId="75172F48" w14:textId="77777777" w:rsidR="00D22A64" w:rsidRDefault="00D22A64" w:rsidP="00D22A64">
      <w:pPr>
        <w:pStyle w:val="Item"/>
      </w:pPr>
      <w:r>
        <w:t>Insert:</w:t>
      </w:r>
    </w:p>
    <w:p w14:paraId="157DCB61" w14:textId="77777777" w:rsidR="00D22A64" w:rsidRDefault="00D22A64" w:rsidP="00D22A64">
      <w:pPr>
        <w:pStyle w:val="ActHead5"/>
      </w:pPr>
      <w:bookmarkStart w:id="35" w:name="_Toc65761550"/>
      <w:r>
        <w:rPr>
          <w:rStyle w:val="CharSectno"/>
        </w:rPr>
        <w:t>204A</w:t>
      </w:r>
      <w:r>
        <w:t xml:space="preserve">  Use of Australian domain names with the word “university” etc.</w:t>
      </w:r>
      <w:bookmarkEnd w:id="35"/>
    </w:p>
    <w:p w14:paraId="15F00336" w14:textId="77777777" w:rsidR="00D22A64" w:rsidRDefault="00D22A64" w:rsidP="00D22A64">
      <w:pPr>
        <w:pStyle w:val="subsection"/>
      </w:pPr>
      <w:r>
        <w:tab/>
        <w:t>(1)</w:t>
      </w:r>
      <w:r>
        <w:tab/>
        <w:t>A person must not use a domain name:</w:t>
      </w:r>
    </w:p>
    <w:p w14:paraId="33B7E039" w14:textId="77777777" w:rsidR="00D22A64" w:rsidRDefault="00D22A64" w:rsidP="00D22A64">
      <w:pPr>
        <w:pStyle w:val="paragraph"/>
      </w:pPr>
      <w:r>
        <w:tab/>
        <w:t>(a)</w:t>
      </w:r>
      <w:r>
        <w:tab/>
        <w:t>with either:</w:t>
      </w:r>
    </w:p>
    <w:p w14:paraId="3021A7A0" w14:textId="77777777" w:rsidR="00D22A64" w:rsidRDefault="00D22A64" w:rsidP="00D22A64">
      <w:pPr>
        <w:pStyle w:val="paragraphsub"/>
      </w:pPr>
      <w:r>
        <w:tab/>
        <w:t>(</w:t>
      </w:r>
      <w:proofErr w:type="spellStart"/>
      <w:r>
        <w:t>i</w:t>
      </w:r>
      <w:proofErr w:type="spellEnd"/>
      <w:r>
        <w:t>)</w:t>
      </w:r>
      <w:r>
        <w:tab/>
        <w:t>the word “university” in the domain name; or</w:t>
      </w:r>
    </w:p>
    <w:p w14:paraId="16287274" w14:textId="77777777" w:rsidR="00D22A64" w:rsidRDefault="00D22A64" w:rsidP="00D22A64">
      <w:pPr>
        <w:pStyle w:val="paragraphsub"/>
      </w:pPr>
      <w:r>
        <w:tab/>
        <w:t>(ii)</w:t>
      </w:r>
      <w:r>
        <w:tab/>
        <w:t>a word or expression, that has the same or a similar meaning to the word “university” and that is determined in an instrument under subsection (3), in the domain name; and</w:t>
      </w:r>
    </w:p>
    <w:p w14:paraId="28BB9100" w14:textId="77777777" w:rsidR="00D22A64" w:rsidRDefault="00D22A64" w:rsidP="00D22A64">
      <w:pPr>
        <w:pStyle w:val="paragraph"/>
      </w:pPr>
      <w:r>
        <w:tab/>
        <w:t>(b)</w:t>
      </w:r>
      <w:r>
        <w:tab/>
        <w:t>where the domain name includes an Australian top</w:t>
      </w:r>
      <w:r>
        <w:noBreakHyphen/>
        <w:t>level domain;</w:t>
      </w:r>
    </w:p>
    <w:p w14:paraId="3EB68411" w14:textId="77777777" w:rsidR="00D22A64" w:rsidRDefault="00D22A64" w:rsidP="00D22A64">
      <w:pPr>
        <w:pStyle w:val="subsection2"/>
      </w:pPr>
      <w:r>
        <w:t>unless there is an approval in force under subsection (4) in relation to the person’s use of that domain name.</w:t>
      </w:r>
    </w:p>
    <w:p w14:paraId="7AF55C8F" w14:textId="77777777" w:rsidR="00D22A64" w:rsidRDefault="00D22A64" w:rsidP="00D22A64">
      <w:pPr>
        <w:pStyle w:val="SubsectionHead"/>
      </w:pPr>
      <w:r>
        <w:t>Scope of prohibition</w:t>
      </w:r>
    </w:p>
    <w:p w14:paraId="31ECD8BB" w14:textId="77777777" w:rsidR="00D22A64" w:rsidRDefault="00D22A64" w:rsidP="00D22A64">
      <w:pPr>
        <w:pStyle w:val="subsection"/>
      </w:pPr>
      <w:r>
        <w:tab/>
        <w:t>(2)</w:t>
      </w:r>
      <w:r>
        <w:tab/>
        <w:t>Subsection (1) applies in relation to a person’s use of a domain name on or after the commencement of this section if:</w:t>
      </w:r>
    </w:p>
    <w:p w14:paraId="66433E4C" w14:textId="77777777" w:rsidR="00D22A64" w:rsidRDefault="00D22A64" w:rsidP="00D22A64">
      <w:pPr>
        <w:pStyle w:val="paragraph"/>
      </w:pPr>
      <w:r>
        <w:tab/>
        <w:t>(a)</w:t>
      </w:r>
      <w:r>
        <w:tab/>
        <w:t>the licence for the use of that domain name was issued on or after that commencement; and</w:t>
      </w:r>
    </w:p>
    <w:p w14:paraId="3CB9C493" w14:textId="77777777" w:rsidR="00D22A64" w:rsidRDefault="00D22A64" w:rsidP="00D22A64">
      <w:pPr>
        <w:pStyle w:val="paragraph"/>
      </w:pPr>
      <w:r>
        <w:tab/>
        <w:t>(b)</w:t>
      </w:r>
      <w:r>
        <w:tab/>
        <w:t>no licence for the use of that domain name had been issued before that commencement to the licensee of the licence referred to in paragraph (a).</w:t>
      </w:r>
    </w:p>
    <w:p w14:paraId="3DB70282" w14:textId="77777777" w:rsidR="00D22A64" w:rsidRDefault="00D22A64" w:rsidP="00D22A64">
      <w:pPr>
        <w:pStyle w:val="SubsectionHead"/>
      </w:pPr>
      <w:r>
        <w:t>List of words or expressions</w:t>
      </w:r>
    </w:p>
    <w:p w14:paraId="30E81D87" w14:textId="77777777" w:rsidR="00D22A64" w:rsidRDefault="00D22A64" w:rsidP="00D22A64">
      <w:pPr>
        <w:pStyle w:val="subsection"/>
      </w:pPr>
      <w:r>
        <w:tab/>
        <w:t>(3)</w:t>
      </w:r>
      <w:r>
        <w:tab/>
        <w:t>The Minister may, by legislative instrument, determine words or expressions for the purposes of subparagraph (1)(a)(ii).</w:t>
      </w:r>
    </w:p>
    <w:p w14:paraId="53C197E3" w14:textId="77777777" w:rsidR="00D22A64" w:rsidRDefault="00D22A64" w:rsidP="00D22A64">
      <w:pPr>
        <w:pStyle w:val="SubsectionHead"/>
      </w:pPr>
      <w:r>
        <w:lastRenderedPageBreak/>
        <w:t>Approval of use of domain names</w:t>
      </w:r>
    </w:p>
    <w:p w14:paraId="44ECC31F" w14:textId="77777777" w:rsidR="00D22A64" w:rsidRDefault="00D22A64" w:rsidP="00D22A64">
      <w:pPr>
        <w:pStyle w:val="subsection"/>
      </w:pPr>
      <w:r>
        <w:tab/>
        <w:t>(4)</w:t>
      </w:r>
      <w:r>
        <w:tab/>
        <w:t>The Minister may, in writing, approve a person’s use of a specified domain name. The Minister may give an approval on the Minister’s own initiative or on application.</w:t>
      </w:r>
    </w:p>
    <w:p w14:paraId="4A064611" w14:textId="77777777" w:rsidR="00D22A64" w:rsidRDefault="00D22A64" w:rsidP="00D22A64">
      <w:pPr>
        <w:pStyle w:val="subsection"/>
      </w:pPr>
      <w:r>
        <w:tab/>
        <w:t>(5)</w:t>
      </w:r>
      <w:r>
        <w:tab/>
        <w:t>The Minister must give a copy of the approval to:</w:t>
      </w:r>
    </w:p>
    <w:p w14:paraId="6DBAD0CA" w14:textId="77777777" w:rsidR="00D22A64" w:rsidRDefault="00D22A64" w:rsidP="00D22A64">
      <w:pPr>
        <w:pStyle w:val="paragraph"/>
      </w:pPr>
      <w:r>
        <w:tab/>
        <w:t>(a)</w:t>
      </w:r>
      <w:r>
        <w:tab/>
        <w:t>the person; and</w:t>
      </w:r>
    </w:p>
    <w:p w14:paraId="32E8D4B0" w14:textId="77777777" w:rsidR="00D22A64" w:rsidRDefault="00D22A64" w:rsidP="00D22A64">
      <w:pPr>
        <w:pStyle w:val="paragraph"/>
      </w:pPr>
      <w:r>
        <w:tab/>
        <w:t>(b)</w:t>
      </w:r>
      <w:r>
        <w:tab/>
        <w:t>the licensor that issues licences for the use of a domain name to which paragraphs (1)(a) and (b) apply.</w:t>
      </w:r>
    </w:p>
    <w:p w14:paraId="29342ECB" w14:textId="77777777" w:rsidR="00D22A64" w:rsidRDefault="00D22A64" w:rsidP="00D22A64">
      <w:pPr>
        <w:pStyle w:val="subsection"/>
      </w:pPr>
      <w:r>
        <w:tab/>
        <w:t>(6)</w:t>
      </w:r>
      <w:r>
        <w:tab/>
        <w:t>An approval under subsection (4) comes into force at the time it is given.</w:t>
      </w:r>
    </w:p>
    <w:p w14:paraId="51F3E6D4" w14:textId="77777777" w:rsidR="00D22A64" w:rsidRDefault="00D22A64" w:rsidP="00D22A64">
      <w:pPr>
        <w:pStyle w:val="subsection"/>
      </w:pPr>
      <w:r>
        <w:tab/>
        <w:t>(7)</w:t>
      </w:r>
      <w:r>
        <w:tab/>
        <w:t>If a person makes an application for an approval and the Minister refuses to give the approval, the Minister must give written notice of the refusal and of the reasons for the refusal to:</w:t>
      </w:r>
    </w:p>
    <w:p w14:paraId="14EB3EFE" w14:textId="77777777" w:rsidR="00D22A64" w:rsidRDefault="00D22A64" w:rsidP="00D22A64">
      <w:pPr>
        <w:pStyle w:val="paragraph"/>
      </w:pPr>
      <w:r>
        <w:tab/>
        <w:t>(a)</w:t>
      </w:r>
      <w:r>
        <w:tab/>
        <w:t>the person; and</w:t>
      </w:r>
    </w:p>
    <w:p w14:paraId="1FDC3FF0" w14:textId="77777777" w:rsidR="00D22A64" w:rsidRDefault="00D22A64" w:rsidP="00D22A64">
      <w:pPr>
        <w:pStyle w:val="paragraph"/>
      </w:pPr>
      <w:r>
        <w:tab/>
        <w:t>(b)</w:t>
      </w:r>
      <w:r>
        <w:tab/>
        <w:t>the licensor that issues licences for the use of a domain name to which paragraphs (1)(a) and (b) apply.</w:t>
      </w:r>
    </w:p>
    <w:p w14:paraId="5F8D8D5D" w14:textId="77777777" w:rsidR="00D22A64" w:rsidRDefault="00D22A64" w:rsidP="00D22A64">
      <w:pPr>
        <w:pStyle w:val="subsection"/>
      </w:pPr>
      <w:r>
        <w:tab/>
        <w:t>(8)</w:t>
      </w:r>
      <w:r>
        <w:tab/>
        <w:t>In deciding whether or not to give an approval under subsection (4), the Minister must have regard to:</w:t>
      </w:r>
    </w:p>
    <w:p w14:paraId="547504F2" w14:textId="77777777" w:rsidR="00D22A64" w:rsidRDefault="00D22A64" w:rsidP="00D22A64">
      <w:pPr>
        <w:pStyle w:val="paragraph"/>
      </w:pPr>
      <w:r>
        <w:tab/>
        <w:t>(a)</w:t>
      </w:r>
      <w:r>
        <w:tab/>
        <w:t>whether the person is a registered higher education provider; and</w:t>
      </w:r>
    </w:p>
    <w:p w14:paraId="284BA1CA" w14:textId="77777777" w:rsidR="00D22A64" w:rsidRDefault="00D22A64" w:rsidP="00D22A64">
      <w:pPr>
        <w:pStyle w:val="paragraph"/>
      </w:pPr>
      <w:r>
        <w:tab/>
        <w:t>(b)</w:t>
      </w:r>
      <w:r>
        <w:tab/>
        <w:t>the matters determined in an instrument under subsection (10).</w:t>
      </w:r>
    </w:p>
    <w:p w14:paraId="788A8F1B" w14:textId="77777777" w:rsidR="00D22A64" w:rsidRDefault="00D22A64" w:rsidP="00D22A64">
      <w:pPr>
        <w:pStyle w:val="subsection"/>
      </w:pPr>
      <w:r>
        <w:tab/>
        <w:t>(9)</w:t>
      </w:r>
      <w:r>
        <w:tab/>
        <w:t>Subsection (8) does not limit the matters to which the Minister may have regard.</w:t>
      </w:r>
    </w:p>
    <w:p w14:paraId="76A0FF02" w14:textId="77777777" w:rsidR="00D22A64" w:rsidRDefault="00D22A64" w:rsidP="00D22A64">
      <w:pPr>
        <w:pStyle w:val="subsection"/>
      </w:pPr>
      <w:r>
        <w:tab/>
        <w:t>(10)</w:t>
      </w:r>
      <w:r>
        <w:tab/>
        <w:t>The Minister must, by legislative instrument, determine matters for the purposes of paragraph (8)(b).</w:t>
      </w:r>
    </w:p>
    <w:p w14:paraId="1963E7D7" w14:textId="77777777" w:rsidR="00D22A64" w:rsidRDefault="00D22A64" w:rsidP="00D22A64">
      <w:pPr>
        <w:pStyle w:val="SubsectionHead"/>
      </w:pPr>
      <w:r>
        <w:t>Licence details to be given to the Minister</w:t>
      </w:r>
    </w:p>
    <w:p w14:paraId="28C1DD2D" w14:textId="77777777" w:rsidR="00D22A64" w:rsidRDefault="00D22A64" w:rsidP="00D22A64">
      <w:pPr>
        <w:pStyle w:val="subsection"/>
      </w:pPr>
      <w:r>
        <w:tab/>
        <w:t>(11)</w:t>
      </w:r>
      <w:r>
        <w:tab/>
        <w:t>The Minister may, in writing, request the licensor that issues licences for the use of a domain name to which paragraphs (1)(a) and (b) apply to give the Minister the following details in relation to the period specified in the request:</w:t>
      </w:r>
    </w:p>
    <w:p w14:paraId="304ED86C" w14:textId="77777777" w:rsidR="00D22A64" w:rsidRDefault="00D22A64" w:rsidP="00D22A64">
      <w:pPr>
        <w:pStyle w:val="paragraph"/>
      </w:pPr>
      <w:r>
        <w:tab/>
        <w:t>(a)</w:t>
      </w:r>
      <w:r>
        <w:tab/>
        <w:t>the name of each person to whom such a licence has been issued;</w:t>
      </w:r>
    </w:p>
    <w:p w14:paraId="5BD16F3D" w14:textId="77777777" w:rsidR="00D22A64" w:rsidRDefault="00D22A64" w:rsidP="00D22A64">
      <w:pPr>
        <w:pStyle w:val="paragraph"/>
      </w:pPr>
      <w:r>
        <w:lastRenderedPageBreak/>
        <w:tab/>
        <w:t>(b)</w:t>
      </w:r>
      <w:r>
        <w:tab/>
        <w:t>the domain name covered by the licence;</w:t>
      </w:r>
    </w:p>
    <w:p w14:paraId="0CA5665B" w14:textId="77777777" w:rsidR="00D22A64" w:rsidRDefault="00D22A64" w:rsidP="00D22A64">
      <w:pPr>
        <w:pStyle w:val="paragraph"/>
      </w:pPr>
      <w:r>
        <w:tab/>
        <w:t>(c)</w:t>
      </w:r>
      <w:r>
        <w:tab/>
        <w:t>contact details for the person to the extent known by the licensor.</w:t>
      </w:r>
    </w:p>
    <w:p w14:paraId="405479D0" w14:textId="77777777" w:rsidR="00D22A64" w:rsidRDefault="00D22A64" w:rsidP="00D22A64">
      <w:pPr>
        <w:pStyle w:val="subsection"/>
      </w:pPr>
      <w:r>
        <w:tab/>
        <w:t>(12)</w:t>
      </w:r>
      <w:r>
        <w:tab/>
        <w:t>The licensor must comply with a request under subsection (11).</w:t>
      </w:r>
    </w:p>
    <w:p w14:paraId="03D208B8" w14:textId="77777777" w:rsidR="00D22A64" w:rsidRDefault="00D22A64" w:rsidP="00D22A64">
      <w:pPr>
        <w:pStyle w:val="SubsectionHead"/>
      </w:pPr>
      <w:r>
        <w:t>Delegation</w:t>
      </w:r>
    </w:p>
    <w:p w14:paraId="2BA51A64" w14:textId="77777777" w:rsidR="00D22A64" w:rsidRDefault="00D22A64" w:rsidP="00D22A64">
      <w:pPr>
        <w:pStyle w:val="subsection"/>
      </w:pPr>
      <w:r>
        <w:tab/>
        <w:t>(13)</w:t>
      </w:r>
      <w:r>
        <w:tab/>
        <w:t>The Minister may, in writing, delegate the Minister’s functions and powers under this section (except subsections (3) and (10)) to an S</w:t>
      </w:r>
      <w:bookmarkStart w:id="36" w:name="BK_S1P3L11C50"/>
      <w:bookmarkEnd w:id="36"/>
      <w:r>
        <w:t>ES employee, or acting SES employee, in the Department.</w:t>
      </w:r>
    </w:p>
    <w:p w14:paraId="77F233DC" w14:textId="77777777" w:rsidR="00D22A64" w:rsidRDefault="00D22A64" w:rsidP="00D22A64">
      <w:pPr>
        <w:pStyle w:val="SubsectionHead"/>
      </w:pPr>
      <w:r>
        <w:t>Approval not a legislative instrument</w:t>
      </w:r>
    </w:p>
    <w:p w14:paraId="21BC6E58" w14:textId="77777777" w:rsidR="00D22A64" w:rsidRDefault="00D22A64" w:rsidP="00D22A64">
      <w:pPr>
        <w:pStyle w:val="subsection"/>
      </w:pPr>
      <w:r>
        <w:tab/>
        <w:t>(14)</w:t>
      </w:r>
      <w:r>
        <w:tab/>
        <w:t>An approval under subsection (4) is not a legislative instrument.</w:t>
      </w:r>
    </w:p>
    <w:p w14:paraId="54E1DD57" w14:textId="77777777" w:rsidR="00883F5D" w:rsidRPr="00E77DE0" w:rsidRDefault="00E76AC0" w:rsidP="00E77DE0">
      <w:pPr>
        <w:pStyle w:val="Transitional"/>
      </w:pPr>
      <w:bookmarkStart w:id="37" w:name="opcCurrentPosition"/>
      <w:bookmarkEnd w:id="37"/>
      <w:r w:rsidRPr="00E77DE0">
        <w:t>30</w:t>
      </w:r>
      <w:r w:rsidR="00883F5D" w:rsidRPr="00E77DE0">
        <w:t xml:space="preserve">  Application provision</w:t>
      </w:r>
      <w:r w:rsidR="00E26A09" w:rsidRPr="00E77DE0">
        <w:t>s</w:t>
      </w:r>
    </w:p>
    <w:p w14:paraId="77F5355C" w14:textId="77777777" w:rsidR="00E26A09" w:rsidRPr="00E77DE0" w:rsidRDefault="00E26A09" w:rsidP="00E77DE0">
      <w:pPr>
        <w:pStyle w:val="Subitem"/>
      </w:pPr>
      <w:r w:rsidRPr="00E77DE0">
        <w:t>(1)</w:t>
      </w:r>
      <w:r w:rsidRPr="00E77DE0">
        <w:tab/>
        <w:t xml:space="preserve">The amendment of </w:t>
      </w:r>
      <w:r w:rsidR="00E37B21" w:rsidRPr="00E77DE0">
        <w:t>section</w:t>
      </w:r>
      <w:r w:rsidR="00E77DE0" w:rsidRPr="00E77DE0">
        <w:t> </w:t>
      </w:r>
      <w:r w:rsidR="00E37B21" w:rsidRPr="00E77DE0">
        <w:t>3</w:t>
      </w:r>
      <w:r w:rsidRPr="00E77DE0">
        <w:t xml:space="preserve">7A of the </w:t>
      </w:r>
      <w:r w:rsidRPr="00E77DE0">
        <w:rPr>
          <w:i/>
        </w:rPr>
        <w:t xml:space="preserve">Tertiary Education Quality and Standards Agency Act 2011 </w:t>
      </w:r>
      <w:r w:rsidRPr="00E77DE0">
        <w:t xml:space="preserve">made by this </w:t>
      </w:r>
      <w:r w:rsidR="00BC1E15" w:rsidRPr="00E77DE0">
        <w:t>Part</w:t>
      </w:r>
      <w:r w:rsidRPr="00E77DE0">
        <w:t xml:space="preserve"> applies in relation to an extension given on or after the commencement of this item, whether the registration occurred before, on or after that commencement.</w:t>
      </w:r>
    </w:p>
    <w:p w14:paraId="150CF3B3" w14:textId="77777777" w:rsidR="00883F5D" w:rsidRPr="00E77DE0" w:rsidRDefault="00E26A09" w:rsidP="00E77DE0">
      <w:pPr>
        <w:pStyle w:val="Subitem"/>
      </w:pPr>
      <w:r w:rsidRPr="00E77DE0">
        <w:t>(2)</w:t>
      </w:r>
      <w:r w:rsidRPr="00E77DE0">
        <w:tab/>
      </w:r>
      <w:r w:rsidR="00883F5D" w:rsidRPr="00E77DE0">
        <w:t xml:space="preserve">The amendments of </w:t>
      </w:r>
      <w:r w:rsidR="00E37B21" w:rsidRPr="00E77DE0">
        <w:t>sections</w:t>
      </w:r>
      <w:r w:rsidR="00E77DE0" w:rsidRPr="00E77DE0">
        <w:t> </w:t>
      </w:r>
      <w:r w:rsidR="00E37B21" w:rsidRPr="00E77DE0">
        <w:t>3</w:t>
      </w:r>
      <w:r w:rsidR="00883F5D" w:rsidRPr="00E77DE0">
        <w:t xml:space="preserve">8, 40 and 183 of the </w:t>
      </w:r>
      <w:r w:rsidR="007B2379" w:rsidRPr="00E77DE0">
        <w:rPr>
          <w:i/>
        </w:rPr>
        <w:t>Tertiary Education Quality and Standards Agency Act 2011</w:t>
      </w:r>
      <w:r w:rsidR="00883F5D" w:rsidRPr="00E77DE0">
        <w:t xml:space="preserve"> </w:t>
      </w:r>
      <w:r w:rsidRPr="00E77DE0">
        <w:t xml:space="preserve">made by this Part </w:t>
      </w:r>
      <w:r w:rsidR="00883F5D" w:rsidRPr="00E77DE0">
        <w:t xml:space="preserve">apply </w:t>
      </w:r>
      <w:r w:rsidR="003330DD" w:rsidRPr="00E77DE0">
        <w:t xml:space="preserve">in relation </w:t>
      </w:r>
      <w:r w:rsidR="00883F5D" w:rsidRPr="00E77DE0">
        <w:t xml:space="preserve">to </w:t>
      </w:r>
      <w:r w:rsidRPr="00E77DE0">
        <w:t xml:space="preserve">a </w:t>
      </w:r>
      <w:r w:rsidR="00883F5D" w:rsidRPr="00E77DE0">
        <w:t xml:space="preserve">decision made on or after </w:t>
      </w:r>
      <w:r w:rsidR="003330DD" w:rsidRPr="00E77DE0">
        <w:t xml:space="preserve">the </w:t>
      </w:r>
      <w:r w:rsidR="00883F5D" w:rsidRPr="00E77DE0">
        <w:t xml:space="preserve">commencement of this item, whether </w:t>
      </w:r>
      <w:r w:rsidR="003330DD" w:rsidRPr="00E77DE0">
        <w:t>the</w:t>
      </w:r>
      <w:r w:rsidR="00883F5D" w:rsidRPr="00E77DE0">
        <w:t xml:space="preserve"> application to change provider category was made before, on or after that commencement.</w:t>
      </w:r>
    </w:p>
    <w:p w14:paraId="2CEDD572" w14:textId="77777777" w:rsidR="00E26A09" w:rsidRPr="00E77DE0" w:rsidRDefault="00E26A09" w:rsidP="00E77DE0">
      <w:pPr>
        <w:pStyle w:val="Subitem"/>
      </w:pPr>
      <w:r w:rsidRPr="00E77DE0">
        <w:t>(3)</w:t>
      </w:r>
      <w:r w:rsidRPr="00E77DE0">
        <w:tab/>
        <w:t xml:space="preserve">The amendment of </w:t>
      </w:r>
      <w:r w:rsidR="00E37B21" w:rsidRPr="00E77DE0">
        <w:t>section</w:t>
      </w:r>
      <w:r w:rsidR="00E77DE0" w:rsidRPr="00E77DE0">
        <w:t> </w:t>
      </w:r>
      <w:r w:rsidR="00E37B21" w:rsidRPr="00E77DE0">
        <w:t>5</w:t>
      </w:r>
      <w:r w:rsidRPr="00E77DE0">
        <w:t xml:space="preserve">7A of the </w:t>
      </w:r>
      <w:r w:rsidRPr="00E77DE0">
        <w:rPr>
          <w:i/>
        </w:rPr>
        <w:t xml:space="preserve">Tertiary Education Quality and Standards Agency Act 2011 </w:t>
      </w:r>
      <w:r w:rsidRPr="00E77DE0">
        <w:t xml:space="preserve">made by this </w:t>
      </w:r>
      <w:r w:rsidR="00BC1E15" w:rsidRPr="00E77DE0">
        <w:t>Part</w:t>
      </w:r>
      <w:r w:rsidRPr="00E77DE0">
        <w:t xml:space="preserve"> applies in relation to an extension given on or after the commencement of this item, whether the accreditation occurred before, on or after that commencement.</w:t>
      </w:r>
    </w:p>
    <w:p w14:paraId="3B2251D4" w14:textId="77777777" w:rsidR="00E1031F" w:rsidRPr="00E77DE0" w:rsidRDefault="00E1031F" w:rsidP="00E77DE0">
      <w:pPr>
        <w:pStyle w:val="Subitem"/>
      </w:pPr>
      <w:r w:rsidRPr="00E77DE0">
        <w:t>(</w:t>
      </w:r>
      <w:r w:rsidR="005508E0" w:rsidRPr="00E77DE0">
        <w:t>4</w:t>
      </w:r>
      <w:r w:rsidRPr="00E77DE0">
        <w:t>)</w:t>
      </w:r>
      <w:r w:rsidRPr="00E77DE0">
        <w:tab/>
      </w:r>
      <w:r w:rsidR="00E37B21" w:rsidRPr="00E77DE0">
        <w:t>Section</w:t>
      </w:r>
      <w:r w:rsidR="00E77DE0" w:rsidRPr="00E77DE0">
        <w:t> </w:t>
      </w:r>
      <w:r w:rsidR="00E37B21" w:rsidRPr="00E77DE0">
        <w:t>1</w:t>
      </w:r>
      <w:r w:rsidRPr="00E77DE0">
        <w:t xml:space="preserve">97AA of the </w:t>
      </w:r>
      <w:r w:rsidRPr="00E77DE0">
        <w:rPr>
          <w:i/>
        </w:rPr>
        <w:t>Tertiary Education Quality and Standards Agency Act 2011</w:t>
      </w:r>
      <w:r w:rsidRPr="00E77DE0">
        <w:t>, as added by this Part, applies in relation to the following:</w:t>
      </w:r>
    </w:p>
    <w:p w14:paraId="2EA9FC92" w14:textId="77777777" w:rsidR="00E1031F" w:rsidRPr="00E77DE0" w:rsidRDefault="00E1031F" w:rsidP="00E77DE0">
      <w:pPr>
        <w:pStyle w:val="paragraph"/>
      </w:pPr>
      <w:r w:rsidRPr="00E77DE0">
        <w:tab/>
        <w:t>(a)</w:t>
      </w:r>
      <w:r w:rsidRPr="00E77DE0">
        <w:tab/>
        <w:t>a registered higher education provider that effectively ceases to operate on or after the commencement of this item;</w:t>
      </w:r>
    </w:p>
    <w:p w14:paraId="4A4B3C9D" w14:textId="77777777" w:rsidR="00E1031F" w:rsidRPr="00E77DE0" w:rsidRDefault="00E1031F" w:rsidP="00E77DE0">
      <w:pPr>
        <w:pStyle w:val="paragraph"/>
      </w:pPr>
      <w:r w:rsidRPr="00E77DE0">
        <w:tab/>
        <w:t>(b)</w:t>
      </w:r>
      <w:r w:rsidRPr="00E77DE0">
        <w:tab/>
        <w:t>the cancellation of a registered higher education provider’s registration on or after that commencement.</w:t>
      </w:r>
    </w:p>
    <w:p w14:paraId="43612921" w14:textId="77777777" w:rsidR="00E1031F" w:rsidRPr="00E77DE0" w:rsidRDefault="00E1031F" w:rsidP="00E77DE0">
      <w:pPr>
        <w:pStyle w:val="Subitem"/>
      </w:pPr>
      <w:r w:rsidRPr="00E77DE0">
        <w:lastRenderedPageBreak/>
        <w:t>(</w:t>
      </w:r>
      <w:r w:rsidR="005508E0" w:rsidRPr="00E77DE0">
        <w:t>5</w:t>
      </w:r>
      <w:r w:rsidRPr="00E77DE0">
        <w:t>)</w:t>
      </w:r>
      <w:r w:rsidRPr="00E77DE0">
        <w:tab/>
      </w:r>
      <w:r w:rsidR="00E37B21" w:rsidRPr="00E77DE0">
        <w:t>Section</w:t>
      </w:r>
      <w:r w:rsidR="00E77DE0" w:rsidRPr="00E77DE0">
        <w:t> </w:t>
      </w:r>
      <w:r w:rsidR="00E37B21" w:rsidRPr="00E77DE0">
        <w:t>1</w:t>
      </w:r>
      <w:r w:rsidRPr="00E77DE0">
        <w:t xml:space="preserve">97AB of the </w:t>
      </w:r>
      <w:r w:rsidRPr="00E77DE0">
        <w:rPr>
          <w:i/>
        </w:rPr>
        <w:t>Tertiary Education Quality and Standards Agency Act 2011</w:t>
      </w:r>
      <w:r w:rsidRPr="00E77DE0">
        <w:t>, as added by this Part, applies in relation to the following:</w:t>
      </w:r>
    </w:p>
    <w:p w14:paraId="0173A584" w14:textId="77777777" w:rsidR="00E1031F" w:rsidRPr="00E77DE0" w:rsidRDefault="00E1031F" w:rsidP="00E77DE0">
      <w:pPr>
        <w:pStyle w:val="paragraph"/>
      </w:pPr>
      <w:r w:rsidRPr="00E77DE0">
        <w:tab/>
        <w:t>(a)</w:t>
      </w:r>
      <w:r w:rsidRPr="00E77DE0">
        <w:tab/>
        <w:t>a registered higher education provider that effectively ceased to operate before, on or after the commencement of this item;</w:t>
      </w:r>
    </w:p>
    <w:p w14:paraId="4CA17A37" w14:textId="77777777" w:rsidR="00E1031F" w:rsidRPr="00E77DE0" w:rsidRDefault="00E1031F" w:rsidP="00E77DE0">
      <w:pPr>
        <w:pStyle w:val="paragraph"/>
      </w:pPr>
      <w:r w:rsidRPr="00E77DE0">
        <w:tab/>
        <w:t>(b)</w:t>
      </w:r>
      <w:r w:rsidRPr="00E77DE0">
        <w:tab/>
        <w:t>the cancellation of a registered higher education provider’s registration before, on or after that commencement.</w:t>
      </w:r>
    </w:p>
    <w:p w14:paraId="69DA71D6" w14:textId="77777777" w:rsidR="00CD2B29" w:rsidRPr="00E77DE0" w:rsidRDefault="00E1031F" w:rsidP="003B0406">
      <w:pPr>
        <w:pStyle w:val="Subitem"/>
      </w:pPr>
      <w:r w:rsidRPr="00E77DE0">
        <w:t>(</w:t>
      </w:r>
      <w:r w:rsidR="005508E0" w:rsidRPr="00E77DE0">
        <w:t>6</w:t>
      </w:r>
      <w:r w:rsidRPr="00E77DE0">
        <w:t>)</w:t>
      </w:r>
      <w:r w:rsidRPr="00E77DE0">
        <w:tab/>
      </w:r>
      <w:r w:rsidR="002A60F3" w:rsidRPr="00E77DE0">
        <w:t>Paragraph</w:t>
      </w:r>
      <w:r w:rsidR="00E77DE0" w:rsidRPr="00E77DE0">
        <w:t xml:space="preserve"> </w:t>
      </w:r>
      <w:r w:rsidR="002A60F3" w:rsidRPr="00E77DE0">
        <w:t>1</w:t>
      </w:r>
      <w:r w:rsidRPr="00E77DE0">
        <w:t xml:space="preserve">97AC(b) of the </w:t>
      </w:r>
      <w:r w:rsidRPr="00E77DE0">
        <w:rPr>
          <w:i/>
        </w:rPr>
        <w:t>Tertiary Education Quality and Standards Agency Act 2011</w:t>
      </w:r>
      <w:r w:rsidRPr="00E77DE0">
        <w:t>, as added by this Part, applies in relation to a</w:t>
      </w:r>
      <w:r w:rsidR="001E420E" w:rsidRPr="00E77DE0">
        <w:t xml:space="preserve"> transfer</w:t>
      </w:r>
      <w:r w:rsidRPr="00E77DE0">
        <w:t xml:space="preserve"> that occurs on or after the commencement of this item, whether the enrolment referred to in </w:t>
      </w:r>
      <w:r w:rsidR="00E37B21" w:rsidRPr="00E77DE0">
        <w:t>paragraph</w:t>
      </w:r>
      <w:r w:rsidR="00E77DE0" w:rsidRPr="00E77DE0">
        <w:t> </w:t>
      </w:r>
      <w:r w:rsidR="00E37B21" w:rsidRPr="00E77DE0">
        <w:t>1</w:t>
      </w:r>
      <w:r w:rsidRPr="00E77DE0">
        <w:t>97AC(a) of that Act occurred before, on or after that commencement.</w:t>
      </w:r>
    </w:p>
    <w:p w14:paraId="7C4E0C95" w14:textId="77777777" w:rsidR="0081273D" w:rsidRPr="00E77DE0" w:rsidRDefault="0081273D" w:rsidP="00E77DE0">
      <w:pPr>
        <w:pStyle w:val="ActHead6"/>
        <w:pageBreakBefore/>
      </w:pPr>
      <w:bookmarkStart w:id="38" w:name="_Toc65761551"/>
      <w:bookmarkStart w:id="39" w:name="opcCurrentFind"/>
      <w:r w:rsidRPr="003D1661">
        <w:rPr>
          <w:rStyle w:val="CharAmSchNo"/>
        </w:rPr>
        <w:lastRenderedPageBreak/>
        <w:t>Schedule</w:t>
      </w:r>
      <w:r w:rsidR="00E77DE0" w:rsidRPr="003D1661">
        <w:rPr>
          <w:rStyle w:val="CharAmSchNo"/>
        </w:rPr>
        <w:t> </w:t>
      </w:r>
      <w:r w:rsidRPr="003D1661">
        <w:rPr>
          <w:rStyle w:val="CharAmSchNo"/>
        </w:rPr>
        <w:t>2</w:t>
      </w:r>
      <w:r w:rsidRPr="00E77DE0">
        <w:t>—</w:t>
      </w:r>
      <w:r w:rsidRPr="003D1661">
        <w:rPr>
          <w:rStyle w:val="CharAmSchText"/>
        </w:rPr>
        <w:t>Indigenous student assistance grants</w:t>
      </w:r>
      <w:bookmarkEnd w:id="38"/>
    </w:p>
    <w:bookmarkEnd w:id="39"/>
    <w:p w14:paraId="5945BB45" w14:textId="77777777" w:rsidR="0081273D" w:rsidRPr="003D1661" w:rsidRDefault="0081273D" w:rsidP="00E77DE0">
      <w:pPr>
        <w:pStyle w:val="Header"/>
      </w:pPr>
      <w:r w:rsidRPr="003D1661">
        <w:rPr>
          <w:rStyle w:val="CharAmPartNo"/>
        </w:rPr>
        <w:t xml:space="preserve"> </w:t>
      </w:r>
      <w:r w:rsidRPr="003D1661">
        <w:rPr>
          <w:rStyle w:val="CharAmPartText"/>
        </w:rPr>
        <w:t xml:space="preserve"> </w:t>
      </w:r>
    </w:p>
    <w:p w14:paraId="632E2BBE" w14:textId="77777777" w:rsidR="0081273D" w:rsidRPr="00E77DE0" w:rsidRDefault="0081273D" w:rsidP="00E77DE0">
      <w:pPr>
        <w:pStyle w:val="ActHead9"/>
        <w:rPr>
          <w:i w:val="0"/>
        </w:rPr>
      </w:pPr>
      <w:bookmarkStart w:id="40" w:name="_Toc65761552"/>
      <w:r w:rsidRPr="00E77DE0">
        <w:t>Higher Education Support Act 2003</w:t>
      </w:r>
      <w:bookmarkEnd w:id="40"/>
    </w:p>
    <w:p w14:paraId="7D510484" w14:textId="77777777" w:rsidR="0081273D" w:rsidRPr="00E77DE0" w:rsidRDefault="0081273D" w:rsidP="00E77DE0">
      <w:pPr>
        <w:pStyle w:val="ItemHead"/>
      </w:pPr>
      <w:r w:rsidRPr="00E77DE0">
        <w:t xml:space="preserve">1  </w:t>
      </w:r>
      <w:r w:rsidR="002A60F3" w:rsidRPr="00E77DE0">
        <w:t>Paragraph</w:t>
      </w:r>
      <w:r w:rsidR="00E77DE0" w:rsidRPr="00E77DE0">
        <w:t xml:space="preserve"> </w:t>
      </w:r>
      <w:r w:rsidR="002A60F3" w:rsidRPr="00E77DE0">
        <w:t>3</w:t>
      </w:r>
      <w:r w:rsidR="00E77DE0">
        <w:noBreakHyphen/>
      </w:r>
      <w:r w:rsidRPr="00E77DE0">
        <w:t>5(1)(aa)</w:t>
      </w:r>
    </w:p>
    <w:p w14:paraId="28273CC2" w14:textId="77777777" w:rsidR="0081273D" w:rsidRPr="00E77DE0" w:rsidRDefault="0081273D" w:rsidP="00E77DE0">
      <w:pPr>
        <w:pStyle w:val="Item"/>
      </w:pPr>
      <w:r w:rsidRPr="00E77DE0">
        <w:t>Omit “students”, substitute “persons”.</w:t>
      </w:r>
    </w:p>
    <w:p w14:paraId="04529B3F" w14:textId="77777777" w:rsidR="0081273D" w:rsidRPr="00E77DE0" w:rsidRDefault="0081273D" w:rsidP="00E77DE0">
      <w:pPr>
        <w:pStyle w:val="ItemHead"/>
      </w:pPr>
      <w:r w:rsidRPr="00E77DE0">
        <w:t>2  Sections</w:t>
      </w:r>
      <w:r w:rsidR="00E77DE0" w:rsidRPr="00E77DE0">
        <w:t> </w:t>
      </w:r>
      <w:r w:rsidRPr="00E77DE0">
        <w:t>8</w:t>
      </w:r>
      <w:r w:rsidR="00E77DE0">
        <w:noBreakHyphen/>
      </w:r>
      <w:r w:rsidRPr="00E77DE0">
        <w:t>1 and 38</w:t>
      </w:r>
      <w:r w:rsidR="00E77DE0">
        <w:noBreakHyphen/>
      </w:r>
      <w:r w:rsidRPr="00E77DE0">
        <w:t>1</w:t>
      </w:r>
    </w:p>
    <w:p w14:paraId="701A7F46" w14:textId="77777777" w:rsidR="0081273D" w:rsidRPr="00E77DE0" w:rsidRDefault="0081273D" w:rsidP="00E77DE0">
      <w:pPr>
        <w:pStyle w:val="Item"/>
      </w:pPr>
      <w:r w:rsidRPr="00E77DE0">
        <w:t>Omit “Indigenous students”, substitute “Indigenous persons”.</w:t>
      </w:r>
    </w:p>
    <w:p w14:paraId="439193E5" w14:textId="77777777" w:rsidR="0081273D" w:rsidRPr="00E77DE0" w:rsidRDefault="0081273D" w:rsidP="00E77DE0">
      <w:pPr>
        <w:pStyle w:val="ItemHead"/>
      </w:pPr>
      <w:r w:rsidRPr="00E77DE0">
        <w:t xml:space="preserve">3  </w:t>
      </w:r>
      <w:r w:rsidR="002A60F3" w:rsidRPr="00E77DE0">
        <w:t>Paragraph</w:t>
      </w:r>
      <w:r w:rsidR="00E77DE0" w:rsidRPr="00E77DE0">
        <w:t xml:space="preserve"> </w:t>
      </w:r>
      <w:r w:rsidR="002A60F3" w:rsidRPr="00E77DE0">
        <w:t>3</w:t>
      </w:r>
      <w:r w:rsidRPr="00E77DE0">
        <w:t>8</w:t>
      </w:r>
      <w:r w:rsidR="00E77DE0">
        <w:noBreakHyphen/>
      </w:r>
      <w:r w:rsidRPr="00E77DE0">
        <w:t>10(1)(a)</w:t>
      </w:r>
    </w:p>
    <w:p w14:paraId="42E38E95" w14:textId="77777777" w:rsidR="0081273D" w:rsidRPr="00E77DE0" w:rsidRDefault="0081273D" w:rsidP="00E77DE0">
      <w:pPr>
        <w:pStyle w:val="Item"/>
      </w:pPr>
      <w:r w:rsidRPr="00E77DE0">
        <w:t>Omit “Indigenous students”, substitute “</w:t>
      </w:r>
      <w:r w:rsidR="00E77DE0" w:rsidRPr="00E77DE0">
        <w:rPr>
          <w:position w:val="6"/>
          <w:sz w:val="16"/>
        </w:rPr>
        <w:t>*</w:t>
      </w:r>
      <w:r w:rsidRPr="00E77DE0">
        <w:t>Indigenous persons (who may or may not be students)”.</w:t>
      </w:r>
    </w:p>
    <w:p w14:paraId="2EE1D487" w14:textId="77777777" w:rsidR="0081273D" w:rsidRPr="00E77DE0" w:rsidRDefault="0081273D" w:rsidP="00E77DE0">
      <w:pPr>
        <w:pStyle w:val="ItemHead"/>
      </w:pPr>
      <w:r w:rsidRPr="00E77DE0">
        <w:t xml:space="preserve">4  </w:t>
      </w:r>
      <w:r w:rsidR="002A60F3" w:rsidRPr="00E77DE0">
        <w:t>Paragraph</w:t>
      </w:r>
      <w:r w:rsidR="00E77DE0" w:rsidRPr="00E77DE0">
        <w:t xml:space="preserve"> </w:t>
      </w:r>
      <w:r w:rsidR="002A60F3" w:rsidRPr="00E77DE0">
        <w:t>3</w:t>
      </w:r>
      <w:r w:rsidRPr="00E77DE0">
        <w:t>8</w:t>
      </w:r>
      <w:r w:rsidR="00E77DE0">
        <w:noBreakHyphen/>
      </w:r>
      <w:r w:rsidRPr="00E77DE0">
        <w:t>10(1)(b)</w:t>
      </w:r>
    </w:p>
    <w:p w14:paraId="28A31630" w14:textId="77777777" w:rsidR="0081273D" w:rsidRPr="00E77DE0" w:rsidRDefault="0081273D" w:rsidP="00E77DE0">
      <w:pPr>
        <w:pStyle w:val="Item"/>
      </w:pPr>
      <w:r w:rsidRPr="00E77DE0">
        <w:t>Repeal the paragraph, substitute:</w:t>
      </w:r>
    </w:p>
    <w:p w14:paraId="1396EC6F" w14:textId="77777777" w:rsidR="0081273D" w:rsidRPr="00E77DE0" w:rsidRDefault="0081273D" w:rsidP="00E77DE0">
      <w:pPr>
        <w:pStyle w:val="paragraph"/>
      </w:pPr>
      <w:r w:rsidRPr="00E77DE0">
        <w:tab/>
        <w:t>(b)</w:t>
      </w:r>
      <w:r w:rsidRPr="00E77DE0">
        <w:tab/>
        <w:t>increasing the number of:</w:t>
      </w:r>
    </w:p>
    <w:p w14:paraId="1FF90C42" w14:textId="77777777" w:rsidR="0081273D" w:rsidRPr="00E77DE0" w:rsidRDefault="0081273D" w:rsidP="00E77DE0">
      <w:pPr>
        <w:pStyle w:val="paragraphsub"/>
      </w:pPr>
      <w:r w:rsidRPr="00E77DE0">
        <w:tab/>
        <w:t>(</w:t>
      </w:r>
      <w:proofErr w:type="spellStart"/>
      <w:r w:rsidRPr="00E77DE0">
        <w:t>i</w:t>
      </w:r>
      <w:proofErr w:type="spellEnd"/>
      <w:r w:rsidRPr="00E77DE0">
        <w:t>)</w:t>
      </w:r>
      <w:r w:rsidRPr="00E77DE0">
        <w:tab/>
      </w:r>
      <w:r w:rsidR="00E77DE0" w:rsidRPr="00E77DE0">
        <w:rPr>
          <w:position w:val="6"/>
          <w:sz w:val="16"/>
        </w:rPr>
        <w:t>*</w:t>
      </w:r>
      <w:r w:rsidRPr="00E77DE0">
        <w:t xml:space="preserve">Indigenous persons enrolling in courses leading to </w:t>
      </w:r>
      <w:r w:rsidR="00E77DE0" w:rsidRPr="00E77DE0">
        <w:rPr>
          <w:position w:val="6"/>
          <w:sz w:val="16"/>
        </w:rPr>
        <w:t>*</w:t>
      </w:r>
      <w:r w:rsidRPr="00E77DE0">
        <w:t>higher education awards; and</w:t>
      </w:r>
    </w:p>
    <w:p w14:paraId="305800B7" w14:textId="77777777" w:rsidR="0081273D" w:rsidRPr="00E77DE0" w:rsidRDefault="0081273D" w:rsidP="00E77DE0">
      <w:pPr>
        <w:pStyle w:val="paragraphsub"/>
      </w:pPr>
      <w:r w:rsidRPr="00E77DE0">
        <w:tab/>
        <w:t>(ii)</w:t>
      </w:r>
      <w:r w:rsidRPr="00E77DE0">
        <w:tab/>
        <w:t>students who are Indigenous persons progressing in and completing courses leading to higher education awards.</w:t>
      </w:r>
    </w:p>
    <w:p w14:paraId="3B2043EC" w14:textId="77777777" w:rsidR="00464C98" w:rsidRPr="00E77DE0" w:rsidRDefault="00464C98" w:rsidP="00E77DE0">
      <w:pPr>
        <w:pStyle w:val="ItemHead"/>
      </w:pPr>
      <w:r w:rsidRPr="00E77DE0">
        <w:t>5  Subclause</w:t>
      </w:r>
      <w:r w:rsidR="00E77DE0" w:rsidRPr="00E77DE0">
        <w:t> </w:t>
      </w:r>
      <w:r w:rsidRPr="00E77DE0">
        <w:t>1(1) of Schedule</w:t>
      </w:r>
      <w:r w:rsidR="00E77DE0" w:rsidRPr="00E77DE0">
        <w:t> </w:t>
      </w:r>
      <w:r w:rsidRPr="00E77DE0">
        <w:t>1</w:t>
      </w:r>
    </w:p>
    <w:p w14:paraId="5FDA8D99" w14:textId="77777777" w:rsidR="00464C98" w:rsidRPr="00E77DE0" w:rsidRDefault="00464C98" w:rsidP="00E77DE0">
      <w:pPr>
        <w:pStyle w:val="Item"/>
      </w:pPr>
      <w:r w:rsidRPr="00E77DE0">
        <w:t>Insert:</w:t>
      </w:r>
    </w:p>
    <w:p w14:paraId="5E7710C1" w14:textId="77777777" w:rsidR="00464C98" w:rsidRDefault="00464C98" w:rsidP="00E77DE0">
      <w:pPr>
        <w:pStyle w:val="Definition"/>
      </w:pPr>
      <w:r w:rsidRPr="00E77DE0">
        <w:rPr>
          <w:b/>
          <w:i/>
        </w:rPr>
        <w:t>Indigenous person</w:t>
      </w:r>
      <w:r w:rsidRPr="00E77DE0">
        <w:t xml:space="preserve"> has the same meaning as in the </w:t>
      </w:r>
      <w:r w:rsidRPr="00E77DE0">
        <w:rPr>
          <w:i/>
        </w:rPr>
        <w:t>Indigenous Education (Targeted Assistance) Act 2000</w:t>
      </w:r>
      <w:r w:rsidRPr="00E77DE0">
        <w:t>.</w:t>
      </w:r>
    </w:p>
    <w:p w14:paraId="18CAA4B7" w14:textId="77777777" w:rsidR="004E5B89" w:rsidRPr="00E77DE0" w:rsidRDefault="004E5B89" w:rsidP="00FE71DC"/>
    <w:p w14:paraId="311DC9D6" w14:textId="77777777" w:rsidR="004E5B89" w:rsidRDefault="004E5B89" w:rsidP="00446364"/>
    <w:p w14:paraId="5ED4E9E9" w14:textId="77777777" w:rsidR="00446364" w:rsidRDefault="00446364" w:rsidP="00446364">
      <w:pPr>
        <w:pBdr>
          <w:bottom w:val="single" w:sz="4" w:space="1" w:color="auto"/>
        </w:pBdr>
        <w:sectPr w:rsidR="00446364" w:rsidSect="00446364">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14:paraId="291E8150" w14:textId="77777777" w:rsidR="00394DA8" w:rsidRDefault="00394DA8" w:rsidP="000C5962">
      <w:pPr>
        <w:pStyle w:val="2ndRd"/>
        <w:keepNext/>
        <w:spacing w:line="260" w:lineRule="atLeast"/>
        <w:rPr>
          <w:i/>
        </w:rPr>
      </w:pPr>
      <w:r>
        <w:lastRenderedPageBreak/>
        <w:t>[</w:t>
      </w:r>
      <w:r>
        <w:rPr>
          <w:i/>
        </w:rPr>
        <w:t>Minister’s second reading speech made in—</w:t>
      </w:r>
    </w:p>
    <w:p w14:paraId="1253A299" w14:textId="77777777" w:rsidR="00394DA8" w:rsidRDefault="00394DA8" w:rsidP="000C5962">
      <w:pPr>
        <w:pStyle w:val="2ndRd"/>
        <w:keepNext/>
        <w:spacing w:line="260" w:lineRule="atLeast"/>
        <w:rPr>
          <w:i/>
        </w:rPr>
      </w:pPr>
      <w:r>
        <w:rPr>
          <w:i/>
        </w:rPr>
        <w:t>House of Representatives on 2 September 2020</w:t>
      </w:r>
    </w:p>
    <w:p w14:paraId="2D917477" w14:textId="77777777" w:rsidR="00394DA8" w:rsidRDefault="00394DA8" w:rsidP="000C5962">
      <w:pPr>
        <w:pStyle w:val="2ndRd"/>
        <w:keepNext/>
        <w:spacing w:line="260" w:lineRule="atLeast"/>
        <w:rPr>
          <w:i/>
        </w:rPr>
      </w:pPr>
      <w:r>
        <w:rPr>
          <w:i/>
        </w:rPr>
        <w:t>Senate on 30 November 2020</w:t>
      </w:r>
      <w:r>
        <w:t>]</w:t>
      </w:r>
    </w:p>
    <w:p w14:paraId="402DCB81" w14:textId="77777777" w:rsidR="00394DA8" w:rsidRDefault="00394DA8" w:rsidP="00394DA8">
      <w:pPr>
        <w:framePr w:hSpace="180" w:wrap="around" w:vAnchor="text" w:hAnchor="page" w:x="2410" w:y="9441"/>
      </w:pPr>
      <w:r>
        <w:t>(111/20)</w:t>
      </w:r>
    </w:p>
    <w:p w14:paraId="37E4D846" w14:textId="77777777" w:rsidR="00394DA8" w:rsidRDefault="00394DA8"/>
    <w:sectPr w:rsidR="00394DA8" w:rsidSect="00446364">
      <w:headerReference w:type="even" r:id="rId28"/>
      <w:headerReference w:type="default" r:id="rId29"/>
      <w:headerReference w:type="first" r:id="rId30"/>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873F0" w14:textId="77777777" w:rsidR="00333439" w:rsidRDefault="00333439" w:rsidP="0048364F">
      <w:pPr>
        <w:spacing w:line="240" w:lineRule="auto"/>
      </w:pPr>
      <w:r>
        <w:separator/>
      </w:r>
    </w:p>
  </w:endnote>
  <w:endnote w:type="continuationSeparator" w:id="0">
    <w:p w14:paraId="1076919E" w14:textId="77777777" w:rsidR="00333439" w:rsidRDefault="0033343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F838" w14:textId="77777777" w:rsidR="00333439" w:rsidRPr="005F1388" w:rsidRDefault="00333439" w:rsidP="00E77DE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8C2A3" w14:textId="77777777" w:rsidR="00394DA8" w:rsidRDefault="00394DA8" w:rsidP="00CD12A5">
    <w:pPr>
      <w:pStyle w:val="ScalePlusRef"/>
    </w:pPr>
    <w:r>
      <w:t>Note: An electronic version of this Act is available on the Federal Register of Legislation (</w:t>
    </w:r>
    <w:hyperlink r:id="rId1" w:history="1">
      <w:r>
        <w:t>https://www.legislation.gov.au/</w:t>
      </w:r>
    </w:hyperlink>
    <w:r>
      <w:t>)</w:t>
    </w:r>
  </w:p>
  <w:p w14:paraId="0FBFAF73" w14:textId="77777777" w:rsidR="00394DA8" w:rsidRDefault="00394DA8" w:rsidP="00CD12A5"/>
  <w:p w14:paraId="47BA8626" w14:textId="77777777" w:rsidR="00333439" w:rsidRDefault="00333439" w:rsidP="00E77DE0">
    <w:pPr>
      <w:pStyle w:val="Footer"/>
      <w:spacing w:before="120"/>
    </w:pPr>
  </w:p>
  <w:p w14:paraId="59B9428F" w14:textId="77777777" w:rsidR="00333439" w:rsidRPr="005F1388" w:rsidRDefault="0033343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DE50" w14:textId="77777777" w:rsidR="00333439" w:rsidRPr="00ED79B6" w:rsidRDefault="00333439" w:rsidP="00E77DE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DCB0" w14:textId="77777777" w:rsidR="00333439" w:rsidRDefault="00333439" w:rsidP="00E77D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33439" w14:paraId="28B3E4B1" w14:textId="77777777" w:rsidTr="00342AA5">
      <w:tc>
        <w:tcPr>
          <w:tcW w:w="646" w:type="dxa"/>
        </w:tcPr>
        <w:p w14:paraId="6C813F06" w14:textId="77777777" w:rsidR="00333439" w:rsidRDefault="00333439" w:rsidP="00342AA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6E7F">
            <w:rPr>
              <w:i/>
              <w:noProof/>
              <w:sz w:val="18"/>
            </w:rPr>
            <w:t>xix</w:t>
          </w:r>
          <w:r w:rsidRPr="00ED79B6">
            <w:rPr>
              <w:i/>
              <w:sz w:val="18"/>
            </w:rPr>
            <w:fldChar w:fldCharType="end"/>
          </w:r>
        </w:p>
      </w:tc>
      <w:tc>
        <w:tcPr>
          <w:tcW w:w="5387" w:type="dxa"/>
        </w:tcPr>
        <w:p w14:paraId="355BC962" w14:textId="78D26E19" w:rsidR="00333439" w:rsidRDefault="00333439" w:rsidP="00342AA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A1128">
            <w:rPr>
              <w:i/>
              <w:sz w:val="18"/>
            </w:rPr>
            <w:t>Higher Education Legislation Amendment (Provider Category Standards and Other Measures) Act 2021</w:t>
          </w:r>
          <w:r w:rsidRPr="00ED79B6">
            <w:rPr>
              <w:i/>
              <w:sz w:val="18"/>
            </w:rPr>
            <w:fldChar w:fldCharType="end"/>
          </w:r>
        </w:p>
      </w:tc>
      <w:tc>
        <w:tcPr>
          <w:tcW w:w="1270" w:type="dxa"/>
        </w:tcPr>
        <w:p w14:paraId="1D49865A" w14:textId="36DE844D" w:rsidR="00333439" w:rsidRDefault="00333439" w:rsidP="00342AA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A1128">
            <w:rPr>
              <w:i/>
              <w:sz w:val="18"/>
            </w:rPr>
            <w:t>No. 14, 2021</w:t>
          </w:r>
          <w:r w:rsidRPr="00ED79B6">
            <w:rPr>
              <w:i/>
              <w:sz w:val="18"/>
            </w:rPr>
            <w:fldChar w:fldCharType="end"/>
          </w:r>
        </w:p>
      </w:tc>
    </w:tr>
  </w:tbl>
  <w:p w14:paraId="18592468" w14:textId="77777777" w:rsidR="00333439" w:rsidRDefault="0033343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3419" w14:textId="77777777" w:rsidR="00333439" w:rsidRDefault="00333439" w:rsidP="00E77D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33439" w14:paraId="3324730E" w14:textId="77777777" w:rsidTr="00342AA5">
      <w:tc>
        <w:tcPr>
          <w:tcW w:w="1247" w:type="dxa"/>
        </w:tcPr>
        <w:p w14:paraId="75B995B8" w14:textId="6A0EB64B" w:rsidR="00333439" w:rsidRDefault="00333439" w:rsidP="00342AA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A1128">
            <w:rPr>
              <w:i/>
              <w:sz w:val="18"/>
            </w:rPr>
            <w:t>No. 14, 2021</w:t>
          </w:r>
          <w:r w:rsidRPr="00ED79B6">
            <w:rPr>
              <w:i/>
              <w:sz w:val="18"/>
            </w:rPr>
            <w:fldChar w:fldCharType="end"/>
          </w:r>
        </w:p>
      </w:tc>
      <w:tc>
        <w:tcPr>
          <w:tcW w:w="5387" w:type="dxa"/>
        </w:tcPr>
        <w:p w14:paraId="6BB1B0BF" w14:textId="745025B4" w:rsidR="00333439" w:rsidRDefault="00333439" w:rsidP="00342AA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A1128">
            <w:rPr>
              <w:i/>
              <w:sz w:val="18"/>
            </w:rPr>
            <w:t>Higher Education Legislation Amendment (Provider Category Standards and Other Measures) Act 2021</w:t>
          </w:r>
          <w:r w:rsidRPr="00ED79B6">
            <w:rPr>
              <w:i/>
              <w:sz w:val="18"/>
            </w:rPr>
            <w:fldChar w:fldCharType="end"/>
          </w:r>
        </w:p>
      </w:tc>
      <w:tc>
        <w:tcPr>
          <w:tcW w:w="669" w:type="dxa"/>
        </w:tcPr>
        <w:p w14:paraId="1AD687CD" w14:textId="77777777" w:rsidR="00333439" w:rsidRDefault="00333439" w:rsidP="00342AA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30AC6">
            <w:rPr>
              <w:i/>
              <w:noProof/>
              <w:sz w:val="18"/>
            </w:rPr>
            <w:t>i</w:t>
          </w:r>
          <w:r w:rsidRPr="00ED79B6">
            <w:rPr>
              <w:i/>
              <w:sz w:val="18"/>
            </w:rPr>
            <w:fldChar w:fldCharType="end"/>
          </w:r>
        </w:p>
      </w:tc>
    </w:tr>
  </w:tbl>
  <w:p w14:paraId="185EA0AD" w14:textId="77777777" w:rsidR="00333439" w:rsidRPr="00ED79B6" w:rsidRDefault="00333439"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6F21" w14:textId="77777777" w:rsidR="00333439" w:rsidRPr="00A961C4" w:rsidRDefault="00333439" w:rsidP="00E77DE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33439" w14:paraId="0A480384" w14:textId="77777777" w:rsidTr="003D1661">
      <w:tc>
        <w:tcPr>
          <w:tcW w:w="646" w:type="dxa"/>
        </w:tcPr>
        <w:p w14:paraId="2E501E01" w14:textId="77777777" w:rsidR="00333439" w:rsidRDefault="00333439" w:rsidP="00342AA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30AC6">
            <w:rPr>
              <w:i/>
              <w:noProof/>
              <w:sz w:val="18"/>
            </w:rPr>
            <w:t>18</w:t>
          </w:r>
          <w:r w:rsidRPr="007A1328">
            <w:rPr>
              <w:i/>
              <w:sz w:val="18"/>
            </w:rPr>
            <w:fldChar w:fldCharType="end"/>
          </w:r>
        </w:p>
      </w:tc>
      <w:tc>
        <w:tcPr>
          <w:tcW w:w="5387" w:type="dxa"/>
        </w:tcPr>
        <w:p w14:paraId="529BDE1C" w14:textId="11123533" w:rsidR="00333439" w:rsidRDefault="00333439" w:rsidP="00342A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A1128">
            <w:rPr>
              <w:i/>
              <w:sz w:val="18"/>
            </w:rPr>
            <w:t>Higher Education Legislation Amendment (Provider Category Standards and Other Measures) Act 2021</w:t>
          </w:r>
          <w:r w:rsidRPr="007A1328">
            <w:rPr>
              <w:i/>
              <w:sz w:val="18"/>
            </w:rPr>
            <w:fldChar w:fldCharType="end"/>
          </w:r>
        </w:p>
      </w:tc>
      <w:tc>
        <w:tcPr>
          <w:tcW w:w="1270" w:type="dxa"/>
        </w:tcPr>
        <w:p w14:paraId="40A4B888" w14:textId="58555F66" w:rsidR="00333439" w:rsidRDefault="00333439" w:rsidP="00342AA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A1128">
            <w:rPr>
              <w:i/>
              <w:sz w:val="18"/>
            </w:rPr>
            <w:t>No. 14, 2021</w:t>
          </w:r>
          <w:r w:rsidRPr="007A1328">
            <w:rPr>
              <w:i/>
              <w:sz w:val="18"/>
            </w:rPr>
            <w:fldChar w:fldCharType="end"/>
          </w:r>
        </w:p>
      </w:tc>
    </w:tr>
  </w:tbl>
  <w:p w14:paraId="07BB84B9" w14:textId="77777777" w:rsidR="00333439" w:rsidRPr="00A961C4" w:rsidRDefault="00333439"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2093F" w14:textId="77777777" w:rsidR="00333439" w:rsidRPr="00A961C4" w:rsidRDefault="00333439" w:rsidP="00E77D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33439" w14:paraId="01B4C29E" w14:textId="77777777" w:rsidTr="003D1661">
      <w:tc>
        <w:tcPr>
          <w:tcW w:w="1247" w:type="dxa"/>
        </w:tcPr>
        <w:p w14:paraId="0459B2A5" w14:textId="66029AD4" w:rsidR="00333439" w:rsidRDefault="00333439" w:rsidP="00342AA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A1128">
            <w:rPr>
              <w:i/>
              <w:sz w:val="18"/>
            </w:rPr>
            <w:t>No. 14, 2021</w:t>
          </w:r>
          <w:r w:rsidRPr="007A1328">
            <w:rPr>
              <w:i/>
              <w:sz w:val="18"/>
            </w:rPr>
            <w:fldChar w:fldCharType="end"/>
          </w:r>
        </w:p>
      </w:tc>
      <w:tc>
        <w:tcPr>
          <w:tcW w:w="5387" w:type="dxa"/>
        </w:tcPr>
        <w:p w14:paraId="0027280E" w14:textId="060F36A7" w:rsidR="00333439" w:rsidRDefault="00333439" w:rsidP="00342A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A1128">
            <w:rPr>
              <w:i/>
              <w:sz w:val="18"/>
            </w:rPr>
            <w:t>Higher Education Legislation Amendment (Provider Category Standards and Other Measures) Act 2021</w:t>
          </w:r>
          <w:r w:rsidRPr="007A1328">
            <w:rPr>
              <w:i/>
              <w:sz w:val="18"/>
            </w:rPr>
            <w:fldChar w:fldCharType="end"/>
          </w:r>
        </w:p>
      </w:tc>
      <w:tc>
        <w:tcPr>
          <w:tcW w:w="669" w:type="dxa"/>
        </w:tcPr>
        <w:p w14:paraId="793858D4" w14:textId="77777777" w:rsidR="00333439" w:rsidRDefault="00333439" w:rsidP="00342AA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30AC6">
            <w:rPr>
              <w:i/>
              <w:noProof/>
              <w:sz w:val="18"/>
            </w:rPr>
            <w:t>19</w:t>
          </w:r>
          <w:r w:rsidRPr="007A1328">
            <w:rPr>
              <w:i/>
              <w:sz w:val="18"/>
            </w:rPr>
            <w:fldChar w:fldCharType="end"/>
          </w:r>
        </w:p>
      </w:tc>
    </w:tr>
  </w:tbl>
  <w:p w14:paraId="0E9AE42B" w14:textId="77777777" w:rsidR="00333439" w:rsidRPr="00055B5C" w:rsidRDefault="00333439"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6DC4" w14:textId="77777777" w:rsidR="00333439" w:rsidRPr="00A961C4" w:rsidRDefault="00333439" w:rsidP="00E77DE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4"/>
      <w:gridCol w:w="654"/>
    </w:tblGrid>
    <w:tr w:rsidR="00333439" w14:paraId="64DD29A5" w14:textId="77777777" w:rsidTr="003D1661">
      <w:tc>
        <w:tcPr>
          <w:tcW w:w="1247" w:type="dxa"/>
        </w:tcPr>
        <w:p w14:paraId="45C1AD07" w14:textId="599F64B0" w:rsidR="00333439" w:rsidRDefault="00333439" w:rsidP="00342AA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A1128">
            <w:rPr>
              <w:i/>
              <w:sz w:val="18"/>
            </w:rPr>
            <w:t>No. 14, 2021</w:t>
          </w:r>
          <w:r w:rsidRPr="007A1328">
            <w:rPr>
              <w:i/>
              <w:sz w:val="18"/>
            </w:rPr>
            <w:fldChar w:fldCharType="end"/>
          </w:r>
        </w:p>
      </w:tc>
      <w:tc>
        <w:tcPr>
          <w:tcW w:w="5387" w:type="dxa"/>
        </w:tcPr>
        <w:p w14:paraId="3217C18E" w14:textId="73D6A612" w:rsidR="00333439" w:rsidRDefault="00333439" w:rsidP="00342A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A1128">
            <w:rPr>
              <w:i/>
              <w:sz w:val="18"/>
            </w:rPr>
            <w:t>Higher Education Legislation Amendment (Provider Category Standards and Other Measures) Act 2021</w:t>
          </w:r>
          <w:r w:rsidRPr="007A1328">
            <w:rPr>
              <w:i/>
              <w:sz w:val="18"/>
            </w:rPr>
            <w:fldChar w:fldCharType="end"/>
          </w:r>
        </w:p>
      </w:tc>
      <w:tc>
        <w:tcPr>
          <w:tcW w:w="669" w:type="dxa"/>
        </w:tcPr>
        <w:p w14:paraId="54694086" w14:textId="77777777" w:rsidR="00333439" w:rsidRDefault="00333439" w:rsidP="00342AA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30AC6">
            <w:rPr>
              <w:i/>
              <w:noProof/>
              <w:sz w:val="18"/>
            </w:rPr>
            <w:t>1</w:t>
          </w:r>
          <w:r w:rsidRPr="007A1328">
            <w:rPr>
              <w:i/>
              <w:sz w:val="18"/>
            </w:rPr>
            <w:fldChar w:fldCharType="end"/>
          </w:r>
        </w:p>
      </w:tc>
    </w:tr>
  </w:tbl>
  <w:p w14:paraId="13939E66" w14:textId="77777777" w:rsidR="00333439" w:rsidRPr="00A961C4" w:rsidRDefault="00333439"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775E4" w14:textId="77777777" w:rsidR="00333439" w:rsidRDefault="00333439" w:rsidP="0048364F">
      <w:pPr>
        <w:spacing w:line="240" w:lineRule="auto"/>
      </w:pPr>
      <w:r>
        <w:separator/>
      </w:r>
    </w:p>
  </w:footnote>
  <w:footnote w:type="continuationSeparator" w:id="0">
    <w:p w14:paraId="7C6EFEDA" w14:textId="77777777" w:rsidR="00333439" w:rsidRDefault="0033343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5520" w14:textId="77777777" w:rsidR="00333439" w:rsidRPr="005F1388" w:rsidRDefault="00333439"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AF04" w14:textId="77777777" w:rsidR="00446364" w:rsidRPr="00A961C4" w:rsidRDefault="00446364" w:rsidP="0048364F">
    <w:pPr>
      <w:rPr>
        <w:b/>
        <w:sz w:val="20"/>
      </w:rPr>
    </w:pPr>
  </w:p>
  <w:p w14:paraId="52E81D4B" w14:textId="3C6E7075" w:rsidR="00446364" w:rsidRPr="00A961C4" w:rsidRDefault="00446364"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2DB8B537" w14:textId="77777777" w:rsidR="00446364" w:rsidRPr="00A961C4" w:rsidRDefault="00446364"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52150" w14:textId="77777777" w:rsidR="00446364" w:rsidRPr="00A961C4" w:rsidRDefault="00446364" w:rsidP="0048364F">
    <w:pPr>
      <w:jc w:val="right"/>
      <w:rPr>
        <w:sz w:val="20"/>
      </w:rPr>
    </w:pPr>
  </w:p>
  <w:p w14:paraId="140BE537" w14:textId="265BD5F7" w:rsidR="00446364" w:rsidRPr="00A961C4" w:rsidRDefault="0044636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276518B8" w14:textId="77777777" w:rsidR="00446364" w:rsidRPr="00A961C4" w:rsidRDefault="00446364"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635F3" w14:textId="77777777" w:rsidR="00446364" w:rsidRPr="00A961C4" w:rsidRDefault="00446364"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CE02" w14:textId="77777777" w:rsidR="00333439" w:rsidRPr="005F1388" w:rsidRDefault="00333439"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96B" w14:textId="77777777" w:rsidR="00333439" w:rsidRPr="005F1388" w:rsidRDefault="0033343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0BD1" w14:textId="77777777" w:rsidR="00333439" w:rsidRPr="00ED79B6" w:rsidRDefault="00333439"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D7906" w14:textId="77777777" w:rsidR="00333439" w:rsidRPr="00ED79B6" w:rsidRDefault="00333439"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A1BCE" w14:textId="77777777" w:rsidR="00333439" w:rsidRPr="00ED79B6" w:rsidRDefault="0033343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CFC56" w14:textId="033A0705" w:rsidR="00333439" w:rsidRPr="00A961C4" w:rsidRDefault="00333439" w:rsidP="0048364F">
    <w:pPr>
      <w:rPr>
        <w:b/>
        <w:sz w:val="20"/>
      </w:rPr>
    </w:pPr>
    <w:r>
      <w:rPr>
        <w:b/>
        <w:sz w:val="20"/>
      </w:rPr>
      <w:fldChar w:fldCharType="begin"/>
    </w:r>
    <w:r>
      <w:rPr>
        <w:b/>
        <w:sz w:val="20"/>
      </w:rPr>
      <w:instrText xml:space="preserve"> STYLEREF CharAmSchNo </w:instrText>
    </w:r>
    <w:r w:rsidR="00AD6861">
      <w:rPr>
        <w:b/>
        <w:sz w:val="20"/>
      </w:rPr>
      <w:fldChar w:fldCharType="separate"/>
    </w:r>
    <w:r w:rsidR="00AD6861">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D6861">
      <w:rPr>
        <w:sz w:val="20"/>
      </w:rPr>
      <w:fldChar w:fldCharType="separate"/>
    </w:r>
    <w:r w:rsidR="00AD6861">
      <w:rPr>
        <w:noProof/>
        <w:sz w:val="20"/>
      </w:rPr>
      <w:t>Indigenous student assistance grants</w:t>
    </w:r>
    <w:r>
      <w:rPr>
        <w:sz w:val="20"/>
      </w:rPr>
      <w:fldChar w:fldCharType="end"/>
    </w:r>
  </w:p>
  <w:p w14:paraId="3CC94A0E" w14:textId="03B3B85C" w:rsidR="00333439" w:rsidRPr="00A961C4" w:rsidRDefault="0033343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12ADA9F" w14:textId="77777777" w:rsidR="00333439" w:rsidRPr="00A961C4" w:rsidRDefault="00333439"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23A6" w14:textId="680F1F80" w:rsidR="00333439" w:rsidRPr="00A961C4" w:rsidRDefault="00333439" w:rsidP="0048364F">
    <w:pPr>
      <w:jc w:val="right"/>
      <w:rPr>
        <w:sz w:val="20"/>
      </w:rPr>
    </w:pPr>
    <w:r w:rsidRPr="00A961C4">
      <w:rPr>
        <w:sz w:val="20"/>
      </w:rPr>
      <w:fldChar w:fldCharType="begin"/>
    </w:r>
    <w:r w:rsidRPr="00A961C4">
      <w:rPr>
        <w:sz w:val="20"/>
      </w:rPr>
      <w:instrText xml:space="preserve"> STYLEREF CharAmSchText </w:instrText>
    </w:r>
    <w:r w:rsidR="00AD6861">
      <w:rPr>
        <w:sz w:val="20"/>
      </w:rPr>
      <w:fldChar w:fldCharType="separate"/>
    </w:r>
    <w:r w:rsidR="00AD6861">
      <w:rPr>
        <w:noProof/>
        <w:sz w:val="20"/>
      </w:rPr>
      <w:t>Higher education standards and 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D6861">
      <w:rPr>
        <w:b/>
        <w:sz w:val="20"/>
      </w:rPr>
      <w:fldChar w:fldCharType="separate"/>
    </w:r>
    <w:r w:rsidR="00AD6861">
      <w:rPr>
        <w:b/>
        <w:noProof/>
        <w:sz w:val="20"/>
      </w:rPr>
      <w:t>Schedule 1</w:t>
    </w:r>
    <w:r>
      <w:rPr>
        <w:b/>
        <w:sz w:val="20"/>
      </w:rPr>
      <w:fldChar w:fldCharType="end"/>
    </w:r>
  </w:p>
  <w:p w14:paraId="385B5BA4" w14:textId="5E8FD4E3" w:rsidR="00333439" w:rsidRPr="00A961C4" w:rsidRDefault="00333439" w:rsidP="0048364F">
    <w:pPr>
      <w:jc w:val="right"/>
      <w:rPr>
        <w:b/>
        <w:sz w:val="20"/>
      </w:rPr>
    </w:pPr>
    <w:r w:rsidRPr="00A961C4">
      <w:rPr>
        <w:sz w:val="20"/>
      </w:rPr>
      <w:fldChar w:fldCharType="begin"/>
    </w:r>
    <w:r w:rsidRPr="00A961C4">
      <w:rPr>
        <w:sz w:val="20"/>
      </w:rPr>
      <w:instrText xml:space="preserve"> STYLEREF CharAmPartText </w:instrText>
    </w:r>
    <w:r w:rsidR="00AD6861">
      <w:rPr>
        <w:sz w:val="20"/>
      </w:rPr>
      <w:fldChar w:fldCharType="separate"/>
    </w:r>
    <w:r w:rsidR="00AD6861">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D6861">
      <w:rPr>
        <w:b/>
        <w:sz w:val="20"/>
      </w:rPr>
      <w:fldChar w:fldCharType="separate"/>
    </w:r>
    <w:r w:rsidR="00AD6861">
      <w:rPr>
        <w:b/>
        <w:noProof/>
        <w:sz w:val="20"/>
      </w:rPr>
      <w:t>Part 2</w:t>
    </w:r>
    <w:r w:rsidRPr="00A961C4">
      <w:rPr>
        <w:b/>
        <w:sz w:val="20"/>
      </w:rPr>
      <w:fldChar w:fldCharType="end"/>
    </w:r>
  </w:p>
  <w:p w14:paraId="23D76F3B" w14:textId="77777777" w:rsidR="00333439" w:rsidRPr="00A961C4" w:rsidRDefault="00333439"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D2832" w14:textId="77777777" w:rsidR="00333439" w:rsidRPr="00A961C4" w:rsidRDefault="0033343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64"/>
    <w:rsid w:val="00003031"/>
    <w:rsid w:val="00010BC0"/>
    <w:rsid w:val="000113BC"/>
    <w:rsid w:val="000136AF"/>
    <w:rsid w:val="00024B52"/>
    <w:rsid w:val="00026AF2"/>
    <w:rsid w:val="00037052"/>
    <w:rsid w:val="000417C9"/>
    <w:rsid w:val="00047CBC"/>
    <w:rsid w:val="000521B5"/>
    <w:rsid w:val="00052258"/>
    <w:rsid w:val="00055B5C"/>
    <w:rsid w:val="00056391"/>
    <w:rsid w:val="00060FF9"/>
    <w:rsid w:val="000614BF"/>
    <w:rsid w:val="00064077"/>
    <w:rsid w:val="000827FD"/>
    <w:rsid w:val="0008559F"/>
    <w:rsid w:val="000A2FB4"/>
    <w:rsid w:val="000A3A17"/>
    <w:rsid w:val="000A5860"/>
    <w:rsid w:val="000A7728"/>
    <w:rsid w:val="000B179D"/>
    <w:rsid w:val="000B1D66"/>
    <w:rsid w:val="000B1FD2"/>
    <w:rsid w:val="000B7783"/>
    <w:rsid w:val="000D05EF"/>
    <w:rsid w:val="000D2FC8"/>
    <w:rsid w:val="000E0E7E"/>
    <w:rsid w:val="000E3EB8"/>
    <w:rsid w:val="000F21C1"/>
    <w:rsid w:val="00101D90"/>
    <w:rsid w:val="0010745C"/>
    <w:rsid w:val="00113BD1"/>
    <w:rsid w:val="00122206"/>
    <w:rsid w:val="00126ABF"/>
    <w:rsid w:val="001432D4"/>
    <w:rsid w:val="00150F7C"/>
    <w:rsid w:val="0015646E"/>
    <w:rsid w:val="001617DB"/>
    <w:rsid w:val="001643C9"/>
    <w:rsid w:val="00165568"/>
    <w:rsid w:val="00166C2F"/>
    <w:rsid w:val="00170C7D"/>
    <w:rsid w:val="001716C9"/>
    <w:rsid w:val="00173363"/>
    <w:rsid w:val="00173B94"/>
    <w:rsid w:val="001811F4"/>
    <w:rsid w:val="001854B4"/>
    <w:rsid w:val="00192D47"/>
    <w:rsid w:val="001932B3"/>
    <w:rsid w:val="001939E1"/>
    <w:rsid w:val="00195382"/>
    <w:rsid w:val="001A3602"/>
    <w:rsid w:val="001A3658"/>
    <w:rsid w:val="001A4D94"/>
    <w:rsid w:val="001A759A"/>
    <w:rsid w:val="001B3DC9"/>
    <w:rsid w:val="001B633C"/>
    <w:rsid w:val="001B7A5D"/>
    <w:rsid w:val="001C2418"/>
    <w:rsid w:val="001C2C76"/>
    <w:rsid w:val="001C69C4"/>
    <w:rsid w:val="001C6AA1"/>
    <w:rsid w:val="001D16FF"/>
    <w:rsid w:val="001E3590"/>
    <w:rsid w:val="001E420E"/>
    <w:rsid w:val="001E7407"/>
    <w:rsid w:val="001F395D"/>
    <w:rsid w:val="00201D27"/>
    <w:rsid w:val="00202618"/>
    <w:rsid w:val="002139EE"/>
    <w:rsid w:val="00213DB6"/>
    <w:rsid w:val="0022018B"/>
    <w:rsid w:val="00224CC7"/>
    <w:rsid w:val="00231129"/>
    <w:rsid w:val="00236B7F"/>
    <w:rsid w:val="00236DB8"/>
    <w:rsid w:val="00240749"/>
    <w:rsid w:val="00245D38"/>
    <w:rsid w:val="00261A7E"/>
    <w:rsid w:val="00263820"/>
    <w:rsid w:val="00266080"/>
    <w:rsid w:val="002726D0"/>
    <w:rsid w:val="00275197"/>
    <w:rsid w:val="00282338"/>
    <w:rsid w:val="002876C0"/>
    <w:rsid w:val="00293B89"/>
    <w:rsid w:val="00297ECB"/>
    <w:rsid w:val="002A60F3"/>
    <w:rsid w:val="002B4E5D"/>
    <w:rsid w:val="002B5A30"/>
    <w:rsid w:val="002C176A"/>
    <w:rsid w:val="002C3809"/>
    <w:rsid w:val="002C6A66"/>
    <w:rsid w:val="002D043A"/>
    <w:rsid w:val="002D0DA1"/>
    <w:rsid w:val="002D395A"/>
    <w:rsid w:val="002E54AD"/>
    <w:rsid w:val="0030068E"/>
    <w:rsid w:val="0030662E"/>
    <w:rsid w:val="00332B68"/>
    <w:rsid w:val="003330DD"/>
    <w:rsid w:val="00333439"/>
    <w:rsid w:val="00340954"/>
    <w:rsid w:val="003415D3"/>
    <w:rsid w:val="00341901"/>
    <w:rsid w:val="00342AA5"/>
    <w:rsid w:val="00350417"/>
    <w:rsid w:val="0035118D"/>
    <w:rsid w:val="00352B0F"/>
    <w:rsid w:val="00355A38"/>
    <w:rsid w:val="003725BB"/>
    <w:rsid w:val="00373874"/>
    <w:rsid w:val="00375C6C"/>
    <w:rsid w:val="0038435A"/>
    <w:rsid w:val="003856A5"/>
    <w:rsid w:val="00387D64"/>
    <w:rsid w:val="003943FC"/>
    <w:rsid w:val="00394DA8"/>
    <w:rsid w:val="003A7B3C"/>
    <w:rsid w:val="003B0406"/>
    <w:rsid w:val="003B4E3D"/>
    <w:rsid w:val="003C1DD3"/>
    <w:rsid w:val="003C4795"/>
    <w:rsid w:val="003C5F2B"/>
    <w:rsid w:val="003D0BFE"/>
    <w:rsid w:val="003D1661"/>
    <w:rsid w:val="003D5700"/>
    <w:rsid w:val="003D7956"/>
    <w:rsid w:val="003E1065"/>
    <w:rsid w:val="00403328"/>
    <w:rsid w:val="00405579"/>
    <w:rsid w:val="00410B8E"/>
    <w:rsid w:val="004116CD"/>
    <w:rsid w:val="00421FC1"/>
    <w:rsid w:val="004229C7"/>
    <w:rsid w:val="00424CA9"/>
    <w:rsid w:val="004263AC"/>
    <w:rsid w:val="004278D1"/>
    <w:rsid w:val="004340C4"/>
    <w:rsid w:val="00434179"/>
    <w:rsid w:val="00436728"/>
    <w:rsid w:val="00436755"/>
    <w:rsid w:val="00436785"/>
    <w:rsid w:val="00436BD5"/>
    <w:rsid w:val="00437E4B"/>
    <w:rsid w:val="004409E2"/>
    <w:rsid w:val="0044291A"/>
    <w:rsid w:val="0044339F"/>
    <w:rsid w:val="0044359F"/>
    <w:rsid w:val="00444F3D"/>
    <w:rsid w:val="00446364"/>
    <w:rsid w:val="00462150"/>
    <w:rsid w:val="00464082"/>
    <w:rsid w:val="00464C98"/>
    <w:rsid w:val="0046649A"/>
    <w:rsid w:val="0048196B"/>
    <w:rsid w:val="0048364F"/>
    <w:rsid w:val="00485C08"/>
    <w:rsid w:val="00486D05"/>
    <w:rsid w:val="004956E2"/>
    <w:rsid w:val="00496F97"/>
    <w:rsid w:val="004977CD"/>
    <w:rsid w:val="004A0B70"/>
    <w:rsid w:val="004A1128"/>
    <w:rsid w:val="004B1687"/>
    <w:rsid w:val="004B218C"/>
    <w:rsid w:val="004B5B42"/>
    <w:rsid w:val="004C7C8C"/>
    <w:rsid w:val="004E1156"/>
    <w:rsid w:val="004E2A4A"/>
    <w:rsid w:val="004E5B89"/>
    <w:rsid w:val="004F0D23"/>
    <w:rsid w:val="004F1ED6"/>
    <w:rsid w:val="004F1FAC"/>
    <w:rsid w:val="004F35F3"/>
    <w:rsid w:val="005027B3"/>
    <w:rsid w:val="00513CDC"/>
    <w:rsid w:val="00516B8D"/>
    <w:rsid w:val="00524084"/>
    <w:rsid w:val="005353FF"/>
    <w:rsid w:val="00537FBC"/>
    <w:rsid w:val="00543469"/>
    <w:rsid w:val="00546240"/>
    <w:rsid w:val="005508E0"/>
    <w:rsid w:val="00551B54"/>
    <w:rsid w:val="00556A9F"/>
    <w:rsid w:val="0056026D"/>
    <w:rsid w:val="00562995"/>
    <w:rsid w:val="00563DA7"/>
    <w:rsid w:val="005718E2"/>
    <w:rsid w:val="005757E1"/>
    <w:rsid w:val="00575B89"/>
    <w:rsid w:val="00583F20"/>
    <w:rsid w:val="00584811"/>
    <w:rsid w:val="005935B7"/>
    <w:rsid w:val="00593AA6"/>
    <w:rsid w:val="00594161"/>
    <w:rsid w:val="00594749"/>
    <w:rsid w:val="00597809"/>
    <w:rsid w:val="005A0D92"/>
    <w:rsid w:val="005A773D"/>
    <w:rsid w:val="005B4067"/>
    <w:rsid w:val="005C3F41"/>
    <w:rsid w:val="005E05BA"/>
    <w:rsid w:val="005E152A"/>
    <w:rsid w:val="005E1546"/>
    <w:rsid w:val="005F4D2E"/>
    <w:rsid w:val="00600219"/>
    <w:rsid w:val="00604AE6"/>
    <w:rsid w:val="00607948"/>
    <w:rsid w:val="0061177C"/>
    <w:rsid w:val="00613C78"/>
    <w:rsid w:val="00641DE5"/>
    <w:rsid w:val="006454C1"/>
    <w:rsid w:val="00652044"/>
    <w:rsid w:val="00652AF1"/>
    <w:rsid w:val="00656F0C"/>
    <w:rsid w:val="00677CC2"/>
    <w:rsid w:val="00681F92"/>
    <w:rsid w:val="006842C2"/>
    <w:rsid w:val="006848F2"/>
    <w:rsid w:val="006854AC"/>
    <w:rsid w:val="00685F42"/>
    <w:rsid w:val="0069207B"/>
    <w:rsid w:val="0069226D"/>
    <w:rsid w:val="006924FD"/>
    <w:rsid w:val="006A0C50"/>
    <w:rsid w:val="006A38E1"/>
    <w:rsid w:val="006A4B23"/>
    <w:rsid w:val="006C034A"/>
    <w:rsid w:val="006C2874"/>
    <w:rsid w:val="006C7F8C"/>
    <w:rsid w:val="006D06BA"/>
    <w:rsid w:val="006D380D"/>
    <w:rsid w:val="006E0135"/>
    <w:rsid w:val="006E1880"/>
    <w:rsid w:val="006E303A"/>
    <w:rsid w:val="006E517F"/>
    <w:rsid w:val="006F7E19"/>
    <w:rsid w:val="00700B2C"/>
    <w:rsid w:val="00705230"/>
    <w:rsid w:val="007065A3"/>
    <w:rsid w:val="00712D8D"/>
    <w:rsid w:val="00713084"/>
    <w:rsid w:val="00714B26"/>
    <w:rsid w:val="00723905"/>
    <w:rsid w:val="00723FFE"/>
    <w:rsid w:val="007303F1"/>
    <w:rsid w:val="00731E00"/>
    <w:rsid w:val="00734D58"/>
    <w:rsid w:val="007440B7"/>
    <w:rsid w:val="00751773"/>
    <w:rsid w:val="00754A3E"/>
    <w:rsid w:val="00755C58"/>
    <w:rsid w:val="007634AD"/>
    <w:rsid w:val="007638F7"/>
    <w:rsid w:val="007703A0"/>
    <w:rsid w:val="007715C9"/>
    <w:rsid w:val="007728E6"/>
    <w:rsid w:val="00774DA7"/>
    <w:rsid w:val="00774EDD"/>
    <w:rsid w:val="007757EC"/>
    <w:rsid w:val="00786F60"/>
    <w:rsid w:val="007940C5"/>
    <w:rsid w:val="0079710E"/>
    <w:rsid w:val="007A564F"/>
    <w:rsid w:val="007B2379"/>
    <w:rsid w:val="007B30AA"/>
    <w:rsid w:val="007B6A76"/>
    <w:rsid w:val="007E1858"/>
    <w:rsid w:val="007E358F"/>
    <w:rsid w:val="007E5DAA"/>
    <w:rsid w:val="007E64C4"/>
    <w:rsid w:val="007E7D4A"/>
    <w:rsid w:val="007F0239"/>
    <w:rsid w:val="007F1274"/>
    <w:rsid w:val="007F183A"/>
    <w:rsid w:val="007F1A75"/>
    <w:rsid w:val="008006CC"/>
    <w:rsid w:val="00801FD2"/>
    <w:rsid w:val="00803975"/>
    <w:rsid w:val="00807F18"/>
    <w:rsid w:val="0081258A"/>
    <w:rsid w:val="0081273D"/>
    <w:rsid w:val="00814912"/>
    <w:rsid w:val="008215B3"/>
    <w:rsid w:val="00827063"/>
    <w:rsid w:val="008278F3"/>
    <w:rsid w:val="00831E8D"/>
    <w:rsid w:val="008349C2"/>
    <w:rsid w:val="00835C35"/>
    <w:rsid w:val="008418A6"/>
    <w:rsid w:val="00847D67"/>
    <w:rsid w:val="008527E1"/>
    <w:rsid w:val="00856A31"/>
    <w:rsid w:val="00857D6B"/>
    <w:rsid w:val="00866585"/>
    <w:rsid w:val="00872D66"/>
    <w:rsid w:val="008754D0"/>
    <w:rsid w:val="00877D48"/>
    <w:rsid w:val="0088095D"/>
    <w:rsid w:val="00883781"/>
    <w:rsid w:val="00883F5D"/>
    <w:rsid w:val="00884E74"/>
    <w:rsid w:val="00885570"/>
    <w:rsid w:val="00893958"/>
    <w:rsid w:val="008A0622"/>
    <w:rsid w:val="008A1135"/>
    <w:rsid w:val="008A2BD8"/>
    <w:rsid w:val="008A2E77"/>
    <w:rsid w:val="008A35B7"/>
    <w:rsid w:val="008B5349"/>
    <w:rsid w:val="008C1A9F"/>
    <w:rsid w:val="008C6F6F"/>
    <w:rsid w:val="008C7663"/>
    <w:rsid w:val="008D0EE0"/>
    <w:rsid w:val="008D1B7F"/>
    <w:rsid w:val="008D3E94"/>
    <w:rsid w:val="008E0666"/>
    <w:rsid w:val="008F4F1C"/>
    <w:rsid w:val="008F5EC7"/>
    <w:rsid w:val="008F77C4"/>
    <w:rsid w:val="009039BE"/>
    <w:rsid w:val="00910142"/>
    <w:rsid w:val="009103F3"/>
    <w:rsid w:val="00914711"/>
    <w:rsid w:val="00914831"/>
    <w:rsid w:val="00915339"/>
    <w:rsid w:val="009175FD"/>
    <w:rsid w:val="00921A96"/>
    <w:rsid w:val="009220C4"/>
    <w:rsid w:val="0092324A"/>
    <w:rsid w:val="00932377"/>
    <w:rsid w:val="0093363F"/>
    <w:rsid w:val="009356DC"/>
    <w:rsid w:val="00946CE3"/>
    <w:rsid w:val="00956AC3"/>
    <w:rsid w:val="00967042"/>
    <w:rsid w:val="00975E7E"/>
    <w:rsid w:val="0098255A"/>
    <w:rsid w:val="009845BE"/>
    <w:rsid w:val="009926CB"/>
    <w:rsid w:val="009969C9"/>
    <w:rsid w:val="009A1A81"/>
    <w:rsid w:val="009A3B3B"/>
    <w:rsid w:val="009A6C49"/>
    <w:rsid w:val="009B7331"/>
    <w:rsid w:val="009C2010"/>
    <w:rsid w:val="009C27F9"/>
    <w:rsid w:val="009E13C5"/>
    <w:rsid w:val="009E29C4"/>
    <w:rsid w:val="009E7283"/>
    <w:rsid w:val="009F2311"/>
    <w:rsid w:val="009F50A8"/>
    <w:rsid w:val="009F7BD0"/>
    <w:rsid w:val="00A048FF"/>
    <w:rsid w:val="00A054DE"/>
    <w:rsid w:val="00A10775"/>
    <w:rsid w:val="00A1159F"/>
    <w:rsid w:val="00A12457"/>
    <w:rsid w:val="00A158C5"/>
    <w:rsid w:val="00A231E2"/>
    <w:rsid w:val="00A36C48"/>
    <w:rsid w:val="00A41E0B"/>
    <w:rsid w:val="00A460E2"/>
    <w:rsid w:val="00A4776D"/>
    <w:rsid w:val="00A55631"/>
    <w:rsid w:val="00A64912"/>
    <w:rsid w:val="00A70A74"/>
    <w:rsid w:val="00A81A98"/>
    <w:rsid w:val="00A830F1"/>
    <w:rsid w:val="00A9077E"/>
    <w:rsid w:val="00A970D9"/>
    <w:rsid w:val="00AA3795"/>
    <w:rsid w:val="00AA5284"/>
    <w:rsid w:val="00AB2251"/>
    <w:rsid w:val="00AB59CF"/>
    <w:rsid w:val="00AC1C6C"/>
    <w:rsid w:val="00AC1E75"/>
    <w:rsid w:val="00AC26A0"/>
    <w:rsid w:val="00AC2E35"/>
    <w:rsid w:val="00AC3CD1"/>
    <w:rsid w:val="00AD0711"/>
    <w:rsid w:val="00AD4A68"/>
    <w:rsid w:val="00AD4D4C"/>
    <w:rsid w:val="00AD5641"/>
    <w:rsid w:val="00AD64D3"/>
    <w:rsid w:val="00AD6861"/>
    <w:rsid w:val="00AE01CA"/>
    <w:rsid w:val="00AE1088"/>
    <w:rsid w:val="00AF0BE7"/>
    <w:rsid w:val="00AF1BA4"/>
    <w:rsid w:val="00AF1E56"/>
    <w:rsid w:val="00B032D8"/>
    <w:rsid w:val="00B049BD"/>
    <w:rsid w:val="00B17AF6"/>
    <w:rsid w:val="00B2289D"/>
    <w:rsid w:val="00B30AC6"/>
    <w:rsid w:val="00B33B3C"/>
    <w:rsid w:val="00B4049E"/>
    <w:rsid w:val="00B442AE"/>
    <w:rsid w:val="00B46978"/>
    <w:rsid w:val="00B5212A"/>
    <w:rsid w:val="00B5528E"/>
    <w:rsid w:val="00B6382D"/>
    <w:rsid w:val="00B6731A"/>
    <w:rsid w:val="00B87381"/>
    <w:rsid w:val="00BA1FD9"/>
    <w:rsid w:val="00BA2528"/>
    <w:rsid w:val="00BA5026"/>
    <w:rsid w:val="00BB3DE9"/>
    <w:rsid w:val="00BB40BF"/>
    <w:rsid w:val="00BC0690"/>
    <w:rsid w:val="00BC0CD1"/>
    <w:rsid w:val="00BC1E15"/>
    <w:rsid w:val="00BD2A26"/>
    <w:rsid w:val="00BD5037"/>
    <w:rsid w:val="00BE1959"/>
    <w:rsid w:val="00BE719A"/>
    <w:rsid w:val="00BE720A"/>
    <w:rsid w:val="00BF0461"/>
    <w:rsid w:val="00BF1848"/>
    <w:rsid w:val="00BF39DD"/>
    <w:rsid w:val="00BF4944"/>
    <w:rsid w:val="00BF56D4"/>
    <w:rsid w:val="00C04409"/>
    <w:rsid w:val="00C067E5"/>
    <w:rsid w:val="00C11415"/>
    <w:rsid w:val="00C164CA"/>
    <w:rsid w:val="00C176CF"/>
    <w:rsid w:val="00C220CB"/>
    <w:rsid w:val="00C24FAD"/>
    <w:rsid w:val="00C34367"/>
    <w:rsid w:val="00C40FAC"/>
    <w:rsid w:val="00C42BF8"/>
    <w:rsid w:val="00C43C34"/>
    <w:rsid w:val="00C460AE"/>
    <w:rsid w:val="00C46643"/>
    <w:rsid w:val="00C474EC"/>
    <w:rsid w:val="00C477BC"/>
    <w:rsid w:val="00C50043"/>
    <w:rsid w:val="00C54E84"/>
    <w:rsid w:val="00C54E8B"/>
    <w:rsid w:val="00C7573B"/>
    <w:rsid w:val="00C76CF3"/>
    <w:rsid w:val="00C80CCE"/>
    <w:rsid w:val="00C836EF"/>
    <w:rsid w:val="00C9603C"/>
    <w:rsid w:val="00C96213"/>
    <w:rsid w:val="00CA6D18"/>
    <w:rsid w:val="00CC1233"/>
    <w:rsid w:val="00CC1EB8"/>
    <w:rsid w:val="00CC443B"/>
    <w:rsid w:val="00CD2B29"/>
    <w:rsid w:val="00CD2BCC"/>
    <w:rsid w:val="00CD607F"/>
    <w:rsid w:val="00CE1E31"/>
    <w:rsid w:val="00CE210D"/>
    <w:rsid w:val="00CE7FA9"/>
    <w:rsid w:val="00CF0BB2"/>
    <w:rsid w:val="00D00EAA"/>
    <w:rsid w:val="00D03371"/>
    <w:rsid w:val="00D054A7"/>
    <w:rsid w:val="00D13441"/>
    <w:rsid w:val="00D1606F"/>
    <w:rsid w:val="00D16895"/>
    <w:rsid w:val="00D22502"/>
    <w:rsid w:val="00D22A64"/>
    <w:rsid w:val="00D23E40"/>
    <w:rsid w:val="00D243A3"/>
    <w:rsid w:val="00D27A85"/>
    <w:rsid w:val="00D477C3"/>
    <w:rsid w:val="00D52EFE"/>
    <w:rsid w:val="00D607B4"/>
    <w:rsid w:val="00D63EF6"/>
    <w:rsid w:val="00D672C7"/>
    <w:rsid w:val="00D70DFB"/>
    <w:rsid w:val="00D71CC9"/>
    <w:rsid w:val="00D73029"/>
    <w:rsid w:val="00D766DF"/>
    <w:rsid w:val="00D8176B"/>
    <w:rsid w:val="00D85104"/>
    <w:rsid w:val="00D91BBA"/>
    <w:rsid w:val="00D95B6C"/>
    <w:rsid w:val="00DA2267"/>
    <w:rsid w:val="00DA24EB"/>
    <w:rsid w:val="00DA4B22"/>
    <w:rsid w:val="00DB27F3"/>
    <w:rsid w:val="00DB2B75"/>
    <w:rsid w:val="00DC471D"/>
    <w:rsid w:val="00DD220D"/>
    <w:rsid w:val="00DE2002"/>
    <w:rsid w:val="00DE5063"/>
    <w:rsid w:val="00DE6E7F"/>
    <w:rsid w:val="00DF7AE9"/>
    <w:rsid w:val="00DF7B7E"/>
    <w:rsid w:val="00E056AD"/>
    <w:rsid w:val="00E05704"/>
    <w:rsid w:val="00E1031F"/>
    <w:rsid w:val="00E14704"/>
    <w:rsid w:val="00E1608B"/>
    <w:rsid w:val="00E24D66"/>
    <w:rsid w:val="00E26A09"/>
    <w:rsid w:val="00E3245C"/>
    <w:rsid w:val="00E37B21"/>
    <w:rsid w:val="00E47164"/>
    <w:rsid w:val="00E47290"/>
    <w:rsid w:val="00E54292"/>
    <w:rsid w:val="00E7391D"/>
    <w:rsid w:val="00E74CC1"/>
    <w:rsid w:val="00E74DC7"/>
    <w:rsid w:val="00E76AC0"/>
    <w:rsid w:val="00E77304"/>
    <w:rsid w:val="00E77DE0"/>
    <w:rsid w:val="00E86060"/>
    <w:rsid w:val="00E87699"/>
    <w:rsid w:val="00E947C6"/>
    <w:rsid w:val="00E9639B"/>
    <w:rsid w:val="00E97ADF"/>
    <w:rsid w:val="00EB7598"/>
    <w:rsid w:val="00EC7C3E"/>
    <w:rsid w:val="00ED492F"/>
    <w:rsid w:val="00EE3E36"/>
    <w:rsid w:val="00EE55E2"/>
    <w:rsid w:val="00EF2C26"/>
    <w:rsid w:val="00EF2E3A"/>
    <w:rsid w:val="00EF7FC5"/>
    <w:rsid w:val="00F01D6C"/>
    <w:rsid w:val="00F047E2"/>
    <w:rsid w:val="00F078DC"/>
    <w:rsid w:val="00F1021B"/>
    <w:rsid w:val="00F13E86"/>
    <w:rsid w:val="00F17B00"/>
    <w:rsid w:val="00F208B1"/>
    <w:rsid w:val="00F30588"/>
    <w:rsid w:val="00F34E51"/>
    <w:rsid w:val="00F446DC"/>
    <w:rsid w:val="00F677A9"/>
    <w:rsid w:val="00F84CF5"/>
    <w:rsid w:val="00F91EAE"/>
    <w:rsid w:val="00F92D35"/>
    <w:rsid w:val="00F94E53"/>
    <w:rsid w:val="00F96D49"/>
    <w:rsid w:val="00FA3961"/>
    <w:rsid w:val="00FA420B"/>
    <w:rsid w:val="00FB2108"/>
    <w:rsid w:val="00FB3A69"/>
    <w:rsid w:val="00FB51C2"/>
    <w:rsid w:val="00FD0A4E"/>
    <w:rsid w:val="00FD0EBA"/>
    <w:rsid w:val="00FD1E13"/>
    <w:rsid w:val="00FD22D4"/>
    <w:rsid w:val="00FD5E7B"/>
    <w:rsid w:val="00FD7EB1"/>
    <w:rsid w:val="00FE2FAF"/>
    <w:rsid w:val="00FE41C9"/>
    <w:rsid w:val="00FE5E50"/>
    <w:rsid w:val="00FE71DC"/>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7C13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77DE0"/>
    <w:pPr>
      <w:spacing w:line="260" w:lineRule="atLeast"/>
    </w:pPr>
    <w:rPr>
      <w:sz w:val="22"/>
    </w:rPr>
  </w:style>
  <w:style w:type="paragraph" w:styleId="Heading1">
    <w:name w:val="heading 1"/>
    <w:basedOn w:val="Normal"/>
    <w:next w:val="Normal"/>
    <w:link w:val="Heading1Char"/>
    <w:uiPriority w:val="9"/>
    <w:qFormat/>
    <w:rsid w:val="00E471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71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71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716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4716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4716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4716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4716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4716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77DE0"/>
  </w:style>
  <w:style w:type="paragraph" w:customStyle="1" w:styleId="OPCParaBase">
    <w:name w:val="OPCParaBase"/>
    <w:qFormat/>
    <w:rsid w:val="00E77DE0"/>
    <w:pPr>
      <w:spacing w:line="260" w:lineRule="atLeast"/>
    </w:pPr>
    <w:rPr>
      <w:rFonts w:eastAsia="Times New Roman" w:cs="Times New Roman"/>
      <w:sz w:val="22"/>
      <w:lang w:eastAsia="en-AU"/>
    </w:rPr>
  </w:style>
  <w:style w:type="paragraph" w:customStyle="1" w:styleId="ShortT">
    <w:name w:val="ShortT"/>
    <w:basedOn w:val="OPCParaBase"/>
    <w:next w:val="Normal"/>
    <w:qFormat/>
    <w:rsid w:val="00E77DE0"/>
    <w:pPr>
      <w:spacing w:line="240" w:lineRule="auto"/>
    </w:pPr>
    <w:rPr>
      <w:b/>
      <w:sz w:val="40"/>
    </w:rPr>
  </w:style>
  <w:style w:type="paragraph" w:customStyle="1" w:styleId="ActHead1">
    <w:name w:val="ActHead 1"/>
    <w:aliases w:val="c"/>
    <w:basedOn w:val="OPCParaBase"/>
    <w:next w:val="Normal"/>
    <w:qFormat/>
    <w:rsid w:val="00E77DE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7DE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77DE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77DE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77DE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7DE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7DE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7DE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7DE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77DE0"/>
  </w:style>
  <w:style w:type="paragraph" w:customStyle="1" w:styleId="Blocks">
    <w:name w:val="Blocks"/>
    <w:aliases w:val="bb"/>
    <w:basedOn w:val="OPCParaBase"/>
    <w:qFormat/>
    <w:rsid w:val="00E77DE0"/>
    <w:pPr>
      <w:spacing w:line="240" w:lineRule="auto"/>
    </w:pPr>
    <w:rPr>
      <w:sz w:val="24"/>
    </w:rPr>
  </w:style>
  <w:style w:type="paragraph" w:customStyle="1" w:styleId="BoxText">
    <w:name w:val="BoxText"/>
    <w:aliases w:val="bt"/>
    <w:basedOn w:val="OPCParaBase"/>
    <w:qFormat/>
    <w:rsid w:val="00E77DE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7DE0"/>
    <w:rPr>
      <w:b/>
    </w:rPr>
  </w:style>
  <w:style w:type="paragraph" w:customStyle="1" w:styleId="BoxHeadItalic">
    <w:name w:val="BoxHeadItalic"/>
    <w:aliases w:val="bhi"/>
    <w:basedOn w:val="BoxText"/>
    <w:next w:val="BoxStep"/>
    <w:qFormat/>
    <w:rsid w:val="00E77DE0"/>
    <w:rPr>
      <w:i/>
    </w:rPr>
  </w:style>
  <w:style w:type="paragraph" w:customStyle="1" w:styleId="BoxList">
    <w:name w:val="BoxList"/>
    <w:aliases w:val="bl"/>
    <w:basedOn w:val="BoxText"/>
    <w:qFormat/>
    <w:rsid w:val="00E77DE0"/>
    <w:pPr>
      <w:ind w:left="1559" w:hanging="425"/>
    </w:pPr>
  </w:style>
  <w:style w:type="paragraph" w:customStyle="1" w:styleId="BoxNote">
    <w:name w:val="BoxNote"/>
    <w:aliases w:val="bn"/>
    <w:basedOn w:val="BoxText"/>
    <w:qFormat/>
    <w:rsid w:val="00E77DE0"/>
    <w:pPr>
      <w:tabs>
        <w:tab w:val="left" w:pos="1985"/>
      </w:tabs>
      <w:spacing w:before="122" w:line="198" w:lineRule="exact"/>
      <w:ind w:left="2948" w:hanging="1814"/>
    </w:pPr>
    <w:rPr>
      <w:sz w:val="18"/>
    </w:rPr>
  </w:style>
  <w:style w:type="paragraph" w:customStyle="1" w:styleId="BoxPara">
    <w:name w:val="BoxPara"/>
    <w:aliases w:val="bp"/>
    <w:basedOn w:val="BoxText"/>
    <w:qFormat/>
    <w:rsid w:val="00E77DE0"/>
    <w:pPr>
      <w:tabs>
        <w:tab w:val="right" w:pos="2268"/>
      </w:tabs>
      <w:ind w:left="2552" w:hanging="1418"/>
    </w:pPr>
  </w:style>
  <w:style w:type="paragraph" w:customStyle="1" w:styleId="BoxStep">
    <w:name w:val="BoxStep"/>
    <w:aliases w:val="bs"/>
    <w:basedOn w:val="BoxText"/>
    <w:qFormat/>
    <w:rsid w:val="00E77DE0"/>
    <w:pPr>
      <w:ind w:left="1985" w:hanging="851"/>
    </w:pPr>
  </w:style>
  <w:style w:type="character" w:customStyle="1" w:styleId="CharAmPartNo">
    <w:name w:val="CharAmPartNo"/>
    <w:basedOn w:val="OPCCharBase"/>
    <w:qFormat/>
    <w:rsid w:val="00E77DE0"/>
  </w:style>
  <w:style w:type="character" w:customStyle="1" w:styleId="CharAmPartText">
    <w:name w:val="CharAmPartText"/>
    <w:basedOn w:val="OPCCharBase"/>
    <w:qFormat/>
    <w:rsid w:val="00E77DE0"/>
  </w:style>
  <w:style w:type="character" w:customStyle="1" w:styleId="CharAmSchNo">
    <w:name w:val="CharAmSchNo"/>
    <w:basedOn w:val="OPCCharBase"/>
    <w:qFormat/>
    <w:rsid w:val="00E77DE0"/>
  </w:style>
  <w:style w:type="character" w:customStyle="1" w:styleId="CharAmSchText">
    <w:name w:val="CharAmSchText"/>
    <w:basedOn w:val="OPCCharBase"/>
    <w:qFormat/>
    <w:rsid w:val="00E77DE0"/>
  </w:style>
  <w:style w:type="character" w:customStyle="1" w:styleId="CharBoldItalic">
    <w:name w:val="CharBoldItalic"/>
    <w:basedOn w:val="OPCCharBase"/>
    <w:uiPriority w:val="1"/>
    <w:qFormat/>
    <w:rsid w:val="00E77DE0"/>
    <w:rPr>
      <w:b/>
      <w:i/>
    </w:rPr>
  </w:style>
  <w:style w:type="character" w:customStyle="1" w:styleId="CharChapNo">
    <w:name w:val="CharChapNo"/>
    <w:basedOn w:val="OPCCharBase"/>
    <w:uiPriority w:val="1"/>
    <w:qFormat/>
    <w:rsid w:val="00E77DE0"/>
  </w:style>
  <w:style w:type="character" w:customStyle="1" w:styleId="CharChapText">
    <w:name w:val="CharChapText"/>
    <w:basedOn w:val="OPCCharBase"/>
    <w:uiPriority w:val="1"/>
    <w:qFormat/>
    <w:rsid w:val="00E77DE0"/>
  </w:style>
  <w:style w:type="character" w:customStyle="1" w:styleId="CharDivNo">
    <w:name w:val="CharDivNo"/>
    <w:basedOn w:val="OPCCharBase"/>
    <w:uiPriority w:val="1"/>
    <w:qFormat/>
    <w:rsid w:val="00E77DE0"/>
  </w:style>
  <w:style w:type="character" w:customStyle="1" w:styleId="CharDivText">
    <w:name w:val="CharDivText"/>
    <w:basedOn w:val="OPCCharBase"/>
    <w:uiPriority w:val="1"/>
    <w:qFormat/>
    <w:rsid w:val="00E77DE0"/>
  </w:style>
  <w:style w:type="character" w:customStyle="1" w:styleId="CharItalic">
    <w:name w:val="CharItalic"/>
    <w:basedOn w:val="OPCCharBase"/>
    <w:uiPriority w:val="1"/>
    <w:qFormat/>
    <w:rsid w:val="00E77DE0"/>
    <w:rPr>
      <w:i/>
    </w:rPr>
  </w:style>
  <w:style w:type="character" w:customStyle="1" w:styleId="CharPartNo">
    <w:name w:val="CharPartNo"/>
    <w:basedOn w:val="OPCCharBase"/>
    <w:uiPriority w:val="1"/>
    <w:qFormat/>
    <w:rsid w:val="00E77DE0"/>
  </w:style>
  <w:style w:type="character" w:customStyle="1" w:styleId="CharPartText">
    <w:name w:val="CharPartText"/>
    <w:basedOn w:val="OPCCharBase"/>
    <w:uiPriority w:val="1"/>
    <w:qFormat/>
    <w:rsid w:val="00E77DE0"/>
  </w:style>
  <w:style w:type="character" w:customStyle="1" w:styleId="CharSectno">
    <w:name w:val="CharSectno"/>
    <w:basedOn w:val="OPCCharBase"/>
    <w:qFormat/>
    <w:rsid w:val="00E77DE0"/>
  </w:style>
  <w:style w:type="character" w:customStyle="1" w:styleId="CharSubdNo">
    <w:name w:val="CharSubdNo"/>
    <w:basedOn w:val="OPCCharBase"/>
    <w:uiPriority w:val="1"/>
    <w:qFormat/>
    <w:rsid w:val="00E77DE0"/>
  </w:style>
  <w:style w:type="character" w:customStyle="1" w:styleId="CharSubdText">
    <w:name w:val="CharSubdText"/>
    <w:basedOn w:val="OPCCharBase"/>
    <w:uiPriority w:val="1"/>
    <w:qFormat/>
    <w:rsid w:val="00E77DE0"/>
  </w:style>
  <w:style w:type="paragraph" w:customStyle="1" w:styleId="CTA--">
    <w:name w:val="CTA --"/>
    <w:basedOn w:val="OPCParaBase"/>
    <w:next w:val="Normal"/>
    <w:rsid w:val="00E77DE0"/>
    <w:pPr>
      <w:spacing w:before="60" w:line="240" w:lineRule="atLeast"/>
      <w:ind w:left="142" w:hanging="142"/>
    </w:pPr>
    <w:rPr>
      <w:sz w:val="20"/>
    </w:rPr>
  </w:style>
  <w:style w:type="paragraph" w:customStyle="1" w:styleId="CTA-">
    <w:name w:val="CTA -"/>
    <w:basedOn w:val="OPCParaBase"/>
    <w:rsid w:val="00E77DE0"/>
    <w:pPr>
      <w:spacing w:before="60" w:line="240" w:lineRule="atLeast"/>
      <w:ind w:left="85" w:hanging="85"/>
    </w:pPr>
    <w:rPr>
      <w:sz w:val="20"/>
    </w:rPr>
  </w:style>
  <w:style w:type="paragraph" w:customStyle="1" w:styleId="CTA---">
    <w:name w:val="CTA ---"/>
    <w:basedOn w:val="OPCParaBase"/>
    <w:next w:val="Normal"/>
    <w:rsid w:val="00E77DE0"/>
    <w:pPr>
      <w:spacing w:before="60" w:line="240" w:lineRule="atLeast"/>
      <w:ind w:left="198" w:hanging="198"/>
    </w:pPr>
    <w:rPr>
      <w:sz w:val="20"/>
    </w:rPr>
  </w:style>
  <w:style w:type="paragraph" w:customStyle="1" w:styleId="CTA----">
    <w:name w:val="CTA ----"/>
    <w:basedOn w:val="OPCParaBase"/>
    <w:next w:val="Normal"/>
    <w:rsid w:val="00E77DE0"/>
    <w:pPr>
      <w:spacing w:before="60" w:line="240" w:lineRule="atLeast"/>
      <w:ind w:left="255" w:hanging="255"/>
    </w:pPr>
    <w:rPr>
      <w:sz w:val="20"/>
    </w:rPr>
  </w:style>
  <w:style w:type="paragraph" w:customStyle="1" w:styleId="CTA1a">
    <w:name w:val="CTA 1(a)"/>
    <w:basedOn w:val="OPCParaBase"/>
    <w:rsid w:val="00E77DE0"/>
    <w:pPr>
      <w:tabs>
        <w:tab w:val="right" w:pos="414"/>
      </w:tabs>
      <w:spacing w:before="40" w:line="240" w:lineRule="atLeast"/>
      <w:ind w:left="675" w:hanging="675"/>
    </w:pPr>
    <w:rPr>
      <w:sz w:val="20"/>
    </w:rPr>
  </w:style>
  <w:style w:type="paragraph" w:customStyle="1" w:styleId="CTA1ai">
    <w:name w:val="CTA 1(a)(i)"/>
    <w:basedOn w:val="OPCParaBase"/>
    <w:rsid w:val="00E77DE0"/>
    <w:pPr>
      <w:tabs>
        <w:tab w:val="right" w:pos="1004"/>
      </w:tabs>
      <w:spacing w:before="40" w:line="240" w:lineRule="atLeast"/>
      <w:ind w:left="1253" w:hanging="1253"/>
    </w:pPr>
    <w:rPr>
      <w:sz w:val="20"/>
    </w:rPr>
  </w:style>
  <w:style w:type="paragraph" w:customStyle="1" w:styleId="CTA2a">
    <w:name w:val="CTA 2(a)"/>
    <w:basedOn w:val="OPCParaBase"/>
    <w:rsid w:val="00E77DE0"/>
    <w:pPr>
      <w:tabs>
        <w:tab w:val="right" w:pos="482"/>
      </w:tabs>
      <w:spacing w:before="40" w:line="240" w:lineRule="atLeast"/>
      <w:ind w:left="748" w:hanging="748"/>
    </w:pPr>
    <w:rPr>
      <w:sz w:val="20"/>
    </w:rPr>
  </w:style>
  <w:style w:type="paragraph" w:customStyle="1" w:styleId="CTA2ai">
    <w:name w:val="CTA 2(a)(i)"/>
    <w:basedOn w:val="OPCParaBase"/>
    <w:rsid w:val="00E77DE0"/>
    <w:pPr>
      <w:tabs>
        <w:tab w:val="right" w:pos="1089"/>
      </w:tabs>
      <w:spacing w:before="40" w:line="240" w:lineRule="atLeast"/>
      <w:ind w:left="1327" w:hanging="1327"/>
    </w:pPr>
    <w:rPr>
      <w:sz w:val="20"/>
    </w:rPr>
  </w:style>
  <w:style w:type="paragraph" w:customStyle="1" w:styleId="CTA3a">
    <w:name w:val="CTA 3(a)"/>
    <w:basedOn w:val="OPCParaBase"/>
    <w:rsid w:val="00E77DE0"/>
    <w:pPr>
      <w:tabs>
        <w:tab w:val="right" w:pos="556"/>
      </w:tabs>
      <w:spacing w:before="40" w:line="240" w:lineRule="atLeast"/>
      <w:ind w:left="805" w:hanging="805"/>
    </w:pPr>
    <w:rPr>
      <w:sz w:val="20"/>
    </w:rPr>
  </w:style>
  <w:style w:type="paragraph" w:customStyle="1" w:styleId="CTA3ai">
    <w:name w:val="CTA 3(a)(i)"/>
    <w:basedOn w:val="OPCParaBase"/>
    <w:rsid w:val="00E77DE0"/>
    <w:pPr>
      <w:tabs>
        <w:tab w:val="right" w:pos="1140"/>
      </w:tabs>
      <w:spacing w:before="40" w:line="240" w:lineRule="atLeast"/>
      <w:ind w:left="1361" w:hanging="1361"/>
    </w:pPr>
    <w:rPr>
      <w:sz w:val="20"/>
    </w:rPr>
  </w:style>
  <w:style w:type="paragraph" w:customStyle="1" w:styleId="CTA4a">
    <w:name w:val="CTA 4(a)"/>
    <w:basedOn w:val="OPCParaBase"/>
    <w:rsid w:val="00E77DE0"/>
    <w:pPr>
      <w:tabs>
        <w:tab w:val="right" w:pos="624"/>
      </w:tabs>
      <w:spacing w:before="40" w:line="240" w:lineRule="atLeast"/>
      <w:ind w:left="873" w:hanging="873"/>
    </w:pPr>
    <w:rPr>
      <w:sz w:val="20"/>
    </w:rPr>
  </w:style>
  <w:style w:type="paragraph" w:customStyle="1" w:styleId="CTA4ai">
    <w:name w:val="CTA 4(a)(i)"/>
    <w:basedOn w:val="OPCParaBase"/>
    <w:rsid w:val="00E77DE0"/>
    <w:pPr>
      <w:tabs>
        <w:tab w:val="right" w:pos="1213"/>
      </w:tabs>
      <w:spacing w:before="40" w:line="240" w:lineRule="atLeast"/>
      <w:ind w:left="1452" w:hanging="1452"/>
    </w:pPr>
    <w:rPr>
      <w:sz w:val="20"/>
    </w:rPr>
  </w:style>
  <w:style w:type="paragraph" w:customStyle="1" w:styleId="CTACAPS">
    <w:name w:val="CTA CAPS"/>
    <w:basedOn w:val="OPCParaBase"/>
    <w:rsid w:val="00E77DE0"/>
    <w:pPr>
      <w:spacing w:before="60" w:line="240" w:lineRule="atLeast"/>
    </w:pPr>
    <w:rPr>
      <w:sz w:val="20"/>
    </w:rPr>
  </w:style>
  <w:style w:type="paragraph" w:customStyle="1" w:styleId="CTAright">
    <w:name w:val="CTA right"/>
    <w:basedOn w:val="OPCParaBase"/>
    <w:rsid w:val="00E77DE0"/>
    <w:pPr>
      <w:spacing w:before="60" w:line="240" w:lineRule="auto"/>
      <w:jc w:val="right"/>
    </w:pPr>
    <w:rPr>
      <w:sz w:val="20"/>
    </w:rPr>
  </w:style>
  <w:style w:type="paragraph" w:customStyle="1" w:styleId="subsection">
    <w:name w:val="subsection"/>
    <w:aliases w:val="ss"/>
    <w:basedOn w:val="OPCParaBase"/>
    <w:link w:val="subsectionChar"/>
    <w:rsid w:val="00E77DE0"/>
    <w:pPr>
      <w:tabs>
        <w:tab w:val="right" w:pos="1021"/>
      </w:tabs>
      <w:spacing w:before="180" w:line="240" w:lineRule="auto"/>
      <w:ind w:left="1134" w:hanging="1134"/>
    </w:pPr>
  </w:style>
  <w:style w:type="paragraph" w:customStyle="1" w:styleId="Definition">
    <w:name w:val="Definition"/>
    <w:aliases w:val="dd"/>
    <w:basedOn w:val="OPCParaBase"/>
    <w:rsid w:val="00E77DE0"/>
    <w:pPr>
      <w:spacing w:before="180" w:line="240" w:lineRule="auto"/>
      <w:ind w:left="1134"/>
    </w:pPr>
  </w:style>
  <w:style w:type="paragraph" w:customStyle="1" w:styleId="ETAsubitem">
    <w:name w:val="ETA(subitem)"/>
    <w:basedOn w:val="OPCParaBase"/>
    <w:rsid w:val="00E77DE0"/>
    <w:pPr>
      <w:tabs>
        <w:tab w:val="right" w:pos="340"/>
      </w:tabs>
      <w:spacing w:before="60" w:line="240" w:lineRule="auto"/>
      <w:ind w:left="454" w:hanging="454"/>
    </w:pPr>
    <w:rPr>
      <w:sz w:val="20"/>
    </w:rPr>
  </w:style>
  <w:style w:type="paragraph" w:customStyle="1" w:styleId="ETApara">
    <w:name w:val="ETA(para)"/>
    <w:basedOn w:val="OPCParaBase"/>
    <w:rsid w:val="00E77DE0"/>
    <w:pPr>
      <w:tabs>
        <w:tab w:val="right" w:pos="754"/>
      </w:tabs>
      <w:spacing w:before="60" w:line="240" w:lineRule="auto"/>
      <w:ind w:left="828" w:hanging="828"/>
    </w:pPr>
    <w:rPr>
      <w:sz w:val="20"/>
    </w:rPr>
  </w:style>
  <w:style w:type="paragraph" w:customStyle="1" w:styleId="ETAsubpara">
    <w:name w:val="ETA(subpara)"/>
    <w:basedOn w:val="OPCParaBase"/>
    <w:rsid w:val="00E77DE0"/>
    <w:pPr>
      <w:tabs>
        <w:tab w:val="right" w:pos="1083"/>
      </w:tabs>
      <w:spacing w:before="60" w:line="240" w:lineRule="auto"/>
      <w:ind w:left="1191" w:hanging="1191"/>
    </w:pPr>
    <w:rPr>
      <w:sz w:val="20"/>
    </w:rPr>
  </w:style>
  <w:style w:type="paragraph" w:customStyle="1" w:styleId="ETAsub-subpara">
    <w:name w:val="ETA(sub-subpara)"/>
    <w:basedOn w:val="OPCParaBase"/>
    <w:rsid w:val="00E77DE0"/>
    <w:pPr>
      <w:tabs>
        <w:tab w:val="right" w:pos="1412"/>
      </w:tabs>
      <w:spacing w:before="60" w:line="240" w:lineRule="auto"/>
      <w:ind w:left="1525" w:hanging="1525"/>
    </w:pPr>
    <w:rPr>
      <w:sz w:val="20"/>
    </w:rPr>
  </w:style>
  <w:style w:type="paragraph" w:customStyle="1" w:styleId="Formula">
    <w:name w:val="Formula"/>
    <w:basedOn w:val="OPCParaBase"/>
    <w:rsid w:val="00E77DE0"/>
    <w:pPr>
      <w:spacing w:line="240" w:lineRule="auto"/>
      <w:ind w:left="1134"/>
    </w:pPr>
    <w:rPr>
      <w:sz w:val="20"/>
    </w:rPr>
  </w:style>
  <w:style w:type="paragraph" w:styleId="Header">
    <w:name w:val="header"/>
    <w:basedOn w:val="OPCParaBase"/>
    <w:link w:val="HeaderChar"/>
    <w:unhideWhenUsed/>
    <w:rsid w:val="00E77DE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77DE0"/>
    <w:rPr>
      <w:rFonts w:eastAsia="Times New Roman" w:cs="Times New Roman"/>
      <w:sz w:val="16"/>
      <w:lang w:eastAsia="en-AU"/>
    </w:rPr>
  </w:style>
  <w:style w:type="paragraph" w:customStyle="1" w:styleId="House">
    <w:name w:val="House"/>
    <w:basedOn w:val="OPCParaBase"/>
    <w:rsid w:val="00E77DE0"/>
    <w:pPr>
      <w:spacing w:line="240" w:lineRule="auto"/>
    </w:pPr>
    <w:rPr>
      <w:sz w:val="28"/>
    </w:rPr>
  </w:style>
  <w:style w:type="paragraph" w:customStyle="1" w:styleId="Item">
    <w:name w:val="Item"/>
    <w:aliases w:val="i"/>
    <w:basedOn w:val="OPCParaBase"/>
    <w:next w:val="ItemHead"/>
    <w:link w:val="ItemChar"/>
    <w:rsid w:val="00E77DE0"/>
    <w:pPr>
      <w:keepLines/>
      <w:spacing w:before="80" w:line="240" w:lineRule="auto"/>
      <w:ind w:left="709"/>
    </w:pPr>
  </w:style>
  <w:style w:type="paragraph" w:customStyle="1" w:styleId="ItemHead">
    <w:name w:val="ItemHead"/>
    <w:aliases w:val="ih"/>
    <w:basedOn w:val="OPCParaBase"/>
    <w:next w:val="Item"/>
    <w:link w:val="ItemHeadChar"/>
    <w:rsid w:val="00E77DE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77DE0"/>
    <w:pPr>
      <w:spacing w:line="240" w:lineRule="auto"/>
    </w:pPr>
    <w:rPr>
      <w:b/>
      <w:sz w:val="32"/>
    </w:rPr>
  </w:style>
  <w:style w:type="paragraph" w:customStyle="1" w:styleId="notedraft">
    <w:name w:val="note(draft)"/>
    <w:aliases w:val="nd"/>
    <w:basedOn w:val="OPCParaBase"/>
    <w:rsid w:val="00E77DE0"/>
    <w:pPr>
      <w:spacing w:before="240" w:line="240" w:lineRule="auto"/>
      <w:ind w:left="284" w:hanging="284"/>
    </w:pPr>
    <w:rPr>
      <w:i/>
      <w:sz w:val="24"/>
    </w:rPr>
  </w:style>
  <w:style w:type="paragraph" w:customStyle="1" w:styleId="notemargin">
    <w:name w:val="note(margin)"/>
    <w:aliases w:val="nm"/>
    <w:basedOn w:val="OPCParaBase"/>
    <w:rsid w:val="00E77DE0"/>
    <w:pPr>
      <w:tabs>
        <w:tab w:val="left" w:pos="709"/>
      </w:tabs>
      <w:spacing w:before="122" w:line="198" w:lineRule="exact"/>
      <w:ind w:left="709" w:hanging="709"/>
    </w:pPr>
    <w:rPr>
      <w:sz w:val="18"/>
    </w:rPr>
  </w:style>
  <w:style w:type="paragraph" w:customStyle="1" w:styleId="noteToPara">
    <w:name w:val="noteToPara"/>
    <w:aliases w:val="ntp"/>
    <w:basedOn w:val="OPCParaBase"/>
    <w:rsid w:val="00E77DE0"/>
    <w:pPr>
      <w:spacing w:before="122" w:line="198" w:lineRule="exact"/>
      <w:ind w:left="2353" w:hanging="709"/>
    </w:pPr>
    <w:rPr>
      <w:sz w:val="18"/>
    </w:rPr>
  </w:style>
  <w:style w:type="paragraph" w:customStyle="1" w:styleId="noteParlAmend">
    <w:name w:val="note(ParlAmend)"/>
    <w:aliases w:val="npp"/>
    <w:basedOn w:val="OPCParaBase"/>
    <w:next w:val="ParlAmend"/>
    <w:rsid w:val="00E77DE0"/>
    <w:pPr>
      <w:spacing w:line="240" w:lineRule="auto"/>
      <w:jc w:val="right"/>
    </w:pPr>
    <w:rPr>
      <w:rFonts w:ascii="Arial" w:hAnsi="Arial"/>
      <w:b/>
      <w:i/>
    </w:rPr>
  </w:style>
  <w:style w:type="paragraph" w:customStyle="1" w:styleId="Page1">
    <w:name w:val="Page1"/>
    <w:basedOn w:val="OPCParaBase"/>
    <w:rsid w:val="00E77DE0"/>
    <w:pPr>
      <w:spacing w:before="5600" w:line="240" w:lineRule="auto"/>
    </w:pPr>
    <w:rPr>
      <w:b/>
      <w:sz w:val="32"/>
    </w:rPr>
  </w:style>
  <w:style w:type="paragraph" w:customStyle="1" w:styleId="PageBreak">
    <w:name w:val="PageBreak"/>
    <w:aliases w:val="pb"/>
    <w:basedOn w:val="OPCParaBase"/>
    <w:rsid w:val="00E77DE0"/>
    <w:pPr>
      <w:spacing w:line="240" w:lineRule="auto"/>
    </w:pPr>
    <w:rPr>
      <w:sz w:val="20"/>
    </w:rPr>
  </w:style>
  <w:style w:type="paragraph" w:customStyle="1" w:styleId="paragraphsub">
    <w:name w:val="paragraph(sub)"/>
    <w:aliases w:val="aa"/>
    <w:basedOn w:val="OPCParaBase"/>
    <w:rsid w:val="00E77DE0"/>
    <w:pPr>
      <w:tabs>
        <w:tab w:val="right" w:pos="1985"/>
      </w:tabs>
      <w:spacing w:before="40" w:line="240" w:lineRule="auto"/>
      <w:ind w:left="2098" w:hanging="2098"/>
    </w:pPr>
  </w:style>
  <w:style w:type="paragraph" w:customStyle="1" w:styleId="paragraphsub-sub">
    <w:name w:val="paragraph(sub-sub)"/>
    <w:aliases w:val="aaa"/>
    <w:basedOn w:val="OPCParaBase"/>
    <w:rsid w:val="00E77DE0"/>
    <w:pPr>
      <w:tabs>
        <w:tab w:val="right" w:pos="2722"/>
      </w:tabs>
      <w:spacing w:before="40" w:line="240" w:lineRule="auto"/>
      <w:ind w:left="2835" w:hanging="2835"/>
    </w:pPr>
  </w:style>
  <w:style w:type="paragraph" w:customStyle="1" w:styleId="paragraph">
    <w:name w:val="paragraph"/>
    <w:aliases w:val="a"/>
    <w:basedOn w:val="OPCParaBase"/>
    <w:link w:val="paragraphChar"/>
    <w:rsid w:val="00E77DE0"/>
    <w:pPr>
      <w:tabs>
        <w:tab w:val="right" w:pos="1531"/>
      </w:tabs>
      <w:spacing w:before="40" w:line="240" w:lineRule="auto"/>
      <w:ind w:left="1644" w:hanging="1644"/>
    </w:pPr>
  </w:style>
  <w:style w:type="paragraph" w:customStyle="1" w:styleId="ParlAmend">
    <w:name w:val="ParlAmend"/>
    <w:aliases w:val="pp"/>
    <w:basedOn w:val="OPCParaBase"/>
    <w:rsid w:val="00E77DE0"/>
    <w:pPr>
      <w:spacing w:before="240" w:line="240" w:lineRule="atLeast"/>
      <w:ind w:hanging="567"/>
    </w:pPr>
    <w:rPr>
      <w:sz w:val="24"/>
    </w:rPr>
  </w:style>
  <w:style w:type="paragraph" w:customStyle="1" w:styleId="Penalty">
    <w:name w:val="Penalty"/>
    <w:basedOn w:val="OPCParaBase"/>
    <w:rsid w:val="00E77DE0"/>
    <w:pPr>
      <w:tabs>
        <w:tab w:val="left" w:pos="2977"/>
      </w:tabs>
      <w:spacing w:before="180" w:line="240" w:lineRule="auto"/>
      <w:ind w:left="1985" w:hanging="851"/>
    </w:pPr>
  </w:style>
  <w:style w:type="paragraph" w:customStyle="1" w:styleId="Portfolio">
    <w:name w:val="Portfolio"/>
    <w:basedOn w:val="OPCParaBase"/>
    <w:rsid w:val="00E77DE0"/>
    <w:pPr>
      <w:spacing w:line="240" w:lineRule="auto"/>
    </w:pPr>
    <w:rPr>
      <w:i/>
      <w:sz w:val="20"/>
    </w:rPr>
  </w:style>
  <w:style w:type="paragraph" w:customStyle="1" w:styleId="Preamble">
    <w:name w:val="Preamble"/>
    <w:basedOn w:val="OPCParaBase"/>
    <w:next w:val="Normal"/>
    <w:rsid w:val="00E77DE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7DE0"/>
    <w:pPr>
      <w:spacing w:line="240" w:lineRule="auto"/>
    </w:pPr>
    <w:rPr>
      <w:i/>
      <w:sz w:val="20"/>
    </w:rPr>
  </w:style>
  <w:style w:type="paragraph" w:customStyle="1" w:styleId="Session">
    <w:name w:val="Session"/>
    <w:basedOn w:val="OPCParaBase"/>
    <w:rsid w:val="00E77DE0"/>
    <w:pPr>
      <w:spacing w:line="240" w:lineRule="auto"/>
    </w:pPr>
    <w:rPr>
      <w:sz w:val="28"/>
    </w:rPr>
  </w:style>
  <w:style w:type="paragraph" w:customStyle="1" w:styleId="Sponsor">
    <w:name w:val="Sponsor"/>
    <w:basedOn w:val="OPCParaBase"/>
    <w:rsid w:val="00E77DE0"/>
    <w:pPr>
      <w:spacing w:line="240" w:lineRule="auto"/>
    </w:pPr>
    <w:rPr>
      <w:i/>
    </w:rPr>
  </w:style>
  <w:style w:type="paragraph" w:customStyle="1" w:styleId="Subitem">
    <w:name w:val="Subitem"/>
    <w:aliases w:val="iss"/>
    <w:basedOn w:val="OPCParaBase"/>
    <w:rsid w:val="00E77DE0"/>
    <w:pPr>
      <w:spacing w:before="180" w:line="240" w:lineRule="auto"/>
      <w:ind w:left="709" w:hanging="709"/>
    </w:pPr>
  </w:style>
  <w:style w:type="paragraph" w:customStyle="1" w:styleId="SubitemHead">
    <w:name w:val="SubitemHead"/>
    <w:aliases w:val="issh"/>
    <w:basedOn w:val="OPCParaBase"/>
    <w:rsid w:val="00E77DE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7DE0"/>
    <w:pPr>
      <w:spacing w:before="40" w:line="240" w:lineRule="auto"/>
      <w:ind w:left="1134"/>
    </w:pPr>
  </w:style>
  <w:style w:type="paragraph" w:customStyle="1" w:styleId="SubsectionHead">
    <w:name w:val="SubsectionHead"/>
    <w:aliases w:val="ssh"/>
    <w:basedOn w:val="OPCParaBase"/>
    <w:next w:val="subsection"/>
    <w:rsid w:val="00E77DE0"/>
    <w:pPr>
      <w:keepNext/>
      <w:keepLines/>
      <w:spacing w:before="240" w:line="240" w:lineRule="auto"/>
      <w:ind w:left="1134"/>
    </w:pPr>
    <w:rPr>
      <w:i/>
    </w:rPr>
  </w:style>
  <w:style w:type="paragraph" w:customStyle="1" w:styleId="Tablea">
    <w:name w:val="Table(a)"/>
    <w:aliases w:val="ta"/>
    <w:basedOn w:val="OPCParaBase"/>
    <w:rsid w:val="00E77DE0"/>
    <w:pPr>
      <w:spacing w:before="60" w:line="240" w:lineRule="auto"/>
      <w:ind w:left="284" w:hanging="284"/>
    </w:pPr>
    <w:rPr>
      <w:sz w:val="20"/>
    </w:rPr>
  </w:style>
  <w:style w:type="paragraph" w:customStyle="1" w:styleId="TableAA">
    <w:name w:val="Table(AA)"/>
    <w:aliases w:val="taaa"/>
    <w:basedOn w:val="OPCParaBase"/>
    <w:rsid w:val="00E77DE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77DE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77DE0"/>
    <w:pPr>
      <w:spacing w:before="60" w:line="240" w:lineRule="atLeast"/>
    </w:pPr>
    <w:rPr>
      <w:sz w:val="20"/>
    </w:rPr>
  </w:style>
  <w:style w:type="paragraph" w:customStyle="1" w:styleId="TLPBoxTextnote">
    <w:name w:val="TLPBoxText(note"/>
    <w:aliases w:val="right)"/>
    <w:basedOn w:val="OPCParaBase"/>
    <w:rsid w:val="00E77DE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7D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7DE0"/>
    <w:pPr>
      <w:spacing w:before="122" w:line="198" w:lineRule="exact"/>
      <w:ind w:left="1985" w:hanging="851"/>
      <w:jc w:val="right"/>
    </w:pPr>
    <w:rPr>
      <w:sz w:val="18"/>
    </w:rPr>
  </w:style>
  <w:style w:type="paragraph" w:customStyle="1" w:styleId="TLPTableBullet">
    <w:name w:val="TLPTableBullet"/>
    <w:aliases w:val="ttb"/>
    <w:basedOn w:val="OPCParaBase"/>
    <w:rsid w:val="00E77DE0"/>
    <w:pPr>
      <w:spacing w:line="240" w:lineRule="exact"/>
      <w:ind w:left="284" w:hanging="284"/>
    </w:pPr>
    <w:rPr>
      <w:sz w:val="20"/>
    </w:rPr>
  </w:style>
  <w:style w:type="paragraph" w:styleId="TOC1">
    <w:name w:val="toc 1"/>
    <w:basedOn w:val="OPCParaBase"/>
    <w:next w:val="Normal"/>
    <w:uiPriority w:val="39"/>
    <w:semiHidden/>
    <w:unhideWhenUsed/>
    <w:rsid w:val="00E77DE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77DE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77DE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77DE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77DE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77DE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77DE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77DE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77DE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77DE0"/>
    <w:pPr>
      <w:keepLines/>
      <w:spacing w:before="240" w:after="120" w:line="240" w:lineRule="auto"/>
      <w:ind w:left="794"/>
    </w:pPr>
    <w:rPr>
      <w:b/>
      <w:kern w:val="28"/>
      <w:sz w:val="20"/>
    </w:rPr>
  </w:style>
  <w:style w:type="paragraph" w:customStyle="1" w:styleId="TofSectsHeading">
    <w:name w:val="TofSects(Heading)"/>
    <w:basedOn w:val="OPCParaBase"/>
    <w:rsid w:val="00E77DE0"/>
    <w:pPr>
      <w:spacing w:before="240" w:after="120" w:line="240" w:lineRule="auto"/>
    </w:pPr>
    <w:rPr>
      <w:b/>
      <w:sz w:val="24"/>
    </w:rPr>
  </w:style>
  <w:style w:type="paragraph" w:customStyle="1" w:styleId="TofSectsSection">
    <w:name w:val="TofSects(Section)"/>
    <w:basedOn w:val="OPCParaBase"/>
    <w:rsid w:val="00E77DE0"/>
    <w:pPr>
      <w:keepLines/>
      <w:spacing w:before="40" w:line="240" w:lineRule="auto"/>
      <w:ind w:left="1588" w:hanging="794"/>
    </w:pPr>
    <w:rPr>
      <w:kern w:val="28"/>
      <w:sz w:val="18"/>
    </w:rPr>
  </w:style>
  <w:style w:type="paragraph" w:customStyle="1" w:styleId="TofSectsSubdiv">
    <w:name w:val="TofSects(Subdiv)"/>
    <w:basedOn w:val="OPCParaBase"/>
    <w:rsid w:val="00E77DE0"/>
    <w:pPr>
      <w:keepLines/>
      <w:spacing w:before="80" w:line="240" w:lineRule="auto"/>
      <w:ind w:left="1588" w:hanging="794"/>
    </w:pPr>
    <w:rPr>
      <w:kern w:val="28"/>
    </w:rPr>
  </w:style>
  <w:style w:type="paragraph" w:customStyle="1" w:styleId="WRStyle">
    <w:name w:val="WR Style"/>
    <w:aliases w:val="WR"/>
    <w:basedOn w:val="OPCParaBase"/>
    <w:rsid w:val="00E77DE0"/>
    <w:pPr>
      <w:spacing w:before="240" w:line="240" w:lineRule="auto"/>
      <w:ind w:left="284" w:hanging="284"/>
    </w:pPr>
    <w:rPr>
      <w:b/>
      <w:i/>
      <w:kern w:val="28"/>
      <w:sz w:val="24"/>
    </w:rPr>
  </w:style>
  <w:style w:type="paragraph" w:customStyle="1" w:styleId="notepara">
    <w:name w:val="note(para)"/>
    <w:aliases w:val="na"/>
    <w:basedOn w:val="OPCParaBase"/>
    <w:rsid w:val="00E77DE0"/>
    <w:pPr>
      <w:spacing w:before="40" w:line="198" w:lineRule="exact"/>
      <w:ind w:left="2354" w:hanging="369"/>
    </w:pPr>
    <w:rPr>
      <w:sz w:val="18"/>
    </w:rPr>
  </w:style>
  <w:style w:type="paragraph" w:styleId="Footer">
    <w:name w:val="footer"/>
    <w:link w:val="FooterChar"/>
    <w:rsid w:val="00E77DE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77DE0"/>
    <w:rPr>
      <w:rFonts w:eastAsia="Times New Roman" w:cs="Times New Roman"/>
      <w:sz w:val="22"/>
      <w:szCs w:val="24"/>
      <w:lang w:eastAsia="en-AU"/>
    </w:rPr>
  </w:style>
  <w:style w:type="character" w:styleId="LineNumber">
    <w:name w:val="line number"/>
    <w:basedOn w:val="OPCCharBase"/>
    <w:uiPriority w:val="99"/>
    <w:semiHidden/>
    <w:unhideWhenUsed/>
    <w:rsid w:val="00E77DE0"/>
    <w:rPr>
      <w:sz w:val="16"/>
    </w:rPr>
  </w:style>
  <w:style w:type="table" w:customStyle="1" w:styleId="CFlag">
    <w:name w:val="CFlag"/>
    <w:basedOn w:val="TableNormal"/>
    <w:uiPriority w:val="99"/>
    <w:rsid w:val="00E77DE0"/>
    <w:rPr>
      <w:rFonts w:eastAsia="Times New Roman" w:cs="Times New Roman"/>
      <w:lang w:eastAsia="en-AU"/>
    </w:rPr>
    <w:tblPr/>
  </w:style>
  <w:style w:type="paragraph" w:customStyle="1" w:styleId="NotesHeading1">
    <w:name w:val="NotesHeading 1"/>
    <w:basedOn w:val="OPCParaBase"/>
    <w:next w:val="Normal"/>
    <w:rsid w:val="00E77DE0"/>
    <w:rPr>
      <w:b/>
      <w:sz w:val="28"/>
      <w:szCs w:val="28"/>
    </w:rPr>
  </w:style>
  <w:style w:type="paragraph" w:customStyle="1" w:styleId="NotesHeading2">
    <w:name w:val="NotesHeading 2"/>
    <w:basedOn w:val="OPCParaBase"/>
    <w:next w:val="Normal"/>
    <w:rsid w:val="00E77DE0"/>
    <w:rPr>
      <w:b/>
      <w:sz w:val="28"/>
      <w:szCs w:val="28"/>
    </w:rPr>
  </w:style>
  <w:style w:type="paragraph" w:customStyle="1" w:styleId="SignCoverPageEnd">
    <w:name w:val="SignCoverPageEnd"/>
    <w:basedOn w:val="OPCParaBase"/>
    <w:next w:val="Normal"/>
    <w:rsid w:val="00E77DE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7DE0"/>
    <w:pPr>
      <w:pBdr>
        <w:top w:val="single" w:sz="4" w:space="1" w:color="auto"/>
      </w:pBdr>
      <w:spacing w:before="360"/>
      <w:ind w:right="397"/>
      <w:jc w:val="both"/>
    </w:pPr>
  </w:style>
  <w:style w:type="paragraph" w:customStyle="1" w:styleId="Paragraphsub-sub-sub">
    <w:name w:val="Paragraph(sub-sub-sub)"/>
    <w:aliases w:val="aaaa"/>
    <w:basedOn w:val="OPCParaBase"/>
    <w:rsid w:val="00E77DE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77DE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7DE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7DE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7DE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77DE0"/>
    <w:pPr>
      <w:spacing w:before="120"/>
    </w:pPr>
  </w:style>
  <w:style w:type="paragraph" w:customStyle="1" w:styleId="TableTextEndNotes">
    <w:name w:val="TableTextEndNotes"/>
    <w:aliases w:val="Tten"/>
    <w:basedOn w:val="Normal"/>
    <w:rsid w:val="00E77DE0"/>
    <w:pPr>
      <w:spacing w:before="60" w:line="240" w:lineRule="auto"/>
    </w:pPr>
    <w:rPr>
      <w:rFonts w:cs="Arial"/>
      <w:sz w:val="20"/>
      <w:szCs w:val="22"/>
    </w:rPr>
  </w:style>
  <w:style w:type="paragraph" w:customStyle="1" w:styleId="TableHeading">
    <w:name w:val="TableHeading"/>
    <w:aliases w:val="th"/>
    <w:basedOn w:val="OPCParaBase"/>
    <w:next w:val="Tabletext"/>
    <w:rsid w:val="00E77DE0"/>
    <w:pPr>
      <w:keepNext/>
      <w:spacing w:before="60" w:line="240" w:lineRule="atLeast"/>
    </w:pPr>
    <w:rPr>
      <w:b/>
      <w:sz w:val="20"/>
    </w:rPr>
  </w:style>
  <w:style w:type="paragraph" w:customStyle="1" w:styleId="NoteToSubpara">
    <w:name w:val="NoteToSubpara"/>
    <w:aliases w:val="nts"/>
    <w:basedOn w:val="OPCParaBase"/>
    <w:rsid w:val="00E77DE0"/>
    <w:pPr>
      <w:spacing w:before="40" w:line="198" w:lineRule="exact"/>
      <w:ind w:left="2835" w:hanging="709"/>
    </w:pPr>
    <w:rPr>
      <w:sz w:val="18"/>
    </w:rPr>
  </w:style>
  <w:style w:type="paragraph" w:customStyle="1" w:styleId="ENoteTableHeading">
    <w:name w:val="ENoteTableHeading"/>
    <w:aliases w:val="enth"/>
    <w:basedOn w:val="OPCParaBase"/>
    <w:rsid w:val="00E77DE0"/>
    <w:pPr>
      <w:keepNext/>
      <w:spacing w:before="60" w:line="240" w:lineRule="atLeast"/>
    </w:pPr>
    <w:rPr>
      <w:rFonts w:ascii="Arial" w:hAnsi="Arial"/>
      <w:b/>
      <w:sz w:val="16"/>
    </w:rPr>
  </w:style>
  <w:style w:type="paragraph" w:customStyle="1" w:styleId="ENoteTTi">
    <w:name w:val="ENoteTTi"/>
    <w:aliases w:val="entti"/>
    <w:basedOn w:val="OPCParaBase"/>
    <w:rsid w:val="00E77DE0"/>
    <w:pPr>
      <w:keepNext/>
      <w:spacing w:before="60" w:line="240" w:lineRule="atLeast"/>
      <w:ind w:left="170"/>
    </w:pPr>
    <w:rPr>
      <w:sz w:val="16"/>
    </w:rPr>
  </w:style>
  <w:style w:type="paragraph" w:customStyle="1" w:styleId="ENotesHeading1">
    <w:name w:val="ENotesHeading 1"/>
    <w:aliases w:val="Enh1"/>
    <w:basedOn w:val="OPCParaBase"/>
    <w:next w:val="Normal"/>
    <w:rsid w:val="00E77DE0"/>
    <w:pPr>
      <w:spacing w:before="120"/>
      <w:outlineLvl w:val="1"/>
    </w:pPr>
    <w:rPr>
      <w:b/>
      <w:sz w:val="28"/>
      <w:szCs w:val="28"/>
    </w:rPr>
  </w:style>
  <w:style w:type="paragraph" w:customStyle="1" w:styleId="ENotesHeading2">
    <w:name w:val="ENotesHeading 2"/>
    <w:aliases w:val="Enh2"/>
    <w:basedOn w:val="OPCParaBase"/>
    <w:next w:val="Normal"/>
    <w:rsid w:val="00E77DE0"/>
    <w:pPr>
      <w:spacing w:before="120" w:after="120"/>
      <w:outlineLvl w:val="2"/>
    </w:pPr>
    <w:rPr>
      <w:b/>
      <w:sz w:val="24"/>
      <w:szCs w:val="28"/>
    </w:rPr>
  </w:style>
  <w:style w:type="paragraph" w:customStyle="1" w:styleId="ENoteTTIndentHeading">
    <w:name w:val="ENoteTTIndentHeading"/>
    <w:aliases w:val="enTTHi"/>
    <w:basedOn w:val="OPCParaBase"/>
    <w:rsid w:val="00E77DE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7DE0"/>
    <w:pPr>
      <w:spacing w:before="60" w:line="240" w:lineRule="atLeast"/>
    </w:pPr>
    <w:rPr>
      <w:sz w:val="16"/>
    </w:rPr>
  </w:style>
  <w:style w:type="paragraph" w:customStyle="1" w:styleId="MadeunderText">
    <w:name w:val="MadeunderText"/>
    <w:basedOn w:val="OPCParaBase"/>
    <w:next w:val="Normal"/>
    <w:rsid w:val="00E77DE0"/>
    <w:pPr>
      <w:spacing w:before="240"/>
    </w:pPr>
    <w:rPr>
      <w:sz w:val="24"/>
      <w:szCs w:val="24"/>
    </w:rPr>
  </w:style>
  <w:style w:type="paragraph" w:customStyle="1" w:styleId="ENotesHeading3">
    <w:name w:val="ENotesHeading 3"/>
    <w:aliases w:val="Enh3"/>
    <w:basedOn w:val="OPCParaBase"/>
    <w:next w:val="Normal"/>
    <w:rsid w:val="00E77DE0"/>
    <w:pPr>
      <w:keepNext/>
      <w:spacing w:before="120" w:line="240" w:lineRule="auto"/>
      <w:outlineLvl w:val="4"/>
    </w:pPr>
    <w:rPr>
      <w:b/>
      <w:szCs w:val="24"/>
    </w:rPr>
  </w:style>
  <w:style w:type="paragraph" w:customStyle="1" w:styleId="SubPartCASA">
    <w:name w:val="SubPart(CASA)"/>
    <w:aliases w:val="csp"/>
    <w:basedOn w:val="OPCParaBase"/>
    <w:next w:val="ActHead3"/>
    <w:rsid w:val="00E77DE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77DE0"/>
  </w:style>
  <w:style w:type="character" w:customStyle="1" w:styleId="CharSubPartNoCASA">
    <w:name w:val="CharSubPartNo(CASA)"/>
    <w:basedOn w:val="OPCCharBase"/>
    <w:uiPriority w:val="1"/>
    <w:rsid w:val="00E77DE0"/>
  </w:style>
  <w:style w:type="paragraph" w:customStyle="1" w:styleId="ENoteTTIndentHeadingSub">
    <w:name w:val="ENoteTTIndentHeadingSub"/>
    <w:aliases w:val="enTTHis"/>
    <w:basedOn w:val="OPCParaBase"/>
    <w:rsid w:val="00E77DE0"/>
    <w:pPr>
      <w:keepNext/>
      <w:spacing w:before="60" w:line="240" w:lineRule="atLeast"/>
      <w:ind w:left="340"/>
    </w:pPr>
    <w:rPr>
      <w:b/>
      <w:sz w:val="16"/>
    </w:rPr>
  </w:style>
  <w:style w:type="paragraph" w:customStyle="1" w:styleId="ENoteTTiSub">
    <w:name w:val="ENoteTTiSub"/>
    <w:aliases w:val="enttis"/>
    <w:basedOn w:val="OPCParaBase"/>
    <w:rsid w:val="00E77DE0"/>
    <w:pPr>
      <w:keepNext/>
      <w:spacing w:before="60" w:line="240" w:lineRule="atLeast"/>
      <w:ind w:left="340"/>
    </w:pPr>
    <w:rPr>
      <w:sz w:val="16"/>
    </w:rPr>
  </w:style>
  <w:style w:type="paragraph" w:customStyle="1" w:styleId="SubDivisionMigration">
    <w:name w:val="SubDivisionMigration"/>
    <w:aliases w:val="sdm"/>
    <w:basedOn w:val="OPCParaBase"/>
    <w:rsid w:val="00E77DE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7DE0"/>
    <w:pPr>
      <w:keepNext/>
      <w:keepLines/>
      <w:spacing w:before="240" w:line="240" w:lineRule="auto"/>
      <w:ind w:left="1134" w:hanging="1134"/>
    </w:pPr>
    <w:rPr>
      <w:b/>
      <w:sz w:val="28"/>
    </w:rPr>
  </w:style>
  <w:style w:type="table" w:styleId="TableGrid">
    <w:name w:val="Table Grid"/>
    <w:basedOn w:val="TableNormal"/>
    <w:uiPriority w:val="59"/>
    <w:rsid w:val="00E77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77DE0"/>
    <w:pPr>
      <w:spacing w:before="122" w:line="240" w:lineRule="auto"/>
      <w:ind w:left="1985" w:hanging="851"/>
    </w:pPr>
    <w:rPr>
      <w:sz w:val="18"/>
    </w:rPr>
  </w:style>
  <w:style w:type="paragraph" w:customStyle="1" w:styleId="FreeForm">
    <w:name w:val="FreeForm"/>
    <w:rsid w:val="00C836EF"/>
    <w:rPr>
      <w:rFonts w:ascii="Arial" w:hAnsi="Arial"/>
      <w:sz w:val="22"/>
    </w:rPr>
  </w:style>
  <w:style w:type="paragraph" w:customStyle="1" w:styleId="SOText">
    <w:name w:val="SO Text"/>
    <w:aliases w:val="sot"/>
    <w:link w:val="SOTextChar"/>
    <w:rsid w:val="00E77DE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77DE0"/>
    <w:rPr>
      <w:sz w:val="22"/>
    </w:rPr>
  </w:style>
  <w:style w:type="paragraph" w:customStyle="1" w:styleId="SOTextNote">
    <w:name w:val="SO TextNote"/>
    <w:aliases w:val="sont"/>
    <w:basedOn w:val="SOText"/>
    <w:qFormat/>
    <w:rsid w:val="00E77DE0"/>
    <w:pPr>
      <w:spacing w:before="122" w:line="198" w:lineRule="exact"/>
      <w:ind w:left="1843" w:hanging="709"/>
    </w:pPr>
    <w:rPr>
      <w:sz w:val="18"/>
    </w:rPr>
  </w:style>
  <w:style w:type="paragraph" w:customStyle="1" w:styleId="SOPara">
    <w:name w:val="SO Para"/>
    <w:aliases w:val="soa"/>
    <w:basedOn w:val="SOText"/>
    <w:link w:val="SOParaChar"/>
    <w:qFormat/>
    <w:rsid w:val="00E77DE0"/>
    <w:pPr>
      <w:tabs>
        <w:tab w:val="right" w:pos="1786"/>
      </w:tabs>
      <w:spacing w:before="40"/>
      <w:ind w:left="2070" w:hanging="936"/>
    </w:pPr>
  </w:style>
  <w:style w:type="character" w:customStyle="1" w:styleId="SOParaChar">
    <w:name w:val="SO Para Char"/>
    <w:aliases w:val="soa Char"/>
    <w:basedOn w:val="DefaultParagraphFont"/>
    <w:link w:val="SOPara"/>
    <w:rsid w:val="00E77DE0"/>
    <w:rPr>
      <w:sz w:val="22"/>
    </w:rPr>
  </w:style>
  <w:style w:type="paragraph" w:customStyle="1" w:styleId="FileName">
    <w:name w:val="FileName"/>
    <w:basedOn w:val="Normal"/>
    <w:rsid w:val="00E77DE0"/>
  </w:style>
  <w:style w:type="paragraph" w:customStyle="1" w:styleId="SOHeadBold">
    <w:name w:val="SO HeadBold"/>
    <w:aliases w:val="sohb"/>
    <w:basedOn w:val="SOText"/>
    <w:next w:val="SOText"/>
    <w:link w:val="SOHeadBoldChar"/>
    <w:qFormat/>
    <w:rsid w:val="00E77DE0"/>
    <w:rPr>
      <w:b/>
    </w:rPr>
  </w:style>
  <w:style w:type="character" w:customStyle="1" w:styleId="SOHeadBoldChar">
    <w:name w:val="SO HeadBold Char"/>
    <w:aliases w:val="sohb Char"/>
    <w:basedOn w:val="DefaultParagraphFont"/>
    <w:link w:val="SOHeadBold"/>
    <w:rsid w:val="00E77DE0"/>
    <w:rPr>
      <w:b/>
      <w:sz w:val="22"/>
    </w:rPr>
  </w:style>
  <w:style w:type="paragraph" w:customStyle="1" w:styleId="SOHeadItalic">
    <w:name w:val="SO HeadItalic"/>
    <w:aliases w:val="sohi"/>
    <w:basedOn w:val="SOText"/>
    <w:next w:val="SOText"/>
    <w:link w:val="SOHeadItalicChar"/>
    <w:qFormat/>
    <w:rsid w:val="00E77DE0"/>
    <w:rPr>
      <w:i/>
    </w:rPr>
  </w:style>
  <w:style w:type="character" w:customStyle="1" w:styleId="SOHeadItalicChar">
    <w:name w:val="SO HeadItalic Char"/>
    <w:aliases w:val="sohi Char"/>
    <w:basedOn w:val="DefaultParagraphFont"/>
    <w:link w:val="SOHeadItalic"/>
    <w:rsid w:val="00E77DE0"/>
    <w:rPr>
      <w:i/>
      <w:sz w:val="22"/>
    </w:rPr>
  </w:style>
  <w:style w:type="paragraph" w:customStyle="1" w:styleId="SOBullet">
    <w:name w:val="SO Bullet"/>
    <w:aliases w:val="sotb"/>
    <w:basedOn w:val="SOText"/>
    <w:link w:val="SOBulletChar"/>
    <w:qFormat/>
    <w:rsid w:val="00E77DE0"/>
    <w:pPr>
      <w:ind w:left="1559" w:hanging="425"/>
    </w:pPr>
  </w:style>
  <w:style w:type="character" w:customStyle="1" w:styleId="SOBulletChar">
    <w:name w:val="SO Bullet Char"/>
    <w:aliases w:val="sotb Char"/>
    <w:basedOn w:val="DefaultParagraphFont"/>
    <w:link w:val="SOBullet"/>
    <w:rsid w:val="00E77DE0"/>
    <w:rPr>
      <w:sz w:val="22"/>
    </w:rPr>
  </w:style>
  <w:style w:type="paragraph" w:customStyle="1" w:styleId="SOBulletNote">
    <w:name w:val="SO BulletNote"/>
    <w:aliases w:val="sonb"/>
    <w:basedOn w:val="SOTextNote"/>
    <w:link w:val="SOBulletNoteChar"/>
    <w:qFormat/>
    <w:rsid w:val="00E77DE0"/>
    <w:pPr>
      <w:tabs>
        <w:tab w:val="left" w:pos="1560"/>
      </w:tabs>
      <w:ind w:left="2268" w:hanging="1134"/>
    </w:pPr>
  </w:style>
  <w:style w:type="character" w:customStyle="1" w:styleId="SOBulletNoteChar">
    <w:name w:val="SO BulletNote Char"/>
    <w:aliases w:val="sonb Char"/>
    <w:basedOn w:val="DefaultParagraphFont"/>
    <w:link w:val="SOBulletNote"/>
    <w:rsid w:val="00E77DE0"/>
    <w:rPr>
      <w:sz w:val="18"/>
    </w:rPr>
  </w:style>
  <w:style w:type="paragraph" w:customStyle="1" w:styleId="SOText2">
    <w:name w:val="SO Text2"/>
    <w:aliases w:val="sot2"/>
    <w:basedOn w:val="Normal"/>
    <w:next w:val="SOText"/>
    <w:link w:val="SOText2Char"/>
    <w:rsid w:val="00E77DE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7DE0"/>
    <w:rPr>
      <w:sz w:val="22"/>
    </w:rPr>
  </w:style>
  <w:style w:type="paragraph" w:customStyle="1" w:styleId="Transitional">
    <w:name w:val="Transitional"/>
    <w:aliases w:val="tr"/>
    <w:basedOn w:val="ItemHead"/>
    <w:next w:val="Item"/>
    <w:rsid w:val="00E77DE0"/>
  </w:style>
  <w:style w:type="character" w:customStyle="1" w:styleId="subsectionChar">
    <w:name w:val="subsection Char"/>
    <w:aliases w:val="ss Char"/>
    <w:basedOn w:val="DefaultParagraphFont"/>
    <w:link w:val="subsection"/>
    <w:locked/>
    <w:rsid w:val="00E47164"/>
    <w:rPr>
      <w:rFonts w:eastAsia="Times New Roman" w:cs="Times New Roman"/>
      <w:sz w:val="22"/>
      <w:lang w:eastAsia="en-AU"/>
    </w:rPr>
  </w:style>
  <w:style w:type="character" w:customStyle="1" w:styleId="notetextChar">
    <w:name w:val="note(text) Char"/>
    <w:aliases w:val="n Char"/>
    <w:basedOn w:val="DefaultParagraphFont"/>
    <w:link w:val="notetext"/>
    <w:rsid w:val="00E47164"/>
    <w:rPr>
      <w:rFonts w:eastAsia="Times New Roman" w:cs="Times New Roman"/>
      <w:sz w:val="18"/>
      <w:lang w:eastAsia="en-AU"/>
    </w:rPr>
  </w:style>
  <w:style w:type="character" w:customStyle="1" w:styleId="Heading1Char">
    <w:name w:val="Heading 1 Char"/>
    <w:basedOn w:val="DefaultParagraphFont"/>
    <w:link w:val="Heading1"/>
    <w:uiPriority w:val="9"/>
    <w:rsid w:val="00E471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471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4716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4716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E4716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4716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4716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471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4716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9A6C49"/>
    <w:rPr>
      <w:color w:val="0000FF"/>
      <w:u w:val="single"/>
    </w:rPr>
  </w:style>
  <w:style w:type="character" w:customStyle="1" w:styleId="paragraphChar">
    <w:name w:val="paragraph Char"/>
    <w:aliases w:val="a Char"/>
    <w:link w:val="paragraph"/>
    <w:rsid w:val="00835C35"/>
    <w:rPr>
      <w:rFonts w:eastAsia="Times New Roman" w:cs="Times New Roman"/>
      <w:sz w:val="22"/>
      <w:lang w:eastAsia="en-AU"/>
    </w:rPr>
  </w:style>
  <w:style w:type="character" w:customStyle="1" w:styleId="ActHead5Char">
    <w:name w:val="ActHead 5 Char"/>
    <w:aliases w:val="s Char"/>
    <w:link w:val="ActHead5"/>
    <w:locked/>
    <w:rsid w:val="00835C35"/>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5629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995"/>
    <w:rPr>
      <w:rFonts w:ascii="Tahoma" w:hAnsi="Tahoma" w:cs="Tahoma"/>
      <w:sz w:val="16"/>
      <w:szCs w:val="16"/>
    </w:rPr>
  </w:style>
  <w:style w:type="character" w:customStyle="1" w:styleId="ItemHeadChar">
    <w:name w:val="ItemHead Char"/>
    <w:aliases w:val="ih Char"/>
    <w:basedOn w:val="DefaultParagraphFont"/>
    <w:link w:val="ItemHead"/>
    <w:rsid w:val="0081273D"/>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81273D"/>
    <w:rPr>
      <w:rFonts w:eastAsia="Times New Roman" w:cs="Times New Roman"/>
      <w:sz w:val="22"/>
      <w:lang w:eastAsia="en-AU"/>
    </w:rPr>
  </w:style>
  <w:style w:type="character" w:styleId="FollowedHyperlink">
    <w:name w:val="FollowedHyperlink"/>
    <w:basedOn w:val="DefaultParagraphFont"/>
    <w:uiPriority w:val="99"/>
    <w:semiHidden/>
    <w:unhideWhenUsed/>
    <w:rsid w:val="00D22A64"/>
    <w:rPr>
      <w:color w:val="0000FF"/>
      <w:u w:val="single"/>
    </w:rPr>
  </w:style>
  <w:style w:type="paragraph" w:customStyle="1" w:styleId="ClerkBlock">
    <w:name w:val="ClerkBlock"/>
    <w:basedOn w:val="Normal"/>
    <w:rsid w:val="004E5B89"/>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446364"/>
    <w:pPr>
      <w:spacing w:before="800"/>
    </w:pPr>
  </w:style>
  <w:style w:type="character" w:customStyle="1" w:styleId="ShortTP1Char">
    <w:name w:val="ShortTP1 Char"/>
    <w:basedOn w:val="DefaultParagraphFont"/>
    <w:link w:val="ShortTP1"/>
    <w:rsid w:val="00446364"/>
    <w:rPr>
      <w:rFonts w:eastAsia="Times New Roman" w:cs="Times New Roman"/>
      <w:b/>
      <w:sz w:val="40"/>
      <w:lang w:eastAsia="en-AU"/>
    </w:rPr>
  </w:style>
  <w:style w:type="paragraph" w:customStyle="1" w:styleId="ActNoP1">
    <w:name w:val="ActNoP1"/>
    <w:basedOn w:val="Actno"/>
    <w:link w:val="ActNoP1Char"/>
    <w:rsid w:val="00446364"/>
    <w:pPr>
      <w:spacing w:before="800"/>
    </w:pPr>
    <w:rPr>
      <w:sz w:val="28"/>
    </w:rPr>
  </w:style>
  <w:style w:type="character" w:customStyle="1" w:styleId="ActNoP1Char">
    <w:name w:val="ActNoP1 Char"/>
    <w:basedOn w:val="DefaultParagraphFont"/>
    <w:link w:val="ActNoP1"/>
    <w:rsid w:val="00446364"/>
    <w:rPr>
      <w:rFonts w:eastAsia="Times New Roman" w:cs="Times New Roman"/>
      <w:b/>
      <w:sz w:val="28"/>
      <w:lang w:eastAsia="en-AU"/>
    </w:rPr>
  </w:style>
  <w:style w:type="paragraph" w:customStyle="1" w:styleId="AssentBk">
    <w:name w:val="AssentBk"/>
    <w:basedOn w:val="Normal"/>
    <w:rsid w:val="00446364"/>
    <w:pPr>
      <w:spacing w:line="240" w:lineRule="auto"/>
    </w:pPr>
    <w:rPr>
      <w:rFonts w:eastAsia="Times New Roman" w:cs="Times New Roman"/>
      <w:sz w:val="20"/>
      <w:lang w:eastAsia="en-AU"/>
    </w:rPr>
  </w:style>
  <w:style w:type="paragraph" w:customStyle="1" w:styleId="AssentDt">
    <w:name w:val="AssentDt"/>
    <w:basedOn w:val="Normal"/>
    <w:rsid w:val="00394DA8"/>
    <w:pPr>
      <w:spacing w:line="240" w:lineRule="auto"/>
    </w:pPr>
    <w:rPr>
      <w:rFonts w:eastAsia="Times New Roman" w:cs="Times New Roman"/>
      <w:sz w:val="20"/>
      <w:lang w:eastAsia="en-AU"/>
    </w:rPr>
  </w:style>
  <w:style w:type="paragraph" w:customStyle="1" w:styleId="2ndRd">
    <w:name w:val="2ndRd"/>
    <w:basedOn w:val="Normal"/>
    <w:rsid w:val="00394DA8"/>
    <w:pPr>
      <w:spacing w:line="240" w:lineRule="auto"/>
    </w:pPr>
    <w:rPr>
      <w:rFonts w:eastAsia="Times New Roman" w:cs="Times New Roman"/>
      <w:sz w:val="20"/>
      <w:lang w:eastAsia="en-AU"/>
    </w:rPr>
  </w:style>
  <w:style w:type="paragraph" w:customStyle="1" w:styleId="ScalePlusRef">
    <w:name w:val="ScalePlusRef"/>
    <w:basedOn w:val="Normal"/>
    <w:rsid w:val="00394DA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6269">
      <w:bodyDiv w:val="1"/>
      <w:marLeft w:val="0"/>
      <w:marRight w:val="0"/>
      <w:marTop w:val="0"/>
      <w:marBottom w:val="0"/>
      <w:divBdr>
        <w:top w:val="none" w:sz="0" w:space="0" w:color="auto"/>
        <w:left w:val="none" w:sz="0" w:space="0" w:color="auto"/>
        <w:bottom w:val="none" w:sz="0" w:space="0" w:color="auto"/>
        <w:right w:val="none" w:sz="0" w:space="0" w:color="auto"/>
      </w:divBdr>
    </w:div>
    <w:div w:id="277838501">
      <w:bodyDiv w:val="1"/>
      <w:marLeft w:val="0"/>
      <w:marRight w:val="0"/>
      <w:marTop w:val="0"/>
      <w:marBottom w:val="0"/>
      <w:divBdr>
        <w:top w:val="none" w:sz="0" w:space="0" w:color="auto"/>
        <w:left w:val="none" w:sz="0" w:space="0" w:color="auto"/>
        <w:bottom w:val="none" w:sz="0" w:space="0" w:color="auto"/>
        <w:right w:val="none" w:sz="0" w:space="0" w:color="auto"/>
      </w:divBdr>
    </w:div>
    <w:div w:id="955142362">
      <w:bodyDiv w:val="1"/>
      <w:marLeft w:val="0"/>
      <w:marRight w:val="0"/>
      <w:marTop w:val="0"/>
      <w:marBottom w:val="0"/>
      <w:divBdr>
        <w:top w:val="none" w:sz="0" w:space="0" w:color="auto"/>
        <w:left w:val="none" w:sz="0" w:space="0" w:color="auto"/>
        <w:bottom w:val="none" w:sz="0" w:space="0" w:color="auto"/>
        <w:right w:val="none" w:sz="0" w:space="0" w:color="auto"/>
      </w:divBdr>
    </w:div>
    <w:div w:id="1000935843">
      <w:bodyDiv w:val="1"/>
      <w:marLeft w:val="0"/>
      <w:marRight w:val="0"/>
      <w:marTop w:val="0"/>
      <w:marBottom w:val="0"/>
      <w:divBdr>
        <w:top w:val="none" w:sz="0" w:space="0" w:color="auto"/>
        <w:left w:val="none" w:sz="0" w:space="0" w:color="auto"/>
        <w:bottom w:val="none" w:sz="0" w:space="0" w:color="auto"/>
        <w:right w:val="none" w:sz="0" w:space="0" w:color="auto"/>
      </w:divBdr>
    </w:div>
    <w:div w:id="1305158023">
      <w:bodyDiv w:val="1"/>
      <w:marLeft w:val="0"/>
      <w:marRight w:val="0"/>
      <w:marTop w:val="0"/>
      <w:marBottom w:val="0"/>
      <w:divBdr>
        <w:top w:val="none" w:sz="0" w:space="0" w:color="auto"/>
        <w:left w:val="none" w:sz="0" w:space="0" w:color="auto"/>
        <w:bottom w:val="none" w:sz="0" w:space="0" w:color="auto"/>
        <w:right w:val="none" w:sz="0" w:space="0" w:color="auto"/>
      </w:divBdr>
    </w:div>
    <w:div w:id="1432583820">
      <w:bodyDiv w:val="1"/>
      <w:marLeft w:val="0"/>
      <w:marRight w:val="0"/>
      <w:marTop w:val="0"/>
      <w:marBottom w:val="0"/>
      <w:divBdr>
        <w:top w:val="none" w:sz="0" w:space="0" w:color="auto"/>
        <w:left w:val="none" w:sz="0" w:space="0" w:color="auto"/>
        <w:bottom w:val="none" w:sz="0" w:space="0" w:color="auto"/>
        <w:right w:val="none" w:sz="0" w:space="0" w:color="auto"/>
      </w:divBdr>
    </w:div>
    <w:div w:id="198183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CE903-A402-495B-A10F-AC05F2E4A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23</Pages>
  <Words>3571</Words>
  <Characters>19230</Characters>
  <Application>Microsoft Office Word</Application>
  <DocSecurity>0</DocSecurity>
  <PresentationFormat/>
  <Lines>493</Lines>
  <Paragraphs>367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2020-08-12T03:06:00Z</cp:lastPrinted>
  <dcterms:created xsi:type="dcterms:W3CDTF">2021-06-21T02:23:00Z</dcterms:created>
  <dcterms:modified xsi:type="dcterms:W3CDTF">2021-06-21T23:15:00Z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Higher Education Legislation Amendment (Provider Category Standards and Other Measures) Act 2021</vt:lpwstr>
  </property>
  <property fmtid="{D5CDD505-2E9C-101B-9397-08002B2CF9AE}" pid="5" name="ActNo">
    <vt:lpwstr>No. 14,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OPC7343</vt:lpwstr>
  </property>
  <property fmtid="{D5CDD505-2E9C-101B-9397-08002B2CF9AE}" pid="10" name="DoNotAsk">
    <vt:lpwstr>0</vt:lpwstr>
  </property>
  <property fmtid="{D5CDD505-2E9C-101B-9397-08002B2CF9AE}" pid="11" name="ChangedTitle">
    <vt:lpwstr/>
  </property>
</Properties>
</file>