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2E1" w:rsidRPr="00065C1F" w:rsidRDefault="000F32E1" w:rsidP="000F32E1">
      <w:pPr>
        <w:rPr>
          <w:rStyle w:val="StyleBold"/>
        </w:rPr>
      </w:pPr>
      <w:r>
        <w:rPr>
          <w:rStyle w:val="StyleBold"/>
        </w:rPr>
        <w:t xml:space="preserve">Gazette notice: </w:t>
      </w:r>
      <w:r w:rsidRPr="00065C1F">
        <w:rPr>
          <w:rStyle w:val="StyleBold"/>
        </w:rPr>
        <w:t>Commissioner of Taxation – Notice of a data-matching program</w:t>
      </w:r>
    </w:p>
    <w:p w:rsidR="000F32E1" w:rsidRPr="00065C1F" w:rsidRDefault="000F32E1" w:rsidP="000F32E1">
      <w:r w:rsidRPr="00277C67">
        <w:t xml:space="preserve">The Australian Taxation Office (ATO) will acquire </w:t>
      </w:r>
      <w:r w:rsidRPr="00065C1F">
        <w:t xml:space="preserve">data </w:t>
      </w:r>
      <w:r>
        <w:t>on Australian sales made through online selling platforms for 2018–19</w:t>
      </w:r>
      <w:r w:rsidRPr="00065C1F">
        <w:t xml:space="preserve"> through to</w:t>
      </w:r>
      <w:r>
        <w:t xml:space="preserve"> 2022–23 financial years. </w:t>
      </w:r>
      <w:r w:rsidRPr="00E63B84">
        <w:t>The collected data may contain all or a selection of the fields listed</w:t>
      </w:r>
      <w:r w:rsidRPr="00C9102E">
        <w:t xml:space="preserve"> below.</w:t>
      </w:r>
    </w:p>
    <w:p w:rsidR="000F32E1" w:rsidRPr="00E63B84" w:rsidRDefault="000F32E1" w:rsidP="000F32E1">
      <w:pPr>
        <w:pStyle w:val="Heading3"/>
      </w:pPr>
      <w:r w:rsidRPr="00E63B84">
        <w:t xml:space="preserve">Client identification details </w:t>
      </w:r>
      <w:r>
        <w:t>–</w:t>
      </w:r>
      <w:r w:rsidRPr="00E63B84">
        <w:t xml:space="preserve"> individuals</w:t>
      </w:r>
    </w:p>
    <w:p w:rsidR="000F32E1" w:rsidRPr="00E63B84" w:rsidRDefault="000F32E1" w:rsidP="000F32E1">
      <w:pPr>
        <w:pStyle w:val="Bulletedlist1"/>
      </w:pPr>
      <w:r>
        <w:t>G</w:t>
      </w:r>
      <w:r w:rsidRPr="00E63B84">
        <w:t xml:space="preserve">iven and surname(s) (if more than one name on the </w:t>
      </w:r>
      <w:r>
        <w:t>account</w:t>
      </w:r>
      <w:r w:rsidRPr="00E63B84">
        <w:t>)</w:t>
      </w:r>
    </w:p>
    <w:p w:rsidR="000F32E1" w:rsidRPr="00E63B84" w:rsidRDefault="000F32E1" w:rsidP="000F32E1">
      <w:pPr>
        <w:pStyle w:val="Bulletedlist1"/>
      </w:pPr>
      <w:r>
        <w:t>D</w:t>
      </w:r>
      <w:r w:rsidRPr="00E63B84">
        <w:t>ate(s) of birth</w:t>
      </w:r>
    </w:p>
    <w:p w:rsidR="000F32E1" w:rsidRPr="00E63B84" w:rsidRDefault="000F32E1" w:rsidP="000F32E1">
      <w:pPr>
        <w:pStyle w:val="Bulletedlist1"/>
      </w:pPr>
      <w:r>
        <w:t>Account holders' a</w:t>
      </w:r>
      <w:r w:rsidRPr="00E63B84">
        <w:t>ddresses (residential, postal, other)</w:t>
      </w:r>
    </w:p>
    <w:p w:rsidR="000F32E1" w:rsidRPr="00E63B84" w:rsidRDefault="000F32E1" w:rsidP="000F32E1">
      <w:pPr>
        <w:pStyle w:val="Bulletedlist1"/>
      </w:pPr>
      <w:r w:rsidRPr="00E63B84">
        <w:t>Australian business number (if applicable)</w:t>
      </w:r>
    </w:p>
    <w:p w:rsidR="000F32E1" w:rsidRPr="00E63B84" w:rsidRDefault="000F32E1" w:rsidP="000F32E1">
      <w:pPr>
        <w:pStyle w:val="Bulletedlist1"/>
      </w:pPr>
      <w:r>
        <w:t>E</w:t>
      </w:r>
      <w:r w:rsidRPr="00E63B84">
        <w:t>mail address</w:t>
      </w:r>
    </w:p>
    <w:p w:rsidR="000F32E1" w:rsidRPr="00E63B84" w:rsidRDefault="000F32E1" w:rsidP="000F32E1">
      <w:pPr>
        <w:pStyle w:val="Bulletedlist1"/>
      </w:pPr>
      <w:r>
        <w:t>C</w:t>
      </w:r>
      <w:r w:rsidRPr="00E63B84">
        <w:t>ontact phone</w:t>
      </w:r>
      <w:r>
        <w:t xml:space="preserve"> number(s)</w:t>
      </w:r>
    </w:p>
    <w:p w:rsidR="000F32E1" w:rsidRPr="00E63B84" w:rsidRDefault="000F32E1" w:rsidP="000F32E1">
      <w:pPr>
        <w:pStyle w:val="Heading3"/>
      </w:pPr>
      <w:r w:rsidRPr="00E63B84">
        <w:t xml:space="preserve">Client identification details </w:t>
      </w:r>
      <w:r>
        <w:t>–</w:t>
      </w:r>
      <w:r w:rsidRPr="00E63B84">
        <w:t xml:space="preserve"> non-individuals</w:t>
      </w:r>
    </w:p>
    <w:p w:rsidR="000F32E1" w:rsidRPr="00E63B84" w:rsidRDefault="000F32E1" w:rsidP="000F32E1">
      <w:pPr>
        <w:pStyle w:val="Bulletedlist1"/>
      </w:pPr>
      <w:r>
        <w:t>B</w:t>
      </w:r>
      <w:r w:rsidRPr="00E63B84">
        <w:t>usiness name</w:t>
      </w:r>
    </w:p>
    <w:p w:rsidR="000F32E1" w:rsidRPr="00E63B84" w:rsidRDefault="000F32E1" w:rsidP="000F32E1">
      <w:pPr>
        <w:pStyle w:val="Bulletedlist1"/>
      </w:pPr>
      <w:r>
        <w:t>A</w:t>
      </w:r>
      <w:r w:rsidRPr="00E63B84">
        <w:t>ddresses (business, postal, registered, other)</w:t>
      </w:r>
    </w:p>
    <w:p w:rsidR="000F32E1" w:rsidRDefault="000F32E1" w:rsidP="000F32E1">
      <w:pPr>
        <w:pStyle w:val="Bulletedlist1"/>
      </w:pPr>
      <w:r w:rsidRPr="00E63B84">
        <w:t>Australian business number</w:t>
      </w:r>
    </w:p>
    <w:p w:rsidR="000F32E1" w:rsidRPr="00E63B84" w:rsidRDefault="000F32E1" w:rsidP="000F32E1">
      <w:pPr>
        <w:pStyle w:val="Bulletedlist1"/>
      </w:pPr>
      <w:r>
        <w:t>C</w:t>
      </w:r>
      <w:r w:rsidRPr="00E63B84">
        <w:t>ontact name</w:t>
      </w:r>
    </w:p>
    <w:p w:rsidR="000F32E1" w:rsidRPr="002E71B1" w:rsidRDefault="000F32E1" w:rsidP="000F32E1">
      <w:pPr>
        <w:pStyle w:val="Bulletedlist1"/>
      </w:pPr>
      <w:r>
        <w:t>E</w:t>
      </w:r>
      <w:r w:rsidRPr="002E71B1">
        <w:t>mail address</w:t>
      </w:r>
    </w:p>
    <w:p w:rsidR="000F32E1" w:rsidRPr="00E63B84" w:rsidRDefault="000F32E1" w:rsidP="000F32E1">
      <w:pPr>
        <w:pStyle w:val="Bulletedlist1"/>
      </w:pPr>
      <w:r>
        <w:t>C</w:t>
      </w:r>
      <w:r w:rsidRPr="00E63B84">
        <w:t>ontact phone</w:t>
      </w:r>
      <w:r>
        <w:t xml:space="preserve"> number(s)</w:t>
      </w:r>
    </w:p>
    <w:p w:rsidR="000F32E1" w:rsidRPr="004126E8" w:rsidRDefault="000F32E1" w:rsidP="000F32E1">
      <w:pPr>
        <w:pStyle w:val="Heading3"/>
      </w:pPr>
      <w:r w:rsidRPr="004126E8">
        <w:t>Account details</w:t>
      </w:r>
    </w:p>
    <w:p w:rsidR="000F32E1" w:rsidRDefault="000F32E1" w:rsidP="000F32E1">
      <w:pPr>
        <w:pStyle w:val="Bulletedlist1"/>
      </w:pPr>
      <w:r>
        <w:t>Account name</w:t>
      </w:r>
    </w:p>
    <w:p w:rsidR="000F32E1" w:rsidRDefault="000F32E1" w:rsidP="000F32E1">
      <w:pPr>
        <w:pStyle w:val="Bulletedlist1"/>
      </w:pPr>
      <w:r>
        <w:t>Account identification number</w:t>
      </w:r>
    </w:p>
    <w:p w:rsidR="000F32E1" w:rsidRDefault="000F32E1" w:rsidP="000F32E1">
      <w:pPr>
        <w:pStyle w:val="Bulletedlist1"/>
      </w:pPr>
      <w:r>
        <w:t>Account registration date</w:t>
      </w:r>
    </w:p>
    <w:p w:rsidR="000F32E1" w:rsidRDefault="000F32E1" w:rsidP="000F32E1">
      <w:pPr>
        <w:pStyle w:val="Bulletedlist1"/>
      </w:pPr>
      <w:r>
        <w:t>Account registration type</w:t>
      </w:r>
    </w:p>
    <w:p w:rsidR="000F32E1" w:rsidRDefault="000F32E1" w:rsidP="000F32E1">
      <w:pPr>
        <w:pStyle w:val="Bulletedlist1"/>
      </w:pPr>
      <w:r>
        <w:t>Store type</w:t>
      </w:r>
    </w:p>
    <w:p w:rsidR="000F32E1" w:rsidRDefault="000F32E1" w:rsidP="000F32E1">
      <w:pPr>
        <w:pStyle w:val="Bulletedlist1"/>
      </w:pPr>
      <w:r>
        <w:t>Seller status</w:t>
      </w:r>
    </w:p>
    <w:p w:rsidR="000F32E1" w:rsidRDefault="000F32E1" w:rsidP="000F32E1">
      <w:pPr>
        <w:pStyle w:val="Bulletedlist1"/>
      </w:pPr>
      <w:r>
        <w:t>IP Address</w:t>
      </w:r>
    </w:p>
    <w:p w:rsidR="000F32E1" w:rsidRDefault="000F32E1" w:rsidP="000F32E1">
      <w:pPr>
        <w:pStyle w:val="Bulletedlist1"/>
      </w:pPr>
      <w:r>
        <w:t>Seller's linked PayPal account</w:t>
      </w:r>
    </w:p>
    <w:p w:rsidR="000F32E1" w:rsidRDefault="000F32E1" w:rsidP="000F32E1">
      <w:pPr>
        <w:pStyle w:val="Bulletedlist1"/>
      </w:pPr>
      <w:r>
        <w:t>Number of annual sales transactions</w:t>
      </w:r>
    </w:p>
    <w:p w:rsidR="000F32E1" w:rsidRDefault="000F32E1" w:rsidP="000F32E1">
      <w:pPr>
        <w:pStyle w:val="Bulletedlist1"/>
      </w:pPr>
      <w:r>
        <w:lastRenderedPageBreak/>
        <w:t>Value of annual sales transactions</w:t>
      </w:r>
    </w:p>
    <w:p w:rsidR="000F32E1" w:rsidRDefault="000F32E1" w:rsidP="000F32E1">
      <w:pPr>
        <w:pStyle w:val="Bulletedlist1"/>
      </w:pPr>
      <w:r>
        <w:t>Number of monthly sales transactions</w:t>
      </w:r>
    </w:p>
    <w:p w:rsidR="000F32E1" w:rsidRPr="006C5F0B" w:rsidRDefault="000F32E1" w:rsidP="000F32E1">
      <w:pPr>
        <w:pStyle w:val="Bulletedlist1"/>
      </w:pPr>
      <w:r>
        <w:t>Value of monthly sales transactions</w:t>
      </w:r>
    </w:p>
    <w:p w:rsidR="000F32E1" w:rsidRPr="00277C67" w:rsidRDefault="000F32E1" w:rsidP="000F32E1">
      <w:r>
        <w:t>We</w:t>
      </w:r>
      <w:r w:rsidRPr="00031506">
        <w:t xml:space="preserve"> estimate the total number of account records obtained to be between 20,000 and 30,000 each financial year. We expect around half of the matched accounts will relate to individuals</w:t>
      </w:r>
      <w:r w:rsidRPr="00031506" w:rsidDel="00031506">
        <w:t xml:space="preserve"> </w:t>
      </w:r>
      <w:r w:rsidRPr="00277C67">
        <w:t>These records will be electronically matched with ATO data holdings to identify non-compliance with registration, lodgment, reporting and payment obligations under taxation laws.</w:t>
      </w:r>
    </w:p>
    <w:p w:rsidR="000F32E1" w:rsidRPr="00031506" w:rsidRDefault="000F32E1" w:rsidP="000F32E1">
      <w:r>
        <w:t>The objectives of th</w:t>
      </w:r>
      <w:r w:rsidRPr="00031506">
        <w:t>e online selling data-matching program are to:</w:t>
      </w:r>
    </w:p>
    <w:p w:rsidR="000F32E1" w:rsidRDefault="000F32E1" w:rsidP="000F32E1">
      <w:pPr>
        <w:pStyle w:val="Bulletedlist1"/>
      </w:pPr>
      <w:r>
        <w:t>p</w:t>
      </w:r>
      <w:r w:rsidRPr="00B877CA">
        <w:t>romote voluntary compliance and increase community confidence in the integrity of the tax and superannuation systems</w:t>
      </w:r>
    </w:p>
    <w:p w:rsidR="000F32E1" w:rsidRDefault="000F32E1" w:rsidP="000F32E1">
      <w:pPr>
        <w:pStyle w:val="Bulletedlist1"/>
      </w:pPr>
      <w:r>
        <w:t>g</w:t>
      </w:r>
      <w:r w:rsidRPr="00BD500D">
        <w:t>ain insights from the data t</w:t>
      </w:r>
      <w:r>
        <w:t xml:space="preserve">o </w:t>
      </w:r>
      <w:r w:rsidRPr="00BD500D">
        <w:t>help develop and implement</w:t>
      </w:r>
      <w:r>
        <w:t xml:space="preserve"> engagement</w:t>
      </w:r>
      <w:r w:rsidRPr="00BD500D">
        <w:t xml:space="preserve"> strategies to improve voluntary compliance</w:t>
      </w:r>
      <w:r>
        <w:t>,</w:t>
      </w:r>
      <w:r w:rsidRPr="00BD500D">
        <w:t xml:space="preserve"> which may include educational or compliance activities</w:t>
      </w:r>
    </w:p>
    <w:p w:rsidR="000F32E1" w:rsidRPr="00B877CA" w:rsidRDefault="000F32E1" w:rsidP="000F32E1">
      <w:pPr>
        <w:pStyle w:val="Bulletedlist1"/>
      </w:pPr>
      <w:r>
        <w:t>i</w:t>
      </w:r>
      <w:r w:rsidRPr="00B877CA">
        <w:t>dentify and educate those individuals</w:t>
      </w:r>
      <w:r>
        <w:t xml:space="preserve"> and businesses</w:t>
      </w:r>
      <w:r w:rsidRPr="00B877CA">
        <w:t xml:space="preserve"> who may be failing to meet their registration or lodgment obligations and assist them to comply</w:t>
      </w:r>
    </w:p>
    <w:p w:rsidR="000F32E1" w:rsidRDefault="000F32E1" w:rsidP="000F32E1">
      <w:pPr>
        <w:pStyle w:val="Bulletedlist1"/>
      </w:pPr>
      <w:r>
        <w:t>help e</w:t>
      </w:r>
      <w:r w:rsidRPr="00BD500D">
        <w:t>nsure individuals and businesses are fulfilling their tax and super</w:t>
      </w:r>
      <w:r>
        <w:t>annuation obligations.</w:t>
      </w:r>
    </w:p>
    <w:p w:rsidR="000F32E1" w:rsidRPr="00065C1F" w:rsidRDefault="000F32E1" w:rsidP="000F32E1">
      <w:pPr>
        <w:rPr>
          <w:rStyle w:val="Hyperlink"/>
        </w:rPr>
      </w:pPr>
      <w:r w:rsidRPr="00277C67">
        <w:t xml:space="preserve">A document describing this program </w:t>
      </w:r>
      <w:r w:rsidRPr="00065C1F">
        <w:t xml:space="preserve">is available at </w:t>
      </w:r>
      <w:hyperlink r:id="rId8" w:history="1">
        <w:r w:rsidRPr="00065C1F">
          <w:rPr>
            <w:rStyle w:val="Link-Internal"/>
          </w:rPr>
          <w:t>ato.gov.au/</w:t>
        </w:r>
        <w:proofErr w:type="spellStart"/>
        <w:r w:rsidRPr="00065C1F">
          <w:rPr>
            <w:rStyle w:val="Link-Internal"/>
          </w:rPr>
          <w:t>dmprotocols</w:t>
        </w:r>
        <w:proofErr w:type="spellEnd"/>
      </w:hyperlink>
      <w:r w:rsidRPr="00065C1F">
        <w:t>.</w:t>
      </w:r>
    </w:p>
    <w:p w:rsidR="000F32E1" w:rsidRPr="00065C1F" w:rsidRDefault="000F32E1" w:rsidP="000F32E1">
      <w:r w:rsidRPr="00901525">
        <w:t xml:space="preserve">This program follows the Office of the Australian Information Commissioner’s </w:t>
      </w:r>
      <w:r w:rsidRPr="00065C1F">
        <w:rPr>
          <w:rStyle w:val="StyleItalic"/>
        </w:rPr>
        <w:t>Guidelines on data matching in Australian Government administration</w:t>
      </w:r>
      <w:r w:rsidRPr="00065C1F">
        <w:t xml:space="preserve"> (2014) (the guidelines). The guidelines include standards for the use data-matching as an administrative tool in a way that complies with the Australian Privacy Principles (APPs) and the </w:t>
      </w:r>
      <w:r w:rsidRPr="00065C1F">
        <w:rPr>
          <w:rStyle w:val="StyleItalic"/>
        </w:rPr>
        <w:t xml:space="preserve">Privacy Act 1988 </w:t>
      </w:r>
      <w:r w:rsidRPr="00065C1F">
        <w:t>(Privacy Act) and are consistent with good privacy practice.</w:t>
      </w:r>
    </w:p>
    <w:p w:rsidR="004B2753" w:rsidRPr="00424B97" w:rsidRDefault="000F32E1" w:rsidP="000F32E1">
      <w:r w:rsidRPr="001C183C">
        <w:t xml:space="preserve">A full copy of the ATO’s privacy policy can be accessed at </w:t>
      </w:r>
      <w:hyperlink r:id="rId9" w:history="1">
        <w:r w:rsidRPr="00065C1F">
          <w:rPr>
            <w:rStyle w:val="Link-Internal"/>
          </w:rPr>
          <w:t>ato.gov.au/privacy</w:t>
        </w:r>
      </w:hyperlink>
      <w:r w:rsidRPr="00065C1F">
        <w:t>.</w:t>
      </w:r>
      <w:bookmarkStart w:id="0" w:name="_GoBack"/>
      <w:bookmarkEnd w:id="0"/>
    </w:p>
    <w:sectPr w:rsidR="004B2753" w:rsidRPr="00424B97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sz w:val="12"/>
            </w:rPr>
          </w:pPr>
          <w:bookmarkStart w:id="1" w:name="OLE_LINK2"/>
          <w:r>
            <w:rPr>
              <w:noProof/>
              <w:sz w:val="12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CE796A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CE796A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cs="Arial"/>
              <w:b/>
              <w:sz w:val="24"/>
            </w:rPr>
          </w:pPr>
          <w:r w:rsidRPr="00840A06">
            <w:rPr>
              <w:rFonts w:cs="Arial"/>
              <w:b/>
              <w:sz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5D48"/>
    <w:multiLevelType w:val="multilevel"/>
    <w:tmpl w:val="F8F8EC02"/>
    <w:name w:val="BulletedList"/>
    <w:lvl w:ilvl="0">
      <w:start w:val="1"/>
      <w:numFmt w:val="bullet"/>
      <w:pStyle w:val="Bulletedlist1"/>
      <w:lvlText w:val="■"/>
      <w:lvlJc w:val="left"/>
      <w:pPr>
        <w:ind w:left="425" w:hanging="425"/>
      </w:pPr>
      <w:rPr>
        <w:rFonts w:ascii="Arial" w:hAnsi="Arial" w:hint="default"/>
        <w:color w:val="C0C0C0"/>
      </w:rPr>
    </w:lvl>
    <w:lvl w:ilvl="1">
      <w:start w:val="1"/>
      <w:numFmt w:val="bullet"/>
      <w:pStyle w:val="Bulletedlist2"/>
      <w:lvlText w:val="–"/>
      <w:lvlJc w:val="left"/>
      <w:pPr>
        <w:ind w:left="851" w:hanging="426"/>
      </w:pPr>
      <w:rPr>
        <w:rFonts w:ascii="Calibri" w:hAnsi="Calibri" w:hint="default"/>
      </w:rPr>
    </w:lvl>
    <w:lvl w:ilvl="2">
      <w:start w:val="1"/>
      <w:numFmt w:val="bullet"/>
      <w:pStyle w:val="Bulletedlist3"/>
      <w:lvlText w:val="o"/>
      <w:lvlJc w:val="left"/>
      <w:pPr>
        <w:ind w:left="1276" w:hanging="425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9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E1F2B"/>
    <w:rsid w:val="000F32E1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73BD3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32E1"/>
    <w:pPr>
      <w:spacing w:before="200"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0F32E1"/>
    <w:pPr>
      <w:keepNext/>
      <w:spacing w:before="280"/>
      <w:outlineLvl w:val="2"/>
    </w:pPr>
    <w:rPr>
      <w:rFonts w:cs="Arial"/>
      <w:sz w:val="30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3Char">
    <w:name w:val="Heading 3 Char"/>
    <w:basedOn w:val="DefaultParagraphFont"/>
    <w:link w:val="Heading3"/>
    <w:rsid w:val="000F32E1"/>
    <w:rPr>
      <w:rFonts w:ascii="Arial" w:eastAsia="Times New Roman" w:hAnsi="Arial" w:cs="Arial"/>
      <w:sz w:val="30"/>
      <w:szCs w:val="35"/>
      <w:lang w:eastAsia="en-AU"/>
    </w:rPr>
  </w:style>
  <w:style w:type="character" w:customStyle="1" w:styleId="StyleBold">
    <w:name w:val="Style Bold"/>
    <w:basedOn w:val="DefaultParagraphFont"/>
    <w:rsid w:val="000F32E1"/>
    <w:rPr>
      <w:b/>
      <w:bCs/>
    </w:rPr>
  </w:style>
  <w:style w:type="character" w:customStyle="1" w:styleId="StyleItalic">
    <w:name w:val="Style Italic"/>
    <w:basedOn w:val="DefaultParagraphFont"/>
    <w:rsid w:val="000F32E1"/>
    <w:rPr>
      <w:i/>
      <w:iCs/>
    </w:rPr>
  </w:style>
  <w:style w:type="character" w:styleId="Hyperlink">
    <w:name w:val="Hyperlink"/>
    <w:basedOn w:val="DefaultParagraphFont"/>
    <w:unhideWhenUsed/>
    <w:rsid w:val="000F32E1"/>
    <w:rPr>
      <w:color w:val="0000FF"/>
      <w:u w:val="single"/>
    </w:rPr>
  </w:style>
  <w:style w:type="character" w:customStyle="1" w:styleId="Link-Internal">
    <w:name w:val="Link - Internal"/>
    <w:basedOn w:val="DefaultParagraphFont"/>
    <w:rsid w:val="000F32E1"/>
    <w:rPr>
      <w:color w:val="0000FF"/>
      <w:u w:val="single"/>
      <w:bdr w:val="none" w:sz="0" w:space="0" w:color="auto"/>
      <w:shd w:val="clear" w:color="auto" w:fill="FFCCFF"/>
    </w:rPr>
  </w:style>
  <w:style w:type="paragraph" w:customStyle="1" w:styleId="Bulletedlist1">
    <w:name w:val="Bulleted list 1"/>
    <w:basedOn w:val="Normal"/>
    <w:qFormat/>
    <w:rsid w:val="000F32E1"/>
    <w:pPr>
      <w:numPr>
        <w:numId w:val="1"/>
      </w:numPr>
    </w:pPr>
  </w:style>
  <w:style w:type="paragraph" w:customStyle="1" w:styleId="Bulletedlist2">
    <w:name w:val="Bulleted list 2"/>
    <w:basedOn w:val="Bulletedlist1"/>
    <w:qFormat/>
    <w:rsid w:val="000F32E1"/>
    <w:pPr>
      <w:numPr>
        <w:ilvl w:val="1"/>
      </w:numPr>
    </w:pPr>
  </w:style>
  <w:style w:type="paragraph" w:customStyle="1" w:styleId="Bulletedlist3">
    <w:name w:val="Bulleted list 3"/>
    <w:basedOn w:val="Bulletedlist1"/>
    <w:qFormat/>
    <w:rsid w:val="000F32E1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o.gov.au/general/gen/data-matching-protocol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to.gov.au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B5FA-5137-46B6-9413-8A42F7BC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2020-11-24T02:45:00Z</dcterms:created>
  <dcterms:modified xsi:type="dcterms:W3CDTF">2020-11-24T02:46:00Z</dcterms:modified>
  <cp:category/>
  <cp:contentStatus/>
  <dc:language/>
  <cp:version/>
</cp:coreProperties>
</file>