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A24AB5" w:rsidRPr="00A24AB5" w14:paraId="2ABA8463" w14:textId="77777777" w:rsidTr="00A24AB5">
        <w:tc>
          <w:tcPr>
            <w:tcW w:w="1134" w:type="dxa"/>
          </w:tcPr>
          <w:p w14:paraId="47C24DCD" w14:textId="77777777" w:rsidR="001F00D2" w:rsidRPr="00A24AB5" w:rsidRDefault="001F00D2" w:rsidP="00A24AB5">
            <w:pPr>
              <w:spacing w:line="276" w:lineRule="auto"/>
              <w:rPr>
                <w:rFonts w:asciiTheme="minorHAnsi" w:hAnsiTheme="minorHAnsi"/>
                <w:b/>
                <w:sz w:val="16"/>
                <w:szCs w:val="16"/>
              </w:rPr>
            </w:pPr>
            <w:r w:rsidRPr="00A24AB5">
              <w:rPr>
                <w:rFonts w:asciiTheme="minorHAnsi" w:hAnsiTheme="minorHAnsi"/>
                <w:b/>
                <w:sz w:val="16"/>
                <w:szCs w:val="16"/>
              </w:rPr>
              <w:t>Reference</w:t>
            </w:r>
          </w:p>
        </w:tc>
        <w:tc>
          <w:tcPr>
            <w:tcW w:w="3828" w:type="dxa"/>
          </w:tcPr>
          <w:p w14:paraId="042F914F" w14:textId="77777777" w:rsidR="001F00D2" w:rsidRPr="00A24AB5" w:rsidRDefault="001F00D2" w:rsidP="00A24AB5">
            <w:pPr>
              <w:spacing w:line="276" w:lineRule="auto"/>
              <w:rPr>
                <w:rFonts w:asciiTheme="minorHAnsi" w:hAnsiTheme="minorHAnsi"/>
                <w:b/>
                <w:sz w:val="16"/>
                <w:szCs w:val="16"/>
              </w:rPr>
            </w:pPr>
            <w:r w:rsidRPr="00A24AB5">
              <w:rPr>
                <w:rFonts w:asciiTheme="minorHAnsi" w:hAnsiTheme="minorHAnsi"/>
                <w:b/>
                <w:sz w:val="16"/>
                <w:szCs w:val="16"/>
              </w:rPr>
              <w:t>Title</w:t>
            </w:r>
          </w:p>
        </w:tc>
        <w:tc>
          <w:tcPr>
            <w:tcW w:w="3685" w:type="dxa"/>
          </w:tcPr>
          <w:p w14:paraId="2FE64364" w14:textId="77777777" w:rsidR="001F00D2" w:rsidRPr="00A24AB5" w:rsidRDefault="001F00D2" w:rsidP="00A24AB5">
            <w:pPr>
              <w:spacing w:line="276" w:lineRule="auto"/>
              <w:rPr>
                <w:rFonts w:asciiTheme="minorHAnsi" w:hAnsiTheme="minorHAnsi"/>
                <w:b/>
                <w:sz w:val="16"/>
                <w:szCs w:val="16"/>
              </w:rPr>
            </w:pPr>
            <w:r w:rsidRPr="00A24AB5">
              <w:rPr>
                <w:rFonts w:asciiTheme="minorHAnsi" w:hAnsiTheme="minorHAnsi"/>
                <w:b/>
                <w:sz w:val="16"/>
                <w:szCs w:val="16"/>
              </w:rPr>
              <w:t>Controlling Provisions</w:t>
            </w:r>
          </w:p>
        </w:tc>
        <w:tc>
          <w:tcPr>
            <w:tcW w:w="992" w:type="dxa"/>
          </w:tcPr>
          <w:p w14:paraId="2FB415F1" w14:textId="77777777" w:rsidR="001F00D2" w:rsidRPr="00A24AB5" w:rsidRDefault="001F00D2" w:rsidP="00A24AB5">
            <w:pPr>
              <w:spacing w:line="276" w:lineRule="auto"/>
              <w:rPr>
                <w:rFonts w:asciiTheme="minorHAnsi" w:hAnsiTheme="minorHAnsi"/>
                <w:b/>
                <w:sz w:val="16"/>
                <w:szCs w:val="16"/>
              </w:rPr>
            </w:pPr>
            <w:r w:rsidRPr="00A24AB5">
              <w:rPr>
                <w:rFonts w:asciiTheme="minorHAnsi" w:hAnsiTheme="minorHAnsi"/>
                <w:b/>
                <w:sz w:val="16"/>
                <w:szCs w:val="16"/>
              </w:rPr>
              <w:t>Date</w:t>
            </w:r>
          </w:p>
        </w:tc>
      </w:tr>
      <w:tr w:rsidR="00A24AB5" w:rsidRPr="00A24AB5" w14:paraId="0EEA053A" w14:textId="77777777" w:rsidTr="00A24AB5">
        <w:tc>
          <w:tcPr>
            <w:tcW w:w="1134" w:type="dxa"/>
          </w:tcPr>
          <w:p w14:paraId="52320C17" w14:textId="5F75A411"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2020/8765</w:t>
            </w:r>
          </w:p>
        </w:tc>
        <w:tc>
          <w:tcPr>
            <w:tcW w:w="3828" w:type="dxa"/>
          </w:tcPr>
          <w:p w14:paraId="6506B442" w14:textId="0DC0256C"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Lower Murray Urban and Rural Water Corporation</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Water Management and Use</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Murray-Sunset National Park, Old Mail Road, near Mildura</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Victoria</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Lindsay Island Floodplain Restoration Project, VIC</w:t>
            </w:r>
          </w:p>
        </w:tc>
        <w:tc>
          <w:tcPr>
            <w:tcW w:w="3685" w:type="dxa"/>
          </w:tcPr>
          <w:p w14:paraId="4FBA2434" w14:textId="77777777" w:rsidR="00A24AB5" w:rsidRPr="00A24AB5" w:rsidRDefault="00A24AB5" w:rsidP="00A24AB5">
            <w:pPr>
              <w:pStyle w:val="ListParagraph"/>
              <w:numPr>
                <w:ilvl w:val="0"/>
                <w:numId w:val="2"/>
              </w:numPr>
              <w:ind w:left="175" w:hanging="142"/>
              <w:rPr>
                <w:rFonts w:ascii="Calibri" w:hAnsi="Calibri" w:cs="Arial"/>
                <w:sz w:val="16"/>
                <w:szCs w:val="16"/>
              </w:rPr>
            </w:pPr>
            <w:r w:rsidRPr="00A24AB5">
              <w:rPr>
                <w:rFonts w:ascii="Calibri" w:hAnsi="Calibri" w:cs="Arial"/>
                <w:sz w:val="16"/>
                <w:szCs w:val="16"/>
              </w:rPr>
              <w:t>Wetlands of international importance (sections 16 &amp; 17B)</w:t>
            </w:r>
          </w:p>
          <w:p w14:paraId="4D3E2304" w14:textId="41369B21" w:rsidR="00A24AB5" w:rsidRPr="00A24AB5" w:rsidRDefault="00A24AB5" w:rsidP="00A24AB5">
            <w:pPr>
              <w:pStyle w:val="ListParagraph"/>
              <w:numPr>
                <w:ilvl w:val="0"/>
                <w:numId w:val="2"/>
              </w:numPr>
              <w:ind w:left="175" w:hanging="142"/>
              <w:rPr>
                <w:rFonts w:ascii="Calibri" w:hAnsi="Calibri" w:cs="Arial"/>
                <w:sz w:val="16"/>
                <w:szCs w:val="16"/>
              </w:rPr>
            </w:pPr>
            <w:r w:rsidRPr="00A24AB5">
              <w:rPr>
                <w:rFonts w:ascii="Calibri" w:hAnsi="Calibri" w:cs="Arial"/>
                <w:sz w:val="16"/>
                <w:szCs w:val="16"/>
              </w:rPr>
              <w:t>Listed threatened species and communities (sections 18 &amp; 18A)</w:t>
            </w:r>
          </w:p>
        </w:tc>
        <w:tc>
          <w:tcPr>
            <w:tcW w:w="992" w:type="dxa"/>
          </w:tcPr>
          <w:p w14:paraId="63D21E87" w14:textId="6D4DDB32"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7/10/2020</w:t>
            </w:r>
          </w:p>
        </w:tc>
      </w:tr>
      <w:tr w:rsidR="00A24AB5" w:rsidRPr="00A24AB5" w14:paraId="6EF34151" w14:textId="77777777" w:rsidTr="00A24AB5">
        <w:tc>
          <w:tcPr>
            <w:tcW w:w="1134" w:type="dxa"/>
          </w:tcPr>
          <w:p w14:paraId="42D72FED" w14:textId="5EDEEC65"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2020/8772</w:t>
            </w:r>
          </w:p>
        </w:tc>
        <w:tc>
          <w:tcPr>
            <w:tcW w:w="3828" w:type="dxa"/>
          </w:tcPr>
          <w:p w14:paraId="5456773B" w14:textId="5B6B9490" w:rsidR="00A24AB5" w:rsidRPr="00A24AB5" w:rsidRDefault="00A24AB5" w:rsidP="00A24AB5">
            <w:pPr>
              <w:spacing w:line="276" w:lineRule="auto"/>
              <w:rPr>
                <w:rFonts w:ascii="Calibri" w:hAnsi="Calibri" w:cs="Arial"/>
                <w:sz w:val="16"/>
                <w:szCs w:val="16"/>
              </w:rPr>
            </w:pPr>
            <w:proofErr w:type="spellStart"/>
            <w:r w:rsidRPr="00A24AB5">
              <w:rPr>
                <w:rFonts w:ascii="Calibri" w:hAnsi="Calibri" w:cs="Calibri"/>
                <w:sz w:val="16"/>
                <w:szCs w:val="16"/>
              </w:rPr>
              <w:t>Epuron</w:t>
            </w:r>
            <w:proofErr w:type="spellEnd"/>
            <w:r w:rsidRPr="00A24AB5">
              <w:rPr>
                <w:rFonts w:ascii="Calibri" w:hAnsi="Calibri" w:cs="Calibri"/>
                <w:sz w:val="16"/>
                <w:szCs w:val="16"/>
              </w:rPr>
              <w:t xml:space="preserve"> Projects Pty Ltd</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Energy Generation and Supply (renewable)</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between Mount Morgan and Westwood</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Queensland</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Boulder Creek Wind Farm</w:t>
            </w:r>
          </w:p>
        </w:tc>
        <w:tc>
          <w:tcPr>
            <w:tcW w:w="3685" w:type="dxa"/>
          </w:tcPr>
          <w:p w14:paraId="63E47B68" w14:textId="77777777" w:rsidR="00A24AB5" w:rsidRPr="00A24AB5" w:rsidRDefault="00A24AB5" w:rsidP="00A24AB5">
            <w:pPr>
              <w:pStyle w:val="ListParagraph"/>
              <w:numPr>
                <w:ilvl w:val="0"/>
                <w:numId w:val="2"/>
              </w:numPr>
              <w:ind w:left="175" w:hanging="142"/>
              <w:rPr>
                <w:rFonts w:ascii="Calibri" w:hAnsi="Calibri" w:cs="Arial"/>
                <w:sz w:val="16"/>
                <w:szCs w:val="16"/>
              </w:rPr>
            </w:pPr>
            <w:r w:rsidRPr="00A24AB5">
              <w:rPr>
                <w:rFonts w:ascii="Calibri" w:hAnsi="Calibri" w:cs="Arial"/>
                <w:sz w:val="16"/>
                <w:szCs w:val="16"/>
              </w:rPr>
              <w:t>Listed threatened species and communities (sections 18 &amp; 18A)</w:t>
            </w:r>
          </w:p>
          <w:p w14:paraId="1428EE00" w14:textId="186AF62B" w:rsidR="00A24AB5" w:rsidRPr="00A24AB5" w:rsidRDefault="00A24AB5" w:rsidP="00A24AB5">
            <w:pPr>
              <w:pStyle w:val="ListParagraph"/>
              <w:numPr>
                <w:ilvl w:val="0"/>
                <w:numId w:val="2"/>
              </w:numPr>
              <w:ind w:left="175" w:hanging="142"/>
              <w:rPr>
                <w:rFonts w:ascii="Calibri" w:hAnsi="Calibri" w:cs="Arial"/>
                <w:sz w:val="16"/>
                <w:szCs w:val="16"/>
              </w:rPr>
            </w:pPr>
            <w:r w:rsidRPr="00A24AB5">
              <w:rPr>
                <w:rFonts w:ascii="Calibri" w:hAnsi="Calibri" w:cs="Arial"/>
                <w:sz w:val="16"/>
                <w:szCs w:val="16"/>
              </w:rPr>
              <w:t>Listed migratory species (sections 20 &amp; 20A)</w:t>
            </w:r>
          </w:p>
        </w:tc>
        <w:tc>
          <w:tcPr>
            <w:tcW w:w="992" w:type="dxa"/>
          </w:tcPr>
          <w:p w14:paraId="013F2822" w14:textId="22907F1D"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9/10/2020</w:t>
            </w:r>
          </w:p>
        </w:tc>
      </w:tr>
      <w:tr w:rsidR="00A24AB5" w:rsidRPr="00A24AB5" w14:paraId="38D241E2" w14:textId="77777777" w:rsidTr="00A24AB5">
        <w:tc>
          <w:tcPr>
            <w:tcW w:w="1134" w:type="dxa"/>
          </w:tcPr>
          <w:p w14:paraId="051DBDA3" w14:textId="1C69304A"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2020/8764</w:t>
            </w:r>
          </w:p>
        </w:tc>
        <w:tc>
          <w:tcPr>
            <w:tcW w:w="3828" w:type="dxa"/>
          </w:tcPr>
          <w:p w14:paraId="6100C2F2" w14:textId="7ADBF2C2"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The Public Transport Authority of Western Australia</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 xml:space="preserve">Transport </w:t>
            </w:r>
            <w:r>
              <w:rPr>
                <w:rFonts w:ascii="Calibri" w:hAnsi="Calibri" w:cs="Calibri"/>
                <w:sz w:val="16"/>
                <w:szCs w:val="16"/>
              </w:rPr>
              <w:t>–</w:t>
            </w:r>
            <w:r w:rsidRPr="00A24AB5">
              <w:rPr>
                <w:rFonts w:ascii="Calibri" w:hAnsi="Calibri" w:cs="Calibri"/>
                <w:sz w:val="16"/>
                <w:szCs w:val="16"/>
              </w:rPr>
              <w:t xml:space="preserve"> Land</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26km south-east of Perth, between Armadale and Byford</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Western Australia</w:t>
            </w:r>
            <w:r>
              <w:rPr>
                <w:rFonts w:ascii="Calibri" w:hAnsi="Calibri" w:cs="Calibri"/>
                <w:sz w:val="16"/>
                <w:szCs w:val="16"/>
              </w:rPr>
              <w:t xml:space="preserve"> </w:t>
            </w:r>
            <w:r w:rsidRPr="00A24AB5">
              <w:rPr>
                <w:rFonts w:ascii="Calibri" w:hAnsi="Calibri" w:cs="Calibri"/>
                <w:sz w:val="16"/>
                <w:szCs w:val="16"/>
              </w:rPr>
              <w:t>/</w:t>
            </w:r>
            <w:r>
              <w:rPr>
                <w:rFonts w:ascii="Calibri" w:hAnsi="Calibri" w:cs="Calibri"/>
                <w:sz w:val="16"/>
                <w:szCs w:val="16"/>
              </w:rPr>
              <w:t xml:space="preserve"> </w:t>
            </w:r>
            <w:r w:rsidRPr="00A24AB5">
              <w:rPr>
                <w:rFonts w:ascii="Calibri" w:hAnsi="Calibri" w:cs="Calibri"/>
                <w:sz w:val="16"/>
                <w:szCs w:val="16"/>
              </w:rPr>
              <w:t>Byford Rail Extension, Byford, WA</w:t>
            </w:r>
          </w:p>
        </w:tc>
        <w:tc>
          <w:tcPr>
            <w:tcW w:w="3685" w:type="dxa"/>
          </w:tcPr>
          <w:p w14:paraId="7543A89C" w14:textId="5530E0F7" w:rsidR="00A24AB5" w:rsidRPr="00A24AB5" w:rsidRDefault="00A24AB5" w:rsidP="00A24AB5">
            <w:pPr>
              <w:pStyle w:val="ListParagraph"/>
              <w:numPr>
                <w:ilvl w:val="0"/>
                <w:numId w:val="2"/>
              </w:numPr>
              <w:ind w:left="175" w:hanging="142"/>
              <w:rPr>
                <w:rFonts w:ascii="Calibri" w:hAnsi="Calibri" w:cs="Arial"/>
                <w:sz w:val="16"/>
                <w:szCs w:val="16"/>
              </w:rPr>
            </w:pPr>
            <w:r w:rsidRPr="00A24AB5">
              <w:rPr>
                <w:rFonts w:ascii="Calibri" w:hAnsi="Calibri" w:cs="Arial"/>
                <w:sz w:val="16"/>
                <w:szCs w:val="16"/>
              </w:rPr>
              <w:t>Listed threatened species and communities (sections 18 &amp; 18A)</w:t>
            </w:r>
          </w:p>
        </w:tc>
        <w:tc>
          <w:tcPr>
            <w:tcW w:w="992" w:type="dxa"/>
          </w:tcPr>
          <w:p w14:paraId="3FA85BB0" w14:textId="2C7FD21B" w:rsidR="00A24AB5" w:rsidRPr="00A24AB5" w:rsidRDefault="00A24AB5" w:rsidP="00A24AB5">
            <w:pPr>
              <w:spacing w:line="276" w:lineRule="auto"/>
              <w:rPr>
                <w:rFonts w:ascii="Calibri" w:hAnsi="Calibri" w:cs="Arial"/>
                <w:sz w:val="16"/>
                <w:szCs w:val="16"/>
              </w:rPr>
            </w:pPr>
            <w:r w:rsidRPr="00A24AB5">
              <w:rPr>
                <w:rFonts w:ascii="Calibri" w:hAnsi="Calibri" w:cs="Calibri"/>
                <w:sz w:val="16"/>
                <w:szCs w:val="16"/>
              </w:rPr>
              <w:t>12/10/2020</w:t>
            </w:r>
          </w:p>
        </w:tc>
      </w:tr>
    </w:tbl>
    <w:p w14:paraId="49D459B9" w14:textId="77777777" w:rsidR="001F00D2" w:rsidRPr="002C4F3F" w:rsidRDefault="001F00D2" w:rsidP="001F00D2">
      <w:pPr>
        <w:spacing w:after="0"/>
        <w:rPr>
          <w:caps/>
          <w:szCs w:val="16"/>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A24AB5">
        <w:tc>
          <w:tcPr>
            <w:tcW w:w="1134" w:type="dxa"/>
          </w:tcPr>
          <w:p w14:paraId="13FD46D3"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Date</w:t>
            </w:r>
          </w:p>
        </w:tc>
      </w:tr>
      <w:tr w:rsidR="00A24AB5" w:rsidRPr="0059089C" w14:paraId="6FEE7CBA" w14:textId="77777777" w:rsidTr="00A24AB5">
        <w:tc>
          <w:tcPr>
            <w:tcW w:w="1134" w:type="dxa"/>
          </w:tcPr>
          <w:p w14:paraId="673B3002" w14:textId="06C08A21"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2020/8772</w:t>
            </w:r>
          </w:p>
        </w:tc>
        <w:tc>
          <w:tcPr>
            <w:tcW w:w="5387" w:type="dxa"/>
          </w:tcPr>
          <w:p w14:paraId="64ADBD14" w14:textId="237FD88D" w:rsidR="00A24AB5" w:rsidRDefault="00A24AB5" w:rsidP="00A24AB5">
            <w:pPr>
              <w:spacing w:line="276" w:lineRule="auto"/>
              <w:rPr>
                <w:rFonts w:ascii="Calibri" w:hAnsi="Calibri" w:cs="Arial"/>
                <w:color w:val="000000"/>
                <w:sz w:val="16"/>
                <w:szCs w:val="16"/>
              </w:rPr>
            </w:pPr>
            <w:proofErr w:type="spellStart"/>
            <w:r>
              <w:rPr>
                <w:rFonts w:ascii="Calibri" w:hAnsi="Calibri" w:cs="Calibri"/>
                <w:color w:val="000000"/>
                <w:sz w:val="16"/>
                <w:szCs w:val="16"/>
              </w:rPr>
              <w:t>Epuron</w:t>
            </w:r>
            <w:proofErr w:type="spellEnd"/>
            <w:r>
              <w:rPr>
                <w:rFonts w:ascii="Calibri" w:hAnsi="Calibri" w:cs="Calibri"/>
                <w:color w:val="000000"/>
                <w:sz w:val="16"/>
                <w:szCs w:val="16"/>
              </w:rPr>
              <w:t xml:space="preserve"> Projects Pty Ltd/Energy Generation and Supply (renewable)/between Mount Morgan and Westwood/Queensland/Boulder Creek Wind Farm</w:t>
            </w:r>
          </w:p>
        </w:tc>
        <w:tc>
          <w:tcPr>
            <w:tcW w:w="2126" w:type="dxa"/>
          </w:tcPr>
          <w:p w14:paraId="783B87DF" w14:textId="4F3346B6"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66EA5360"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9/10/2020</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A24AB5">
        <w:tc>
          <w:tcPr>
            <w:tcW w:w="1134" w:type="dxa"/>
          </w:tcPr>
          <w:p w14:paraId="47CB2413"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Date</w:t>
            </w:r>
          </w:p>
        </w:tc>
      </w:tr>
      <w:tr w:rsidR="00A24AB5" w:rsidRPr="0059089C" w14:paraId="763A2DF9" w14:textId="77777777" w:rsidTr="00A24AB5">
        <w:tc>
          <w:tcPr>
            <w:tcW w:w="1134" w:type="dxa"/>
          </w:tcPr>
          <w:p w14:paraId="0B710B10" w14:textId="1487F810"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2015/7438</w:t>
            </w:r>
          </w:p>
        </w:tc>
        <w:tc>
          <w:tcPr>
            <w:tcW w:w="5387" w:type="dxa"/>
          </w:tcPr>
          <w:p w14:paraId="0AC212B6" w14:textId="375BDFCA"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Hanson Construction Materials Pty Ltd / Mining / Kwinana / Western Australia / Sand Mining 70 / 915 Banksia Road, Wellard, WA</w:t>
            </w:r>
          </w:p>
        </w:tc>
        <w:tc>
          <w:tcPr>
            <w:tcW w:w="2126" w:type="dxa"/>
          </w:tcPr>
          <w:p w14:paraId="52547A30" w14:textId="7D2C8BEE"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08BBBF05"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3/06/2020</w:t>
            </w:r>
          </w:p>
        </w:tc>
      </w:tr>
    </w:tbl>
    <w:p w14:paraId="3102AC0F" w14:textId="77777777" w:rsidR="001F00D2" w:rsidRPr="002C4F3F" w:rsidRDefault="001F00D2" w:rsidP="001F00D2">
      <w:pPr>
        <w:spacing w:after="0"/>
        <w:rPr>
          <w:szCs w:val="16"/>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A24AB5">
        <w:tc>
          <w:tcPr>
            <w:tcW w:w="1134" w:type="dxa"/>
          </w:tcPr>
          <w:p w14:paraId="2D5167C7" w14:textId="77777777" w:rsidR="001F00D2" w:rsidRPr="0059089C" w:rsidRDefault="001F00D2" w:rsidP="00A24AB5">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Date</w:t>
            </w:r>
          </w:p>
        </w:tc>
      </w:tr>
      <w:tr w:rsidR="00A24AB5" w:rsidRPr="0059089C" w14:paraId="41D81742" w14:textId="77777777" w:rsidTr="00A24AB5">
        <w:tc>
          <w:tcPr>
            <w:tcW w:w="1134" w:type="dxa"/>
          </w:tcPr>
          <w:p w14:paraId="302615EB" w14:textId="35BA2C58"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2011/5987</w:t>
            </w:r>
          </w:p>
        </w:tc>
        <w:tc>
          <w:tcPr>
            <w:tcW w:w="7513" w:type="dxa"/>
          </w:tcPr>
          <w:p w14:paraId="4023B655" w14:textId="52A38392"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STOCKLAND DEVELOPMENT PTY LTD / Residential Development / Sunshine Coast / Queensland / Caloundra South Master Planned Community</w:t>
            </w:r>
          </w:p>
        </w:tc>
        <w:tc>
          <w:tcPr>
            <w:tcW w:w="992" w:type="dxa"/>
          </w:tcPr>
          <w:p w14:paraId="3516AC2D" w14:textId="35D747A3"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3/06/2020</w:t>
            </w:r>
          </w:p>
        </w:tc>
      </w:tr>
      <w:tr w:rsidR="00A24AB5" w:rsidRPr="0059089C" w14:paraId="7F9E9803" w14:textId="77777777" w:rsidTr="00A24AB5">
        <w:tc>
          <w:tcPr>
            <w:tcW w:w="1134" w:type="dxa"/>
          </w:tcPr>
          <w:p w14:paraId="1A0121CF" w14:textId="4515D997"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2014/7164</w:t>
            </w:r>
          </w:p>
        </w:tc>
        <w:tc>
          <w:tcPr>
            <w:tcW w:w="7513" w:type="dxa"/>
          </w:tcPr>
          <w:p w14:paraId="387ACC14" w14:textId="2E46A3D9"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 xml:space="preserve">HOVEY PROPERTY PTY LTD / Mining / Lot 122 Old Coast Road, Parkfield, </w:t>
            </w:r>
            <w:proofErr w:type="spellStart"/>
            <w:r>
              <w:rPr>
                <w:rFonts w:ascii="Calibri" w:hAnsi="Calibri" w:cs="Calibri"/>
                <w:color w:val="000000"/>
                <w:sz w:val="16"/>
                <w:szCs w:val="16"/>
              </w:rPr>
              <w:t>Binningup</w:t>
            </w:r>
            <w:proofErr w:type="spellEnd"/>
            <w:r>
              <w:rPr>
                <w:rFonts w:ascii="Calibri" w:hAnsi="Calibri" w:cs="Calibri"/>
                <w:color w:val="000000"/>
                <w:sz w:val="16"/>
                <w:szCs w:val="16"/>
              </w:rPr>
              <w:t xml:space="preserve"> / Western Australia / Sand Mine, Lot 122 Old Coast Road, Parkfield, </w:t>
            </w:r>
            <w:proofErr w:type="spellStart"/>
            <w:r>
              <w:rPr>
                <w:rFonts w:ascii="Calibri" w:hAnsi="Calibri" w:cs="Calibri"/>
                <w:color w:val="000000"/>
                <w:sz w:val="16"/>
                <w:szCs w:val="16"/>
              </w:rPr>
              <w:t>Binningup</w:t>
            </w:r>
            <w:proofErr w:type="spellEnd"/>
            <w:r>
              <w:rPr>
                <w:rFonts w:ascii="Calibri" w:hAnsi="Calibri" w:cs="Calibri"/>
                <w:color w:val="000000"/>
                <w:sz w:val="16"/>
                <w:szCs w:val="16"/>
              </w:rPr>
              <w:t>, WA</w:t>
            </w:r>
          </w:p>
        </w:tc>
        <w:tc>
          <w:tcPr>
            <w:tcW w:w="992" w:type="dxa"/>
          </w:tcPr>
          <w:p w14:paraId="59F3F8DA" w14:textId="1EE41AAC"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29/07/2020</w:t>
            </w:r>
          </w:p>
        </w:tc>
      </w:tr>
      <w:bookmarkEnd w:id="1"/>
    </w:tbl>
    <w:p w14:paraId="023A9C9C" w14:textId="77777777" w:rsidR="001F00D2" w:rsidRPr="004021AD" w:rsidRDefault="001F00D2" w:rsidP="001F00D2">
      <w:pPr>
        <w:spacing w:after="0"/>
        <w:rPr>
          <w:szCs w:val="16"/>
        </w:rPr>
      </w:pPr>
    </w:p>
    <w:p w14:paraId="1D96C758" w14:textId="77777777" w:rsidR="001F00D2" w:rsidRPr="0059089C" w:rsidRDefault="001F00D2" w:rsidP="001F00D2">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A24AB5">
        <w:tc>
          <w:tcPr>
            <w:tcW w:w="1134" w:type="dxa"/>
          </w:tcPr>
          <w:p w14:paraId="3C6A3710"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611675D3"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A24AB5">
              <w:rPr>
                <w:rFonts w:asciiTheme="minorHAnsi" w:hAnsiTheme="minorHAnsi"/>
                <w:b/>
                <w:sz w:val="16"/>
                <w:szCs w:val="16"/>
              </w:rPr>
              <w:t>to</w:t>
            </w:r>
          </w:p>
        </w:tc>
        <w:tc>
          <w:tcPr>
            <w:tcW w:w="992" w:type="dxa"/>
          </w:tcPr>
          <w:p w14:paraId="52383794" w14:textId="77777777" w:rsidR="001F00D2" w:rsidRPr="0059089C" w:rsidRDefault="001F00D2" w:rsidP="00A24AB5">
            <w:pPr>
              <w:spacing w:line="276" w:lineRule="auto"/>
              <w:rPr>
                <w:rFonts w:asciiTheme="minorHAnsi" w:hAnsiTheme="minorHAnsi"/>
                <w:b/>
                <w:sz w:val="16"/>
                <w:szCs w:val="16"/>
              </w:rPr>
            </w:pPr>
            <w:r w:rsidRPr="0059089C">
              <w:rPr>
                <w:rFonts w:asciiTheme="minorHAnsi" w:hAnsiTheme="minorHAnsi"/>
                <w:b/>
                <w:sz w:val="16"/>
                <w:szCs w:val="16"/>
              </w:rPr>
              <w:t>Date</w:t>
            </w:r>
          </w:p>
        </w:tc>
      </w:tr>
      <w:tr w:rsidR="00A24AB5" w:rsidRPr="0059089C" w14:paraId="431AE0B0" w14:textId="77777777" w:rsidTr="00A24AB5">
        <w:tc>
          <w:tcPr>
            <w:tcW w:w="1134" w:type="dxa"/>
          </w:tcPr>
          <w:p w14:paraId="42130111" w14:textId="07904978"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2019/8539</w:t>
            </w:r>
          </w:p>
        </w:tc>
        <w:tc>
          <w:tcPr>
            <w:tcW w:w="5954" w:type="dxa"/>
          </w:tcPr>
          <w:p w14:paraId="6E1CBF6A" w14:textId="38B9E1BD"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HB DONCASTER PTY LTD / Residential Development / 357 Ripley Road, Ripley / Queensland / Ripley Roa</w:t>
            </w:r>
            <w:bookmarkStart w:id="2" w:name="_GoBack"/>
            <w:bookmarkEnd w:id="2"/>
            <w:r>
              <w:rPr>
                <w:rFonts w:ascii="Calibri" w:hAnsi="Calibri" w:cs="Calibri"/>
                <w:color w:val="000000"/>
                <w:sz w:val="16"/>
                <w:szCs w:val="16"/>
              </w:rPr>
              <w:t>d Residential Development</w:t>
            </w:r>
          </w:p>
        </w:tc>
        <w:tc>
          <w:tcPr>
            <w:tcW w:w="1559" w:type="dxa"/>
          </w:tcPr>
          <w:p w14:paraId="5FE84855" w14:textId="703A2E22" w:rsidR="00A24AB5" w:rsidRDefault="00A24AB5" w:rsidP="00A24AB5">
            <w:pPr>
              <w:spacing w:line="276" w:lineRule="auto"/>
              <w:rPr>
                <w:rFonts w:ascii="Calibri" w:hAnsi="Calibri" w:cs="Arial"/>
                <w:color w:val="000000"/>
                <w:sz w:val="16"/>
                <w:szCs w:val="16"/>
              </w:rPr>
            </w:pPr>
            <w:r>
              <w:rPr>
                <w:rFonts w:ascii="Calibri" w:hAnsi="Calibri" w:cs="Arial"/>
                <w:color w:val="000000"/>
                <w:sz w:val="16"/>
                <w:szCs w:val="16"/>
              </w:rPr>
              <w:t>2/11/2020</w:t>
            </w:r>
          </w:p>
        </w:tc>
        <w:tc>
          <w:tcPr>
            <w:tcW w:w="992" w:type="dxa"/>
          </w:tcPr>
          <w:p w14:paraId="6D2BC469" w14:textId="50286533" w:rsidR="00A24AB5" w:rsidRDefault="00A24AB5" w:rsidP="00A24AB5">
            <w:pPr>
              <w:spacing w:line="276" w:lineRule="auto"/>
              <w:rPr>
                <w:rFonts w:ascii="Calibri" w:hAnsi="Calibri" w:cs="Arial"/>
                <w:color w:val="000000"/>
                <w:sz w:val="16"/>
                <w:szCs w:val="16"/>
              </w:rPr>
            </w:pPr>
            <w:r>
              <w:rPr>
                <w:rFonts w:ascii="Calibri" w:hAnsi="Calibri" w:cs="Calibri"/>
                <w:color w:val="000000"/>
                <w:sz w:val="16"/>
                <w:szCs w:val="16"/>
              </w:rPr>
              <w:t>8/10/2020</w:t>
            </w:r>
          </w:p>
        </w:tc>
      </w:tr>
    </w:tbl>
    <w:p w14:paraId="48CF8825" w14:textId="77777777" w:rsidR="00A24AB5" w:rsidRDefault="00A24AB5" w:rsidP="00A24AB5">
      <w:pPr>
        <w:spacing w:after="0"/>
        <w:rPr>
          <w:color w:val="000000"/>
          <w:sz w:val="18"/>
          <w:szCs w:val="18"/>
        </w:rPr>
      </w:pPr>
    </w:p>
    <w:p w14:paraId="01EC6EBD" w14:textId="3EF14421" w:rsidR="004B2753" w:rsidRPr="00A24AB5" w:rsidRDefault="001F00D2" w:rsidP="00A24AB5">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4B2753" w:rsidRPr="00A24AB5"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A00F21"/>
    <w:rsid w:val="00A24AB5"/>
    <w:rsid w:val="00B84226"/>
    <w:rsid w:val="00C63C4E"/>
    <w:rsid w:val="00C72C30"/>
    <w:rsid w:val="00D229E5"/>
    <w:rsid w:val="00D77A88"/>
    <w:rsid w:val="00DF2381"/>
    <w:rsid w:val="00E663B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fortnightly Gazette notice for publication.</DocumentDescription>
    <Function xmlns="4f01874a-75c0-48e1-8215-c6f3101fd3a7">Administration</Function>
    <RecordNumber xmlns="4f01874a-75c0-48e1-8215-c6f3101fd3a7">003429750</RecordNumber>
    <Approval xmlns="4f01874a-75c0-48e1-8215-c6f3101f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377E-93B2-44F3-A24D-C7CBCBBFA584}"/>
</file>

<file path=customXml/itemProps2.xml><?xml version="1.0" encoding="utf-8"?>
<ds:datastoreItem xmlns:ds="http://schemas.openxmlformats.org/officeDocument/2006/customXml" ds:itemID="{B43268F7-F379-49FF-9692-F60DCE35C866}"/>
</file>

<file path=customXml/itemProps3.xml><?xml version="1.0" encoding="utf-8"?>
<ds:datastoreItem xmlns:ds="http://schemas.openxmlformats.org/officeDocument/2006/customXml" ds:itemID="{817D7DDB-328F-4D93-9026-CD44042D3CDE}"/>
</file>

<file path=customXml/itemProps4.xml><?xml version="1.0" encoding="utf-8"?>
<ds:datastoreItem xmlns:ds="http://schemas.openxmlformats.org/officeDocument/2006/customXml" ds:itemID="{83D24468-C8B2-4210-AA9C-A3D032953AE8}"/>
</file>

<file path=customXml/itemProps5.xml><?xml version="1.0" encoding="utf-8"?>
<ds:datastoreItem xmlns:ds="http://schemas.openxmlformats.org/officeDocument/2006/customXml" ds:itemID="{5C585158-9645-4D95-B55F-E6ABBE0EEFFC}"/>
</file>

<file path=customXml/itemProps6.xml><?xml version="1.0" encoding="utf-8"?>
<ds:datastoreItem xmlns:ds="http://schemas.openxmlformats.org/officeDocument/2006/customXml" ds:itemID="{EA679679-C6E4-4029-9D77-BD781EF0470A}"/>
</file>

<file path=docProps/app.xml><?xml version="1.0" encoding="utf-8"?>
<Properties xmlns="http://schemas.openxmlformats.org/officeDocument/2006/extended-properties" xmlns:vt="http://schemas.openxmlformats.org/officeDocument/2006/docPropsVTypes">
  <Template>Normal.dotm</Template>
  <TotalTime>11</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Gazette-201012to201018</dc:title>
  <dc:creator>Miller, Kelli</dc:creator>
  <cp:lastModifiedBy>Allira Hunnemann-Dowson</cp:lastModifiedBy>
  <cp:revision>2</cp:revision>
  <cp:lastPrinted>2013-06-24T01:35:00Z</cp:lastPrinted>
  <dcterms:created xsi:type="dcterms:W3CDTF">2020-10-23T00:02:00Z</dcterms:created>
  <dcterms:modified xsi:type="dcterms:W3CDTF">2020-10-23T00:02:00Z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{474640dc-6133-4033-9cd1-8e22a3601bd4}</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