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CE" w:rsidRPr="00925BCE" w:rsidRDefault="00925BCE" w:rsidP="00365904">
      <w:pPr>
        <w:contextualSpacing/>
        <w:jc w:val="both"/>
        <w:rPr>
          <w:b/>
          <w:sz w:val="28"/>
          <w:szCs w:val="28"/>
        </w:rPr>
      </w:pPr>
      <w:r w:rsidRPr="00925BCE">
        <w:rPr>
          <w:b/>
          <w:sz w:val="28"/>
          <w:szCs w:val="28"/>
        </w:rPr>
        <w:t>HEAVY VEHICLE NATIONAL LAW</w:t>
      </w:r>
    </w:p>
    <w:p w:rsidR="00925BCE" w:rsidRPr="00925BCE" w:rsidRDefault="00925BCE" w:rsidP="00365904">
      <w:pPr>
        <w:contextualSpacing/>
        <w:jc w:val="both"/>
        <w:rPr>
          <w:b/>
          <w:sz w:val="28"/>
          <w:szCs w:val="28"/>
        </w:rPr>
      </w:pPr>
      <w:r w:rsidRPr="00925BCE">
        <w:rPr>
          <w:b/>
          <w:sz w:val="28"/>
          <w:szCs w:val="28"/>
        </w:rPr>
        <w:t>National Heavy Vehicle Standards (Flashing Warning Lights) Exemption Notice 2020 (No.1)</w:t>
      </w:r>
    </w:p>
    <w:p w:rsidR="00925BCE" w:rsidRPr="00925BCE" w:rsidRDefault="00925BCE" w:rsidP="00365904">
      <w:pPr>
        <w:contextualSpacing/>
        <w:jc w:val="both"/>
      </w:pPr>
    </w:p>
    <w:p w:rsidR="00925BCE" w:rsidRPr="00A71162" w:rsidRDefault="00A71162" w:rsidP="00365904">
      <w:pPr>
        <w:contextualSpacing/>
        <w:jc w:val="both"/>
        <w:rPr>
          <w:b/>
        </w:rPr>
      </w:pPr>
      <w:r>
        <w:rPr>
          <w:b/>
        </w:rPr>
        <w:t>Part 1 – Preliminary</w:t>
      </w:r>
    </w:p>
    <w:p w:rsidR="00925BCE" w:rsidRDefault="00925BCE" w:rsidP="00365904">
      <w:pPr>
        <w:pStyle w:val="ListParagraph"/>
        <w:numPr>
          <w:ilvl w:val="0"/>
          <w:numId w:val="1"/>
        </w:numPr>
        <w:jc w:val="both"/>
        <w:rPr>
          <w:b/>
        </w:rPr>
      </w:pPr>
      <w:r w:rsidRPr="00A71162">
        <w:rPr>
          <w:b/>
        </w:rPr>
        <w:t>Purpose</w:t>
      </w:r>
    </w:p>
    <w:p w:rsidR="00A71162" w:rsidRPr="00A71162" w:rsidRDefault="00A71162" w:rsidP="00365904">
      <w:pPr>
        <w:pStyle w:val="ListParagraph"/>
        <w:jc w:val="both"/>
        <w:rPr>
          <w:b/>
        </w:rPr>
      </w:pPr>
    </w:p>
    <w:p w:rsidR="00925BCE" w:rsidRDefault="00925BCE" w:rsidP="00365904">
      <w:pPr>
        <w:pStyle w:val="ListParagraph"/>
        <w:jc w:val="both"/>
      </w:pPr>
      <w:r w:rsidRPr="00925BCE">
        <w:t>The purpose of this notice is to exempt a heavy vehicle to which it applies from specific requirements of the Heavy Vehicle (Vehicle Standards) National Regulation (the National Regulation).</w:t>
      </w:r>
    </w:p>
    <w:p w:rsidR="00A71162" w:rsidRPr="00925BCE" w:rsidRDefault="00A71162" w:rsidP="00365904">
      <w:pPr>
        <w:pStyle w:val="ListParagraph"/>
        <w:jc w:val="both"/>
      </w:pPr>
    </w:p>
    <w:p w:rsidR="00925BCE" w:rsidRDefault="00925BCE" w:rsidP="00365904">
      <w:pPr>
        <w:pStyle w:val="ListParagraph"/>
        <w:numPr>
          <w:ilvl w:val="0"/>
          <w:numId w:val="1"/>
        </w:numPr>
        <w:jc w:val="both"/>
        <w:rPr>
          <w:b/>
        </w:rPr>
      </w:pPr>
      <w:r w:rsidRPr="00A71162">
        <w:rPr>
          <w:b/>
        </w:rPr>
        <w:t>Authorising Provision</w:t>
      </w:r>
    </w:p>
    <w:p w:rsidR="00A71162" w:rsidRPr="00A71162" w:rsidRDefault="00A71162" w:rsidP="00365904">
      <w:pPr>
        <w:pStyle w:val="ListParagraph"/>
        <w:jc w:val="both"/>
        <w:rPr>
          <w:b/>
        </w:rPr>
      </w:pPr>
    </w:p>
    <w:p w:rsidR="00925BCE" w:rsidRDefault="00925BCE" w:rsidP="00365904">
      <w:pPr>
        <w:pStyle w:val="ListParagraph"/>
        <w:jc w:val="both"/>
      </w:pPr>
      <w:r w:rsidRPr="00925BCE">
        <w:t xml:space="preserve">This Notice is made under section 61 of the </w:t>
      </w:r>
      <w:r w:rsidRPr="00A71162">
        <w:t>Heavy Vehicle National Law</w:t>
      </w:r>
      <w:r>
        <w:t xml:space="preserve"> (HVNL).</w:t>
      </w:r>
    </w:p>
    <w:p w:rsidR="00A71162" w:rsidRPr="00925BCE" w:rsidRDefault="00A71162" w:rsidP="00365904">
      <w:pPr>
        <w:pStyle w:val="ListParagraph"/>
        <w:jc w:val="both"/>
      </w:pPr>
    </w:p>
    <w:p w:rsidR="00925BCE" w:rsidRPr="00A71162" w:rsidRDefault="00925BCE" w:rsidP="00365904">
      <w:pPr>
        <w:pStyle w:val="ListParagraph"/>
        <w:numPr>
          <w:ilvl w:val="0"/>
          <w:numId w:val="1"/>
        </w:numPr>
        <w:jc w:val="both"/>
        <w:rPr>
          <w:b/>
        </w:rPr>
      </w:pPr>
      <w:r w:rsidRPr="00A71162">
        <w:rPr>
          <w:b/>
        </w:rPr>
        <w:t>Title</w:t>
      </w:r>
    </w:p>
    <w:p w:rsidR="00925BCE" w:rsidRDefault="00925BCE" w:rsidP="00365904">
      <w:pPr>
        <w:pStyle w:val="ListParagraph"/>
        <w:jc w:val="both"/>
      </w:pPr>
      <w:r w:rsidRPr="00925BCE">
        <w:t>This Notice may be cited as the National Heavy Vehicle Standards (Flashing Warning Lights) Exemption Notice 20</w:t>
      </w:r>
      <w:r>
        <w:t>20</w:t>
      </w:r>
      <w:r w:rsidR="00A71162">
        <w:t xml:space="preserve">. </w:t>
      </w:r>
    </w:p>
    <w:p w:rsidR="00A71162" w:rsidRPr="00925BCE" w:rsidRDefault="00A71162" w:rsidP="00365904">
      <w:pPr>
        <w:pStyle w:val="ListParagraph"/>
        <w:jc w:val="both"/>
      </w:pPr>
    </w:p>
    <w:p w:rsidR="00925BCE" w:rsidRPr="00A71162" w:rsidRDefault="00925BCE" w:rsidP="00365904">
      <w:pPr>
        <w:pStyle w:val="ListParagraph"/>
        <w:numPr>
          <w:ilvl w:val="0"/>
          <w:numId w:val="1"/>
        </w:numPr>
        <w:jc w:val="both"/>
        <w:rPr>
          <w:b/>
        </w:rPr>
      </w:pPr>
      <w:r w:rsidRPr="00A71162">
        <w:rPr>
          <w:b/>
        </w:rPr>
        <w:t xml:space="preserve">Commencement </w:t>
      </w:r>
    </w:p>
    <w:p w:rsidR="00925BCE" w:rsidRDefault="00925BCE" w:rsidP="00365904">
      <w:pPr>
        <w:pStyle w:val="ListParagraph"/>
        <w:jc w:val="both"/>
      </w:pPr>
      <w:r w:rsidRPr="00925BCE">
        <w:t>This Noti</w:t>
      </w:r>
      <w:r w:rsidR="00A71162">
        <w:t>ce commences on 1 October 2020.</w:t>
      </w:r>
    </w:p>
    <w:p w:rsidR="00A71162" w:rsidRPr="00925BCE" w:rsidRDefault="00A71162" w:rsidP="00365904">
      <w:pPr>
        <w:pStyle w:val="ListParagraph"/>
        <w:jc w:val="both"/>
      </w:pPr>
    </w:p>
    <w:p w:rsidR="00925BCE" w:rsidRPr="00A71162" w:rsidRDefault="00925BCE" w:rsidP="00365904">
      <w:pPr>
        <w:pStyle w:val="ListParagraph"/>
        <w:numPr>
          <w:ilvl w:val="0"/>
          <w:numId w:val="1"/>
        </w:numPr>
        <w:jc w:val="both"/>
        <w:rPr>
          <w:b/>
        </w:rPr>
      </w:pPr>
      <w:r w:rsidRPr="00A71162">
        <w:rPr>
          <w:b/>
        </w:rPr>
        <w:t xml:space="preserve">Expiry </w:t>
      </w:r>
    </w:p>
    <w:p w:rsidR="00925BCE" w:rsidRDefault="00925BCE" w:rsidP="00365904">
      <w:pPr>
        <w:pStyle w:val="ListParagraph"/>
        <w:jc w:val="both"/>
      </w:pPr>
      <w:r w:rsidRPr="00925BCE">
        <w:t>This Notice expires on 30 September 2025.</w:t>
      </w:r>
    </w:p>
    <w:p w:rsidR="00A71162" w:rsidRDefault="00A71162" w:rsidP="00365904">
      <w:pPr>
        <w:pStyle w:val="ListParagraph"/>
        <w:jc w:val="both"/>
      </w:pPr>
    </w:p>
    <w:p w:rsidR="00925BCE" w:rsidRDefault="00925BCE" w:rsidP="00365904">
      <w:pPr>
        <w:pStyle w:val="ListParagraph"/>
        <w:numPr>
          <w:ilvl w:val="0"/>
          <w:numId w:val="1"/>
        </w:numPr>
        <w:jc w:val="both"/>
        <w:rPr>
          <w:b/>
        </w:rPr>
      </w:pPr>
      <w:r w:rsidRPr="00A71162">
        <w:rPr>
          <w:b/>
        </w:rPr>
        <w:t>Definitions</w:t>
      </w:r>
    </w:p>
    <w:p w:rsidR="00A71162" w:rsidRPr="00A71162" w:rsidRDefault="00A71162" w:rsidP="00365904">
      <w:pPr>
        <w:pStyle w:val="ListParagraph"/>
        <w:jc w:val="both"/>
        <w:rPr>
          <w:b/>
        </w:rPr>
      </w:pPr>
    </w:p>
    <w:p w:rsidR="00925BCE" w:rsidRDefault="00925BCE" w:rsidP="00365904">
      <w:pPr>
        <w:pStyle w:val="ListParagraph"/>
        <w:numPr>
          <w:ilvl w:val="0"/>
          <w:numId w:val="4"/>
        </w:numPr>
        <w:ind w:left="1080"/>
        <w:jc w:val="both"/>
      </w:pPr>
      <w:r>
        <w:t xml:space="preserve">Unless otherwise stated, words and expressions used in this Notice have the same meanings as those defined in the </w:t>
      </w:r>
      <w:r w:rsidR="00365904">
        <w:t>HVNL</w:t>
      </w:r>
      <w:r>
        <w:t xml:space="preserve">. </w:t>
      </w:r>
    </w:p>
    <w:p w:rsidR="00A71162" w:rsidRDefault="00A71162" w:rsidP="00365904">
      <w:pPr>
        <w:pStyle w:val="ListParagraph"/>
        <w:ind w:left="1080"/>
        <w:jc w:val="both"/>
      </w:pPr>
    </w:p>
    <w:p w:rsidR="00925BCE" w:rsidRDefault="00925BCE" w:rsidP="00365904">
      <w:pPr>
        <w:pStyle w:val="ListParagraph"/>
        <w:numPr>
          <w:ilvl w:val="0"/>
          <w:numId w:val="4"/>
        </w:numPr>
        <w:ind w:left="1080"/>
        <w:jc w:val="both"/>
      </w:pPr>
      <w:r>
        <w:t xml:space="preserve">In this Notice – </w:t>
      </w:r>
    </w:p>
    <w:p w:rsidR="00925BCE" w:rsidRDefault="00925BCE" w:rsidP="00365904">
      <w:pPr>
        <w:ind w:left="1080"/>
        <w:contextualSpacing/>
        <w:jc w:val="both"/>
      </w:pPr>
      <w:r w:rsidRPr="00A71162">
        <w:rPr>
          <w:b/>
          <w:i/>
        </w:rPr>
        <w:t>Applicable vehicle</w:t>
      </w:r>
      <w:r>
        <w:t xml:space="preserve"> means a heavy vehicle:  </w:t>
      </w:r>
    </w:p>
    <w:p w:rsidR="00925BCE" w:rsidRDefault="00925BCE" w:rsidP="00365904">
      <w:pPr>
        <w:pStyle w:val="ListParagraph"/>
        <w:numPr>
          <w:ilvl w:val="0"/>
          <w:numId w:val="5"/>
        </w:numPr>
        <w:jc w:val="both"/>
      </w:pPr>
      <w:r>
        <w:t>described in the relevant Part of this notice,</w:t>
      </w:r>
    </w:p>
    <w:p w:rsidR="00925BCE" w:rsidRDefault="00925BCE" w:rsidP="00365904">
      <w:pPr>
        <w:pStyle w:val="ListParagraph"/>
        <w:numPr>
          <w:ilvl w:val="0"/>
          <w:numId w:val="5"/>
        </w:numPr>
        <w:jc w:val="both"/>
      </w:pPr>
      <w:r>
        <w:t>operating in the area and manner described in the relevant Part of this notice, and</w:t>
      </w:r>
    </w:p>
    <w:p w:rsidR="00925BCE" w:rsidRDefault="00925BCE" w:rsidP="00365904">
      <w:pPr>
        <w:pStyle w:val="ListParagraph"/>
        <w:numPr>
          <w:ilvl w:val="0"/>
          <w:numId w:val="5"/>
        </w:numPr>
        <w:jc w:val="both"/>
      </w:pPr>
      <w:proofErr w:type="gramStart"/>
      <w:r>
        <w:t>complies</w:t>
      </w:r>
      <w:proofErr w:type="gramEnd"/>
      <w:r>
        <w:t xml:space="preserve"> with the conditions detailed in the relevant Part of this notice. </w:t>
      </w:r>
    </w:p>
    <w:p w:rsidR="00A71162" w:rsidRDefault="00A71162" w:rsidP="00365904">
      <w:pPr>
        <w:pStyle w:val="ListParagraph"/>
        <w:ind w:left="1800"/>
        <w:jc w:val="both"/>
      </w:pPr>
    </w:p>
    <w:p w:rsidR="009E6AEE" w:rsidRDefault="009E6AEE">
      <w:pPr>
        <w:rPr>
          <w:b/>
        </w:rPr>
      </w:pPr>
      <w:r>
        <w:rPr>
          <w:b/>
        </w:rPr>
        <w:br w:type="page"/>
      </w:r>
    </w:p>
    <w:p w:rsidR="00925BCE" w:rsidRDefault="00925BCE" w:rsidP="00365904">
      <w:pPr>
        <w:pStyle w:val="ListParagraph"/>
        <w:numPr>
          <w:ilvl w:val="0"/>
          <w:numId w:val="1"/>
        </w:numPr>
        <w:jc w:val="both"/>
        <w:rPr>
          <w:b/>
        </w:rPr>
      </w:pPr>
      <w:r w:rsidRPr="00A71162">
        <w:rPr>
          <w:b/>
        </w:rPr>
        <w:lastRenderedPageBreak/>
        <w:t>Exemption from Prescribed Vehicle Standards</w:t>
      </w:r>
    </w:p>
    <w:p w:rsidR="00A71162" w:rsidRPr="00A71162" w:rsidRDefault="00A71162" w:rsidP="00365904">
      <w:pPr>
        <w:pStyle w:val="ListParagraph"/>
        <w:jc w:val="both"/>
        <w:rPr>
          <w:b/>
        </w:rPr>
      </w:pPr>
    </w:p>
    <w:p w:rsidR="00925BCE" w:rsidRDefault="00925BCE" w:rsidP="00365904">
      <w:pPr>
        <w:pStyle w:val="ListParagraph"/>
        <w:jc w:val="both"/>
      </w:pPr>
      <w:r>
        <w:t>An applicable vehicle is exempt from complying with the requirements of section 79(3) and 79(4) of Schedule 2 of the National Regulation.</w:t>
      </w:r>
    </w:p>
    <w:p w:rsidR="009E6AEE" w:rsidRDefault="009E6AEE" w:rsidP="00365904">
      <w:pPr>
        <w:pStyle w:val="ListParagraph"/>
        <w:jc w:val="both"/>
      </w:pPr>
    </w:p>
    <w:p w:rsidR="009E6AEE" w:rsidRDefault="009E6AEE" w:rsidP="00365904">
      <w:pPr>
        <w:pStyle w:val="ListParagraph"/>
        <w:jc w:val="both"/>
      </w:pPr>
    </w:p>
    <w:p w:rsidR="00925BCE" w:rsidRPr="00A71162" w:rsidRDefault="00925BCE" w:rsidP="00365904">
      <w:pPr>
        <w:contextualSpacing/>
        <w:jc w:val="both"/>
        <w:rPr>
          <w:b/>
        </w:rPr>
      </w:pPr>
      <w:r w:rsidRPr="00A71162">
        <w:rPr>
          <w:b/>
        </w:rPr>
        <w:t>Part 2– Workplace Heal</w:t>
      </w:r>
      <w:r w:rsidR="00A71162">
        <w:rPr>
          <w:b/>
        </w:rPr>
        <w:t>th and Safety or Civil Aviation</w:t>
      </w:r>
    </w:p>
    <w:p w:rsidR="00925BCE" w:rsidRDefault="00925BCE" w:rsidP="00365904">
      <w:pPr>
        <w:pStyle w:val="ListParagraph"/>
        <w:numPr>
          <w:ilvl w:val="0"/>
          <w:numId w:val="6"/>
        </w:numPr>
        <w:jc w:val="both"/>
        <w:rPr>
          <w:b/>
        </w:rPr>
      </w:pPr>
      <w:r w:rsidRPr="00A71162">
        <w:rPr>
          <w:b/>
        </w:rPr>
        <w:t>Application</w:t>
      </w:r>
    </w:p>
    <w:p w:rsidR="00A71162" w:rsidRPr="00A71162" w:rsidRDefault="00A71162" w:rsidP="00365904">
      <w:pPr>
        <w:pStyle w:val="ListParagraph"/>
        <w:jc w:val="both"/>
        <w:rPr>
          <w:b/>
        </w:rPr>
      </w:pPr>
    </w:p>
    <w:p w:rsidR="00925BCE" w:rsidRDefault="00925BCE" w:rsidP="00365904">
      <w:pPr>
        <w:pStyle w:val="ListParagraph"/>
        <w:numPr>
          <w:ilvl w:val="0"/>
          <w:numId w:val="7"/>
        </w:numPr>
        <w:jc w:val="both"/>
      </w:pPr>
      <w:r>
        <w:t>Part 2 of this Notice applies in all participating jurisdictions.</w:t>
      </w:r>
    </w:p>
    <w:p w:rsidR="004753D2" w:rsidRDefault="004753D2" w:rsidP="00365904">
      <w:pPr>
        <w:pStyle w:val="ListParagraph"/>
        <w:ind w:left="1080"/>
        <w:jc w:val="both"/>
      </w:pPr>
    </w:p>
    <w:p w:rsidR="00925BCE" w:rsidRDefault="00925BCE" w:rsidP="00365904">
      <w:pPr>
        <w:pStyle w:val="ListParagraph"/>
        <w:numPr>
          <w:ilvl w:val="0"/>
          <w:numId w:val="7"/>
        </w:numPr>
        <w:jc w:val="both"/>
      </w:pPr>
      <w:r>
        <w:t>Part 2 of this Notice applies to a heavy vehicle, other than an exempt vehicle or a special use vehicle, that is required to have one or more flashing yellow warning lights fitted to comply with work site or workplace health and safety legislation or the Civil Aviation Safety Regulations 1988 (</w:t>
      </w:r>
      <w:proofErr w:type="spellStart"/>
      <w:r>
        <w:t>Cth</w:t>
      </w:r>
      <w:proofErr w:type="spellEnd"/>
      <w:r>
        <w:t>), and to an omnibus used on the O-</w:t>
      </w:r>
      <w:proofErr w:type="spellStart"/>
      <w:r>
        <w:t>Bahn</w:t>
      </w:r>
      <w:proofErr w:type="spellEnd"/>
      <w:r>
        <w:t xml:space="preserve"> busway.</w:t>
      </w:r>
    </w:p>
    <w:p w:rsidR="00A71162" w:rsidRDefault="00A71162" w:rsidP="00365904">
      <w:pPr>
        <w:pStyle w:val="ListParagraph"/>
        <w:ind w:left="1080"/>
        <w:jc w:val="both"/>
      </w:pPr>
    </w:p>
    <w:p w:rsidR="00925BCE" w:rsidRDefault="00925BCE" w:rsidP="00365904">
      <w:pPr>
        <w:pStyle w:val="ListParagraph"/>
        <w:numPr>
          <w:ilvl w:val="0"/>
          <w:numId w:val="6"/>
        </w:numPr>
        <w:jc w:val="both"/>
        <w:rPr>
          <w:b/>
        </w:rPr>
      </w:pPr>
      <w:r w:rsidRPr="00A71162">
        <w:rPr>
          <w:b/>
        </w:rPr>
        <w:t>Conditions</w:t>
      </w:r>
    </w:p>
    <w:p w:rsidR="00A71162" w:rsidRPr="00A71162" w:rsidRDefault="00A71162" w:rsidP="00365904">
      <w:pPr>
        <w:pStyle w:val="ListParagraph"/>
        <w:jc w:val="both"/>
        <w:rPr>
          <w:b/>
        </w:rPr>
      </w:pPr>
    </w:p>
    <w:p w:rsidR="00925BCE" w:rsidRDefault="00925BCE" w:rsidP="00365904">
      <w:pPr>
        <w:pStyle w:val="ListParagraph"/>
        <w:numPr>
          <w:ilvl w:val="0"/>
          <w:numId w:val="8"/>
        </w:numPr>
        <w:jc w:val="both"/>
      </w:pPr>
      <w:r>
        <w:t xml:space="preserve">A heavy vehicle operating under this part may be fitted with one or more flashing yellow lights. </w:t>
      </w:r>
    </w:p>
    <w:p w:rsidR="004753D2" w:rsidRDefault="004753D2" w:rsidP="00365904">
      <w:pPr>
        <w:pStyle w:val="ListParagraph"/>
        <w:ind w:left="1080"/>
        <w:jc w:val="both"/>
      </w:pPr>
    </w:p>
    <w:p w:rsidR="004753D2" w:rsidRDefault="00925BCE" w:rsidP="00365904">
      <w:pPr>
        <w:pStyle w:val="ListParagraph"/>
        <w:numPr>
          <w:ilvl w:val="0"/>
          <w:numId w:val="8"/>
        </w:numPr>
        <w:jc w:val="both"/>
      </w:pPr>
      <w:r>
        <w:t>A flashing light or lights must be mounted on top of the heavy vehicle and be visible from all sides.</w:t>
      </w:r>
    </w:p>
    <w:p w:rsidR="004753D2" w:rsidRDefault="004753D2" w:rsidP="00365904">
      <w:pPr>
        <w:pStyle w:val="ListParagraph"/>
        <w:ind w:left="1080"/>
        <w:jc w:val="both"/>
      </w:pPr>
    </w:p>
    <w:p w:rsidR="00925BCE" w:rsidRDefault="00925BCE" w:rsidP="00365904">
      <w:pPr>
        <w:pStyle w:val="ListParagraph"/>
        <w:numPr>
          <w:ilvl w:val="0"/>
          <w:numId w:val="8"/>
        </w:numPr>
        <w:jc w:val="both"/>
      </w:pPr>
      <w:r>
        <w:t>The operator of a heavy vehicle operating under this part must carry a letter of authorisation.</w:t>
      </w:r>
    </w:p>
    <w:p w:rsidR="004753D2" w:rsidRDefault="004753D2" w:rsidP="00365904">
      <w:pPr>
        <w:pStyle w:val="ListParagraph"/>
        <w:ind w:left="1080"/>
        <w:jc w:val="both"/>
      </w:pPr>
    </w:p>
    <w:p w:rsidR="00925BCE" w:rsidRDefault="00925BCE" w:rsidP="00365904">
      <w:pPr>
        <w:pStyle w:val="ListParagraph"/>
        <w:numPr>
          <w:ilvl w:val="0"/>
          <w:numId w:val="8"/>
        </w:numPr>
        <w:jc w:val="both"/>
      </w:pPr>
      <w:r>
        <w:t>A letter of authorisation must:</w:t>
      </w:r>
    </w:p>
    <w:p w:rsidR="00925BCE" w:rsidRDefault="00925BCE" w:rsidP="00365904">
      <w:pPr>
        <w:pStyle w:val="ListParagraph"/>
        <w:numPr>
          <w:ilvl w:val="1"/>
          <w:numId w:val="10"/>
        </w:numPr>
        <w:jc w:val="both"/>
      </w:pPr>
      <w:r>
        <w:t>be issued either by the work site manager or an authorised representative of the registered operator; and</w:t>
      </w:r>
    </w:p>
    <w:p w:rsidR="00925BCE" w:rsidRDefault="00925BCE" w:rsidP="00365904">
      <w:pPr>
        <w:pStyle w:val="ListParagraph"/>
        <w:numPr>
          <w:ilvl w:val="1"/>
          <w:numId w:val="10"/>
        </w:numPr>
        <w:jc w:val="both"/>
      </w:pPr>
      <w:r>
        <w:t>identify the work site where the heavy vehicle is operating; and</w:t>
      </w:r>
    </w:p>
    <w:p w:rsidR="00925BCE" w:rsidRDefault="00925BCE" w:rsidP="00365904">
      <w:pPr>
        <w:pStyle w:val="ListParagraph"/>
        <w:numPr>
          <w:ilvl w:val="1"/>
          <w:numId w:val="10"/>
        </w:numPr>
        <w:jc w:val="both"/>
      </w:pPr>
      <w:r>
        <w:t>identify the heavy vehicle, or type of heavy vehicle, that the letter applies to; and</w:t>
      </w:r>
    </w:p>
    <w:p w:rsidR="00925BCE" w:rsidRDefault="00925BCE" w:rsidP="00365904">
      <w:pPr>
        <w:pStyle w:val="ListParagraph"/>
        <w:numPr>
          <w:ilvl w:val="1"/>
          <w:numId w:val="10"/>
        </w:numPr>
        <w:jc w:val="both"/>
      </w:pPr>
      <w:proofErr w:type="gramStart"/>
      <w:r>
        <w:t>include</w:t>
      </w:r>
      <w:proofErr w:type="gramEnd"/>
      <w:r>
        <w:t xml:space="preserve"> an end date for the authorisation.</w:t>
      </w:r>
    </w:p>
    <w:p w:rsidR="004753D2" w:rsidRDefault="004753D2" w:rsidP="00365904">
      <w:pPr>
        <w:pStyle w:val="ListParagraph"/>
        <w:ind w:left="1080"/>
        <w:jc w:val="both"/>
      </w:pPr>
    </w:p>
    <w:p w:rsidR="00925BCE" w:rsidRDefault="00925BCE" w:rsidP="00365904">
      <w:pPr>
        <w:pStyle w:val="ListParagraph"/>
        <w:numPr>
          <w:ilvl w:val="0"/>
          <w:numId w:val="8"/>
        </w:numPr>
        <w:jc w:val="both"/>
      </w:pPr>
      <w:r>
        <w:t>For the purposes of Condition 4(b) of this Part, for a heavy vehicle working at more than one work site that requires the use of flashing warning lights, the letter of authority may refer to a ‘run sheet’, ‘work schedule’ or other company issued document that clearly identifies the work sites the vehicle will access.</w:t>
      </w:r>
    </w:p>
    <w:p w:rsidR="004753D2" w:rsidRDefault="004753D2" w:rsidP="00365904">
      <w:pPr>
        <w:pStyle w:val="ListParagraph"/>
        <w:ind w:left="1080"/>
        <w:jc w:val="both"/>
      </w:pPr>
    </w:p>
    <w:p w:rsidR="009E6AEE" w:rsidRDefault="009E6AEE">
      <w:r>
        <w:br w:type="page"/>
      </w:r>
    </w:p>
    <w:p w:rsidR="00925BCE" w:rsidRDefault="00925BCE" w:rsidP="00365904">
      <w:pPr>
        <w:pStyle w:val="ListParagraph"/>
        <w:numPr>
          <w:ilvl w:val="0"/>
          <w:numId w:val="8"/>
        </w:numPr>
        <w:jc w:val="both"/>
      </w:pPr>
      <w:r>
        <w:lastRenderedPageBreak/>
        <w:t>For the purposes of Condition 4(c) of this Part, a heavy vehicle or type of heavy vehicle may be identified by either:</w:t>
      </w:r>
    </w:p>
    <w:p w:rsidR="00925BCE" w:rsidRDefault="00925BCE" w:rsidP="00365904">
      <w:pPr>
        <w:pStyle w:val="ListParagraph"/>
        <w:numPr>
          <w:ilvl w:val="0"/>
          <w:numId w:val="11"/>
        </w:numPr>
        <w:jc w:val="both"/>
      </w:pPr>
      <w:r>
        <w:t>the vehicle’s registration number; or</w:t>
      </w:r>
    </w:p>
    <w:p w:rsidR="00925BCE" w:rsidRDefault="00925BCE" w:rsidP="00365904">
      <w:pPr>
        <w:pStyle w:val="ListParagraph"/>
        <w:numPr>
          <w:ilvl w:val="0"/>
          <w:numId w:val="11"/>
        </w:numPr>
        <w:jc w:val="both"/>
      </w:pPr>
      <w:r>
        <w:t xml:space="preserve">for an organisation that operates a fleet of vehicles where the vehicles are clearly marked on both sides of the cabin by a company logo and name — by these markings; or </w:t>
      </w:r>
    </w:p>
    <w:p w:rsidR="00925BCE" w:rsidRDefault="00925BCE" w:rsidP="00365904">
      <w:pPr>
        <w:pStyle w:val="ListParagraph"/>
        <w:numPr>
          <w:ilvl w:val="0"/>
          <w:numId w:val="11"/>
        </w:numPr>
        <w:jc w:val="both"/>
      </w:pPr>
      <w:proofErr w:type="gramStart"/>
      <w:r>
        <w:t>a</w:t>
      </w:r>
      <w:proofErr w:type="gramEnd"/>
      <w:r>
        <w:t xml:space="preserve"> unique fleet identification number, where this is permanently marked and clearly visible on the vehicle.</w:t>
      </w:r>
    </w:p>
    <w:p w:rsidR="004753D2" w:rsidRDefault="004753D2" w:rsidP="00365904">
      <w:pPr>
        <w:pStyle w:val="ListParagraph"/>
        <w:ind w:left="1080"/>
        <w:jc w:val="both"/>
      </w:pPr>
    </w:p>
    <w:p w:rsidR="00925BCE" w:rsidRDefault="00925BCE" w:rsidP="00365904">
      <w:pPr>
        <w:pStyle w:val="ListParagraph"/>
        <w:numPr>
          <w:ilvl w:val="0"/>
          <w:numId w:val="8"/>
        </w:numPr>
        <w:jc w:val="both"/>
      </w:pPr>
      <w:r>
        <w:t>The letter of authorisation and any document mentioned in condition 5 of this Part must be kept in each heavy vehicle at all times when operating under this notice and must be produced on request by an authorised officer.</w:t>
      </w:r>
    </w:p>
    <w:p w:rsidR="00A71162" w:rsidRDefault="00A71162" w:rsidP="00365904">
      <w:pPr>
        <w:pStyle w:val="ListParagraph"/>
        <w:ind w:left="1080"/>
        <w:jc w:val="both"/>
      </w:pPr>
    </w:p>
    <w:p w:rsidR="00925BCE" w:rsidRDefault="00925BCE" w:rsidP="00365904">
      <w:pPr>
        <w:pStyle w:val="ListParagraph"/>
        <w:numPr>
          <w:ilvl w:val="0"/>
          <w:numId w:val="8"/>
        </w:numPr>
        <w:jc w:val="both"/>
      </w:pPr>
      <w:r>
        <w:t>Conditions 3-7 listed in this Part do not apply to a heavy vehicle that is clearly identifiable as a vehicle that is used at airports, in the mining, construction or manufacturing industries, or that is an omnibus used on the O-</w:t>
      </w:r>
      <w:proofErr w:type="spellStart"/>
      <w:r>
        <w:t>Bahn</w:t>
      </w:r>
      <w:proofErr w:type="spellEnd"/>
      <w:r>
        <w:t xml:space="preserve"> busway.</w:t>
      </w:r>
    </w:p>
    <w:p w:rsidR="004753D2" w:rsidRDefault="004753D2" w:rsidP="00365904">
      <w:pPr>
        <w:pStyle w:val="ListParagraph"/>
        <w:ind w:left="1080"/>
        <w:jc w:val="both"/>
      </w:pPr>
    </w:p>
    <w:p w:rsidR="00925BCE" w:rsidRDefault="00925BCE" w:rsidP="00365904">
      <w:pPr>
        <w:pStyle w:val="ListParagraph"/>
        <w:numPr>
          <w:ilvl w:val="0"/>
          <w:numId w:val="8"/>
        </w:numPr>
        <w:jc w:val="both"/>
      </w:pPr>
      <w:r>
        <w:t>Flashing lights must not be turned on when the heavy vehicle is being driven or standing on a road or road-related area unless an emergency service officer gives that direction in response to an emergency or disaster.</w:t>
      </w:r>
    </w:p>
    <w:p w:rsidR="00A71162" w:rsidRPr="004753D2" w:rsidRDefault="00925BCE" w:rsidP="00365904">
      <w:pPr>
        <w:contextualSpacing/>
        <w:jc w:val="both"/>
        <w:rPr>
          <w:b/>
        </w:rPr>
      </w:pPr>
      <w:r w:rsidRPr="00A71162">
        <w:rPr>
          <w:b/>
        </w:rPr>
        <w:t xml:space="preserve">Part 3 – Animal and Pest Management Vehicles in </w:t>
      </w:r>
      <w:r w:rsidR="004753D2">
        <w:rPr>
          <w:b/>
        </w:rPr>
        <w:t>Queensland</w:t>
      </w:r>
    </w:p>
    <w:p w:rsidR="00925BCE" w:rsidRDefault="00925BCE" w:rsidP="00365904">
      <w:pPr>
        <w:pStyle w:val="ListParagraph"/>
        <w:numPr>
          <w:ilvl w:val="0"/>
          <w:numId w:val="12"/>
        </w:numPr>
        <w:jc w:val="both"/>
        <w:rPr>
          <w:b/>
        </w:rPr>
      </w:pPr>
      <w:r w:rsidRPr="005247F6">
        <w:rPr>
          <w:b/>
        </w:rPr>
        <w:t>Application</w:t>
      </w:r>
    </w:p>
    <w:p w:rsidR="005247F6" w:rsidRPr="005247F6" w:rsidRDefault="005247F6" w:rsidP="00365904">
      <w:pPr>
        <w:pStyle w:val="ListParagraph"/>
        <w:jc w:val="both"/>
        <w:rPr>
          <w:b/>
        </w:rPr>
      </w:pPr>
    </w:p>
    <w:p w:rsidR="00925BCE" w:rsidRDefault="00925BCE" w:rsidP="00365904">
      <w:pPr>
        <w:pStyle w:val="ListParagraph"/>
        <w:numPr>
          <w:ilvl w:val="0"/>
          <w:numId w:val="13"/>
        </w:numPr>
        <w:jc w:val="both"/>
      </w:pPr>
      <w:r>
        <w:t>Part 3 of this Notice applies only in Queensland.</w:t>
      </w:r>
    </w:p>
    <w:p w:rsidR="004753D2" w:rsidRDefault="004753D2" w:rsidP="00365904">
      <w:pPr>
        <w:pStyle w:val="ListParagraph"/>
        <w:ind w:left="1080"/>
        <w:jc w:val="both"/>
      </w:pPr>
    </w:p>
    <w:p w:rsidR="00925BCE" w:rsidRDefault="00925BCE" w:rsidP="00365904">
      <w:pPr>
        <w:pStyle w:val="ListParagraph"/>
        <w:numPr>
          <w:ilvl w:val="0"/>
          <w:numId w:val="13"/>
        </w:numPr>
        <w:jc w:val="both"/>
      </w:pPr>
      <w:r>
        <w:t xml:space="preserve">Part 3 of this Notice applies to a heavy vehicle, other than an exempt vehicle or a special use vehicle, which is operated by: </w:t>
      </w:r>
    </w:p>
    <w:p w:rsidR="00925BCE" w:rsidRDefault="00925BCE" w:rsidP="00365904">
      <w:pPr>
        <w:pStyle w:val="ListParagraph"/>
        <w:numPr>
          <w:ilvl w:val="0"/>
          <w:numId w:val="14"/>
        </w:numPr>
        <w:jc w:val="both"/>
      </w:pPr>
      <w:r>
        <w:t>the Brisbane City Council (as defined in the City of Brisbane Act 2010 (Qld)) in the course of its daily operations of animal and pest control within the area of that council; or</w:t>
      </w:r>
    </w:p>
    <w:p w:rsidR="00925BCE" w:rsidRDefault="00925BCE" w:rsidP="00365904">
      <w:pPr>
        <w:pStyle w:val="ListParagraph"/>
        <w:numPr>
          <w:ilvl w:val="0"/>
          <w:numId w:val="14"/>
        </w:numPr>
        <w:jc w:val="both"/>
      </w:pPr>
      <w:r>
        <w:t>a local government (as defined under the Local Government Act 2009 (Qld)) in the course of its daily operations of animal and pest control within the area of that local government; or</w:t>
      </w:r>
    </w:p>
    <w:p w:rsidR="00925BCE" w:rsidRDefault="00925BCE" w:rsidP="00365904">
      <w:pPr>
        <w:pStyle w:val="ListParagraph"/>
        <w:numPr>
          <w:ilvl w:val="0"/>
          <w:numId w:val="14"/>
        </w:numPr>
        <w:jc w:val="both"/>
      </w:pPr>
      <w:r>
        <w:t>the Queensland Royal Society for the Prevention of Cruelty to Animals (QRSPCA) in the course of the activities of the society’s inspectorate; or</w:t>
      </w:r>
    </w:p>
    <w:p w:rsidR="00925BCE" w:rsidRDefault="00925BCE" w:rsidP="00365904">
      <w:pPr>
        <w:pStyle w:val="ListParagraph"/>
        <w:numPr>
          <w:ilvl w:val="0"/>
          <w:numId w:val="14"/>
        </w:numPr>
        <w:jc w:val="both"/>
      </w:pPr>
      <w:proofErr w:type="gramStart"/>
      <w:r>
        <w:t>a</w:t>
      </w:r>
      <w:proofErr w:type="gramEnd"/>
      <w:r>
        <w:t xml:space="preserve"> department of government (as established by the Public Service Act 2008 (Qld) Division 2 section 14) in the course of its daily operations of animal and pest control in Queensland.</w:t>
      </w:r>
    </w:p>
    <w:p w:rsidR="004753D2" w:rsidRDefault="004753D2" w:rsidP="00365904">
      <w:pPr>
        <w:pStyle w:val="ListParagraph"/>
        <w:ind w:left="1440"/>
        <w:jc w:val="both"/>
      </w:pPr>
    </w:p>
    <w:p w:rsidR="009E6AEE" w:rsidRDefault="009E6AEE">
      <w:pPr>
        <w:rPr>
          <w:b/>
        </w:rPr>
      </w:pPr>
      <w:r>
        <w:rPr>
          <w:b/>
        </w:rPr>
        <w:br w:type="page"/>
      </w:r>
    </w:p>
    <w:p w:rsidR="00925BCE" w:rsidRDefault="00925BCE" w:rsidP="00365904">
      <w:pPr>
        <w:pStyle w:val="ListParagraph"/>
        <w:numPr>
          <w:ilvl w:val="0"/>
          <w:numId w:val="12"/>
        </w:numPr>
        <w:jc w:val="both"/>
        <w:rPr>
          <w:b/>
        </w:rPr>
      </w:pPr>
      <w:r w:rsidRPr="005247F6">
        <w:rPr>
          <w:b/>
        </w:rPr>
        <w:lastRenderedPageBreak/>
        <w:t>Conditions</w:t>
      </w:r>
    </w:p>
    <w:p w:rsidR="004753D2" w:rsidRPr="005247F6" w:rsidRDefault="004753D2" w:rsidP="00365904">
      <w:pPr>
        <w:pStyle w:val="ListParagraph"/>
        <w:jc w:val="both"/>
        <w:rPr>
          <w:b/>
        </w:rPr>
      </w:pPr>
    </w:p>
    <w:p w:rsidR="00925BCE" w:rsidRDefault="00925BCE" w:rsidP="00365904">
      <w:pPr>
        <w:pStyle w:val="ListParagraph"/>
        <w:numPr>
          <w:ilvl w:val="0"/>
          <w:numId w:val="15"/>
        </w:numPr>
        <w:jc w:val="both"/>
      </w:pPr>
      <w:r>
        <w:t xml:space="preserve">A heavy vehicle operating under this part may be fitted with one or more green and yellow flashing lights. </w:t>
      </w:r>
    </w:p>
    <w:p w:rsidR="004753D2" w:rsidRDefault="004753D2" w:rsidP="00365904">
      <w:pPr>
        <w:pStyle w:val="ListParagraph"/>
        <w:ind w:left="1080"/>
        <w:jc w:val="both"/>
      </w:pPr>
    </w:p>
    <w:p w:rsidR="009E6AEE" w:rsidRPr="009E6AEE" w:rsidRDefault="00925BCE" w:rsidP="009E6AEE">
      <w:pPr>
        <w:pStyle w:val="ListParagraph"/>
        <w:numPr>
          <w:ilvl w:val="0"/>
          <w:numId w:val="15"/>
        </w:numPr>
        <w:jc w:val="both"/>
      </w:pPr>
      <w:r>
        <w:t>Flashing lights must not be turned on other than when the vehicle is being used for animal or pest management activities.</w:t>
      </w:r>
    </w:p>
    <w:p w:rsidR="00715F63" w:rsidRPr="00715F63" w:rsidRDefault="00715F63" w:rsidP="00715F63">
      <w:pPr>
        <w:contextualSpacing/>
        <w:jc w:val="both"/>
        <w:rPr>
          <w:b/>
        </w:rPr>
      </w:pPr>
      <w:r w:rsidRPr="00715F63">
        <w:rPr>
          <w:b/>
        </w:rPr>
        <w:t>Part 4 – Fire Management Vehicles in Queensland</w:t>
      </w:r>
    </w:p>
    <w:p w:rsidR="00715F63" w:rsidRPr="00715F63" w:rsidRDefault="00715F63" w:rsidP="00715F63">
      <w:pPr>
        <w:pStyle w:val="ListParagraph"/>
        <w:numPr>
          <w:ilvl w:val="0"/>
          <w:numId w:val="19"/>
        </w:numPr>
        <w:jc w:val="both"/>
        <w:rPr>
          <w:b/>
        </w:rPr>
      </w:pPr>
      <w:r w:rsidRPr="00715F63">
        <w:rPr>
          <w:b/>
        </w:rPr>
        <w:t>Application</w:t>
      </w:r>
    </w:p>
    <w:p w:rsidR="00715F63" w:rsidRDefault="00715F63" w:rsidP="00715F63">
      <w:pPr>
        <w:pStyle w:val="ListParagraph"/>
        <w:ind w:left="1080"/>
        <w:jc w:val="both"/>
      </w:pPr>
    </w:p>
    <w:p w:rsidR="00715F63" w:rsidRDefault="00715F63" w:rsidP="00715F63">
      <w:pPr>
        <w:pStyle w:val="ListParagraph"/>
        <w:numPr>
          <w:ilvl w:val="0"/>
          <w:numId w:val="17"/>
        </w:numPr>
        <w:jc w:val="both"/>
      </w:pPr>
      <w:r w:rsidRPr="00715F63">
        <w:t xml:space="preserve">Part 4 of this Notice applies only in Queensland. </w:t>
      </w:r>
      <w:r w:rsidRPr="00715F63">
        <w:tab/>
      </w:r>
    </w:p>
    <w:p w:rsidR="00715F63" w:rsidRPr="00715F63" w:rsidRDefault="00715F63" w:rsidP="00715F63">
      <w:pPr>
        <w:pStyle w:val="ListParagraph"/>
        <w:ind w:left="1080"/>
        <w:jc w:val="both"/>
      </w:pPr>
    </w:p>
    <w:p w:rsidR="00715F63" w:rsidRDefault="00715F63" w:rsidP="00715F63">
      <w:pPr>
        <w:pStyle w:val="ListParagraph"/>
        <w:numPr>
          <w:ilvl w:val="0"/>
          <w:numId w:val="17"/>
        </w:numPr>
        <w:jc w:val="both"/>
      </w:pPr>
      <w:r w:rsidRPr="00715F63">
        <w:t xml:space="preserve">Part 4 of this Notice also applies to a heavy vehicle, other than an exempt vehicle or a special use vehicle, which is used for fire management by: </w:t>
      </w:r>
    </w:p>
    <w:p w:rsidR="00715F63" w:rsidRPr="00715F63" w:rsidRDefault="00715F63" w:rsidP="00715F63">
      <w:pPr>
        <w:pStyle w:val="ListParagraph"/>
        <w:ind w:left="1080"/>
        <w:jc w:val="both"/>
      </w:pPr>
    </w:p>
    <w:p w:rsidR="00715F63" w:rsidRPr="00715F63" w:rsidRDefault="00715F63" w:rsidP="00715F63">
      <w:pPr>
        <w:pStyle w:val="ListParagraph"/>
        <w:numPr>
          <w:ilvl w:val="0"/>
          <w:numId w:val="20"/>
        </w:numPr>
        <w:jc w:val="both"/>
      </w:pPr>
      <w:r w:rsidRPr="00715F63">
        <w:t>a department of government (as established by the Public Service Act 2008 (Qld) Division 2 section 14); or</w:t>
      </w:r>
    </w:p>
    <w:p w:rsidR="00715F63" w:rsidRPr="00715F63" w:rsidRDefault="00715F63" w:rsidP="00715F63">
      <w:pPr>
        <w:pStyle w:val="ListParagraph"/>
        <w:numPr>
          <w:ilvl w:val="0"/>
          <w:numId w:val="20"/>
        </w:numPr>
        <w:jc w:val="both"/>
      </w:pPr>
      <w:r w:rsidRPr="00715F63">
        <w:t>the Brisbane City Council (as defined in the City of Brisbane Act 2010 (Qld)); or</w:t>
      </w:r>
    </w:p>
    <w:p w:rsidR="00715F63" w:rsidRPr="00715F63" w:rsidRDefault="00715F63" w:rsidP="00715F63">
      <w:pPr>
        <w:pStyle w:val="ListParagraph"/>
        <w:numPr>
          <w:ilvl w:val="0"/>
          <w:numId w:val="20"/>
        </w:numPr>
        <w:jc w:val="both"/>
      </w:pPr>
      <w:r w:rsidRPr="00715F63">
        <w:t>a local government (as defined in the Local Government Act 2009 (Qld)); or</w:t>
      </w:r>
    </w:p>
    <w:p w:rsidR="00715F63" w:rsidRPr="00715F63" w:rsidRDefault="00715F63" w:rsidP="00715F63">
      <w:pPr>
        <w:pStyle w:val="ListParagraph"/>
        <w:numPr>
          <w:ilvl w:val="0"/>
          <w:numId w:val="20"/>
        </w:numPr>
        <w:jc w:val="both"/>
      </w:pPr>
      <w:r w:rsidRPr="00715F63">
        <w:t>a plantation licensee (as defined in the Forestry Act 1959 (Qld)); or</w:t>
      </w:r>
    </w:p>
    <w:p w:rsidR="00715F63" w:rsidRPr="00715F63" w:rsidRDefault="00715F63" w:rsidP="00715F63">
      <w:pPr>
        <w:pStyle w:val="ListParagraph"/>
        <w:numPr>
          <w:ilvl w:val="0"/>
          <w:numId w:val="20"/>
        </w:numPr>
        <w:jc w:val="both"/>
      </w:pPr>
      <w:r w:rsidRPr="00715F63">
        <w:t>Griffith University (as defined in the Griffith University Act 1998 (Qld)); or</w:t>
      </w:r>
    </w:p>
    <w:p w:rsidR="00715F63" w:rsidRPr="00715F63" w:rsidRDefault="00715F63" w:rsidP="00715F63">
      <w:pPr>
        <w:pStyle w:val="ListParagraph"/>
        <w:numPr>
          <w:ilvl w:val="0"/>
          <w:numId w:val="20"/>
        </w:numPr>
        <w:jc w:val="both"/>
      </w:pPr>
      <w:r w:rsidRPr="00715F63">
        <w:t>a new water entity (as defined in the South East Queensland Water (Restructuring) Act 2007 (Qld)); or</w:t>
      </w:r>
    </w:p>
    <w:p w:rsidR="00715F63" w:rsidRPr="00715F63" w:rsidRDefault="00715F63" w:rsidP="00715F63">
      <w:pPr>
        <w:pStyle w:val="ListParagraph"/>
        <w:numPr>
          <w:ilvl w:val="0"/>
          <w:numId w:val="20"/>
        </w:numPr>
        <w:jc w:val="both"/>
      </w:pPr>
      <w:proofErr w:type="gramStart"/>
      <w:r w:rsidRPr="00715F63">
        <w:t>another</w:t>
      </w:r>
      <w:proofErr w:type="gramEnd"/>
      <w:r w:rsidRPr="00715F63">
        <w:t xml:space="preserve"> entity which provides fire management services on behalf of an entity listed in subsections (a) – (f).</w:t>
      </w:r>
    </w:p>
    <w:p w:rsidR="00715F63" w:rsidRPr="00715F63" w:rsidRDefault="00715F63" w:rsidP="00715F63">
      <w:pPr>
        <w:pStyle w:val="ListParagraph"/>
        <w:numPr>
          <w:ilvl w:val="0"/>
          <w:numId w:val="19"/>
        </w:numPr>
        <w:jc w:val="both"/>
        <w:rPr>
          <w:b/>
        </w:rPr>
      </w:pPr>
      <w:r w:rsidRPr="00715F63">
        <w:rPr>
          <w:b/>
        </w:rPr>
        <w:t>Conditions</w:t>
      </w:r>
    </w:p>
    <w:p w:rsidR="00715F63" w:rsidRDefault="00715F63" w:rsidP="00715F63">
      <w:pPr>
        <w:pStyle w:val="ListParagraph"/>
        <w:ind w:left="1080"/>
        <w:jc w:val="both"/>
      </w:pPr>
    </w:p>
    <w:p w:rsidR="00715F63" w:rsidRDefault="00715F63" w:rsidP="00715F63">
      <w:pPr>
        <w:pStyle w:val="ListParagraph"/>
        <w:numPr>
          <w:ilvl w:val="0"/>
          <w:numId w:val="21"/>
        </w:numPr>
        <w:jc w:val="both"/>
      </w:pPr>
      <w:r w:rsidRPr="00715F63">
        <w:t xml:space="preserve">A heavy vehicle operating under this part may be fitted with one or more green and yellow flashing lights. </w:t>
      </w:r>
    </w:p>
    <w:p w:rsidR="00715F63" w:rsidRPr="00715F63" w:rsidRDefault="00715F63" w:rsidP="00715F63">
      <w:pPr>
        <w:pStyle w:val="ListParagraph"/>
        <w:ind w:left="1080"/>
        <w:jc w:val="both"/>
      </w:pPr>
    </w:p>
    <w:p w:rsidR="009E6AEE" w:rsidRDefault="00715F63" w:rsidP="009E6AEE">
      <w:pPr>
        <w:pStyle w:val="ListParagraph"/>
        <w:numPr>
          <w:ilvl w:val="0"/>
          <w:numId w:val="21"/>
        </w:numPr>
        <w:jc w:val="both"/>
      </w:pPr>
      <w:r w:rsidRPr="00715F63">
        <w:t>Flashing lights must not be turned on other than when the vehicle is being used for animal or pest management activities.</w:t>
      </w:r>
    </w:p>
    <w:p w:rsidR="009E6AEE" w:rsidRDefault="009E6AEE" w:rsidP="009E6AEE">
      <w:pPr>
        <w:pStyle w:val="ListParagraph"/>
      </w:pPr>
    </w:p>
    <w:p w:rsidR="009E6AEE" w:rsidRPr="009E6AEE" w:rsidRDefault="009E6AEE" w:rsidP="009E6AEE">
      <w:pPr>
        <w:pStyle w:val="ListParagraph"/>
        <w:ind w:left="1080"/>
        <w:jc w:val="both"/>
      </w:pPr>
    </w:p>
    <w:p w:rsidR="00A71162" w:rsidRPr="004753D2" w:rsidRDefault="00A71162" w:rsidP="00365904">
      <w:pPr>
        <w:contextualSpacing/>
        <w:jc w:val="both"/>
        <w:rPr>
          <w:b/>
        </w:rPr>
      </w:pPr>
      <w:r w:rsidRPr="004753D2">
        <w:rPr>
          <w:b/>
        </w:rPr>
        <w:t>Part 5 – Vehicles Attending to Livest</w:t>
      </w:r>
      <w:r w:rsidR="004753D2">
        <w:rPr>
          <w:b/>
        </w:rPr>
        <w:t>ock Movement in South Australia</w:t>
      </w:r>
    </w:p>
    <w:p w:rsidR="00A71162" w:rsidRDefault="004753D2" w:rsidP="00365904">
      <w:pPr>
        <w:pStyle w:val="ListParagraph"/>
        <w:numPr>
          <w:ilvl w:val="0"/>
          <w:numId w:val="16"/>
        </w:numPr>
        <w:jc w:val="both"/>
        <w:rPr>
          <w:b/>
        </w:rPr>
      </w:pPr>
      <w:r>
        <w:rPr>
          <w:b/>
        </w:rPr>
        <w:t>Application</w:t>
      </w:r>
    </w:p>
    <w:p w:rsidR="004753D2" w:rsidRPr="004753D2" w:rsidRDefault="004753D2" w:rsidP="00365904">
      <w:pPr>
        <w:pStyle w:val="ListParagraph"/>
        <w:jc w:val="both"/>
        <w:rPr>
          <w:b/>
        </w:rPr>
      </w:pPr>
    </w:p>
    <w:p w:rsidR="00A71162" w:rsidRDefault="00A71162" w:rsidP="00715F63">
      <w:pPr>
        <w:pStyle w:val="ListParagraph"/>
        <w:numPr>
          <w:ilvl w:val="0"/>
          <w:numId w:val="21"/>
        </w:numPr>
        <w:jc w:val="both"/>
      </w:pPr>
      <w:r>
        <w:t>Part 5 of this Notice applies only in South Australia.</w:t>
      </w:r>
    </w:p>
    <w:p w:rsidR="004753D2" w:rsidRDefault="004753D2" w:rsidP="00365904">
      <w:pPr>
        <w:pStyle w:val="ListParagraph"/>
        <w:ind w:left="1080"/>
        <w:jc w:val="both"/>
      </w:pPr>
    </w:p>
    <w:p w:rsidR="004753D2" w:rsidRDefault="00A71162" w:rsidP="00854F0C">
      <w:pPr>
        <w:pStyle w:val="ListParagraph"/>
        <w:numPr>
          <w:ilvl w:val="0"/>
          <w:numId w:val="21"/>
        </w:numPr>
        <w:jc w:val="both"/>
      </w:pPr>
      <w:r>
        <w:t xml:space="preserve">Part 5 of this Notice applies to a heavy vehicle, other than an exempt vehicle or a special use </w:t>
      </w:r>
      <w:proofErr w:type="gramStart"/>
      <w:r>
        <w:t>vehicle, that</w:t>
      </w:r>
      <w:proofErr w:type="gramEnd"/>
      <w:r>
        <w:t xml:space="preserve"> is used by a primary producer for escorting livestock along or across a road or a road related area. </w:t>
      </w:r>
      <w:bookmarkStart w:id="0" w:name="_GoBack"/>
      <w:bookmarkEnd w:id="0"/>
    </w:p>
    <w:p w:rsidR="00A71162" w:rsidRDefault="00A71162" w:rsidP="00365904">
      <w:pPr>
        <w:pStyle w:val="ListParagraph"/>
        <w:numPr>
          <w:ilvl w:val="0"/>
          <w:numId w:val="16"/>
        </w:numPr>
        <w:jc w:val="both"/>
        <w:rPr>
          <w:b/>
        </w:rPr>
      </w:pPr>
      <w:r w:rsidRPr="004753D2">
        <w:rPr>
          <w:b/>
        </w:rPr>
        <w:lastRenderedPageBreak/>
        <w:t>Conditions</w:t>
      </w:r>
    </w:p>
    <w:p w:rsidR="004753D2" w:rsidRPr="004753D2" w:rsidRDefault="004753D2" w:rsidP="00365904">
      <w:pPr>
        <w:pStyle w:val="ListParagraph"/>
        <w:jc w:val="both"/>
        <w:rPr>
          <w:b/>
        </w:rPr>
      </w:pPr>
    </w:p>
    <w:p w:rsidR="00A71162" w:rsidRDefault="00A71162" w:rsidP="00365904">
      <w:pPr>
        <w:pStyle w:val="ListParagraph"/>
        <w:numPr>
          <w:ilvl w:val="0"/>
          <w:numId w:val="18"/>
        </w:numPr>
        <w:jc w:val="both"/>
      </w:pPr>
      <w:r>
        <w:t>A heavy vehicle operating under this part may be fitted with one or more flashing yellow lights.</w:t>
      </w:r>
    </w:p>
    <w:p w:rsidR="004753D2" w:rsidRDefault="004753D2" w:rsidP="00365904">
      <w:pPr>
        <w:pStyle w:val="ListParagraph"/>
        <w:ind w:left="1080"/>
        <w:jc w:val="both"/>
      </w:pPr>
    </w:p>
    <w:p w:rsidR="00925BCE" w:rsidRDefault="00A71162" w:rsidP="00365904">
      <w:pPr>
        <w:pStyle w:val="ListParagraph"/>
        <w:numPr>
          <w:ilvl w:val="0"/>
          <w:numId w:val="18"/>
        </w:numPr>
        <w:jc w:val="both"/>
      </w:pPr>
      <w:r>
        <w:t>Flashing lights must not be turned on other than when the vehicle is being used in relation to the movement of livestock along or across a road or road related area.</w:t>
      </w:r>
    </w:p>
    <w:p w:rsidR="004753D2" w:rsidRDefault="004753D2" w:rsidP="00365904">
      <w:pPr>
        <w:pStyle w:val="ListParagraph"/>
        <w:jc w:val="both"/>
      </w:pPr>
    </w:p>
    <w:p w:rsidR="004753D2" w:rsidRDefault="004753D2" w:rsidP="00365904">
      <w:pPr>
        <w:spacing w:after="0"/>
        <w:ind w:left="720"/>
        <w:jc w:val="both"/>
      </w:pPr>
      <w:r>
        <w:t>Don Hogben</w:t>
      </w:r>
    </w:p>
    <w:p w:rsidR="004753D2" w:rsidRPr="004753D2" w:rsidRDefault="004753D2" w:rsidP="00365904">
      <w:pPr>
        <w:spacing w:after="0"/>
        <w:ind w:left="720"/>
        <w:jc w:val="both"/>
        <w:rPr>
          <w:bCs/>
          <w:i/>
        </w:rPr>
      </w:pPr>
      <w:r w:rsidRPr="004753D2">
        <w:rPr>
          <w:bCs/>
          <w:i/>
          <w:lang w:eastAsia="en-AU"/>
        </w:rPr>
        <w:t>Chief Regulatory Policy and Standards Officer</w:t>
      </w:r>
      <w:r w:rsidRPr="004753D2">
        <w:rPr>
          <w:bCs/>
          <w:i/>
        </w:rPr>
        <w:t xml:space="preserve"> </w:t>
      </w:r>
    </w:p>
    <w:p w:rsidR="004753D2" w:rsidRPr="009877D0" w:rsidRDefault="004753D2" w:rsidP="00365904">
      <w:pPr>
        <w:spacing w:after="0"/>
        <w:ind w:left="720"/>
        <w:jc w:val="both"/>
        <w:rPr>
          <w:b/>
          <w:bCs/>
        </w:rPr>
      </w:pPr>
      <w:r w:rsidRPr="009877D0">
        <w:rPr>
          <w:b/>
          <w:bCs/>
        </w:rPr>
        <w:t>National Heavy Vehicle Regulator</w:t>
      </w:r>
    </w:p>
    <w:p w:rsidR="004753D2" w:rsidRPr="00925BCE" w:rsidRDefault="004753D2" w:rsidP="00365904">
      <w:pPr>
        <w:jc w:val="both"/>
      </w:pPr>
    </w:p>
    <w:sectPr w:rsidR="004753D2" w:rsidRPr="00925BCE" w:rsidSect="0036590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7F6" w:rsidRDefault="005247F6" w:rsidP="005247F6">
      <w:pPr>
        <w:spacing w:after="0" w:line="240" w:lineRule="auto"/>
      </w:pPr>
      <w:r>
        <w:separator/>
      </w:r>
    </w:p>
  </w:endnote>
  <w:endnote w:type="continuationSeparator" w:id="0">
    <w:p w:rsidR="005247F6" w:rsidRDefault="005247F6" w:rsidP="0052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AEE" w:rsidRDefault="009E6A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244818"/>
      <w:docPartObj>
        <w:docPartGallery w:val="Page Numbers (Bottom of Page)"/>
        <w:docPartUnique/>
      </w:docPartObj>
    </w:sdtPr>
    <w:sdtEndPr/>
    <w:sdtContent>
      <w:sdt>
        <w:sdtPr>
          <w:id w:val="860082579"/>
          <w:docPartObj>
            <w:docPartGallery w:val="Page Numbers (Top of Page)"/>
            <w:docPartUnique/>
          </w:docPartObj>
        </w:sdtPr>
        <w:sdtEndPr/>
        <w:sdtContent>
          <w:p w:rsidR="00365904" w:rsidRDefault="00365904" w:rsidP="00365904">
            <w:pPr>
              <w:pStyle w:val="Footer"/>
              <w:jc w:val="right"/>
            </w:pPr>
          </w:p>
          <w:p w:rsidR="00365904" w:rsidRDefault="00365904" w:rsidP="00365904">
            <w:pPr>
              <w:pStyle w:val="Footer"/>
              <w:jc w:val="right"/>
            </w:pPr>
            <w:r w:rsidRPr="00365904">
              <w:t>National Heavy Vehicle Standards (Flashing Warning Lights) Exemption Notice 2020 (No.1)</w:t>
            </w:r>
          </w:p>
          <w:p w:rsidR="005247F6" w:rsidRDefault="00365904" w:rsidP="003659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54F0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4F0C">
              <w:rPr>
                <w:b/>
                <w:bCs/>
                <w:noProof/>
              </w:rPr>
              <w:t>5</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492044"/>
      <w:docPartObj>
        <w:docPartGallery w:val="Page Numbers (Top of Page)"/>
        <w:docPartUnique/>
      </w:docPartObj>
    </w:sdtPr>
    <w:sdtEndPr/>
    <w:sdtContent>
      <w:p w:rsidR="00365904" w:rsidRDefault="00365904" w:rsidP="00365904">
        <w:pPr>
          <w:pStyle w:val="Footer"/>
          <w:jc w:val="right"/>
        </w:pPr>
      </w:p>
      <w:p w:rsidR="00365904" w:rsidRDefault="00365904" w:rsidP="00365904">
        <w:pPr>
          <w:pStyle w:val="Footer"/>
          <w:jc w:val="right"/>
        </w:pPr>
        <w:r w:rsidRPr="00365904">
          <w:t>National Heavy Vehicle Standards (Flashing Warning Lights) Exemption Notice 2020 (No.1)</w:t>
        </w:r>
      </w:p>
      <w:p w:rsidR="005247F6" w:rsidRDefault="00365904" w:rsidP="003659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54F0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4F0C">
          <w:rPr>
            <w:b/>
            <w:bCs/>
            <w:noProof/>
          </w:rPr>
          <w:t>5</w:t>
        </w:r>
        <w:r>
          <w:rPr>
            <w:b/>
            <w:bCs/>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7F6" w:rsidRDefault="005247F6" w:rsidP="005247F6">
      <w:pPr>
        <w:spacing w:after="0" w:line="240" w:lineRule="auto"/>
      </w:pPr>
      <w:r>
        <w:separator/>
      </w:r>
    </w:p>
  </w:footnote>
  <w:footnote w:type="continuationSeparator" w:id="0">
    <w:p w:rsidR="005247F6" w:rsidRDefault="005247F6" w:rsidP="00524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AEE" w:rsidRDefault="009E6A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AEE" w:rsidRDefault="009E6A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9E6AEE" w:rsidRPr="00CE796A" w:rsidTr="00E61F4B">
      <w:trPr>
        <w:trHeight w:val="984"/>
      </w:trPr>
      <w:tc>
        <w:tcPr>
          <w:tcW w:w="1263" w:type="dxa"/>
          <w:tcBorders>
            <w:top w:val="single" w:sz="4" w:space="0" w:color="auto"/>
            <w:left w:val="nil"/>
            <w:bottom w:val="single" w:sz="4" w:space="0" w:color="auto"/>
            <w:right w:val="nil"/>
            <w:tl2br w:val="nil"/>
            <w:tr2bl w:val="nil"/>
          </w:tcBorders>
          <w:shd w:val="clear" w:color="auto" w:fill="auto"/>
        </w:tcPr>
        <w:p w:rsidR="009E6AEE" w:rsidRPr="00CE796A" w:rsidRDefault="009E6AEE" w:rsidP="00E61F4B">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6793E0E6" wp14:editId="2F27CACC">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9E6AEE" w:rsidRPr="00CE796A" w:rsidRDefault="009E6AEE" w:rsidP="00E61F4B">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9E6AEE" w:rsidRPr="00CE796A" w:rsidRDefault="009E6AEE" w:rsidP="00E61F4B">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9E6AEE" w:rsidRPr="00CE796A" w:rsidTr="00E61F4B">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9E6AEE" w:rsidRPr="00CE796A" w:rsidRDefault="009E6AEE" w:rsidP="00E61F4B">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9E6AEE" w:rsidRPr="00840A06" w:rsidRDefault="009E6AEE" w:rsidP="00E61F4B">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9A36F7" w:rsidRDefault="009A36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1D48"/>
    <w:multiLevelType w:val="hybridMultilevel"/>
    <w:tmpl w:val="F940D82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0BDA4BA5"/>
    <w:multiLevelType w:val="hybridMultilevel"/>
    <w:tmpl w:val="96FCE5C4"/>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nsid w:val="13460B72"/>
    <w:multiLevelType w:val="hybridMultilevel"/>
    <w:tmpl w:val="F940D82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153E0E1B"/>
    <w:multiLevelType w:val="hybridMultilevel"/>
    <w:tmpl w:val="0C3CD3F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194A5FB6"/>
    <w:multiLevelType w:val="hybridMultilevel"/>
    <w:tmpl w:val="394EC82E"/>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9F34246"/>
    <w:multiLevelType w:val="hybridMultilevel"/>
    <w:tmpl w:val="521A41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ACD62B4"/>
    <w:multiLevelType w:val="hybridMultilevel"/>
    <w:tmpl w:val="F940D82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1C87302E"/>
    <w:multiLevelType w:val="hybridMultilevel"/>
    <w:tmpl w:val="A1C45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D947986"/>
    <w:multiLevelType w:val="hybridMultilevel"/>
    <w:tmpl w:val="A702A2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2E7ADE"/>
    <w:multiLevelType w:val="hybridMultilevel"/>
    <w:tmpl w:val="0C3CD3F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285214D2"/>
    <w:multiLevelType w:val="hybridMultilevel"/>
    <w:tmpl w:val="F26014F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80D16FA"/>
    <w:multiLevelType w:val="hybridMultilevel"/>
    <w:tmpl w:val="0C3CD3F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3EF86386"/>
    <w:multiLevelType w:val="hybridMultilevel"/>
    <w:tmpl w:val="0C3CD3F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3F9B5A5C"/>
    <w:multiLevelType w:val="hybridMultilevel"/>
    <w:tmpl w:val="938CF7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54D6A84"/>
    <w:multiLevelType w:val="hybridMultilevel"/>
    <w:tmpl w:val="EB6E9F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69511B6"/>
    <w:multiLevelType w:val="hybridMultilevel"/>
    <w:tmpl w:val="A1C45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8CB461A"/>
    <w:multiLevelType w:val="hybridMultilevel"/>
    <w:tmpl w:val="0C3CD3F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6753CEE"/>
    <w:multiLevelType w:val="hybridMultilevel"/>
    <w:tmpl w:val="5D76D7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6F8644F"/>
    <w:multiLevelType w:val="hybridMultilevel"/>
    <w:tmpl w:val="0C3CD3F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799D4397"/>
    <w:multiLevelType w:val="hybridMultilevel"/>
    <w:tmpl w:val="0C3CD3F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7F6465D0"/>
    <w:multiLevelType w:val="hybridMultilevel"/>
    <w:tmpl w:val="0C3CD3F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4"/>
  </w:num>
  <w:num w:numId="2">
    <w:abstractNumId w:val="17"/>
  </w:num>
  <w:num w:numId="3">
    <w:abstractNumId w:val="5"/>
  </w:num>
  <w:num w:numId="4">
    <w:abstractNumId w:val="16"/>
  </w:num>
  <w:num w:numId="5">
    <w:abstractNumId w:val="1"/>
  </w:num>
  <w:num w:numId="6">
    <w:abstractNumId w:val="8"/>
  </w:num>
  <w:num w:numId="7">
    <w:abstractNumId w:val="18"/>
  </w:num>
  <w:num w:numId="8">
    <w:abstractNumId w:val="20"/>
  </w:num>
  <w:num w:numId="9">
    <w:abstractNumId w:val="10"/>
  </w:num>
  <w:num w:numId="10">
    <w:abstractNumId w:val="4"/>
  </w:num>
  <w:num w:numId="11">
    <w:abstractNumId w:val="0"/>
  </w:num>
  <w:num w:numId="12">
    <w:abstractNumId w:val="7"/>
  </w:num>
  <w:num w:numId="13">
    <w:abstractNumId w:val="11"/>
  </w:num>
  <w:num w:numId="14">
    <w:abstractNumId w:val="2"/>
  </w:num>
  <w:num w:numId="15">
    <w:abstractNumId w:val="3"/>
  </w:num>
  <w:num w:numId="16">
    <w:abstractNumId w:val="13"/>
  </w:num>
  <w:num w:numId="17">
    <w:abstractNumId w:val="12"/>
  </w:num>
  <w:num w:numId="18">
    <w:abstractNumId w:val="19"/>
  </w:num>
  <w:num w:numId="19">
    <w:abstractNumId w:val="15"/>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235"/>
    <w:rsid w:val="00365904"/>
    <w:rsid w:val="004753D2"/>
    <w:rsid w:val="005247F6"/>
    <w:rsid w:val="00612235"/>
    <w:rsid w:val="00715F63"/>
    <w:rsid w:val="00854F0C"/>
    <w:rsid w:val="00925BCE"/>
    <w:rsid w:val="009A36F7"/>
    <w:rsid w:val="009E6AEE"/>
    <w:rsid w:val="00A71162"/>
    <w:rsid w:val="00D72951"/>
    <w:rsid w:val="00FF17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162"/>
    <w:pPr>
      <w:ind w:left="720"/>
      <w:contextualSpacing/>
    </w:pPr>
  </w:style>
  <w:style w:type="paragraph" w:styleId="Header">
    <w:name w:val="header"/>
    <w:basedOn w:val="Normal"/>
    <w:link w:val="HeaderChar"/>
    <w:uiPriority w:val="99"/>
    <w:unhideWhenUsed/>
    <w:rsid w:val="00524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7F6"/>
  </w:style>
  <w:style w:type="paragraph" w:styleId="Footer">
    <w:name w:val="footer"/>
    <w:basedOn w:val="Normal"/>
    <w:link w:val="FooterChar"/>
    <w:uiPriority w:val="99"/>
    <w:unhideWhenUsed/>
    <w:rsid w:val="00524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7F6"/>
  </w:style>
  <w:style w:type="paragraph" w:styleId="BalloonText">
    <w:name w:val="Balloon Text"/>
    <w:basedOn w:val="Normal"/>
    <w:link w:val="BalloonTextChar"/>
    <w:uiPriority w:val="99"/>
    <w:semiHidden/>
    <w:unhideWhenUsed/>
    <w:rsid w:val="009E6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162"/>
    <w:pPr>
      <w:ind w:left="720"/>
      <w:contextualSpacing/>
    </w:pPr>
  </w:style>
  <w:style w:type="paragraph" w:styleId="Header">
    <w:name w:val="header"/>
    <w:basedOn w:val="Normal"/>
    <w:link w:val="HeaderChar"/>
    <w:uiPriority w:val="99"/>
    <w:unhideWhenUsed/>
    <w:rsid w:val="00524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7F6"/>
  </w:style>
  <w:style w:type="paragraph" w:styleId="Footer">
    <w:name w:val="footer"/>
    <w:basedOn w:val="Normal"/>
    <w:link w:val="FooterChar"/>
    <w:uiPriority w:val="99"/>
    <w:unhideWhenUsed/>
    <w:rsid w:val="00524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7F6"/>
  </w:style>
  <w:style w:type="paragraph" w:styleId="BalloonText">
    <w:name w:val="Balloon Text"/>
    <w:basedOn w:val="Normal"/>
    <w:link w:val="BalloonTextChar"/>
    <w:uiPriority w:val="99"/>
    <w:semiHidden/>
    <w:unhideWhenUsed/>
    <w:rsid w:val="009E6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41D59F8C1A3F41A2B5409D4BA3BB7A" ma:contentTypeVersion="6" ma:contentTypeDescription="Create a new document." ma:contentTypeScope="" ma:versionID="8110eb50b60b9fa0513c4553f0c9d1b4">
  <xsd:schema xmlns:xsd="http://www.w3.org/2001/XMLSchema" xmlns:xs="http://www.w3.org/2001/XMLSchema" xmlns:p="http://schemas.microsoft.com/office/2006/metadata/properties" xmlns:ns2="5ad2cbeb-fc51-4b49-87dc-42300fe4d1dd" xmlns:ns3="73f7d1ba-ac27-4bcb-a5b6-37981e86af6e" targetNamespace="http://schemas.microsoft.com/office/2006/metadata/properties" ma:root="true" ma:fieldsID="c00a69e4d25cf54a14b5f2bbf3f0af34" ns2:_="" ns3:_="">
    <xsd:import namespace="5ad2cbeb-fc51-4b49-87dc-42300fe4d1dd"/>
    <xsd:import namespace="73f7d1ba-ac27-4bcb-a5b6-37981e86af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2cbeb-fc51-4b49-87dc-42300fe4d1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7d1ba-ac27-4bcb-a5b6-37981e86af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DC974-4EB0-42FA-BFB6-86F7C0B0302F}">
  <ds:schemaRefs>
    <ds:schemaRef ds:uri="http://schemas.microsoft.com/sharepoint/v3/contenttype/forms"/>
  </ds:schemaRefs>
</ds:datastoreItem>
</file>

<file path=customXml/itemProps2.xml><?xml version="1.0" encoding="utf-8"?>
<ds:datastoreItem xmlns:ds="http://schemas.openxmlformats.org/officeDocument/2006/customXml" ds:itemID="{C91DE9B6-F297-4326-9241-94DE52F6A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48F512-4D82-42A3-84A0-845A2CCC0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2cbeb-fc51-4b49-87dc-42300fe4d1dd"/>
    <ds:schemaRef ds:uri="73f7d1ba-ac27-4bcb-a5b6-37981e86a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9D9B3-4ECB-4C07-A8B5-538D0DD52DD3}">
  <ds:schemaRefs>
    <ds:schemaRef ds:uri="http://www.w3.org/2001/XMLSchema"/>
  </ds:schemaRefs>
</ds:datastoreItem>
</file>

<file path=customXml/itemProps5.xml><?xml version="1.0" encoding="utf-8"?>
<ds:datastoreItem xmlns:ds="http://schemas.openxmlformats.org/officeDocument/2006/customXml" ds:itemID="{F042BC05-5C3E-4770-ABBA-91B46E83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Crapnell</dc:creator>
  <cp:keywords/>
  <dc:description/>
  <cp:lastModifiedBy>Robert Crapnell</cp:lastModifiedBy>
  <cp:revision>9</cp:revision>
  <dcterms:created xsi:type="dcterms:W3CDTF">2020-09-17T00:48:00Z</dcterms:created>
  <dcterms:modified xsi:type="dcterms:W3CDTF">2020-09-29T01:43:00Z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0x0101002D41D59F8C1A3F41A2B5409D4BA3BB7A</vt:lpwstr>
  </property>
</Properties>
</file>