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F4" w:rsidRPr="006076F5" w:rsidRDefault="00A34CEE">
      <w:pPr>
        <w:contextualSpacing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HEAVY VEHICLE NATIONAL LAW</w:t>
      </w:r>
    </w:p>
    <w:p w:rsidR="00A357C6" w:rsidRPr="00D62B30" w:rsidRDefault="00A357C6">
      <w:pPr>
        <w:contextualSpacing/>
        <w:rPr>
          <w:b/>
          <w:sz w:val="28"/>
          <w:szCs w:val="28"/>
          <w:lang w:val="en-US"/>
        </w:rPr>
      </w:pPr>
      <w:r w:rsidRPr="006076F5">
        <w:rPr>
          <w:b/>
          <w:sz w:val="28"/>
          <w:szCs w:val="28"/>
          <w:lang w:val="en-US"/>
        </w:rPr>
        <w:t xml:space="preserve">National Class 3 Truck and </w:t>
      </w:r>
      <w:r w:rsidR="00515619">
        <w:rPr>
          <w:b/>
          <w:sz w:val="28"/>
          <w:szCs w:val="28"/>
          <w:lang w:val="en-US"/>
        </w:rPr>
        <w:t>Dog</w:t>
      </w:r>
      <w:r w:rsidRPr="006076F5">
        <w:rPr>
          <w:b/>
          <w:sz w:val="28"/>
          <w:szCs w:val="28"/>
          <w:lang w:val="en-US"/>
        </w:rPr>
        <w:t xml:space="preserve"> </w:t>
      </w:r>
      <w:r w:rsidR="00515619">
        <w:rPr>
          <w:b/>
          <w:sz w:val="28"/>
          <w:szCs w:val="28"/>
          <w:lang w:val="en-US"/>
        </w:rPr>
        <w:t xml:space="preserve">Trailer </w:t>
      </w:r>
      <w:r w:rsidR="00C62A44">
        <w:rPr>
          <w:b/>
          <w:sz w:val="28"/>
          <w:szCs w:val="28"/>
          <w:lang w:val="en-US"/>
        </w:rPr>
        <w:t>Mass Exemption Notice 20</w:t>
      </w:r>
      <w:r w:rsidR="005452EC">
        <w:rPr>
          <w:b/>
          <w:sz w:val="28"/>
          <w:szCs w:val="28"/>
          <w:lang w:val="en-US"/>
        </w:rPr>
        <w:t>20 (No.1</w:t>
      </w:r>
      <w:r w:rsidRPr="006076F5">
        <w:rPr>
          <w:b/>
          <w:sz w:val="28"/>
          <w:szCs w:val="28"/>
          <w:lang w:val="en-US"/>
        </w:rPr>
        <w:t>)</w:t>
      </w:r>
    </w:p>
    <w:p w:rsidR="00A357C6" w:rsidRDefault="00A357C6" w:rsidP="00A357C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6076F5">
        <w:rPr>
          <w:b/>
          <w:lang w:val="en-US"/>
        </w:rPr>
        <w:t>Purpose</w:t>
      </w:r>
    </w:p>
    <w:p w:rsidR="006076F5" w:rsidRPr="006076F5" w:rsidRDefault="00333438" w:rsidP="00333438">
      <w:pPr>
        <w:pStyle w:val="ListParagraph"/>
        <w:tabs>
          <w:tab w:val="left" w:pos="1845"/>
        </w:tabs>
        <w:rPr>
          <w:b/>
          <w:lang w:val="en-US"/>
        </w:rPr>
      </w:pPr>
      <w:r>
        <w:rPr>
          <w:b/>
          <w:lang w:val="en-US"/>
        </w:rPr>
        <w:tab/>
      </w:r>
    </w:p>
    <w:p w:rsidR="006076F5" w:rsidRDefault="00515619" w:rsidP="00481D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This</w:t>
      </w:r>
      <w:r w:rsidR="00A357C6" w:rsidRPr="006076F5">
        <w:rPr>
          <w:lang w:val="en-US"/>
        </w:rPr>
        <w:t xml:space="preserve"> notice </w:t>
      </w:r>
      <w:r>
        <w:rPr>
          <w:lang w:val="en-US"/>
        </w:rPr>
        <w:t>exempts</w:t>
      </w:r>
      <w:r w:rsidR="00A357C6" w:rsidRPr="006076F5">
        <w:rPr>
          <w:lang w:val="en-US"/>
        </w:rPr>
        <w:t xml:space="preserve"> </w:t>
      </w:r>
      <w:r>
        <w:rPr>
          <w:lang w:val="en-US"/>
        </w:rPr>
        <w:t>truck and d</w:t>
      </w:r>
      <w:r w:rsidR="00A357C6" w:rsidRPr="006076F5">
        <w:rPr>
          <w:lang w:val="en-US"/>
        </w:rPr>
        <w:t xml:space="preserve">og </w:t>
      </w:r>
      <w:r>
        <w:rPr>
          <w:lang w:val="en-US"/>
        </w:rPr>
        <w:t>trailer combinations</w:t>
      </w:r>
      <w:r w:rsidR="00A357C6" w:rsidRPr="006076F5">
        <w:rPr>
          <w:lang w:val="en-US"/>
        </w:rPr>
        <w:t xml:space="preserve"> from stated</w:t>
      </w:r>
      <w:r w:rsidR="006076F5" w:rsidRPr="006076F5">
        <w:rPr>
          <w:lang w:val="en-US"/>
        </w:rPr>
        <w:t xml:space="preserve"> </w:t>
      </w:r>
      <w:r w:rsidR="00A357C6" w:rsidRPr="006076F5">
        <w:rPr>
          <w:lang w:val="en-US"/>
        </w:rPr>
        <w:t xml:space="preserve">prescribed mass requirements in Schedule 1 of the </w:t>
      </w:r>
      <w:r w:rsidR="00A357C6" w:rsidRPr="006076F5">
        <w:rPr>
          <w:i/>
          <w:lang w:val="en-US"/>
        </w:rPr>
        <w:t>Heavy Vehicle (Mass, Dimension and</w:t>
      </w:r>
      <w:r w:rsidR="006076F5" w:rsidRPr="006076F5">
        <w:rPr>
          <w:lang w:val="en-US"/>
        </w:rPr>
        <w:t xml:space="preserve"> </w:t>
      </w:r>
      <w:r w:rsidR="00A357C6" w:rsidRPr="006076F5">
        <w:rPr>
          <w:i/>
          <w:lang w:val="en-US"/>
        </w:rPr>
        <w:t xml:space="preserve">Loading) National Regulation </w:t>
      </w:r>
      <w:r w:rsidR="00A357C6" w:rsidRPr="006076F5">
        <w:rPr>
          <w:lang w:val="en-US"/>
        </w:rPr>
        <w:t>(the Regulation), and provide access for those vehicles on specified networks under specified conditions</w:t>
      </w:r>
      <w:r w:rsidR="006076F5">
        <w:rPr>
          <w:lang w:val="en-US"/>
        </w:rPr>
        <w:t>.</w:t>
      </w:r>
    </w:p>
    <w:p w:rsidR="005452EC" w:rsidRDefault="005452EC" w:rsidP="005452EC">
      <w:pPr>
        <w:pStyle w:val="ListParagraph"/>
        <w:ind w:left="1080"/>
        <w:rPr>
          <w:lang w:val="en-US"/>
        </w:rPr>
      </w:pPr>
    </w:p>
    <w:p w:rsidR="005452EC" w:rsidRPr="005452EC" w:rsidRDefault="005452EC" w:rsidP="00481D1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This Notice revokes and replaces the </w:t>
      </w:r>
      <w:r w:rsidRPr="00C62A44">
        <w:rPr>
          <w:i/>
          <w:lang w:val="en-US"/>
        </w:rPr>
        <w:t xml:space="preserve">National Class 3 Truck and Dog Trailer </w:t>
      </w:r>
      <w:r>
        <w:rPr>
          <w:i/>
          <w:lang w:val="en-US"/>
        </w:rPr>
        <w:t>Mass Exemption Notice 2018.</w:t>
      </w:r>
    </w:p>
    <w:p w:rsidR="005452EC" w:rsidRDefault="005452EC" w:rsidP="005452EC">
      <w:pPr>
        <w:pStyle w:val="ListParagraph"/>
        <w:ind w:left="1080"/>
        <w:rPr>
          <w:i/>
          <w:lang w:val="en-US"/>
        </w:rPr>
      </w:pPr>
    </w:p>
    <w:p w:rsidR="006076F5" w:rsidRDefault="005452EC" w:rsidP="005452EC">
      <w:pPr>
        <w:pStyle w:val="ListParagraph"/>
        <w:ind w:left="2160" w:hanging="1080"/>
        <w:rPr>
          <w:i/>
          <w:lang w:val="en-US"/>
        </w:rPr>
      </w:pPr>
      <w:r>
        <w:rPr>
          <w:i/>
          <w:lang w:val="en-US"/>
        </w:rPr>
        <w:t>Note:</w:t>
      </w:r>
      <w:r>
        <w:rPr>
          <w:i/>
          <w:lang w:val="en-US"/>
        </w:rPr>
        <w:tab/>
        <w:t>This version of the Notice</w:t>
      </w:r>
      <w:r w:rsidR="00A94A47">
        <w:rPr>
          <w:i/>
          <w:lang w:val="en-US"/>
        </w:rPr>
        <w:t xml:space="preserve"> removes</w:t>
      </w:r>
      <w:r>
        <w:rPr>
          <w:i/>
          <w:lang w:val="en-US"/>
        </w:rPr>
        <w:t xml:space="preserve"> the maintenance requirements in the South Australian Schedule. No other conditions of this Notice are amended.</w:t>
      </w:r>
    </w:p>
    <w:p w:rsidR="005452EC" w:rsidRPr="005452EC" w:rsidRDefault="005452EC" w:rsidP="005452EC">
      <w:pPr>
        <w:pStyle w:val="ListParagraph"/>
        <w:ind w:left="2160" w:hanging="1080"/>
        <w:rPr>
          <w:lang w:val="en-US"/>
        </w:rPr>
      </w:pPr>
    </w:p>
    <w:p w:rsidR="00A357C6" w:rsidRDefault="00A357C6" w:rsidP="00A357C6">
      <w:pPr>
        <w:pStyle w:val="ListParagraph"/>
        <w:numPr>
          <w:ilvl w:val="0"/>
          <w:numId w:val="1"/>
        </w:numPr>
        <w:rPr>
          <w:b/>
          <w:lang w:val="en-US"/>
        </w:rPr>
      </w:pPr>
      <w:proofErr w:type="spellStart"/>
      <w:r w:rsidRPr="006076F5">
        <w:rPr>
          <w:b/>
          <w:lang w:val="en-US"/>
        </w:rPr>
        <w:t>Authorising</w:t>
      </w:r>
      <w:proofErr w:type="spellEnd"/>
      <w:r w:rsidRPr="006076F5">
        <w:rPr>
          <w:b/>
          <w:lang w:val="en-US"/>
        </w:rPr>
        <w:t xml:space="preserve"> Provision</w:t>
      </w:r>
    </w:p>
    <w:p w:rsidR="006076F5" w:rsidRPr="006076F5" w:rsidRDefault="006076F5" w:rsidP="006076F5">
      <w:pPr>
        <w:pStyle w:val="ListParagraph"/>
        <w:rPr>
          <w:b/>
          <w:lang w:val="en-US"/>
        </w:rPr>
      </w:pPr>
    </w:p>
    <w:p w:rsidR="00A357C6" w:rsidRDefault="00A357C6" w:rsidP="00481D1F">
      <w:pPr>
        <w:pStyle w:val="ListParagraph"/>
        <w:numPr>
          <w:ilvl w:val="0"/>
          <w:numId w:val="4"/>
        </w:numPr>
        <w:rPr>
          <w:lang w:val="en-US"/>
        </w:rPr>
      </w:pPr>
      <w:r w:rsidRPr="00A357C6">
        <w:rPr>
          <w:lang w:val="en-US"/>
        </w:rPr>
        <w:t xml:space="preserve">This notice is made under Section 117 of the Heavy Vehicle National Law </w:t>
      </w:r>
      <w:r>
        <w:rPr>
          <w:lang w:val="en-US"/>
        </w:rPr>
        <w:t xml:space="preserve">(HVNL) </w:t>
      </w:r>
      <w:r w:rsidRPr="00A357C6">
        <w:rPr>
          <w:lang w:val="en-US"/>
        </w:rPr>
        <w:t>as in force in each participating jurisdiction (HVNL).</w:t>
      </w:r>
    </w:p>
    <w:p w:rsidR="006076F5" w:rsidRPr="006076F5" w:rsidRDefault="006076F5" w:rsidP="006076F5">
      <w:pPr>
        <w:pStyle w:val="ListParagraph"/>
        <w:ind w:left="1080"/>
        <w:rPr>
          <w:lang w:val="en-US"/>
        </w:rPr>
      </w:pPr>
    </w:p>
    <w:p w:rsidR="00A357C6" w:rsidRDefault="00A357C6" w:rsidP="00A357C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6076F5">
        <w:rPr>
          <w:b/>
          <w:lang w:val="en-US"/>
        </w:rPr>
        <w:t>Commencement</w:t>
      </w:r>
    </w:p>
    <w:p w:rsidR="006076F5" w:rsidRPr="006076F5" w:rsidRDefault="006076F5" w:rsidP="006076F5">
      <w:pPr>
        <w:pStyle w:val="ListParagraph"/>
        <w:rPr>
          <w:b/>
          <w:lang w:val="en-US"/>
        </w:rPr>
      </w:pPr>
    </w:p>
    <w:p w:rsidR="00A357C6" w:rsidRDefault="00A357C6" w:rsidP="00481D1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This Notice commences on</w:t>
      </w:r>
      <w:r w:rsidR="00A42EAC">
        <w:rPr>
          <w:lang w:val="en-US"/>
        </w:rPr>
        <w:t xml:space="preserve"> </w:t>
      </w:r>
      <w:r w:rsidR="00C84637">
        <w:rPr>
          <w:lang w:val="en-US"/>
        </w:rPr>
        <w:t>1 August</w:t>
      </w:r>
      <w:r w:rsidR="005452EC">
        <w:rPr>
          <w:lang w:val="en-US"/>
        </w:rPr>
        <w:t xml:space="preserve"> 2020</w:t>
      </w:r>
      <w:r>
        <w:rPr>
          <w:lang w:val="en-US"/>
        </w:rPr>
        <w:t>.</w:t>
      </w:r>
    </w:p>
    <w:p w:rsidR="006076F5" w:rsidRPr="006076F5" w:rsidRDefault="006076F5" w:rsidP="006076F5">
      <w:pPr>
        <w:pStyle w:val="ListParagraph"/>
        <w:ind w:left="1080"/>
        <w:rPr>
          <w:lang w:val="en-US"/>
        </w:rPr>
      </w:pPr>
    </w:p>
    <w:p w:rsidR="00A357C6" w:rsidRDefault="00A357C6" w:rsidP="00A357C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6076F5">
        <w:rPr>
          <w:b/>
          <w:lang w:val="en-US"/>
        </w:rPr>
        <w:t>Expiry</w:t>
      </w:r>
    </w:p>
    <w:p w:rsidR="006076F5" w:rsidRPr="006076F5" w:rsidRDefault="006076F5" w:rsidP="006076F5">
      <w:pPr>
        <w:pStyle w:val="ListParagraph"/>
        <w:rPr>
          <w:b/>
          <w:lang w:val="en-US"/>
        </w:rPr>
      </w:pPr>
    </w:p>
    <w:p w:rsidR="00A357C6" w:rsidRDefault="00A357C6" w:rsidP="00481D1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This Notice expires </w:t>
      </w:r>
      <w:r w:rsidR="005452EC">
        <w:rPr>
          <w:lang w:val="en-US"/>
        </w:rPr>
        <w:t>on 21 November 2023</w:t>
      </w:r>
      <w:r>
        <w:rPr>
          <w:lang w:val="en-US"/>
        </w:rPr>
        <w:t>.</w:t>
      </w:r>
    </w:p>
    <w:p w:rsidR="006076F5" w:rsidRPr="006076F5" w:rsidRDefault="006076F5" w:rsidP="006076F5">
      <w:pPr>
        <w:pStyle w:val="ListParagraph"/>
        <w:ind w:left="1080"/>
        <w:rPr>
          <w:lang w:val="en-US"/>
        </w:rPr>
      </w:pPr>
    </w:p>
    <w:p w:rsidR="00A357C6" w:rsidRDefault="00A357C6" w:rsidP="00A357C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6076F5">
        <w:rPr>
          <w:b/>
          <w:lang w:val="en-US"/>
        </w:rPr>
        <w:t>Definitions</w:t>
      </w:r>
    </w:p>
    <w:p w:rsidR="006076F5" w:rsidRPr="006076F5" w:rsidRDefault="006076F5" w:rsidP="006076F5">
      <w:pPr>
        <w:pStyle w:val="ListParagraph"/>
        <w:rPr>
          <w:b/>
          <w:lang w:val="en-US"/>
        </w:rPr>
      </w:pPr>
    </w:p>
    <w:p w:rsidR="00A357C6" w:rsidRDefault="00A357C6" w:rsidP="00481D1F">
      <w:pPr>
        <w:pStyle w:val="ListParagraph"/>
        <w:numPr>
          <w:ilvl w:val="0"/>
          <w:numId w:val="7"/>
        </w:numPr>
        <w:rPr>
          <w:lang w:val="en-US"/>
        </w:rPr>
      </w:pPr>
      <w:r w:rsidRPr="006076F5">
        <w:rPr>
          <w:lang w:val="en-US"/>
        </w:rPr>
        <w:t>Unless otherwise stated, words and expressions used in this Notice and its Schedules have the same meanings as those defined in the HVNL.</w:t>
      </w:r>
    </w:p>
    <w:p w:rsidR="006076F5" w:rsidRPr="006076F5" w:rsidRDefault="006076F5" w:rsidP="006076F5">
      <w:pPr>
        <w:pStyle w:val="ListParagraph"/>
        <w:ind w:left="1080"/>
        <w:rPr>
          <w:lang w:val="en-US"/>
        </w:rPr>
      </w:pPr>
    </w:p>
    <w:p w:rsidR="00A357C6" w:rsidRPr="006076F5" w:rsidRDefault="00A357C6" w:rsidP="00481D1F">
      <w:pPr>
        <w:pStyle w:val="ListParagraph"/>
        <w:numPr>
          <w:ilvl w:val="0"/>
          <w:numId w:val="7"/>
        </w:numPr>
        <w:rPr>
          <w:lang w:val="en-US"/>
        </w:rPr>
      </w:pPr>
      <w:r w:rsidRPr="006076F5">
        <w:rPr>
          <w:lang w:val="en-US"/>
        </w:rPr>
        <w:t>In this Notice and its Schedules:-</w:t>
      </w:r>
    </w:p>
    <w:p w:rsidR="00A357C6" w:rsidRDefault="00A357C6" w:rsidP="006076F5">
      <w:pPr>
        <w:ind w:left="1080"/>
        <w:contextualSpacing/>
        <w:rPr>
          <w:lang w:val="en-US"/>
        </w:rPr>
      </w:pPr>
      <w:r w:rsidRPr="006076F5">
        <w:rPr>
          <w:b/>
          <w:lang w:val="en-US"/>
        </w:rPr>
        <w:t>Axle Spacing</w:t>
      </w:r>
      <w:r>
        <w:rPr>
          <w:lang w:val="en-US"/>
        </w:rPr>
        <w:t xml:space="preserve"> means the greatest distance between </w:t>
      </w:r>
      <w:proofErr w:type="spellStart"/>
      <w:r>
        <w:rPr>
          <w:lang w:val="en-US"/>
        </w:rPr>
        <w:t>centres</w:t>
      </w:r>
      <w:proofErr w:type="spellEnd"/>
      <w:r>
        <w:rPr>
          <w:lang w:val="en-US"/>
        </w:rPr>
        <w:t xml:space="preserve"> of axles in any two axle groups.</w:t>
      </w:r>
    </w:p>
    <w:p w:rsidR="00A357C6" w:rsidRDefault="00A357C6" w:rsidP="00A357C6">
      <w:pPr>
        <w:contextualSpacing/>
        <w:rPr>
          <w:lang w:val="en-US"/>
        </w:rPr>
      </w:pPr>
    </w:p>
    <w:p w:rsidR="00A357C6" w:rsidRDefault="00A357C6" w:rsidP="006076F5">
      <w:pPr>
        <w:ind w:left="1080"/>
        <w:contextualSpacing/>
        <w:rPr>
          <w:lang w:val="en-US"/>
        </w:rPr>
      </w:pPr>
      <w:r w:rsidRPr="006076F5">
        <w:rPr>
          <w:b/>
          <w:lang w:val="en-US"/>
        </w:rPr>
        <w:t>Participating jurisdiction</w:t>
      </w:r>
      <w:r>
        <w:rPr>
          <w:lang w:val="en-US"/>
        </w:rPr>
        <w:t xml:space="preserve"> means the Australian Capital Territory, New South Wales, Queensland, South Australia</w:t>
      </w:r>
      <w:r w:rsidR="00F57DF0">
        <w:rPr>
          <w:lang w:val="en-US"/>
        </w:rPr>
        <w:t xml:space="preserve"> </w:t>
      </w:r>
      <w:r>
        <w:rPr>
          <w:lang w:val="en-US"/>
        </w:rPr>
        <w:t>and Victoria.</w:t>
      </w:r>
    </w:p>
    <w:p w:rsidR="00A357C6" w:rsidRDefault="00A357C6" w:rsidP="00A357C6">
      <w:pPr>
        <w:contextualSpacing/>
        <w:rPr>
          <w:lang w:val="en-US"/>
        </w:rPr>
      </w:pPr>
    </w:p>
    <w:p w:rsidR="00A357C6" w:rsidRDefault="00A357C6" w:rsidP="006076F5">
      <w:pPr>
        <w:ind w:left="1080"/>
        <w:contextualSpacing/>
        <w:rPr>
          <w:lang w:val="en-US"/>
        </w:rPr>
      </w:pPr>
      <w:r w:rsidRPr="006076F5">
        <w:rPr>
          <w:b/>
          <w:lang w:val="en-US"/>
        </w:rPr>
        <w:lastRenderedPageBreak/>
        <w:t>Truck and Dog heavy vehicle</w:t>
      </w:r>
      <w:r w:rsidRPr="00A357C6">
        <w:rPr>
          <w:lang w:val="en-US"/>
        </w:rPr>
        <w:t xml:space="preserve"> means a combination consisti</w:t>
      </w:r>
      <w:r>
        <w:rPr>
          <w:lang w:val="en-US"/>
        </w:rPr>
        <w:t xml:space="preserve">ng of a rigid truck with 3 or 4 </w:t>
      </w:r>
      <w:r w:rsidRPr="00A357C6">
        <w:rPr>
          <w:lang w:val="en-US"/>
        </w:rPr>
        <w:t>axles towing a dog trailer with 3 or 4 axles.</w:t>
      </w:r>
      <w:r>
        <w:rPr>
          <w:lang w:val="en-US"/>
        </w:rPr>
        <w:t xml:space="preserve"> </w:t>
      </w:r>
    </w:p>
    <w:p w:rsidR="00A357C6" w:rsidRDefault="00A357C6" w:rsidP="00A357C6">
      <w:pPr>
        <w:contextualSpacing/>
        <w:rPr>
          <w:lang w:val="en-US"/>
        </w:rPr>
      </w:pPr>
    </w:p>
    <w:p w:rsidR="00A357C6" w:rsidRDefault="00A357C6" w:rsidP="006076F5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6076F5">
        <w:rPr>
          <w:b/>
          <w:lang w:val="en-US"/>
        </w:rPr>
        <w:t>Application</w:t>
      </w:r>
    </w:p>
    <w:p w:rsidR="006076F5" w:rsidRPr="006076F5" w:rsidRDefault="006076F5" w:rsidP="006076F5">
      <w:pPr>
        <w:pStyle w:val="ListParagraph"/>
        <w:rPr>
          <w:b/>
          <w:lang w:val="en-US"/>
        </w:rPr>
      </w:pPr>
    </w:p>
    <w:p w:rsidR="00A357C6" w:rsidRDefault="00A357C6" w:rsidP="00481D1F">
      <w:pPr>
        <w:pStyle w:val="ListParagraph"/>
        <w:numPr>
          <w:ilvl w:val="0"/>
          <w:numId w:val="9"/>
        </w:numPr>
        <w:rPr>
          <w:lang w:val="en-US"/>
        </w:rPr>
      </w:pPr>
      <w:r w:rsidRPr="00A357C6">
        <w:rPr>
          <w:lang w:val="en-US"/>
        </w:rPr>
        <w:t>This notice applies to a Tr</w:t>
      </w:r>
      <w:r w:rsidR="006076F5">
        <w:rPr>
          <w:lang w:val="en-US"/>
        </w:rPr>
        <w:t>uck and Dog heavy vehicle where:</w:t>
      </w:r>
    </w:p>
    <w:p w:rsidR="00CF3B63" w:rsidRPr="00A357C6" w:rsidRDefault="00CF3B63" w:rsidP="00CF3B63">
      <w:pPr>
        <w:pStyle w:val="ListParagraph"/>
        <w:ind w:left="1080"/>
        <w:rPr>
          <w:lang w:val="en-US"/>
        </w:rPr>
      </w:pPr>
    </w:p>
    <w:p w:rsidR="00A357C6" w:rsidRPr="006076F5" w:rsidRDefault="00A357C6" w:rsidP="00481D1F">
      <w:pPr>
        <w:pStyle w:val="ListParagraph"/>
        <w:numPr>
          <w:ilvl w:val="0"/>
          <w:numId w:val="8"/>
        </w:numPr>
        <w:rPr>
          <w:lang w:val="en-US"/>
        </w:rPr>
      </w:pPr>
      <w:r w:rsidRPr="006076F5">
        <w:rPr>
          <w:lang w:val="en-US"/>
        </w:rPr>
        <w:t>the combination does not exceed 19m in length; and</w:t>
      </w:r>
    </w:p>
    <w:p w:rsidR="00A357C6" w:rsidRPr="006076F5" w:rsidRDefault="00A357C6" w:rsidP="00481D1F">
      <w:pPr>
        <w:pStyle w:val="ListParagraph"/>
        <w:numPr>
          <w:ilvl w:val="0"/>
          <w:numId w:val="8"/>
        </w:numPr>
        <w:rPr>
          <w:lang w:val="en-US"/>
        </w:rPr>
      </w:pPr>
      <w:r w:rsidRPr="006076F5">
        <w:rPr>
          <w:lang w:val="en-US"/>
        </w:rPr>
        <w:t>the truck has a single steer axle or a twin steer axle group at the front, and a dual</w:t>
      </w:r>
      <w:r w:rsidR="006076F5" w:rsidRPr="006076F5">
        <w:rPr>
          <w:lang w:val="en-US"/>
        </w:rPr>
        <w:t>-</w:t>
      </w:r>
      <w:r w:rsidRPr="006076F5">
        <w:rPr>
          <w:lang w:val="en-US"/>
        </w:rPr>
        <w:t>drive</w:t>
      </w:r>
      <w:r w:rsidR="006076F5">
        <w:rPr>
          <w:lang w:val="en-US"/>
        </w:rPr>
        <w:t xml:space="preserve"> </w:t>
      </w:r>
      <w:r w:rsidRPr="006076F5">
        <w:rPr>
          <w:lang w:val="en-US"/>
        </w:rPr>
        <w:t>tandem axle group at the rear; and</w:t>
      </w:r>
    </w:p>
    <w:p w:rsidR="00A357C6" w:rsidRDefault="00A357C6" w:rsidP="00481D1F">
      <w:pPr>
        <w:pStyle w:val="ListParagraph"/>
        <w:numPr>
          <w:ilvl w:val="0"/>
          <w:numId w:val="8"/>
        </w:numPr>
        <w:rPr>
          <w:lang w:val="en-US"/>
        </w:rPr>
      </w:pPr>
      <w:proofErr w:type="gramStart"/>
      <w:r w:rsidRPr="006076F5">
        <w:rPr>
          <w:lang w:val="en-US"/>
        </w:rPr>
        <w:t>the</w:t>
      </w:r>
      <w:proofErr w:type="gramEnd"/>
      <w:r w:rsidRPr="006076F5">
        <w:rPr>
          <w:lang w:val="en-US"/>
        </w:rPr>
        <w:t xml:space="preserve"> dog trailer has either a single axle or a tandem axle group at the front, and a</w:t>
      </w:r>
      <w:r w:rsidR="006076F5">
        <w:rPr>
          <w:lang w:val="en-US"/>
        </w:rPr>
        <w:t xml:space="preserve"> </w:t>
      </w:r>
      <w:r w:rsidRPr="006076F5">
        <w:rPr>
          <w:lang w:val="en-US"/>
        </w:rPr>
        <w:t>tandem axle group at the rear.</w:t>
      </w:r>
    </w:p>
    <w:p w:rsidR="00AD7F93" w:rsidRPr="00AD7F93" w:rsidRDefault="00AD7F93" w:rsidP="00AD7F93">
      <w:pPr>
        <w:pStyle w:val="ListParagraph"/>
        <w:ind w:left="1440"/>
        <w:rPr>
          <w:lang w:val="en-US"/>
        </w:rPr>
      </w:pPr>
    </w:p>
    <w:p w:rsidR="00AD7F93" w:rsidRDefault="00AD7F93" w:rsidP="00AD7F93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AD7F93">
        <w:rPr>
          <w:b/>
          <w:lang w:val="en-US"/>
        </w:rPr>
        <w:t>Exemption from prescribed mass requirements</w:t>
      </w:r>
    </w:p>
    <w:p w:rsidR="00AD7F93" w:rsidRPr="00AD7F93" w:rsidRDefault="00AD7F93" w:rsidP="00AD7F93">
      <w:pPr>
        <w:pStyle w:val="ListParagraph"/>
        <w:rPr>
          <w:b/>
          <w:lang w:val="en-US"/>
        </w:rPr>
      </w:pPr>
    </w:p>
    <w:p w:rsidR="00AD7F93" w:rsidRDefault="00AD7F93" w:rsidP="00481D1F">
      <w:pPr>
        <w:pStyle w:val="ListParagraph"/>
        <w:numPr>
          <w:ilvl w:val="0"/>
          <w:numId w:val="10"/>
        </w:numPr>
        <w:rPr>
          <w:lang w:val="en-US"/>
        </w:rPr>
      </w:pPr>
      <w:r w:rsidRPr="00AD7F93">
        <w:rPr>
          <w:lang w:val="en-US"/>
        </w:rPr>
        <w:t>This notice exempts Truck and Dog heavy vehicles from the following general mass limits</w:t>
      </w:r>
      <w:r>
        <w:rPr>
          <w:lang w:val="en-US"/>
        </w:rPr>
        <w:t xml:space="preserve"> </w:t>
      </w:r>
      <w:r w:rsidRPr="00AD7F93">
        <w:rPr>
          <w:lang w:val="en-US"/>
        </w:rPr>
        <w:t>specified in Schedule 1 of the Regulation:</w:t>
      </w:r>
    </w:p>
    <w:p w:rsidR="00AD7F93" w:rsidRPr="00AD7F93" w:rsidRDefault="00AD7F93" w:rsidP="00AD7F93">
      <w:pPr>
        <w:pStyle w:val="ListParagraph"/>
        <w:ind w:left="1080"/>
        <w:rPr>
          <w:lang w:val="en-US"/>
        </w:rPr>
      </w:pPr>
    </w:p>
    <w:p w:rsidR="00AD7F93" w:rsidRPr="00AD7F93" w:rsidRDefault="00AD7F93" w:rsidP="00481D1F">
      <w:pPr>
        <w:pStyle w:val="ListParagraph"/>
        <w:numPr>
          <w:ilvl w:val="0"/>
          <w:numId w:val="11"/>
        </w:numPr>
        <w:rPr>
          <w:lang w:val="en-US"/>
        </w:rPr>
      </w:pPr>
      <w:r w:rsidRPr="00AD7F93">
        <w:rPr>
          <w:lang w:val="en-US"/>
        </w:rPr>
        <w:t>Section 2(1)(a)(iv); and</w:t>
      </w:r>
    </w:p>
    <w:p w:rsidR="00AD7F93" w:rsidRPr="00AD7F93" w:rsidRDefault="00AD7F93" w:rsidP="00481D1F">
      <w:pPr>
        <w:pStyle w:val="ListParagraph"/>
        <w:numPr>
          <w:ilvl w:val="0"/>
          <w:numId w:val="11"/>
        </w:numPr>
        <w:rPr>
          <w:lang w:val="en-US"/>
        </w:rPr>
      </w:pPr>
      <w:r w:rsidRPr="00AD7F93">
        <w:rPr>
          <w:lang w:val="en-US"/>
        </w:rPr>
        <w:t>Section 2(4); and</w:t>
      </w:r>
    </w:p>
    <w:p w:rsidR="00A94A47" w:rsidRDefault="00AD7F93" w:rsidP="00A94A47">
      <w:pPr>
        <w:pStyle w:val="ListParagraph"/>
        <w:numPr>
          <w:ilvl w:val="0"/>
          <w:numId w:val="11"/>
        </w:numPr>
        <w:rPr>
          <w:lang w:val="en-US"/>
        </w:rPr>
      </w:pPr>
      <w:r w:rsidRPr="00AD7F93">
        <w:rPr>
          <w:lang w:val="en-US"/>
        </w:rPr>
        <w:t>Section 5(1)</w:t>
      </w:r>
      <w:r>
        <w:rPr>
          <w:lang w:val="en-US"/>
        </w:rPr>
        <w:t>.</w:t>
      </w:r>
    </w:p>
    <w:p w:rsidR="00A94A47" w:rsidRPr="00A94A47" w:rsidRDefault="00A94A47" w:rsidP="00A94A47">
      <w:pPr>
        <w:pStyle w:val="ListParagraph"/>
        <w:ind w:left="1440"/>
        <w:rPr>
          <w:lang w:val="en-US"/>
        </w:rPr>
      </w:pPr>
    </w:p>
    <w:p w:rsidR="00163DDD" w:rsidRDefault="00A94A47" w:rsidP="00A94A47">
      <w:pPr>
        <w:pStyle w:val="ListParagraph"/>
        <w:numPr>
          <w:ilvl w:val="0"/>
          <w:numId w:val="10"/>
        </w:numPr>
        <w:rPr>
          <w:lang w:val="en-US"/>
        </w:rPr>
      </w:pPr>
      <w:r w:rsidRPr="00A94A47">
        <w:rPr>
          <w:lang w:val="en-US"/>
        </w:rPr>
        <w:t xml:space="preserve">The exemption in this section only applies to the extent of the conditional </w:t>
      </w:r>
      <w:r>
        <w:rPr>
          <w:lang w:val="en-US"/>
        </w:rPr>
        <w:t>mass limits</w:t>
      </w:r>
      <w:r w:rsidRPr="00A94A47">
        <w:rPr>
          <w:lang w:val="en-US"/>
        </w:rPr>
        <w:t xml:space="preserve"> set out in </w:t>
      </w:r>
      <w:r>
        <w:rPr>
          <w:lang w:val="en-US"/>
        </w:rPr>
        <w:t>this Notice</w:t>
      </w:r>
      <w:r w:rsidRPr="00A94A47">
        <w:rPr>
          <w:lang w:val="en-US"/>
        </w:rPr>
        <w:t>, and when other relevant conditions in the Notice are met.</w:t>
      </w:r>
    </w:p>
    <w:p w:rsidR="00A94A47" w:rsidRPr="00163DDD" w:rsidRDefault="00A94A47" w:rsidP="00A94A47">
      <w:pPr>
        <w:pStyle w:val="ListParagraph"/>
        <w:ind w:left="1080"/>
        <w:rPr>
          <w:lang w:val="en-US"/>
        </w:rPr>
      </w:pPr>
    </w:p>
    <w:p w:rsidR="00163DDD" w:rsidRDefault="00163DDD" w:rsidP="00163DDD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163DDD">
        <w:rPr>
          <w:b/>
          <w:lang w:val="en-US"/>
        </w:rPr>
        <w:t xml:space="preserve">Condition - </w:t>
      </w:r>
      <w:r w:rsidR="003F3852">
        <w:rPr>
          <w:b/>
          <w:lang w:val="en-US"/>
        </w:rPr>
        <w:t>General combination mass limits</w:t>
      </w:r>
    </w:p>
    <w:p w:rsidR="00163DDD" w:rsidRPr="00163DDD" w:rsidRDefault="00163DDD" w:rsidP="00163DDD">
      <w:pPr>
        <w:pStyle w:val="ListParagraph"/>
        <w:rPr>
          <w:b/>
          <w:lang w:val="en-US"/>
        </w:rPr>
      </w:pPr>
    </w:p>
    <w:p w:rsidR="00163DDD" w:rsidRDefault="00163DDD" w:rsidP="00481D1F">
      <w:pPr>
        <w:pStyle w:val="ListParagraph"/>
        <w:numPr>
          <w:ilvl w:val="0"/>
          <w:numId w:val="12"/>
        </w:numPr>
        <w:rPr>
          <w:lang w:val="en-US"/>
        </w:rPr>
      </w:pPr>
      <w:r w:rsidRPr="00163DDD">
        <w:rPr>
          <w:lang w:val="en-US"/>
        </w:rPr>
        <w:t>The mass of a Truck and Dog heavy vehicle must not ex</w:t>
      </w:r>
      <w:r>
        <w:rPr>
          <w:lang w:val="en-US"/>
        </w:rPr>
        <w:t xml:space="preserve">ceed a mass requirement for the </w:t>
      </w:r>
      <w:r w:rsidRPr="00163DDD">
        <w:rPr>
          <w:lang w:val="en-US"/>
        </w:rPr>
        <w:t>vehicle specified in the Schedules to this Notice.</w:t>
      </w:r>
    </w:p>
    <w:p w:rsidR="003F3852" w:rsidRDefault="003F3852" w:rsidP="003F3852">
      <w:pPr>
        <w:pStyle w:val="ListParagraph"/>
        <w:ind w:left="1080"/>
        <w:rPr>
          <w:lang w:val="en-US"/>
        </w:rPr>
      </w:pPr>
    </w:p>
    <w:p w:rsidR="003F3852" w:rsidRDefault="003F3852" w:rsidP="003F3852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3F3852">
        <w:rPr>
          <w:b/>
          <w:lang w:val="en-US"/>
        </w:rPr>
        <w:t>Conditions - Axle spacing limits</w:t>
      </w:r>
    </w:p>
    <w:p w:rsidR="003F3852" w:rsidRPr="003F3852" w:rsidRDefault="003F3852" w:rsidP="003F3852">
      <w:pPr>
        <w:pStyle w:val="ListParagraph"/>
        <w:rPr>
          <w:b/>
          <w:lang w:val="en-US"/>
        </w:rPr>
      </w:pPr>
    </w:p>
    <w:p w:rsidR="003F3852" w:rsidRDefault="003F3852" w:rsidP="00481D1F">
      <w:pPr>
        <w:pStyle w:val="ListParagraph"/>
        <w:numPr>
          <w:ilvl w:val="0"/>
          <w:numId w:val="13"/>
        </w:numPr>
        <w:rPr>
          <w:lang w:val="en-US"/>
        </w:rPr>
      </w:pPr>
      <w:r w:rsidRPr="003F3852">
        <w:rPr>
          <w:lang w:val="en-US"/>
        </w:rPr>
        <w:t xml:space="preserve">The mass of a Truck and Dog heavy vehicle relating to an axle spacing of the combination, where the combination is more than 42.5t, must not be more </w:t>
      </w:r>
      <w:r>
        <w:rPr>
          <w:lang w:val="en-US"/>
        </w:rPr>
        <w:t xml:space="preserve">than the mass limit stated in: </w:t>
      </w:r>
    </w:p>
    <w:p w:rsidR="003F3852" w:rsidRPr="003F3852" w:rsidRDefault="003F3852" w:rsidP="003F3852">
      <w:pPr>
        <w:pStyle w:val="ListParagraph"/>
        <w:ind w:left="1080"/>
        <w:rPr>
          <w:lang w:val="en-US"/>
        </w:rPr>
      </w:pPr>
    </w:p>
    <w:p w:rsidR="003F3852" w:rsidRPr="003F3852" w:rsidRDefault="003F3852" w:rsidP="00481D1F">
      <w:pPr>
        <w:pStyle w:val="ListParagraph"/>
        <w:numPr>
          <w:ilvl w:val="0"/>
          <w:numId w:val="14"/>
        </w:numPr>
        <w:rPr>
          <w:lang w:val="en-US"/>
        </w:rPr>
      </w:pPr>
      <w:r w:rsidRPr="003F3852">
        <w:rPr>
          <w:lang w:val="en-US"/>
        </w:rPr>
        <w:t>Table 2 (Axle spacing mass limits general table) of Schedule 1 of the Regulation, where the length of the axle spacing is not more than 10m; and</w:t>
      </w:r>
    </w:p>
    <w:p w:rsidR="003F3852" w:rsidRDefault="003F3852" w:rsidP="00481D1F">
      <w:pPr>
        <w:pStyle w:val="ListParagraph"/>
        <w:numPr>
          <w:ilvl w:val="0"/>
          <w:numId w:val="14"/>
        </w:numPr>
        <w:rPr>
          <w:lang w:val="en-US"/>
        </w:rPr>
      </w:pPr>
      <w:r w:rsidRPr="003F3852">
        <w:rPr>
          <w:lang w:val="en-US"/>
        </w:rPr>
        <w:t>Table 1 of this notice, where the length of the</w:t>
      </w:r>
      <w:r>
        <w:rPr>
          <w:lang w:val="en-US"/>
        </w:rPr>
        <w:t xml:space="preserve"> axle spacing is more than 10m.</w:t>
      </w:r>
    </w:p>
    <w:p w:rsidR="003F3852" w:rsidRPr="003F3852" w:rsidRDefault="003F3852" w:rsidP="003F3852">
      <w:pPr>
        <w:pStyle w:val="ListParagraph"/>
        <w:ind w:left="1440"/>
        <w:rPr>
          <w:lang w:val="en-US"/>
        </w:rPr>
      </w:pPr>
    </w:p>
    <w:p w:rsidR="003F3852" w:rsidRDefault="003F3852" w:rsidP="00481D1F">
      <w:pPr>
        <w:pStyle w:val="ListParagraph"/>
        <w:numPr>
          <w:ilvl w:val="0"/>
          <w:numId w:val="13"/>
        </w:numPr>
        <w:rPr>
          <w:lang w:val="en-US"/>
        </w:rPr>
      </w:pPr>
      <w:r w:rsidRPr="003F3852">
        <w:rPr>
          <w:lang w:val="en-US"/>
        </w:rPr>
        <w:t xml:space="preserve">The mass limit stated in </w:t>
      </w:r>
      <w:r w:rsidR="00A95356">
        <w:rPr>
          <w:lang w:val="en-US"/>
        </w:rPr>
        <w:t>section</w:t>
      </w:r>
      <w:r w:rsidRPr="003F3852">
        <w:rPr>
          <w:lang w:val="en-US"/>
        </w:rPr>
        <w:t xml:space="preserve"> (a) or (b) is increased by 0.5t if the axle spacing includes a</w:t>
      </w:r>
      <w:r>
        <w:rPr>
          <w:lang w:val="en-US"/>
        </w:rPr>
        <w:t xml:space="preserve"> </w:t>
      </w:r>
      <w:r w:rsidRPr="003F3852">
        <w:rPr>
          <w:lang w:val="en-US"/>
        </w:rPr>
        <w:t>steer axle to which the steer axle mass exception limits apply.</w:t>
      </w:r>
    </w:p>
    <w:p w:rsidR="003F3852" w:rsidRPr="00D62B30" w:rsidRDefault="003F3852" w:rsidP="00D62B30">
      <w:pPr>
        <w:rPr>
          <w:lang w:val="en-US"/>
        </w:rPr>
      </w:pPr>
    </w:p>
    <w:p w:rsidR="003F3852" w:rsidRPr="003F3852" w:rsidRDefault="003F3852" w:rsidP="003F3852">
      <w:pPr>
        <w:pStyle w:val="ListParagraph"/>
        <w:ind w:left="0"/>
        <w:rPr>
          <w:b/>
          <w:lang w:val="en-US"/>
        </w:rPr>
      </w:pPr>
      <w:r w:rsidRPr="003F3852">
        <w:rPr>
          <w:b/>
          <w:lang w:val="en-US"/>
        </w:rPr>
        <w:lastRenderedPageBreak/>
        <w:t>Table 1 Extension of axle spacing mass limits general table for axle spacing exceeding 10m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1 Extension of axle spacing mass limits general table for axle spacing exceeding 10m"/>
        <w:tblDescription w:val="Table of figures"/>
      </w:tblPr>
      <w:tblGrid>
        <w:gridCol w:w="1879"/>
        <w:gridCol w:w="1879"/>
        <w:gridCol w:w="1879"/>
      </w:tblGrid>
      <w:tr w:rsidR="003F3852" w:rsidRPr="003F3852" w:rsidTr="00CE0605">
        <w:trPr>
          <w:jc w:val="center"/>
        </w:trPr>
        <w:tc>
          <w:tcPr>
            <w:tcW w:w="3758" w:type="dxa"/>
            <w:gridSpan w:val="2"/>
            <w:vAlign w:val="center"/>
          </w:tcPr>
          <w:p w:rsidR="003F3852" w:rsidRPr="003F3852" w:rsidRDefault="003F3852" w:rsidP="00CE0605">
            <w:pPr>
              <w:jc w:val="center"/>
              <w:rPr>
                <w:b/>
                <w:lang w:val="en-US"/>
              </w:rPr>
            </w:pPr>
            <w:r w:rsidRPr="003F3852">
              <w:rPr>
                <w:b/>
                <w:lang w:val="en-US"/>
              </w:rPr>
              <w:t>Length of Axle Spacing  (m)</w:t>
            </w:r>
          </w:p>
        </w:tc>
        <w:tc>
          <w:tcPr>
            <w:tcW w:w="1879" w:type="dxa"/>
            <w:vAlign w:val="center"/>
          </w:tcPr>
          <w:p w:rsidR="003F3852" w:rsidRPr="003F3852" w:rsidRDefault="003F3852" w:rsidP="00CE0605">
            <w:pPr>
              <w:jc w:val="center"/>
              <w:rPr>
                <w:b/>
                <w:lang w:val="en-US"/>
              </w:rPr>
            </w:pPr>
            <w:r w:rsidRPr="003F3852">
              <w:rPr>
                <w:b/>
                <w:lang w:val="en-US"/>
              </w:rPr>
              <w:t>Mass Limit(t)</w:t>
            </w:r>
          </w:p>
        </w:tc>
        <w:bookmarkStart w:id="0" w:name="_GoBack"/>
        <w:bookmarkEnd w:id="0"/>
      </w:tr>
      <w:tr w:rsidR="003F3852" w:rsidRPr="003F3852" w:rsidTr="00CE0605">
        <w:trPr>
          <w:jc w:val="center"/>
        </w:trPr>
        <w:tc>
          <w:tcPr>
            <w:tcW w:w="1879" w:type="dxa"/>
            <w:vAlign w:val="center"/>
          </w:tcPr>
          <w:p w:rsidR="003F3852" w:rsidRPr="003F3852" w:rsidRDefault="003F3852" w:rsidP="00CE0605">
            <w:pPr>
              <w:jc w:val="center"/>
              <w:rPr>
                <w:b/>
                <w:lang w:val="en-US"/>
              </w:rPr>
            </w:pPr>
            <w:r w:rsidRPr="003F3852">
              <w:rPr>
                <w:b/>
                <w:lang w:val="en-US"/>
              </w:rPr>
              <w:t>At least</w:t>
            </w:r>
          </w:p>
        </w:tc>
        <w:tc>
          <w:tcPr>
            <w:tcW w:w="1879" w:type="dxa"/>
            <w:vAlign w:val="center"/>
          </w:tcPr>
          <w:p w:rsidR="003F3852" w:rsidRPr="003F3852" w:rsidRDefault="003F3852" w:rsidP="00CE0605">
            <w:pPr>
              <w:jc w:val="center"/>
              <w:rPr>
                <w:b/>
                <w:lang w:val="en-US"/>
              </w:rPr>
            </w:pPr>
            <w:r w:rsidRPr="003F3852">
              <w:rPr>
                <w:b/>
                <w:lang w:val="en-US"/>
              </w:rPr>
              <w:t>Less than</w:t>
            </w:r>
          </w:p>
        </w:tc>
        <w:tc>
          <w:tcPr>
            <w:tcW w:w="1879" w:type="dxa"/>
            <w:vAlign w:val="center"/>
          </w:tcPr>
          <w:p w:rsidR="003F3852" w:rsidRPr="003F3852" w:rsidRDefault="003F3852" w:rsidP="00CE0605">
            <w:pPr>
              <w:jc w:val="center"/>
              <w:rPr>
                <w:b/>
                <w:lang w:val="en-US"/>
              </w:rPr>
            </w:pP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42.5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43.0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43.5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44.0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44.5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45.0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45.5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46.0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46.5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47.0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47.5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48.0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48.5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49.0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49.5</w:t>
            </w:r>
          </w:p>
        </w:tc>
      </w:tr>
      <w:tr w:rsidR="00CE0605" w:rsidTr="00CE0605">
        <w:trPr>
          <w:jc w:val="center"/>
        </w:trPr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17.5</w:t>
            </w: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79" w:type="dxa"/>
            <w:vAlign w:val="center"/>
          </w:tcPr>
          <w:p w:rsidR="00CE0605" w:rsidRDefault="00CE0605" w:rsidP="00CE06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50.0</w:t>
            </w:r>
          </w:p>
        </w:tc>
      </w:tr>
    </w:tbl>
    <w:p w:rsidR="005954CE" w:rsidRPr="005954CE" w:rsidRDefault="005954CE" w:rsidP="005954CE">
      <w:pPr>
        <w:contextualSpacing/>
        <w:rPr>
          <w:lang w:val="en-US"/>
        </w:rPr>
      </w:pPr>
    </w:p>
    <w:p w:rsidR="005954CE" w:rsidRDefault="005954CE" w:rsidP="005954CE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5954CE">
        <w:rPr>
          <w:b/>
          <w:lang w:val="en-US"/>
        </w:rPr>
        <w:t>Condition - Mass ratio</w:t>
      </w:r>
    </w:p>
    <w:p w:rsidR="005954CE" w:rsidRPr="005954CE" w:rsidRDefault="005954CE" w:rsidP="005954CE">
      <w:pPr>
        <w:pStyle w:val="ListParagraph"/>
        <w:rPr>
          <w:b/>
          <w:lang w:val="en-US"/>
        </w:rPr>
      </w:pPr>
    </w:p>
    <w:p w:rsidR="005954CE" w:rsidRDefault="005954CE" w:rsidP="00481D1F">
      <w:pPr>
        <w:pStyle w:val="ListParagraph"/>
        <w:numPr>
          <w:ilvl w:val="0"/>
          <w:numId w:val="15"/>
        </w:numPr>
        <w:rPr>
          <w:lang w:val="en-US"/>
        </w:rPr>
      </w:pPr>
      <w:r w:rsidRPr="005954CE">
        <w:rPr>
          <w:lang w:val="en-US"/>
        </w:rPr>
        <w:t>The mass of a dog trailer with 4 axles must not exceed by more than 25 per cent the</w:t>
      </w:r>
      <w:r>
        <w:rPr>
          <w:lang w:val="en-US"/>
        </w:rPr>
        <w:t xml:space="preserve"> </w:t>
      </w:r>
      <w:r w:rsidRPr="005954CE">
        <w:rPr>
          <w:lang w:val="en-US"/>
        </w:rPr>
        <w:t>loaded mass of the towing vehicle.</w:t>
      </w:r>
    </w:p>
    <w:p w:rsidR="005954CE" w:rsidRPr="005954CE" w:rsidRDefault="005954CE" w:rsidP="005954CE">
      <w:pPr>
        <w:pStyle w:val="ListParagraph"/>
        <w:ind w:left="1080"/>
        <w:rPr>
          <w:lang w:val="en-US"/>
        </w:rPr>
      </w:pPr>
    </w:p>
    <w:p w:rsidR="005954CE" w:rsidRPr="005954CE" w:rsidRDefault="005954CE" w:rsidP="005954CE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5954CE">
        <w:rPr>
          <w:b/>
          <w:lang w:val="en-US"/>
        </w:rPr>
        <w:t>Condition - Suspension</w:t>
      </w:r>
    </w:p>
    <w:p w:rsidR="005954CE" w:rsidRDefault="005954CE" w:rsidP="005954CE">
      <w:pPr>
        <w:pStyle w:val="ListParagraph"/>
        <w:ind w:left="1080"/>
        <w:rPr>
          <w:lang w:val="en-US"/>
        </w:rPr>
      </w:pPr>
    </w:p>
    <w:p w:rsidR="005954CE" w:rsidRDefault="005954CE" w:rsidP="00481D1F">
      <w:pPr>
        <w:pStyle w:val="ListParagraph"/>
        <w:numPr>
          <w:ilvl w:val="0"/>
          <w:numId w:val="16"/>
        </w:numPr>
        <w:rPr>
          <w:lang w:val="en-US"/>
        </w:rPr>
      </w:pPr>
      <w:r w:rsidRPr="005954CE">
        <w:rPr>
          <w:lang w:val="en-US"/>
        </w:rPr>
        <w:t>The drive axle group of the truck and all axles of the dog trailer must be fitted with air</w:t>
      </w:r>
      <w:r>
        <w:rPr>
          <w:lang w:val="en-US"/>
        </w:rPr>
        <w:t xml:space="preserve"> </w:t>
      </w:r>
      <w:r w:rsidRPr="005954CE">
        <w:rPr>
          <w:lang w:val="en-US"/>
        </w:rPr>
        <w:t>suspension with effective dampers.</w:t>
      </w:r>
    </w:p>
    <w:p w:rsidR="005954CE" w:rsidRPr="005954CE" w:rsidRDefault="005954CE" w:rsidP="005954CE">
      <w:pPr>
        <w:pStyle w:val="ListParagraph"/>
        <w:ind w:left="1080"/>
        <w:rPr>
          <w:lang w:val="en-US"/>
        </w:rPr>
      </w:pPr>
    </w:p>
    <w:p w:rsidR="005954CE" w:rsidRDefault="005954CE" w:rsidP="005954CE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5954CE">
        <w:rPr>
          <w:b/>
          <w:lang w:val="en-US"/>
        </w:rPr>
        <w:t>Other conditions</w:t>
      </w:r>
    </w:p>
    <w:p w:rsidR="005954CE" w:rsidRPr="005954CE" w:rsidRDefault="005954CE" w:rsidP="005954CE">
      <w:pPr>
        <w:pStyle w:val="ListParagraph"/>
        <w:rPr>
          <w:b/>
          <w:lang w:val="en-US"/>
        </w:rPr>
      </w:pPr>
    </w:p>
    <w:p w:rsidR="00CE0605" w:rsidRDefault="005954CE" w:rsidP="00481D1F">
      <w:pPr>
        <w:pStyle w:val="ListParagraph"/>
        <w:numPr>
          <w:ilvl w:val="0"/>
          <w:numId w:val="17"/>
        </w:numPr>
        <w:rPr>
          <w:lang w:val="en-US"/>
        </w:rPr>
      </w:pPr>
      <w:r w:rsidRPr="005954CE">
        <w:rPr>
          <w:lang w:val="en-US"/>
        </w:rPr>
        <w:t>The driver and operator of the vehicle must comply with all conditions set out in the</w:t>
      </w:r>
      <w:r>
        <w:rPr>
          <w:lang w:val="en-US"/>
        </w:rPr>
        <w:t xml:space="preserve"> </w:t>
      </w:r>
      <w:r w:rsidRPr="005954CE">
        <w:rPr>
          <w:lang w:val="en-US"/>
        </w:rPr>
        <w:t>Schedule for a participating jurisdiction when the vehicle is being used in the jurisdiction to which that Schedule applies.</w:t>
      </w:r>
    </w:p>
    <w:p w:rsidR="00D62B30" w:rsidRDefault="00D62B30" w:rsidP="00D62B30">
      <w:pPr>
        <w:contextualSpacing/>
        <w:rPr>
          <w:lang w:val="en-US"/>
        </w:rPr>
      </w:pPr>
    </w:p>
    <w:p w:rsidR="00D62B30" w:rsidRDefault="00D62B30" w:rsidP="00D62B30">
      <w:pPr>
        <w:contextualSpacing/>
        <w:rPr>
          <w:lang w:val="en-US"/>
        </w:rPr>
      </w:pPr>
    </w:p>
    <w:p w:rsidR="00D62B30" w:rsidRPr="00D62B30" w:rsidRDefault="00D62B30" w:rsidP="00D62B30">
      <w:pPr>
        <w:ind w:firstLine="720"/>
        <w:contextualSpacing/>
        <w:rPr>
          <w:lang w:val="en-US"/>
        </w:rPr>
      </w:pPr>
      <w:r w:rsidRPr="00D62B30">
        <w:rPr>
          <w:lang w:val="en-US"/>
        </w:rPr>
        <w:t>Peter Caprioli</w:t>
      </w:r>
    </w:p>
    <w:p w:rsidR="00D62B30" w:rsidRPr="00D62B30" w:rsidRDefault="00D62B30" w:rsidP="00D62B30">
      <w:pPr>
        <w:ind w:firstLine="720"/>
        <w:contextualSpacing/>
        <w:rPr>
          <w:i/>
          <w:lang w:val="en-US"/>
        </w:rPr>
      </w:pPr>
      <w:r w:rsidRPr="00D62B30">
        <w:rPr>
          <w:i/>
          <w:lang w:val="en-US"/>
        </w:rPr>
        <w:t>Executive Director (Network Operations)</w:t>
      </w:r>
    </w:p>
    <w:p w:rsidR="00ED6708" w:rsidRPr="00A42EAC" w:rsidRDefault="00D62B30" w:rsidP="00D62B30">
      <w:pPr>
        <w:ind w:left="720"/>
        <w:contextualSpacing/>
        <w:rPr>
          <w:b/>
          <w:bCs/>
          <w:lang w:val="en-US"/>
        </w:rPr>
      </w:pPr>
      <w:r w:rsidRPr="00D62B30">
        <w:rPr>
          <w:b/>
          <w:lang w:val="en-US"/>
        </w:rPr>
        <w:t>National Heavy Vehicle Regulator</w:t>
      </w:r>
      <w:r w:rsidR="00ED6708" w:rsidRPr="00D62B30">
        <w:rPr>
          <w:b/>
          <w:lang w:val="en-US"/>
        </w:rPr>
        <w:br w:type="page"/>
      </w:r>
      <w:r w:rsidR="00ED6708" w:rsidRPr="00A42EAC">
        <w:rPr>
          <w:b/>
          <w:bCs/>
          <w:lang w:val="en-US"/>
        </w:rPr>
        <w:lastRenderedPageBreak/>
        <w:t>Schedule 1: Australian Capital Territory</w:t>
      </w:r>
    </w:p>
    <w:p w:rsidR="002B2DF1" w:rsidRDefault="002B2DF1" w:rsidP="002B2DF1">
      <w:pPr>
        <w:pStyle w:val="ListParagraph"/>
        <w:numPr>
          <w:ilvl w:val="0"/>
          <w:numId w:val="40"/>
        </w:numPr>
        <w:rPr>
          <w:b/>
          <w:bCs/>
          <w:lang w:val="en-US"/>
        </w:rPr>
      </w:pPr>
      <w:r>
        <w:rPr>
          <w:b/>
          <w:bCs/>
          <w:lang w:val="en-US"/>
        </w:rPr>
        <w:t>Conditions - General mass limits</w:t>
      </w:r>
    </w:p>
    <w:p w:rsidR="002B2DF1" w:rsidRDefault="002B2DF1" w:rsidP="002B2DF1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>The mass of a Truck and Dog heavy vehicle operating under the general mass limits must not be more than:</w:t>
      </w:r>
    </w:p>
    <w:p w:rsidR="002B2DF1" w:rsidRDefault="002B2DF1" w:rsidP="002B2DF1">
      <w:pPr>
        <w:pStyle w:val="ListParagraph"/>
        <w:ind w:left="1080"/>
        <w:rPr>
          <w:lang w:val="en-US"/>
        </w:rPr>
      </w:pPr>
    </w:p>
    <w:p w:rsidR="002B2DF1" w:rsidRDefault="002B2DF1" w:rsidP="002B2DF1">
      <w:pPr>
        <w:pStyle w:val="ListParagraph"/>
        <w:numPr>
          <w:ilvl w:val="0"/>
          <w:numId w:val="42"/>
        </w:numPr>
        <w:rPr>
          <w:lang w:val="en-US"/>
        </w:rPr>
      </w:pPr>
      <w:r>
        <w:rPr>
          <w:lang w:val="en-US"/>
        </w:rPr>
        <w:t>in the case of a combination consisting of a rigid truck with 3 axles towing a dog trailer with 3 axles – 48t;</w:t>
      </w:r>
    </w:p>
    <w:p w:rsidR="002B2DF1" w:rsidRDefault="002B2DF1" w:rsidP="002B2DF1">
      <w:pPr>
        <w:pStyle w:val="ListParagraph"/>
        <w:numPr>
          <w:ilvl w:val="0"/>
          <w:numId w:val="42"/>
        </w:numPr>
        <w:rPr>
          <w:lang w:val="en-US"/>
        </w:rPr>
      </w:pPr>
      <w:r>
        <w:rPr>
          <w:lang w:val="en-US"/>
        </w:rPr>
        <w:t>in the case of a combination consisting of a rigid truck with 4 axles towing a dog trailer with 3 axles – 50t;</w:t>
      </w:r>
    </w:p>
    <w:p w:rsidR="002B2DF1" w:rsidRDefault="002B2DF1" w:rsidP="002B2DF1">
      <w:pPr>
        <w:pStyle w:val="ListParagraph"/>
        <w:numPr>
          <w:ilvl w:val="0"/>
          <w:numId w:val="42"/>
        </w:numPr>
        <w:rPr>
          <w:lang w:val="en-US"/>
        </w:rPr>
      </w:pP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case of a combination consisting of a rigid truck with 3 or 4 axles towing a dog trailer with 4 axles – 50t.</w:t>
      </w:r>
    </w:p>
    <w:p w:rsidR="002B2DF1" w:rsidRDefault="002B2DF1" w:rsidP="002B2DF1">
      <w:pPr>
        <w:pStyle w:val="ListParagraph"/>
        <w:ind w:left="1440"/>
        <w:rPr>
          <w:lang w:val="en-US"/>
        </w:rPr>
      </w:pPr>
    </w:p>
    <w:p w:rsidR="002B2DF1" w:rsidRDefault="002B2DF1" w:rsidP="002B2DF1">
      <w:pPr>
        <w:pStyle w:val="ListParagraph"/>
        <w:numPr>
          <w:ilvl w:val="0"/>
          <w:numId w:val="40"/>
        </w:numPr>
        <w:rPr>
          <w:b/>
          <w:bCs/>
          <w:lang w:val="en-US"/>
        </w:rPr>
      </w:pPr>
      <w:r>
        <w:rPr>
          <w:b/>
          <w:bCs/>
          <w:lang w:val="en-US"/>
        </w:rPr>
        <w:t>Conditions -  General mass limits, and steer axle mass exception limits</w:t>
      </w:r>
    </w:p>
    <w:p w:rsidR="002B2DF1" w:rsidRDefault="002B2DF1" w:rsidP="002B2DF1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 mass of a Truck and Dog heavy vehicle operating under this notice and the steer axle mass exception limits must not be more than:</w:t>
      </w:r>
    </w:p>
    <w:p w:rsidR="002B2DF1" w:rsidRDefault="002B2DF1" w:rsidP="002B2DF1">
      <w:pPr>
        <w:pStyle w:val="ListParagraph"/>
        <w:ind w:left="1080"/>
        <w:rPr>
          <w:lang w:val="en-US"/>
        </w:rPr>
      </w:pPr>
    </w:p>
    <w:p w:rsidR="002B2DF1" w:rsidRDefault="002B2DF1" w:rsidP="002B2DF1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in the case of a combination consisting of a rigid truck with 3 axles towing a dog trailer with 3 axles – 48.5t;</w:t>
      </w:r>
    </w:p>
    <w:p w:rsidR="002B2DF1" w:rsidRDefault="002B2DF1" w:rsidP="002B2DF1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in the case of a combination consisting of a rigid truck with 3 axles towing a dog trailer with 4 axles – 50.5t</w:t>
      </w:r>
    </w:p>
    <w:p w:rsidR="00ED6708" w:rsidRPr="00ED6708" w:rsidRDefault="00ED6708" w:rsidP="00ED6708">
      <w:pPr>
        <w:pStyle w:val="ListParagraph"/>
        <w:ind w:left="1440"/>
        <w:rPr>
          <w:lang w:val="en-US"/>
        </w:rPr>
      </w:pPr>
    </w:p>
    <w:p w:rsidR="00ED6708" w:rsidRPr="00D449FC" w:rsidRDefault="00ED6708" w:rsidP="002B2DF1">
      <w:pPr>
        <w:pStyle w:val="ListParagraph"/>
        <w:numPr>
          <w:ilvl w:val="0"/>
          <w:numId w:val="40"/>
        </w:numPr>
        <w:rPr>
          <w:b/>
          <w:lang w:val="en-US"/>
        </w:rPr>
      </w:pPr>
      <w:r>
        <w:rPr>
          <w:b/>
          <w:lang w:val="en-US"/>
        </w:rPr>
        <w:t>Conditions - Other mass requirements</w:t>
      </w:r>
    </w:p>
    <w:p w:rsidR="00ED6708" w:rsidRPr="00ED6708" w:rsidRDefault="00ED6708" w:rsidP="002B2DF1">
      <w:pPr>
        <w:pStyle w:val="ListParagraph"/>
        <w:numPr>
          <w:ilvl w:val="0"/>
          <w:numId w:val="18"/>
        </w:numPr>
        <w:rPr>
          <w:lang w:val="en-US"/>
        </w:rPr>
      </w:pPr>
      <w:r w:rsidRPr="00ED6708">
        <w:rPr>
          <w:lang w:val="en-US"/>
        </w:rPr>
        <w:t>The loaded mass of a 3 Axle dog trailer may not exceed by more than 25% the loaded mass</w:t>
      </w:r>
      <w:r>
        <w:rPr>
          <w:lang w:val="en-US"/>
        </w:rPr>
        <w:t xml:space="preserve"> </w:t>
      </w:r>
      <w:r w:rsidRPr="00ED6708">
        <w:rPr>
          <w:lang w:val="en-US"/>
        </w:rPr>
        <w:t>of the truck.</w:t>
      </w:r>
    </w:p>
    <w:p w:rsidR="00ED6708" w:rsidRPr="00ED6708" w:rsidRDefault="00ED6708" w:rsidP="00ED6708">
      <w:pPr>
        <w:ind w:left="2160" w:hanging="1080"/>
        <w:contextualSpacing/>
        <w:rPr>
          <w:i/>
          <w:lang w:val="en-US"/>
        </w:rPr>
      </w:pPr>
      <w:r w:rsidRPr="00ED6708">
        <w:rPr>
          <w:i/>
          <w:lang w:val="en-US"/>
        </w:rPr>
        <w:t>Note:</w:t>
      </w:r>
      <w:r w:rsidRPr="00ED6708">
        <w:rPr>
          <w:i/>
          <w:lang w:val="en-US"/>
        </w:rPr>
        <w:tab/>
        <w:t>Section 11 of this Notice permits a dog trailer with 4 axles to have a mass that is 25 per cent of the loaded mass of the towing vehicle.</w:t>
      </w:r>
    </w:p>
    <w:p w:rsidR="00A06AC6" w:rsidRPr="00D449FC" w:rsidRDefault="00ED6708" w:rsidP="002B2DF1">
      <w:pPr>
        <w:pStyle w:val="ListParagraph"/>
        <w:numPr>
          <w:ilvl w:val="0"/>
          <w:numId w:val="40"/>
        </w:numPr>
        <w:rPr>
          <w:b/>
          <w:lang w:val="en-US"/>
        </w:rPr>
      </w:pPr>
      <w:r w:rsidRPr="00ED6708">
        <w:rPr>
          <w:b/>
          <w:lang w:val="en-US"/>
        </w:rPr>
        <w:t>Conditions - General</w:t>
      </w:r>
    </w:p>
    <w:p w:rsidR="00ED6708" w:rsidRDefault="00ED6708" w:rsidP="002B2DF1">
      <w:pPr>
        <w:pStyle w:val="ListParagraph"/>
        <w:numPr>
          <w:ilvl w:val="0"/>
          <w:numId w:val="19"/>
        </w:numPr>
        <w:rPr>
          <w:lang w:val="en-US"/>
        </w:rPr>
      </w:pPr>
      <w:r w:rsidRPr="00ED6708">
        <w:rPr>
          <w:lang w:val="en-US"/>
        </w:rPr>
        <w:t>The extreme axle spacing for a dog trailer with 3 axles must be at least 4.3m.</w:t>
      </w:r>
    </w:p>
    <w:p w:rsidR="00A06AC6" w:rsidRPr="00ED6708" w:rsidRDefault="00A06AC6" w:rsidP="00A06AC6">
      <w:pPr>
        <w:pStyle w:val="ListParagraph"/>
        <w:ind w:left="1080"/>
        <w:rPr>
          <w:lang w:val="en-US"/>
        </w:rPr>
      </w:pPr>
    </w:p>
    <w:p w:rsidR="00A06AC6" w:rsidRPr="00A06AC6" w:rsidRDefault="00ED6708" w:rsidP="002B2DF1">
      <w:pPr>
        <w:pStyle w:val="ListParagraph"/>
        <w:numPr>
          <w:ilvl w:val="0"/>
          <w:numId w:val="19"/>
        </w:numPr>
        <w:rPr>
          <w:lang w:val="en-US"/>
        </w:rPr>
      </w:pPr>
      <w:r w:rsidRPr="00ED6708">
        <w:rPr>
          <w:lang w:val="en-US"/>
        </w:rPr>
        <w:t>The height of the load on a dog trailer with 3 axles must not exceed 3.5m.</w:t>
      </w:r>
    </w:p>
    <w:p w:rsidR="00A06AC6" w:rsidRPr="00A06AC6" w:rsidRDefault="00A06AC6" w:rsidP="00A06AC6">
      <w:pPr>
        <w:pStyle w:val="ListParagraph"/>
        <w:ind w:left="1080"/>
        <w:rPr>
          <w:lang w:val="en-US"/>
        </w:rPr>
      </w:pPr>
    </w:p>
    <w:p w:rsidR="00A06AC6" w:rsidRPr="00A06AC6" w:rsidRDefault="00ED6708" w:rsidP="002B2DF1">
      <w:pPr>
        <w:pStyle w:val="ListParagraph"/>
        <w:numPr>
          <w:ilvl w:val="0"/>
          <w:numId w:val="19"/>
        </w:numPr>
        <w:rPr>
          <w:lang w:val="en-US"/>
        </w:rPr>
      </w:pPr>
      <w:r w:rsidRPr="00ED6708">
        <w:rPr>
          <w:lang w:val="en-US"/>
        </w:rPr>
        <w:t>The Truck and Dog heavy vehicle must be capable of starti</w:t>
      </w:r>
      <w:r w:rsidR="00A06AC6">
        <w:rPr>
          <w:lang w:val="en-US"/>
        </w:rPr>
        <w:t xml:space="preserve">ng on a 10 percent gradient and </w:t>
      </w:r>
      <w:r w:rsidRPr="00ED6708">
        <w:rPr>
          <w:lang w:val="en-US"/>
        </w:rPr>
        <w:t>maintaining 70km/h on a one percent gradient.</w:t>
      </w:r>
    </w:p>
    <w:p w:rsidR="00A06AC6" w:rsidRPr="00A06AC6" w:rsidRDefault="00A06AC6" w:rsidP="00A06AC6">
      <w:pPr>
        <w:pStyle w:val="ListParagraph"/>
        <w:ind w:left="1080"/>
        <w:rPr>
          <w:lang w:val="en-US"/>
        </w:rPr>
      </w:pPr>
    </w:p>
    <w:p w:rsidR="00A06AC6" w:rsidRDefault="00A06AC6" w:rsidP="002B2DF1">
      <w:pPr>
        <w:pStyle w:val="ListParagraph"/>
        <w:numPr>
          <w:ilvl w:val="0"/>
          <w:numId w:val="40"/>
        </w:numPr>
        <w:rPr>
          <w:b/>
          <w:lang w:val="en-US"/>
        </w:rPr>
      </w:pPr>
      <w:r w:rsidRPr="00A06AC6">
        <w:rPr>
          <w:b/>
          <w:lang w:val="en-US"/>
        </w:rPr>
        <w:t>Conditions - Stated routes and areas</w:t>
      </w:r>
    </w:p>
    <w:p w:rsidR="00A06AC6" w:rsidRPr="00A06AC6" w:rsidRDefault="00A06AC6" w:rsidP="00A06AC6">
      <w:pPr>
        <w:pStyle w:val="ListParagraph"/>
        <w:rPr>
          <w:b/>
          <w:lang w:val="en-US"/>
        </w:rPr>
      </w:pPr>
    </w:p>
    <w:p w:rsidR="00A06AC6" w:rsidRPr="00304248" w:rsidRDefault="00187A2D" w:rsidP="002B2DF1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An eligible vehicle may access approved routes on the </w:t>
      </w:r>
      <w:r w:rsidRPr="00187A2D">
        <w:rPr>
          <w:i/>
          <w:lang w:val="en-US"/>
        </w:rPr>
        <w:t>Approved Routes for National Class 3 Heavy Vehicles 19m Truck &amp; Dog Trailer Combination Mass Exemption</w:t>
      </w:r>
      <w:r>
        <w:rPr>
          <w:lang w:val="en-US"/>
        </w:rPr>
        <w:t xml:space="preserve"> published by </w:t>
      </w:r>
      <w:r w:rsidR="00304248">
        <w:rPr>
          <w:lang w:val="en-US"/>
        </w:rPr>
        <w:t xml:space="preserve">the </w:t>
      </w:r>
      <w:r w:rsidR="00304248" w:rsidRPr="00304248">
        <w:rPr>
          <w:lang w:val="en-US"/>
        </w:rPr>
        <w:t>Transport Canberra and City Services</w:t>
      </w:r>
      <w:r w:rsidR="00304248">
        <w:rPr>
          <w:lang w:val="en-US"/>
        </w:rPr>
        <w:t xml:space="preserve"> (ACT).</w:t>
      </w:r>
    </w:p>
    <w:p w:rsidR="00D449FC" w:rsidRDefault="00D449FC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A06AC6" w:rsidRPr="00ED6708" w:rsidRDefault="00A06AC6" w:rsidP="00A06AC6">
      <w:pPr>
        <w:rPr>
          <w:b/>
          <w:lang w:val="en-US"/>
        </w:rPr>
      </w:pPr>
      <w:r>
        <w:rPr>
          <w:b/>
          <w:lang w:val="en-US"/>
        </w:rPr>
        <w:lastRenderedPageBreak/>
        <w:t>Schedule 2</w:t>
      </w:r>
      <w:r w:rsidRPr="00ED6708">
        <w:rPr>
          <w:b/>
          <w:lang w:val="en-US"/>
        </w:rPr>
        <w:t xml:space="preserve">: </w:t>
      </w:r>
      <w:r>
        <w:rPr>
          <w:b/>
          <w:lang w:val="en-US"/>
        </w:rPr>
        <w:t>New South Wales</w:t>
      </w:r>
    </w:p>
    <w:p w:rsidR="002B2DF1" w:rsidRDefault="002B2DF1" w:rsidP="002B2DF1">
      <w:pPr>
        <w:pStyle w:val="ListParagraph"/>
        <w:numPr>
          <w:ilvl w:val="0"/>
          <w:numId w:val="48"/>
        </w:numPr>
        <w:rPr>
          <w:b/>
          <w:bCs/>
          <w:lang w:val="en-US"/>
        </w:rPr>
      </w:pPr>
      <w:r>
        <w:rPr>
          <w:b/>
          <w:bCs/>
          <w:lang w:val="en-US"/>
        </w:rPr>
        <w:t>Conditions - General mass limits</w:t>
      </w:r>
    </w:p>
    <w:p w:rsidR="002B2DF1" w:rsidRDefault="002B2DF1" w:rsidP="002B2DF1">
      <w:pPr>
        <w:pStyle w:val="ListParagraph"/>
        <w:numPr>
          <w:ilvl w:val="0"/>
          <w:numId w:val="49"/>
        </w:numPr>
        <w:rPr>
          <w:lang w:val="en-US"/>
        </w:rPr>
      </w:pPr>
      <w:r>
        <w:rPr>
          <w:lang w:val="en-US"/>
        </w:rPr>
        <w:t>The mass of a Truck and Dog heavy vehicle operating under the general mass limits must not be more than:</w:t>
      </w:r>
    </w:p>
    <w:p w:rsidR="002B2DF1" w:rsidRDefault="002B2DF1" w:rsidP="002B2DF1">
      <w:pPr>
        <w:pStyle w:val="ListParagraph"/>
        <w:ind w:left="1080"/>
        <w:rPr>
          <w:lang w:val="en-US"/>
        </w:rPr>
      </w:pPr>
    </w:p>
    <w:p w:rsidR="002B2DF1" w:rsidRDefault="002B2DF1" w:rsidP="002B2DF1">
      <w:pPr>
        <w:pStyle w:val="ListParagraph"/>
        <w:numPr>
          <w:ilvl w:val="0"/>
          <w:numId w:val="50"/>
        </w:numPr>
        <w:rPr>
          <w:lang w:val="en-US"/>
        </w:rPr>
      </w:pPr>
      <w:r>
        <w:rPr>
          <w:lang w:val="en-US"/>
        </w:rPr>
        <w:t>in the case of a combination consisting of a rigid truck with 3 axles towing a dog trailer with 3 axles – 48t;</w:t>
      </w:r>
    </w:p>
    <w:p w:rsidR="002B2DF1" w:rsidRDefault="002B2DF1" w:rsidP="002B2DF1">
      <w:pPr>
        <w:pStyle w:val="ListParagraph"/>
        <w:numPr>
          <w:ilvl w:val="0"/>
          <w:numId w:val="50"/>
        </w:numPr>
        <w:rPr>
          <w:lang w:val="en-US"/>
        </w:rPr>
      </w:pPr>
      <w:r>
        <w:rPr>
          <w:lang w:val="en-US"/>
        </w:rPr>
        <w:t>in the case of a combination consisting of a rigid truck with 4 axles towing a dog trailer with 3 axles – 50t;</w:t>
      </w:r>
    </w:p>
    <w:p w:rsidR="002B2DF1" w:rsidRDefault="002B2DF1" w:rsidP="002B2DF1">
      <w:pPr>
        <w:pStyle w:val="ListParagraph"/>
        <w:numPr>
          <w:ilvl w:val="0"/>
          <w:numId w:val="50"/>
        </w:numPr>
        <w:rPr>
          <w:lang w:val="en-US"/>
        </w:rPr>
      </w:pP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case of a combination consisting of a rigid truck with 3 or 4 axles towing a dog trailer with 4 axles – 50t.</w:t>
      </w:r>
    </w:p>
    <w:p w:rsidR="002B2DF1" w:rsidRDefault="002B2DF1" w:rsidP="002B2DF1">
      <w:pPr>
        <w:pStyle w:val="ListParagraph"/>
        <w:ind w:left="1440"/>
        <w:rPr>
          <w:lang w:val="en-US"/>
        </w:rPr>
      </w:pPr>
    </w:p>
    <w:p w:rsidR="002B2DF1" w:rsidRDefault="002B2DF1" w:rsidP="002B2DF1">
      <w:pPr>
        <w:pStyle w:val="ListParagraph"/>
        <w:numPr>
          <w:ilvl w:val="0"/>
          <w:numId w:val="48"/>
        </w:numPr>
        <w:rPr>
          <w:b/>
          <w:bCs/>
          <w:lang w:val="en-US"/>
        </w:rPr>
      </w:pPr>
      <w:r>
        <w:rPr>
          <w:b/>
          <w:bCs/>
          <w:lang w:val="en-US"/>
        </w:rPr>
        <w:t>Conditions -  General mass limits, and steer axle mass exception limits</w:t>
      </w:r>
    </w:p>
    <w:p w:rsidR="002B2DF1" w:rsidRDefault="002B2DF1" w:rsidP="002B2DF1">
      <w:pPr>
        <w:pStyle w:val="ListParagraph"/>
        <w:numPr>
          <w:ilvl w:val="0"/>
          <w:numId w:val="52"/>
        </w:numPr>
        <w:rPr>
          <w:lang w:val="en-US"/>
        </w:rPr>
      </w:pPr>
      <w:r>
        <w:rPr>
          <w:lang w:val="en-US"/>
        </w:rPr>
        <w:t>The mass of a Truck and Dog heavy vehicle operating under this notice and the steer axle mass exception limits must not be more than:</w:t>
      </w:r>
    </w:p>
    <w:p w:rsidR="002B2DF1" w:rsidRDefault="002B2DF1" w:rsidP="002B2DF1">
      <w:pPr>
        <w:pStyle w:val="ListParagraph"/>
        <w:ind w:left="1080"/>
        <w:rPr>
          <w:lang w:val="en-US"/>
        </w:rPr>
      </w:pPr>
    </w:p>
    <w:p w:rsidR="002B2DF1" w:rsidRDefault="002B2DF1" w:rsidP="002B2DF1">
      <w:pPr>
        <w:pStyle w:val="ListParagraph"/>
        <w:numPr>
          <w:ilvl w:val="0"/>
          <w:numId w:val="51"/>
        </w:numPr>
        <w:rPr>
          <w:lang w:val="en-US"/>
        </w:rPr>
      </w:pPr>
      <w:r>
        <w:rPr>
          <w:lang w:val="en-US"/>
        </w:rPr>
        <w:t>in the case of a combination consisting of a rigid truck with 3 axles towing a dog trailer with 3 axles – 48.5t;</w:t>
      </w:r>
    </w:p>
    <w:p w:rsidR="002B2DF1" w:rsidRDefault="002B2DF1" w:rsidP="002B2DF1">
      <w:pPr>
        <w:pStyle w:val="ListParagraph"/>
        <w:numPr>
          <w:ilvl w:val="0"/>
          <w:numId w:val="51"/>
        </w:numPr>
        <w:rPr>
          <w:lang w:val="en-US"/>
        </w:rPr>
      </w:pPr>
      <w:r>
        <w:rPr>
          <w:lang w:val="en-US"/>
        </w:rPr>
        <w:t>in the case of a combination consisting of a rigid truck with 3 axles towing a dog trailer with 4 axles – 50.5t</w:t>
      </w:r>
    </w:p>
    <w:p w:rsidR="00A06AC6" w:rsidRPr="00ED6708" w:rsidRDefault="00A06AC6" w:rsidP="00A06AC6">
      <w:pPr>
        <w:pStyle w:val="ListParagraph"/>
        <w:ind w:left="1440"/>
        <w:rPr>
          <w:lang w:val="en-US"/>
        </w:rPr>
      </w:pPr>
    </w:p>
    <w:p w:rsidR="00A06AC6" w:rsidRPr="00D449FC" w:rsidRDefault="00A06AC6" w:rsidP="002B2DF1">
      <w:pPr>
        <w:pStyle w:val="ListParagraph"/>
        <w:numPr>
          <w:ilvl w:val="0"/>
          <w:numId w:val="48"/>
        </w:numPr>
        <w:rPr>
          <w:b/>
          <w:lang w:val="en-US"/>
        </w:rPr>
      </w:pPr>
      <w:r>
        <w:rPr>
          <w:b/>
          <w:lang w:val="en-US"/>
        </w:rPr>
        <w:t>Conditions - Other mass requirements</w:t>
      </w:r>
    </w:p>
    <w:p w:rsidR="00A06AC6" w:rsidRPr="00ED6708" w:rsidRDefault="00A06AC6" w:rsidP="002B2DF1">
      <w:pPr>
        <w:pStyle w:val="ListParagraph"/>
        <w:numPr>
          <w:ilvl w:val="0"/>
          <w:numId w:val="21"/>
        </w:numPr>
        <w:rPr>
          <w:lang w:val="en-US"/>
        </w:rPr>
      </w:pPr>
      <w:r w:rsidRPr="00ED6708">
        <w:rPr>
          <w:lang w:val="en-US"/>
        </w:rPr>
        <w:t>The loaded mass of a 3 Axle dog trailer may not exceed by more than 25% the loaded mass</w:t>
      </w:r>
      <w:r>
        <w:rPr>
          <w:lang w:val="en-US"/>
        </w:rPr>
        <w:t xml:space="preserve"> </w:t>
      </w:r>
      <w:r w:rsidRPr="00ED6708">
        <w:rPr>
          <w:lang w:val="en-US"/>
        </w:rPr>
        <w:t>of the truck.</w:t>
      </w:r>
    </w:p>
    <w:p w:rsidR="00A06AC6" w:rsidRPr="00ED6708" w:rsidRDefault="00A06AC6" w:rsidP="00A06AC6">
      <w:pPr>
        <w:ind w:left="2160" w:hanging="1080"/>
        <w:contextualSpacing/>
        <w:rPr>
          <w:i/>
          <w:lang w:val="en-US"/>
        </w:rPr>
      </w:pPr>
      <w:r w:rsidRPr="00ED6708">
        <w:rPr>
          <w:i/>
          <w:lang w:val="en-US"/>
        </w:rPr>
        <w:t>Note:</w:t>
      </w:r>
      <w:r w:rsidRPr="00ED6708">
        <w:rPr>
          <w:i/>
          <w:lang w:val="en-US"/>
        </w:rPr>
        <w:tab/>
        <w:t>Section 11 of this Notice permits a dog trailer with 4 axles to have a mass that is 25 per cent of the loaded mass of the towing vehicle.</w:t>
      </w:r>
    </w:p>
    <w:p w:rsidR="00A06AC6" w:rsidRPr="00D449FC" w:rsidRDefault="00A06AC6" w:rsidP="002B2DF1">
      <w:pPr>
        <w:pStyle w:val="ListParagraph"/>
        <w:numPr>
          <w:ilvl w:val="0"/>
          <w:numId w:val="48"/>
        </w:numPr>
        <w:rPr>
          <w:b/>
          <w:lang w:val="en-US"/>
        </w:rPr>
      </w:pPr>
      <w:r w:rsidRPr="00ED6708">
        <w:rPr>
          <w:b/>
          <w:lang w:val="en-US"/>
        </w:rPr>
        <w:t>Conditions - General</w:t>
      </w:r>
    </w:p>
    <w:p w:rsidR="00A06AC6" w:rsidRDefault="00A06AC6" w:rsidP="002B2DF1">
      <w:pPr>
        <w:pStyle w:val="ListParagraph"/>
        <w:numPr>
          <w:ilvl w:val="0"/>
          <w:numId w:val="22"/>
        </w:numPr>
        <w:rPr>
          <w:lang w:val="en-US"/>
        </w:rPr>
      </w:pPr>
      <w:r w:rsidRPr="00ED6708">
        <w:rPr>
          <w:lang w:val="en-US"/>
        </w:rPr>
        <w:t>The extreme axle spacing for a dog trailer with 3 axles must be at least 4.3m.</w:t>
      </w:r>
    </w:p>
    <w:p w:rsidR="00A06AC6" w:rsidRPr="00ED6708" w:rsidRDefault="00A06AC6" w:rsidP="00A06AC6">
      <w:pPr>
        <w:pStyle w:val="ListParagraph"/>
        <w:ind w:left="1080"/>
        <w:rPr>
          <w:lang w:val="en-US"/>
        </w:rPr>
      </w:pPr>
    </w:p>
    <w:p w:rsidR="00A06AC6" w:rsidRPr="00A06AC6" w:rsidRDefault="00A06AC6" w:rsidP="002B2DF1">
      <w:pPr>
        <w:pStyle w:val="ListParagraph"/>
        <w:numPr>
          <w:ilvl w:val="0"/>
          <w:numId w:val="22"/>
        </w:numPr>
        <w:rPr>
          <w:lang w:val="en-US"/>
        </w:rPr>
      </w:pPr>
      <w:r w:rsidRPr="00ED6708">
        <w:rPr>
          <w:lang w:val="en-US"/>
        </w:rPr>
        <w:t>The height of the load on a dog trailer with 3 axles must not exceed 3.5m.</w:t>
      </w:r>
    </w:p>
    <w:p w:rsidR="00A06AC6" w:rsidRPr="00A06AC6" w:rsidRDefault="00A06AC6" w:rsidP="00A06AC6">
      <w:pPr>
        <w:pStyle w:val="ListParagraph"/>
        <w:ind w:left="1080"/>
        <w:rPr>
          <w:lang w:val="en-US"/>
        </w:rPr>
      </w:pPr>
    </w:p>
    <w:p w:rsidR="00A06AC6" w:rsidRPr="00A06AC6" w:rsidRDefault="00A06AC6" w:rsidP="002B2DF1">
      <w:pPr>
        <w:pStyle w:val="ListParagraph"/>
        <w:numPr>
          <w:ilvl w:val="0"/>
          <w:numId w:val="22"/>
        </w:numPr>
        <w:rPr>
          <w:lang w:val="en-US"/>
        </w:rPr>
      </w:pPr>
      <w:r w:rsidRPr="00ED6708">
        <w:rPr>
          <w:lang w:val="en-US"/>
        </w:rPr>
        <w:t>The Truck and Dog heavy vehicle must be capable of starti</w:t>
      </w:r>
      <w:r>
        <w:rPr>
          <w:lang w:val="en-US"/>
        </w:rPr>
        <w:t xml:space="preserve">ng on a 10 percent gradient and </w:t>
      </w:r>
      <w:r w:rsidRPr="00ED6708">
        <w:rPr>
          <w:lang w:val="en-US"/>
        </w:rPr>
        <w:t>maintaining 70km/h on a one percent gradient.</w:t>
      </w:r>
    </w:p>
    <w:p w:rsidR="00A06AC6" w:rsidRPr="00A06AC6" w:rsidRDefault="00A06AC6" w:rsidP="00A06AC6">
      <w:pPr>
        <w:pStyle w:val="ListParagraph"/>
        <w:ind w:left="1080"/>
        <w:rPr>
          <w:lang w:val="en-US"/>
        </w:rPr>
      </w:pPr>
    </w:p>
    <w:p w:rsidR="00A06AC6" w:rsidRDefault="00A06AC6" w:rsidP="002B2DF1">
      <w:pPr>
        <w:pStyle w:val="ListParagraph"/>
        <w:numPr>
          <w:ilvl w:val="0"/>
          <w:numId w:val="48"/>
        </w:numPr>
        <w:rPr>
          <w:b/>
          <w:lang w:val="en-US"/>
        </w:rPr>
      </w:pPr>
      <w:r w:rsidRPr="00A06AC6">
        <w:rPr>
          <w:b/>
          <w:lang w:val="en-US"/>
        </w:rPr>
        <w:t>Conditions - Stated routes and areas</w:t>
      </w:r>
    </w:p>
    <w:p w:rsidR="00A06AC6" w:rsidRPr="00A06AC6" w:rsidRDefault="00A06AC6" w:rsidP="00A06AC6">
      <w:pPr>
        <w:pStyle w:val="ListParagraph"/>
        <w:rPr>
          <w:b/>
          <w:lang w:val="en-US"/>
        </w:rPr>
      </w:pPr>
    </w:p>
    <w:p w:rsidR="009300B1" w:rsidRPr="009B72D2" w:rsidRDefault="00A06AC6" w:rsidP="002B2DF1">
      <w:pPr>
        <w:pStyle w:val="ListParagraph"/>
        <w:numPr>
          <w:ilvl w:val="0"/>
          <w:numId w:val="23"/>
        </w:numPr>
        <w:rPr>
          <w:lang w:val="en-US"/>
        </w:rPr>
      </w:pPr>
      <w:r w:rsidRPr="00ED6708">
        <w:rPr>
          <w:lang w:val="en-US"/>
        </w:rPr>
        <w:t xml:space="preserve">The exemption applies to all </w:t>
      </w:r>
      <w:r>
        <w:rPr>
          <w:lang w:val="en-US"/>
        </w:rPr>
        <w:t>roads in New South Wales</w:t>
      </w:r>
      <w:r w:rsidRPr="00ED6708">
        <w:rPr>
          <w:lang w:val="en-US"/>
        </w:rPr>
        <w:t>.</w:t>
      </w:r>
    </w:p>
    <w:p w:rsidR="00D449FC" w:rsidRDefault="00D449FC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574A4E" w:rsidRPr="00ED6708" w:rsidRDefault="00574A4E" w:rsidP="00574A4E">
      <w:pPr>
        <w:rPr>
          <w:b/>
          <w:lang w:val="en-US"/>
        </w:rPr>
      </w:pPr>
      <w:r>
        <w:rPr>
          <w:b/>
          <w:lang w:val="en-US"/>
        </w:rPr>
        <w:lastRenderedPageBreak/>
        <w:t>Schedule 3</w:t>
      </w:r>
      <w:r w:rsidRPr="00ED6708">
        <w:rPr>
          <w:b/>
          <w:lang w:val="en-US"/>
        </w:rPr>
        <w:t xml:space="preserve">: </w:t>
      </w:r>
      <w:r>
        <w:rPr>
          <w:b/>
          <w:lang w:val="en-US"/>
        </w:rPr>
        <w:t>Queensland</w:t>
      </w:r>
    </w:p>
    <w:p w:rsidR="002B2DF1" w:rsidRDefault="002B2DF1" w:rsidP="002B2DF1">
      <w:pPr>
        <w:pStyle w:val="ListParagraph"/>
        <w:numPr>
          <w:ilvl w:val="0"/>
          <w:numId w:val="45"/>
        </w:numPr>
        <w:rPr>
          <w:b/>
          <w:bCs/>
          <w:lang w:val="en-US"/>
        </w:rPr>
      </w:pPr>
      <w:r>
        <w:rPr>
          <w:b/>
          <w:bCs/>
          <w:lang w:val="en-US"/>
        </w:rPr>
        <w:t>Conditions - General mass limits</w:t>
      </w:r>
    </w:p>
    <w:p w:rsidR="002B2DF1" w:rsidRDefault="002B2DF1" w:rsidP="002B2DF1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The mass of a Truck and Dog heavy vehicle operating under the general mass limits must not be more than:</w:t>
      </w:r>
    </w:p>
    <w:p w:rsidR="002B2DF1" w:rsidRDefault="002B2DF1" w:rsidP="002B2DF1">
      <w:pPr>
        <w:pStyle w:val="ListParagraph"/>
        <w:ind w:left="1080"/>
        <w:rPr>
          <w:lang w:val="en-US"/>
        </w:rPr>
      </w:pPr>
    </w:p>
    <w:p w:rsidR="002B2DF1" w:rsidRDefault="002B2DF1" w:rsidP="002B2DF1">
      <w:pPr>
        <w:pStyle w:val="ListParagraph"/>
        <w:numPr>
          <w:ilvl w:val="0"/>
          <w:numId w:val="53"/>
        </w:numPr>
        <w:rPr>
          <w:lang w:val="en-US"/>
        </w:rPr>
      </w:pPr>
      <w:r>
        <w:rPr>
          <w:lang w:val="en-US"/>
        </w:rPr>
        <w:t>in the case of a combination consisting of a rigid truck with 3 or 4 axles towing a dog trailer with 3 axles – 45t;</w:t>
      </w:r>
    </w:p>
    <w:p w:rsidR="002B2DF1" w:rsidRDefault="002B2DF1" w:rsidP="002B2DF1">
      <w:pPr>
        <w:pStyle w:val="ListParagraph"/>
        <w:numPr>
          <w:ilvl w:val="0"/>
          <w:numId w:val="53"/>
        </w:numPr>
        <w:rPr>
          <w:lang w:val="en-US"/>
        </w:rPr>
      </w:pP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case of a combination consisting of a rigid truck with 3 or 4 axles towing a dog trailer with 4 axles – 50t.</w:t>
      </w:r>
    </w:p>
    <w:p w:rsidR="002B2DF1" w:rsidRDefault="002B2DF1" w:rsidP="002B2DF1">
      <w:pPr>
        <w:pStyle w:val="ListParagraph"/>
        <w:ind w:left="1440"/>
        <w:rPr>
          <w:lang w:val="en-US"/>
        </w:rPr>
      </w:pPr>
    </w:p>
    <w:p w:rsidR="002B2DF1" w:rsidRDefault="002B2DF1" w:rsidP="002B2DF1">
      <w:pPr>
        <w:pStyle w:val="ListParagraph"/>
        <w:numPr>
          <w:ilvl w:val="0"/>
          <w:numId w:val="45"/>
        </w:numPr>
        <w:rPr>
          <w:b/>
          <w:bCs/>
          <w:lang w:val="en-US"/>
        </w:rPr>
      </w:pPr>
      <w:r>
        <w:rPr>
          <w:b/>
          <w:bCs/>
          <w:lang w:val="en-US"/>
        </w:rPr>
        <w:t>Conditions -  General mass limits, and steer axle mass exception limits</w:t>
      </w:r>
    </w:p>
    <w:p w:rsidR="002B2DF1" w:rsidRDefault="002B2DF1" w:rsidP="002B2DF1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>The mass of a Truck and Dog heavy vehicle operating under this notice and the steer axle mass exception limits must not be more than:</w:t>
      </w:r>
    </w:p>
    <w:p w:rsidR="002B2DF1" w:rsidRDefault="002B2DF1" w:rsidP="002B2DF1">
      <w:pPr>
        <w:pStyle w:val="ListParagraph"/>
        <w:ind w:left="1080"/>
        <w:rPr>
          <w:lang w:val="en-US"/>
        </w:rPr>
      </w:pPr>
    </w:p>
    <w:p w:rsidR="002B2DF1" w:rsidRDefault="002B2DF1" w:rsidP="002B2DF1">
      <w:pPr>
        <w:pStyle w:val="ListParagraph"/>
        <w:numPr>
          <w:ilvl w:val="0"/>
          <w:numId w:val="54"/>
        </w:numPr>
        <w:rPr>
          <w:lang w:val="en-US"/>
        </w:rPr>
      </w:pPr>
      <w:r>
        <w:rPr>
          <w:lang w:val="en-US"/>
        </w:rPr>
        <w:t>in the case of a combination consisting of a rigid truck with 3 axles towing a dog trailer with 3 axles – 45.5t;</w:t>
      </w:r>
    </w:p>
    <w:p w:rsidR="002B2DF1" w:rsidRDefault="002B2DF1" w:rsidP="002B2DF1">
      <w:pPr>
        <w:pStyle w:val="ListParagraph"/>
        <w:numPr>
          <w:ilvl w:val="0"/>
          <w:numId w:val="54"/>
        </w:numPr>
        <w:rPr>
          <w:lang w:val="en-US"/>
        </w:rPr>
      </w:pPr>
      <w:r>
        <w:rPr>
          <w:lang w:val="en-US"/>
        </w:rPr>
        <w:t>in the case of a combination consisting of a rigid truck with 3 axles towing a dog trailer with 4 axles – 50.5t</w:t>
      </w:r>
    </w:p>
    <w:p w:rsidR="00574A4E" w:rsidRPr="00574A4E" w:rsidRDefault="00574A4E" w:rsidP="00574A4E">
      <w:pPr>
        <w:pStyle w:val="ListParagraph"/>
        <w:ind w:left="1440"/>
        <w:rPr>
          <w:lang w:val="en-US"/>
        </w:rPr>
      </w:pPr>
    </w:p>
    <w:p w:rsidR="00574A4E" w:rsidRPr="00D449FC" w:rsidRDefault="00574A4E" w:rsidP="002B2DF1">
      <w:pPr>
        <w:pStyle w:val="ListParagraph"/>
        <w:numPr>
          <w:ilvl w:val="0"/>
          <w:numId w:val="45"/>
        </w:numPr>
        <w:rPr>
          <w:b/>
          <w:lang w:val="en-US"/>
        </w:rPr>
      </w:pPr>
      <w:r w:rsidRPr="00574A4E">
        <w:rPr>
          <w:b/>
          <w:lang w:val="en-US"/>
        </w:rPr>
        <w:t xml:space="preserve">Condition - Vehicle and combination axle </w:t>
      </w:r>
      <w:proofErr w:type="spellStart"/>
      <w:r w:rsidRPr="00574A4E">
        <w:rPr>
          <w:b/>
          <w:lang w:val="en-US"/>
        </w:rPr>
        <w:t>spacings</w:t>
      </w:r>
      <w:proofErr w:type="spellEnd"/>
    </w:p>
    <w:p w:rsidR="00AB7FBA" w:rsidRDefault="00574A4E" w:rsidP="002B2DF1">
      <w:pPr>
        <w:pStyle w:val="ListParagraph"/>
        <w:numPr>
          <w:ilvl w:val="0"/>
          <w:numId w:val="24"/>
        </w:numPr>
        <w:rPr>
          <w:lang w:val="en-US"/>
        </w:rPr>
      </w:pPr>
      <w:r w:rsidRPr="00574A4E">
        <w:rPr>
          <w:lang w:val="en-US"/>
        </w:rPr>
        <w:t xml:space="preserve">Mass limits relating to individual axle </w:t>
      </w:r>
      <w:proofErr w:type="spellStart"/>
      <w:r w:rsidRPr="00574A4E">
        <w:rPr>
          <w:lang w:val="en-US"/>
        </w:rPr>
        <w:t>spacings</w:t>
      </w:r>
      <w:proofErr w:type="spellEnd"/>
      <w:r w:rsidRPr="00574A4E">
        <w:rPr>
          <w:lang w:val="en-US"/>
        </w:rPr>
        <w:t xml:space="preserve"> shall not exceed the limits shown in Table 1</w:t>
      </w:r>
      <w:r w:rsidR="00E243A4">
        <w:rPr>
          <w:lang w:val="en-US"/>
        </w:rPr>
        <w:t xml:space="preserve"> of this Notice, </w:t>
      </w:r>
      <w:r w:rsidR="007C312D">
        <w:rPr>
          <w:lang w:val="en-US"/>
        </w:rPr>
        <w:t xml:space="preserve">and as </w:t>
      </w:r>
      <w:r w:rsidR="00E243A4">
        <w:rPr>
          <w:lang w:val="en-US"/>
        </w:rPr>
        <w:t>pursuant to s10 of the Notice</w:t>
      </w:r>
      <w:r w:rsidRPr="00574A4E">
        <w:rPr>
          <w:lang w:val="en-US"/>
        </w:rPr>
        <w:t>.</w:t>
      </w:r>
    </w:p>
    <w:p w:rsidR="007C312D" w:rsidRDefault="007C312D" w:rsidP="007C312D">
      <w:pPr>
        <w:pStyle w:val="ListParagraph"/>
        <w:ind w:left="1080"/>
        <w:rPr>
          <w:lang w:val="en-US"/>
        </w:rPr>
      </w:pPr>
    </w:p>
    <w:p w:rsidR="00574A4E" w:rsidRDefault="00574A4E" w:rsidP="002B2DF1">
      <w:pPr>
        <w:pStyle w:val="ListParagraph"/>
        <w:numPr>
          <w:ilvl w:val="0"/>
          <w:numId w:val="24"/>
        </w:numPr>
        <w:rPr>
          <w:lang w:val="en-US"/>
        </w:rPr>
      </w:pPr>
      <w:r w:rsidRPr="00AB7FBA">
        <w:rPr>
          <w:lang w:val="en-US"/>
        </w:rPr>
        <w:t>Individual axle spac</w:t>
      </w:r>
      <w:r w:rsidR="00AB7FBA">
        <w:rPr>
          <w:lang w:val="en-US"/>
        </w:rPr>
        <w:t>ing in a combination vehicle is:</w:t>
      </w:r>
    </w:p>
    <w:p w:rsidR="00AB7FBA" w:rsidRPr="00AB7FBA" w:rsidRDefault="00AB7FBA" w:rsidP="00AB7FBA">
      <w:pPr>
        <w:pStyle w:val="ListParagraph"/>
        <w:ind w:left="1080"/>
        <w:rPr>
          <w:lang w:val="en-US"/>
        </w:rPr>
      </w:pPr>
    </w:p>
    <w:p w:rsidR="00574A4E" w:rsidRPr="00AB7FBA" w:rsidRDefault="00574A4E" w:rsidP="002B2DF1">
      <w:pPr>
        <w:pStyle w:val="ListParagraph"/>
        <w:numPr>
          <w:ilvl w:val="0"/>
          <w:numId w:val="25"/>
        </w:numPr>
        <w:rPr>
          <w:lang w:val="en-US"/>
        </w:rPr>
      </w:pPr>
      <w:r w:rsidRPr="00574A4E">
        <w:rPr>
          <w:lang w:val="en-US"/>
        </w:rPr>
        <w:t xml:space="preserve">The distance from the </w:t>
      </w:r>
      <w:proofErr w:type="spellStart"/>
      <w:r w:rsidRPr="00574A4E">
        <w:rPr>
          <w:lang w:val="en-US"/>
        </w:rPr>
        <w:t>centre</w:t>
      </w:r>
      <w:proofErr w:type="spellEnd"/>
      <w:r w:rsidRPr="00574A4E">
        <w:rPr>
          <w:lang w:val="en-US"/>
        </w:rPr>
        <w:t xml:space="preserve"> of any single axle to the </w:t>
      </w:r>
      <w:proofErr w:type="spellStart"/>
      <w:r w:rsidRPr="00574A4E">
        <w:rPr>
          <w:lang w:val="en-US"/>
        </w:rPr>
        <w:t>centre</w:t>
      </w:r>
      <w:proofErr w:type="spellEnd"/>
      <w:r w:rsidRPr="00574A4E">
        <w:rPr>
          <w:lang w:val="en-US"/>
        </w:rPr>
        <w:t xml:space="preserve"> of the furthest axle in</w:t>
      </w:r>
      <w:r w:rsidR="00AB7FBA">
        <w:rPr>
          <w:lang w:val="en-US"/>
        </w:rPr>
        <w:t xml:space="preserve"> </w:t>
      </w:r>
      <w:r w:rsidRPr="00AB7FBA">
        <w:rPr>
          <w:lang w:val="en-US"/>
        </w:rPr>
        <w:t>any axle group; or</w:t>
      </w:r>
    </w:p>
    <w:p w:rsidR="00AB7FBA" w:rsidRDefault="00574A4E" w:rsidP="002B2DF1">
      <w:pPr>
        <w:pStyle w:val="ListParagraph"/>
        <w:numPr>
          <w:ilvl w:val="0"/>
          <w:numId w:val="25"/>
        </w:numPr>
        <w:rPr>
          <w:lang w:val="en-US"/>
        </w:rPr>
      </w:pPr>
      <w:r w:rsidRPr="00574A4E">
        <w:rPr>
          <w:lang w:val="en-US"/>
        </w:rPr>
        <w:t xml:space="preserve">The greatest distance between the </w:t>
      </w:r>
      <w:proofErr w:type="spellStart"/>
      <w:r w:rsidRPr="00574A4E">
        <w:rPr>
          <w:lang w:val="en-US"/>
        </w:rPr>
        <w:t>centres</w:t>
      </w:r>
      <w:proofErr w:type="spellEnd"/>
      <w:r w:rsidRPr="00574A4E">
        <w:rPr>
          <w:lang w:val="en-US"/>
        </w:rPr>
        <w:t xml:space="preserve"> </w:t>
      </w:r>
      <w:r w:rsidR="00AB7FBA">
        <w:rPr>
          <w:lang w:val="en-US"/>
        </w:rPr>
        <w:t>of axles in any two axle groups</w:t>
      </w:r>
    </w:p>
    <w:p w:rsidR="00AB7FBA" w:rsidRPr="00AB7FBA" w:rsidRDefault="00AB7FBA" w:rsidP="00AB7FBA">
      <w:pPr>
        <w:pStyle w:val="ListParagraph"/>
        <w:ind w:left="1440"/>
        <w:rPr>
          <w:lang w:val="en-US"/>
        </w:rPr>
      </w:pPr>
    </w:p>
    <w:p w:rsidR="009300B1" w:rsidRPr="00AB7FBA" w:rsidRDefault="00574A4E" w:rsidP="002B2DF1">
      <w:pPr>
        <w:pStyle w:val="ListParagraph"/>
        <w:numPr>
          <w:ilvl w:val="0"/>
          <w:numId w:val="24"/>
        </w:numPr>
        <w:rPr>
          <w:lang w:val="en-US"/>
        </w:rPr>
      </w:pPr>
      <w:r w:rsidRPr="00574A4E">
        <w:rPr>
          <w:lang w:val="en-US"/>
        </w:rPr>
        <w:t>The mass limits in Table 1 apply to the sum of the masses on each axle group or single axle</w:t>
      </w:r>
      <w:r w:rsidR="00AB7FBA">
        <w:rPr>
          <w:lang w:val="en-US"/>
        </w:rPr>
        <w:t xml:space="preserve"> </w:t>
      </w:r>
      <w:r w:rsidRPr="00AB7FBA">
        <w:rPr>
          <w:lang w:val="en-US"/>
        </w:rPr>
        <w:t>within the distance in the table, including the axles between which the distance is</w:t>
      </w:r>
      <w:r w:rsidR="00AB7FBA">
        <w:rPr>
          <w:lang w:val="en-US"/>
        </w:rPr>
        <w:t xml:space="preserve"> </w:t>
      </w:r>
      <w:r w:rsidRPr="00AB7FBA">
        <w:rPr>
          <w:lang w:val="en-US"/>
        </w:rPr>
        <w:t>measured, as shown in Figure 1.</w:t>
      </w:r>
    </w:p>
    <w:p w:rsidR="00A06AC6" w:rsidRDefault="00A06AC6" w:rsidP="00A06AC6">
      <w:pPr>
        <w:pStyle w:val="ListParagraph"/>
        <w:ind w:left="1080"/>
        <w:rPr>
          <w:lang w:val="en-US"/>
        </w:rPr>
      </w:pPr>
    </w:p>
    <w:p w:rsidR="00014575" w:rsidRDefault="00014575">
      <w:pPr>
        <w:rPr>
          <w:lang w:val="en-US"/>
        </w:rPr>
      </w:pPr>
      <w:r>
        <w:rPr>
          <w:lang w:val="en-US"/>
        </w:rPr>
        <w:br w:type="page"/>
      </w:r>
    </w:p>
    <w:p w:rsidR="00014575" w:rsidRDefault="00B914E8" w:rsidP="00A06AC6">
      <w:pPr>
        <w:pStyle w:val="ListParagraph"/>
        <w:ind w:left="1080"/>
        <w:rPr>
          <w:lang w:val="en-US"/>
        </w:rPr>
      </w:pPr>
      <w:r>
        <w:rPr>
          <w:noProof/>
          <w:lang w:eastAsia="en-AU"/>
        </w:rPr>
        <w:lastRenderedPageBreak/>
        <w:drawing>
          <wp:inline distT="0" distB="0" distL="0" distR="0" wp14:anchorId="7E31046C" wp14:editId="39839B7F">
            <wp:extent cx="5001223" cy="4543425"/>
            <wp:effectExtent l="0" t="0" r="9525" b="0"/>
            <wp:docPr id="1" name="Picture 1" descr="An illustration providing examples of how &quot;L&quot; dimensions are measured for axle group spacing." title="Figure#1 Examples of the calculation of minimum axle group spa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223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4E8" w:rsidRPr="003D1271" w:rsidRDefault="00B914E8" w:rsidP="003D1271">
      <w:pPr>
        <w:rPr>
          <w:b/>
          <w:lang w:val="en-US"/>
        </w:rPr>
      </w:pPr>
      <w:r w:rsidRPr="003D1271">
        <w:rPr>
          <w:b/>
          <w:lang w:val="en-US"/>
        </w:rPr>
        <w:t>Figure#1 Examples of the calculation of minimum axle group spacing</w:t>
      </w:r>
    </w:p>
    <w:p w:rsidR="00014575" w:rsidRPr="00014575" w:rsidRDefault="00A45E09" w:rsidP="002B2DF1">
      <w:pPr>
        <w:pStyle w:val="ListParagraph"/>
        <w:numPr>
          <w:ilvl w:val="0"/>
          <w:numId w:val="45"/>
        </w:numPr>
        <w:rPr>
          <w:b/>
          <w:lang w:val="en-US"/>
        </w:rPr>
      </w:pPr>
      <w:r>
        <w:rPr>
          <w:b/>
          <w:lang w:val="en-US"/>
        </w:rPr>
        <w:t xml:space="preserve">Conditions - General </w:t>
      </w:r>
    </w:p>
    <w:p w:rsidR="00014575" w:rsidRPr="00014575" w:rsidRDefault="00014575" w:rsidP="00014575">
      <w:pPr>
        <w:pStyle w:val="ListParagraph"/>
        <w:ind w:left="1080"/>
        <w:rPr>
          <w:lang w:val="en-US"/>
        </w:rPr>
      </w:pPr>
    </w:p>
    <w:p w:rsidR="00014575" w:rsidRDefault="00014575" w:rsidP="002B2DF1">
      <w:pPr>
        <w:pStyle w:val="ListParagraph"/>
        <w:numPr>
          <w:ilvl w:val="0"/>
          <w:numId w:val="26"/>
        </w:numPr>
        <w:rPr>
          <w:lang w:val="en-US"/>
        </w:rPr>
      </w:pPr>
      <w:r w:rsidRPr="00014575">
        <w:rPr>
          <w:lang w:val="en-US"/>
        </w:rPr>
        <w:t>The extreme axle spacing for a dog trailer with 3 axles must be a minimum of 3.8m.</w:t>
      </w:r>
    </w:p>
    <w:p w:rsidR="00014575" w:rsidRPr="00014575" w:rsidRDefault="00014575" w:rsidP="00014575">
      <w:pPr>
        <w:pStyle w:val="ListParagraph"/>
        <w:ind w:left="1080"/>
        <w:rPr>
          <w:lang w:val="en-US"/>
        </w:rPr>
      </w:pPr>
    </w:p>
    <w:p w:rsidR="00014575" w:rsidRPr="00014575" w:rsidRDefault="00014575" w:rsidP="002B2DF1">
      <w:pPr>
        <w:pStyle w:val="ListParagraph"/>
        <w:numPr>
          <w:ilvl w:val="0"/>
          <w:numId w:val="26"/>
        </w:numPr>
        <w:rPr>
          <w:lang w:val="en-US"/>
        </w:rPr>
      </w:pPr>
      <w:r w:rsidRPr="00014575">
        <w:rPr>
          <w:lang w:val="en-US"/>
        </w:rPr>
        <w:t>The Truck and Dog heavy vehicle must be capable of starting on a 10 percent gradient and</w:t>
      </w:r>
      <w:r>
        <w:rPr>
          <w:lang w:val="en-US"/>
        </w:rPr>
        <w:t xml:space="preserve"> </w:t>
      </w:r>
      <w:r w:rsidRPr="00014575">
        <w:rPr>
          <w:lang w:val="en-US"/>
        </w:rPr>
        <w:t>maintaining 70km/h on a one percent gradient.</w:t>
      </w:r>
    </w:p>
    <w:p w:rsidR="00014575" w:rsidRPr="00014575" w:rsidRDefault="00014575" w:rsidP="00014575">
      <w:pPr>
        <w:pStyle w:val="ListParagraph"/>
        <w:ind w:left="1080"/>
        <w:rPr>
          <w:lang w:val="en-US"/>
        </w:rPr>
      </w:pPr>
    </w:p>
    <w:p w:rsidR="00014575" w:rsidRPr="00014575" w:rsidRDefault="00014575" w:rsidP="002B2DF1">
      <w:pPr>
        <w:pStyle w:val="ListParagraph"/>
        <w:numPr>
          <w:ilvl w:val="0"/>
          <w:numId w:val="26"/>
        </w:numPr>
        <w:rPr>
          <w:lang w:val="en-US"/>
        </w:rPr>
      </w:pPr>
      <w:r w:rsidRPr="00014575">
        <w:rPr>
          <w:lang w:val="en-US"/>
        </w:rPr>
        <w:t>The power to mass ratio for a Truck and Dog heavy vehicle consisting of a rigid truck with 3</w:t>
      </w:r>
      <w:r>
        <w:rPr>
          <w:lang w:val="en-US"/>
        </w:rPr>
        <w:t xml:space="preserve"> </w:t>
      </w:r>
      <w:r w:rsidRPr="00014575">
        <w:rPr>
          <w:lang w:val="en-US"/>
        </w:rPr>
        <w:t>or 4 axles towing a dog trailer with 4 axles must not be less than 6.4 brake horse power per</w:t>
      </w:r>
      <w:r>
        <w:rPr>
          <w:lang w:val="en-US"/>
        </w:rPr>
        <w:t xml:space="preserve"> </w:t>
      </w:r>
      <w:proofErr w:type="spellStart"/>
      <w:r w:rsidRPr="00014575">
        <w:rPr>
          <w:lang w:val="en-US"/>
        </w:rPr>
        <w:t>tonne</w:t>
      </w:r>
      <w:proofErr w:type="spellEnd"/>
      <w:r w:rsidRPr="00014575">
        <w:rPr>
          <w:lang w:val="en-US"/>
        </w:rPr>
        <w:t xml:space="preserve"> or 4.8 kilowatts per </w:t>
      </w:r>
      <w:proofErr w:type="spellStart"/>
      <w:r w:rsidRPr="00014575">
        <w:rPr>
          <w:lang w:val="en-US"/>
        </w:rPr>
        <w:t>tonne</w:t>
      </w:r>
      <w:proofErr w:type="spellEnd"/>
      <w:r w:rsidRPr="00014575">
        <w:rPr>
          <w:lang w:val="en-US"/>
        </w:rPr>
        <w:t>.</w:t>
      </w:r>
    </w:p>
    <w:p w:rsidR="00014575" w:rsidRDefault="00014575" w:rsidP="00014575">
      <w:pPr>
        <w:pStyle w:val="ListParagraph"/>
        <w:ind w:left="1080"/>
        <w:rPr>
          <w:lang w:val="en-US"/>
        </w:rPr>
      </w:pPr>
    </w:p>
    <w:p w:rsidR="00014575" w:rsidRDefault="00014575" w:rsidP="003D1271">
      <w:pPr>
        <w:pStyle w:val="ListParagraph"/>
        <w:ind w:left="2160" w:hanging="1080"/>
        <w:rPr>
          <w:i/>
          <w:lang w:val="en-US"/>
        </w:rPr>
      </w:pPr>
      <w:r w:rsidRPr="00014575">
        <w:rPr>
          <w:i/>
          <w:lang w:val="en-US"/>
        </w:rPr>
        <w:t>Note:</w:t>
      </w:r>
      <w:r w:rsidRPr="00014575">
        <w:rPr>
          <w:i/>
          <w:lang w:val="en-US"/>
        </w:rPr>
        <w:tab/>
        <w:t xml:space="preserve">For example, an engine with a 320 brake horsepower rating is required for a Truck and Dog heavy vehicle operating at 50 </w:t>
      </w:r>
      <w:proofErr w:type="spellStart"/>
      <w:r w:rsidRPr="00014575">
        <w:rPr>
          <w:i/>
          <w:lang w:val="en-US"/>
        </w:rPr>
        <w:t>tonne</w:t>
      </w:r>
      <w:proofErr w:type="spellEnd"/>
      <w:r w:rsidRPr="00014575">
        <w:rPr>
          <w:i/>
          <w:lang w:val="en-US"/>
        </w:rPr>
        <w:t>.</w:t>
      </w:r>
    </w:p>
    <w:p w:rsidR="003D1271" w:rsidRPr="003D1271" w:rsidRDefault="003D1271" w:rsidP="003D1271">
      <w:pPr>
        <w:pStyle w:val="ListParagraph"/>
        <w:ind w:left="2160" w:hanging="1080"/>
        <w:rPr>
          <w:i/>
          <w:lang w:val="en-US"/>
        </w:rPr>
      </w:pPr>
    </w:p>
    <w:p w:rsidR="00014575" w:rsidRPr="00014575" w:rsidRDefault="00A45E09" w:rsidP="002B2DF1">
      <w:pPr>
        <w:pStyle w:val="ListParagraph"/>
        <w:numPr>
          <w:ilvl w:val="0"/>
          <w:numId w:val="45"/>
        </w:numPr>
        <w:rPr>
          <w:b/>
          <w:lang w:val="en-US"/>
        </w:rPr>
      </w:pPr>
      <w:r>
        <w:rPr>
          <w:b/>
          <w:lang w:val="en-US"/>
        </w:rPr>
        <w:t xml:space="preserve">Conditions - </w:t>
      </w:r>
      <w:r w:rsidR="00014575" w:rsidRPr="00014575">
        <w:rPr>
          <w:b/>
          <w:lang w:val="en-US"/>
        </w:rPr>
        <w:t>Areas or routes</w:t>
      </w:r>
    </w:p>
    <w:p w:rsidR="00014575" w:rsidRDefault="00014575" w:rsidP="00014575">
      <w:pPr>
        <w:pStyle w:val="ListParagraph"/>
        <w:ind w:left="1080"/>
        <w:rPr>
          <w:lang w:val="en-US"/>
        </w:rPr>
      </w:pPr>
    </w:p>
    <w:p w:rsidR="00014575" w:rsidRDefault="00014575" w:rsidP="002B2DF1">
      <w:pPr>
        <w:pStyle w:val="ListParagraph"/>
        <w:numPr>
          <w:ilvl w:val="0"/>
          <w:numId w:val="27"/>
        </w:numPr>
        <w:rPr>
          <w:lang w:val="en-US"/>
        </w:rPr>
      </w:pPr>
      <w:r w:rsidRPr="00014575">
        <w:rPr>
          <w:lang w:val="en-US"/>
        </w:rPr>
        <w:t xml:space="preserve">The exemption applies to all </w:t>
      </w:r>
      <w:r>
        <w:rPr>
          <w:lang w:val="en-US"/>
        </w:rPr>
        <w:t>roads</w:t>
      </w:r>
      <w:r w:rsidRPr="00014575">
        <w:rPr>
          <w:lang w:val="en-US"/>
        </w:rPr>
        <w:t xml:space="preserve"> in Queensland</w:t>
      </w:r>
      <w:r w:rsidR="00D47F8C">
        <w:rPr>
          <w:lang w:val="en-US"/>
        </w:rPr>
        <w:t xml:space="preserve"> unless otherwise restricted</w:t>
      </w:r>
      <w:r w:rsidRPr="00014575">
        <w:rPr>
          <w:lang w:val="en-US"/>
        </w:rPr>
        <w:t>.</w:t>
      </w:r>
    </w:p>
    <w:p w:rsidR="003D1271" w:rsidRDefault="003D1271">
      <w:pPr>
        <w:rPr>
          <w:lang w:val="en-US"/>
        </w:rPr>
      </w:pPr>
    </w:p>
    <w:p w:rsidR="00B914E8" w:rsidRPr="00481D1F" w:rsidRDefault="00B914E8" w:rsidP="00B914E8">
      <w:pPr>
        <w:rPr>
          <w:b/>
          <w:lang w:val="en-US"/>
        </w:rPr>
      </w:pPr>
      <w:r w:rsidRPr="00481D1F">
        <w:rPr>
          <w:b/>
          <w:lang w:val="en-US"/>
        </w:rPr>
        <w:lastRenderedPageBreak/>
        <w:t>Schedule 4: South Australia</w:t>
      </w:r>
    </w:p>
    <w:p w:rsidR="002B2DF1" w:rsidRPr="002B2DF1" w:rsidRDefault="002B2DF1" w:rsidP="002B2DF1">
      <w:pPr>
        <w:numPr>
          <w:ilvl w:val="0"/>
          <w:numId w:val="55"/>
        </w:numPr>
        <w:contextualSpacing/>
        <w:rPr>
          <w:b/>
          <w:bCs/>
          <w:lang w:val="en-US"/>
        </w:rPr>
      </w:pPr>
      <w:r w:rsidRPr="002B2DF1">
        <w:rPr>
          <w:b/>
          <w:bCs/>
          <w:lang w:val="en-US"/>
        </w:rPr>
        <w:t>Conditions - General mass limits</w:t>
      </w:r>
    </w:p>
    <w:p w:rsidR="002B2DF1" w:rsidRPr="002B2DF1" w:rsidRDefault="002B2DF1" w:rsidP="002B2DF1">
      <w:pPr>
        <w:numPr>
          <w:ilvl w:val="0"/>
          <w:numId w:val="56"/>
        </w:numPr>
        <w:contextualSpacing/>
        <w:rPr>
          <w:lang w:val="en-US"/>
        </w:rPr>
      </w:pPr>
      <w:r w:rsidRPr="002B2DF1">
        <w:rPr>
          <w:lang w:val="en-US"/>
        </w:rPr>
        <w:t>The mass of a Truck and Dog heavy vehicle operating under the general mass limits must not be more than:</w:t>
      </w:r>
    </w:p>
    <w:p w:rsidR="002B2DF1" w:rsidRPr="002B2DF1" w:rsidRDefault="002B2DF1" w:rsidP="002B2DF1">
      <w:pPr>
        <w:ind w:left="1080"/>
        <w:contextualSpacing/>
        <w:rPr>
          <w:lang w:val="en-US"/>
        </w:rPr>
      </w:pPr>
    </w:p>
    <w:p w:rsidR="002B2DF1" w:rsidRPr="002B2DF1" w:rsidRDefault="002B2DF1" w:rsidP="002B2DF1">
      <w:pPr>
        <w:numPr>
          <w:ilvl w:val="0"/>
          <w:numId w:val="57"/>
        </w:numPr>
        <w:contextualSpacing/>
        <w:rPr>
          <w:lang w:val="en-US"/>
        </w:rPr>
      </w:pPr>
      <w:r w:rsidRPr="002B2DF1">
        <w:rPr>
          <w:lang w:val="en-US"/>
        </w:rPr>
        <w:t>in the case of a combination consisting of a rigid truck with 3 or 4 axles towing a dog trailer with 3 axles – 45t;</w:t>
      </w:r>
    </w:p>
    <w:p w:rsidR="002B2DF1" w:rsidRPr="002B2DF1" w:rsidRDefault="002B2DF1" w:rsidP="002B2DF1">
      <w:pPr>
        <w:numPr>
          <w:ilvl w:val="0"/>
          <w:numId w:val="57"/>
        </w:numPr>
        <w:contextualSpacing/>
        <w:rPr>
          <w:lang w:val="en-US"/>
        </w:rPr>
      </w:pPr>
      <w:proofErr w:type="gramStart"/>
      <w:r w:rsidRPr="002B2DF1">
        <w:rPr>
          <w:lang w:val="en-US"/>
        </w:rPr>
        <w:t>in</w:t>
      </w:r>
      <w:proofErr w:type="gramEnd"/>
      <w:r w:rsidRPr="002B2DF1">
        <w:rPr>
          <w:lang w:val="en-US"/>
        </w:rPr>
        <w:t xml:space="preserve"> the case of a combination consisting of a rigid truck with 3 or 4 axles towing a dog trailer with 4 axles – 50t.</w:t>
      </w:r>
    </w:p>
    <w:p w:rsidR="002B2DF1" w:rsidRPr="002B2DF1" w:rsidRDefault="002B2DF1" w:rsidP="002B2DF1">
      <w:pPr>
        <w:ind w:left="1440"/>
        <w:contextualSpacing/>
        <w:rPr>
          <w:lang w:val="en-US"/>
        </w:rPr>
      </w:pPr>
    </w:p>
    <w:p w:rsidR="002B2DF1" w:rsidRPr="002B2DF1" w:rsidRDefault="002B2DF1" w:rsidP="002B2DF1">
      <w:pPr>
        <w:numPr>
          <w:ilvl w:val="0"/>
          <w:numId w:val="55"/>
        </w:numPr>
        <w:contextualSpacing/>
        <w:rPr>
          <w:b/>
          <w:bCs/>
          <w:lang w:val="en-US"/>
        </w:rPr>
      </w:pPr>
      <w:r w:rsidRPr="002B2DF1">
        <w:rPr>
          <w:b/>
          <w:bCs/>
          <w:lang w:val="en-US"/>
        </w:rPr>
        <w:t>Conditions -  General mass limits, and steer axle mass exception limits</w:t>
      </w:r>
    </w:p>
    <w:p w:rsidR="002B2DF1" w:rsidRPr="002B2DF1" w:rsidRDefault="002B2DF1" w:rsidP="002B2DF1">
      <w:pPr>
        <w:numPr>
          <w:ilvl w:val="0"/>
          <w:numId w:val="59"/>
        </w:numPr>
        <w:contextualSpacing/>
        <w:rPr>
          <w:lang w:val="en-US"/>
        </w:rPr>
      </w:pPr>
      <w:r w:rsidRPr="002B2DF1">
        <w:rPr>
          <w:lang w:val="en-US"/>
        </w:rPr>
        <w:t>The mass of a Truck and Dog heavy vehicle operating under this notice and the steer axle mass exception limits must not be more than:</w:t>
      </w:r>
    </w:p>
    <w:p w:rsidR="002B2DF1" w:rsidRPr="002B2DF1" w:rsidRDefault="002B2DF1" w:rsidP="002B2DF1">
      <w:pPr>
        <w:ind w:left="1080"/>
        <w:contextualSpacing/>
        <w:rPr>
          <w:lang w:val="en-US"/>
        </w:rPr>
      </w:pPr>
    </w:p>
    <w:p w:rsidR="002B2DF1" w:rsidRPr="002B2DF1" w:rsidRDefault="002B2DF1" w:rsidP="002B2DF1">
      <w:pPr>
        <w:numPr>
          <w:ilvl w:val="0"/>
          <w:numId w:val="58"/>
        </w:numPr>
        <w:contextualSpacing/>
        <w:rPr>
          <w:lang w:val="en-US"/>
        </w:rPr>
      </w:pPr>
      <w:r w:rsidRPr="002B2DF1">
        <w:rPr>
          <w:lang w:val="en-US"/>
        </w:rPr>
        <w:t>in the case of a combination consisting of a rigid truck with 3 axles towing a dog trailer with 3 axles – 45.5t;</w:t>
      </w:r>
    </w:p>
    <w:p w:rsidR="002B2DF1" w:rsidRDefault="002B2DF1" w:rsidP="002B2DF1">
      <w:pPr>
        <w:numPr>
          <w:ilvl w:val="0"/>
          <w:numId w:val="58"/>
        </w:numPr>
        <w:contextualSpacing/>
        <w:rPr>
          <w:lang w:val="en-US"/>
        </w:rPr>
      </w:pPr>
      <w:r w:rsidRPr="002B2DF1">
        <w:rPr>
          <w:lang w:val="en-US"/>
        </w:rPr>
        <w:t>in the case of a combination consisting of a rigid truck with 3 axles towing a dog trailer with 4 axles – 50.5t</w:t>
      </w:r>
    </w:p>
    <w:p w:rsidR="002B2DF1" w:rsidRPr="002B2DF1" w:rsidRDefault="002B2DF1" w:rsidP="002B2DF1">
      <w:pPr>
        <w:contextualSpacing/>
        <w:rPr>
          <w:lang w:val="en-US"/>
        </w:rPr>
      </w:pPr>
    </w:p>
    <w:p w:rsidR="00481D1F" w:rsidRDefault="00481D1F" w:rsidP="002B2DF1">
      <w:pPr>
        <w:numPr>
          <w:ilvl w:val="0"/>
          <w:numId w:val="55"/>
        </w:numPr>
        <w:contextualSpacing/>
        <w:rPr>
          <w:b/>
          <w:lang w:val="en-US"/>
        </w:rPr>
      </w:pPr>
      <w:r>
        <w:rPr>
          <w:b/>
          <w:lang w:val="en-US"/>
        </w:rPr>
        <w:t>Conditions - Other mass requirements</w:t>
      </w:r>
    </w:p>
    <w:p w:rsidR="00481D1F" w:rsidRDefault="00481D1F" w:rsidP="002B2DF1">
      <w:pPr>
        <w:pStyle w:val="ListParagraph"/>
        <w:numPr>
          <w:ilvl w:val="0"/>
          <w:numId w:val="28"/>
        </w:numPr>
        <w:rPr>
          <w:lang w:val="en-US"/>
        </w:rPr>
      </w:pPr>
      <w:r w:rsidRPr="00481D1F">
        <w:rPr>
          <w:lang w:val="en-US"/>
        </w:rPr>
        <w:t>The mass of a 3 axle dog trailer in the combination must not be more than 22.5t.</w:t>
      </w:r>
    </w:p>
    <w:p w:rsidR="00481D1F" w:rsidRDefault="00481D1F" w:rsidP="00481D1F">
      <w:pPr>
        <w:pStyle w:val="ListParagraph"/>
        <w:ind w:left="1080"/>
        <w:rPr>
          <w:lang w:val="en-US"/>
        </w:rPr>
      </w:pPr>
    </w:p>
    <w:p w:rsidR="00481D1F" w:rsidRPr="00481D1F" w:rsidRDefault="00481D1F" w:rsidP="002B2DF1">
      <w:pPr>
        <w:pStyle w:val="ListParagraph"/>
        <w:numPr>
          <w:ilvl w:val="0"/>
          <w:numId w:val="28"/>
        </w:numPr>
        <w:rPr>
          <w:lang w:val="en-US"/>
        </w:rPr>
      </w:pPr>
      <w:r w:rsidRPr="00481D1F">
        <w:rPr>
          <w:lang w:val="en-US"/>
        </w:rPr>
        <w:t>The mass of a dog trailer with 3 axles in the combination must not be more than the mass</w:t>
      </w:r>
      <w:r>
        <w:rPr>
          <w:lang w:val="en-US"/>
        </w:rPr>
        <w:t xml:space="preserve"> </w:t>
      </w:r>
      <w:r w:rsidRPr="00481D1F">
        <w:rPr>
          <w:lang w:val="en-US"/>
        </w:rPr>
        <w:t>of the towing vehicle</w:t>
      </w:r>
      <w:r>
        <w:rPr>
          <w:lang w:val="en-US"/>
        </w:rPr>
        <w:t>.</w:t>
      </w:r>
    </w:p>
    <w:p w:rsidR="00481D1F" w:rsidRPr="00481D1F" w:rsidRDefault="00481D1F" w:rsidP="00481D1F">
      <w:pPr>
        <w:pStyle w:val="ListParagraph"/>
        <w:ind w:left="1080"/>
        <w:rPr>
          <w:lang w:val="en-US"/>
        </w:rPr>
      </w:pPr>
    </w:p>
    <w:p w:rsidR="00481D1F" w:rsidRPr="00481D1F" w:rsidRDefault="00481D1F" w:rsidP="002B2DF1">
      <w:pPr>
        <w:pStyle w:val="ListParagraph"/>
        <w:numPr>
          <w:ilvl w:val="0"/>
          <w:numId w:val="28"/>
        </w:numPr>
        <w:rPr>
          <w:lang w:val="en-US"/>
        </w:rPr>
      </w:pPr>
      <w:r w:rsidRPr="00481D1F">
        <w:rPr>
          <w:lang w:val="en-US"/>
        </w:rPr>
        <w:t>The mass of a 4 axle dog trailer in the combination must not be more than 27.5t.</w:t>
      </w:r>
    </w:p>
    <w:p w:rsidR="00481D1F" w:rsidRPr="00481D1F" w:rsidRDefault="00481D1F" w:rsidP="00481D1F">
      <w:pPr>
        <w:pStyle w:val="ListParagraph"/>
        <w:ind w:left="1080"/>
        <w:rPr>
          <w:lang w:val="en-US"/>
        </w:rPr>
      </w:pPr>
    </w:p>
    <w:p w:rsidR="00B94AD5" w:rsidRPr="002B2DF1" w:rsidRDefault="00481D1F" w:rsidP="002B2DF1">
      <w:pPr>
        <w:numPr>
          <w:ilvl w:val="0"/>
          <w:numId w:val="55"/>
        </w:numPr>
        <w:contextualSpacing/>
        <w:rPr>
          <w:b/>
          <w:lang w:val="en-US"/>
        </w:rPr>
      </w:pPr>
      <w:r w:rsidRPr="002B2DF1">
        <w:rPr>
          <w:b/>
          <w:lang w:val="en-US"/>
        </w:rPr>
        <w:t>Conditions - Other axle spacing requirements</w:t>
      </w:r>
    </w:p>
    <w:p w:rsidR="00481D1F" w:rsidRPr="00481D1F" w:rsidRDefault="00481D1F" w:rsidP="002B2DF1">
      <w:pPr>
        <w:pStyle w:val="ListParagraph"/>
        <w:numPr>
          <w:ilvl w:val="0"/>
          <w:numId w:val="29"/>
        </w:numPr>
        <w:rPr>
          <w:lang w:val="en-US"/>
        </w:rPr>
      </w:pPr>
      <w:r w:rsidRPr="00481D1F">
        <w:rPr>
          <w:lang w:val="en-US"/>
        </w:rPr>
        <w:t>The truck and dog heavy vehicle must comply with the axle spacing limits shown in the</w:t>
      </w:r>
    </w:p>
    <w:p w:rsidR="00481D1F" w:rsidRPr="00481D1F" w:rsidRDefault="00481D1F" w:rsidP="00481D1F">
      <w:pPr>
        <w:pStyle w:val="ListParagraph"/>
        <w:ind w:left="1080"/>
        <w:rPr>
          <w:lang w:val="en-US"/>
        </w:rPr>
      </w:pPr>
      <w:proofErr w:type="gramStart"/>
      <w:r w:rsidRPr="00481D1F">
        <w:rPr>
          <w:lang w:val="en-US"/>
        </w:rPr>
        <w:t>vehicle</w:t>
      </w:r>
      <w:proofErr w:type="gramEnd"/>
      <w:r w:rsidRPr="00481D1F">
        <w:rPr>
          <w:lang w:val="en-US"/>
        </w:rPr>
        <w:t xml:space="preserve"> configuration figures (1-4) below for the respective rigid truck and dog trailer</w:t>
      </w:r>
      <w:r>
        <w:rPr>
          <w:lang w:val="en-US"/>
        </w:rPr>
        <w:t xml:space="preserve"> </w:t>
      </w:r>
      <w:r w:rsidRPr="00481D1F">
        <w:rPr>
          <w:lang w:val="en-US"/>
        </w:rPr>
        <w:t>combinations.</w:t>
      </w:r>
    </w:p>
    <w:p w:rsidR="00B914E8" w:rsidRPr="00B94AD5" w:rsidRDefault="00481D1F" w:rsidP="00481D1F">
      <w:pPr>
        <w:ind w:left="2160" w:hanging="720"/>
        <w:rPr>
          <w:i/>
          <w:lang w:val="en-US"/>
        </w:rPr>
      </w:pPr>
      <w:r w:rsidRPr="00B94AD5">
        <w:rPr>
          <w:i/>
          <w:lang w:val="en-US"/>
        </w:rPr>
        <w:t>Note:</w:t>
      </w:r>
      <w:r w:rsidRPr="00B94AD5">
        <w:rPr>
          <w:i/>
          <w:lang w:val="en-US"/>
        </w:rPr>
        <w:tab/>
        <w:t>Except where stated otherwise, all dimensions must be equal to or greater than those specified.</w:t>
      </w:r>
    </w:p>
    <w:p w:rsidR="00B94AD5" w:rsidRDefault="00B94AD5">
      <w:pPr>
        <w:rPr>
          <w:lang w:val="en-US"/>
        </w:rPr>
      </w:pPr>
      <w:r>
        <w:rPr>
          <w:lang w:val="en-US"/>
        </w:rPr>
        <w:br w:type="page"/>
      </w:r>
    </w:p>
    <w:p w:rsidR="00481D1F" w:rsidRDefault="00B94AD5">
      <w:pPr>
        <w:rPr>
          <w:lang w:val="en-US"/>
        </w:rPr>
      </w:pPr>
      <w:r>
        <w:rPr>
          <w:noProof/>
          <w:lang w:eastAsia="en-AU"/>
        </w:rPr>
        <w:lastRenderedPageBreak/>
        <w:drawing>
          <wp:inline distT="0" distB="0" distL="0" distR="0" wp14:anchorId="08F11F26" wp14:editId="25449746">
            <wp:extent cx="5206384" cy="5021714"/>
            <wp:effectExtent l="0" t="0" r="0" b="0"/>
            <wp:docPr id="2" name="Picture 2" descr="An illustration showing four vehicle configurations and the axle spacings specified for them." title="Figures 1: Axle spacing dimensions for particular vehicle configu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384" cy="502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AD5" w:rsidRDefault="00B94AD5">
      <w:pPr>
        <w:rPr>
          <w:b/>
          <w:lang w:val="en-US"/>
        </w:rPr>
      </w:pPr>
      <w:r w:rsidRPr="00B94AD5">
        <w:rPr>
          <w:b/>
          <w:lang w:val="en-US"/>
        </w:rPr>
        <w:t>Figures 1: Axle spacing dimensions for particular vehicle configurations</w:t>
      </w:r>
    </w:p>
    <w:p w:rsidR="00B94AD5" w:rsidRDefault="00B94AD5" w:rsidP="00A45E09">
      <w:pPr>
        <w:rPr>
          <w:i/>
        </w:rPr>
      </w:pPr>
      <w:r w:rsidRPr="00A45E09">
        <w:rPr>
          <w:i/>
        </w:rPr>
        <w:t xml:space="preserve">*The gross mass of the combination reduces by 0.5t for each </w:t>
      </w:r>
      <w:r w:rsidR="00A45E09" w:rsidRPr="00A45E09">
        <w:rPr>
          <w:i/>
        </w:rPr>
        <w:t xml:space="preserve">0.5 metres reduction in extreme </w:t>
      </w:r>
      <w:r w:rsidRPr="00A45E09">
        <w:rPr>
          <w:i/>
        </w:rPr>
        <w:t>axle spacing</w:t>
      </w:r>
    </w:p>
    <w:p w:rsidR="00367337" w:rsidRDefault="0036733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A45E09" w:rsidRDefault="00A45E09" w:rsidP="002B2DF1">
      <w:pPr>
        <w:numPr>
          <w:ilvl w:val="0"/>
          <w:numId w:val="55"/>
        </w:numPr>
        <w:contextualSpacing/>
        <w:rPr>
          <w:b/>
          <w:lang w:val="en-US"/>
        </w:rPr>
      </w:pPr>
      <w:r>
        <w:rPr>
          <w:b/>
          <w:lang w:val="en-US"/>
        </w:rPr>
        <w:lastRenderedPageBreak/>
        <w:t xml:space="preserve">Conditions - General </w:t>
      </w:r>
    </w:p>
    <w:p w:rsidR="00A45E09" w:rsidRPr="00A45E09" w:rsidRDefault="00A45E09" w:rsidP="002B2DF1">
      <w:pPr>
        <w:pStyle w:val="ListParagraph"/>
        <w:numPr>
          <w:ilvl w:val="0"/>
          <w:numId w:val="30"/>
        </w:numPr>
        <w:rPr>
          <w:lang w:val="en-US"/>
        </w:rPr>
      </w:pPr>
      <w:r w:rsidRPr="00A45E09">
        <w:rPr>
          <w:lang w:val="en-US"/>
        </w:rPr>
        <w:t xml:space="preserve">The power to mass ratio for a Truck and Dog heavy vehicle must not be less than 6.4 brake horse power per </w:t>
      </w:r>
      <w:proofErr w:type="spellStart"/>
      <w:r w:rsidRPr="00A45E09">
        <w:rPr>
          <w:lang w:val="en-US"/>
        </w:rPr>
        <w:t>tonne</w:t>
      </w:r>
      <w:proofErr w:type="spellEnd"/>
      <w:r w:rsidRPr="00A45E09">
        <w:rPr>
          <w:lang w:val="en-US"/>
        </w:rPr>
        <w:t xml:space="preserve"> or 4.8 kilowatts per </w:t>
      </w:r>
      <w:proofErr w:type="spellStart"/>
      <w:r w:rsidRPr="00A45E09">
        <w:rPr>
          <w:lang w:val="en-US"/>
        </w:rPr>
        <w:t>tonne</w:t>
      </w:r>
      <w:proofErr w:type="spellEnd"/>
      <w:r w:rsidRPr="00A45E09">
        <w:rPr>
          <w:lang w:val="en-US"/>
        </w:rPr>
        <w:t>.</w:t>
      </w:r>
    </w:p>
    <w:p w:rsidR="00A45E09" w:rsidRPr="00A45E09" w:rsidRDefault="00A45E09" w:rsidP="00A45E09">
      <w:pPr>
        <w:pStyle w:val="ListParagraph"/>
        <w:ind w:left="1080"/>
        <w:rPr>
          <w:lang w:val="en-US"/>
        </w:rPr>
      </w:pPr>
    </w:p>
    <w:p w:rsidR="00367337" w:rsidRDefault="00A45E09" w:rsidP="00367337">
      <w:pPr>
        <w:pStyle w:val="ListParagraph"/>
        <w:ind w:left="2160" w:hanging="1080"/>
        <w:rPr>
          <w:i/>
          <w:lang w:val="en-US"/>
        </w:rPr>
      </w:pPr>
      <w:r w:rsidRPr="00A45E09">
        <w:rPr>
          <w:i/>
          <w:lang w:val="en-US"/>
        </w:rPr>
        <w:t>Note:</w:t>
      </w:r>
      <w:r w:rsidRPr="00A45E09">
        <w:rPr>
          <w:i/>
          <w:lang w:val="en-US"/>
        </w:rPr>
        <w:tab/>
        <w:t xml:space="preserve">For example, an engine with a 320 brake horsepower rating is required for a Truck and Dog heavy vehicle operating at 50 </w:t>
      </w:r>
      <w:proofErr w:type="spellStart"/>
      <w:r w:rsidRPr="00A45E09">
        <w:rPr>
          <w:i/>
          <w:lang w:val="en-US"/>
        </w:rPr>
        <w:t>tonne</w:t>
      </w:r>
      <w:proofErr w:type="spellEnd"/>
      <w:r w:rsidRPr="00A45E09">
        <w:rPr>
          <w:i/>
          <w:lang w:val="en-US"/>
        </w:rPr>
        <w:t>.</w:t>
      </w:r>
    </w:p>
    <w:p w:rsidR="00367337" w:rsidRPr="00367337" w:rsidRDefault="00367337" w:rsidP="00367337">
      <w:pPr>
        <w:pStyle w:val="ListParagraph"/>
        <w:ind w:left="2160" w:hanging="1080"/>
        <w:rPr>
          <w:i/>
          <w:lang w:val="en-US"/>
        </w:rPr>
      </w:pPr>
    </w:p>
    <w:p w:rsidR="00A45E09" w:rsidRDefault="00A45E09" w:rsidP="005452EC">
      <w:pPr>
        <w:pStyle w:val="ListParagraph"/>
        <w:numPr>
          <w:ilvl w:val="0"/>
          <w:numId w:val="30"/>
        </w:numPr>
        <w:rPr>
          <w:lang w:val="en-US"/>
        </w:rPr>
      </w:pPr>
      <w:r w:rsidRPr="00A45E09">
        <w:rPr>
          <w:lang w:val="en-US"/>
        </w:rPr>
        <w:t>The length of the dog trailer drawbar when measured fr</w:t>
      </w:r>
      <w:r>
        <w:rPr>
          <w:lang w:val="en-US"/>
        </w:rPr>
        <w:t xml:space="preserve">om the </w:t>
      </w:r>
      <w:proofErr w:type="spellStart"/>
      <w:r>
        <w:rPr>
          <w:lang w:val="en-US"/>
        </w:rPr>
        <w:t>centreline</w:t>
      </w:r>
      <w:proofErr w:type="spellEnd"/>
      <w:r>
        <w:rPr>
          <w:lang w:val="en-US"/>
        </w:rPr>
        <w:t xml:space="preserve"> of the towing </w:t>
      </w:r>
      <w:r w:rsidRPr="00A45E09">
        <w:rPr>
          <w:lang w:val="en-US"/>
        </w:rPr>
        <w:t xml:space="preserve">pivot to the </w:t>
      </w:r>
      <w:proofErr w:type="spellStart"/>
      <w:r w:rsidRPr="00A45E09">
        <w:rPr>
          <w:lang w:val="en-US"/>
        </w:rPr>
        <w:t>centreline</w:t>
      </w:r>
      <w:proofErr w:type="spellEnd"/>
      <w:r w:rsidRPr="00A45E09">
        <w:rPr>
          <w:lang w:val="en-US"/>
        </w:rPr>
        <w:t xml:space="preserve"> of the leading axle or axle group of </w:t>
      </w:r>
      <w:r>
        <w:rPr>
          <w:lang w:val="en-US"/>
        </w:rPr>
        <w:t xml:space="preserve">the trailer must be longer than 3m but not longer than </w:t>
      </w:r>
      <w:r w:rsidRPr="00A45E09">
        <w:rPr>
          <w:lang w:val="en-US"/>
        </w:rPr>
        <w:t>5m.</w:t>
      </w:r>
    </w:p>
    <w:p w:rsidR="00A45E09" w:rsidRDefault="00A45E09" w:rsidP="002B2DF1">
      <w:pPr>
        <w:numPr>
          <w:ilvl w:val="0"/>
          <w:numId w:val="55"/>
        </w:numPr>
        <w:contextualSpacing/>
        <w:rPr>
          <w:b/>
          <w:lang w:val="en-US"/>
        </w:rPr>
      </w:pPr>
      <w:r>
        <w:rPr>
          <w:b/>
          <w:lang w:val="en-US"/>
        </w:rPr>
        <w:t xml:space="preserve">Conditions - </w:t>
      </w:r>
      <w:r w:rsidRPr="00014575">
        <w:rPr>
          <w:b/>
          <w:lang w:val="en-US"/>
        </w:rPr>
        <w:t>Areas or routes</w:t>
      </w:r>
    </w:p>
    <w:p w:rsidR="00A45E09" w:rsidRDefault="00A45E09" w:rsidP="002B2DF1">
      <w:pPr>
        <w:pStyle w:val="ListParagraph"/>
        <w:numPr>
          <w:ilvl w:val="0"/>
          <w:numId w:val="31"/>
        </w:numPr>
        <w:rPr>
          <w:lang w:val="en-US"/>
        </w:rPr>
      </w:pPr>
      <w:r w:rsidRPr="00046850">
        <w:rPr>
          <w:lang w:val="en-US"/>
        </w:rPr>
        <w:t>A Truck and Dog heavy vehicle may use all r</w:t>
      </w:r>
      <w:r w:rsidR="00046850">
        <w:rPr>
          <w:lang w:val="en-US"/>
        </w:rPr>
        <w:t>oads in South Australia, except:</w:t>
      </w:r>
    </w:p>
    <w:p w:rsidR="00046850" w:rsidRPr="00046850" w:rsidRDefault="00046850" w:rsidP="00046850">
      <w:pPr>
        <w:pStyle w:val="ListParagraph"/>
        <w:ind w:left="1080"/>
        <w:rPr>
          <w:lang w:val="en-US"/>
        </w:rPr>
      </w:pPr>
    </w:p>
    <w:p w:rsidR="00A45E09" w:rsidRPr="00046850" w:rsidRDefault="00A45E09" w:rsidP="002B2DF1">
      <w:pPr>
        <w:pStyle w:val="ListParagraph"/>
        <w:numPr>
          <w:ilvl w:val="0"/>
          <w:numId w:val="32"/>
        </w:numPr>
        <w:rPr>
          <w:lang w:val="en-US"/>
        </w:rPr>
      </w:pPr>
      <w:r w:rsidRPr="00046850">
        <w:rPr>
          <w:lang w:val="en-US"/>
        </w:rPr>
        <w:t>in the case of a combination which has a total of six ax</w:t>
      </w:r>
      <w:r w:rsidR="00046850" w:rsidRPr="00046850">
        <w:rPr>
          <w:lang w:val="en-US"/>
        </w:rPr>
        <w:t xml:space="preserve">les, travel is not permitted on </w:t>
      </w:r>
      <w:r w:rsidRPr="00046850">
        <w:rPr>
          <w:lang w:val="en-US"/>
        </w:rPr>
        <w:t>the following bridge structures—</w:t>
      </w:r>
    </w:p>
    <w:p w:rsidR="00A45E09" w:rsidRPr="00046850" w:rsidRDefault="00A45E09" w:rsidP="002B2DF1">
      <w:pPr>
        <w:pStyle w:val="ListParagraph"/>
        <w:numPr>
          <w:ilvl w:val="0"/>
          <w:numId w:val="33"/>
        </w:numPr>
      </w:pPr>
      <w:r w:rsidRPr="00046850">
        <w:t xml:space="preserve">Gumeracha Bridge – </w:t>
      </w:r>
      <w:r w:rsidR="00344ED4">
        <w:t>Over River Torrens on Torrens Velley Road between Chain of Ponds and Gumeracha</w:t>
      </w:r>
    </w:p>
    <w:p w:rsidR="00A45E09" w:rsidRPr="00046850" w:rsidRDefault="00A45E09" w:rsidP="002B2DF1">
      <w:pPr>
        <w:pStyle w:val="ListParagraph"/>
        <w:numPr>
          <w:ilvl w:val="0"/>
          <w:numId w:val="33"/>
        </w:numPr>
      </w:pPr>
      <w:r w:rsidRPr="00046850">
        <w:t>Murray Bridge – Over the River Murray at Murray Bridge (old bridge)</w:t>
      </w:r>
    </w:p>
    <w:p w:rsidR="00A45E09" w:rsidRPr="00046850" w:rsidRDefault="00A45E09" w:rsidP="002B2DF1">
      <w:pPr>
        <w:pStyle w:val="ListParagraph"/>
        <w:numPr>
          <w:ilvl w:val="0"/>
          <w:numId w:val="33"/>
        </w:numPr>
      </w:pPr>
      <w:r w:rsidRPr="00046850">
        <w:t>Spring Creek Bridge – 8.7km south of Wilmington on Main North Road</w:t>
      </w:r>
    </w:p>
    <w:p w:rsidR="00A45E09" w:rsidRPr="00046850" w:rsidRDefault="00A45E09" w:rsidP="002B2DF1">
      <w:pPr>
        <w:pStyle w:val="ListParagraph"/>
        <w:numPr>
          <w:ilvl w:val="0"/>
          <w:numId w:val="33"/>
        </w:numPr>
      </w:pPr>
      <w:r w:rsidRPr="00046850">
        <w:t xml:space="preserve">Birkenhead Bridge – </w:t>
      </w:r>
      <w:r w:rsidR="00344ED4">
        <w:t>Nelson Street, over Port River at Port Adelaide (the lifting bridge)</w:t>
      </w:r>
    </w:p>
    <w:p w:rsidR="00A45E09" w:rsidRPr="00046850" w:rsidRDefault="00A45E09" w:rsidP="002B2DF1">
      <w:pPr>
        <w:pStyle w:val="ListParagraph"/>
        <w:numPr>
          <w:ilvl w:val="0"/>
          <w:numId w:val="33"/>
        </w:numPr>
      </w:pPr>
      <w:r w:rsidRPr="00046850">
        <w:t xml:space="preserve">Railway Bridge at Gawler – On </w:t>
      </w:r>
      <w:proofErr w:type="spellStart"/>
      <w:r w:rsidRPr="00046850">
        <w:t>Overway</w:t>
      </w:r>
      <w:proofErr w:type="spellEnd"/>
      <w:r w:rsidRPr="00046850">
        <w:t xml:space="preserve"> Bridge Road, Gawler</w:t>
      </w:r>
    </w:p>
    <w:p w:rsidR="00046850" w:rsidRPr="00046850" w:rsidRDefault="00046850" w:rsidP="00046850">
      <w:pPr>
        <w:pStyle w:val="ListParagraph"/>
        <w:ind w:left="1800"/>
      </w:pPr>
    </w:p>
    <w:p w:rsidR="00046CC6" w:rsidRDefault="00046CC6">
      <w:pPr>
        <w:rPr>
          <w:i/>
        </w:rPr>
      </w:pPr>
      <w:r>
        <w:rPr>
          <w:i/>
        </w:rPr>
        <w:br w:type="page"/>
      </w:r>
    </w:p>
    <w:p w:rsidR="00454371" w:rsidRPr="00481D1F" w:rsidRDefault="00454371" w:rsidP="00454371">
      <w:pPr>
        <w:rPr>
          <w:b/>
          <w:lang w:val="en-US"/>
        </w:rPr>
      </w:pPr>
      <w:r w:rsidRPr="00481D1F">
        <w:rPr>
          <w:b/>
          <w:lang w:val="en-US"/>
        </w:rPr>
        <w:lastRenderedPageBreak/>
        <w:t xml:space="preserve">Schedule </w:t>
      </w:r>
      <w:r>
        <w:rPr>
          <w:b/>
          <w:lang w:val="en-US"/>
        </w:rPr>
        <w:t>5</w:t>
      </w:r>
      <w:r w:rsidRPr="00481D1F">
        <w:rPr>
          <w:b/>
          <w:lang w:val="en-US"/>
        </w:rPr>
        <w:t xml:space="preserve">: </w:t>
      </w:r>
      <w:r>
        <w:rPr>
          <w:b/>
          <w:lang w:val="en-US"/>
        </w:rPr>
        <w:t>Victoria</w:t>
      </w:r>
    </w:p>
    <w:p w:rsidR="002B2DF1" w:rsidRPr="002B2DF1" w:rsidRDefault="002B2DF1" w:rsidP="002B2DF1">
      <w:pPr>
        <w:numPr>
          <w:ilvl w:val="0"/>
          <w:numId w:val="60"/>
        </w:numPr>
        <w:contextualSpacing/>
        <w:rPr>
          <w:b/>
          <w:bCs/>
          <w:lang w:val="en-US"/>
        </w:rPr>
      </w:pPr>
      <w:r w:rsidRPr="002B2DF1">
        <w:rPr>
          <w:b/>
          <w:bCs/>
          <w:lang w:val="en-US"/>
        </w:rPr>
        <w:t>Conditions - General mass limits</w:t>
      </w:r>
    </w:p>
    <w:p w:rsidR="002B2DF1" w:rsidRPr="002B2DF1" w:rsidRDefault="002B2DF1" w:rsidP="002B2DF1">
      <w:pPr>
        <w:numPr>
          <w:ilvl w:val="0"/>
          <w:numId w:val="61"/>
        </w:numPr>
        <w:contextualSpacing/>
        <w:rPr>
          <w:lang w:val="en-US"/>
        </w:rPr>
      </w:pPr>
      <w:r w:rsidRPr="002B2DF1">
        <w:rPr>
          <w:lang w:val="en-US"/>
        </w:rPr>
        <w:t>The mass of a Truck and Dog heavy vehicle operating under the general mass limits must not be more than:</w:t>
      </w:r>
    </w:p>
    <w:p w:rsidR="002B2DF1" w:rsidRPr="002B2DF1" w:rsidRDefault="002B2DF1" w:rsidP="002B2DF1">
      <w:pPr>
        <w:ind w:left="1080"/>
        <w:contextualSpacing/>
        <w:rPr>
          <w:lang w:val="en-US"/>
        </w:rPr>
      </w:pPr>
    </w:p>
    <w:p w:rsidR="002B2DF1" w:rsidRPr="002B2DF1" w:rsidRDefault="002B2DF1" w:rsidP="002B2DF1">
      <w:pPr>
        <w:numPr>
          <w:ilvl w:val="0"/>
          <w:numId w:val="62"/>
        </w:numPr>
        <w:contextualSpacing/>
        <w:rPr>
          <w:lang w:val="en-US"/>
        </w:rPr>
      </w:pPr>
      <w:r w:rsidRPr="002B2DF1">
        <w:rPr>
          <w:lang w:val="en-US"/>
        </w:rPr>
        <w:t>in the case of a combination consisting of a rigid truck with 3 or 4 axles towing a dog trailer with 3 axles – 45t;</w:t>
      </w:r>
    </w:p>
    <w:p w:rsidR="002B2DF1" w:rsidRPr="002B2DF1" w:rsidRDefault="002B2DF1" w:rsidP="002B2DF1">
      <w:pPr>
        <w:numPr>
          <w:ilvl w:val="0"/>
          <w:numId w:val="62"/>
        </w:numPr>
        <w:contextualSpacing/>
        <w:rPr>
          <w:lang w:val="en-US"/>
        </w:rPr>
      </w:pPr>
      <w:proofErr w:type="gramStart"/>
      <w:r w:rsidRPr="002B2DF1">
        <w:rPr>
          <w:lang w:val="en-US"/>
        </w:rPr>
        <w:t>in</w:t>
      </w:r>
      <w:proofErr w:type="gramEnd"/>
      <w:r w:rsidRPr="002B2DF1">
        <w:rPr>
          <w:lang w:val="en-US"/>
        </w:rPr>
        <w:t xml:space="preserve"> the case of a combination consisting of a rigid truck with 3 or 4 axles towing a dog trailer with 4 axles – 50t.</w:t>
      </w:r>
    </w:p>
    <w:p w:rsidR="002B2DF1" w:rsidRPr="002B2DF1" w:rsidRDefault="002B2DF1" w:rsidP="002B2DF1">
      <w:pPr>
        <w:ind w:left="1440"/>
        <w:contextualSpacing/>
        <w:rPr>
          <w:lang w:val="en-US"/>
        </w:rPr>
      </w:pPr>
    </w:p>
    <w:p w:rsidR="002B2DF1" w:rsidRPr="002B2DF1" w:rsidRDefault="002B2DF1" w:rsidP="002B2DF1">
      <w:pPr>
        <w:numPr>
          <w:ilvl w:val="0"/>
          <w:numId w:val="60"/>
        </w:numPr>
        <w:contextualSpacing/>
        <w:rPr>
          <w:b/>
          <w:bCs/>
          <w:lang w:val="en-US"/>
        </w:rPr>
      </w:pPr>
      <w:r w:rsidRPr="002B2DF1">
        <w:rPr>
          <w:b/>
          <w:bCs/>
          <w:lang w:val="en-US"/>
        </w:rPr>
        <w:t>Conditions -  General mass limits, and steer axle mass exception limits</w:t>
      </w:r>
    </w:p>
    <w:p w:rsidR="002B2DF1" w:rsidRPr="002B2DF1" w:rsidRDefault="002B2DF1" w:rsidP="002B2DF1">
      <w:pPr>
        <w:numPr>
          <w:ilvl w:val="0"/>
          <w:numId w:val="63"/>
        </w:numPr>
        <w:contextualSpacing/>
        <w:rPr>
          <w:lang w:val="en-US"/>
        </w:rPr>
      </w:pPr>
      <w:r w:rsidRPr="002B2DF1">
        <w:rPr>
          <w:lang w:val="en-US"/>
        </w:rPr>
        <w:t>The mass of a Truck and Dog heavy vehicle operating under this notice and the steer axle mass exception limits must not be more than:</w:t>
      </w:r>
    </w:p>
    <w:p w:rsidR="002B2DF1" w:rsidRPr="002B2DF1" w:rsidRDefault="002B2DF1" w:rsidP="002B2DF1">
      <w:pPr>
        <w:ind w:left="1080"/>
        <w:contextualSpacing/>
        <w:rPr>
          <w:lang w:val="en-US"/>
        </w:rPr>
      </w:pPr>
    </w:p>
    <w:p w:rsidR="002B2DF1" w:rsidRPr="002B2DF1" w:rsidRDefault="002B2DF1" w:rsidP="002B2DF1">
      <w:pPr>
        <w:numPr>
          <w:ilvl w:val="0"/>
          <w:numId w:val="64"/>
        </w:numPr>
        <w:contextualSpacing/>
        <w:rPr>
          <w:lang w:val="en-US"/>
        </w:rPr>
      </w:pPr>
      <w:r w:rsidRPr="002B2DF1">
        <w:rPr>
          <w:lang w:val="en-US"/>
        </w:rPr>
        <w:t>in the case of a combination consisting of a rigid truck with 3 axles towing a dog trailer with 3 axles – 45.5t;</w:t>
      </w:r>
    </w:p>
    <w:p w:rsidR="002B2DF1" w:rsidRDefault="002B2DF1" w:rsidP="002B2DF1">
      <w:pPr>
        <w:numPr>
          <w:ilvl w:val="0"/>
          <w:numId w:val="64"/>
        </w:numPr>
        <w:contextualSpacing/>
        <w:rPr>
          <w:lang w:val="en-US"/>
        </w:rPr>
      </w:pPr>
      <w:r w:rsidRPr="002B2DF1">
        <w:rPr>
          <w:lang w:val="en-US"/>
        </w:rPr>
        <w:t>in the case of a combination consisting of a rigid truck with 3 axles towing a dog trailer with 4 axles – 50.5t</w:t>
      </w:r>
    </w:p>
    <w:p w:rsidR="00454371" w:rsidRPr="002B2DF1" w:rsidRDefault="00454371" w:rsidP="002B2DF1">
      <w:pPr>
        <w:rPr>
          <w:lang w:val="en-US"/>
        </w:rPr>
      </w:pPr>
    </w:p>
    <w:p w:rsidR="00454371" w:rsidRPr="002B2DF1" w:rsidRDefault="00454371" w:rsidP="002B2DF1">
      <w:pPr>
        <w:numPr>
          <w:ilvl w:val="0"/>
          <w:numId w:val="60"/>
        </w:numPr>
        <w:contextualSpacing/>
        <w:rPr>
          <w:b/>
          <w:lang w:val="en-US"/>
        </w:rPr>
      </w:pPr>
      <w:r w:rsidRPr="002B2DF1">
        <w:rPr>
          <w:b/>
          <w:lang w:val="en-US"/>
        </w:rPr>
        <w:t>Conditions - Other mass requirements</w:t>
      </w:r>
    </w:p>
    <w:p w:rsidR="00454371" w:rsidRDefault="00454371" w:rsidP="002B2DF1">
      <w:pPr>
        <w:pStyle w:val="ListParagraph"/>
        <w:numPr>
          <w:ilvl w:val="0"/>
          <w:numId w:val="35"/>
        </w:numPr>
        <w:rPr>
          <w:lang w:val="en-US"/>
        </w:rPr>
      </w:pPr>
      <w:r w:rsidRPr="00454371">
        <w:rPr>
          <w:lang w:val="en-US"/>
        </w:rPr>
        <w:t>The mass of a 3 axle dog trailer in the combination must not be more than 22.5t.</w:t>
      </w:r>
    </w:p>
    <w:p w:rsidR="00454371" w:rsidRPr="00454371" w:rsidRDefault="00454371" w:rsidP="00454371">
      <w:pPr>
        <w:pStyle w:val="ListParagraph"/>
        <w:ind w:left="1080"/>
        <w:rPr>
          <w:lang w:val="en-US"/>
        </w:rPr>
      </w:pPr>
    </w:p>
    <w:p w:rsidR="00454371" w:rsidRPr="00454371" w:rsidRDefault="00454371" w:rsidP="002B2DF1">
      <w:pPr>
        <w:pStyle w:val="ListParagraph"/>
        <w:numPr>
          <w:ilvl w:val="0"/>
          <w:numId w:val="35"/>
        </w:numPr>
        <w:rPr>
          <w:lang w:val="en-US"/>
        </w:rPr>
      </w:pPr>
      <w:r w:rsidRPr="00454371">
        <w:rPr>
          <w:lang w:val="en-US"/>
        </w:rPr>
        <w:t>The mass of a 4 axle dog trailer in the combination must not be more than 27.5t.</w:t>
      </w:r>
    </w:p>
    <w:p w:rsidR="00454371" w:rsidRPr="00454371" w:rsidRDefault="00454371" w:rsidP="00454371">
      <w:pPr>
        <w:pStyle w:val="ListParagraph"/>
        <w:ind w:left="1080"/>
        <w:rPr>
          <w:lang w:val="en-US"/>
        </w:rPr>
      </w:pPr>
    </w:p>
    <w:p w:rsidR="00454371" w:rsidRPr="00454371" w:rsidRDefault="00454371" w:rsidP="002B2DF1">
      <w:pPr>
        <w:pStyle w:val="ListParagraph"/>
        <w:numPr>
          <w:ilvl w:val="0"/>
          <w:numId w:val="35"/>
        </w:numPr>
        <w:rPr>
          <w:lang w:val="en-US"/>
        </w:rPr>
      </w:pPr>
      <w:r w:rsidRPr="00454371">
        <w:rPr>
          <w:lang w:val="en-US"/>
        </w:rPr>
        <w:t>In the case of a combination consisting of a rigid truck with 3 or 4 axles towing a dog trailer with 3 axles:</w:t>
      </w:r>
    </w:p>
    <w:p w:rsidR="00454371" w:rsidRPr="00454371" w:rsidRDefault="00454371" w:rsidP="00454371">
      <w:pPr>
        <w:pStyle w:val="ListParagraph"/>
        <w:ind w:left="1080"/>
        <w:rPr>
          <w:lang w:val="en-US"/>
        </w:rPr>
      </w:pPr>
    </w:p>
    <w:p w:rsidR="00454371" w:rsidRPr="00454371" w:rsidRDefault="00454371" w:rsidP="002B2DF1">
      <w:pPr>
        <w:pStyle w:val="ListParagraph"/>
        <w:numPr>
          <w:ilvl w:val="0"/>
          <w:numId w:val="36"/>
        </w:numPr>
        <w:rPr>
          <w:lang w:val="en-US"/>
        </w:rPr>
      </w:pPr>
      <w:r w:rsidRPr="00454371">
        <w:rPr>
          <w:lang w:val="en-US"/>
        </w:rPr>
        <w:t>the wheelbase of the motor vehicle must be a minimum of 4.3m; and</w:t>
      </w:r>
    </w:p>
    <w:p w:rsidR="00454371" w:rsidRDefault="00454371" w:rsidP="002B2DF1">
      <w:pPr>
        <w:pStyle w:val="ListParagraph"/>
        <w:numPr>
          <w:ilvl w:val="0"/>
          <w:numId w:val="36"/>
        </w:numPr>
        <w:rPr>
          <w:lang w:val="en-US"/>
        </w:rPr>
      </w:pPr>
      <w:proofErr w:type="gramStart"/>
      <w:r w:rsidRPr="00454371">
        <w:rPr>
          <w:lang w:val="en-US"/>
        </w:rPr>
        <w:t>the</w:t>
      </w:r>
      <w:proofErr w:type="gramEnd"/>
      <w:r w:rsidRPr="00454371">
        <w:rPr>
          <w:lang w:val="en-US"/>
        </w:rPr>
        <w:t xml:space="preserve"> distance from the centre of the front axle of the dog trailer to the centre of the rear axle of the dog trailer must be a minimum of 3.8m.</w:t>
      </w:r>
    </w:p>
    <w:p w:rsidR="00454371" w:rsidRPr="00454371" w:rsidRDefault="00454371" w:rsidP="00454371">
      <w:pPr>
        <w:pStyle w:val="ListParagraph"/>
        <w:ind w:left="1440"/>
        <w:rPr>
          <w:lang w:val="en-US"/>
        </w:rPr>
      </w:pPr>
    </w:p>
    <w:p w:rsidR="00454371" w:rsidRPr="00454371" w:rsidRDefault="00454371" w:rsidP="002B2DF1">
      <w:pPr>
        <w:pStyle w:val="ListParagraph"/>
        <w:numPr>
          <w:ilvl w:val="0"/>
          <w:numId w:val="35"/>
        </w:numPr>
        <w:rPr>
          <w:lang w:val="en-US"/>
        </w:rPr>
      </w:pPr>
      <w:r w:rsidRPr="00454371">
        <w:rPr>
          <w:lang w:val="en-US"/>
        </w:rPr>
        <w:t>In the case of a combination consisting of a rigid truck with 3 or 4 axles towing a dog trailer</w:t>
      </w:r>
      <w:r>
        <w:rPr>
          <w:lang w:val="en-US"/>
        </w:rPr>
        <w:t xml:space="preserve"> </w:t>
      </w:r>
      <w:r w:rsidRPr="00454371">
        <w:rPr>
          <w:lang w:val="en-US"/>
        </w:rPr>
        <w:t>with 4 axles:</w:t>
      </w:r>
    </w:p>
    <w:p w:rsidR="00454371" w:rsidRPr="00454371" w:rsidRDefault="00454371" w:rsidP="002B2DF1">
      <w:pPr>
        <w:pStyle w:val="ListParagraph"/>
        <w:numPr>
          <w:ilvl w:val="0"/>
          <w:numId w:val="37"/>
        </w:numPr>
        <w:rPr>
          <w:lang w:val="en-US"/>
        </w:rPr>
      </w:pPr>
      <w:r w:rsidRPr="00454371">
        <w:rPr>
          <w:lang w:val="en-US"/>
        </w:rPr>
        <w:t>the wheelbase of the truck must be a minimum of 4·5m and the wheelbase of the dog</w:t>
      </w:r>
      <w:r>
        <w:rPr>
          <w:lang w:val="en-US"/>
        </w:rPr>
        <w:t xml:space="preserve"> </w:t>
      </w:r>
      <w:r w:rsidRPr="00454371">
        <w:rPr>
          <w:lang w:val="en-US"/>
        </w:rPr>
        <w:t>trailer must be a minimum of 5m; or</w:t>
      </w:r>
    </w:p>
    <w:p w:rsidR="00454371" w:rsidRDefault="00454371" w:rsidP="002B2DF1">
      <w:pPr>
        <w:pStyle w:val="ListParagraph"/>
        <w:numPr>
          <w:ilvl w:val="0"/>
          <w:numId w:val="37"/>
        </w:numPr>
        <w:rPr>
          <w:lang w:val="en-US"/>
        </w:rPr>
      </w:pPr>
      <w:proofErr w:type="gramStart"/>
      <w:r w:rsidRPr="002B2DF1">
        <w:rPr>
          <w:lang w:val="en-US"/>
        </w:rPr>
        <w:t>the</w:t>
      </w:r>
      <w:proofErr w:type="gramEnd"/>
      <w:r w:rsidRPr="002B2DF1">
        <w:rPr>
          <w:lang w:val="en-US"/>
        </w:rPr>
        <w:t xml:space="preserve"> wheelbase of the truck must be a minimum of 4·9m and the wheelbase of the dog trailer must be a minimum of 4·5m.</w:t>
      </w:r>
    </w:p>
    <w:p w:rsidR="002B2DF1" w:rsidRDefault="002B2DF1" w:rsidP="002B2DF1">
      <w:pPr>
        <w:rPr>
          <w:lang w:val="en-US"/>
        </w:rPr>
      </w:pPr>
    </w:p>
    <w:p w:rsidR="002B2DF1" w:rsidRDefault="002B2DF1" w:rsidP="002B2DF1">
      <w:pPr>
        <w:rPr>
          <w:lang w:val="en-US"/>
        </w:rPr>
      </w:pPr>
    </w:p>
    <w:p w:rsidR="002B2DF1" w:rsidRPr="002B2DF1" w:rsidRDefault="002B2DF1" w:rsidP="002B2DF1">
      <w:pPr>
        <w:rPr>
          <w:lang w:val="en-US"/>
        </w:rPr>
      </w:pPr>
    </w:p>
    <w:p w:rsidR="00454371" w:rsidRPr="002B2DF1" w:rsidRDefault="00454371" w:rsidP="002B2DF1">
      <w:pPr>
        <w:numPr>
          <w:ilvl w:val="0"/>
          <w:numId w:val="60"/>
        </w:numPr>
        <w:contextualSpacing/>
        <w:rPr>
          <w:b/>
          <w:lang w:val="en-US"/>
        </w:rPr>
      </w:pPr>
      <w:r w:rsidRPr="002B2DF1">
        <w:rPr>
          <w:b/>
          <w:lang w:val="en-US"/>
        </w:rPr>
        <w:lastRenderedPageBreak/>
        <w:t>Conditions - General</w:t>
      </w:r>
    </w:p>
    <w:p w:rsidR="00454371" w:rsidRDefault="00454371" w:rsidP="002B2DF1">
      <w:pPr>
        <w:pStyle w:val="ListParagraph"/>
        <w:numPr>
          <w:ilvl w:val="0"/>
          <w:numId w:val="38"/>
        </w:numPr>
        <w:rPr>
          <w:lang w:val="en-US"/>
        </w:rPr>
      </w:pPr>
      <w:r w:rsidRPr="00454371">
        <w:rPr>
          <w:lang w:val="en-US"/>
        </w:rPr>
        <w:t>The power to mass ratio for a Truck and Dog heavy vehicle consisting of a rigid truck with 3</w:t>
      </w:r>
      <w:r>
        <w:rPr>
          <w:lang w:val="en-US"/>
        </w:rPr>
        <w:t xml:space="preserve"> </w:t>
      </w:r>
      <w:r w:rsidRPr="00454371">
        <w:rPr>
          <w:lang w:val="en-US"/>
        </w:rPr>
        <w:t xml:space="preserve">or 4 axles towing a dog trailer with 4 axles must not be less than 6 kilowatts per </w:t>
      </w:r>
      <w:proofErr w:type="spellStart"/>
      <w:r w:rsidRPr="00454371">
        <w:rPr>
          <w:lang w:val="en-US"/>
        </w:rPr>
        <w:t>tonne</w:t>
      </w:r>
      <w:proofErr w:type="spellEnd"/>
      <w:r w:rsidRPr="00454371">
        <w:rPr>
          <w:lang w:val="en-US"/>
        </w:rPr>
        <w:t>.</w:t>
      </w:r>
    </w:p>
    <w:p w:rsidR="00454371" w:rsidRDefault="00454371" w:rsidP="00454371">
      <w:pPr>
        <w:pStyle w:val="ListParagraph"/>
        <w:ind w:left="1080"/>
        <w:rPr>
          <w:lang w:val="en-US"/>
        </w:rPr>
      </w:pPr>
    </w:p>
    <w:p w:rsidR="00454371" w:rsidRPr="002B2DF1" w:rsidRDefault="00454371" w:rsidP="002B2DF1">
      <w:pPr>
        <w:pStyle w:val="ListParagraph"/>
        <w:numPr>
          <w:ilvl w:val="0"/>
          <w:numId w:val="38"/>
        </w:numPr>
        <w:rPr>
          <w:lang w:val="en-US"/>
        </w:rPr>
      </w:pPr>
      <w:r w:rsidRPr="002B2DF1">
        <w:rPr>
          <w:lang w:val="en-US"/>
        </w:rPr>
        <w:t>In this section, power to mass ratio means the power of the truck’s engine compared to the mass of the combination</w:t>
      </w:r>
    </w:p>
    <w:p w:rsidR="00454371" w:rsidRPr="002B2DF1" w:rsidRDefault="00454371" w:rsidP="002B2DF1">
      <w:pPr>
        <w:numPr>
          <w:ilvl w:val="0"/>
          <w:numId w:val="60"/>
        </w:numPr>
        <w:contextualSpacing/>
        <w:rPr>
          <w:b/>
          <w:lang w:val="en-US"/>
        </w:rPr>
      </w:pPr>
      <w:r w:rsidRPr="002B2DF1">
        <w:rPr>
          <w:b/>
          <w:lang w:val="en-US"/>
        </w:rPr>
        <w:t>Condition - Stated Routes and Areas</w:t>
      </w:r>
    </w:p>
    <w:p w:rsidR="00A45E09" w:rsidRPr="00454371" w:rsidRDefault="00454371" w:rsidP="002B2DF1">
      <w:pPr>
        <w:pStyle w:val="ListParagraph"/>
        <w:numPr>
          <w:ilvl w:val="0"/>
          <w:numId w:val="39"/>
        </w:numPr>
        <w:rPr>
          <w:lang w:val="en-US"/>
        </w:rPr>
      </w:pPr>
      <w:r w:rsidRPr="00454371">
        <w:rPr>
          <w:lang w:val="en-US"/>
        </w:rPr>
        <w:t>Th</w:t>
      </w:r>
      <w:r>
        <w:rPr>
          <w:lang w:val="en-US"/>
        </w:rPr>
        <w:t xml:space="preserve">e exemption applies to all roads </w:t>
      </w:r>
      <w:r w:rsidRPr="00454371">
        <w:rPr>
          <w:lang w:val="en-US"/>
        </w:rPr>
        <w:t>in Victoria.</w:t>
      </w:r>
    </w:p>
    <w:sectPr w:rsidR="00A45E09" w:rsidRPr="00454371" w:rsidSect="00D62B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7C6" w:rsidRDefault="00A357C6" w:rsidP="00A357C6">
      <w:pPr>
        <w:spacing w:after="0" w:line="240" w:lineRule="auto"/>
      </w:pPr>
      <w:r>
        <w:separator/>
      </w:r>
    </w:p>
  </w:endnote>
  <w:endnote w:type="continuationSeparator" w:id="0">
    <w:p w:rsidR="00A357C6" w:rsidRDefault="00A357C6" w:rsidP="00A3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13" w:rsidRDefault="00D305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C6" w:rsidRDefault="00A357C6">
    <w:pPr>
      <w:pStyle w:val="Footer"/>
      <w:jc w:val="right"/>
      <w:rPr>
        <w:lang w:val="en-US"/>
      </w:rPr>
    </w:pPr>
  </w:p>
  <w:p w:rsidR="00A357C6" w:rsidRDefault="00A357C6">
    <w:pPr>
      <w:pStyle w:val="Footer"/>
      <w:jc w:val="right"/>
    </w:pPr>
    <w:r w:rsidRPr="00A357C6">
      <w:rPr>
        <w:lang w:val="en-US"/>
      </w:rPr>
      <w:t xml:space="preserve">National Class 3 Truck and Trailer </w:t>
    </w:r>
    <w:r w:rsidR="00C62A44">
      <w:rPr>
        <w:lang w:val="en-US"/>
      </w:rPr>
      <w:t xml:space="preserve">Mass Exemption Notice </w:t>
    </w:r>
    <w:r w:rsidR="005452EC">
      <w:rPr>
        <w:lang w:val="en-US"/>
      </w:rPr>
      <w:t>2020 (No.1</w:t>
    </w:r>
    <w:r w:rsidRPr="00A357C6">
      <w:rPr>
        <w:lang w:val="en-US"/>
      </w:rPr>
      <w:t>)</w:t>
    </w:r>
  </w:p>
  <w:p w:rsidR="00A357C6" w:rsidRDefault="00C84637" w:rsidP="00A357C6">
    <w:pPr>
      <w:pStyle w:val="Footer"/>
      <w:jc w:val="right"/>
    </w:pPr>
    <w:sdt>
      <w:sdtPr>
        <w:id w:val="197201796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357C6">
              <w:t xml:space="preserve">Page </w:t>
            </w:r>
            <w:r w:rsidR="00A357C6">
              <w:rPr>
                <w:b/>
                <w:bCs/>
                <w:sz w:val="24"/>
                <w:szCs w:val="24"/>
              </w:rPr>
              <w:fldChar w:fldCharType="begin"/>
            </w:r>
            <w:r w:rsidR="00A357C6">
              <w:rPr>
                <w:b/>
                <w:bCs/>
              </w:rPr>
              <w:instrText xml:space="preserve"> PAGE </w:instrText>
            </w:r>
            <w:r w:rsidR="00A357C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A357C6">
              <w:rPr>
                <w:b/>
                <w:bCs/>
                <w:sz w:val="24"/>
                <w:szCs w:val="24"/>
              </w:rPr>
              <w:fldChar w:fldCharType="end"/>
            </w:r>
            <w:r w:rsidR="00A357C6">
              <w:t xml:space="preserve"> of </w:t>
            </w:r>
            <w:r w:rsidR="00A357C6">
              <w:rPr>
                <w:b/>
                <w:bCs/>
                <w:sz w:val="24"/>
                <w:szCs w:val="24"/>
              </w:rPr>
              <w:fldChar w:fldCharType="begin"/>
            </w:r>
            <w:r w:rsidR="00A357C6">
              <w:rPr>
                <w:b/>
                <w:bCs/>
              </w:rPr>
              <w:instrText xml:space="preserve"> NUMPAGES  </w:instrText>
            </w:r>
            <w:r w:rsidR="00A357C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 w:rsidR="00A357C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19" w:rsidRDefault="00515619" w:rsidP="00515619">
    <w:pPr>
      <w:pStyle w:val="Footer"/>
      <w:jc w:val="right"/>
      <w:rPr>
        <w:lang w:val="en-US"/>
      </w:rPr>
    </w:pPr>
  </w:p>
  <w:p w:rsidR="00515619" w:rsidRDefault="00515619" w:rsidP="00515619">
    <w:pPr>
      <w:pStyle w:val="Footer"/>
      <w:jc w:val="right"/>
    </w:pPr>
    <w:r w:rsidRPr="00A357C6">
      <w:rPr>
        <w:lang w:val="en-US"/>
      </w:rPr>
      <w:t xml:space="preserve">National Class 3 Truck and Trailer </w:t>
    </w:r>
    <w:r w:rsidR="00C62A44">
      <w:rPr>
        <w:lang w:val="en-US"/>
      </w:rPr>
      <w:t>Mass Exemption Notice 20</w:t>
    </w:r>
    <w:r w:rsidR="005452EC">
      <w:rPr>
        <w:lang w:val="en-US"/>
      </w:rPr>
      <w:t>20 (No.1</w:t>
    </w:r>
    <w:r w:rsidRPr="00A357C6">
      <w:rPr>
        <w:lang w:val="en-US"/>
      </w:rPr>
      <w:t>)</w:t>
    </w:r>
  </w:p>
  <w:p w:rsidR="00515619" w:rsidRDefault="00C84637" w:rsidP="00515619">
    <w:pPr>
      <w:pStyle w:val="Footer"/>
      <w:jc w:val="right"/>
    </w:pPr>
    <w:sdt>
      <w:sdtPr>
        <w:id w:val="-1488931456"/>
        <w:docPartObj>
          <w:docPartGallery w:val="Page Numbers (Bottom of Page)"/>
          <w:docPartUnique/>
        </w:docPartObj>
      </w:sdtPr>
      <w:sdtEndPr/>
      <w:sdtContent>
        <w:sdt>
          <w:sdtPr>
            <w:id w:val="1374815176"/>
            <w:docPartObj>
              <w:docPartGallery w:val="Page Numbers (Top of Page)"/>
              <w:docPartUnique/>
            </w:docPartObj>
          </w:sdtPr>
          <w:sdtEndPr/>
          <w:sdtContent>
            <w:r w:rsidR="00515619">
              <w:t xml:space="preserve">Page </w:t>
            </w:r>
            <w:r w:rsidR="00515619">
              <w:rPr>
                <w:b/>
                <w:bCs/>
                <w:sz w:val="24"/>
                <w:szCs w:val="24"/>
              </w:rPr>
              <w:fldChar w:fldCharType="begin"/>
            </w:r>
            <w:r w:rsidR="00515619">
              <w:rPr>
                <w:b/>
                <w:bCs/>
              </w:rPr>
              <w:instrText xml:space="preserve"> PAGE </w:instrText>
            </w:r>
            <w:r w:rsidR="0051561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515619">
              <w:rPr>
                <w:b/>
                <w:bCs/>
                <w:sz w:val="24"/>
                <w:szCs w:val="24"/>
              </w:rPr>
              <w:fldChar w:fldCharType="end"/>
            </w:r>
            <w:r w:rsidR="00515619">
              <w:t xml:space="preserve"> of </w:t>
            </w:r>
            <w:r w:rsidR="00515619">
              <w:rPr>
                <w:b/>
                <w:bCs/>
                <w:sz w:val="24"/>
                <w:szCs w:val="24"/>
              </w:rPr>
              <w:fldChar w:fldCharType="begin"/>
            </w:r>
            <w:r w:rsidR="00515619">
              <w:rPr>
                <w:b/>
                <w:bCs/>
              </w:rPr>
              <w:instrText xml:space="preserve"> NUMPAGES  </w:instrText>
            </w:r>
            <w:r w:rsidR="0051561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 w:rsidR="0051561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7C6" w:rsidRDefault="00A357C6" w:rsidP="00A357C6">
      <w:pPr>
        <w:spacing w:after="0" w:line="240" w:lineRule="auto"/>
      </w:pPr>
      <w:r>
        <w:separator/>
      </w:r>
    </w:p>
  </w:footnote>
  <w:footnote w:type="continuationSeparator" w:id="0">
    <w:p w:rsidR="00A357C6" w:rsidRDefault="00A357C6" w:rsidP="00A3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13" w:rsidRDefault="00D305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13" w:rsidRDefault="00D305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30" w:rsidRPr="003A707F" w:rsidRDefault="00D62B30" w:rsidP="00D62B30">
    <w:pPr>
      <w:pStyle w:val="Header"/>
      <w:rPr>
        <w:sz w:val="2"/>
        <w:szCs w:val="2"/>
      </w:rPr>
    </w:pPr>
  </w:p>
  <w:p w:rsidR="00D62B30" w:rsidRPr="00F40885" w:rsidRDefault="00D62B30" w:rsidP="00D62B30">
    <w:pPr>
      <w:pStyle w:val="Header"/>
      <w:rPr>
        <w:sz w:val="2"/>
        <w:szCs w:val="2"/>
      </w:rPr>
    </w:pPr>
  </w:p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42EAC" w:rsidRPr="00CE796A" w:rsidTr="007A71F3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A42EAC" w:rsidRPr="00CE796A" w:rsidRDefault="00A42EAC" w:rsidP="007A71F3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9E3E3E7" wp14:editId="66AAF905">
                <wp:extent cx="702945" cy="544195"/>
                <wp:effectExtent l="0" t="0" r="0" b="8255"/>
                <wp:docPr id="3" name="Picture 3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A42EAC" w:rsidRPr="00CE796A" w:rsidRDefault="00A42EAC" w:rsidP="007A71F3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A42EAC" w:rsidRPr="00CE796A" w:rsidRDefault="00A42EAC" w:rsidP="007A71F3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42EAC" w:rsidRPr="00CE796A" w:rsidTr="007A71F3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A42EAC" w:rsidRPr="00CE796A" w:rsidRDefault="00A42EAC" w:rsidP="007A71F3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A42EAC" w:rsidRPr="00840A06" w:rsidRDefault="00A42EAC" w:rsidP="007A71F3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D62B30" w:rsidRDefault="00D62B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3E1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547996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E5B26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7A4D6C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5E4D49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8F6AAC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C20B36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7103EC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8C1CFF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A86B3F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0B5C52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11778D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924C8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D15C9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6624D9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994F55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605DC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FD68D8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72E408B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413325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570E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D1F3ED3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E3E40F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FE229D0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531D0F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2D1276"/>
    <w:multiLevelType w:val="hybridMultilevel"/>
    <w:tmpl w:val="D64CBC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363C2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6AE0025"/>
    <w:multiLevelType w:val="hybridMultilevel"/>
    <w:tmpl w:val="D64CBC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8475EE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2D35AEB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DD3CD8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430377E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437245D"/>
    <w:multiLevelType w:val="hybridMultilevel"/>
    <w:tmpl w:val="D64CBC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93984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95554A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8BF0A52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8EE0B5C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9B973F6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A6F5949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B327870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EF13FE2"/>
    <w:multiLevelType w:val="hybridMultilevel"/>
    <w:tmpl w:val="D64CBC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19362B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F6D5E43"/>
    <w:multiLevelType w:val="hybridMultilevel"/>
    <w:tmpl w:val="F6D4CD86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52000A1F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5AC70CB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96C476B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C531D2D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FCD137B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0CC35EC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4765A84"/>
    <w:multiLevelType w:val="hybridMultilevel"/>
    <w:tmpl w:val="D64CBC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EB61B9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66C01F14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71C73DA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5731E7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9AF3AB1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B8773E0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D2F78C9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239404E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4355420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54B0418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5546D5B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75A219EE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7E4449C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7F706BB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9155D69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B8865C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CF75F96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8"/>
  </w:num>
  <w:num w:numId="3">
    <w:abstractNumId w:val="3"/>
  </w:num>
  <w:num w:numId="4">
    <w:abstractNumId w:val="23"/>
  </w:num>
  <w:num w:numId="5">
    <w:abstractNumId w:val="14"/>
  </w:num>
  <w:num w:numId="6">
    <w:abstractNumId w:val="46"/>
  </w:num>
  <w:num w:numId="7">
    <w:abstractNumId w:val="15"/>
  </w:num>
  <w:num w:numId="8">
    <w:abstractNumId w:val="41"/>
  </w:num>
  <w:num w:numId="9">
    <w:abstractNumId w:val="56"/>
  </w:num>
  <w:num w:numId="10">
    <w:abstractNumId w:val="20"/>
  </w:num>
  <w:num w:numId="11">
    <w:abstractNumId w:val="35"/>
  </w:num>
  <w:num w:numId="12">
    <w:abstractNumId w:val="22"/>
  </w:num>
  <w:num w:numId="13">
    <w:abstractNumId w:val="7"/>
  </w:num>
  <w:num w:numId="14">
    <w:abstractNumId w:val="5"/>
  </w:num>
  <w:num w:numId="15">
    <w:abstractNumId w:val="24"/>
  </w:num>
  <w:num w:numId="16">
    <w:abstractNumId w:val="63"/>
  </w:num>
  <w:num w:numId="17">
    <w:abstractNumId w:val="12"/>
  </w:num>
  <w:num w:numId="18">
    <w:abstractNumId w:val="66"/>
  </w:num>
  <w:num w:numId="19">
    <w:abstractNumId w:val="53"/>
  </w:num>
  <w:num w:numId="20">
    <w:abstractNumId w:val="58"/>
  </w:num>
  <w:num w:numId="21">
    <w:abstractNumId w:val="8"/>
  </w:num>
  <w:num w:numId="22">
    <w:abstractNumId w:val="52"/>
  </w:num>
  <w:num w:numId="23">
    <w:abstractNumId w:val="48"/>
  </w:num>
  <w:num w:numId="24">
    <w:abstractNumId w:val="65"/>
  </w:num>
  <w:num w:numId="25">
    <w:abstractNumId w:val="21"/>
  </w:num>
  <w:num w:numId="26">
    <w:abstractNumId w:val="44"/>
  </w:num>
  <w:num w:numId="27">
    <w:abstractNumId w:val="1"/>
  </w:num>
  <w:num w:numId="28">
    <w:abstractNumId w:val="54"/>
  </w:num>
  <w:num w:numId="29">
    <w:abstractNumId w:val="37"/>
  </w:num>
  <w:num w:numId="30">
    <w:abstractNumId w:val="11"/>
  </w:num>
  <w:num w:numId="31">
    <w:abstractNumId w:val="6"/>
  </w:num>
  <w:num w:numId="32">
    <w:abstractNumId w:val="36"/>
  </w:num>
  <w:num w:numId="33">
    <w:abstractNumId w:val="42"/>
  </w:num>
  <w:num w:numId="34">
    <w:abstractNumId w:val="50"/>
  </w:num>
  <w:num w:numId="35">
    <w:abstractNumId w:val="13"/>
  </w:num>
  <w:num w:numId="36">
    <w:abstractNumId w:val="60"/>
  </w:num>
  <w:num w:numId="37">
    <w:abstractNumId w:val="10"/>
  </w:num>
  <w:num w:numId="38">
    <w:abstractNumId w:val="45"/>
  </w:num>
  <w:num w:numId="39">
    <w:abstractNumId w:val="29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9"/>
  </w:num>
  <w:num w:numId="46">
    <w:abstractNumId w:val="62"/>
  </w:num>
  <w:num w:numId="47">
    <w:abstractNumId w:val="16"/>
  </w:num>
  <w:num w:numId="48">
    <w:abstractNumId w:val="32"/>
  </w:num>
  <w:num w:numId="49">
    <w:abstractNumId w:val="51"/>
  </w:num>
  <w:num w:numId="50">
    <w:abstractNumId w:val="4"/>
  </w:num>
  <w:num w:numId="51">
    <w:abstractNumId w:val="30"/>
  </w:num>
  <w:num w:numId="52">
    <w:abstractNumId w:val="47"/>
  </w:num>
  <w:num w:numId="53">
    <w:abstractNumId w:val="39"/>
  </w:num>
  <w:num w:numId="54">
    <w:abstractNumId w:val="0"/>
  </w:num>
  <w:num w:numId="55">
    <w:abstractNumId w:val="25"/>
  </w:num>
  <w:num w:numId="56">
    <w:abstractNumId w:val="26"/>
  </w:num>
  <w:num w:numId="57">
    <w:abstractNumId w:val="31"/>
  </w:num>
  <w:num w:numId="58">
    <w:abstractNumId w:val="43"/>
  </w:num>
  <w:num w:numId="59">
    <w:abstractNumId w:val="55"/>
  </w:num>
  <w:num w:numId="60">
    <w:abstractNumId w:val="40"/>
  </w:num>
  <w:num w:numId="61">
    <w:abstractNumId w:val="61"/>
  </w:num>
  <w:num w:numId="62">
    <w:abstractNumId w:val="28"/>
  </w:num>
  <w:num w:numId="63">
    <w:abstractNumId w:val="57"/>
  </w:num>
  <w:num w:numId="64">
    <w:abstractNumId w:val="17"/>
  </w:num>
  <w:num w:numId="65">
    <w:abstractNumId w:val="33"/>
  </w:num>
  <w:num w:numId="66">
    <w:abstractNumId w:val="34"/>
  </w:num>
  <w:num w:numId="67">
    <w:abstractNumId w:val="59"/>
  </w:num>
  <w:numIdMacAtCleanup w:val="6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ni Clarke">
    <w15:presenceInfo w15:providerId="AD" w15:userId="S-1-5-21-4184903163-136493757-233119895-20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7A"/>
    <w:rsid w:val="00012EDC"/>
    <w:rsid w:val="00014575"/>
    <w:rsid w:val="00046850"/>
    <w:rsid w:val="00046CC6"/>
    <w:rsid w:val="0006167A"/>
    <w:rsid w:val="00163DDD"/>
    <w:rsid w:val="00187A2D"/>
    <w:rsid w:val="00192C80"/>
    <w:rsid w:val="002264C6"/>
    <w:rsid w:val="00236D39"/>
    <w:rsid w:val="00257EA9"/>
    <w:rsid w:val="002700F4"/>
    <w:rsid w:val="002B2DF1"/>
    <w:rsid w:val="00304248"/>
    <w:rsid w:val="00323DC9"/>
    <w:rsid w:val="00333438"/>
    <w:rsid w:val="00344ED4"/>
    <w:rsid w:val="00367337"/>
    <w:rsid w:val="003D1271"/>
    <w:rsid w:val="003F3852"/>
    <w:rsid w:val="00454371"/>
    <w:rsid w:val="00481D1F"/>
    <w:rsid w:val="00515619"/>
    <w:rsid w:val="005452EC"/>
    <w:rsid w:val="00574A4E"/>
    <w:rsid w:val="005954CE"/>
    <w:rsid w:val="006076F5"/>
    <w:rsid w:val="00762E59"/>
    <w:rsid w:val="007C312D"/>
    <w:rsid w:val="00823E41"/>
    <w:rsid w:val="00874F70"/>
    <w:rsid w:val="009300B1"/>
    <w:rsid w:val="009327BA"/>
    <w:rsid w:val="0099285B"/>
    <w:rsid w:val="009B72D2"/>
    <w:rsid w:val="009B7370"/>
    <w:rsid w:val="00A06AC6"/>
    <w:rsid w:val="00A34CEE"/>
    <w:rsid w:val="00A357C6"/>
    <w:rsid w:val="00A42EAC"/>
    <w:rsid w:val="00A45E09"/>
    <w:rsid w:val="00A94A47"/>
    <w:rsid w:val="00A95356"/>
    <w:rsid w:val="00AB7FBA"/>
    <w:rsid w:val="00AD7F93"/>
    <w:rsid w:val="00B914E8"/>
    <w:rsid w:val="00B94AD5"/>
    <w:rsid w:val="00C154EA"/>
    <w:rsid w:val="00C62A44"/>
    <w:rsid w:val="00C84637"/>
    <w:rsid w:val="00CE0605"/>
    <w:rsid w:val="00CF3B63"/>
    <w:rsid w:val="00D30513"/>
    <w:rsid w:val="00D449FC"/>
    <w:rsid w:val="00D47F8C"/>
    <w:rsid w:val="00D62B30"/>
    <w:rsid w:val="00D668A0"/>
    <w:rsid w:val="00E243A4"/>
    <w:rsid w:val="00ED6708"/>
    <w:rsid w:val="00EF4D9D"/>
    <w:rsid w:val="00F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C6"/>
  </w:style>
  <w:style w:type="paragraph" w:styleId="Footer">
    <w:name w:val="footer"/>
    <w:basedOn w:val="Normal"/>
    <w:link w:val="Foot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C6"/>
  </w:style>
  <w:style w:type="paragraph" w:styleId="ListParagraph">
    <w:name w:val="List Paragraph"/>
    <w:basedOn w:val="Normal"/>
    <w:uiPriority w:val="34"/>
    <w:qFormat/>
    <w:rsid w:val="006076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8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C6"/>
  </w:style>
  <w:style w:type="paragraph" w:styleId="Footer">
    <w:name w:val="footer"/>
    <w:basedOn w:val="Normal"/>
    <w:link w:val="Foot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C6"/>
  </w:style>
  <w:style w:type="paragraph" w:styleId="ListParagraph">
    <w:name w:val="List Paragraph"/>
    <w:basedOn w:val="Normal"/>
    <w:uiPriority w:val="34"/>
    <w:qFormat/>
    <w:rsid w:val="006076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8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7096-9D81-497A-B264-6C467F6089E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CD1CE81-D463-43AB-9B8D-77F5054E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Crapnell</dc:creator>
  <cp:lastModifiedBy>Robert Crapnell</cp:lastModifiedBy>
  <cp:revision>3</cp:revision>
  <dcterms:created xsi:type="dcterms:W3CDTF">2020-07-21T06:09:00Z</dcterms:created>
  <dcterms:modified xsi:type="dcterms:W3CDTF">2020-07-23T05:33:00Z</dcterms:modified>
</cp:coreProperties>
</file>