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9B4" w:rsidRDefault="001949B4" w:rsidP="001949B4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Calibri" w:hAnsi="Calibri" w:cs="Times New Roman"/>
          <w:b/>
          <w:i/>
          <w:sz w:val="24"/>
          <w:lang w:val="en-US"/>
        </w:rPr>
      </w:pPr>
    </w:p>
    <w:p w:rsidR="001949B4" w:rsidRPr="001949B4" w:rsidRDefault="001949B4" w:rsidP="001949B4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Pr="001949B4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 xml:space="preserve"> </w:t>
      </w:r>
      <w:r w:rsidRPr="001949B4"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:rsidR="001949B4" w:rsidRPr="001949B4" w:rsidRDefault="001949B4" w:rsidP="001949B4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 w:rsidRPr="001949B4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 xml:space="preserve"> </w:t>
      </w:r>
      <w:r w:rsidRPr="001949B4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15(2</w:t>
      </w:r>
      <w:proofErr w:type="gramStart"/>
      <w:r w:rsidRPr="001949B4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 w:rsidRPr="001949B4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a)</w:t>
      </w:r>
    </w:p>
    <w:p w:rsidR="001949B4" w:rsidRPr="001949B4" w:rsidRDefault="001949B4" w:rsidP="001949B4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Wharf Revocation and Appointment (No. 20/17) – Port of</w:t>
      </w:r>
      <w:r w:rsidRPr="001949B4">
        <w:rPr>
          <w:rFonts w:ascii="Bookman Old Style" w:eastAsia="Bookman Old Style" w:hAnsi="Bookman Old Style" w:cs="Bookman Old Style"/>
          <w:b/>
          <w:bCs/>
          <w:spacing w:val="-16"/>
          <w:sz w:val="24"/>
          <w:szCs w:val="24"/>
          <w:lang w:val="en-US"/>
        </w:rPr>
        <w:t xml:space="preserve"> </w:t>
      </w:r>
      <w:r w:rsidRPr="001949B4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Fremantle – Fremantle Outer Harbour (Kwinana Alcoa Refinery Jetty)</w:t>
      </w:r>
    </w:p>
    <w:p w:rsidR="001949B4" w:rsidRPr="001949B4" w:rsidRDefault="001949B4" w:rsidP="001949B4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Calibri" w:hAnsi="Calibri" w:cs="Times New Roman"/>
          <w:sz w:val="24"/>
          <w:lang w:val="en-US"/>
        </w:rPr>
        <w:t xml:space="preserve">I, Jasmina </w:t>
      </w:r>
      <w:proofErr w:type="spellStart"/>
      <w:r w:rsidRPr="001949B4">
        <w:rPr>
          <w:rFonts w:ascii="Bookman Old Style" w:eastAsia="Calibri" w:hAnsi="Calibri" w:cs="Times New Roman"/>
          <w:sz w:val="24"/>
          <w:lang w:val="en-US"/>
        </w:rPr>
        <w:t>Ackar</w:t>
      </w:r>
      <w:proofErr w:type="spellEnd"/>
      <w:r w:rsidRPr="001949B4">
        <w:rPr>
          <w:rFonts w:ascii="Bookman Old Style" w:eastAsia="Calibri" w:hAnsi="Calibri" w:cs="Times New Roman"/>
          <w:sz w:val="24"/>
          <w:lang w:val="en-US"/>
        </w:rPr>
        <w:t xml:space="preserve">, delegate of the Comptroller-General of Customs, under subsection 33(3) of the </w:t>
      </w:r>
      <w:r w:rsidRPr="001949B4">
        <w:rPr>
          <w:rFonts w:ascii="Bookman Old Style" w:eastAsia="Calibri" w:hAnsi="Calibri" w:cs="Times New Roman"/>
          <w:i/>
          <w:sz w:val="24"/>
          <w:lang w:val="en-US"/>
        </w:rPr>
        <w:t xml:space="preserve">Acts Interpretation Act 1901 </w:t>
      </w:r>
      <w:r w:rsidRPr="001949B4">
        <w:rPr>
          <w:rFonts w:ascii="Bookman Old Style" w:eastAsia="Calibri" w:hAnsi="Calibri" w:cs="Times New Roman"/>
          <w:sz w:val="24"/>
          <w:lang w:val="en-US"/>
        </w:rPr>
        <w:t>and paragraph 15(2</w:t>
      </w:r>
      <w:proofErr w:type="gramStart"/>
      <w:r w:rsidRPr="001949B4"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 w:rsidRPr="001949B4">
        <w:rPr>
          <w:rFonts w:ascii="Bookman Old Style" w:eastAsia="Calibri" w:hAnsi="Calibri" w:cs="Times New Roman"/>
          <w:sz w:val="24"/>
          <w:lang w:val="en-US"/>
        </w:rPr>
        <w:t xml:space="preserve">a) of the </w:t>
      </w:r>
      <w:r w:rsidRPr="001949B4"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Pr="001949B4">
        <w:rPr>
          <w:rFonts w:ascii="Bookman Old Style" w:eastAsia="Calibri" w:hAnsi="Calibri" w:cs="Times New Roman"/>
          <w:i/>
          <w:spacing w:val="-17"/>
          <w:sz w:val="24"/>
          <w:lang w:val="en-US"/>
        </w:rPr>
        <w:t xml:space="preserve"> </w:t>
      </w:r>
      <w:r w:rsidRPr="001949B4">
        <w:rPr>
          <w:rFonts w:ascii="Bookman Old Style" w:eastAsia="Calibri" w:hAnsi="Calibri" w:cs="Times New Roman"/>
          <w:i/>
          <w:sz w:val="24"/>
          <w:lang w:val="en-US"/>
        </w:rPr>
        <w:t>1901</w:t>
      </w:r>
      <w:r w:rsidRPr="001949B4">
        <w:rPr>
          <w:rFonts w:ascii="Bookman Old Style" w:eastAsia="Calibri" w:hAnsi="Calibri" w:cs="Times New Roman"/>
          <w:sz w:val="24"/>
          <w:lang w:val="en-US"/>
        </w:rPr>
        <w:t>:</w:t>
      </w:r>
    </w:p>
    <w:p w:rsidR="001949B4" w:rsidRPr="001949B4" w:rsidRDefault="001949B4" w:rsidP="001949B4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1949B4" w:rsidRPr="001949B4" w:rsidRDefault="001949B4" w:rsidP="001949B4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Calibri" w:hAnsi="Calibri" w:cs="Times New Roman"/>
          <w:sz w:val="24"/>
          <w:lang w:val="en-US"/>
        </w:rPr>
        <w:t xml:space="preserve">REVOKE the notice 'Customs Proclamation No. 1116' published in the </w:t>
      </w:r>
      <w:r w:rsidRPr="001949B4">
        <w:rPr>
          <w:rFonts w:ascii="Bookman Old Style" w:eastAsia="Calibri" w:hAnsi="Calibri" w:cs="Times New Roman"/>
          <w:i/>
          <w:sz w:val="24"/>
          <w:lang w:val="en-US"/>
        </w:rPr>
        <w:t xml:space="preserve">Commonwealth Gazette </w:t>
      </w:r>
      <w:r w:rsidRPr="001949B4">
        <w:rPr>
          <w:rFonts w:ascii="Bookman Old Style" w:eastAsia="Calibri" w:hAnsi="Calibri" w:cs="Times New Roman"/>
          <w:sz w:val="24"/>
          <w:lang w:val="en-US"/>
        </w:rPr>
        <w:t xml:space="preserve"> No. 77 on 17 September 1964 appointing as a wharf the area known as the Alcoa Refinery Jetty at the Port of Fremantle in the State of Western Australia and fixing the limits of that wharf;</w:t>
      </w:r>
      <w:r w:rsidRPr="001949B4">
        <w:rPr>
          <w:rFonts w:ascii="Bookman Old Style" w:eastAsia="Calibri" w:hAnsi="Calibri" w:cs="Times New Roman"/>
          <w:spacing w:val="-1"/>
          <w:sz w:val="24"/>
          <w:lang w:val="en-US"/>
        </w:rPr>
        <w:t xml:space="preserve"> </w:t>
      </w:r>
      <w:r w:rsidRPr="001949B4">
        <w:rPr>
          <w:rFonts w:ascii="Bookman Old Style" w:eastAsia="Calibri" w:hAnsi="Calibri" w:cs="Times New Roman"/>
          <w:sz w:val="24"/>
          <w:lang w:val="en-US"/>
        </w:rPr>
        <w:t>and</w:t>
      </w:r>
    </w:p>
    <w:p w:rsidR="001949B4" w:rsidRPr="001949B4" w:rsidRDefault="001949B4" w:rsidP="001949B4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1949B4" w:rsidRPr="001949B4" w:rsidRDefault="001949B4" w:rsidP="001949B4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hanging="370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Calibri" w:hAnsi="Calibri" w:cs="Times New Roman"/>
          <w:sz w:val="24"/>
          <w:lang w:val="en-US"/>
        </w:rPr>
        <w:t xml:space="preserve">APPOINT as a wharf in the </w:t>
      </w:r>
      <w:r w:rsidRPr="001949B4">
        <w:rPr>
          <w:rFonts w:ascii="Bookman Old Style" w:eastAsia="Calibri" w:hAnsi="Calibri" w:cs="Times New Roman"/>
          <w:b/>
          <w:sz w:val="24"/>
          <w:lang w:val="en-US"/>
        </w:rPr>
        <w:t xml:space="preserve">Port of Fremantle </w:t>
      </w:r>
      <w:r w:rsidRPr="001949B4">
        <w:rPr>
          <w:rFonts w:ascii="Bookman Old Style" w:eastAsia="Calibri" w:hAnsi="Calibri" w:cs="Times New Roman"/>
          <w:sz w:val="24"/>
          <w:lang w:val="en-US"/>
        </w:rPr>
        <w:t>in the State of Western Australia, the area known as the Fremantle Outer Harbour (Kwinana Alcoa Refinery Jetty);</w:t>
      </w:r>
      <w:r w:rsidRPr="001949B4">
        <w:rPr>
          <w:rFonts w:ascii="Bookman Old Style" w:eastAsia="Calibri" w:hAnsi="Calibri" w:cs="Times New Roman"/>
          <w:spacing w:val="-31"/>
          <w:sz w:val="24"/>
          <w:lang w:val="en-US"/>
        </w:rPr>
        <w:t xml:space="preserve"> </w:t>
      </w:r>
      <w:r w:rsidRPr="001949B4">
        <w:rPr>
          <w:rFonts w:ascii="Bookman Old Style" w:eastAsia="Calibri" w:hAnsi="Calibri" w:cs="Times New Roman"/>
          <w:sz w:val="24"/>
          <w:lang w:val="en-US"/>
        </w:rPr>
        <w:t>and</w:t>
      </w:r>
    </w:p>
    <w:p w:rsidR="001949B4" w:rsidRPr="001949B4" w:rsidRDefault="001949B4" w:rsidP="001949B4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870" w:hanging="346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Calibri" w:hAnsi="Calibri" w:cs="Times New Roman"/>
          <w:sz w:val="24"/>
          <w:lang w:val="en-US"/>
        </w:rPr>
        <w:t xml:space="preserve">FIX as the limits of that wharf the area within the red boundary line as indicated, and specified in the legend, in </w:t>
      </w:r>
      <w:r w:rsidRPr="001949B4"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Attachment A</w:t>
      </w:r>
      <w:r w:rsidRPr="001949B4">
        <w:rPr>
          <w:rFonts w:ascii="Bookman Old Style" w:eastAsia="Calibri" w:hAnsi="Calibri" w:cs="Times New Roman"/>
          <w:b/>
          <w:sz w:val="24"/>
          <w:u w:color="000000"/>
          <w:lang w:val="en-US"/>
        </w:rPr>
        <w:t xml:space="preserve"> </w:t>
      </w:r>
      <w:r w:rsidRPr="001949B4">
        <w:rPr>
          <w:rFonts w:ascii="Bookman Old Style" w:eastAsia="Calibri" w:hAnsi="Calibri" w:cs="Times New Roman"/>
          <w:sz w:val="24"/>
          <w:lang w:val="en-US"/>
        </w:rPr>
        <w:t>to this</w:t>
      </w:r>
      <w:r w:rsidRPr="001949B4">
        <w:rPr>
          <w:rFonts w:ascii="Bookman Old Style" w:eastAsia="Calibri" w:hAnsi="Calibri" w:cs="Times New Roman"/>
          <w:spacing w:val="-24"/>
          <w:sz w:val="24"/>
          <w:lang w:val="en-US"/>
        </w:rPr>
        <w:t xml:space="preserve"> </w:t>
      </w:r>
      <w:r w:rsidRPr="001949B4">
        <w:rPr>
          <w:rFonts w:ascii="Bookman Old Style" w:eastAsia="Calibri" w:hAnsi="Calibri" w:cs="Times New Roman"/>
          <w:sz w:val="24"/>
          <w:lang w:val="en-US"/>
        </w:rPr>
        <w:t>notice.</w:t>
      </w:r>
    </w:p>
    <w:p w:rsidR="001949B4" w:rsidRPr="001949B4" w:rsidRDefault="001949B4" w:rsidP="001949B4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tabs>
          <w:tab w:val="left" w:pos="1857"/>
        </w:tabs>
        <w:spacing w:after="0" w:line="240" w:lineRule="auto"/>
        <w:ind w:left="152" w:right="27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>Dated</w:t>
      </w:r>
      <w:r w:rsidRPr="001949B4">
        <w:rPr>
          <w:rFonts w:ascii="Bookman Old Style" w:eastAsia="Bookman Old Style" w:hAnsi="Bookman Old Style" w:cs="Times New Roman"/>
          <w:spacing w:val="-1"/>
          <w:sz w:val="24"/>
          <w:szCs w:val="24"/>
          <w:lang w:val="en-US"/>
        </w:rPr>
        <w:t xml:space="preserve"> </w:t>
      </w:r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>the 30</w:t>
      </w:r>
      <w:r w:rsidRPr="001949B4">
        <w:rPr>
          <w:rFonts w:ascii="Bookman Old Style" w:eastAsia="Bookman Old Style" w:hAnsi="Bookman Old Style" w:cs="Times New Roman"/>
          <w:sz w:val="24"/>
          <w:szCs w:val="24"/>
          <w:vertAlign w:val="superscript"/>
          <w:lang w:val="en-US"/>
        </w:rPr>
        <w:t>th</w:t>
      </w:r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day of June 2020.</w:t>
      </w:r>
    </w:p>
    <w:p w:rsidR="001949B4" w:rsidRPr="001949B4" w:rsidRDefault="001949B4" w:rsidP="001949B4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1949B4" w:rsidRPr="001949B4" w:rsidRDefault="001949B4" w:rsidP="001949B4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Bookman Old Style"/>
          <w:sz w:val="24"/>
          <w:szCs w:val="24"/>
          <w:lang w:val="en-US"/>
        </w:rPr>
        <w:t>(Signed)</w:t>
      </w:r>
    </w:p>
    <w:p w:rsidR="001949B4" w:rsidRPr="001949B4" w:rsidRDefault="001949B4" w:rsidP="001949B4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  <w:r w:rsidRPr="001949B4">
        <w:rPr>
          <w:rFonts w:ascii="Bookman Old Style" w:eastAsia="Bookman Old Style" w:hAnsi="Bookman Old Style" w:cs="Bookman Old Style"/>
          <w:sz w:val="23"/>
          <w:szCs w:val="23"/>
          <w:lang w:val="en-US"/>
        </w:rPr>
        <w:t xml:space="preserve"> </w:t>
      </w:r>
    </w:p>
    <w:p w:rsidR="001949B4" w:rsidRPr="001949B4" w:rsidRDefault="001949B4" w:rsidP="001949B4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1949B4" w:rsidRPr="001949B4" w:rsidRDefault="001949B4" w:rsidP="001949B4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Jasmina </w:t>
      </w:r>
      <w:proofErr w:type="spellStart"/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>Ackar</w:t>
      </w:r>
      <w:proofErr w:type="spellEnd"/>
    </w:p>
    <w:p w:rsidR="001949B4" w:rsidRPr="001949B4" w:rsidRDefault="001949B4" w:rsidP="00003716">
      <w:pPr>
        <w:widowControl w:val="0"/>
        <w:spacing w:after="0" w:line="240" w:lineRule="auto"/>
        <w:ind w:left="152" w:right="5810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>Acting Director Ports Policy</w:t>
      </w:r>
    </w:p>
    <w:p w:rsidR="00003716" w:rsidRDefault="001949B4" w:rsidP="00003716">
      <w:pPr>
        <w:widowControl w:val="0"/>
        <w:spacing w:after="0" w:line="240" w:lineRule="auto"/>
        <w:ind w:left="152" w:right="4535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Traveller Policy and Industry Engagement </w:t>
      </w:r>
      <w:bookmarkStart w:id="0" w:name="_GoBack"/>
      <w:bookmarkEnd w:id="0"/>
    </w:p>
    <w:p w:rsidR="001949B4" w:rsidRPr="001949B4" w:rsidRDefault="001949B4" w:rsidP="001949B4">
      <w:pPr>
        <w:widowControl w:val="0"/>
        <w:spacing w:after="0" w:line="240" w:lineRule="auto"/>
        <w:ind w:left="152" w:right="4819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1949B4">
        <w:rPr>
          <w:rFonts w:ascii="Bookman Old Style" w:eastAsia="Bookman Old Style" w:hAnsi="Bookman Old Style" w:cs="Times New Roman"/>
          <w:sz w:val="24"/>
          <w:szCs w:val="24"/>
          <w:lang w:val="en-US"/>
        </w:rPr>
        <w:t>Customs Group</w:t>
      </w:r>
    </w:p>
    <w:p w:rsidR="001949B4" w:rsidRDefault="001949B4" w:rsidP="001949B4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:rsidR="001949B4" w:rsidRDefault="001949B4">
      <w:pPr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br w:type="page"/>
      </w:r>
    </w:p>
    <w:p w:rsidR="001949B4" w:rsidRPr="00424B97" w:rsidRDefault="001949B4" w:rsidP="001949B4">
      <w:pPr>
        <w:widowControl w:val="0"/>
        <w:spacing w:after="0" w:line="240" w:lineRule="auto"/>
        <w:ind w:left="152" w:right="6418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-472753</wp:posOffset>
            </wp:positionV>
            <wp:extent cx="6837528" cy="10123629"/>
            <wp:effectExtent l="0" t="0" r="1905" b="0"/>
            <wp:wrapNone/>
            <wp:docPr id="3" name="Picture 3" descr="Wharf Revocation and Appointment (No. 20/17) – Port of Fremantle – Fremantle Outer Harbour (Kwinana Alcoa Refinery Jetty)" title="Wharf Revocation and Appointment (No. 20/17) – Port of Fremantle – Fremantle Outer Harbour (Kwinana Alcoa Refinery Jett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1012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49B4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D3FCAF18-3C72-497A-9843-FD730248456B}"/>
    <w:embedBold r:id="rId2" w:fontKey="{1AD978EF-5524-4EE9-BF4A-F1AA426AC9F7}"/>
    <w:embedItalic r:id="rId3" w:fontKey="{F4287079-6076-4CB8-ACF7-31BE1A8D725F}"/>
    <w:embedBoldItalic r:id="rId4" w:fontKey="{F458D117-0761-4335-84A3-39EB08A092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  <w:jc w:val="left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8FF2C4C0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3" w:tplc="8C46C7A2">
      <w:start w:val="1"/>
      <w:numFmt w:val="bullet"/>
      <w:lvlText w:val="•"/>
      <w:lvlJc w:val="left"/>
      <w:pPr>
        <w:ind w:left="3593" w:hanging="360"/>
      </w:pPr>
      <w:rPr>
        <w:rFonts w:hint="default"/>
      </w:rPr>
    </w:lvl>
    <w:lvl w:ilvl="4" w:tplc="1A8483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5" w:tplc="0624E5EE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88186958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EC201750">
      <w:start w:val="1"/>
      <w:numFmt w:val="bullet"/>
      <w:lvlText w:val="•"/>
      <w:lvlJc w:val="left"/>
      <w:pPr>
        <w:ind w:left="7212" w:hanging="360"/>
      </w:pPr>
      <w:rPr>
        <w:rFonts w:hint="default"/>
      </w:rPr>
    </w:lvl>
    <w:lvl w:ilvl="8" w:tplc="D5B65178">
      <w:start w:val="1"/>
      <w:numFmt w:val="bullet"/>
      <w:lvlText w:val="•"/>
      <w:lvlJc w:val="left"/>
      <w:pPr>
        <w:ind w:left="811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03716"/>
    <w:rsid w:val="000E1F2B"/>
    <w:rsid w:val="001949B4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364B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5D661-054B-4C4A-90C1-1599C8C3F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0</DocSecurity>
  <PresentationFormat/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2020-07-02T03:58:00Z</dcterms:created>
  <dcterms:modified xsi:type="dcterms:W3CDTF">2020-07-02T04:14:00Z</dcterms:modified>
  <cp:category/>
  <cp:contentStatus/>
  <dc:language/>
  <cp:version/>
</cp:coreProperties>
</file>