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664DF2" w14:textId="77777777" w:rsidR="00971798" w:rsidRPr="00BF2F01" w:rsidRDefault="00971798" w:rsidP="00971798">
      <w:pPr>
        <w:spacing w:after="120"/>
        <w:jc w:val="center"/>
        <w:rPr>
          <w:color w:val="000000" w:themeColor="text1"/>
        </w:rPr>
      </w:pPr>
      <w:bookmarkStart w:id="0" w:name="_GoBack"/>
      <w:bookmarkEnd w:id="0"/>
      <w:r>
        <w:rPr>
          <w:b/>
          <w:i/>
          <w:color w:val="000000" w:themeColor="text1"/>
          <w:sz w:val="26"/>
          <w:szCs w:val="26"/>
        </w:rPr>
        <w:br/>
      </w:r>
      <w:r w:rsidRPr="00BF2F01">
        <w:rPr>
          <w:b/>
          <w:i/>
          <w:color w:val="000000" w:themeColor="text1"/>
          <w:sz w:val="26"/>
          <w:szCs w:val="26"/>
        </w:rPr>
        <w:t xml:space="preserve">Aboriginal and Torres Strait Islander Heritage Protection Act 1984 </w:t>
      </w:r>
      <w:r w:rsidRPr="00BF2F01">
        <w:rPr>
          <w:b/>
          <w:color w:val="000000" w:themeColor="text1"/>
          <w:sz w:val="26"/>
          <w:szCs w:val="26"/>
        </w:rPr>
        <w:t>(Cth)</w:t>
      </w:r>
    </w:p>
    <w:p w14:paraId="16C91DA6" w14:textId="77777777" w:rsidR="00971798" w:rsidRPr="00BF2F01" w:rsidRDefault="00971798" w:rsidP="00971798">
      <w:pPr>
        <w:spacing w:after="120"/>
        <w:jc w:val="center"/>
        <w:rPr>
          <w:b/>
          <w:color w:val="000000" w:themeColor="text1"/>
          <w:sz w:val="26"/>
          <w:szCs w:val="26"/>
        </w:rPr>
      </w:pPr>
      <w:r w:rsidRPr="00BF2F01">
        <w:rPr>
          <w:b/>
          <w:color w:val="000000" w:themeColor="text1"/>
          <w:sz w:val="26"/>
          <w:szCs w:val="26"/>
        </w:rPr>
        <w:t>Notice of an application for the protection of</w:t>
      </w:r>
      <w:r>
        <w:rPr>
          <w:b/>
          <w:color w:val="000000" w:themeColor="text1"/>
          <w:sz w:val="26"/>
          <w:szCs w:val="26"/>
        </w:rPr>
        <w:t xml:space="preserve"> a specified </w:t>
      </w:r>
      <w:r w:rsidRPr="00237FF1">
        <w:rPr>
          <w:b/>
          <w:color w:val="000000" w:themeColor="text1"/>
          <w:sz w:val="26"/>
          <w:szCs w:val="26"/>
        </w:rPr>
        <w:t>area</w:t>
      </w:r>
      <w:r>
        <w:rPr>
          <w:b/>
          <w:color w:val="000000" w:themeColor="text1"/>
          <w:sz w:val="26"/>
          <w:szCs w:val="26"/>
        </w:rPr>
        <w:t>, being the area known as the former Anglican Holy Trinity Church grounds, in Huskisson, New South Wales</w:t>
      </w:r>
    </w:p>
    <w:p w14:paraId="3C832FE3" w14:textId="77777777" w:rsidR="00971798" w:rsidRPr="00BF2F01" w:rsidRDefault="00971798" w:rsidP="00971798">
      <w:pPr>
        <w:spacing w:after="120"/>
        <w:jc w:val="center"/>
        <w:rPr>
          <w:b/>
          <w:color w:val="000000" w:themeColor="text1"/>
          <w:sz w:val="26"/>
          <w:szCs w:val="26"/>
        </w:rPr>
      </w:pPr>
      <w:r w:rsidRPr="00BF2F01">
        <w:rPr>
          <w:b/>
          <w:color w:val="000000" w:themeColor="text1"/>
          <w:sz w:val="26"/>
          <w:szCs w:val="26"/>
        </w:rPr>
        <w:t>Invitation to make representations</w:t>
      </w:r>
    </w:p>
    <w:p w14:paraId="0FD0F55A" w14:textId="77777777" w:rsidR="00971798" w:rsidRPr="00BF4F14" w:rsidRDefault="00971798" w:rsidP="00971798">
      <w:pPr>
        <w:jc w:val="both"/>
        <w:rPr>
          <w:color w:val="000000" w:themeColor="text1"/>
        </w:rPr>
      </w:pPr>
      <w:r w:rsidRPr="00BF4F14">
        <w:rPr>
          <w:color w:val="000000" w:themeColor="text1"/>
        </w:rPr>
        <w:t xml:space="preserve">I, </w:t>
      </w:r>
      <w:r>
        <w:rPr>
          <w:color w:val="000000" w:themeColor="text1"/>
        </w:rPr>
        <w:t>David Williams</w:t>
      </w:r>
      <w:r w:rsidRPr="00BF4F14">
        <w:rPr>
          <w:color w:val="000000" w:themeColor="text1"/>
        </w:rPr>
        <w:t>, hereby give notice as follows:</w:t>
      </w:r>
    </w:p>
    <w:p w14:paraId="5E614806" w14:textId="77777777" w:rsidR="00971798" w:rsidRPr="00BF4F14" w:rsidRDefault="00971798" w:rsidP="00971798">
      <w:pPr>
        <w:jc w:val="both"/>
        <w:rPr>
          <w:color w:val="FF0000"/>
        </w:rPr>
      </w:pPr>
      <w:r w:rsidRPr="00BF4F14">
        <w:rPr>
          <w:color w:val="000000" w:themeColor="text1"/>
        </w:rPr>
        <w:t xml:space="preserve">The </w:t>
      </w:r>
      <w:r>
        <w:rPr>
          <w:color w:val="000000" w:themeColor="text1"/>
        </w:rPr>
        <w:t xml:space="preserve">Hon </w:t>
      </w:r>
      <w:proofErr w:type="spellStart"/>
      <w:r>
        <w:rPr>
          <w:color w:val="000000" w:themeColor="text1"/>
        </w:rPr>
        <w:t>Sussan</w:t>
      </w:r>
      <w:proofErr w:type="spellEnd"/>
      <w:r>
        <w:rPr>
          <w:color w:val="000000" w:themeColor="text1"/>
        </w:rPr>
        <w:t xml:space="preserve"> Ley MP,</w:t>
      </w:r>
      <w:r w:rsidRPr="00BF4F14">
        <w:rPr>
          <w:color w:val="000000" w:themeColor="text1"/>
        </w:rPr>
        <w:t xml:space="preserve"> responsible for the </w:t>
      </w:r>
      <w:r w:rsidRPr="00BF4F14">
        <w:rPr>
          <w:i/>
          <w:color w:val="000000" w:themeColor="text1"/>
        </w:rPr>
        <w:t xml:space="preserve">Aboriginal and Torres Strait Islander Heritage Protection Act 1984 </w:t>
      </w:r>
      <w:r w:rsidRPr="00BF4F14">
        <w:rPr>
          <w:color w:val="000000" w:themeColor="text1"/>
        </w:rPr>
        <w:t>(Cth)</w:t>
      </w:r>
      <w:r w:rsidRPr="00BF4F14">
        <w:rPr>
          <w:i/>
          <w:color w:val="000000" w:themeColor="text1"/>
        </w:rPr>
        <w:t xml:space="preserve"> </w:t>
      </w:r>
      <w:r w:rsidRPr="00BF4F14">
        <w:rPr>
          <w:color w:val="000000" w:themeColor="text1"/>
        </w:rPr>
        <w:t xml:space="preserve">(the </w:t>
      </w:r>
      <w:r w:rsidRPr="00BF4F14">
        <w:rPr>
          <w:b/>
          <w:color w:val="000000" w:themeColor="text1"/>
        </w:rPr>
        <w:t>Act</w:t>
      </w:r>
      <w:r w:rsidRPr="00BF4F14">
        <w:rPr>
          <w:color w:val="000000" w:themeColor="text1"/>
        </w:rPr>
        <w:t>), has received an application made under section 10 of the Act</w:t>
      </w:r>
      <w:r>
        <w:rPr>
          <w:color w:val="000000" w:themeColor="text1"/>
        </w:rPr>
        <w:t xml:space="preserve">. The application is </w:t>
      </w:r>
      <w:r w:rsidRPr="00BF4F14">
        <w:rPr>
          <w:color w:val="000000" w:themeColor="text1"/>
        </w:rPr>
        <w:t xml:space="preserve">seeking </w:t>
      </w:r>
      <w:r>
        <w:rPr>
          <w:color w:val="000000" w:themeColor="text1"/>
        </w:rPr>
        <w:t xml:space="preserve">long term preservation and </w:t>
      </w:r>
      <w:r w:rsidRPr="00BF4F14">
        <w:rPr>
          <w:color w:val="000000" w:themeColor="text1"/>
        </w:rPr>
        <w:t>protect</w:t>
      </w:r>
      <w:r>
        <w:rPr>
          <w:color w:val="000000" w:themeColor="text1"/>
        </w:rPr>
        <w:t>ion of a significant Aboriginal area</w:t>
      </w:r>
      <w:r w:rsidRPr="00BF4F14">
        <w:rPr>
          <w:color w:val="000000" w:themeColor="text1"/>
        </w:rPr>
        <w:t xml:space="preserve"> being the area known as </w:t>
      </w:r>
      <w:r>
        <w:rPr>
          <w:color w:val="000000" w:themeColor="text1"/>
        </w:rPr>
        <w:t>the former Anglican Holy Trinity Church grounds, In Huskisson, New South Wales</w:t>
      </w:r>
      <w:r w:rsidRPr="00BF4F14">
        <w:rPr>
          <w:color w:val="000000" w:themeColor="text1"/>
        </w:rPr>
        <w:t xml:space="preserve">. The Minister has appointed me to provide a report to </w:t>
      </w:r>
      <w:r>
        <w:rPr>
          <w:color w:val="000000" w:themeColor="text1"/>
        </w:rPr>
        <w:t xml:space="preserve">her </w:t>
      </w:r>
      <w:r w:rsidRPr="00BF4F14">
        <w:rPr>
          <w:color w:val="000000" w:themeColor="text1"/>
        </w:rPr>
        <w:t>under section 10(1)(c) of the Act.</w:t>
      </w:r>
      <w:r w:rsidRPr="00BF4F14">
        <w:rPr>
          <w:color w:val="FF0000"/>
        </w:rPr>
        <w:t xml:space="preserve"> </w:t>
      </w:r>
    </w:p>
    <w:p w14:paraId="5514EF36" w14:textId="77777777" w:rsidR="00971798" w:rsidRPr="00BF4F14" w:rsidRDefault="00971798" w:rsidP="00971798">
      <w:pPr>
        <w:pStyle w:val="Heading3"/>
        <w:spacing w:before="0"/>
        <w:jc w:val="both"/>
        <w:rPr>
          <w:rFonts w:asciiTheme="minorHAnsi" w:hAnsiTheme="minorHAnsi"/>
          <w:color w:val="000000" w:themeColor="text1"/>
        </w:rPr>
      </w:pPr>
      <w:r w:rsidRPr="00BF4F14">
        <w:rPr>
          <w:rFonts w:asciiTheme="minorHAnsi" w:hAnsiTheme="minorHAnsi"/>
          <w:color w:val="000000" w:themeColor="text1"/>
        </w:rPr>
        <w:t>The Applicant</w:t>
      </w:r>
    </w:p>
    <w:p w14:paraId="1F29CD13" w14:textId="77777777" w:rsidR="00971798" w:rsidRPr="00BF4F14" w:rsidRDefault="00971798" w:rsidP="00971798">
      <w:pPr>
        <w:jc w:val="both"/>
        <w:rPr>
          <w:color w:val="000000" w:themeColor="text1"/>
        </w:rPr>
      </w:pPr>
      <w:r w:rsidRPr="00BF4F14">
        <w:rPr>
          <w:color w:val="000000" w:themeColor="text1"/>
        </w:rPr>
        <w:t xml:space="preserve">The application is made on behalf of the </w:t>
      </w:r>
      <w:proofErr w:type="spellStart"/>
      <w:r>
        <w:rPr>
          <w:color w:val="000000" w:themeColor="text1"/>
        </w:rPr>
        <w:t>Jerrinja</w:t>
      </w:r>
      <w:proofErr w:type="spellEnd"/>
      <w:r>
        <w:rPr>
          <w:color w:val="000000" w:themeColor="text1"/>
        </w:rPr>
        <w:t xml:space="preserve"> Local Aboriginal Land Council</w:t>
      </w:r>
      <w:r w:rsidRPr="00BF4F14">
        <w:rPr>
          <w:color w:val="000000" w:themeColor="text1"/>
        </w:rPr>
        <w:t xml:space="preserve"> by </w:t>
      </w:r>
      <w:r>
        <w:rPr>
          <w:color w:val="000000" w:themeColor="text1"/>
        </w:rPr>
        <w:t>Mr Alfred Wellington</w:t>
      </w:r>
      <w:r w:rsidRPr="00BF4F14">
        <w:rPr>
          <w:color w:val="000000" w:themeColor="text1"/>
        </w:rPr>
        <w:t xml:space="preserve">. </w:t>
      </w:r>
    </w:p>
    <w:p w14:paraId="21AD1F4E" w14:textId="77777777" w:rsidR="00971798" w:rsidRPr="00BF4F14" w:rsidRDefault="00971798" w:rsidP="00971798">
      <w:pPr>
        <w:pStyle w:val="Heading3"/>
        <w:spacing w:before="0"/>
        <w:jc w:val="both"/>
        <w:rPr>
          <w:rFonts w:asciiTheme="minorHAnsi" w:hAnsiTheme="minorHAnsi"/>
          <w:color w:val="000000" w:themeColor="text1"/>
        </w:rPr>
      </w:pPr>
      <w:r w:rsidRPr="00BF4F14">
        <w:rPr>
          <w:rFonts w:asciiTheme="minorHAnsi" w:hAnsiTheme="minorHAnsi"/>
          <w:color w:val="000000" w:themeColor="text1"/>
        </w:rPr>
        <w:t>The purpose of the application</w:t>
      </w:r>
    </w:p>
    <w:p w14:paraId="0996BF2B" w14:textId="77777777" w:rsidR="00971798" w:rsidRPr="00BF4F14" w:rsidRDefault="00971798" w:rsidP="00971798">
      <w:pPr>
        <w:jc w:val="both"/>
        <w:rPr>
          <w:color w:val="000000" w:themeColor="text1"/>
        </w:rPr>
      </w:pPr>
      <w:r w:rsidRPr="00BF4F14">
        <w:rPr>
          <w:color w:val="000000" w:themeColor="text1"/>
        </w:rPr>
        <w:t>The application seeks the preservation or protection of the area specified in the application and depicted below in Figure 1, from injury or desecration. Section 10 of the Act enables the Minister to decide whether to make a declaration to preserve and protect the specified area, if the Minister is satisfied that the area is a significant Aboriginal area and is under threat of injury or desecration. In the Act, the term ‘significant Aboriginal area’ refers to an area that is of particular significance to Aboriginals in accordance with Aboriginal tradition. Section 3 of the Act provides definitions of relevant terms including ‘Aboriginal tradition’ and ‘injured or desecrated’. The area specified for protection, the claimed significance of the area and the claimed nature of the threat of injury or desecration is set out below.</w:t>
      </w:r>
    </w:p>
    <w:p w14:paraId="77308133" w14:textId="77777777" w:rsidR="00971798" w:rsidRPr="00BF4F14" w:rsidRDefault="00971798" w:rsidP="00971798">
      <w:pPr>
        <w:pStyle w:val="Heading3"/>
        <w:spacing w:before="0"/>
        <w:jc w:val="both"/>
        <w:rPr>
          <w:rFonts w:asciiTheme="minorHAnsi" w:hAnsiTheme="minorHAnsi"/>
          <w:color w:val="000000" w:themeColor="text1"/>
        </w:rPr>
      </w:pPr>
      <w:r w:rsidRPr="00BF4F14">
        <w:rPr>
          <w:rFonts w:asciiTheme="minorHAnsi" w:hAnsiTheme="minorHAnsi"/>
          <w:color w:val="000000" w:themeColor="text1"/>
        </w:rPr>
        <w:t>Matters the report is required to deal with</w:t>
      </w:r>
    </w:p>
    <w:p w14:paraId="1AD984A8" w14:textId="77777777" w:rsidR="00971798" w:rsidRPr="00BF4F14" w:rsidRDefault="00971798" w:rsidP="00971798">
      <w:pPr>
        <w:jc w:val="both"/>
        <w:rPr>
          <w:color w:val="000000" w:themeColor="text1"/>
        </w:rPr>
      </w:pPr>
      <w:r w:rsidRPr="00BF4F14">
        <w:rPr>
          <w:color w:val="000000" w:themeColor="text1"/>
        </w:rPr>
        <w:t>The Minister will consider my report under section 10 of the Act in relation to the area sought to be protected before deciding whether to make a declaration under section 10 of the Act. Under section 10(4) of the Act, the report is required to deal with the following matters:</w:t>
      </w:r>
    </w:p>
    <w:p w14:paraId="25C2CFB7" w14:textId="77777777" w:rsidR="00971798" w:rsidRPr="00BF4F14" w:rsidRDefault="00971798" w:rsidP="00971798">
      <w:pPr>
        <w:numPr>
          <w:ilvl w:val="0"/>
          <w:numId w:val="2"/>
        </w:numPr>
        <w:spacing w:after="120"/>
        <w:ind w:hanging="573"/>
        <w:jc w:val="both"/>
        <w:rPr>
          <w:color w:val="000000" w:themeColor="text1"/>
          <w:lang w:val="en-US"/>
        </w:rPr>
      </w:pPr>
      <w:r w:rsidRPr="00BF4F14">
        <w:rPr>
          <w:color w:val="000000" w:themeColor="text1"/>
          <w:lang w:val="en-US"/>
        </w:rPr>
        <w:t>the particular significance of the area to Aboriginals;</w:t>
      </w:r>
    </w:p>
    <w:p w14:paraId="3DA7592D" w14:textId="77777777" w:rsidR="00971798" w:rsidRPr="00BF4F14" w:rsidRDefault="00971798" w:rsidP="00971798">
      <w:pPr>
        <w:numPr>
          <w:ilvl w:val="0"/>
          <w:numId w:val="2"/>
        </w:numPr>
        <w:spacing w:after="120"/>
        <w:ind w:hanging="573"/>
        <w:jc w:val="both"/>
        <w:rPr>
          <w:color w:val="000000" w:themeColor="text1"/>
          <w:lang w:val="en-US"/>
        </w:rPr>
      </w:pPr>
      <w:r w:rsidRPr="00BF4F14">
        <w:rPr>
          <w:color w:val="000000" w:themeColor="text1"/>
          <w:lang w:val="en-US"/>
        </w:rPr>
        <w:t>the nature and extent of the threat of injury to, or desecration of, the area;</w:t>
      </w:r>
    </w:p>
    <w:p w14:paraId="5814E7F1" w14:textId="77777777" w:rsidR="00971798" w:rsidRPr="00BF4F14" w:rsidRDefault="00971798" w:rsidP="00971798">
      <w:pPr>
        <w:numPr>
          <w:ilvl w:val="0"/>
          <w:numId w:val="1"/>
        </w:numPr>
        <w:spacing w:after="120"/>
        <w:ind w:hanging="573"/>
        <w:jc w:val="both"/>
        <w:rPr>
          <w:color w:val="000000" w:themeColor="text1"/>
          <w:lang w:val="en-US"/>
        </w:rPr>
      </w:pPr>
      <w:r w:rsidRPr="00BF4F14">
        <w:rPr>
          <w:color w:val="000000" w:themeColor="text1"/>
          <w:lang w:val="en-US"/>
        </w:rPr>
        <w:t>the extent of the area that should be protected;</w:t>
      </w:r>
    </w:p>
    <w:p w14:paraId="3512E52A" w14:textId="77777777" w:rsidR="00971798" w:rsidRPr="00BF4F14" w:rsidRDefault="00971798" w:rsidP="00971798">
      <w:pPr>
        <w:numPr>
          <w:ilvl w:val="0"/>
          <w:numId w:val="1"/>
        </w:numPr>
        <w:spacing w:after="120"/>
        <w:ind w:hanging="573"/>
        <w:jc w:val="both"/>
        <w:rPr>
          <w:color w:val="000000" w:themeColor="text1"/>
          <w:lang w:val="en-US"/>
        </w:rPr>
      </w:pPr>
      <w:r w:rsidRPr="00BF4F14">
        <w:rPr>
          <w:color w:val="000000" w:themeColor="text1"/>
          <w:lang w:val="en-US"/>
        </w:rPr>
        <w:t>the prohibitions and restrictions to be made with respect to the area;</w:t>
      </w:r>
    </w:p>
    <w:p w14:paraId="30EE4337" w14:textId="77777777" w:rsidR="00971798" w:rsidRPr="00BF4F14" w:rsidRDefault="00971798" w:rsidP="00971798">
      <w:pPr>
        <w:numPr>
          <w:ilvl w:val="0"/>
          <w:numId w:val="1"/>
        </w:numPr>
        <w:spacing w:after="120"/>
        <w:ind w:hanging="573"/>
        <w:jc w:val="both"/>
        <w:rPr>
          <w:color w:val="000000" w:themeColor="text1"/>
          <w:lang w:val="en-US"/>
        </w:rPr>
      </w:pPr>
      <w:r w:rsidRPr="00BF4F14">
        <w:rPr>
          <w:color w:val="000000" w:themeColor="text1"/>
          <w:lang w:val="en-US"/>
        </w:rPr>
        <w:t>the effects the making of a declaration may have on the proprietary or pecuniary interests of persons other than the Aboriginal or Aboriginals on whose behalf the application is made;</w:t>
      </w:r>
    </w:p>
    <w:p w14:paraId="3F956F58" w14:textId="77777777" w:rsidR="00971798" w:rsidRPr="00BF4F14" w:rsidRDefault="00971798" w:rsidP="00971798">
      <w:pPr>
        <w:numPr>
          <w:ilvl w:val="0"/>
          <w:numId w:val="1"/>
        </w:numPr>
        <w:spacing w:after="120"/>
        <w:ind w:hanging="573"/>
        <w:jc w:val="both"/>
        <w:rPr>
          <w:color w:val="000000" w:themeColor="text1"/>
          <w:lang w:val="en-US"/>
        </w:rPr>
      </w:pPr>
      <w:r w:rsidRPr="00BF4F14">
        <w:rPr>
          <w:color w:val="000000" w:themeColor="text1"/>
          <w:lang w:val="en-US"/>
        </w:rPr>
        <w:t xml:space="preserve">the duration of any declaration; </w:t>
      </w:r>
    </w:p>
    <w:p w14:paraId="62DD5F0E" w14:textId="77777777" w:rsidR="00971798" w:rsidRDefault="00971798" w:rsidP="00971798">
      <w:pPr>
        <w:numPr>
          <w:ilvl w:val="0"/>
          <w:numId w:val="1"/>
        </w:numPr>
        <w:spacing w:after="120"/>
        <w:ind w:hanging="573"/>
        <w:jc w:val="both"/>
        <w:rPr>
          <w:color w:val="000000" w:themeColor="text1"/>
          <w:lang w:val="en-US"/>
        </w:rPr>
      </w:pPr>
      <w:r w:rsidRPr="00BF4F14">
        <w:rPr>
          <w:color w:val="000000" w:themeColor="text1"/>
          <w:lang w:val="en-US"/>
        </w:rPr>
        <w:t>the extent to which the area is or may be protected by or under a law of the State o</w:t>
      </w:r>
      <w:r>
        <w:rPr>
          <w:color w:val="000000" w:themeColor="text1"/>
          <w:lang w:val="en-US"/>
        </w:rPr>
        <w:t>r Territory</w:t>
      </w:r>
      <w:r w:rsidRPr="00BF4F14">
        <w:rPr>
          <w:color w:val="000000" w:themeColor="text1"/>
          <w:lang w:val="en-US"/>
        </w:rPr>
        <w:t>, and the effectiveness of any remedies available under any such law</w:t>
      </w:r>
      <w:r>
        <w:rPr>
          <w:color w:val="000000" w:themeColor="text1"/>
          <w:lang w:val="en-US"/>
        </w:rPr>
        <w:t>; and</w:t>
      </w:r>
    </w:p>
    <w:p w14:paraId="61947EFD" w14:textId="77777777" w:rsidR="00971798" w:rsidRPr="00BF4F14" w:rsidRDefault="00971798" w:rsidP="00971798">
      <w:pPr>
        <w:numPr>
          <w:ilvl w:val="0"/>
          <w:numId w:val="1"/>
        </w:numPr>
        <w:spacing w:after="120"/>
        <w:ind w:hanging="573"/>
        <w:jc w:val="both"/>
        <w:rPr>
          <w:color w:val="000000" w:themeColor="text1"/>
          <w:lang w:val="en-US"/>
        </w:rPr>
      </w:pPr>
      <w:r>
        <w:rPr>
          <w:color w:val="000000" w:themeColor="text1"/>
          <w:lang w:val="en-US"/>
        </w:rPr>
        <w:t xml:space="preserve">such other matters (if any) as prescribed. </w:t>
      </w:r>
    </w:p>
    <w:p w14:paraId="18D8A720" w14:textId="77777777" w:rsidR="00971798" w:rsidRPr="00BF4F14" w:rsidRDefault="00971798" w:rsidP="00971798">
      <w:pPr>
        <w:spacing w:after="0"/>
        <w:ind w:left="357"/>
        <w:jc w:val="both"/>
        <w:rPr>
          <w:color w:val="000000" w:themeColor="text1"/>
          <w:lang w:val="en-US"/>
        </w:rPr>
      </w:pPr>
    </w:p>
    <w:p w14:paraId="4A9029BA" w14:textId="77777777" w:rsidR="00971798" w:rsidRPr="00BF4F14" w:rsidRDefault="00971798" w:rsidP="00971798">
      <w:pPr>
        <w:pStyle w:val="Heading3"/>
        <w:spacing w:before="0"/>
        <w:jc w:val="both"/>
        <w:rPr>
          <w:rFonts w:asciiTheme="minorHAnsi" w:hAnsiTheme="minorHAnsi"/>
          <w:color w:val="000000" w:themeColor="text1"/>
        </w:rPr>
      </w:pPr>
      <w:r w:rsidRPr="00BF4F14">
        <w:rPr>
          <w:rFonts w:asciiTheme="minorHAnsi" w:hAnsiTheme="minorHAnsi"/>
          <w:color w:val="000000" w:themeColor="text1"/>
        </w:rPr>
        <w:t>The area sought to be protected (the 'specified area')</w:t>
      </w:r>
    </w:p>
    <w:p w14:paraId="179D99C4" w14:textId="77777777" w:rsidR="00971798" w:rsidRPr="00BF4F14" w:rsidRDefault="00971798" w:rsidP="00971798">
      <w:pPr>
        <w:jc w:val="both"/>
      </w:pPr>
      <w:r w:rsidRPr="00BF4F14">
        <w:t xml:space="preserve">The Applicant has specified </w:t>
      </w:r>
      <w:r>
        <w:t>the</w:t>
      </w:r>
      <w:r w:rsidRPr="00BF4F14">
        <w:t xml:space="preserve"> area for which protection is sought as a traditional area. This is the area known as </w:t>
      </w:r>
      <w:r>
        <w:rPr>
          <w:color w:val="000000" w:themeColor="text1"/>
        </w:rPr>
        <w:t xml:space="preserve">the former Anglican Holy Trinity Church grounds, on </w:t>
      </w:r>
      <w:r>
        <w:rPr>
          <w:rFonts w:ascii="Calibri" w:hAnsi="Calibri" w:cs="Calibri"/>
          <w:sz w:val="24"/>
          <w:szCs w:val="24"/>
        </w:rPr>
        <w:t>Lots 7, 8, and 9 Section 3 DP 758530</w:t>
      </w:r>
      <w:r>
        <w:rPr>
          <w:color w:val="000000" w:themeColor="text1"/>
        </w:rPr>
        <w:t>,</w:t>
      </w:r>
      <w:r w:rsidRPr="00BF4F14">
        <w:rPr>
          <w:color w:val="000000" w:themeColor="text1"/>
        </w:rPr>
        <w:t xml:space="preserve"> in</w:t>
      </w:r>
      <w:r>
        <w:rPr>
          <w:color w:val="000000" w:themeColor="text1"/>
        </w:rPr>
        <w:t xml:space="preserve"> Huskisson,</w:t>
      </w:r>
      <w:r w:rsidRPr="00BF4F14">
        <w:rPr>
          <w:color w:val="000000" w:themeColor="text1"/>
        </w:rPr>
        <w:t xml:space="preserve"> </w:t>
      </w:r>
      <w:r>
        <w:rPr>
          <w:color w:val="000000" w:themeColor="text1"/>
        </w:rPr>
        <w:t>New South Wales</w:t>
      </w:r>
      <w:r w:rsidRPr="00BF4F14">
        <w:rPr>
          <w:color w:val="000000" w:themeColor="text1"/>
        </w:rPr>
        <w:t>.</w:t>
      </w:r>
    </w:p>
    <w:p w14:paraId="1420BBD6" w14:textId="77777777" w:rsidR="00971798" w:rsidRPr="00BF4F14" w:rsidRDefault="00971798" w:rsidP="00971798">
      <w:pPr>
        <w:rPr>
          <w:color w:val="FF0000"/>
        </w:rPr>
      </w:pPr>
      <w:r>
        <w:rPr>
          <w:noProof/>
          <w:color w:val="FF0000"/>
        </w:rPr>
        <w:drawing>
          <wp:inline distT="0" distB="0" distL="0" distR="0" wp14:anchorId="69BEE63D" wp14:editId="5B939D28">
            <wp:extent cx="6120130" cy="5023262"/>
            <wp:effectExtent l="0" t="0" r="0" b="6350"/>
            <wp:docPr id="2" name="Picture 2" descr="Figure 1 - Map showing the specified area of the former Anglican Holy Trinity Church grounds in Huskisson,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skissonB&amp;Wmap_A5.jpg"/>
                    <pic:cNvPicPr/>
                  </pic:nvPicPr>
                  <pic:blipFill>
                    <a:blip r:embed="rId8">
                      <a:extLst>
                        <a:ext uri="{28A0092B-C50C-407E-A947-70E740481C1C}">
                          <a14:useLocalDpi xmlns:a14="http://schemas.microsoft.com/office/drawing/2010/main" val="0"/>
                        </a:ext>
                      </a:extLst>
                    </a:blip>
                    <a:stretch>
                      <a:fillRect/>
                    </a:stretch>
                  </pic:blipFill>
                  <pic:spPr>
                    <a:xfrm>
                      <a:off x="0" y="0"/>
                      <a:ext cx="6121292" cy="5024216"/>
                    </a:xfrm>
                    <a:prstGeom prst="rect">
                      <a:avLst/>
                    </a:prstGeom>
                  </pic:spPr>
                </pic:pic>
              </a:graphicData>
            </a:graphic>
          </wp:inline>
        </w:drawing>
      </w:r>
    </w:p>
    <w:p w14:paraId="46D2CD18" w14:textId="77777777" w:rsidR="00971798" w:rsidRPr="00BF4F14" w:rsidRDefault="00971798" w:rsidP="00971798">
      <w:pPr>
        <w:pStyle w:val="Caption"/>
        <w:jc w:val="center"/>
        <w:rPr>
          <w:color w:val="auto"/>
        </w:rPr>
      </w:pPr>
      <w:r w:rsidRPr="00BF4F14">
        <w:rPr>
          <w:color w:val="auto"/>
        </w:rPr>
        <w:t>Figure</w:t>
      </w:r>
      <w:r>
        <w:rPr>
          <w:color w:val="auto"/>
        </w:rPr>
        <w:t xml:space="preserve"> -</w:t>
      </w:r>
      <w:r w:rsidRPr="00BF4F14">
        <w:rPr>
          <w:color w:val="auto"/>
        </w:rPr>
        <w:t xml:space="preserve"> </w:t>
      </w:r>
      <w:r w:rsidRPr="00BF4F14">
        <w:rPr>
          <w:color w:val="auto"/>
        </w:rPr>
        <w:fldChar w:fldCharType="begin"/>
      </w:r>
      <w:r w:rsidRPr="00BF4F14">
        <w:rPr>
          <w:color w:val="auto"/>
        </w:rPr>
        <w:instrText xml:space="preserve"> SEQ Figure \* ARABIC </w:instrText>
      </w:r>
      <w:r w:rsidRPr="00BF4F14">
        <w:rPr>
          <w:color w:val="auto"/>
        </w:rPr>
        <w:fldChar w:fldCharType="separate"/>
      </w:r>
      <w:r>
        <w:rPr>
          <w:noProof/>
          <w:color w:val="auto"/>
        </w:rPr>
        <w:t>1</w:t>
      </w:r>
      <w:r w:rsidRPr="00BF4F14">
        <w:rPr>
          <w:noProof/>
          <w:color w:val="auto"/>
        </w:rPr>
        <w:fldChar w:fldCharType="end"/>
      </w:r>
      <w:r w:rsidRPr="00BF4F14">
        <w:rPr>
          <w:color w:val="auto"/>
        </w:rPr>
        <w:t xml:space="preserve"> Map showing the specified area of </w:t>
      </w:r>
      <w:r>
        <w:rPr>
          <w:color w:val="000000" w:themeColor="text1"/>
        </w:rPr>
        <w:t>the former Anglican Holy Trinity Church grounds, Huskisson, NSW</w:t>
      </w:r>
    </w:p>
    <w:p w14:paraId="2012EF15" w14:textId="77777777" w:rsidR="00971798" w:rsidRPr="00BF4F14" w:rsidRDefault="00971798" w:rsidP="00971798">
      <w:pPr>
        <w:pStyle w:val="Heading3"/>
        <w:spacing w:before="0"/>
        <w:jc w:val="both"/>
        <w:rPr>
          <w:rFonts w:asciiTheme="minorHAnsi" w:hAnsiTheme="minorHAnsi"/>
          <w:b w:val="0"/>
          <w:color w:val="000000" w:themeColor="text1"/>
        </w:rPr>
      </w:pPr>
      <w:r w:rsidRPr="00BF4F14">
        <w:rPr>
          <w:rFonts w:asciiTheme="minorHAnsi" w:hAnsiTheme="minorHAnsi"/>
          <w:color w:val="000000" w:themeColor="text1"/>
        </w:rPr>
        <w:t xml:space="preserve">Claimed nature of particular significance </w:t>
      </w:r>
    </w:p>
    <w:p w14:paraId="116AB88C" w14:textId="77777777" w:rsidR="00971798" w:rsidRPr="00BF4F14" w:rsidRDefault="00971798" w:rsidP="00971798">
      <w:pPr>
        <w:spacing w:after="120"/>
        <w:jc w:val="both"/>
        <w:rPr>
          <w:rFonts w:cstheme="minorHAnsi"/>
        </w:rPr>
      </w:pPr>
      <w:r w:rsidRPr="00BF4F14">
        <w:rPr>
          <w:rFonts w:cstheme="minorHAnsi"/>
        </w:rPr>
        <w:t xml:space="preserve">The Applicant states that the specified area is of particular significance in accordance with Aboriginal tradition because </w:t>
      </w:r>
      <w:r>
        <w:rPr>
          <w:rFonts w:cstheme="minorHAnsi"/>
        </w:rPr>
        <w:t xml:space="preserve">it is the burial place of their Ancestor </w:t>
      </w:r>
      <w:r w:rsidRPr="00BF4F14">
        <w:rPr>
          <w:rFonts w:cstheme="minorHAnsi"/>
        </w:rPr>
        <w:t xml:space="preserve">in accordance with traditional custom. Other statements made by the Applicant include that: </w:t>
      </w:r>
    </w:p>
    <w:p w14:paraId="46368403" w14:textId="77777777" w:rsidR="00971798" w:rsidRPr="00D50878" w:rsidRDefault="00971798" w:rsidP="00971798">
      <w:pPr>
        <w:pStyle w:val="Default"/>
        <w:numPr>
          <w:ilvl w:val="0"/>
          <w:numId w:val="3"/>
        </w:numPr>
        <w:adjustRightInd/>
        <w:spacing w:after="205"/>
        <w:rPr>
          <w:rFonts w:asciiTheme="minorHAnsi" w:hAnsiTheme="minorHAnsi" w:cstheme="minorHAnsi"/>
          <w:color w:val="auto"/>
          <w:sz w:val="22"/>
          <w:szCs w:val="22"/>
        </w:rPr>
      </w:pPr>
      <w:r>
        <w:rPr>
          <w:rFonts w:asciiTheme="minorHAnsi" w:hAnsiTheme="minorHAnsi" w:cstheme="minorHAnsi"/>
          <w:color w:val="auto"/>
          <w:sz w:val="22"/>
          <w:szCs w:val="22"/>
        </w:rPr>
        <w:t>t</w:t>
      </w:r>
      <w:r w:rsidRPr="00D50878">
        <w:rPr>
          <w:rFonts w:asciiTheme="minorHAnsi" w:hAnsiTheme="minorHAnsi" w:cstheme="minorHAnsi"/>
          <w:color w:val="auto"/>
          <w:sz w:val="22"/>
          <w:szCs w:val="22"/>
        </w:rPr>
        <w:t>he site is the burial ground of James Golding (Golden), “Budd Billy II, King of Jarvis Bay”, buried in 1905</w:t>
      </w:r>
      <w:r>
        <w:rPr>
          <w:rFonts w:asciiTheme="minorHAnsi" w:hAnsiTheme="minorHAnsi" w:cstheme="minorHAnsi"/>
          <w:color w:val="auto"/>
          <w:sz w:val="22"/>
          <w:szCs w:val="22"/>
        </w:rPr>
        <w:t>;</w:t>
      </w:r>
    </w:p>
    <w:p w14:paraId="347346ED" w14:textId="77777777" w:rsidR="00971798" w:rsidRPr="00D50878" w:rsidRDefault="00971798" w:rsidP="00971798">
      <w:pPr>
        <w:pStyle w:val="Default"/>
        <w:numPr>
          <w:ilvl w:val="0"/>
          <w:numId w:val="3"/>
        </w:numPr>
        <w:adjustRightInd/>
        <w:spacing w:after="205"/>
        <w:rPr>
          <w:rFonts w:asciiTheme="minorHAnsi" w:hAnsiTheme="minorHAnsi" w:cstheme="minorHAnsi"/>
          <w:color w:val="auto"/>
          <w:sz w:val="22"/>
          <w:szCs w:val="22"/>
        </w:rPr>
      </w:pPr>
      <w:r>
        <w:rPr>
          <w:rFonts w:asciiTheme="minorHAnsi" w:hAnsiTheme="minorHAnsi" w:cstheme="minorHAnsi"/>
          <w:color w:val="auto"/>
          <w:sz w:val="22"/>
          <w:szCs w:val="22"/>
        </w:rPr>
        <w:t>t</w:t>
      </w:r>
      <w:r w:rsidRPr="00D50878">
        <w:rPr>
          <w:rFonts w:asciiTheme="minorHAnsi" w:hAnsiTheme="minorHAnsi" w:cstheme="minorHAnsi"/>
          <w:color w:val="auto"/>
          <w:sz w:val="22"/>
          <w:szCs w:val="22"/>
        </w:rPr>
        <w:t>he burial and by extension the entire church site has particular significance because (rather than in spite) of this being a Christian burial in a church ground – this is highly significant given the “protectionist” policies of governments of the day which saw Aboriginal people excluded from mainstream society</w:t>
      </w:r>
      <w:r>
        <w:rPr>
          <w:rFonts w:asciiTheme="minorHAnsi" w:hAnsiTheme="minorHAnsi" w:cstheme="minorHAnsi"/>
          <w:color w:val="auto"/>
          <w:sz w:val="22"/>
          <w:szCs w:val="22"/>
        </w:rPr>
        <w:t>; and</w:t>
      </w:r>
    </w:p>
    <w:p w14:paraId="4574B1C9" w14:textId="77777777" w:rsidR="00971798" w:rsidRPr="00D50878" w:rsidRDefault="00971798" w:rsidP="00971798">
      <w:pPr>
        <w:pStyle w:val="Default"/>
        <w:numPr>
          <w:ilvl w:val="0"/>
          <w:numId w:val="3"/>
        </w:numPr>
        <w:adjustRightInd/>
        <w:spacing w:after="205"/>
        <w:rPr>
          <w:rFonts w:asciiTheme="minorHAnsi" w:hAnsiTheme="minorHAnsi" w:cstheme="minorHAnsi"/>
          <w:color w:val="auto"/>
          <w:sz w:val="22"/>
          <w:szCs w:val="22"/>
        </w:rPr>
      </w:pPr>
      <w:r>
        <w:rPr>
          <w:rFonts w:asciiTheme="minorHAnsi" w:hAnsiTheme="minorHAnsi" w:cstheme="minorHAnsi"/>
          <w:color w:val="auto"/>
          <w:sz w:val="22"/>
          <w:szCs w:val="22"/>
        </w:rPr>
        <w:t>t</w:t>
      </w:r>
      <w:r w:rsidRPr="00D50878">
        <w:rPr>
          <w:rFonts w:asciiTheme="minorHAnsi" w:hAnsiTheme="minorHAnsi" w:cstheme="minorHAnsi"/>
          <w:color w:val="auto"/>
          <w:sz w:val="22"/>
          <w:szCs w:val="22"/>
        </w:rPr>
        <w:t>here is high likelihood of other Aboriginal burials, primarily his descendants, on the site</w:t>
      </w:r>
      <w:r>
        <w:rPr>
          <w:rFonts w:asciiTheme="minorHAnsi" w:hAnsiTheme="minorHAnsi" w:cstheme="minorHAnsi"/>
          <w:color w:val="auto"/>
          <w:sz w:val="22"/>
          <w:szCs w:val="22"/>
        </w:rPr>
        <w:t xml:space="preserve">, which may be indicated by possible burial marker trees. </w:t>
      </w:r>
    </w:p>
    <w:p w14:paraId="28D554FF" w14:textId="77777777" w:rsidR="00971798" w:rsidRPr="00BF4F14" w:rsidRDefault="00971798" w:rsidP="00971798">
      <w:pPr>
        <w:pStyle w:val="Heading3"/>
        <w:spacing w:before="0"/>
        <w:jc w:val="both"/>
        <w:rPr>
          <w:rFonts w:asciiTheme="minorHAnsi" w:hAnsiTheme="minorHAnsi"/>
          <w:color w:val="000000" w:themeColor="text1"/>
        </w:rPr>
      </w:pPr>
      <w:r w:rsidRPr="00BF4F14">
        <w:rPr>
          <w:rFonts w:asciiTheme="minorHAnsi" w:hAnsiTheme="minorHAnsi"/>
          <w:color w:val="000000" w:themeColor="text1"/>
        </w:rPr>
        <w:lastRenderedPageBreak/>
        <w:t>Claimed threat of injury or desecration</w:t>
      </w:r>
    </w:p>
    <w:p w14:paraId="1B2A8079" w14:textId="77777777" w:rsidR="00971798" w:rsidRPr="00BF4F14" w:rsidRDefault="00971798" w:rsidP="00971798">
      <w:pPr>
        <w:spacing w:after="0"/>
        <w:jc w:val="both"/>
        <w:rPr>
          <w:color w:val="000000" w:themeColor="text1"/>
        </w:rPr>
      </w:pPr>
      <w:r w:rsidRPr="00BF4F14">
        <w:rPr>
          <w:color w:val="000000" w:themeColor="text1"/>
        </w:rPr>
        <w:t>The Applicant states that the potential injury or desecration is attributed to some of the activities that</w:t>
      </w:r>
      <w:r>
        <w:rPr>
          <w:color w:val="000000" w:themeColor="text1"/>
        </w:rPr>
        <w:t xml:space="preserve"> Bartlett &amp; Associates</w:t>
      </w:r>
      <w:r w:rsidRPr="00BF4F14">
        <w:rPr>
          <w:color w:val="000000" w:themeColor="text1"/>
        </w:rPr>
        <w:t xml:space="preserve"> has specified in </w:t>
      </w:r>
      <w:r>
        <w:rPr>
          <w:color w:val="000000" w:themeColor="text1"/>
        </w:rPr>
        <w:t>the proposed commercial and residential development</w:t>
      </w:r>
      <w:r w:rsidRPr="00BF4F14">
        <w:rPr>
          <w:color w:val="000000" w:themeColor="text1"/>
        </w:rPr>
        <w:t xml:space="preserve">. The threat is primarily attributed to </w:t>
      </w:r>
      <w:r>
        <w:rPr>
          <w:color w:val="000000" w:themeColor="text1"/>
        </w:rPr>
        <w:t xml:space="preserve">the demolition of a hall, the onsite relocation of the church and the rezoning of land to allow for further development. </w:t>
      </w:r>
      <w:r w:rsidRPr="00BF4F14">
        <w:rPr>
          <w:color w:val="000000" w:themeColor="text1"/>
        </w:rPr>
        <w:t xml:space="preserve">The Applicant states that </w:t>
      </w:r>
      <w:r>
        <w:rPr>
          <w:color w:val="000000" w:themeColor="text1"/>
        </w:rPr>
        <w:t xml:space="preserve">the proposed development works </w:t>
      </w:r>
      <w:r w:rsidRPr="00BF4F14">
        <w:rPr>
          <w:color w:val="000000" w:themeColor="text1"/>
        </w:rPr>
        <w:t xml:space="preserve">would injure and desecrate </w:t>
      </w:r>
      <w:r>
        <w:rPr>
          <w:color w:val="000000" w:themeColor="text1"/>
        </w:rPr>
        <w:t xml:space="preserve">grave sites. The Applicant concludes that until an independent Aboriginal cultural heritage report and ground penetrating radar report are completed, it is impossible to  know that development works will not impact on the graves. </w:t>
      </w:r>
    </w:p>
    <w:p w14:paraId="488F6086" w14:textId="77777777" w:rsidR="00971798" w:rsidRPr="00BF4F14" w:rsidRDefault="00971798" w:rsidP="00971798">
      <w:pPr>
        <w:spacing w:after="0"/>
        <w:jc w:val="both"/>
        <w:rPr>
          <w:color w:val="000000" w:themeColor="text1"/>
        </w:rPr>
      </w:pPr>
    </w:p>
    <w:p w14:paraId="3F76C1DB" w14:textId="77777777" w:rsidR="00971798" w:rsidRPr="00BF4F14" w:rsidRDefault="00971798" w:rsidP="00971798">
      <w:pPr>
        <w:pStyle w:val="Heading3"/>
        <w:spacing w:before="0"/>
        <w:jc w:val="both"/>
        <w:rPr>
          <w:rFonts w:asciiTheme="minorHAnsi" w:hAnsiTheme="minorHAnsi"/>
          <w:color w:val="000000" w:themeColor="text1"/>
        </w:rPr>
      </w:pPr>
      <w:r w:rsidRPr="00BF4F14">
        <w:rPr>
          <w:rFonts w:asciiTheme="minorHAnsi" w:hAnsiTheme="minorHAnsi"/>
          <w:color w:val="000000" w:themeColor="text1"/>
        </w:rPr>
        <w:t>Invitation to make representations</w:t>
      </w:r>
    </w:p>
    <w:p w14:paraId="49F7CBD8" w14:textId="77777777" w:rsidR="00971798" w:rsidRPr="00BF4F14" w:rsidRDefault="00971798" w:rsidP="00971798">
      <w:pPr>
        <w:jc w:val="both"/>
        <w:rPr>
          <w:color w:val="000000" w:themeColor="text1"/>
        </w:rPr>
      </w:pPr>
      <w:r w:rsidRPr="00BF4F14">
        <w:rPr>
          <w:color w:val="000000" w:themeColor="text1"/>
        </w:rPr>
        <w:t>Interested persons are invited to furnish representations in connection with my report to:</w:t>
      </w:r>
    </w:p>
    <w:p w14:paraId="4253FCC7" w14:textId="77777777" w:rsidR="00971798" w:rsidRPr="00A50F73" w:rsidRDefault="00971798" w:rsidP="00971798">
      <w:pPr>
        <w:spacing w:after="0"/>
        <w:rPr>
          <w:color w:val="000000" w:themeColor="text1"/>
        </w:rPr>
      </w:pPr>
      <w:r w:rsidRPr="00A50F73">
        <w:rPr>
          <w:color w:val="000000" w:themeColor="text1"/>
        </w:rPr>
        <w:t>David</w:t>
      </w:r>
      <w:r>
        <w:rPr>
          <w:color w:val="000000" w:themeColor="text1"/>
        </w:rPr>
        <w:t xml:space="preserve"> </w:t>
      </w:r>
      <w:r w:rsidRPr="00A50F73">
        <w:rPr>
          <w:color w:val="000000" w:themeColor="text1"/>
        </w:rPr>
        <w:t>Williams</w:t>
      </w:r>
      <w:r w:rsidRPr="00A50F73">
        <w:rPr>
          <w:color w:val="000000" w:themeColor="text1"/>
        </w:rPr>
        <w:br/>
        <w:t>Principal Consultant</w:t>
      </w:r>
      <w:r>
        <w:rPr>
          <w:color w:val="000000" w:themeColor="text1"/>
        </w:rPr>
        <w:t xml:space="preserve">, </w:t>
      </w:r>
      <w:proofErr w:type="spellStart"/>
      <w:r>
        <w:rPr>
          <w:color w:val="000000" w:themeColor="text1"/>
        </w:rPr>
        <w:t>Clansadale</w:t>
      </w:r>
      <w:proofErr w:type="spellEnd"/>
      <w:r>
        <w:rPr>
          <w:color w:val="000000" w:themeColor="text1"/>
        </w:rPr>
        <w:t xml:space="preserve"> Consulting</w:t>
      </w:r>
      <w:r w:rsidRPr="00A50F73">
        <w:rPr>
          <w:color w:val="000000" w:themeColor="text1"/>
        </w:rPr>
        <w:br/>
        <w:t>PO Box 334 Curtin</w:t>
      </w:r>
      <w:r>
        <w:rPr>
          <w:color w:val="000000" w:themeColor="text1"/>
        </w:rPr>
        <w:t>, ACT,</w:t>
      </w:r>
      <w:r w:rsidRPr="00A50F73">
        <w:rPr>
          <w:color w:val="000000" w:themeColor="text1"/>
        </w:rPr>
        <w:t xml:space="preserve"> 2605</w:t>
      </w:r>
    </w:p>
    <w:p w14:paraId="2B1539EF" w14:textId="77777777" w:rsidR="00971798" w:rsidRPr="00A50F73" w:rsidRDefault="00971798" w:rsidP="00971798">
      <w:pPr>
        <w:spacing w:after="0"/>
        <w:jc w:val="both"/>
        <w:rPr>
          <w:color w:val="000000" w:themeColor="text1"/>
        </w:rPr>
      </w:pPr>
    </w:p>
    <w:p w14:paraId="685C3EEB" w14:textId="77777777" w:rsidR="00971798" w:rsidRPr="00A50F73" w:rsidRDefault="00971798" w:rsidP="00971798">
      <w:pPr>
        <w:spacing w:after="0"/>
        <w:jc w:val="both"/>
        <w:rPr>
          <w:color w:val="000000" w:themeColor="text1"/>
        </w:rPr>
      </w:pPr>
      <w:r>
        <w:rPr>
          <w:color w:val="000000" w:themeColor="text1"/>
        </w:rPr>
        <w:t xml:space="preserve">Ph: </w:t>
      </w:r>
      <w:r w:rsidRPr="00A50F73">
        <w:rPr>
          <w:color w:val="000000" w:themeColor="text1"/>
        </w:rPr>
        <w:t xml:space="preserve">0407 430 138 </w:t>
      </w:r>
    </w:p>
    <w:p w14:paraId="35E6A6F2" w14:textId="77777777" w:rsidR="00971798" w:rsidRDefault="00971798" w:rsidP="00971798">
      <w:pPr>
        <w:spacing w:after="0"/>
        <w:jc w:val="both"/>
        <w:rPr>
          <w:color w:val="000000" w:themeColor="text1"/>
        </w:rPr>
      </w:pPr>
      <w:r>
        <w:t xml:space="preserve">Email: </w:t>
      </w:r>
      <w:hyperlink r:id="rId9" w:history="1">
        <w:r>
          <w:rPr>
            <w:rFonts w:ascii="ZWAdobeF" w:hAnsi="ZWAdobeF" w:cs="ZWAdobeF"/>
            <w:sz w:val="2"/>
            <w:szCs w:val="2"/>
          </w:rPr>
          <w:t>31TU</w:t>
        </w:r>
        <w:r w:rsidRPr="00C02E27">
          <w:rPr>
            <w:rStyle w:val="Hyperlink"/>
          </w:rPr>
          <w:t>clansadale@iinet.net.au</w:t>
        </w:r>
      </w:hyperlink>
      <w:r w:rsidRPr="007B3FAD">
        <w:rPr>
          <w:rStyle w:val="Hyperlink"/>
          <w:rFonts w:ascii="ZWAdobeF" w:hAnsi="ZWAdobeF" w:cs="ZWAdobeF"/>
          <w:sz w:val="2"/>
          <w:szCs w:val="2"/>
        </w:rPr>
        <w:t>U31T</w:t>
      </w:r>
    </w:p>
    <w:p w14:paraId="6C9F6921" w14:textId="77777777" w:rsidR="00971798" w:rsidRPr="00BF4F14" w:rsidRDefault="00971798" w:rsidP="00971798">
      <w:pPr>
        <w:spacing w:after="0"/>
        <w:jc w:val="both"/>
        <w:rPr>
          <w:color w:val="000000" w:themeColor="text1"/>
        </w:rPr>
      </w:pPr>
    </w:p>
    <w:p w14:paraId="3A910150" w14:textId="77777777" w:rsidR="00971798" w:rsidRPr="00BF4F14" w:rsidRDefault="00971798" w:rsidP="00971798">
      <w:pPr>
        <w:jc w:val="both"/>
        <w:rPr>
          <w:b/>
          <w:color w:val="000000" w:themeColor="text1"/>
        </w:rPr>
      </w:pPr>
      <w:r w:rsidRPr="00BF4F14">
        <w:rPr>
          <w:color w:val="000000" w:themeColor="text1"/>
        </w:rPr>
        <w:t xml:space="preserve">Representations must be made in writing by </w:t>
      </w:r>
      <w:r>
        <w:rPr>
          <w:color w:val="000000" w:themeColor="text1"/>
        </w:rPr>
        <w:t>5pm on</w:t>
      </w:r>
      <w:r w:rsidRPr="00BF4F14">
        <w:rPr>
          <w:color w:val="000000" w:themeColor="text1"/>
        </w:rPr>
        <w:t xml:space="preserve"> </w:t>
      </w:r>
      <w:r>
        <w:rPr>
          <w:color w:val="000000" w:themeColor="text1"/>
        </w:rPr>
        <w:t>Wednesday the 15</w:t>
      </w:r>
      <w:r>
        <w:rPr>
          <w:rFonts w:ascii="ZWAdobeF" w:hAnsi="ZWAdobeF" w:cs="ZWAdobeF"/>
          <w:sz w:val="2"/>
          <w:szCs w:val="2"/>
        </w:rPr>
        <w:t>P</w:t>
      </w:r>
      <w:r w:rsidRPr="00BE15C4">
        <w:rPr>
          <w:color w:val="000000" w:themeColor="text1"/>
          <w:vertAlign w:val="superscript"/>
        </w:rPr>
        <w:t>th</w:t>
      </w:r>
      <w:r>
        <w:rPr>
          <w:rFonts w:ascii="ZWAdobeF" w:hAnsi="ZWAdobeF" w:cs="ZWAdobeF"/>
          <w:sz w:val="2"/>
          <w:szCs w:val="2"/>
        </w:rPr>
        <w:t>P</w:t>
      </w:r>
      <w:r>
        <w:rPr>
          <w:color w:val="000000" w:themeColor="text1"/>
        </w:rPr>
        <w:t xml:space="preserve"> of July 2020</w:t>
      </w:r>
      <w:r w:rsidRPr="00BF4F14">
        <w:rPr>
          <w:color w:val="000000" w:themeColor="text1"/>
        </w:rPr>
        <w:t xml:space="preserve"> or within such further period as may be allowed. </w:t>
      </w:r>
      <w:r>
        <w:rPr>
          <w:b/>
          <w:color w:val="000000" w:themeColor="text1"/>
        </w:rPr>
        <w:t>Do</w:t>
      </w:r>
      <w:r w:rsidRPr="00BF4F14">
        <w:rPr>
          <w:b/>
          <w:color w:val="000000" w:themeColor="text1"/>
        </w:rPr>
        <w:t xml:space="preserve"> not send your representations directly to the Minister.</w:t>
      </w:r>
    </w:p>
    <w:p w14:paraId="1C858898" w14:textId="3CB2B609" w:rsidR="004B2753" w:rsidRPr="00971798" w:rsidRDefault="00971798" w:rsidP="00971798">
      <w:pPr>
        <w:jc w:val="both"/>
        <w:rPr>
          <w:iCs/>
          <w:color w:val="000000" w:themeColor="text1"/>
        </w:rPr>
      </w:pPr>
      <w:r w:rsidRPr="00BF4F14">
        <w:rPr>
          <w:iCs/>
          <w:color w:val="000000" w:themeColor="text1"/>
        </w:rPr>
        <w:t xml:space="preserve">If you wish to claim confidentiality over any part of your representation, please identify why you are claiming confidentiality and how you wish confidentiality to apply. </w:t>
      </w:r>
      <w:r w:rsidRPr="00BF4F14">
        <w:rPr>
          <w:color w:val="000000" w:themeColor="text1"/>
        </w:rPr>
        <w:t xml:space="preserve"> Representations will be provided to the Minister for the Environment and the Department of </w:t>
      </w:r>
      <w:r>
        <w:rPr>
          <w:color w:val="000000" w:themeColor="text1"/>
        </w:rPr>
        <w:t>Agriculture, Water and the</w:t>
      </w:r>
      <w:r w:rsidRPr="00BF4F14">
        <w:rPr>
          <w:color w:val="000000" w:themeColor="text1"/>
        </w:rPr>
        <w:t xml:space="preserve"> Environment, along with the section 10 report. Representations, even those subject to confidentiality, may be disclosed where it is authorised or required by law, to meet procedural fairness requirements, and in response to a request by a House or Committee of the Parliament of the Commonwealth.</w:t>
      </w:r>
    </w:p>
    <w:sectPr w:rsidR="004B2753" w:rsidRPr="00971798" w:rsidSect="008E4F6C">
      <w:headerReference w:type="first" r:id="rId10"/>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CE641" w14:textId="77777777" w:rsidR="008F2038" w:rsidRDefault="008F2038" w:rsidP="003A707F">
      <w:pPr>
        <w:spacing w:after="0" w:line="240" w:lineRule="auto"/>
      </w:pPr>
      <w:r>
        <w:separator/>
      </w:r>
    </w:p>
  </w:endnote>
  <w:endnote w:type="continuationSeparator" w:id="0">
    <w:p w14:paraId="23D70957" w14:textId="77777777" w:rsidR="008F2038" w:rsidRDefault="008F2038"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97DDAAA3-AC1E-477F-A600-30462345F120}"/>
    <w:embedBold r:id="rId2" w:fontKey="{6B66708F-7975-4E64-8F31-4F62F0846AC0}"/>
    <w:embedItalic r:id="rId3" w:fontKey="{94D8AFFA-4118-43E4-8DCE-3779B1ECDB52}"/>
    <w:embedBoldItalic r:id="rId4" w:fontKey="{522CA76F-2B04-4AB8-8E3E-6F6938FF8693}"/>
  </w:font>
  <w:font w:name="Tahoma">
    <w:panose1 w:val="020B0604030504040204"/>
    <w:charset w:val="00"/>
    <w:family w:val="swiss"/>
    <w:pitch w:val="variable"/>
    <w:sig w:usb0="E1002EFF" w:usb1="C000605B" w:usb2="00000029" w:usb3="00000000" w:csb0="000101FF" w:csb1="00000000"/>
  </w:font>
  <w:font w:name="ZWAdobeF">
    <w:panose1 w:val="00000000000000000000"/>
    <w:charset w:val="00"/>
    <w:family w:val="auto"/>
    <w:pitch w:val="variable"/>
    <w:sig w:usb0="20002A87" w:usb1="00000000" w:usb2="00000000" w:usb3="00000000" w:csb0="000001FF" w:csb1="00000000"/>
    <w:embedRegular r:id="rId5" w:subsetted="1" w:fontKey="{74AB03E5-53C5-49BD-A36B-3D3A720E9E4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4EE8F8" w14:textId="77777777" w:rsidR="008F2038" w:rsidRDefault="008F2038" w:rsidP="003A707F">
      <w:pPr>
        <w:spacing w:after="0" w:line="240" w:lineRule="auto"/>
      </w:pPr>
      <w:r>
        <w:separator/>
      </w:r>
    </w:p>
  </w:footnote>
  <w:footnote w:type="continuationSeparator" w:id="0">
    <w:p w14:paraId="191BFA46" w14:textId="77777777" w:rsidR="008F2038" w:rsidRDefault="008F2038"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541805A7"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4952F9CE" w14:textId="77777777" w:rsidR="00F40885" w:rsidRPr="00CE796A" w:rsidRDefault="00F40885" w:rsidP="00840A06">
          <w:pPr>
            <w:spacing w:before="60" w:after="0"/>
            <w:ind w:left="-51"/>
            <w:rPr>
              <w:rFonts w:ascii="Arial" w:hAnsi="Arial"/>
              <w:sz w:val="12"/>
            </w:rPr>
          </w:pPr>
          <w:bookmarkStart w:id="1" w:name="OLE_LINK2"/>
          <w:r>
            <w:rPr>
              <w:rFonts w:ascii="Arial" w:hAnsi="Arial"/>
              <w:noProof/>
              <w:sz w:val="12"/>
              <w:lang w:eastAsia="en-AU"/>
            </w:rPr>
            <w:drawing>
              <wp:inline distT="0" distB="0" distL="0" distR="0" wp14:anchorId="4B6859D7" wp14:editId="7D4B782D">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0F462210"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10958B91"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2D8AC7AB"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389DB88D" w14:textId="77777777" w:rsidR="00F40885" w:rsidRPr="00CE796A" w:rsidRDefault="00F40885" w:rsidP="00840A06">
          <w:pPr>
            <w:spacing w:after="0"/>
            <w:ind w:left="-51"/>
            <w:rPr>
              <w:rFonts w:ascii="Arial" w:hAnsi="Arial" w:cs="Arial"/>
              <w:sz w:val="14"/>
              <w:szCs w:val="14"/>
            </w:rPr>
          </w:pPr>
          <w:bookmarkStart w:id="2" w:name="GazNo"/>
          <w:bookmarkEnd w:id="2"/>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15BDCDBF"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1"/>
  </w:tbl>
  <w:p w14:paraId="401AB633" w14:textId="77777777" w:rsidR="00F40885" w:rsidRPr="003A707F" w:rsidRDefault="00F40885" w:rsidP="00F40885">
    <w:pPr>
      <w:pStyle w:val="Header"/>
      <w:rPr>
        <w:sz w:val="2"/>
        <w:szCs w:val="2"/>
      </w:rPr>
    </w:pPr>
  </w:p>
  <w:p w14:paraId="5BCC9C84"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B24A83"/>
    <w:multiLevelType w:val="hybridMultilevel"/>
    <w:tmpl w:val="5B4853C4"/>
    <w:lvl w:ilvl="0" w:tplc="438CE4B2">
      <w:start w:val="1"/>
      <w:numFmt w:val="lowerLetter"/>
      <w:lvlText w:val="(%1)"/>
      <w:lvlJc w:val="left"/>
      <w:pPr>
        <w:tabs>
          <w:tab w:val="num" w:pos="930"/>
        </w:tabs>
        <w:ind w:left="930" w:hanging="570"/>
      </w:pPr>
      <w:rPr>
        <w:rFonts w:cs="Times New Roman" w:hint="default"/>
      </w:rPr>
    </w:lvl>
    <w:lvl w:ilvl="1" w:tplc="36AA8AF2" w:tentative="1">
      <w:start w:val="1"/>
      <w:numFmt w:val="lowerLetter"/>
      <w:lvlText w:val="%2."/>
      <w:lvlJc w:val="left"/>
      <w:pPr>
        <w:tabs>
          <w:tab w:val="num" w:pos="1440"/>
        </w:tabs>
        <w:ind w:left="1440" w:hanging="360"/>
      </w:pPr>
      <w:rPr>
        <w:rFonts w:cs="Times New Roman"/>
      </w:rPr>
    </w:lvl>
    <w:lvl w:ilvl="2" w:tplc="D338930A" w:tentative="1">
      <w:start w:val="1"/>
      <w:numFmt w:val="lowerRoman"/>
      <w:lvlText w:val="%3."/>
      <w:lvlJc w:val="right"/>
      <w:pPr>
        <w:tabs>
          <w:tab w:val="num" w:pos="2160"/>
        </w:tabs>
        <w:ind w:left="2160" w:hanging="180"/>
      </w:pPr>
      <w:rPr>
        <w:rFonts w:cs="Times New Roman"/>
      </w:rPr>
    </w:lvl>
    <w:lvl w:ilvl="3" w:tplc="57C22F86" w:tentative="1">
      <w:start w:val="1"/>
      <w:numFmt w:val="decimal"/>
      <w:lvlText w:val="%4."/>
      <w:lvlJc w:val="left"/>
      <w:pPr>
        <w:tabs>
          <w:tab w:val="num" w:pos="2880"/>
        </w:tabs>
        <w:ind w:left="2880" w:hanging="360"/>
      </w:pPr>
      <w:rPr>
        <w:rFonts w:cs="Times New Roman"/>
      </w:rPr>
    </w:lvl>
    <w:lvl w:ilvl="4" w:tplc="8E7A56EE" w:tentative="1">
      <w:start w:val="1"/>
      <w:numFmt w:val="lowerLetter"/>
      <w:lvlText w:val="%5."/>
      <w:lvlJc w:val="left"/>
      <w:pPr>
        <w:tabs>
          <w:tab w:val="num" w:pos="3600"/>
        </w:tabs>
        <w:ind w:left="3600" w:hanging="360"/>
      </w:pPr>
      <w:rPr>
        <w:rFonts w:cs="Times New Roman"/>
      </w:rPr>
    </w:lvl>
    <w:lvl w:ilvl="5" w:tplc="3A66E4A8" w:tentative="1">
      <w:start w:val="1"/>
      <w:numFmt w:val="lowerRoman"/>
      <w:lvlText w:val="%6."/>
      <w:lvlJc w:val="right"/>
      <w:pPr>
        <w:tabs>
          <w:tab w:val="num" w:pos="4320"/>
        </w:tabs>
        <w:ind w:left="4320" w:hanging="180"/>
      </w:pPr>
      <w:rPr>
        <w:rFonts w:cs="Times New Roman"/>
      </w:rPr>
    </w:lvl>
    <w:lvl w:ilvl="6" w:tplc="8E7004DC" w:tentative="1">
      <w:start w:val="1"/>
      <w:numFmt w:val="decimal"/>
      <w:lvlText w:val="%7."/>
      <w:lvlJc w:val="left"/>
      <w:pPr>
        <w:tabs>
          <w:tab w:val="num" w:pos="5040"/>
        </w:tabs>
        <w:ind w:left="5040" w:hanging="360"/>
      </w:pPr>
      <w:rPr>
        <w:rFonts w:cs="Times New Roman"/>
      </w:rPr>
    </w:lvl>
    <w:lvl w:ilvl="7" w:tplc="EC5C317E" w:tentative="1">
      <w:start w:val="1"/>
      <w:numFmt w:val="lowerLetter"/>
      <w:lvlText w:val="%8."/>
      <w:lvlJc w:val="left"/>
      <w:pPr>
        <w:tabs>
          <w:tab w:val="num" w:pos="5760"/>
        </w:tabs>
        <w:ind w:left="5760" w:hanging="360"/>
      </w:pPr>
      <w:rPr>
        <w:rFonts w:cs="Times New Roman"/>
      </w:rPr>
    </w:lvl>
    <w:lvl w:ilvl="8" w:tplc="1D8A9F00" w:tentative="1">
      <w:start w:val="1"/>
      <w:numFmt w:val="lowerRoman"/>
      <w:lvlText w:val="%9."/>
      <w:lvlJc w:val="right"/>
      <w:pPr>
        <w:tabs>
          <w:tab w:val="num" w:pos="6480"/>
        </w:tabs>
        <w:ind w:left="6480" w:hanging="180"/>
      </w:pPr>
      <w:rPr>
        <w:rFonts w:cs="Times New Roman"/>
      </w:rPr>
    </w:lvl>
  </w:abstractNum>
  <w:abstractNum w:abstractNumId="1" w15:restartNumberingAfterBreak="0">
    <w:nsid w:val="33F86AB7"/>
    <w:multiLevelType w:val="hybridMultilevel"/>
    <w:tmpl w:val="7C38D6EA"/>
    <w:lvl w:ilvl="0" w:tplc="6D969B4E">
      <w:start w:val="3"/>
      <w:numFmt w:val="lowerLetter"/>
      <w:lvlText w:val="(%1)"/>
      <w:lvlJc w:val="left"/>
      <w:pPr>
        <w:tabs>
          <w:tab w:val="num" w:pos="930"/>
        </w:tabs>
        <w:ind w:left="930" w:hanging="570"/>
      </w:pPr>
      <w:rPr>
        <w:rFonts w:cs="Times New Roman" w:hint="default"/>
      </w:rPr>
    </w:lvl>
    <w:lvl w:ilvl="1" w:tplc="9BF0C8C6" w:tentative="1">
      <w:start w:val="1"/>
      <w:numFmt w:val="lowerLetter"/>
      <w:lvlText w:val="%2."/>
      <w:lvlJc w:val="left"/>
      <w:pPr>
        <w:tabs>
          <w:tab w:val="num" w:pos="1440"/>
        </w:tabs>
        <w:ind w:left="1440" w:hanging="360"/>
      </w:pPr>
      <w:rPr>
        <w:rFonts w:cs="Times New Roman"/>
      </w:rPr>
    </w:lvl>
    <w:lvl w:ilvl="2" w:tplc="C9FC62C2" w:tentative="1">
      <w:start w:val="1"/>
      <w:numFmt w:val="lowerRoman"/>
      <w:lvlText w:val="%3."/>
      <w:lvlJc w:val="right"/>
      <w:pPr>
        <w:tabs>
          <w:tab w:val="num" w:pos="2160"/>
        </w:tabs>
        <w:ind w:left="2160" w:hanging="180"/>
      </w:pPr>
      <w:rPr>
        <w:rFonts w:cs="Times New Roman"/>
      </w:rPr>
    </w:lvl>
    <w:lvl w:ilvl="3" w:tplc="37F8B468" w:tentative="1">
      <w:start w:val="1"/>
      <w:numFmt w:val="decimal"/>
      <w:lvlText w:val="%4."/>
      <w:lvlJc w:val="left"/>
      <w:pPr>
        <w:tabs>
          <w:tab w:val="num" w:pos="2880"/>
        </w:tabs>
        <w:ind w:left="2880" w:hanging="360"/>
      </w:pPr>
      <w:rPr>
        <w:rFonts w:cs="Times New Roman"/>
      </w:rPr>
    </w:lvl>
    <w:lvl w:ilvl="4" w:tplc="7AD82C76" w:tentative="1">
      <w:start w:val="1"/>
      <w:numFmt w:val="lowerLetter"/>
      <w:lvlText w:val="%5."/>
      <w:lvlJc w:val="left"/>
      <w:pPr>
        <w:tabs>
          <w:tab w:val="num" w:pos="3600"/>
        </w:tabs>
        <w:ind w:left="3600" w:hanging="360"/>
      </w:pPr>
      <w:rPr>
        <w:rFonts w:cs="Times New Roman"/>
      </w:rPr>
    </w:lvl>
    <w:lvl w:ilvl="5" w:tplc="FD02C070" w:tentative="1">
      <w:start w:val="1"/>
      <w:numFmt w:val="lowerRoman"/>
      <w:lvlText w:val="%6."/>
      <w:lvlJc w:val="right"/>
      <w:pPr>
        <w:tabs>
          <w:tab w:val="num" w:pos="4320"/>
        </w:tabs>
        <w:ind w:left="4320" w:hanging="180"/>
      </w:pPr>
      <w:rPr>
        <w:rFonts w:cs="Times New Roman"/>
      </w:rPr>
    </w:lvl>
    <w:lvl w:ilvl="6" w:tplc="141E3594" w:tentative="1">
      <w:start w:val="1"/>
      <w:numFmt w:val="decimal"/>
      <w:lvlText w:val="%7."/>
      <w:lvlJc w:val="left"/>
      <w:pPr>
        <w:tabs>
          <w:tab w:val="num" w:pos="5040"/>
        </w:tabs>
        <w:ind w:left="5040" w:hanging="360"/>
      </w:pPr>
      <w:rPr>
        <w:rFonts w:cs="Times New Roman"/>
      </w:rPr>
    </w:lvl>
    <w:lvl w:ilvl="7" w:tplc="C5CA897E" w:tentative="1">
      <w:start w:val="1"/>
      <w:numFmt w:val="lowerLetter"/>
      <w:lvlText w:val="%8."/>
      <w:lvlJc w:val="left"/>
      <w:pPr>
        <w:tabs>
          <w:tab w:val="num" w:pos="5760"/>
        </w:tabs>
        <w:ind w:left="5760" w:hanging="360"/>
      </w:pPr>
      <w:rPr>
        <w:rFonts w:cs="Times New Roman"/>
      </w:rPr>
    </w:lvl>
    <w:lvl w:ilvl="8" w:tplc="1312FF04" w:tentative="1">
      <w:start w:val="1"/>
      <w:numFmt w:val="lowerRoman"/>
      <w:lvlText w:val="%9."/>
      <w:lvlJc w:val="right"/>
      <w:pPr>
        <w:tabs>
          <w:tab w:val="num" w:pos="6480"/>
        </w:tabs>
        <w:ind w:left="6480" w:hanging="180"/>
      </w:pPr>
      <w:rPr>
        <w:rFonts w:cs="Times New Roman"/>
      </w:rPr>
    </w:lvl>
  </w:abstractNum>
  <w:abstractNum w:abstractNumId="2" w15:restartNumberingAfterBreak="0">
    <w:nsid w:val="630031BE"/>
    <w:multiLevelType w:val="hybridMultilevel"/>
    <w:tmpl w:val="1570E6E2"/>
    <w:lvl w:ilvl="0" w:tplc="2CB44B24">
      <w:start w:val="1"/>
      <w:numFmt w:val="bullet"/>
      <w:lvlText w:val=""/>
      <w:lvlJc w:val="left"/>
      <w:pPr>
        <w:ind w:left="720" w:hanging="360"/>
      </w:pPr>
      <w:rPr>
        <w:rFonts w:ascii="Symbol" w:hAnsi="Symbol" w:hint="default"/>
      </w:rPr>
    </w:lvl>
    <w:lvl w:ilvl="1" w:tplc="00C6F440">
      <w:start w:val="1"/>
      <w:numFmt w:val="decimal"/>
      <w:lvlText w:val="%2."/>
      <w:lvlJc w:val="left"/>
      <w:pPr>
        <w:tabs>
          <w:tab w:val="num" w:pos="1440"/>
        </w:tabs>
        <w:ind w:left="1440" w:hanging="360"/>
      </w:pPr>
    </w:lvl>
    <w:lvl w:ilvl="2" w:tplc="03F6542E">
      <w:start w:val="1"/>
      <w:numFmt w:val="decimal"/>
      <w:lvlText w:val="%3."/>
      <w:lvlJc w:val="left"/>
      <w:pPr>
        <w:tabs>
          <w:tab w:val="num" w:pos="2160"/>
        </w:tabs>
        <w:ind w:left="2160" w:hanging="360"/>
      </w:pPr>
    </w:lvl>
    <w:lvl w:ilvl="3" w:tplc="CB1EE926">
      <w:start w:val="1"/>
      <w:numFmt w:val="decimal"/>
      <w:lvlText w:val="%4."/>
      <w:lvlJc w:val="left"/>
      <w:pPr>
        <w:tabs>
          <w:tab w:val="num" w:pos="2880"/>
        </w:tabs>
        <w:ind w:left="2880" w:hanging="360"/>
      </w:pPr>
    </w:lvl>
    <w:lvl w:ilvl="4" w:tplc="059232D6">
      <w:start w:val="1"/>
      <w:numFmt w:val="decimal"/>
      <w:lvlText w:val="%5."/>
      <w:lvlJc w:val="left"/>
      <w:pPr>
        <w:tabs>
          <w:tab w:val="num" w:pos="3600"/>
        </w:tabs>
        <w:ind w:left="3600" w:hanging="360"/>
      </w:pPr>
    </w:lvl>
    <w:lvl w:ilvl="5" w:tplc="933A7DC8">
      <w:start w:val="1"/>
      <w:numFmt w:val="decimal"/>
      <w:lvlText w:val="%6."/>
      <w:lvlJc w:val="left"/>
      <w:pPr>
        <w:tabs>
          <w:tab w:val="num" w:pos="4320"/>
        </w:tabs>
        <w:ind w:left="4320" w:hanging="360"/>
      </w:pPr>
    </w:lvl>
    <w:lvl w:ilvl="6" w:tplc="EA80F932">
      <w:start w:val="1"/>
      <w:numFmt w:val="decimal"/>
      <w:lvlText w:val="%7."/>
      <w:lvlJc w:val="left"/>
      <w:pPr>
        <w:tabs>
          <w:tab w:val="num" w:pos="5040"/>
        </w:tabs>
        <w:ind w:left="5040" w:hanging="360"/>
      </w:pPr>
    </w:lvl>
    <w:lvl w:ilvl="7" w:tplc="B340258A">
      <w:start w:val="1"/>
      <w:numFmt w:val="decimal"/>
      <w:lvlText w:val="%8."/>
      <w:lvlJc w:val="left"/>
      <w:pPr>
        <w:tabs>
          <w:tab w:val="num" w:pos="5760"/>
        </w:tabs>
        <w:ind w:left="5760" w:hanging="360"/>
      </w:pPr>
    </w:lvl>
    <w:lvl w:ilvl="8" w:tplc="68FC17F8">
      <w:start w:val="1"/>
      <w:numFmt w:val="decimal"/>
      <w:lvlText w:val="%9."/>
      <w:lvlJc w:val="left"/>
      <w:pPr>
        <w:tabs>
          <w:tab w:val="num" w:pos="6480"/>
        </w:tabs>
        <w:ind w:left="6480" w:hanging="360"/>
      </w:pPr>
    </w:lvl>
  </w:abstractNum>
  <w:num w:numId="1">
    <w:abstractNumId w:val="1"/>
  </w:num>
  <w:num w:numId="2">
    <w:abstractNumId w:val="0"/>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saveSubsetFonts/>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C2AAD"/>
    <w:rsid w:val="001F6E54"/>
    <w:rsid w:val="00280BCD"/>
    <w:rsid w:val="003A707F"/>
    <w:rsid w:val="003B0EC1"/>
    <w:rsid w:val="003B573B"/>
    <w:rsid w:val="003F2CBD"/>
    <w:rsid w:val="00424B97"/>
    <w:rsid w:val="004B2753"/>
    <w:rsid w:val="00520873"/>
    <w:rsid w:val="00573D44"/>
    <w:rsid w:val="00710FC7"/>
    <w:rsid w:val="00840A06"/>
    <w:rsid w:val="008439B7"/>
    <w:rsid w:val="0087253F"/>
    <w:rsid w:val="00885DB1"/>
    <w:rsid w:val="008E4F6C"/>
    <w:rsid w:val="008F2038"/>
    <w:rsid w:val="009539C7"/>
    <w:rsid w:val="00971798"/>
    <w:rsid w:val="00A00F21"/>
    <w:rsid w:val="00B84226"/>
    <w:rsid w:val="00BE7780"/>
    <w:rsid w:val="00C63C4E"/>
    <w:rsid w:val="00C72C30"/>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DA2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3">
    <w:name w:val="heading 3"/>
    <w:basedOn w:val="Normal"/>
    <w:next w:val="Normal"/>
    <w:link w:val="Heading3Char"/>
    <w:uiPriority w:val="99"/>
    <w:qFormat/>
    <w:rsid w:val="00971798"/>
    <w:pPr>
      <w:keepNext/>
      <w:keepLines/>
      <w:spacing w:before="200" w:after="0"/>
      <w:outlineLvl w:val="2"/>
    </w:pPr>
    <w:rPr>
      <w:rFonts w:ascii="Times New Roman" w:eastAsia="Times New Roman" w:hAnsi="Times New Roman" w:cs="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Heading3Char">
    <w:name w:val="Heading 3 Char"/>
    <w:basedOn w:val="DefaultParagraphFont"/>
    <w:link w:val="Heading3"/>
    <w:uiPriority w:val="99"/>
    <w:rsid w:val="00971798"/>
    <w:rPr>
      <w:rFonts w:ascii="Times New Roman" w:eastAsia="Times New Roman" w:hAnsi="Times New Roman" w:cs="Times New Roman"/>
      <w:b/>
      <w:bCs/>
      <w:sz w:val="24"/>
    </w:rPr>
  </w:style>
  <w:style w:type="character" w:styleId="Hyperlink">
    <w:name w:val="Hyperlink"/>
    <w:basedOn w:val="DefaultParagraphFont"/>
    <w:uiPriority w:val="99"/>
    <w:unhideWhenUsed/>
    <w:rsid w:val="00971798"/>
    <w:rPr>
      <w:color w:val="0000FF" w:themeColor="hyperlink"/>
      <w:u w:val="single"/>
    </w:rPr>
  </w:style>
  <w:style w:type="paragraph" w:customStyle="1" w:styleId="Default">
    <w:name w:val="Default"/>
    <w:rsid w:val="00971798"/>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971798"/>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lansadale@iinet.net.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9DAC3-66C7-4C3C-B718-344BCAC87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B0930EC9.dotm</Template>
  <TotalTime>0</TotalTime>
  <Pages>3</Pages>
  <Words>884</Words>
  <Characters>5045</Characters>
  <Application>Microsoft Office Word</Application>
  <DocSecurity>0</DocSecurity>
  <PresentationFormat/>
  <Lines>42</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5918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2020-06-22T05:53:00Z</dcterms:created>
  <dcterms:modified xsi:type="dcterms:W3CDTF">2020-06-22T05:53:00Z</dcterms:modified>
  <cp:category/>
  <cp:contentStatus/>
  <dc:language/>
  <cp:version/>
</cp:coreProperties>
</file>