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0F4" w:rsidRPr="006076F5" w:rsidRDefault="00A357C6" w:rsidP="0042217E">
      <w:pPr>
        <w:contextualSpacing/>
        <w:jc w:val="both"/>
        <w:rPr>
          <w:b/>
          <w:sz w:val="28"/>
          <w:szCs w:val="28"/>
          <w:lang w:val="en-US"/>
        </w:rPr>
      </w:pPr>
      <w:r w:rsidRPr="006076F5">
        <w:rPr>
          <w:b/>
          <w:sz w:val="28"/>
          <w:szCs w:val="28"/>
          <w:lang w:val="en-US"/>
        </w:rPr>
        <w:t>NATIONAL HEAVY VEHICLE LAW</w:t>
      </w:r>
    </w:p>
    <w:p w:rsidR="00A357C6" w:rsidRDefault="00761718" w:rsidP="0042217E">
      <w:pPr>
        <w:contextualSpacing/>
        <w:jc w:val="both"/>
        <w:rPr>
          <w:lang w:val="en-US"/>
        </w:rPr>
      </w:pPr>
      <w:r w:rsidRPr="00761718">
        <w:rPr>
          <w:b/>
          <w:sz w:val="28"/>
          <w:szCs w:val="28"/>
          <w:lang w:val="en-US"/>
        </w:rPr>
        <w:t xml:space="preserve">South Australia Class 3 (Application of Higher Mass Limits) </w:t>
      </w:r>
      <w:r w:rsidR="00F53C4E">
        <w:rPr>
          <w:b/>
          <w:sz w:val="28"/>
          <w:szCs w:val="28"/>
          <w:lang w:val="en-US"/>
        </w:rPr>
        <w:t>Mass Exemption Notice 20</w:t>
      </w:r>
      <w:r w:rsidR="00D959EE">
        <w:rPr>
          <w:b/>
          <w:sz w:val="28"/>
          <w:szCs w:val="28"/>
          <w:lang w:val="en-US"/>
        </w:rPr>
        <w:t>20</w:t>
      </w:r>
      <w:r w:rsidR="00F53C4E">
        <w:rPr>
          <w:b/>
          <w:sz w:val="28"/>
          <w:szCs w:val="28"/>
          <w:lang w:val="en-US"/>
        </w:rPr>
        <w:t xml:space="preserve"> </w:t>
      </w:r>
      <w:r w:rsidR="00D959EE">
        <w:rPr>
          <w:b/>
          <w:sz w:val="28"/>
          <w:szCs w:val="28"/>
          <w:lang w:val="en-US"/>
        </w:rPr>
        <w:t>(No.1</w:t>
      </w:r>
      <w:r w:rsidRPr="00761718">
        <w:rPr>
          <w:b/>
          <w:sz w:val="28"/>
          <w:szCs w:val="28"/>
          <w:lang w:val="en-US"/>
        </w:rPr>
        <w:t>)</w:t>
      </w:r>
    </w:p>
    <w:p w:rsidR="00A357C6" w:rsidRDefault="00A357C6" w:rsidP="0042217E">
      <w:pPr>
        <w:pStyle w:val="ListParagraph"/>
        <w:numPr>
          <w:ilvl w:val="0"/>
          <w:numId w:val="1"/>
        </w:numPr>
        <w:jc w:val="both"/>
        <w:rPr>
          <w:b/>
          <w:lang w:val="en-US"/>
        </w:rPr>
      </w:pPr>
      <w:r w:rsidRPr="006076F5">
        <w:rPr>
          <w:b/>
          <w:lang w:val="en-US"/>
        </w:rPr>
        <w:t>Purpose</w:t>
      </w:r>
    </w:p>
    <w:p w:rsidR="006076F5" w:rsidRPr="006076F5" w:rsidRDefault="006076F5" w:rsidP="0042217E">
      <w:pPr>
        <w:pStyle w:val="ListParagraph"/>
        <w:jc w:val="both"/>
        <w:rPr>
          <w:b/>
          <w:lang w:val="en-US"/>
        </w:rPr>
      </w:pPr>
    </w:p>
    <w:p w:rsidR="006076F5" w:rsidRDefault="005D11A8" w:rsidP="00F53C4E">
      <w:pPr>
        <w:pStyle w:val="ListParagraph"/>
        <w:numPr>
          <w:ilvl w:val="0"/>
          <w:numId w:val="5"/>
        </w:numPr>
        <w:jc w:val="both"/>
        <w:rPr>
          <w:lang w:val="en-US"/>
        </w:rPr>
      </w:pPr>
      <w:r w:rsidRPr="005D11A8">
        <w:rPr>
          <w:lang w:val="en-US"/>
        </w:rPr>
        <w:t>This Notice exemp</w:t>
      </w:r>
      <w:r>
        <w:rPr>
          <w:lang w:val="en-US"/>
        </w:rPr>
        <w:t xml:space="preserve">ts certain </w:t>
      </w:r>
      <w:r w:rsidR="00DE1C23">
        <w:rPr>
          <w:lang w:val="en-US"/>
        </w:rPr>
        <w:t>heavy vehicles</w:t>
      </w:r>
      <w:r w:rsidR="00CA6752">
        <w:rPr>
          <w:lang w:val="en-US"/>
        </w:rPr>
        <w:t xml:space="preserve"> and combinations</w:t>
      </w:r>
      <w:r w:rsidR="00DE1C23">
        <w:rPr>
          <w:lang w:val="en-US"/>
        </w:rPr>
        <w:t xml:space="preserve"> fitted with certified </w:t>
      </w:r>
      <w:r w:rsidR="00524C39">
        <w:rPr>
          <w:lang w:val="en-US"/>
        </w:rPr>
        <w:t>R</w:t>
      </w:r>
      <w:r w:rsidR="00DE1C23">
        <w:rPr>
          <w:lang w:val="en-US"/>
        </w:rPr>
        <w:t>oad</w:t>
      </w:r>
      <w:r w:rsidR="00524C39">
        <w:rPr>
          <w:lang w:val="en-US"/>
        </w:rPr>
        <w:t xml:space="preserve"> F</w:t>
      </w:r>
      <w:r w:rsidR="00DE1C23">
        <w:rPr>
          <w:lang w:val="en-US"/>
        </w:rPr>
        <w:t xml:space="preserve">riendly </w:t>
      </w:r>
      <w:r w:rsidR="00524C39">
        <w:rPr>
          <w:lang w:val="en-US"/>
        </w:rPr>
        <w:t>S</w:t>
      </w:r>
      <w:r w:rsidR="00DE1C23">
        <w:rPr>
          <w:lang w:val="en-US"/>
        </w:rPr>
        <w:t>uspension</w:t>
      </w:r>
      <w:r w:rsidRPr="005D11A8">
        <w:rPr>
          <w:lang w:val="en-US"/>
        </w:rPr>
        <w:t xml:space="preserve"> from mass </w:t>
      </w:r>
      <w:r w:rsidR="00DE1C23">
        <w:rPr>
          <w:lang w:val="en-US"/>
        </w:rPr>
        <w:t xml:space="preserve">requirements </w:t>
      </w:r>
      <w:r>
        <w:rPr>
          <w:lang w:val="en-US"/>
        </w:rPr>
        <w:t>set out in the Heavy Vehicle (Mass Dimension and Loading) National Regulation (MDL Regulation)</w:t>
      </w:r>
      <w:r w:rsidR="008F0E97">
        <w:rPr>
          <w:lang w:val="en-US"/>
        </w:rPr>
        <w:t>, allowing operation at masses that are equivalent to Higher Mass Limits under the Heavy Vehicle National Law (HVNL)</w:t>
      </w:r>
      <w:r w:rsidRPr="005D11A8">
        <w:rPr>
          <w:lang w:val="en-US"/>
        </w:rPr>
        <w:t>.</w:t>
      </w:r>
    </w:p>
    <w:p w:rsidR="00F53C4E" w:rsidRDefault="00F53C4E" w:rsidP="00F53C4E">
      <w:pPr>
        <w:pStyle w:val="ListParagraph"/>
        <w:ind w:left="1080"/>
        <w:jc w:val="both"/>
        <w:rPr>
          <w:lang w:val="en-US"/>
        </w:rPr>
      </w:pPr>
    </w:p>
    <w:p w:rsidR="00F53C4E" w:rsidRDefault="00F53C4E" w:rsidP="00F53C4E">
      <w:pPr>
        <w:pStyle w:val="ListParagraph"/>
        <w:numPr>
          <w:ilvl w:val="0"/>
          <w:numId w:val="5"/>
        </w:numPr>
        <w:jc w:val="both"/>
        <w:rPr>
          <w:lang w:val="en-US"/>
        </w:rPr>
      </w:pPr>
      <w:r>
        <w:rPr>
          <w:lang w:val="en-US"/>
        </w:rPr>
        <w:t xml:space="preserve">This Notice revokes and replaces the </w:t>
      </w:r>
      <w:r w:rsidRPr="00F53C4E">
        <w:rPr>
          <w:lang w:val="en-US"/>
        </w:rPr>
        <w:t>South Australia Class 3 (Application of Higher Mass Limits) Mass Exemption Notice 2019 (No.1).</w:t>
      </w:r>
    </w:p>
    <w:p w:rsidR="005D11A8" w:rsidRDefault="005D11A8" w:rsidP="005D11A8">
      <w:pPr>
        <w:pStyle w:val="ListParagraph"/>
        <w:ind w:left="1080"/>
        <w:jc w:val="both"/>
        <w:rPr>
          <w:lang w:val="en-US"/>
        </w:rPr>
      </w:pPr>
    </w:p>
    <w:p w:rsidR="005D11A8" w:rsidRDefault="00B04D60" w:rsidP="008F0E97">
      <w:pPr>
        <w:pStyle w:val="ListParagraph"/>
        <w:ind w:left="2160" w:hanging="1080"/>
        <w:jc w:val="both"/>
        <w:rPr>
          <w:i/>
          <w:lang w:val="en-US"/>
        </w:rPr>
      </w:pPr>
      <w:r w:rsidRPr="00B04D60">
        <w:rPr>
          <w:i/>
          <w:lang w:val="en-US"/>
        </w:rPr>
        <w:t>Note:</w:t>
      </w:r>
      <w:r w:rsidRPr="00B04D60">
        <w:rPr>
          <w:i/>
          <w:lang w:val="en-US"/>
        </w:rPr>
        <w:tab/>
        <w:t xml:space="preserve">This Notice replaces the </w:t>
      </w:r>
      <w:r w:rsidR="00F53C4E" w:rsidRPr="00F53C4E">
        <w:rPr>
          <w:i/>
          <w:lang w:val="en-US"/>
        </w:rPr>
        <w:t>South Australia Class 3 (Application of Higher Mass Limits) Mass Exemption Notice 2019 (No.1)</w:t>
      </w:r>
      <w:r w:rsidR="00F53C4E">
        <w:rPr>
          <w:i/>
          <w:lang w:val="en-US"/>
        </w:rPr>
        <w:t>, introducing rationalized networks. Exemptions and conditions are unchanged.</w:t>
      </w:r>
    </w:p>
    <w:p w:rsidR="004726F0" w:rsidRDefault="004726F0" w:rsidP="008F0E97">
      <w:pPr>
        <w:pStyle w:val="ListParagraph"/>
        <w:ind w:left="2160" w:hanging="1080"/>
        <w:jc w:val="both"/>
        <w:rPr>
          <w:i/>
          <w:lang w:val="en-US"/>
        </w:rPr>
      </w:pPr>
    </w:p>
    <w:p w:rsidR="004726F0" w:rsidRDefault="004726F0" w:rsidP="008F0E97">
      <w:pPr>
        <w:pStyle w:val="ListParagraph"/>
        <w:ind w:left="2160" w:hanging="1080"/>
        <w:jc w:val="both"/>
        <w:rPr>
          <w:i/>
          <w:lang w:val="en-US"/>
        </w:rPr>
      </w:pPr>
      <w:r>
        <w:rPr>
          <w:i/>
          <w:lang w:val="en-US"/>
        </w:rPr>
        <w:tab/>
        <w:t>This Notice also provides access for B-doubles, Road Trains and B-Triples that previously had access under South Australian access notices that provided Higher Mass Limit (HML) Access.</w:t>
      </w:r>
    </w:p>
    <w:p w:rsidR="008F0E97" w:rsidRDefault="008F0E97" w:rsidP="008F0E97">
      <w:pPr>
        <w:pStyle w:val="ListParagraph"/>
        <w:ind w:left="2160" w:hanging="1080"/>
        <w:jc w:val="both"/>
        <w:rPr>
          <w:i/>
          <w:lang w:val="en-US"/>
        </w:rPr>
      </w:pPr>
    </w:p>
    <w:p w:rsidR="008F0E97" w:rsidRDefault="008F0E97" w:rsidP="008F0E97">
      <w:pPr>
        <w:pStyle w:val="ListParagraph"/>
        <w:ind w:left="2160" w:hanging="1080"/>
        <w:jc w:val="both"/>
        <w:rPr>
          <w:i/>
          <w:lang w:val="en-US"/>
        </w:rPr>
      </w:pPr>
      <w:r>
        <w:rPr>
          <w:i/>
          <w:lang w:val="en-US"/>
        </w:rPr>
        <w:tab/>
      </w:r>
      <w:r w:rsidR="00BB7014">
        <w:rPr>
          <w:i/>
          <w:lang w:val="en-US"/>
        </w:rPr>
        <w:t>Although the previous N</w:t>
      </w:r>
      <w:r>
        <w:rPr>
          <w:i/>
          <w:lang w:val="en-US"/>
        </w:rPr>
        <w:t>otice referr</w:t>
      </w:r>
      <w:r w:rsidR="00BB7014">
        <w:rPr>
          <w:i/>
          <w:lang w:val="en-US"/>
        </w:rPr>
        <w:t>ed to Higher Mass Limits and made provision for it, this N</w:t>
      </w:r>
      <w:r>
        <w:rPr>
          <w:i/>
          <w:lang w:val="en-US"/>
        </w:rPr>
        <w:t>otice does not apply Intelligent Access Program conditions and so is not a Higher Mass Limit Declaration under the HVNL. However, the mass limits and access provided under this Notice are equivalent to those provided under the former South Australia HML Declaration</w:t>
      </w:r>
      <w:r w:rsidR="00BB7014">
        <w:rPr>
          <w:i/>
          <w:lang w:val="en-US"/>
        </w:rPr>
        <w:t>, and retains all other conditions.</w:t>
      </w:r>
    </w:p>
    <w:p w:rsidR="008F0E97" w:rsidRPr="008F0E97" w:rsidRDefault="008F0E97" w:rsidP="008F0E97">
      <w:pPr>
        <w:pStyle w:val="ListParagraph"/>
        <w:ind w:left="2160" w:hanging="1080"/>
        <w:jc w:val="both"/>
        <w:rPr>
          <w:i/>
          <w:lang w:val="en-US"/>
        </w:rPr>
      </w:pPr>
    </w:p>
    <w:p w:rsidR="00A357C6" w:rsidRDefault="00A357C6" w:rsidP="0042217E">
      <w:pPr>
        <w:pStyle w:val="ListParagraph"/>
        <w:numPr>
          <w:ilvl w:val="0"/>
          <w:numId w:val="1"/>
        </w:numPr>
        <w:jc w:val="both"/>
        <w:rPr>
          <w:b/>
          <w:lang w:val="en-US"/>
        </w:rPr>
      </w:pPr>
      <w:proofErr w:type="spellStart"/>
      <w:r w:rsidRPr="006076F5">
        <w:rPr>
          <w:b/>
          <w:lang w:val="en-US"/>
        </w:rPr>
        <w:t>Authorising</w:t>
      </w:r>
      <w:proofErr w:type="spellEnd"/>
      <w:r w:rsidRPr="006076F5">
        <w:rPr>
          <w:b/>
          <w:lang w:val="en-US"/>
        </w:rPr>
        <w:t xml:space="preserve"> Provision</w:t>
      </w:r>
    </w:p>
    <w:p w:rsidR="006076F5" w:rsidRPr="006076F5" w:rsidRDefault="006076F5" w:rsidP="0042217E">
      <w:pPr>
        <w:pStyle w:val="ListParagraph"/>
        <w:jc w:val="both"/>
        <w:rPr>
          <w:b/>
          <w:lang w:val="en-US"/>
        </w:rPr>
      </w:pPr>
    </w:p>
    <w:p w:rsidR="00A357C6" w:rsidRDefault="00A357C6" w:rsidP="008F1540">
      <w:pPr>
        <w:pStyle w:val="ListParagraph"/>
        <w:ind w:left="1080"/>
        <w:jc w:val="both"/>
        <w:rPr>
          <w:lang w:val="en-US"/>
        </w:rPr>
      </w:pPr>
      <w:r w:rsidRPr="00A357C6">
        <w:rPr>
          <w:lang w:val="en-US"/>
        </w:rPr>
        <w:t xml:space="preserve">This notice is made under Section 117 of the </w:t>
      </w:r>
      <w:r w:rsidRPr="006C09BE">
        <w:rPr>
          <w:i/>
          <w:lang w:val="en-US"/>
        </w:rPr>
        <w:t>Heavy Vehicle National Law</w:t>
      </w:r>
      <w:r w:rsidRPr="00A357C6">
        <w:rPr>
          <w:lang w:val="en-US"/>
        </w:rPr>
        <w:t xml:space="preserve"> </w:t>
      </w:r>
      <w:r>
        <w:rPr>
          <w:lang w:val="en-US"/>
        </w:rPr>
        <w:t xml:space="preserve">(HVNL) </w:t>
      </w:r>
      <w:r w:rsidRPr="00A357C6">
        <w:rPr>
          <w:lang w:val="en-US"/>
        </w:rPr>
        <w:t>as in force in each p</w:t>
      </w:r>
      <w:r w:rsidR="006C09BE">
        <w:rPr>
          <w:lang w:val="en-US"/>
        </w:rPr>
        <w:t>articipating jurisdiction</w:t>
      </w:r>
      <w:r w:rsidRPr="00A357C6">
        <w:rPr>
          <w:lang w:val="en-US"/>
        </w:rPr>
        <w:t>.</w:t>
      </w:r>
    </w:p>
    <w:p w:rsidR="001717F3" w:rsidRDefault="001717F3" w:rsidP="0042217E">
      <w:pPr>
        <w:pStyle w:val="ListParagraph"/>
        <w:ind w:left="1080"/>
        <w:jc w:val="both"/>
        <w:rPr>
          <w:lang w:val="en-US"/>
        </w:rPr>
      </w:pPr>
    </w:p>
    <w:p w:rsidR="001717F3" w:rsidRDefault="001717F3" w:rsidP="0042217E">
      <w:pPr>
        <w:pStyle w:val="ListParagraph"/>
        <w:numPr>
          <w:ilvl w:val="0"/>
          <w:numId w:val="1"/>
        </w:numPr>
        <w:jc w:val="both"/>
        <w:rPr>
          <w:b/>
          <w:lang w:val="en-US"/>
        </w:rPr>
      </w:pPr>
      <w:r w:rsidRPr="001717F3">
        <w:rPr>
          <w:b/>
          <w:lang w:val="en-US"/>
        </w:rPr>
        <w:t>Title</w:t>
      </w:r>
    </w:p>
    <w:p w:rsidR="001717F3" w:rsidRPr="001717F3" w:rsidRDefault="001717F3" w:rsidP="0042217E">
      <w:pPr>
        <w:pStyle w:val="ListParagraph"/>
        <w:jc w:val="both"/>
        <w:rPr>
          <w:b/>
          <w:lang w:val="en-US"/>
        </w:rPr>
      </w:pPr>
    </w:p>
    <w:p w:rsidR="001717F3" w:rsidRPr="001717F3" w:rsidRDefault="001717F3" w:rsidP="008F1540">
      <w:pPr>
        <w:pStyle w:val="ListParagraph"/>
        <w:ind w:left="1080"/>
        <w:jc w:val="both"/>
        <w:rPr>
          <w:lang w:val="en-US"/>
        </w:rPr>
      </w:pPr>
      <w:r>
        <w:rPr>
          <w:lang w:val="en-US"/>
        </w:rPr>
        <w:t xml:space="preserve">This Notice may be cited as the </w:t>
      </w:r>
      <w:r w:rsidR="00691973" w:rsidRPr="00761718">
        <w:rPr>
          <w:lang w:val="en-US"/>
        </w:rPr>
        <w:t xml:space="preserve">South Australia Class 3 (Application of Higher Mass Limits) </w:t>
      </w:r>
      <w:r w:rsidR="00691973">
        <w:rPr>
          <w:lang w:val="en-US"/>
        </w:rPr>
        <w:t>Mass Exemption Notice 2020</w:t>
      </w:r>
    </w:p>
    <w:p w:rsidR="006076F5" w:rsidRDefault="006076F5" w:rsidP="0042217E">
      <w:pPr>
        <w:pStyle w:val="ListParagraph"/>
        <w:ind w:left="1080"/>
        <w:jc w:val="both"/>
        <w:rPr>
          <w:lang w:val="en-US"/>
        </w:rPr>
      </w:pPr>
    </w:p>
    <w:p w:rsidR="00691973" w:rsidRPr="006076F5" w:rsidRDefault="00691973" w:rsidP="0042217E">
      <w:pPr>
        <w:pStyle w:val="ListParagraph"/>
        <w:ind w:left="1080"/>
        <w:jc w:val="both"/>
        <w:rPr>
          <w:lang w:val="en-US"/>
        </w:rPr>
      </w:pPr>
    </w:p>
    <w:p w:rsidR="00A357C6" w:rsidRDefault="00A357C6" w:rsidP="0042217E">
      <w:pPr>
        <w:pStyle w:val="ListParagraph"/>
        <w:numPr>
          <w:ilvl w:val="0"/>
          <w:numId w:val="1"/>
        </w:numPr>
        <w:jc w:val="both"/>
        <w:rPr>
          <w:b/>
          <w:lang w:val="en-US"/>
        </w:rPr>
      </w:pPr>
      <w:r w:rsidRPr="006076F5">
        <w:rPr>
          <w:b/>
          <w:lang w:val="en-US"/>
        </w:rPr>
        <w:lastRenderedPageBreak/>
        <w:t>Commencement</w:t>
      </w:r>
    </w:p>
    <w:p w:rsidR="006076F5" w:rsidRPr="006076F5" w:rsidRDefault="006076F5" w:rsidP="0042217E">
      <w:pPr>
        <w:pStyle w:val="ListParagraph"/>
        <w:jc w:val="both"/>
        <w:rPr>
          <w:b/>
          <w:lang w:val="en-US"/>
        </w:rPr>
      </w:pPr>
    </w:p>
    <w:p w:rsidR="006076F5" w:rsidRDefault="00A357C6" w:rsidP="004726F0">
      <w:pPr>
        <w:pStyle w:val="ListParagraph"/>
        <w:ind w:left="1080"/>
        <w:jc w:val="both"/>
        <w:rPr>
          <w:lang w:val="en-US"/>
        </w:rPr>
      </w:pPr>
      <w:r>
        <w:rPr>
          <w:lang w:val="en-US"/>
        </w:rPr>
        <w:t xml:space="preserve">This </w:t>
      </w:r>
      <w:r w:rsidRPr="00D959EE">
        <w:rPr>
          <w:lang w:val="en-US"/>
        </w:rPr>
        <w:t xml:space="preserve">Notice commences on </w:t>
      </w:r>
      <w:r w:rsidR="00D959EE" w:rsidRPr="00D959EE">
        <w:rPr>
          <w:lang w:val="en-US"/>
        </w:rPr>
        <w:t>3 January 2020</w:t>
      </w:r>
      <w:r w:rsidRPr="00D959EE">
        <w:rPr>
          <w:lang w:val="en-US"/>
        </w:rPr>
        <w:t>.</w:t>
      </w:r>
    </w:p>
    <w:p w:rsidR="00F53C4E" w:rsidRPr="004726F0" w:rsidRDefault="00F53C4E" w:rsidP="004726F0">
      <w:pPr>
        <w:pStyle w:val="ListParagraph"/>
        <w:ind w:left="1080"/>
        <w:jc w:val="both"/>
        <w:rPr>
          <w:lang w:val="en-US"/>
        </w:rPr>
      </w:pPr>
    </w:p>
    <w:p w:rsidR="00A357C6" w:rsidRDefault="00A357C6" w:rsidP="0042217E">
      <w:pPr>
        <w:pStyle w:val="ListParagraph"/>
        <w:numPr>
          <w:ilvl w:val="0"/>
          <w:numId w:val="1"/>
        </w:numPr>
        <w:jc w:val="both"/>
        <w:rPr>
          <w:b/>
          <w:lang w:val="en-US"/>
        </w:rPr>
      </w:pPr>
      <w:r w:rsidRPr="006076F5">
        <w:rPr>
          <w:b/>
          <w:lang w:val="en-US"/>
        </w:rPr>
        <w:t>Expiry</w:t>
      </w:r>
    </w:p>
    <w:p w:rsidR="006076F5" w:rsidRPr="006076F5" w:rsidRDefault="006076F5" w:rsidP="0042217E">
      <w:pPr>
        <w:pStyle w:val="ListParagraph"/>
        <w:jc w:val="both"/>
        <w:rPr>
          <w:b/>
          <w:lang w:val="en-US"/>
        </w:rPr>
      </w:pPr>
    </w:p>
    <w:p w:rsidR="00C96B71" w:rsidRDefault="00A357C6" w:rsidP="008F1540">
      <w:pPr>
        <w:pStyle w:val="ListParagraph"/>
        <w:ind w:left="1080"/>
        <w:jc w:val="both"/>
        <w:rPr>
          <w:lang w:val="en-US"/>
        </w:rPr>
      </w:pPr>
      <w:r>
        <w:rPr>
          <w:lang w:val="en-US"/>
        </w:rPr>
        <w:t xml:space="preserve">This Notice expires </w:t>
      </w:r>
      <w:r w:rsidR="008F0E97">
        <w:rPr>
          <w:lang w:val="en-US"/>
        </w:rPr>
        <w:t>on 9 February 2024.</w:t>
      </w:r>
    </w:p>
    <w:p w:rsidR="004726F0" w:rsidRPr="00761718" w:rsidRDefault="004726F0" w:rsidP="008F1540">
      <w:pPr>
        <w:pStyle w:val="ListParagraph"/>
        <w:ind w:left="1080"/>
        <w:jc w:val="both"/>
        <w:rPr>
          <w:lang w:val="en-US"/>
        </w:rPr>
      </w:pPr>
    </w:p>
    <w:p w:rsidR="00A357C6" w:rsidRDefault="00A357C6" w:rsidP="0042217E">
      <w:pPr>
        <w:pStyle w:val="ListParagraph"/>
        <w:numPr>
          <w:ilvl w:val="0"/>
          <w:numId w:val="1"/>
        </w:numPr>
        <w:jc w:val="both"/>
        <w:rPr>
          <w:b/>
          <w:lang w:val="en-US"/>
        </w:rPr>
      </w:pPr>
      <w:r w:rsidRPr="006076F5">
        <w:rPr>
          <w:b/>
          <w:lang w:val="en-US"/>
        </w:rPr>
        <w:t>Definitions</w:t>
      </w:r>
    </w:p>
    <w:p w:rsidR="006076F5" w:rsidRPr="006076F5" w:rsidRDefault="006076F5" w:rsidP="0042217E">
      <w:pPr>
        <w:pStyle w:val="ListParagraph"/>
        <w:jc w:val="both"/>
        <w:rPr>
          <w:b/>
          <w:lang w:val="en-US"/>
        </w:rPr>
      </w:pPr>
    </w:p>
    <w:p w:rsidR="006076F5" w:rsidRPr="00070D40" w:rsidRDefault="00A357C6" w:rsidP="00F53C4E">
      <w:pPr>
        <w:pStyle w:val="ListParagraph"/>
        <w:numPr>
          <w:ilvl w:val="0"/>
          <w:numId w:val="23"/>
        </w:numPr>
        <w:jc w:val="both"/>
        <w:rPr>
          <w:lang w:val="en-US"/>
        </w:rPr>
      </w:pPr>
      <w:r w:rsidRPr="006076F5">
        <w:rPr>
          <w:lang w:val="en-US"/>
        </w:rPr>
        <w:t>Unless otherwise stated, words and expressions used in this Notice have the same meanings as those defined in the HVNL</w:t>
      </w:r>
      <w:r w:rsidR="00070D40">
        <w:rPr>
          <w:lang w:val="en-US"/>
        </w:rPr>
        <w:t xml:space="preserve"> and the National Class 2 Road Train Notice</w:t>
      </w:r>
      <w:r w:rsidRPr="006076F5">
        <w:rPr>
          <w:lang w:val="en-US"/>
        </w:rPr>
        <w:t>.</w:t>
      </w:r>
    </w:p>
    <w:p w:rsidR="00A357C6" w:rsidRPr="006076F5" w:rsidRDefault="00A357C6" w:rsidP="00F53C4E">
      <w:pPr>
        <w:pStyle w:val="ListParagraph"/>
        <w:numPr>
          <w:ilvl w:val="0"/>
          <w:numId w:val="23"/>
        </w:numPr>
        <w:jc w:val="both"/>
        <w:rPr>
          <w:lang w:val="en-US"/>
        </w:rPr>
      </w:pPr>
      <w:r w:rsidRPr="006076F5">
        <w:rPr>
          <w:lang w:val="en-US"/>
        </w:rPr>
        <w:t>In this Notice:-</w:t>
      </w:r>
    </w:p>
    <w:p w:rsidR="00B54B9D" w:rsidRPr="00B54B9D" w:rsidRDefault="00B54B9D" w:rsidP="00904490">
      <w:pPr>
        <w:ind w:left="1080"/>
        <w:contextualSpacing/>
        <w:jc w:val="both"/>
      </w:pPr>
      <w:r w:rsidRPr="00B54B9D">
        <w:rPr>
          <w:b/>
        </w:rPr>
        <w:t xml:space="preserve">Articulated </w:t>
      </w:r>
      <w:r>
        <w:rPr>
          <w:b/>
        </w:rPr>
        <w:t>v</w:t>
      </w:r>
      <w:r w:rsidRPr="00B54B9D">
        <w:rPr>
          <w:b/>
        </w:rPr>
        <w:t xml:space="preserve">ehicle </w:t>
      </w:r>
      <w:r w:rsidRPr="00B54B9D">
        <w:t>means a combinat</w:t>
      </w:r>
      <w:r w:rsidR="00904490">
        <w:t xml:space="preserve">ion consisting of a prime mover </w:t>
      </w:r>
      <w:r w:rsidRPr="00B54B9D">
        <w:t>towing one semi-trailer</w:t>
      </w:r>
      <w:r>
        <w:t>.</w:t>
      </w:r>
    </w:p>
    <w:p w:rsidR="00B54B9D" w:rsidRDefault="00B54B9D" w:rsidP="00BB7014">
      <w:pPr>
        <w:ind w:left="1080"/>
        <w:contextualSpacing/>
        <w:jc w:val="both"/>
        <w:rPr>
          <w:b/>
        </w:rPr>
      </w:pPr>
    </w:p>
    <w:p w:rsidR="007F340F" w:rsidRDefault="007F340F" w:rsidP="00BB7014">
      <w:pPr>
        <w:ind w:left="1080"/>
        <w:contextualSpacing/>
        <w:jc w:val="both"/>
      </w:pPr>
      <w:r w:rsidRPr="00B31164">
        <w:rPr>
          <w:b/>
        </w:rPr>
        <w:t xml:space="preserve">DPTI </w:t>
      </w:r>
      <w:r w:rsidRPr="00B31164">
        <w:t>means the South Australian Department of Planning, Transport and Infrastructure.</w:t>
      </w:r>
    </w:p>
    <w:p w:rsidR="00CC313E" w:rsidRPr="00B31164" w:rsidRDefault="00CC313E" w:rsidP="00BB7014">
      <w:pPr>
        <w:ind w:left="1080"/>
        <w:contextualSpacing/>
        <w:jc w:val="both"/>
      </w:pPr>
    </w:p>
    <w:p w:rsidR="005D11A8" w:rsidRDefault="005D11A8" w:rsidP="00BB7014">
      <w:pPr>
        <w:ind w:left="1080"/>
        <w:contextualSpacing/>
        <w:jc w:val="both"/>
        <w:rPr>
          <w:lang w:val="en-US"/>
        </w:rPr>
      </w:pPr>
      <w:r>
        <w:rPr>
          <w:b/>
          <w:lang w:val="en-US"/>
        </w:rPr>
        <w:t>Eligible vehicle</w:t>
      </w:r>
      <w:r w:rsidRPr="005D11A8">
        <w:rPr>
          <w:lang w:val="en-US"/>
        </w:rPr>
        <w:t xml:space="preserve"> means a heavy veh</w:t>
      </w:r>
      <w:r w:rsidR="00C96B71">
        <w:rPr>
          <w:lang w:val="en-US"/>
        </w:rPr>
        <w:t xml:space="preserve">icle that </w:t>
      </w:r>
      <w:r w:rsidR="00BB7014">
        <w:rPr>
          <w:lang w:val="en-US"/>
        </w:rPr>
        <w:t xml:space="preserve">meets the criteria of </w:t>
      </w:r>
      <w:r w:rsidR="00691973">
        <w:rPr>
          <w:lang w:val="en-US"/>
        </w:rPr>
        <w:t xml:space="preserve">section 7 </w:t>
      </w:r>
      <w:r w:rsidR="00691973" w:rsidRPr="00691973">
        <w:rPr>
          <w:lang w:val="en-US"/>
        </w:rPr>
        <w:t>and complies with the Higher Mass Limit requirements of Schedule 5 of the Heavy Vehicle (Mass, Dimension and</w:t>
      </w:r>
      <w:r w:rsidR="00691973">
        <w:rPr>
          <w:lang w:val="en-US"/>
        </w:rPr>
        <w:t xml:space="preserve"> Loading) National Regulation.</w:t>
      </w:r>
    </w:p>
    <w:p w:rsidR="00BB7014" w:rsidRDefault="00BB7014" w:rsidP="00BB7014">
      <w:pPr>
        <w:ind w:left="1080"/>
        <w:contextualSpacing/>
        <w:jc w:val="both"/>
        <w:rPr>
          <w:lang w:val="en-US"/>
        </w:rPr>
      </w:pPr>
    </w:p>
    <w:p w:rsidR="00052D56" w:rsidRDefault="008A1A6F" w:rsidP="00BB7014">
      <w:pPr>
        <w:ind w:left="1080"/>
        <w:contextualSpacing/>
        <w:jc w:val="both"/>
        <w:rPr>
          <w:lang w:val="en-US"/>
        </w:rPr>
      </w:pPr>
      <w:r>
        <w:rPr>
          <w:b/>
          <w:lang w:val="en-US"/>
        </w:rPr>
        <w:t>Mass Management</w:t>
      </w:r>
      <w:r w:rsidR="00052D56">
        <w:rPr>
          <w:lang w:val="en-US"/>
        </w:rPr>
        <w:t xml:space="preserve"> means </w:t>
      </w:r>
      <w:r w:rsidR="00052D56" w:rsidRPr="00052D56">
        <w:rPr>
          <w:lang w:val="en-US"/>
        </w:rPr>
        <w:t xml:space="preserve">a scheme that is </w:t>
      </w:r>
      <w:r w:rsidR="00052D56" w:rsidRPr="00761718">
        <w:t>recognised</w:t>
      </w:r>
      <w:r w:rsidR="00052D56" w:rsidRPr="00052D56">
        <w:rPr>
          <w:lang w:val="en-US"/>
        </w:rPr>
        <w:t xml:space="preserve"> by D</w:t>
      </w:r>
      <w:r w:rsidR="000348A7">
        <w:rPr>
          <w:lang w:val="en-US"/>
        </w:rPr>
        <w:t>P</w:t>
      </w:r>
      <w:r w:rsidR="00052D56" w:rsidRPr="00052D56">
        <w:rPr>
          <w:lang w:val="en-US"/>
        </w:rPr>
        <w:t>TI as meeting the requirement of the mass management module (including audit requirements) of the National Heavy Vehicle Accreditation Scheme (NHVAS).</w:t>
      </w:r>
    </w:p>
    <w:p w:rsidR="00052D56" w:rsidRPr="00C96B71" w:rsidRDefault="00052D56" w:rsidP="00BB7014">
      <w:pPr>
        <w:ind w:left="1080"/>
        <w:contextualSpacing/>
        <w:jc w:val="both"/>
        <w:rPr>
          <w:lang w:val="en-US"/>
        </w:rPr>
      </w:pPr>
    </w:p>
    <w:p w:rsidR="00A357C6" w:rsidRDefault="00A357C6" w:rsidP="0042217E">
      <w:pPr>
        <w:pStyle w:val="ListParagraph"/>
        <w:numPr>
          <w:ilvl w:val="0"/>
          <w:numId w:val="1"/>
        </w:numPr>
        <w:jc w:val="both"/>
        <w:rPr>
          <w:b/>
          <w:lang w:val="en-US"/>
        </w:rPr>
      </w:pPr>
      <w:r w:rsidRPr="006076F5">
        <w:rPr>
          <w:b/>
          <w:lang w:val="en-US"/>
        </w:rPr>
        <w:t>Application</w:t>
      </w:r>
    </w:p>
    <w:p w:rsidR="006076F5" w:rsidRPr="006076F5" w:rsidRDefault="006076F5" w:rsidP="0042217E">
      <w:pPr>
        <w:pStyle w:val="ListParagraph"/>
        <w:jc w:val="both"/>
        <w:rPr>
          <w:b/>
          <w:lang w:val="en-US"/>
        </w:rPr>
      </w:pPr>
    </w:p>
    <w:p w:rsidR="00BB7014" w:rsidRPr="00B31164" w:rsidRDefault="00A357C6" w:rsidP="00B31164">
      <w:pPr>
        <w:pStyle w:val="ListParagraph"/>
        <w:numPr>
          <w:ilvl w:val="0"/>
          <w:numId w:val="6"/>
        </w:numPr>
        <w:jc w:val="both"/>
        <w:rPr>
          <w:lang w:val="en-US"/>
        </w:rPr>
      </w:pPr>
      <w:r w:rsidRPr="00CC313E">
        <w:rPr>
          <w:lang w:val="en-US"/>
        </w:rPr>
        <w:t xml:space="preserve">This notice applies to </w:t>
      </w:r>
      <w:r w:rsidR="00CC313E" w:rsidRPr="00CC313E">
        <w:rPr>
          <w:lang w:val="en-US"/>
        </w:rPr>
        <w:t xml:space="preserve">an </w:t>
      </w:r>
      <w:r w:rsidR="00C96B71" w:rsidRPr="00CC313E">
        <w:rPr>
          <w:lang w:val="en-US"/>
        </w:rPr>
        <w:t xml:space="preserve">eligible vehicle operating in </w:t>
      </w:r>
      <w:r w:rsidR="000348A7" w:rsidRPr="00CC313E">
        <w:rPr>
          <w:lang w:val="en-US"/>
        </w:rPr>
        <w:t>South Australia</w:t>
      </w:r>
      <w:r w:rsidR="00CC313E" w:rsidRPr="00CC313E">
        <w:rPr>
          <w:lang w:val="en-US"/>
        </w:rPr>
        <w:t>, being</w:t>
      </w:r>
      <w:r w:rsidR="00B31164">
        <w:rPr>
          <w:lang w:val="en-US"/>
        </w:rPr>
        <w:t xml:space="preserve"> </w:t>
      </w:r>
      <w:r w:rsidR="00BB7014" w:rsidRPr="00B31164">
        <w:rPr>
          <w:lang w:val="en-US"/>
        </w:rPr>
        <w:t>one of the following categories:</w:t>
      </w:r>
    </w:p>
    <w:p w:rsidR="00BB7014" w:rsidRDefault="00BB7014" w:rsidP="00BB7014">
      <w:pPr>
        <w:pStyle w:val="ListParagraph"/>
        <w:ind w:left="1080"/>
        <w:jc w:val="both"/>
        <w:rPr>
          <w:lang w:val="en-US"/>
        </w:rPr>
      </w:pPr>
    </w:p>
    <w:p w:rsidR="00BB7014" w:rsidRPr="00BB7014" w:rsidRDefault="00BB7014" w:rsidP="00BB7014">
      <w:pPr>
        <w:pStyle w:val="ListParagraph"/>
        <w:numPr>
          <w:ilvl w:val="0"/>
          <w:numId w:val="8"/>
        </w:numPr>
        <w:jc w:val="both"/>
        <w:rPr>
          <w:lang w:val="en-US"/>
        </w:rPr>
      </w:pPr>
      <w:r w:rsidRPr="00BB7014">
        <w:rPr>
          <w:lang w:val="en-US"/>
        </w:rPr>
        <w:t xml:space="preserve">Rigid </w:t>
      </w:r>
      <w:r w:rsidR="00F24125">
        <w:rPr>
          <w:lang w:val="en-US"/>
        </w:rPr>
        <w:t>t</w:t>
      </w:r>
      <w:r w:rsidRPr="00BB7014">
        <w:rPr>
          <w:lang w:val="en-US"/>
        </w:rPr>
        <w:t>rucks fitted with a tandem drive axle group</w:t>
      </w:r>
      <w:r>
        <w:rPr>
          <w:lang w:val="en-US"/>
        </w:rPr>
        <w:t xml:space="preserve"> and operated without a trailer.</w:t>
      </w:r>
    </w:p>
    <w:p w:rsidR="00BB7014" w:rsidRPr="00BB7014" w:rsidRDefault="00BB7014" w:rsidP="00BB7014">
      <w:pPr>
        <w:pStyle w:val="ListParagraph"/>
        <w:numPr>
          <w:ilvl w:val="0"/>
          <w:numId w:val="8"/>
        </w:numPr>
        <w:jc w:val="both"/>
        <w:rPr>
          <w:lang w:val="en-US"/>
        </w:rPr>
      </w:pPr>
      <w:r w:rsidRPr="00BB7014">
        <w:rPr>
          <w:lang w:val="en-US"/>
        </w:rPr>
        <w:t>Articulated vehicles where the prime mover is fitted with a tande</w:t>
      </w:r>
      <w:r>
        <w:rPr>
          <w:lang w:val="en-US"/>
        </w:rPr>
        <w:t>m drive axle group and the semi-</w:t>
      </w:r>
      <w:r w:rsidRPr="00BB7014">
        <w:rPr>
          <w:lang w:val="en-US"/>
        </w:rPr>
        <w:t>trailer is fitted with either a tandem or triaxl</w:t>
      </w:r>
      <w:r>
        <w:rPr>
          <w:lang w:val="en-US"/>
        </w:rPr>
        <w:t>e group.</w:t>
      </w:r>
    </w:p>
    <w:p w:rsidR="00BB7014" w:rsidRDefault="00BB7014" w:rsidP="00BB7014">
      <w:pPr>
        <w:pStyle w:val="ListParagraph"/>
        <w:numPr>
          <w:ilvl w:val="0"/>
          <w:numId w:val="8"/>
        </w:numPr>
        <w:jc w:val="both"/>
        <w:rPr>
          <w:lang w:val="en-US"/>
        </w:rPr>
      </w:pPr>
      <w:r w:rsidRPr="00BB7014">
        <w:rPr>
          <w:lang w:val="en-US"/>
        </w:rPr>
        <w:t xml:space="preserve">Buses fitted with a </w:t>
      </w:r>
      <w:r>
        <w:rPr>
          <w:lang w:val="en-US"/>
        </w:rPr>
        <w:t>single</w:t>
      </w:r>
      <w:r w:rsidR="00CC313E">
        <w:rPr>
          <w:lang w:val="en-US"/>
        </w:rPr>
        <w:t xml:space="preserve"> </w:t>
      </w:r>
      <w:r>
        <w:rPr>
          <w:lang w:val="en-US"/>
        </w:rPr>
        <w:t>drive axle or a six-</w:t>
      </w:r>
      <w:proofErr w:type="spellStart"/>
      <w:r>
        <w:rPr>
          <w:lang w:val="en-US"/>
        </w:rPr>
        <w:t>tyre</w:t>
      </w:r>
      <w:proofErr w:type="spellEnd"/>
      <w:r w:rsidRPr="00BB7014">
        <w:rPr>
          <w:lang w:val="en-US"/>
        </w:rPr>
        <w:t xml:space="preserve"> tandem axle group (which includes the drive axle) at the rear.</w:t>
      </w:r>
    </w:p>
    <w:p w:rsidR="00AA1569" w:rsidRDefault="00AA1569" w:rsidP="00BB7014">
      <w:pPr>
        <w:pStyle w:val="ListParagraph"/>
        <w:numPr>
          <w:ilvl w:val="0"/>
          <w:numId w:val="8"/>
        </w:numPr>
        <w:jc w:val="both"/>
        <w:rPr>
          <w:lang w:val="en-US"/>
        </w:rPr>
      </w:pPr>
      <w:r>
        <w:rPr>
          <w:lang w:val="en-US"/>
        </w:rPr>
        <w:t>B-double</w:t>
      </w:r>
      <w:r w:rsidR="00C02A7C">
        <w:rPr>
          <w:lang w:val="en-US"/>
        </w:rPr>
        <w:t>s.</w:t>
      </w:r>
    </w:p>
    <w:p w:rsidR="00070D40" w:rsidRDefault="00070D40" w:rsidP="00BB7014">
      <w:pPr>
        <w:pStyle w:val="ListParagraph"/>
        <w:numPr>
          <w:ilvl w:val="0"/>
          <w:numId w:val="8"/>
        </w:numPr>
        <w:jc w:val="both"/>
        <w:rPr>
          <w:lang w:val="en-US"/>
        </w:rPr>
      </w:pPr>
      <w:r>
        <w:rPr>
          <w:lang w:val="en-US"/>
        </w:rPr>
        <w:t>Modular B-Triples.</w:t>
      </w:r>
    </w:p>
    <w:p w:rsidR="004726F0" w:rsidRDefault="00070D40" w:rsidP="004726F0">
      <w:pPr>
        <w:pStyle w:val="ListParagraph"/>
        <w:numPr>
          <w:ilvl w:val="0"/>
          <w:numId w:val="8"/>
        </w:numPr>
        <w:jc w:val="both"/>
        <w:rPr>
          <w:lang w:val="en-US"/>
        </w:rPr>
      </w:pPr>
      <w:r w:rsidRPr="00070D40">
        <w:rPr>
          <w:lang w:val="en-US"/>
        </w:rPr>
        <w:t>Type 1 and Type 2 Road T</w:t>
      </w:r>
      <w:r>
        <w:rPr>
          <w:lang w:val="en-US"/>
        </w:rPr>
        <w:t>rains.</w:t>
      </w:r>
    </w:p>
    <w:p w:rsidR="00070D40" w:rsidRDefault="00070D40" w:rsidP="00F53C4E">
      <w:pPr>
        <w:ind w:left="1080"/>
        <w:jc w:val="both"/>
        <w:rPr>
          <w:i/>
          <w:lang w:val="en-US"/>
        </w:rPr>
      </w:pPr>
      <w:r w:rsidRPr="00070D40">
        <w:rPr>
          <w:i/>
          <w:lang w:val="en-US"/>
        </w:rPr>
        <w:t>Note:</w:t>
      </w:r>
      <w:r w:rsidRPr="00070D40">
        <w:rPr>
          <w:i/>
          <w:lang w:val="en-US"/>
        </w:rPr>
        <w:tab/>
        <w:t xml:space="preserve">the effect of e) and f) </w:t>
      </w:r>
      <w:r>
        <w:rPr>
          <w:i/>
          <w:lang w:val="en-US"/>
        </w:rPr>
        <w:t xml:space="preserve">is to </w:t>
      </w:r>
      <w:r w:rsidRPr="00070D40">
        <w:rPr>
          <w:i/>
          <w:lang w:val="en-US"/>
        </w:rPr>
        <w:t>exclude the operation of non-modular B-Triples.</w:t>
      </w:r>
    </w:p>
    <w:p w:rsidR="00F53C4E" w:rsidRDefault="00F53C4E" w:rsidP="00691973">
      <w:pPr>
        <w:jc w:val="both"/>
        <w:rPr>
          <w:i/>
          <w:lang w:val="en-US"/>
        </w:rPr>
      </w:pPr>
    </w:p>
    <w:p w:rsidR="00AD7F93" w:rsidRDefault="005D11A8" w:rsidP="0042217E">
      <w:pPr>
        <w:pStyle w:val="ListParagraph"/>
        <w:numPr>
          <w:ilvl w:val="0"/>
          <w:numId w:val="1"/>
        </w:numPr>
        <w:jc w:val="both"/>
        <w:rPr>
          <w:b/>
          <w:lang w:val="en-US"/>
        </w:rPr>
      </w:pPr>
      <w:r>
        <w:rPr>
          <w:b/>
          <w:lang w:val="en-US"/>
        </w:rPr>
        <w:lastRenderedPageBreak/>
        <w:t>Exemption - Prescribed mass requirements</w:t>
      </w:r>
    </w:p>
    <w:p w:rsidR="00AD7F93" w:rsidRPr="00AD7F93" w:rsidRDefault="00AD7F93" w:rsidP="0042217E">
      <w:pPr>
        <w:pStyle w:val="ListParagraph"/>
        <w:jc w:val="both"/>
        <w:rPr>
          <w:b/>
          <w:lang w:val="en-US"/>
        </w:rPr>
      </w:pPr>
    </w:p>
    <w:p w:rsidR="00AD7F93" w:rsidRDefault="00AD7F93" w:rsidP="002023D6">
      <w:pPr>
        <w:pStyle w:val="ListParagraph"/>
        <w:numPr>
          <w:ilvl w:val="0"/>
          <w:numId w:val="7"/>
        </w:numPr>
        <w:jc w:val="both"/>
        <w:rPr>
          <w:lang w:val="en-US"/>
        </w:rPr>
      </w:pPr>
      <w:r w:rsidRPr="00AD7F93">
        <w:rPr>
          <w:lang w:val="en-US"/>
        </w:rPr>
        <w:t xml:space="preserve">This notice exempts </w:t>
      </w:r>
      <w:r w:rsidR="00C96B71">
        <w:rPr>
          <w:lang w:val="en-US"/>
        </w:rPr>
        <w:t>eligible vehicles</w:t>
      </w:r>
      <w:r w:rsidR="006C159C">
        <w:rPr>
          <w:lang w:val="en-US"/>
        </w:rPr>
        <w:t xml:space="preserve"> </w:t>
      </w:r>
      <w:r w:rsidRPr="00AD7F93">
        <w:rPr>
          <w:lang w:val="en-US"/>
        </w:rPr>
        <w:t xml:space="preserve">from the following </w:t>
      </w:r>
      <w:r w:rsidR="00C96B71">
        <w:rPr>
          <w:lang w:val="en-US"/>
        </w:rPr>
        <w:t xml:space="preserve">mass </w:t>
      </w:r>
      <w:r w:rsidR="006C159C">
        <w:rPr>
          <w:lang w:val="en-US"/>
        </w:rPr>
        <w:t>requirements</w:t>
      </w:r>
      <w:r>
        <w:rPr>
          <w:lang w:val="en-US"/>
        </w:rPr>
        <w:t xml:space="preserve"> </w:t>
      </w:r>
      <w:r w:rsidR="007B7E56">
        <w:rPr>
          <w:lang w:val="en-US"/>
        </w:rPr>
        <w:t>specified in Schedule 1</w:t>
      </w:r>
      <w:r w:rsidRPr="00AD7F93">
        <w:rPr>
          <w:lang w:val="en-US"/>
        </w:rPr>
        <w:t xml:space="preserve"> of the </w:t>
      </w:r>
      <w:r w:rsidR="00052D56">
        <w:rPr>
          <w:lang w:val="en-US"/>
        </w:rPr>
        <w:t xml:space="preserve">MDL </w:t>
      </w:r>
      <w:r w:rsidRPr="00AD7F93">
        <w:rPr>
          <w:lang w:val="en-US"/>
        </w:rPr>
        <w:t>Regulation:</w:t>
      </w:r>
    </w:p>
    <w:p w:rsidR="00AD7F93" w:rsidRPr="00AD7F93" w:rsidRDefault="00AD7F93" w:rsidP="0042217E">
      <w:pPr>
        <w:pStyle w:val="ListParagraph"/>
        <w:ind w:left="1080"/>
        <w:jc w:val="both"/>
        <w:rPr>
          <w:lang w:val="en-US"/>
        </w:rPr>
      </w:pPr>
    </w:p>
    <w:p w:rsidR="00AD7F93" w:rsidRDefault="007B7E56" w:rsidP="00323EC4">
      <w:pPr>
        <w:pStyle w:val="ListParagraph"/>
        <w:numPr>
          <w:ilvl w:val="0"/>
          <w:numId w:val="21"/>
        </w:numPr>
        <w:jc w:val="both"/>
        <w:rPr>
          <w:lang w:val="en-US"/>
        </w:rPr>
      </w:pPr>
      <w:r>
        <w:rPr>
          <w:lang w:val="en-US"/>
        </w:rPr>
        <w:t>Section 4 - Mass limits for a single axle</w:t>
      </w:r>
      <w:r w:rsidR="006A2DF1">
        <w:rPr>
          <w:lang w:val="en-US"/>
        </w:rPr>
        <w:t xml:space="preserve"> or axle</w:t>
      </w:r>
      <w:r>
        <w:rPr>
          <w:lang w:val="en-US"/>
        </w:rPr>
        <w:t xml:space="preserve"> group</w:t>
      </w:r>
    </w:p>
    <w:p w:rsidR="00761718" w:rsidRDefault="007B7E56" w:rsidP="00761718">
      <w:pPr>
        <w:pStyle w:val="ListParagraph"/>
        <w:numPr>
          <w:ilvl w:val="0"/>
          <w:numId w:val="21"/>
        </w:numPr>
        <w:jc w:val="both"/>
        <w:rPr>
          <w:lang w:val="en-US"/>
        </w:rPr>
      </w:pPr>
      <w:r>
        <w:rPr>
          <w:lang w:val="en-US"/>
        </w:rPr>
        <w:t>Section 5 - Mass limits relating to axle spacing generally</w:t>
      </w:r>
      <w:r w:rsidR="004726F0">
        <w:rPr>
          <w:lang w:val="en-US"/>
        </w:rPr>
        <w:t>.</w:t>
      </w:r>
    </w:p>
    <w:p w:rsidR="00F53C4E" w:rsidRPr="004726F0" w:rsidRDefault="00F53C4E" w:rsidP="00F53C4E">
      <w:pPr>
        <w:pStyle w:val="ListParagraph"/>
        <w:ind w:left="1440"/>
        <w:jc w:val="both"/>
        <w:rPr>
          <w:lang w:val="en-US"/>
        </w:rPr>
      </w:pPr>
    </w:p>
    <w:p w:rsidR="00323EC4" w:rsidRDefault="00323EC4" w:rsidP="00323EC4">
      <w:pPr>
        <w:pStyle w:val="ListParagraph"/>
        <w:numPr>
          <w:ilvl w:val="0"/>
          <w:numId w:val="1"/>
        </w:numPr>
        <w:jc w:val="both"/>
        <w:rPr>
          <w:b/>
          <w:lang w:val="en-US"/>
        </w:rPr>
      </w:pPr>
      <w:r>
        <w:rPr>
          <w:b/>
          <w:lang w:val="en-US"/>
        </w:rPr>
        <w:t>Conditions - Axle Mass Limits and Spacing</w:t>
      </w:r>
    </w:p>
    <w:p w:rsidR="00323EC4" w:rsidRDefault="00323EC4" w:rsidP="00323EC4">
      <w:pPr>
        <w:pStyle w:val="ListParagraph"/>
        <w:jc w:val="both"/>
        <w:rPr>
          <w:b/>
          <w:lang w:val="en-US"/>
        </w:rPr>
      </w:pPr>
    </w:p>
    <w:p w:rsidR="00323EC4" w:rsidRDefault="00323EC4" w:rsidP="00323EC4">
      <w:pPr>
        <w:pStyle w:val="ListParagraph"/>
        <w:numPr>
          <w:ilvl w:val="0"/>
          <w:numId w:val="20"/>
        </w:numPr>
        <w:jc w:val="both"/>
        <w:rPr>
          <w:lang w:val="en-US"/>
        </w:rPr>
      </w:pPr>
      <w:r w:rsidRPr="00323EC4">
        <w:rPr>
          <w:lang w:val="en-US"/>
        </w:rPr>
        <w:t>An eligible vehicle operating under this Notice must comply with the conditional mass conditions set out in this section.</w:t>
      </w:r>
    </w:p>
    <w:p w:rsidR="00323EC4" w:rsidRDefault="00323EC4" w:rsidP="00323EC4">
      <w:pPr>
        <w:pStyle w:val="ListParagraph"/>
        <w:ind w:left="1080"/>
        <w:jc w:val="both"/>
        <w:rPr>
          <w:lang w:val="en-US"/>
        </w:rPr>
      </w:pPr>
    </w:p>
    <w:p w:rsidR="00323EC4" w:rsidRPr="00323EC4" w:rsidRDefault="00323EC4" w:rsidP="00323EC4">
      <w:pPr>
        <w:pStyle w:val="ListParagraph"/>
        <w:numPr>
          <w:ilvl w:val="0"/>
          <w:numId w:val="20"/>
        </w:numPr>
        <w:jc w:val="both"/>
        <w:rPr>
          <w:lang w:val="en-US"/>
        </w:rPr>
      </w:pPr>
      <w:r w:rsidRPr="00323EC4">
        <w:rPr>
          <w:lang w:val="en-US"/>
        </w:rPr>
        <w:t xml:space="preserve">The total mass on the axle or axle group must not exceed the limits listed in </w:t>
      </w:r>
      <w:r w:rsidR="00C147A2">
        <w:rPr>
          <w:lang w:val="en-US"/>
        </w:rPr>
        <w:t xml:space="preserve">Column 2 of </w:t>
      </w:r>
      <w:r w:rsidRPr="00323EC4">
        <w:rPr>
          <w:lang w:val="en-US"/>
        </w:rPr>
        <w:t xml:space="preserve">Table </w:t>
      </w:r>
      <w:r w:rsidR="00B31164">
        <w:rPr>
          <w:lang w:val="en-US"/>
        </w:rPr>
        <w:t>1</w:t>
      </w:r>
      <w:r w:rsidRPr="00323EC4">
        <w:rPr>
          <w:lang w:val="en-US"/>
        </w:rPr>
        <w:t xml:space="preserve"> or Table </w:t>
      </w:r>
      <w:r w:rsidR="00B31164">
        <w:rPr>
          <w:lang w:val="en-US"/>
        </w:rPr>
        <w:t>2</w:t>
      </w:r>
      <w:r w:rsidRPr="00323EC4">
        <w:rPr>
          <w:lang w:val="en-US"/>
        </w:rPr>
        <w:t xml:space="preserve"> of this Notice for the specified axle or axle group.</w:t>
      </w:r>
    </w:p>
    <w:p w:rsidR="00323EC4" w:rsidRPr="00323EC4" w:rsidRDefault="00323EC4" w:rsidP="00323EC4">
      <w:pPr>
        <w:pStyle w:val="ListParagraph"/>
        <w:ind w:left="1080"/>
        <w:jc w:val="both"/>
        <w:rPr>
          <w:lang w:val="en-US"/>
        </w:rPr>
      </w:pPr>
    </w:p>
    <w:p w:rsidR="003F12A6" w:rsidRPr="00F53C4E" w:rsidRDefault="00323EC4" w:rsidP="00F53C4E">
      <w:pPr>
        <w:pStyle w:val="ListParagraph"/>
        <w:numPr>
          <w:ilvl w:val="0"/>
          <w:numId w:val="20"/>
        </w:numPr>
        <w:jc w:val="both"/>
        <w:rPr>
          <w:lang w:val="en-US"/>
        </w:rPr>
      </w:pPr>
      <w:r w:rsidRPr="00323EC4">
        <w:rPr>
          <w:lang w:val="en-US"/>
        </w:rPr>
        <w:t>The Higher Mass Limits specified in Table 2 of this Notice only apply to axles or axle groups fitted with a Road Friendly Suspension.</w:t>
      </w:r>
    </w:p>
    <w:p w:rsidR="003F12A6" w:rsidRPr="003F12A6" w:rsidRDefault="003F12A6" w:rsidP="003F12A6">
      <w:pPr>
        <w:jc w:val="both"/>
        <w:rPr>
          <w:b/>
          <w:lang w:val="en-US"/>
        </w:rPr>
      </w:pPr>
      <w:r w:rsidRPr="003F12A6">
        <w:rPr>
          <w:b/>
          <w:lang w:val="en-US"/>
        </w:rPr>
        <w:t>Table 1: Axle Mass Limits and Axle Spacing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Caption w:val="Table 1: Axle Mass Limits and Axle Spacing"/>
        <w:tblDescription w:val="Table of conditional axle masses."/>
      </w:tblPr>
      <w:tblGrid>
        <w:gridCol w:w="3080"/>
        <w:gridCol w:w="3081"/>
        <w:gridCol w:w="3081"/>
      </w:tblGrid>
      <w:tr w:rsidR="00C147A2" w:rsidRPr="003F12A6" w:rsidTr="003F12A6">
        <w:trPr>
          <w:jc w:val="center"/>
        </w:trPr>
        <w:tc>
          <w:tcPr>
            <w:tcW w:w="3080" w:type="dxa"/>
            <w:vAlign w:val="center"/>
          </w:tcPr>
          <w:p w:rsidR="00C147A2" w:rsidRPr="003F12A6" w:rsidRDefault="00C147A2" w:rsidP="003F12A6">
            <w:pPr>
              <w:jc w:val="center"/>
              <w:rPr>
                <w:b/>
                <w:lang w:val="en-US"/>
              </w:rPr>
            </w:pPr>
            <w:bookmarkStart w:id="0" w:name="_GoBack" w:colFirst="0" w:colLast="2"/>
          </w:p>
        </w:tc>
        <w:tc>
          <w:tcPr>
            <w:tcW w:w="3081" w:type="dxa"/>
            <w:vAlign w:val="center"/>
          </w:tcPr>
          <w:p w:rsidR="00C147A2" w:rsidRPr="003F12A6" w:rsidRDefault="00C147A2" w:rsidP="00B31164">
            <w:pPr>
              <w:pStyle w:val="Heading1"/>
              <w:outlineLvl w:val="0"/>
            </w:pPr>
            <w:r>
              <w:t>Column 1</w:t>
            </w:r>
          </w:p>
        </w:tc>
        <w:tc>
          <w:tcPr>
            <w:tcW w:w="3081" w:type="dxa"/>
            <w:vAlign w:val="center"/>
          </w:tcPr>
          <w:p w:rsidR="00C147A2" w:rsidRPr="003F12A6" w:rsidRDefault="00C147A2" w:rsidP="00B31164">
            <w:pPr>
              <w:pStyle w:val="Heading1"/>
              <w:outlineLvl w:val="0"/>
            </w:pPr>
            <w:r>
              <w:t>Column 2</w:t>
            </w:r>
          </w:p>
        </w:tc>
      </w:tr>
      <w:tr w:rsidR="003F12A6" w:rsidRPr="003F12A6" w:rsidTr="003F12A6">
        <w:trPr>
          <w:jc w:val="center"/>
        </w:trPr>
        <w:tc>
          <w:tcPr>
            <w:tcW w:w="3080" w:type="dxa"/>
            <w:vAlign w:val="center"/>
          </w:tcPr>
          <w:p w:rsidR="003F12A6" w:rsidRPr="003F12A6" w:rsidRDefault="003F12A6" w:rsidP="003F12A6">
            <w:pPr>
              <w:jc w:val="center"/>
              <w:rPr>
                <w:b/>
                <w:lang w:val="en-US"/>
              </w:rPr>
            </w:pPr>
            <w:r w:rsidRPr="003F12A6">
              <w:rPr>
                <w:b/>
                <w:lang w:val="en-US"/>
              </w:rPr>
              <w:t>Axle group or Axle Group Configuration</w:t>
            </w:r>
          </w:p>
        </w:tc>
        <w:tc>
          <w:tcPr>
            <w:tcW w:w="3081" w:type="dxa"/>
            <w:vAlign w:val="center"/>
          </w:tcPr>
          <w:p w:rsidR="003F12A6" w:rsidRDefault="003F12A6" w:rsidP="003F12A6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3F12A6">
              <w:rPr>
                <w:rFonts w:ascii="Calibri" w:hAnsi="Calibri"/>
                <w:b/>
                <w:color w:val="000000"/>
              </w:rPr>
              <w:t>General Mass Limit</w:t>
            </w:r>
          </w:p>
          <w:p w:rsidR="003F12A6" w:rsidRPr="003F12A6" w:rsidRDefault="003F12A6" w:rsidP="003F12A6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(tonnes)</w:t>
            </w:r>
          </w:p>
        </w:tc>
        <w:tc>
          <w:tcPr>
            <w:tcW w:w="3081" w:type="dxa"/>
            <w:vAlign w:val="center"/>
          </w:tcPr>
          <w:p w:rsidR="003F12A6" w:rsidRPr="003F12A6" w:rsidRDefault="003F12A6" w:rsidP="003F12A6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3F12A6">
              <w:rPr>
                <w:rFonts w:ascii="Calibri" w:hAnsi="Calibri"/>
                <w:b/>
                <w:color w:val="000000"/>
              </w:rPr>
              <w:t>Mass Limit under this Notice</w:t>
            </w:r>
            <w:r>
              <w:rPr>
                <w:rFonts w:ascii="Calibri" w:hAnsi="Calibri"/>
                <w:b/>
                <w:color w:val="000000"/>
              </w:rPr>
              <w:t xml:space="preserve"> (tonnes)</w:t>
            </w:r>
          </w:p>
        </w:tc>
      </w:tr>
      <w:tr w:rsidR="003F12A6" w:rsidTr="003F12A6">
        <w:trPr>
          <w:jc w:val="center"/>
        </w:trPr>
        <w:tc>
          <w:tcPr>
            <w:tcW w:w="3080" w:type="dxa"/>
            <w:vAlign w:val="center"/>
          </w:tcPr>
          <w:p w:rsidR="003F12A6" w:rsidRDefault="003F12A6" w:rsidP="003F12A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Single drive axle on buses fitted with 4 tyres</w:t>
            </w:r>
          </w:p>
        </w:tc>
        <w:tc>
          <w:tcPr>
            <w:tcW w:w="3081" w:type="dxa"/>
            <w:vAlign w:val="center"/>
          </w:tcPr>
          <w:p w:rsidR="003F12A6" w:rsidRDefault="003F12A6" w:rsidP="003F12A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3081" w:type="dxa"/>
            <w:vAlign w:val="center"/>
          </w:tcPr>
          <w:p w:rsidR="003F12A6" w:rsidRDefault="003F12A6" w:rsidP="003F12A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</w:tr>
      <w:tr w:rsidR="003F12A6" w:rsidTr="003F12A6">
        <w:trPr>
          <w:jc w:val="center"/>
        </w:trPr>
        <w:tc>
          <w:tcPr>
            <w:tcW w:w="3080" w:type="dxa"/>
            <w:vAlign w:val="center"/>
          </w:tcPr>
          <w:p w:rsidR="003F12A6" w:rsidRDefault="003F12A6" w:rsidP="003F12A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Tandem axle groups fitted with 6 tyres</w:t>
            </w:r>
          </w:p>
        </w:tc>
        <w:tc>
          <w:tcPr>
            <w:tcW w:w="3081" w:type="dxa"/>
            <w:vAlign w:val="center"/>
          </w:tcPr>
          <w:p w:rsidR="003F12A6" w:rsidRDefault="003F12A6" w:rsidP="003F12A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3081" w:type="dxa"/>
            <w:vAlign w:val="center"/>
          </w:tcPr>
          <w:p w:rsidR="003F12A6" w:rsidRDefault="003F12A6" w:rsidP="003F12A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</w:p>
        </w:tc>
      </w:tr>
      <w:tr w:rsidR="003F12A6" w:rsidTr="003F12A6">
        <w:trPr>
          <w:jc w:val="center"/>
        </w:trPr>
        <w:tc>
          <w:tcPr>
            <w:tcW w:w="3080" w:type="dxa"/>
            <w:vAlign w:val="center"/>
          </w:tcPr>
          <w:p w:rsidR="003F12A6" w:rsidRDefault="003F12A6" w:rsidP="003F12A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Tandem axle groups fitted with 8 tyres</w:t>
            </w:r>
          </w:p>
        </w:tc>
        <w:tc>
          <w:tcPr>
            <w:tcW w:w="3081" w:type="dxa"/>
            <w:vAlign w:val="center"/>
          </w:tcPr>
          <w:p w:rsidR="003F12A6" w:rsidRDefault="003F12A6" w:rsidP="003F12A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16.5</w:t>
            </w:r>
          </w:p>
        </w:tc>
        <w:tc>
          <w:tcPr>
            <w:tcW w:w="3081" w:type="dxa"/>
            <w:vAlign w:val="center"/>
          </w:tcPr>
          <w:p w:rsidR="003F12A6" w:rsidRDefault="003F12A6" w:rsidP="003F12A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</w:p>
        </w:tc>
      </w:tr>
      <w:tr w:rsidR="003F12A6" w:rsidTr="003F12A6">
        <w:trPr>
          <w:jc w:val="center"/>
        </w:trPr>
        <w:tc>
          <w:tcPr>
            <w:tcW w:w="3080" w:type="dxa"/>
            <w:vAlign w:val="center"/>
          </w:tcPr>
          <w:p w:rsidR="003F12A6" w:rsidRDefault="003F12A6" w:rsidP="003F12A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Triaxle group fitted with 12 tyres</w:t>
            </w:r>
          </w:p>
        </w:tc>
        <w:tc>
          <w:tcPr>
            <w:tcW w:w="3081" w:type="dxa"/>
            <w:vAlign w:val="center"/>
          </w:tcPr>
          <w:p w:rsidR="003F12A6" w:rsidRDefault="003F12A6" w:rsidP="003F12A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3081" w:type="dxa"/>
            <w:vAlign w:val="center"/>
          </w:tcPr>
          <w:p w:rsidR="003F12A6" w:rsidRDefault="003F12A6" w:rsidP="003F12A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22.5</w:t>
            </w:r>
          </w:p>
        </w:tc>
      </w:tr>
      <w:bookmarkEnd w:id="0"/>
    </w:tbl>
    <w:p w:rsidR="003F12A6" w:rsidRDefault="003F12A6" w:rsidP="003F12A6">
      <w:pPr>
        <w:pStyle w:val="ListParagraph"/>
        <w:ind w:left="1080"/>
        <w:jc w:val="both"/>
        <w:rPr>
          <w:lang w:val="en-US"/>
        </w:rPr>
      </w:pPr>
    </w:p>
    <w:p w:rsidR="003F12A6" w:rsidRDefault="003F12A6" w:rsidP="003F12A6">
      <w:pPr>
        <w:pStyle w:val="ListParagraph"/>
        <w:numPr>
          <w:ilvl w:val="0"/>
          <w:numId w:val="20"/>
        </w:numPr>
        <w:jc w:val="both"/>
        <w:rPr>
          <w:lang w:val="en-US"/>
        </w:rPr>
      </w:pPr>
      <w:r w:rsidRPr="003F12A6">
        <w:rPr>
          <w:lang w:val="en-US"/>
        </w:rPr>
        <w:t xml:space="preserve">In relation to </w:t>
      </w:r>
      <w:r w:rsidR="00B31164">
        <w:rPr>
          <w:lang w:val="en-US"/>
        </w:rPr>
        <w:t>a</w:t>
      </w:r>
      <w:r w:rsidR="00B31164" w:rsidRPr="00BB7014">
        <w:rPr>
          <w:lang w:val="en-US"/>
        </w:rPr>
        <w:t>rticulated vehicles where the prime mover is fitted with a tande</w:t>
      </w:r>
      <w:r w:rsidR="00B31164">
        <w:rPr>
          <w:lang w:val="en-US"/>
        </w:rPr>
        <w:t>m drive axle group and the semi-</w:t>
      </w:r>
      <w:r w:rsidR="00B31164" w:rsidRPr="00BB7014">
        <w:rPr>
          <w:lang w:val="en-US"/>
        </w:rPr>
        <w:t>trailer is fitted with either a tandem or triaxl</w:t>
      </w:r>
      <w:r w:rsidR="00B31164">
        <w:rPr>
          <w:lang w:val="en-US"/>
        </w:rPr>
        <w:t xml:space="preserve">e group (as </w:t>
      </w:r>
      <w:r w:rsidR="00691973">
        <w:rPr>
          <w:lang w:val="en-US"/>
        </w:rPr>
        <w:t>in section 7(1</w:t>
      </w:r>
      <w:proofErr w:type="gramStart"/>
      <w:r>
        <w:rPr>
          <w:lang w:val="en-US"/>
        </w:rPr>
        <w:t>)(</w:t>
      </w:r>
      <w:proofErr w:type="gramEnd"/>
      <w:r>
        <w:rPr>
          <w:lang w:val="en-US"/>
        </w:rPr>
        <w:t xml:space="preserve">b) </w:t>
      </w:r>
      <w:r w:rsidRPr="003F12A6">
        <w:rPr>
          <w:lang w:val="en-US"/>
        </w:rPr>
        <w:t>of this Notice</w:t>
      </w:r>
      <w:r w:rsidR="00B31164">
        <w:rPr>
          <w:lang w:val="en-US"/>
        </w:rPr>
        <w:t>)</w:t>
      </w:r>
      <w:r w:rsidRPr="003F12A6">
        <w:rPr>
          <w:lang w:val="en-US"/>
        </w:rPr>
        <w:t>, the mass on an axle or axle group not fitted with a Road Friendly Suspension must not exceed</w:t>
      </w:r>
      <w:r>
        <w:rPr>
          <w:lang w:val="en-US"/>
        </w:rPr>
        <w:t xml:space="preserve"> the limits specified in Table 2</w:t>
      </w:r>
      <w:r w:rsidRPr="003F12A6">
        <w:rPr>
          <w:lang w:val="en-US"/>
        </w:rPr>
        <w:t xml:space="preserve"> of this Notice for the specified axle or axle group.</w:t>
      </w:r>
    </w:p>
    <w:p w:rsidR="003F12A6" w:rsidRPr="00052D56" w:rsidRDefault="003F12A6" w:rsidP="003F12A6">
      <w:pPr>
        <w:jc w:val="both"/>
        <w:rPr>
          <w:b/>
          <w:lang w:val="en-US"/>
        </w:rPr>
      </w:pPr>
      <w:r w:rsidRPr="00052D56">
        <w:rPr>
          <w:b/>
          <w:lang w:val="en-US"/>
        </w:rPr>
        <w:t>Table 2: Conditional mass requirements for articulated vehicles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Caption w:val="Table 1: Axle Mass Limits and Axle Spacing"/>
        <w:tblDescription w:val="Table of conditional axle masses."/>
      </w:tblPr>
      <w:tblGrid>
        <w:gridCol w:w="2972"/>
        <w:gridCol w:w="2932"/>
        <w:gridCol w:w="3112"/>
      </w:tblGrid>
      <w:tr w:rsidR="00B31164" w:rsidRPr="003F12A6" w:rsidTr="00B31164">
        <w:trPr>
          <w:jc w:val="center"/>
        </w:trPr>
        <w:tc>
          <w:tcPr>
            <w:tcW w:w="2972" w:type="dxa"/>
            <w:vAlign w:val="center"/>
          </w:tcPr>
          <w:p w:rsidR="00B31164" w:rsidRPr="003F12A6" w:rsidRDefault="00B31164" w:rsidP="00B31164">
            <w:pPr>
              <w:pStyle w:val="Heading2"/>
              <w:outlineLvl w:val="1"/>
            </w:pPr>
          </w:p>
        </w:tc>
        <w:tc>
          <w:tcPr>
            <w:tcW w:w="2932" w:type="dxa"/>
            <w:vAlign w:val="center"/>
          </w:tcPr>
          <w:p w:rsidR="00B31164" w:rsidRPr="003F12A6" w:rsidRDefault="00B31164" w:rsidP="004E17A2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Column 1</w:t>
            </w:r>
          </w:p>
        </w:tc>
        <w:tc>
          <w:tcPr>
            <w:tcW w:w="3112" w:type="dxa"/>
            <w:vAlign w:val="center"/>
          </w:tcPr>
          <w:p w:rsidR="00B31164" w:rsidRPr="003F12A6" w:rsidRDefault="00B31164" w:rsidP="004E17A2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Column 2</w:t>
            </w:r>
          </w:p>
        </w:tc>
      </w:tr>
      <w:tr w:rsidR="003F12A6" w:rsidRPr="003F12A6" w:rsidTr="00B31164">
        <w:trPr>
          <w:jc w:val="center"/>
        </w:trPr>
        <w:tc>
          <w:tcPr>
            <w:tcW w:w="2972" w:type="dxa"/>
            <w:vAlign w:val="center"/>
          </w:tcPr>
          <w:p w:rsidR="003F12A6" w:rsidRPr="003F12A6" w:rsidRDefault="003F12A6" w:rsidP="00B31164">
            <w:pPr>
              <w:pStyle w:val="Heading2"/>
              <w:outlineLvl w:val="1"/>
            </w:pPr>
            <w:r w:rsidRPr="003F12A6">
              <w:t>Axle Group Configuration</w:t>
            </w:r>
          </w:p>
        </w:tc>
        <w:tc>
          <w:tcPr>
            <w:tcW w:w="2932" w:type="dxa"/>
            <w:vAlign w:val="center"/>
          </w:tcPr>
          <w:p w:rsidR="003F12A6" w:rsidRDefault="003F12A6" w:rsidP="004E17A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3F12A6">
              <w:rPr>
                <w:rFonts w:ascii="Calibri" w:hAnsi="Calibri"/>
                <w:b/>
                <w:color w:val="000000"/>
              </w:rPr>
              <w:t>General Mass Limit</w:t>
            </w:r>
          </w:p>
          <w:p w:rsidR="003F12A6" w:rsidRPr="003F12A6" w:rsidRDefault="003F12A6" w:rsidP="004E17A2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(tonnes)</w:t>
            </w:r>
          </w:p>
        </w:tc>
        <w:tc>
          <w:tcPr>
            <w:tcW w:w="3112" w:type="dxa"/>
            <w:vAlign w:val="center"/>
          </w:tcPr>
          <w:p w:rsidR="003F12A6" w:rsidRPr="003F12A6" w:rsidRDefault="003F12A6" w:rsidP="004E17A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3F12A6">
              <w:rPr>
                <w:rFonts w:ascii="Calibri" w:hAnsi="Calibri"/>
                <w:b/>
                <w:color w:val="000000"/>
              </w:rPr>
              <w:t>Mass Limit under this Notice</w:t>
            </w:r>
            <w:r>
              <w:rPr>
                <w:rFonts w:ascii="Calibri" w:hAnsi="Calibri"/>
                <w:b/>
                <w:color w:val="000000"/>
              </w:rPr>
              <w:t xml:space="preserve"> (tonnes)</w:t>
            </w:r>
          </w:p>
        </w:tc>
      </w:tr>
      <w:tr w:rsidR="003F12A6" w:rsidTr="00B31164">
        <w:trPr>
          <w:jc w:val="center"/>
        </w:trPr>
        <w:tc>
          <w:tcPr>
            <w:tcW w:w="2972" w:type="dxa"/>
            <w:vAlign w:val="center"/>
          </w:tcPr>
          <w:p w:rsidR="003F12A6" w:rsidRDefault="003F12A6" w:rsidP="004E17A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Tandem axle groups fitted with 8 tyres</w:t>
            </w:r>
          </w:p>
        </w:tc>
        <w:tc>
          <w:tcPr>
            <w:tcW w:w="2932" w:type="dxa"/>
            <w:vAlign w:val="center"/>
          </w:tcPr>
          <w:p w:rsidR="003F12A6" w:rsidRDefault="003F12A6" w:rsidP="004E17A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16.5</w:t>
            </w:r>
          </w:p>
        </w:tc>
        <w:tc>
          <w:tcPr>
            <w:tcW w:w="3112" w:type="dxa"/>
            <w:vAlign w:val="center"/>
          </w:tcPr>
          <w:p w:rsidR="003F12A6" w:rsidRDefault="003F12A6" w:rsidP="004E17A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</w:p>
        </w:tc>
      </w:tr>
      <w:tr w:rsidR="003F12A6" w:rsidTr="00B31164">
        <w:trPr>
          <w:jc w:val="center"/>
        </w:trPr>
        <w:tc>
          <w:tcPr>
            <w:tcW w:w="2972" w:type="dxa"/>
            <w:vAlign w:val="center"/>
          </w:tcPr>
          <w:p w:rsidR="003F12A6" w:rsidRDefault="003F12A6" w:rsidP="004E17A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Triaxle group fitted with 12 tyres</w:t>
            </w:r>
          </w:p>
        </w:tc>
        <w:tc>
          <w:tcPr>
            <w:tcW w:w="2932" w:type="dxa"/>
            <w:vAlign w:val="center"/>
          </w:tcPr>
          <w:p w:rsidR="003F12A6" w:rsidRDefault="003F12A6" w:rsidP="004E17A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3112" w:type="dxa"/>
            <w:vAlign w:val="center"/>
          </w:tcPr>
          <w:p w:rsidR="003F12A6" w:rsidRDefault="00052D56" w:rsidP="004E17A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21.0</w:t>
            </w:r>
          </w:p>
        </w:tc>
      </w:tr>
    </w:tbl>
    <w:p w:rsidR="00163DDD" w:rsidRDefault="00163DDD" w:rsidP="0042217E">
      <w:pPr>
        <w:pStyle w:val="ListParagraph"/>
        <w:numPr>
          <w:ilvl w:val="0"/>
          <w:numId w:val="1"/>
        </w:numPr>
        <w:jc w:val="both"/>
        <w:rPr>
          <w:b/>
          <w:lang w:val="en-US"/>
        </w:rPr>
      </w:pPr>
      <w:r w:rsidRPr="00163DDD">
        <w:rPr>
          <w:b/>
          <w:lang w:val="en-US"/>
        </w:rPr>
        <w:lastRenderedPageBreak/>
        <w:t xml:space="preserve">Condition - </w:t>
      </w:r>
      <w:r w:rsidR="00DF626D">
        <w:rPr>
          <w:b/>
          <w:lang w:val="en-US"/>
        </w:rPr>
        <w:t>Stated Routes, Areas and Networks</w:t>
      </w:r>
    </w:p>
    <w:p w:rsidR="00163DDD" w:rsidRPr="00163DDD" w:rsidRDefault="00163DDD" w:rsidP="0042217E">
      <w:pPr>
        <w:pStyle w:val="ListParagraph"/>
        <w:jc w:val="both"/>
        <w:rPr>
          <w:b/>
          <w:lang w:val="en-US"/>
        </w:rPr>
      </w:pPr>
    </w:p>
    <w:p w:rsidR="00323EC4" w:rsidRPr="00904490" w:rsidRDefault="007B7E56" w:rsidP="00904490">
      <w:pPr>
        <w:pStyle w:val="ListParagraph"/>
        <w:numPr>
          <w:ilvl w:val="0"/>
          <w:numId w:val="9"/>
        </w:numPr>
        <w:jc w:val="both"/>
        <w:rPr>
          <w:lang w:val="en-US"/>
        </w:rPr>
      </w:pPr>
      <w:r>
        <w:rPr>
          <w:lang w:val="en-US"/>
        </w:rPr>
        <w:t xml:space="preserve">An </w:t>
      </w:r>
      <w:r w:rsidR="00323EC4">
        <w:rPr>
          <w:lang w:val="en-US"/>
        </w:rPr>
        <w:t>eligible vehicle may access the</w:t>
      </w:r>
      <w:r w:rsidR="00231C9F">
        <w:rPr>
          <w:lang w:val="en-US"/>
        </w:rPr>
        <w:t xml:space="preserve"> Higher Mass Limits (HML) routes specifie</w:t>
      </w:r>
      <w:r w:rsidR="00323EC4">
        <w:rPr>
          <w:lang w:val="en-US"/>
        </w:rPr>
        <w:t xml:space="preserve">d on the South Australia </w:t>
      </w:r>
      <w:r w:rsidR="00295185">
        <w:rPr>
          <w:lang w:val="en-US"/>
        </w:rPr>
        <w:t>RAVnet</w:t>
      </w:r>
      <w:r w:rsidR="00323EC4">
        <w:rPr>
          <w:lang w:val="en-US"/>
        </w:rPr>
        <w:t>; including the following routes</w:t>
      </w:r>
      <w:r w:rsidR="00052D56">
        <w:rPr>
          <w:lang w:val="en-US"/>
        </w:rPr>
        <w:t xml:space="preserve"> corresponding to the following specific vehicles and combinations</w:t>
      </w:r>
      <w:r w:rsidR="00323EC4">
        <w:rPr>
          <w:lang w:val="en-US"/>
        </w:rPr>
        <w:t>:</w:t>
      </w:r>
    </w:p>
    <w:p w:rsidR="00904490" w:rsidRPr="00904490" w:rsidRDefault="00691973" w:rsidP="00904490">
      <w:pPr>
        <w:ind w:firstLine="720"/>
        <w:contextualSpacing/>
        <w:jc w:val="both"/>
        <w:rPr>
          <w:b/>
          <w:lang w:val="en-US"/>
        </w:rPr>
      </w:pPr>
      <w:r>
        <w:rPr>
          <w:b/>
          <w:lang w:val="en-US"/>
        </w:rPr>
        <w:t xml:space="preserve">Table 3: </w:t>
      </w:r>
      <w:r w:rsidR="00904490" w:rsidRPr="00904490">
        <w:rPr>
          <w:b/>
          <w:lang w:val="en-US"/>
        </w:rPr>
        <w:t>Table of Networks for eligible vehicles</w:t>
      </w:r>
    </w:p>
    <w:tbl>
      <w:tblPr>
        <w:tblStyle w:val="TableGrid"/>
        <w:tblW w:w="4711" w:type="pct"/>
        <w:tblInd w:w="534" w:type="dxa"/>
        <w:tblLook w:val="04A0" w:firstRow="1" w:lastRow="0" w:firstColumn="1" w:lastColumn="0" w:noHBand="0" w:noVBand="1"/>
        <w:tblCaption w:val="Table of Networks for eligible vehicles"/>
        <w:tblDescription w:val="A table of networks for eligible vehicles authorised to operate under this Notice"/>
      </w:tblPr>
      <w:tblGrid>
        <w:gridCol w:w="4819"/>
        <w:gridCol w:w="3889"/>
      </w:tblGrid>
      <w:tr w:rsidR="00904490" w:rsidRPr="00904490" w:rsidTr="00761718">
        <w:tc>
          <w:tcPr>
            <w:tcW w:w="2767" w:type="pct"/>
          </w:tcPr>
          <w:p w:rsidR="00904490" w:rsidRPr="00904490" w:rsidRDefault="00904490" w:rsidP="00655230">
            <w:pPr>
              <w:contextualSpacing/>
              <w:rPr>
                <w:b/>
                <w:lang w:val="en-US"/>
              </w:rPr>
            </w:pPr>
            <w:r w:rsidRPr="00904490">
              <w:rPr>
                <w:b/>
                <w:lang w:val="en-US"/>
              </w:rPr>
              <w:t>Vehicle</w:t>
            </w:r>
          </w:p>
        </w:tc>
        <w:tc>
          <w:tcPr>
            <w:tcW w:w="2233" w:type="pct"/>
          </w:tcPr>
          <w:p w:rsidR="00904490" w:rsidRPr="00904490" w:rsidRDefault="00904490" w:rsidP="00655230">
            <w:pPr>
              <w:contextualSpacing/>
              <w:rPr>
                <w:b/>
                <w:i/>
                <w:lang w:val="en-US"/>
              </w:rPr>
            </w:pPr>
            <w:r w:rsidRPr="00655230">
              <w:rPr>
                <w:b/>
                <w:lang w:val="en-US"/>
              </w:rPr>
              <w:t>Network</w:t>
            </w:r>
          </w:p>
        </w:tc>
      </w:tr>
      <w:tr w:rsidR="00355B4C" w:rsidTr="00761718">
        <w:tc>
          <w:tcPr>
            <w:tcW w:w="2767" w:type="pct"/>
          </w:tcPr>
          <w:p w:rsidR="00355B4C" w:rsidRPr="00904490" w:rsidRDefault="00355B4C" w:rsidP="00AE7842">
            <w:pPr>
              <w:contextualSpacing/>
              <w:rPr>
                <w:lang w:val="en-US"/>
              </w:rPr>
            </w:pPr>
            <w:r w:rsidRPr="00904490">
              <w:rPr>
                <w:lang w:val="en-US"/>
              </w:rPr>
              <w:t>Articulated vehicle, rigid truck and bus</w:t>
            </w:r>
          </w:p>
        </w:tc>
        <w:tc>
          <w:tcPr>
            <w:tcW w:w="2233" w:type="pct"/>
          </w:tcPr>
          <w:p w:rsidR="00355B4C" w:rsidRDefault="00355B4C" w:rsidP="00AE7842">
            <w:pPr>
              <w:contextualSpacing/>
              <w:rPr>
                <w:i/>
                <w:lang w:val="en-US"/>
              </w:rPr>
            </w:pPr>
            <w:r w:rsidRPr="00ED14BE">
              <w:rPr>
                <w:lang w:val="en-US"/>
              </w:rPr>
              <w:t>19m Network (HML)</w:t>
            </w:r>
          </w:p>
        </w:tc>
      </w:tr>
      <w:tr w:rsidR="00355B4C" w:rsidTr="00761718">
        <w:tc>
          <w:tcPr>
            <w:tcW w:w="2767" w:type="pct"/>
          </w:tcPr>
          <w:p w:rsidR="00355B4C" w:rsidRPr="00904490" w:rsidRDefault="00355B4C" w:rsidP="00AE7842">
            <w:pPr>
              <w:contextualSpacing/>
              <w:rPr>
                <w:lang w:val="en-US"/>
              </w:rPr>
            </w:pPr>
            <w:r w:rsidRPr="00904490">
              <w:rPr>
                <w:lang w:val="en-US"/>
              </w:rPr>
              <w:t xml:space="preserve">23m </w:t>
            </w:r>
            <w:r>
              <w:rPr>
                <w:lang w:val="en-US"/>
              </w:rPr>
              <w:t>B</w:t>
            </w:r>
            <w:r w:rsidRPr="00904490">
              <w:rPr>
                <w:lang w:val="en-US"/>
              </w:rPr>
              <w:t>-double</w:t>
            </w:r>
          </w:p>
        </w:tc>
        <w:tc>
          <w:tcPr>
            <w:tcW w:w="2233" w:type="pct"/>
          </w:tcPr>
          <w:p w:rsidR="00355B4C" w:rsidRDefault="00355B4C" w:rsidP="00AE7842">
            <w:pPr>
              <w:contextualSpacing/>
              <w:rPr>
                <w:i/>
                <w:lang w:val="en-US"/>
              </w:rPr>
            </w:pPr>
            <w:r w:rsidRPr="00ED14BE">
              <w:rPr>
                <w:lang w:val="en-US"/>
              </w:rPr>
              <w:t>23m B Double (HML)</w:t>
            </w:r>
          </w:p>
        </w:tc>
      </w:tr>
      <w:tr w:rsidR="00355B4C" w:rsidTr="00761718">
        <w:tc>
          <w:tcPr>
            <w:tcW w:w="2767" w:type="pct"/>
          </w:tcPr>
          <w:p w:rsidR="00355B4C" w:rsidRPr="00904490" w:rsidRDefault="00355B4C" w:rsidP="00AE7842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26m B-d</w:t>
            </w:r>
            <w:r w:rsidRPr="00904490">
              <w:rPr>
                <w:lang w:val="en-US"/>
              </w:rPr>
              <w:t>ouble</w:t>
            </w:r>
          </w:p>
        </w:tc>
        <w:tc>
          <w:tcPr>
            <w:tcW w:w="2233" w:type="pct"/>
          </w:tcPr>
          <w:p w:rsidR="00355B4C" w:rsidRDefault="00355B4C" w:rsidP="00AE7842">
            <w:pPr>
              <w:contextualSpacing/>
              <w:rPr>
                <w:i/>
                <w:lang w:val="en-US"/>
              </w:rPr>
            </w:pPr>
            <w:r w:rsidRPr="00ED14BE">
              <w:rPr>
                <w:lang w:val="en-US"/>
              </w:rPr>
              <w:t>26m B Double (HML)</w:t>
            </w:r>
          </w:p>
        </w:tc>
      </w:tr>
      <w:tr w:rsidR="00355B4C" w:rsidTr="00761718">
        <w:tc>
          <w:tcPr>
            <w:tcW w:w="2767" w:type="pct"/>
          </w:tcPr>
          <w:p w:rsidR="00355B4C" w:rsidRPr="00904490" w:rsidRDefault="00355B4C" w:rsidP="00AE7842">
            <w:pPr>
              <w:contextualSpacing/>
              <w:rPr>
                <w:lang w:val="en-US"/>
              </w:rPr>
            </w:pPr>
            <w:r w:rsidRPr="00904490">
              <w:rPr>
                <w:lang w:val="en-US"/>
              </w:rPr>
              <w:t>25m Vehicle Carrier</w:t>
            </w:r>
          </w:p>
        </w:tc>
        <w:tc>
          <w:tcPr>
            <w:tcW w:w="2233" w:type="pct"/>
          </w:tcPr>
          <w:p w:rsidR="00355B4C" w:rsidRDefault="00355B4C" w:rsidP="00AE7842">
            <w:pPr>
              <w:contextualSpacing/>
              <w:rPr>
                <w:i/>
                <w:lang w:val="en-US"/>
              </w:rPr>
            </w:pPr>
            <w:r w:rsidRPr="00ED14BE">
              <w:rPr>
                <w:lang w:val="en-US"/>
              </w:rPr>
              <w:t>25m Vehicle Carrier (HML)</w:t>
            </w:r>
          </w:p>
        </w:tc>
      </w:tr>
      <w:tr w:rsidR="00355B4C" w:rsidTr="00761718">
        <w:tc>
          <w:tcPr>
            <w:tcW w:w="2767" w:type="pct"/>
          </w:tcPr>
          <w:p w:rsidR="00355B4C" w:rsidRPr="00904490" w:rsidRDefault="00355B4C" w:rsidP="00AE7842">
            <w:pPr>
              <w:contextualSpacing/>
              <w:rPr>
                <w:lang w:val="en-US"/>
              </w:rPr>
            </w:pPr>
            <w:r w:rsidRPr="00904490">
              <w:rPr>
                <w:lang w:val="en-US"/>
              </w:rPr>
              <w:t>Articulated vehicle towing a converter dolly</w:t>
            </w:r>
          </w:p>
        </w:tc>
        <w:tc>
          <w:tcPr>
            <w:tcW w:w="2233" w:type="pct"/>
          </w:tcPr>
          <w:p w:rsidR="00355B4C" w:rsidRDefault="00355B4C" w:rsidP="00AE7842">
            <w:pPr>
              <w:contextualSpacing/>
              <w:rPr>
                <w:i/>
                <w:lang w:val="en-US"/>
              </w:rPr>
            </w:pPr>
            <w:r w:rsidRPr="00ED14BE">
              <w:rPr>
                <w:lang w:val="en-US"/>
              </w:rPr>
              <w:t>Road Train Converter Dolly (HML)</w:t>
            </w:r>
          </w:p>
        </w:tc>
      </w:tr>
      <w:tr w:rsidR="00355B4C" w:rsidTr="00761718">
        <w:tc>
          <w:tcPr>
            <w:tcW w:w="2767" w:type="pct"/>
          </w:tcPr>
          <w:p w:rsidR="00355B4C" w:rsidRPr="00904490" w:rsidRDefault="00355B4C" w:rsidP="00AE7842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Type 1 Road Train not longer than 30m</w:t>
            </w:r>
          </w:p>
        </w:tc>
        <w:tc>
          <w:tcPr>
            <w:tcW w:w="2233" w:type="pct"/>
          </w:tcPr>
          <w:p w:rsidR="00355B4C" w:rsidRPr="00ED14BE" w:rsidRDefault="00355B4C" w:rsidP="00AE7842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30m Road Train (HML)</w:t>
            </w:r>
          </w:p>
        </w:tc>
      </w:tr>
      <w:tr w:rsidR="00355B4C" w:rsidTr="00761718">
        <w:tc>
          <w:tcPr>
            <w:tcW w:w="2767" w:type="pct"/>
          </w:tcPr>
          <w:p w:rsidR="00355B4C" w:rsidRPr="00904490" w:rsidRDefault="00355B4C" w:rsidP="00AE7842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 xml:space="preserve">Type 1 Road Train up to </w:t>
            </w:r>
            <w:r w:rsidRPr="00904490">
              <w:rPr>
                <w:lang w:val="en-US"/>
              </w:rPr>
              <w:t xml:space="preserve">36.5m </w:t>
            </w:r>
            <w:r>
              <w:rPr>
                <w:lang w:val="en-US"/>
              </w:rPr>
              <w:t>long</w:t>
            </w:r>
          </w:p>
        </w:tc>
        <w:tc>
          <w:tcPr>
            <w:tcW w:w="2233" w:type="pct"/>
          </w:tcPr>
          <w:p w:rsidR="00355B4C" w:rsidRDefault="00355B4C" w:rsidP="00AE7842">
            <w:pPr>
              <w:contextualSpacing/>
              <w:rPr>
                <w:i/>
                <w:lang w:val="en-US"/>
              </w:rPr>
            </w:pPr>
            <w:r w:rsidRPr="00ED14BE">
              <w:rPr>
                <w:lang w:val="en-US"/>
              </w:rPr>
              <w:t>36.5m Road Train (HML)</w:t>
            </w:r>
          </w:p>
        </w:tc>
      </w:tr>
      <w:tr w:rsidR="00355B4C" w:rsidTr="00761718">
        <w:tc>
          <w:tcPr>
            <w:tcW w:w="2767" w:type="pct"/>
          </w:tcPr>
          <w:p w:rsidR="00355B4C" w:rsidRPr="00904490" w:rsidRDefault="00355B4C" w:rsidP="00AE7842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Modular B-triple</w:t>
            </w:r>
          </w:p>
        </w:tc>
        <w:tc>
          <w:tcPr>
            <w:tcW w:w="2233" w:type="pct"/>
          </w:tcPr>
          <w:p w:rsidR="00355B4C" w:rsidRPr="00ED14BE" w:rsidRDefault="00355B4C" w:rsidP="00AE7842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PBS Level 3A Network</w:t>
            </w:r>
          </w:p>
        </w:tc>
      </w:tr>
      <w:tr w:rsidR="00355B4C" w:rsidTr="00761718">
        <w:tc>
          <w:tcPr>
            <w:tcW w:w="2767" w:type="pct"/>
          </w:tcPr>
          <w:p w:rsidR="00355B4C" w:rsidRPr="00904490" w:rsidRDefault="00355B4C" w:rsidP="00AE7842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Type 2 R</w:t>
            </w:r>
            <w:r w:rsidRPr="00904490">
              <w:rPr>
                <w:lang w:val="en-US"/>
              </w:rPr>
              <w:t>oad Train</w:t>
            </w:r>
            <w:r>
              <w:rPr>
                <w:lang w:val="en-US"/>
              </w:rPr>
              <w:t xml:space="preserve"> up to 53.5m</w:t>
            </w:r>
          </w:p>
        </w:tc>
        <w:tc>
          <w:tcPr>
            <w:tcW w:w="2233" w:type="pct"/>
          </w:tcPr>
          <w:p w:rsidR="00355B4C" w:rsidRDefault="00355B4C" w:rsidP="00AE7842">
            <w:pPr>
              <w:contextualSpacing/>
              <w:rPr>
                <w:i/>
                <w:lang w:val="en-US"/>
              </w:rPr>
            </w:pPr>
            <w:r w:rsidRPr="00ED14BE">
              <w:rPr>
                <w:lang w:val="en-US"/>
              </w:rPr>
              <w:t>53.5m Road Train (HML)</w:t>
            </w:r>
          </w:p>
        </w:tc>
      </w:tr>
    </w:tbl>
    <w:p w:rsidR="00761718" w:rsidRDefault="00761718" w:rsidP="00323EC4">
      <w:pPr>
        <w:ind w:left="2160" w:hanging="1440"/>
        <w:contextualSpacing/>
        <w:jc w:val="both"/>
        <w:rPr>
          <w:i/>
          <w:lang w:val="en-US"/>
        </w:rPr>
      </w:pPr>
    </w:p>
    <w:p w:rsidR="00323EC4" w:rsidRDefault="00323EC4" w:rsidP="00323EC4">
      <w:pPr>
        <w:ind w:left="2160" w:hanging="1440"/>
        <w:contextualSpacing/>
        <w:jc w:val="both"/>
        <w:rPr>
          <w:i/>
          <w:lang w:val="en-US"/>
        </w:rPr>
      </w:pPr>
      <w:r>
        <w:rPr>
          <w:i/>
          <w:lang w:val="en-US"/>
        </w:rPr>
        <w:t>Notes:</w:t>
      </w:r>
      <w:r>
        <w:rPr>
          <w:i/>
          <w:lang w:val="en-US"/>
        </w:rPr>
        <w:tab/>
        <w:t>These networks are titled “HML Routes” but specifically apply to vehicles under this Notice, even though this Notice is a Class 3 exemption and not a HML Declaration.</w:t>
      </w:r>
    </w:p>
    <w:p w:rsidR="00323EC4" w:rsidRDefault="00323EC4" w:rsidP="00323EC4">
      <w:pPr>
        <w:ind w:left="1440" w:hanging="720"/>
        <w:contextualSpacing/>
        <w:jc w:val="both"/>
        <w:rPr>
          <w:i/>
          <w:lang w:val="en-US"/>
        </w:rPr>
      </w:pPr>
    </w:p>
    <w:p w:rsidR="00DF626D" w:rsidRDefault="00323EC4" w:rsidP="003F12A6">
      <w:pPr>
        <w:ind w:left="2160"/>
        <w:contextualSpacing/>
        <w:jc w:val="both"/>
        <w:rPr>
          <w:i/>
          <w:lang w:val="en-US"/>
        </w:rPr>
      </w:pPr>
      <w:r>
        <w:rPr>
          <w:i/>
          <w:lang w:val="en-US"/>
        </w:rPr>
        <w:t>R</w:t>
      </w:r>
      <w:r w:rsidR="007B7E56" w:rsidRPr="007B7E56">
        <w:rPr>
          <w:i/>
          <w:lang w:val="en-US"/>
        </w:rPr>
        <w:t xml:space="preserve">elevant maps are published by </w:t>
      </w:r>
      <w:r w:rsidR="00BB7014">
        <w:rPr>
          <w:i/>
          <w:lang w:val="en-US"/>
        </w:rPr>
        <w:t xml:space="preserve">the South Australia Department of </w:t>
      </w:r>
      <w:r w:rsidR="00EC0F5C">
        <w:rPr>
          <w:i/>
          <w:lang w:val="en-US"/>
        </w:rPr>
        <w:t>Planning</w:t>
      </w:r>
      <w:r w:rsidR="00BB7014">
        <w:rPr>
          <w:i/>
          <w:lang w:val="en-US"/>
        </w:rPr>
        <w:t>, Transport and Infrastructure,</w:t>
      </w:r>
      <w:r w:rsidR="007B7E56" w:rsidRPr="007B7E56">
        <w:rPr>
          <w:i/>
          <w:lang w:val="en-US"/>
        </w:rPr>
        <w:t xml:space="preserve"> and may be found on </w:t>
      </w:r>
      <w:r w:rsidR="00BB7014">
        <w:rPr>
          <w:i/>
          <w:lang w:val="en-US"/>
        </w:rPr>
        <w:t>its</w:t>
      </w:r>
      <w:r w:rsidR="007B7E56" w:rsidRPr="007B7E56">
        <w:rPr>
          <w:i/>
          <w:lang w:val="en-US"/>
        </w:rPr>
        <w:t xml:space="preserve"> website.</w:t>
      </w:r>
    </w:p>
    <w:p w:rsidR="00052D56" w:rsidRPr="00052D56" w:rsidRDefault="00052D56" w:rsidP="00052D56">
      <w:pPr>
        <w:pStyle w:val="ListParagraph"/>
        <w:rPr>
          <w:lang w:val="en-US"/>
        </w:rPr>
      </w:pPr>
    </w:p>
    <w:p w:rsidR="00052D56" w:rsidRPr="002023D6" w:rsidRDefault="00052D56" w:rsidP="00052D56">
      <w:pPr>
        <w:pStyle w:val="ListParagraph"/>
        <w:numPr>
          <w:ilvl w:val="0"/>
          <w:numId w:val="1"/>
        </w:numPr>
        <w:jc w:val="both"/>
        <w:rPr>
          <w:b/>
          <w:lang w:val="en-US"/>
        </w:rPr>
      </w:pPr>
      <w:r w:rsidRPr="002023D6">
        <w:rPr>
          <w:b/>
          <w:lang w:val="en-US"/>
        </w:rPr>
        <w:t>Conditions - Mass Management Accreditation</w:t>
      </w:r>
    </w:p>
    <w:p w:rsidR="00052D56" w:rsidRPr="002023D6" w:rsidRDefault="00052D56" w:rsidP="00052D56">
      <w:pPr>
        <w:pStyle w:val="ListParagraph"/>
        <w:rPr>
          <w:lang w:val="en-US"/>
        </w:rPr>
      </w:pPr>
    </w:p>
    <w:p w:rsidR="00CD7BD8" w:rsidRPr="00691973" w:rsidRDefault="00052D56" w:rsidP="00691973">
      <w:pPr>
        <w:pStyle w:val="ListParagraph"/>
        <w:ind w:left="1080"/>
        <w:jc w:val="both"/>
        <w:rPr>
          <w:b/>
          <w:lang w:val="en-US"/>
        </w:rPr>
      </w:pPr>
      <w:r w:rsidRPr="007B7E56">
        <w:rPr>
          <w:lang w:val="en-US"/>
        </w:rPr>
        <w:t>The operator of a vehicle that is travelling under this notice, and whose tri-axle or qua</w:t>
      </w:r>
      <w:r>
        <w:rPr>
          <w:lang w:val="en-US"/>
        </w:rPr>
        <w:t>d-axle group exceeds 20.0t</w:t>
      </w:r>
      <w:r w:rsidRPr="007B7E56">
        <w:rPr>
          <w:lang w:val="en-US"/>
        </w:rPr>
        <w:t xml:space="preserve">, must </w:t>
      </w:r>
      <w:r w:rsidR="001D42C2">
        <w:rPr>
          <w:lang w:val="en-US"/>
        </w:rPr>
        <w:t>hold</w:t>
      </w:r>
      <w:r w:rsidRPr="007B7E56">
        <w:rPr>
          <w:lang w:val="en-US"/>
        </w:rPr>
        <w:t xml:space="preserve"> Mass Management </w:t>
      </w:r>
      <w:r w:rsidR="001D42C2">
        <w:rPr>
          <w:lang w:val="en-US"/>
        </w:rPr>
        <w:t>Accreditation</w:t>
      </w:r>
      <w:r w:rsidRPr="007B7E56">
        <w:rPr>
          <w:lang w:val="en-US"/>
        </w:rPr>
        <w:t>.</w:t>
      </w:r>
    </w:p>
    <w:p w:rsidR="00691973" w:rsidRDefault="00691973">
      <w:pPr>
        <w:rPr>
          <w:b/>
          <w:lang w:val="en-US"/>
        </w:rPr>
      </w:pPr>
    </w:p>
    <w:p w:rsidR="00355B4C" w:rsidRDefault="00355B4C" w:rsidP="00691973">
      <w:pPr>
        <w:ind w:firstLine="720"/>
        <w:contextualSpacing/>
        <w:rPr>
          <w:sz w:val="24"/>
          <w:szCs w:val="24"/>
        </w:rPr>
      </w:pPr>
    </w:p>
    <w:p w:rsidR="00355B4C" w:rsidRDefault="00355B4C" w:rsidP="00691973">
      <w:pPr>
        <w:ind w:firstLine="720"/>
        <w:contextualSpacing/>
        <w:rPr>
          <w:sz w:val="24"/>
          <w:szCs w:val="24"/>
        </w:rPr>
      </w:pPr>
    </w:p>
    <w:p w:rsidR="00691973" w:rsidRPr="00644F6B" w:rsidRDefault="00691973" w:rsidP="00691973">
      <w:pPr>
        <w:ind w:firstLine="720"/>
        <w:contextualSpacing/>
        <w:rPr>
          <w:sz w:val="24"/>
          <w:szCs w:val="24"/>
        </w:rPr>
      </w:pPr>
      <w:r w:rsidRPr="00644F6B">
        <w:rPr>
          <w:sz w:val="24"/>
          <w:szCs w:val="24"/>
        </w:rPr>
        <w:t>Peter Caprioli</w:t>
      </w:r>
    </w:p>
    <w:p w:rsidR="00691973" w:rsidRPr="00644F6B" w:rsidRDefault="00691973" w:rsidP="00691973">
      <w:pPr>
        <w:ind w:left="72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Executive Director (Freight and Supply Chain Productivity)</w:t>
      </w:r>
    </w:p>
    <w:p w:rsidR="00691973" w:rsidRPr="00644F6B" w:rsidRDefault="00691973" w:rsidP="00691973">
      <w:pPr>
        <w:ind w:left="720"/>
        <w:contextualSpacing/>
        <w:rPr>
          <w:sz w:val="24"/>
          <w:szCs w:val="24"/>
        </w:rPr>
      </w:pPr>
      <w:r w:rsidRPr="00644F6B">
        <w:rPr>
          <w:sz w:val="24"/>
          <w:szCs w:val="24"/>
        </w:rPr>
        <w:t>National Heavy Vehicle Regulator</w:t>
      </w:r>
    </w:p>
    <w:p w:rsidR="00691973" w:rsidRPr="00691973" w:rsidRDefault="00691973" w:rsidP="00691973">
      <w:pPr>
        <w:jc w:val="both"/>
        <w:rPr>
          <w:b/>
          <w:lang w:val="en-US"/>
        </w:rPr>
      </w:pPr>
    </w:p>
    <w:sectPr w:rsidR="00691973" w:rsidRPr="00691973" w:rsidSect="00761718"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3B3" w:rsidRDefault="001B43B3" w:rsidP="00A357C6">
      <w:pPr>
        <w:spacing w:after="0" w:line="240" w:lineRule="auto"/>
      </w:pPr>
      <w:r>
        <w:separator/>
      </w:r>
    </w:p>
  </w:endnote>
  <w:endnote w:type="continuationSeparator" w:id="0">
    <w:p w:rsidR="001B43B3" w:rsidRDefault="001B43B3" w:rsidP="00A35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7C6" w:rsidRDefault="00A357C6">
    <w:pPr>
      <w:pStyle w:val="Footer"/>
      <w:jc w:val="right"/>
      <w:rPr>
        <w:lang w:val="en-US"/>
      </w:rPr>
    </w:pPr>
  </w:p>
  <w:p w:rsidR="00761718" w:rsidRDefault="00761718" w:rsidP="00A357C6">
    <w:pPr>
      <w:pStyle w:val="Footer"/>
      <w:jc w:val="right"/>
      <w:rPr>
        <w:lang w:val="en-US"/>
      </w:rPr>
    </w:pPr>
    <w:r w:rsidRPr="00761718">
      <w:rPr>
        <w:lang w:val="en-US"/>
      </w:rPr>
      <w:t>South Australia Class 3 (Application of Higher Mass Limits) Mass Exemption Notice 20</w:t>
    </w:r>
    <w:r w:rsidR="00D959EE">
      <w:rPr>
        <w:lang w:val="en-US"/>
      </w:rPr>
      <w:t xml:space="preserve">20 </w:t>
    </w:r>
    <w:r w:rsidRPr="00761718">
      <w:rPr>
        <w:lang w:val="en-US"/>
      </w:rPr>
      <w:t>(No.</w:t>
    </w:r>
    <w:r w:rsidR="00D959EE">
      <w:rPr>
        <w:lang w:val="en-US"/>
      </w:rPr>
      <w:t>1</w:t>
    </w:r>
    <w:r w:rsidRPr="00761718">
      <w:rPr>
        <w:lang w:val="en-US"/>
      </w:rPr>
      <w:t>)</w:t>
    </w:r>
  </w:p>
  <w:p w:rsidR="00A357C6" w:rsidRDefault="00355B4C" w:rsidP="00A357C6">
    <w:pPr>
      <w:pStyle w:val="Footer"/>
      <w:jc w:val="right"/>
    </w:pPr>
    <w:sdt>
      <w:sdtPr>
        <w:id w:val="1972017961"/>
        <w:docPartObj>
          <w:docPartGallery w:val="Page Numbers (Bottom of Page)"/>
          <w:docPartUnique/>
        </w:docPartObj>
      </w:sdtPr>
      <w:sdtEndPr/>
      <w:sdtContent>
        <w:sdt>
          <w:sdt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A357C6">
              <w:t xml:space="preserve">Page </w:t>
            </w:r>
            <w:r w:rsidR="00A357C6">
              <w:rPr>
                <w:b/>
                <w:bCs/>
                <w:sz w:val="24"/>
                <w:szCs w:val="24"/>
              </w:rPr>
              <w:fldChar w:fldCharType="begin"/>
            </w:r>
            <w:r w:rsidR="00A357C6">
              <w:rPr>
                <w:b/>
                <w:bCs/>
              </w:rPr>
              <w:instrText xml:space="preserve"> PAGE </w:instrText>
            </w:r>
            <w:r w:rsidR="00A357C6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 w:rsidR="00A357C6">
              <w:rPr>
                <w:b/>
                <w:bCs/>
                <w:sz w:val="24"/>
                <w:szCs w:val="24"/>
              </w:rPr>
              <w:fldChar w:fldCharType="end"/>
            </w:r>
            <w:r w:rsidR="00A357C6">
              <w:t xml:space="preserve"> of </w:t>
            </w:r>
            <w:r w:rsidR="00A357C6">
              <w:rPr>
                <w:b/>
                <w:bCs/>
                <w:sz w:val="24"/>
                <w:szCs w:val="24"/>
              </w:rPr>
              <w:fldChar w:fldCharType="begin"/>
            </w:r>
            <w:r w:rsidR="00A357C6">
              <w:rPr>
                <w:b/>
                <w:bCs/>
              </w:rPr>
              <w:instrText xml:space="preserve"> NUMPAGES  </w:instrText>
            </w:r>
            <w:r w:rsidR="00A357C6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 w:rsidR="00A357C6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718" w:rsidRDefault="00761718" w:rsidP="00761718">
    <w:pPr>
      <w:pStyle w:val="Footer"/>
      <w:jc w:val="right"/>
      <w:rPr>
        <w:lang w:val="en-US"/>
      </w:rPr>
    </w:pPr>
  </w:p>
  <w:p w:rsidR="00761718" w:rsidRDefault="00761718" w:rsidP="00761718">
    <w:pPr>
      <w:pStyle w:val="Footer"/>
      <w:jc w:val="right"/>
      <w:rPr>
        <w:lang w:val="en-US"/>
      </w:rPr>
    </w:pPr>
    <w:r w:rsidRPr="00761718">
      <w:rPr>
        <w:lang w:val="en-US"/>
      </w:rPr>
      <w:t xml:space="preserve">South Australia Class 3 (Application of Higher Mass Limits) </w:t>
    </w:r>
    <w:r w:rsidR="00F53C4E">
      <w:rPr>
        <w:lang w:val="en-US"/>
      </w:rPr>
      <w:t xml:space="preserve">Mass Exemption Notice </w:t>
    </w:r>
    <w:r w:rsidR="00D959EE">
      <w:rPr>
        <w:lang w:val="en-US"/>
      </w:rPr>
      <w:t>2020 (No.1</w:t>
    </w:r>
    <w:r w:rsidRPr="00761718">
      <w:rPr>
        <w:lang w:val="en-US"/>
      </w:rPr>
      <w:t>)</w:t>
    </w:r>
  </w:p>
  <w:p w:rsidR="00761718" w:rsidRDefault="00355B4C" w:rsidP="00761718">
    <w:pPr>
      <w:pStyle w:val="Footer"/>
      <w:jc w:val="right"/>
    </w:pPr>
    <w:sdt>
      <w:sdtPr>
        <w:id w:val="-219061694"/>
        <w:docPartObj>
          <w:docPartGallery w:val="Page Numbers (Bottom of Page)"/>
          <w:docPartUnique/>
        </w:docPartObj>
      </w:sdtPr>
      <w:sdtEndPr/>
      <w:sdtContent>
        <w:sdt>
          <w:sdtPr>
            <w:id w:val="-697083107"/>
            <w:docPartObj>
              <w:docPartGallery w:val="Page Numbers (Top of Page)"/>
              <w:docPartUnique/>
            </w:docPartObj>
          </w:sdtPr>
          <w:sdtEndPr/>
          <w:sdtContent>
            <w:r w:rsidR="00761718">
              <w:t xml:space="preserve">Page </w:t>
            </w:r>
            <w:r w:rsidR="00761718">
              <w:rPr>
                <w:b/>
                <w:bCs/>
                <w:sz w:val="24"/>
                <w:szCs w:val="24"/>
              </w:rPr>
              <w:fldChar w:fldCharType="begin"/>
            </w:r>
            <w:r w:rsidR="00761718">
              <w:rPr>
                <w:b/>
                <w:bCs/>
              </w:rPr>
              <w:instrText xml:space="preserve"> PAGE </w:instrText>
            </w:r>
            <w:r w:rsidR="00761718">
              <w:rPr>
                <w:b/>
                <w:bCs/>
                <w:sz w:val="24"/>
                <w:szCs w:val="24"/>
              </w:rPr>
              <w:fldChar w:fldCharType="separate"/>
            </w:r>
            <w:r w:rsidR="00691973">
              <w:rPr>
                <w:b/>
                <w:bCs/>
                <w:noProof/>
              </w:rPr>
              <w:t>1</w:t>
            </w:r>
            <w:r w:rsidR="00761718">
              <w:rPr>
                <w:b/>
                <w:bCs/>
                <w:sz w:val="24"/>
                <w:szCs w:val="24"/>
              </w:rPr>
              <w:fldChar w:fldCharType="end"/>
            </w:r>
            <w:r w:rsidR="00761718">
              <w:t xml:space="preserve"> of </w:t>
            </w:r>
            <w:r w:rsidR="00761718">
              <w:rPr>
                <w:b/>
                <w:bCs/>
                <w:sz w:val="24"/>
                <w:szCs w:val="24"/>
              </w:rPr>
              <w:fldChar w:fldCharType="begin"/>
            </w:r>
            <w:r w:rsidR="00761718">
              <w:rPr>
                <w:b/>
                <w:bCs/>
              </w:rPr>
              <w:instrText xml:space="preserve"> NUMPAGES  </w:instrText>
            </w:r>
            <w:r w:rsidR="00761718">
              <w:rPr>
                <w:b/>
                <w:bCs/>
                <w:sz w:val="24"/>
                <w:szCs w:val="24"/>
              </w:rPr>
              <w:fldChar w:fldCharType="separate"/>
            </w:r>
            <w:r w:rsidR="00691973">
              <w:rPr>
                <w:b/>
                <w:bCs/>
                <w:noProof/>
              </w:rPr>
              <w:t>4</w:t>
            </w:r>
            <w:r w:rsidR="00761718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3B3" w:rsidRDefault="001B43B3" w:rsidP="00A357C6">
      <w:pPr>
        <w:spacing w:after="0" w:line="240" w:lineRule="auto"/>
      </w:pPr>
      <w:r>
        <w:separator/>
      </w:r>
    </w:p>
  </w:footnote>
  <w:footnote w:type="continuationSeparator" w:id="0">
    <w:p w:rsidR="001B43B3" w:rsidRDefault="001B43B3" w:rsidP="00A35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691973" w:rsidRPr="00CE796A" w:rsidTr="00AE7842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691973" w:rsidRPr="00CE796A" w:rsidRDefault="00691973" w:rsidP="00AE7842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1FC5A38" wp14:editId="191DCE2B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691973" w:rsidRPr="00CE796A" w:rsidRDefault="00691973" w:rsidP="00AE7842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691973" w:rsidRPr="00CE796A" w:rsidRDefault="00691973" w:rsidP="00AE7842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691973" w:rsidRPr="00CE796A" w:rsidTr="00AE7842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691973" w:rsidRPr="00CE796A" w:rsidRDefault="00691973" w:rsidP="00AE7842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691973" w:rsidRPr="00840A06" w:rsidRDefault="00691973" w:rsidP="00AE7842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691973" w:rsidRDefault="006919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48ED2E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50799D"/>
    <w:multiLevelType w:val="hybridMultilevel"/>
    <w:tmpl w:val="02B8D03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200671"/>
    <w:multiLevelType w:val="hybridMultilevel"/>
    <w:tmpl w:val="02B8D03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9C4BBD"/>
    <w:multiLevelType w:val="hybridMultilevel"/>
    <w:tmpl w:val="8F6E0CA8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06624D9"/>
    <w:multiLevelType w:val="hybridMultilevel"/>
    <w:tmpl w:val="02B8D03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994F55"/>
    <w:multiLevelType w:val="hybridMultilevel"/>
    <w:tmpl w:val="02B8D03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7413325"/>
    <w:multiLevelType w:val="hybridMultilevel"/>
    <w:tmpl w:val="930A69B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4570E2"/>
    <w:multiLevelType w:val="hybridMultilevel"/>
    <w:tmpl w:val="02B8D03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705818"/>
    <w:multiLevelType w:val="hybridMultilevel"/>
    <w:tmpl w:val="8F6E0CA8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CFD24E1"/>
    <w:multiLevelType w:val="hybridMultilevel"/>
    <w:tmpl w:val="8F6E0CA8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E3E40F2"/>
    <w:multiLevelType w:val="hybridMultilevel"/>
    <w:tmpl w:val="02B8D03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FE229D0"/>
    <w:multiLevelType w:val="hybridMultilevel"/>
    <w:tmpl w:val="02B8D03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DF51C37"/>
    <w:multiLevelType w:val="hybridMultilevel"/>
    <w:tmpl w:val="7A5C9186"/>
    <w:lvl w:ilvl="0" w:tplc="0C090017">
      <w:start w:val="1"/>
      <w:numFmt w:val="lowerLetter"/>
      <w:lvlText w:val="%1)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E0514BD"/>
    <w:multiLevelType w:val="hybridMultilevel"/>
    <w:tmpl w:val="02B8D03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8BF0A52"/>
    <w:multiLevelType w:val="hybridMultilevel"/>
    <w:tmpl w:val="8F6E0CA8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AA14B0D"/>
    <w:multiLevelType w:val="hybridMultilevel"/>
    <w:tmpl w:val="02B8D03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71040FD"/>
    <w:multiLevelType w:val="hybridMultilevel"/>
    <w:tmpl w:val="4754D632"/>
    <w:lvl w:ilvl="0" w:tplc="FC803FAC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C531D2D"/>
    <w:multiLevelType w:val="hybridMultilevel"/>
    <w:tmpl w:val="02B8D03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1442848"/>
    <w:multiLevelType w:val="hybridMultilevel"/>
    <w:tmpl w:val="02B8D03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5536B41"/>
    <w:multiLevelType w:val="hybridMultilevel"/>
    <w:tmpl w:val="02B8D03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8321B66"/>
    <w:multiLevelType w:val="hybridMultilevel"/>
    <w:tmpl w:val="7A5C9186"/>
    <w:lvl w:ilvl="0" w:tplc="0C090017">
      <w:start w:val="1"/>
      <w:numFmt w:val="lowerLetter"/>
      <w:lvlText w:val="%1)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6D2F78C9"/>
    <w:multiLevelType w:val="hybridMultilevel"/>
    <w:tmpl w:val="02B8D03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1243A71"/>
    <w:multiLevelType w:val="hybridMultilevel"/>
    <w:tmpl w:val="A6DA9EC4"/>
    <w:lvl w:ilvl="0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17"/>
  </w:num>
  <w:num w:numId="5">
    <w:abstractNumId w:val="5"/>
  </w:num>
  <w:num w:numId="6">
    <w:abstractNumId w:val="21"/>
  </w:num>
  <w:num w:numId="7">
    <w:abstractNumId w:val="7"/>
  </w:num>
  <w:num w:numId="8">
    <w:abstractNumId w:val="14"/>
  </w:num>
  <w:num w:numId="9">
    <w:abstractNumId w:val="10"/>
  </w:num>
  <w:num w:numId="10">
    <w:abstractNumId w:val="2"/>
  </w:num>
  <w:num w:numId="11">
    <w:abstractNumId w:val="0"/>
  </w:num>
  <w:num w:numId="12">
    <w:abstractNumId w:val="20"/>
  </w:num>
  <w:num w:numId="13">
    <w:abstractNumId w:val="12"/>
  </w:num>
  <w:num w:numId="14">
    <w:abstractNumId w:val="18"/>
  </w:num>
  <w:num w:numId="15">
    <w:abstractNumId w:val="9"/>
  </w:num>
  <w:num w:numId="16">
    <w:abstractNumId w:val="3"/>
  </w:num>
  <w:num w:numId="17">
    <w:abstractNumId w:val="16"/>
  </w:num>
  <w:num w:numId="18">
    <w:abstractNumId w:val="13"/>
  </w:num>
  <w:num w:numId="19">
    <w:abstractNumId w:val="22"/>
  </w:num>
  <w:num w:numId="20">
    <w:abstractNumId w:val="19"/>
  </w:num>
  <w:num w:numId="21">
    <w:abstractNumId w:val="8"/>
  </w:num>
  <w:num w:numId="22">
    <w:abstractNumId w:val="1"/>
  </w:num>
  <w:num w:numId="23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4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67A"/>
    <w:rsid w:val="00014575"/>
    <w:rsid w:val="000348A7"/>
    <w:rsid w:val="00046850"/>
    <w:rsid w:val="00046CC6"/>
    <w:rsid w:val="0005241F"/>
    <w:rsid w:val="00052D56"/>
    <w:rsid w:val="0006167A"/>
    <w:rsid w:val="00070D40"/>
    <w:rsid w:val="00087DF2"/>
    <w:rsid w:val="000A0E8A"/>
    <w:rsid w:val="000C7972"/>
    <w:rsid w:val="00105A18"/>
    <w:rsid w:val="00135978"/>
    <w:rsid w:val="001622D1"/>
    <w:rsid w:val="00163DDD"/>
    <w:rsid w:val="001717F3"/>
    <w:rsid w:val="00187A2D"/>
    <w:rsid w:val="001B43B3"/>
    <w:rsid w:val="001D42C2"/>
    <w:rsid w:val="00200510"/>
    <w:rsid w:val="002023D6"/>
    <w:rsid w:val="00231C9F"/>
    <w:rsid w:val="00246D45"/>
    <w:rsid w:val="002700F4"/>
    <w:rsid w:val="00295185"/>
    <w:rsid w:val="002D4418"/>
    <w:rsid w:val="00304248"/>
    <w:rsid w:val="00323EC4"/>
    <w:rsid w:val="00341362"/>
    <w:rsid w:val="00355B4C"/>
    <w:rsid w:val="003759B4"/>
    <w:rsid w:val="003E54B3"/>
    <w:rsid w:val="003F12A6"/>
    <w:rsid w:val="003F3852"/>
    <w:rsid w:val="00404FC4"/>
    <w:rsid w:val="00406A8F"/>
    <w:rsid w:val="0042217E"/>
    <w:rsid w:val="00454371"/>
    <w:rsid w:val="004726F0"/>
    <w:rsid w:val="00472E68"/>
    <w:rsid w:val="00481D1F"/>
    <w:rsid w:val="00524C39"/>
    <w:rsid w:val="00535025"/>
    <w:rsid w:val="00574A4E"/>
    <w:rsid w:val="005954CE"/>
    <w:rsid w:val="005D11A8"/>
    <w:rsid w:val="006076F5"/>
    <w:rsid w:val="0065447F"/>
    <w:rsid w:val="00655230"/>
    <w:rsid w:val="00661727"/>
    <w:rsid w:val="00675A61"/>
    <w:rsid w:val="00691973"/>
    <w:rsid w:val="00697106"/>
    <w:rsid w:val="006A2DF1"/>
    <w:rsid w:val="006C029C"/>
    <w:rsid w:val="006C09BE"/>
    <w:rsid w:val="006C159C"/>
    <w:rsid w:val="006C5B2B"/>
    <w:rsid w:val="00705D12"/>
    <w:rsid w:val="007333D2"/>
    <w:rsid w:val="00761718"/>
    <w:rsid w:val="007B7E56"/>
    <w:rsid w:val="007C312D"/>
    <w:rsid w:val="007F340F"/>
    <w:rsid w:val="00825103"/>
    <w:rsid w:val="00841A3B"/>
    <w:rsid w:val="00874A31"/>
    <w:rsid w:val="0087735A"/>
    <w:rsid w:val="008846B0"/>
    <w:rsid w:val="008969E6"/>
    <w:rsid w:val="008A0D66"/>
    <w:rsid w:val="008A1A6F"/>
    <w:rsid w:val="008A7450"/>
    <w:rsid w:val="008B3337"/>
    <w:rsid w:val="008F0E97"/>
    <w:rsid w:val="008F1540"/>
    <w:rsid w:val="00904490"/>
    <w:rsid w:val="009300B1"/>
    <w:rsid w:val="009345A3"/>
    <w:rsid w:val="009506EF"/>
    <w:rsid w:val="00952056"/>
    <w:rsid w:val="0099285B"/>
    <w:rsid w:val="009B72D2"/>
    <w:rsid w:val="009B7370"/>
    <w:rsid w:val="00A06AC6"/>
    <w:rsid w:val="00A13210"/>
    <w:rsid w:val="00A357C6"/>
    <w:rsid w:val="00A45E09"/>
    <w:rsid w:val="00A72293"/>
    <w:rsid w:val="00A95356"/>
    <w:rsid w:val="00AA1569"/>
    <w:rsid w:val="00AB7FBA"/>
    <w:rsid w:val="00AD66FD"/>
    <w:rsid w:val="00AD7F93"/>
    <w:rsid w:val="00B04D60"/>
    <w:rsid w:val="00B11E19"/>
    <w:rsid w:val="00B31164"/>
    <w:rsid w:val="00B54B9D"/>
    <w:rsid w:val="00B63AC3"/>
    <w:rsid w:val="00B83391"/>
    <w:rsid w:val="00B85D53"/>
    <w:rsid w:val="00B914E8"/>
    <w:rsid w:val="00B94AD5"/>
    <w:rsid w:val="00BA3368"/>
    <w:rsid w:val="00BB7014"/>
    <w:rsid w:val="00BD18BB"/>
    <w:rsid w:val="00C00461"/>
    <w:rsid w:val="00C02A7C"/>
    <w:rsid w:val="00C147A2"/>
    <w:rsid w:val="00C154EA"/>
    <w:rsid w:val="00C5278E"/>
    <w:rsid w:val="00C90639"/>
    <w:rsid w:val="00C96B71"/>
    <w:rsid w:val="00CA6752"/>
    <w:rsid w:val="00CC313E"/>
    <w:rsid w:val="00CD7BD8"/>
    <w:rsid w:val="00CE0605"/>
    <w:rsid w:val="00CF3B63"/>
    <w:rsid w:val="00D449FC"/>
    <w:rsid w:val="00D5556C"/>
    <w:rsid w:val="00D57CFE"/>
    <w:rsid w:val="00D668A0"/>
    <w:rsid w:val="00D959EE"/>
    <w:rsid w:val="00DB79F2"/>
    <w:rsid w:val="00DD5527"/>
    <w:rsid w:val="00DE1C23"/>
    <w:rsid w:val="00DF626D"/>
    <w:rsid w:val="00E238C7"/>
    <w:rsid w:val="00E243A4"/>
    <w:rsid w:val="00E356D8"/>
    <w:rsid w:val="00EC0F5C"/>
    <w:rsid w:val="00EC544A"/>
    <w:rsid w:val="00ED6708"/>
    <w:rsid w:val="00F02B4A"/>
    <w:rsid w:val="00F11AC8"/>
    <w:rsid w:val="00F16290"/>
    <w:rsid w:val="00F213CA"/>
    <w:rsid w:val="00F24125"/>
    <w:rsid w:val="00F53C4E"/>
    <w:rsid w:val="00F6331C"/>
    <w:rsid w:val="00FA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47A2"/>
    <w:pPr>
      <w:keepNext/>
      <w:spacing w:after="0" w:line="240" w:lineRule="auto"/>
      <w:jc w:val="center"/>
      <w:outlineLvl w:val="0"/>
    </w:pPr>
    <w:rPr>
      <w:rFonts w:ascii="Calibri" w:hAnsi="Calibri"/>
      <w:b/>
      <w:color w:val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47A2"/>
    <w:pPr>
      <w:keepNext/>
      <w:spacing w:after="0" w:line="240" w:lineRule="auto"/>
      <w:jc w:val="center"/>
      <w:outlineLvl w:val="1"/>
    </w:pPr>
    <w:rPr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7C6"/>
  </w:style>
  <w:style w:type="paragraph" w:styleId="Footer">
    <w:name w:val="footer"/>
    <w:basedOn w:val="Normal"/>
    <w:link w:val="FooterChar"/>
    <w:uiPriority w:val="99"/>
    <w:unhideWhenUsed/>
    <w:rsid w:val="00A3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7C6"/>
  </w:style>
  <w:style w:type="paragraph" w:styleId="ListParagraph">
    <w:name w:val="List Paragraph"/>
    <w:basedOn w:val="Normal"/>
    <w:uiPriority w:val="34"/>
    <w:qFormat/>
    <w:rsid w:val="006076F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F38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38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38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38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38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85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F3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5D11A8"/>
    <w:pPr>
      <w:numPr>
        <w:numId w:val="11"/>
      </w:numPr>
      <w:contextualSpacing/>
    </w:pPr>
  </w:style>
  <w:style w:type="paragraph" w:styleId="Revision">
    <w:name w:val="Revision"/>
    <w:hidden/>
    <w:uiPriority w:val="99"/>
    <w:semiHidden/>
    <w:rsid w:val="00CA6752"/>
    <w:pPr>
      <w:spacing w:after="0" w:line="240" w:lineRule="auto"/>
    </w:pPr>
  </w:style>
  <w:style w:type="character" w:customStyle="1" w:styleId="headingname">
    <w:name w:val="headingname"/>
    <w:basedOn w:val="DefaultParagraphFont"/>
    <w:rsid w:val="00BA3368"/>
    <w:rPr>
      <w:b/>
      <w:bCs/>
      <w:vanish w:val="0"/>
      <w:webHidden w:val="0"/>
      <w:specVanish w:val="0"/>
    </w:rPr>
  </w:style>
  <w:style w:type="character" w:customStyle="1" w:styleId="Heading1Char">
    <w:name w:val="Heading 1 Char"/>
    <w:basedOn w:val="DefaultParagraphFont"/>
    <w:link w:val="Heading1"/>
    <w:uiPriority w:val="9"/>
    <w:rsid w:val="00C147A2"/>
    <w:rPr>
      <w:rFonts w:ascii="Calibri" w:hAnsi="Calibri"/>
      <w:b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C147A2"/>
    <w:rPr>
      <w:b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47A2"/>
    <w:pPr>
      <w:keepNext/>
      <w:spacing w:after="0" w:line="240" w:lineRule="auto"/>
      <w:jc w:val="center"/>
      <w:outlineLvl w:val="0"/>
    </w:pPr>
    <w:rPr>
      <w:rFonts w:ascii="Calibri" w:hAnsi="Calibri"/>
      <w:b/>
      <w:color w:val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47A2"/>
    <w:pPr>
      <w:keepNext/>
      <w:spacing w:after="0" w:line="240" w:lineRule="auto"/>
      <w:jc w:val="center"/>
      <w:outlineLvl w:val="1"/>
    </w:pPr>
    <w:rPr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7C6"/>
  </w:style>
  <w:style w:type="paragraph" w:styleId="Footer">
    <w:name w:val="footer"/>
    <w:basedOn w:val="Normal"/>
    <w:link w:val="FooterChar"/>
    <w:uiPriority w:val="99"/>
    <w:unhideWhenUsed/>
    <w:rsid w:val="00A3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7C6"/>
  </w:style>
  <w:style w:type="paragraph" w:styleId="ListParagraph">
    <w:name w:val="List Paragraph"/>
    <w:basedOn w:val="Normal"/>
    <w:uiPriority w:val="34"/>
    <w:qFormat/>
    <w:rsid w:val="006076F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F38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38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38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38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38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85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F3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5D11A8"/>
    <w:pPr>
      <w:numPr>
        <w:numId w:val="11"/>
      </w:numPr>
      <w:contextualSpacing/>
    </w:pPr>
  </w:style>
  <w:style w:type="paragraph" w:styleId="Revision">
    <w:name w:val="Revision"/>
    <w:hidden/>
    <w:uiPriority w:val="99"/>
    <w:semiHidden/>
    <w:rsid w:val="00CA6752"/>
    <w:pPr>
      <w:spacing w:after="0" w:line="240" w:lineRule="auto"/>
    </w:pPr>
  </w:style>
  <w:style w:type="character" w:customStyle="1" w:styleId="headingname">
    <w:name w:val="headingname"/>
    <w:basedOn w:val="DefaultParagraphFont"/>
    <w:rsid w:val="00BA3368"/>
    <w:rPr>
      <w:b/>
      <w:bCs/>
      <w:vanish w:val="0"/>
      <w:webHidden w:val="0"/>
      <w:specVanish w:val="0"/>
    </w:rPr>
  </w:style>
  <w:style w:type="character" w:customStyle="1" w:styleId="Heading1Char">
    <w:name w:val="Heading 1 Char"/>
    <w:basedOn w:val="DefaultParagraphFont"/>
    <w:link w:val="Heading1"/>
    <w:uiPriority w:val="9"/>
    <w:rsid w:val="00C147A2"/>
    <w:rPr>
      <w:rFonts w:ascii="Calibri" w:hAnsi="Calibri"/>
      <w:b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C147A2"/>
    <w:rPr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2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83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6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941099">
                          <w:marLeft w:val="340"/>
                          <w:marRight w:val="0"/>
                          <w:marTop w:val="30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8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933159">
                                  <w:blockQuote w:val="1"/>
                                  <w:marLeft w:val="96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190556">
                                      <w:blockQuote w:val="1"/>
                                      <w:marLeft w:val="60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0076335">
                                      <w:blockQuote w:val="1"/>
                                      <w:marLeft w:val="60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086589">
                                          <w:blockQuote w:val="1"/>
                                          <w:marLeft w:val="60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2935632">
                                          <w:blockQuote w:val="1"/>
                                          <w:marLeft w:val="60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7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61EBF-4488-4652-B537-069E4302ACF2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742D7C7-C576-4C10-B850-AC252838C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Heavy Vehicle Regulator</Company>
  <LinksUpToDate>false</LinksUpToDate>
  <CharactersWithSpaces>6356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Crapnell</dc:creator>
  <cp:lastModifiedBy>Robert Crapnell</cp:lastModifiedBy>
  <cp:revision>9</cp:revision>
  <dcterms:created xsi:type="dcterms:W3CDTF">2019-01-31T04:47:00Z</dcterms:created>
  <dcterms:modified xsi:type="dcterms:W3CDTF">2019-12-16T23:24:00Z</dcterms:modified>
</cp:coreProperties>
</file>