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CB" w:rsidRDefault="006B74CB" w:rsidP="006B74CB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05pt;height:78.25pt" o:ole="" fillcolor="window">
            <v:imagedata r:id="rId8" o:title=""/>
          </v:shape>
          <o:OLEObject Type="Embed" ProgID="Word.Picture.8" ShapeID="_x0000_i1026" DrawAspect="Content" ObjectID="_1667823994" r:id="rId9"/>
        </w:object>
      </w:r>
    </w:p>
    <w:p w:rsidR="006B74CB" w:rsidRDefault="006B74CB" w:rsidP="006B74CB"/>
    <w:p w:rsidR="006B74CB" w:rsidRDefault="006B74CB" w:rsidP="006B74CB"/>
    <w:p w:rsidR="006B74CB" w:rsidRDefault="006B74CB" w:rsidP="006B74CB"/>
    <w:p w:rsidR="006B74CB" w:rsidRDefault="006B74CB" w:rsidP="006B74CB"/>
    <w:p w:rsidR="006B74CB" w:rsidRDefault="006B74CB" w:rsidP="006B74CB"/>
    <w:p w:rsidR="006B74CB" w:rsidRDefault="006B74CB" w:rsidP="006B74CB"/>
    <w:p w:rsidR="0048364F" w:rsidRPr="005A3B73" w:rsidRDefault="006B74CB" w:rsidP="0048364F">
      <w:pPr>
        <w:pStyle w:val="ShortT"/>
      </w:pPr>
      <w:r>
        <w:t>Biosecurity Amendment (Traveller Declarations and Other Measures) Act 2020</w:t>
      </w:r>
    </w:p>
    <w:p w:rsidR="0048364F" w:rsidRPr="005A3B73" w:rsidRDefault="0048364F" w:rsidP="0048364F"/>
    <w:p w:rsidR="0048364F" w:rsidRPr="005A3B73" w:rsidRDefault="00C164CA" w:rsidP="00E95A6D">
      <w:pPr>
        <w:pStyle w:val="Actno"/>
        <w:spacing w:before="400"/>
      </w:pPr>
      <w:r w:rsidRPr="005A3B73">
        <w:t>No.</w:t>
      </w:r>
      <w:r w:rsidR="001E1FB8">
        <w:t xml:space="preserve"> 99</w:t>
      </w:r>
      <w:r w:rsidRPr="005A3B73">
        <w:t>, 20</w:t>
      </w:r>
      <w:r w:rsidR="001B633C" w:rsidRPr="005A3B73">
        <w:t>20</w:t>
      </w:r>
    </w:p>
    <w:p w:rsidR="0048364F" w:rsidRPr="005A3B73" w:rsidRDefault="0048364F" w:rsidP="0048364F"/>
    <w:p w:rsidR="00F0721E" w:rsidRDefault="00F0721E" w:rsidP="00F0721E">
      <w:pPr>
        <w:rPr>
          <w:lang w:eastAsia="en-AU"/>
        </w:rPr>
      </w:pPr>
    </w:p>
    <w:p w:rsidR="0048364F" w:rsidRPr="005A3B73" w:rsidRDefault="0048364F" w:rsidP="0048364F"/>
    <w:p w:rsidR="0048364F" w:rsidRPr="005A3B73" w:rsidRDefault="0048364F" w:rsidP="0048364F"/>
    <w:p w:rsidR="0048364F" w:rsidRPr="005A3B73" w:rsidRDefault="0048364F" w:rsidP="0048364F"/>
    <w:p w:rsidR="006B74CB" w:rsidRDefault="006B74CB" w:rsidP="006B74CB">
      <w:pPr>
        <w:pStyle w:val="LongT"/>
      </w:pPr>
      <w:r>
        <w:t xml:space="preserve">An Act to amend the </w:t>
      </w:r>
      <w:r w:rsidRPr="006B74CB">
        <w:rPr>
          <w:i/>
        </w:rPr>
        <w:t>Biosecurity Act 2015</w:t>
      </w:r>
      <w:r>
        <w:t>, and for related purposes</w:t>
      </w:r>
    </w:p>
    <w:p w:rsidR="0048364F" w:rsidRPr="00D01B8C" w:rsidRDefault="0048364F" w:rsidP="0048364F">
      <w:pPr>
        <w:pStyle w:val="Header"/>
        <w:tabs>
          <w:tab w:val="clear" w:pos="4150"/>
          <w:tab w:val="clear" w:pos="8307"/>
        </w:tabs>
      </w:pPr>
      <w:r w:rsidRPr="00D01B8C">
        <w:rPr>
          <w:rStyle w:val="CharAmSchNo"/>
        </w:rPr>
        <w:t xml:space="preserve"> </w:t>
      </w:r>
      <w:r w:rsidRPr="00D01B8C">
        <w:rPr>
          <w:rStyle w:val="CharAmSchText"/>
        </w:rPr>
        <w:t xml:space="preserve"> </w:t>
      </w:r>
    </w:p>
    <w:p w:rsidR="0048364F" w:rsidRPr="00D01B8C" w:rsidRDefault="0048364F" w:rsidP="0048364F">
      <w:pPr>
        <w:pStyle w:val="Header"/>
        <w:tabs>
          <w:tab w:val="clear" w:pos="4150"/>
          <w:tab w:val="clear" w:pos="8307"/>
        </w:tabs>
      </w:pPr>
      <w:r w:rsidRPr="00D01B8C">
        <w:rPr>
          <w:rStyle w:val="CharAmPartNo"/>
        </w:rPr>
        <w:t xml:space="preserve"> </w:t>
      </w:r>
      <w:r w:rsidRPr="00D01B8C">
        <w:rPr>
          <w:rStyle w:val="CharAmPartText"/>
        </w:rPr>
        <w:t xml:space="preserve"> </w:t>
      </w:r>
    </w:p>
    <w:p w:rsidR="0048364F" w:rsidRPr="005A3B73" w:rsidRDefault="0048364F" w:rsidP="0048364F">
      <w:pPr>
        <w:sectPr w:rsidR="0048364F" w:rsidRPr="005A3B73" w:rsidSect="006B74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5A3B73" w:rsidRDefault="0048364F" w:rsidP="005A3B73">
      <w:pPr>
        <w:rPr>
          <w:sz w:val="36"/>
        </w:rPr>
      </w:pPr>
      <w:r w:rsidRPr="005A3B73">
        <w:rPr>
          <w:sz w:val="36"/>
        </w:rPr>
        <w:lastRenderedPageBreak/>
        <w:t>Contents</w:t>
      </w:r>
    </w:p>
    <w:bookmarkStart w:id="0" w:name="BKCheck15B_1"/>
    <w:bookmarkEnd w:id="0"/>
    <w:p w:rsidR="001E1FB8" w:rsidRDefault="001E1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E1FB8">
        <w:rPr>
          <w:noProof/>
        </w:rPr>
        <w:tab/>
      </w:r>
      <w:r w:rsidRPr="001E1FB8">
        <w:rPr>
          <w:noProof/>
        </w:rPr>
        <w:fldChar w:fldCharType="begin"/>
      </w:r>
      <w:r w:rsidRPr="001E1FB8">
        <w:rPr>
          <w:noProof/>
        </w:rPr>
        <w:instrText xml:space="preserve"> PAGEREF _Toc57211156 \h </w:instrText>
      </w:r>
      <w:r w:rsidRPr="001E1FB8">
        <w:rPr>
          <w:noProof/>
        </w:rPr>
      </w:r>
      <w:r w:rsidRPr="001E1FB8">
        <w:rPr>
          <w:noProof/>
        </w:rPr>
        <w:fldChar w:fldCharType="separate"/>
      </w:r>
      <w:r w:rsidRPr="001E1FB8">
        <w:rPr>
          <w:noProof/>
        </w:rPr>
        <w:t>2</w:t>
      </w:r>
      <w:r w:rsidRPr="001E1FB8">
        <w:rPr>
          <w:noProof/>
        </w:rPr>
        <w:fldChar w:fldCharType="end"/>
      </w:r>
    </w:p>
    <w:p w:rsidR="001E1FB8" w:rsidRDefault="001E1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E1FB8">
        <w:rPr>
          <w:noProof/>
        </w:rPr>
        <w:tab/>
      </w:r>
      <w:r w:rsidRPr="001E1FB8">
        <w:rPr>
          <w:noProof/>
        </w:rPr>
        <w:fldChar w:fldCharType="begin"/>
      </w:r>
      <w:r w:rsidRPr="001E1FB8">
        <w:rPr>
          <w:noProof/>
        </w:rPr>
        <w:instrText xml:space="preserve"> PAGEREF _Toc57211157 \h </w:instrText>
      </w:r>
      <w:r w:rsidRPr="001E1FB8">
        <w:rPr>
          <w:noProof/>
        </w:rPr>
      </w:r>
      <w:r w:rsidRPr="001E1FB8">
        <w:rPr>
          <w:noProof/>
        </w:rPr>
        <w:fldChar w:fldCharType="separate"/>
      </w:r>
      <w:r w:rsidRPr="001E1FB8">
        <w:rPr>
          <w:noProof/>
        </w:rPr>
        <w:t>3</w:t>
      </w:r>
      <w:r w:rsidRPr="001E1FB8">
        <w:rPr>
          <w:noProof/>
        </w:rPr>
        <w:fldChar w:fldCharType="end"/>
      </w:r>
    </w:p>
    <w:p w:rsidR="001E1FB8" w:rsidRDefault="001E1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E1FB8">
        <w:rPr>
          <w:noProof/>
        </w:rPr>
        <w:tab/>
      </w:r>
      <w:r w:rsidRPr="001E1FB8">
        <w:rPr>
          <w:noProof/>
        </w:rPr>
        <w:fldChar w:fldCharType="begin"/>
      </w:r>
      <w:r w:rsidRPr="001E1FB8">
        <w:rPr>
          <w:noProof/>
        </w:rPr>
        <w:instrText xml:space="preserve"> PAGEREF _Toc57211158 \h </w:instrText>
      </w:r>
      <w:r w:rsidRPr="001E1FB8">
        <w:rPr>
          <w:noProof/>
        </w:rPr>
      </w:r>
      <w:r w:rsidRPr="001E1FB8">
        <w:rPr>
          <w:noProof/>
        </w:rPr>
        <w:fldChar w:fldCharType="separate"/>
      </w:r>
      <w:r w:rsidRPr="001E1FB8">
        <w:rPr>
          <w:noProof/>
        </w:rPr>
        <w:t>3</w:t>
      </w:r>
      <w:r w:rsidRPr="001E1FB8">
        <w:rPr>
          <w:noProof/>
        </w:rPr>
        <w:fldChar w:fldCharType="end"/>
      </w:r>
    </w:p>
    <w:p w:rsidR="001E1FB8" w:rsidRDefault="001E1F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E1FB8">
        <w:rPr>
          <w:b w:val="0"/>
          <w:noProof/>
          <w:sz w:val="18"/>
        </w:rPr>
        <w:tab/>
      </w:r>
      <w:r w:rsidRPr="001E1FB8">
        <w:rPr>
          <w:b w:val="0"/>
          <w:noProof/>
          <w:sz w:val="18"/>
        </w:rPr>
        <w:fldChar w:fldCharType="begin"/>
      </w:r>
      <w:r w:rsidRPr="001E1FB8">
        <w:rPr>
          <w:b w:val="0"/>
          <w:noProof/>
          <w:sz w:val="18"/>
        </w:rPr>
        <w:instrText xml:space="preserve"> PAGEREF _Toc57211159 \h </w:instrText>
      </w:r>
      <w:r w:rsidRPr="001E1FB8">
        <w:rPr>
          <w:b w:val="0"/>
          <w:noProof/>
          <w:sz w:val="18"/>
        </w:rPr>
      </w:r>
      <w:r w:rsidRPr="001E1FB8">
        <w:rPr>
          <w:b w:val="0"/>
          <w:noProof/>
          <w:sz w:val="18"/>
        </w:rPr>
        <w:fldChar w:fldCharType="separate"/>
      </w:r>
      <w:r w:rsidRPr="001E1FB8">
        <w:rPr>
          <w:b w:val="0"/>
          <w:noProof/>
          <w:sz w:val="18"/>
        </w:rPr>
        <w:t>4</w:t>
      </w:r>
      <w:r w:rsidRPr="001E1FB8">
        <w:rPr>
          <w:b w:val="0"/>
          <w:noProof/>
          <w:sz w:val="18"/>
        </w:rPr>
        <w:fldChar w:fldCharType="end"/>
      </w:r>
    </w:p>
    <w:p w:rsidR="001E1FB8" w:rsidRDefault="001E1F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Act 2015</w:t>
      </w:r>
      <w:r w:rsidRPr="001E1FB8">
        <w:rPr>
          <w:i w:val="0"/>
          <w:noProof/>
          <w:sz w:val="18"/>
        </w:rPr>
        <w:tab/>
      </w:r>
      <w:r w:rsidRPr="001E1FB8">
        <w:rPr>
          <w:i w:val="0"/>
          <w:noProof/>
          <w:sz w:val="18"/>
        </w:rPr>
        <w:fldChar w:fldCharType="begin"/>
      </w:r>
      <w:r w:rsidRPr="001E1FB8">
        <w:rPr>
          <w:i w:val="0"/>
          <w:noProof/>
          <w:sz w:val="18"/>
        </w:rPr>
        <w:instrText xml:space="preserve"> PAGEREF _Toc57211160 \h </w:instrText>
      </w:r>
      <w:r w:rsidRPr="001E1FB8">
        <w:rPr>
          <w:i w:val="0"/>
          <w:noProof/>
          <w:sz w:val="18"/>
        </w:rPr>
      </w:r>
      <w:r w:rsidRPr="001E1FB8">
        <w:rPr>
          <w:i w:val="0"/>
          <w:noProof/>
          <w:sz w:val="18"/>
        </w:rPr>
        <w:fldChar w:fldCharType="separate"/>
      </w:r>
      <w:r w:rsidRPr="001E1FB8">
        <w:rPr>
          <w:i w:val="0"/>
          <w:noProof/>
          <w:sz w:val="18"/>
        </w:rPr>
        <w:t>4</w:t>
      </w:r>
      <w:r w:rsidRPr="001E1FB8">
        <w:rPr>
          <w:i w:val="0"/>
          <w:noProof/>
          <w:sz w:val="18"/>
        </w:rPr>
        <w:fldChar w:fldCharType="end"/>
      </w:r>
    </w:p>
    <w:p w:rsidR="00060FF9" w:rsidRPr="005A3B73" w:rsidRDefault="001E1FB8" w:rsidP="0048364F">
      <w:r>
        <w:fldChar w:fldCharType="end"/>
      </w:r>
    </w:p>
    <w:p w:rsidR="00FE7F93" w:rsidRPr="005A3B73" w:rsidRDefault="00FE7F93" w:rsidP="0048364F">
      <w:pPr>
        <w:sectPr w:rsidR="00FE7F93" w:rsidRPr="005A3B73" w:rsidSect="006B74C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:rsidR="006B74CB" w:rsidRDefault="006B74CB">
      <w:r>
        <w:object w:dxaOrig="2146" w:dyaOrig="1561">
          <v:shape id="_x0000_i1027" type="#_x0000_t75" alt="Commonwealth Coat of Arms of Australia" style="width:110.2pt;height:80.15pt" o:ole="" fillcolor="window">
            <v:imagedata r:id="rId8" o:title=""/>
          </v:shape>
          <o:OLEObject Type="Embed" ProgID="Word.Picture.8" ShapeID="_x0000_i1027" DrawAspect="Content" ObjectID="_1667823995" r:id="rId21"/>
        </w:object>
      </w:r>
    </w:p>
    <w:p w:rsidR="006B74CB" w:rsidRDefault="006B74CB"/>
    <w:p w:rsidR="006B74CB" w:rsidRDefault="006B74CB" w:rsidP="000178F8">
      <w:pPr>
        <w:spacing w:line="240" w:lineRule="auto"/>
      </w:pPr>
    </w:p>
    <w:p w:rsidR="006B74CB" w:rsidRDefault="001E1FB8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Biosecurity Amendment (Traveller Declarations and Other Measures) Act 2020</w:t>
      </w:r>
      <w:r>
        <w:rPr>
          <w:noProof/>
        </w:rPr>
        <w:fldChar w:fldCharType="end"/>
      </w:r>
    </w:p>
    <w:p w:rsidR="006B74CB" w:rsidRDefault="001E1FB8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99, 2020</w:t>
      </w:r>
      <w:r>
        <w:rPr>
          <w:noProof/>
        </w:rPr>
        <w:fldChar w:fldCharType="end"/>
      </w:r>
    </w:p>
    <w:p w:rsidR="006B74CB" w:rsidRPr="009A0728" w:rsidRDefault="006B74C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B74CB" w:rsidRPr="009A0728" w:rsidRDefault="006B74CB" w:rsidP="009A0728">
      <w:pPr>
        <w:spacing w:line="40" w:lineRule="exact"/>
        <w:rPr>
          <w:rFonts w:eastAsia="Calibri"/>
          <w:b/>
          <w:sz w:val="28"/>
        </w:rPr>
      </w:pPr>
    </w:p>
    <w:p w:rsidR="006B74CB" w:rsidRPr="009A0728" w:rsidRDefault="006B74C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6B74CB" w:rsidRDefault="006B74CB" w:rsidP="006B74CB">
      <w:pPr>
        <w:pStyle w:val="Page1"/>
        <w:spacing w:before="400"/>
      </w:pPr>
      <w:r>
        <w:t xml:space="preserve">An Act to amend the </w:t>
      </w:r>
      <w:r w:rsidRPr="006B74CB">
        <w:rPr>
          <w:i/>
        </w:rPr>
        <w:t>Biosecurity Act 2015</w:t>
      </w:r>
      <w:r>
        <w:t>, and for related purposes</w:t>
      </w:r>
    </w:p>
    <w:p w:rsidR="001E1FB8" w:rsidRDefault="001E1FB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November 2020</w:t>
      </w:r>
      <w:r>
        <w:rPr>
          <w:sz w:val="24"/>
        </w:rPr>
        <w:t>]</w:t>
      </w:r>
    </w:p>
    <w:p w:rsidR="0048364F" w:rsidRPr="005A3B73" w:rsidRDefault="0048364F" w:rsidP="005A3B73">
      <w:pPr>
        <w:spacing w:before="240" w:line="240" w:lineRule="auto"/>
        <w:rPr>
          <w:sz w:val="32"/>
        </w:rPr>
      </w:pPr>
      <w:r w:rsidRPr="005A3B73">
        <w:rPr>
          <w:sz w:val="32"/>
        </w:rPr>
        <w:t>The Parliament of Australia enacts:</w:t>
      </w:r>
    </w:p>
    <w:p w:rsidR="0048364F" w:rsidRPr="005A3B73" w:rsidRDefault="0048364F" w:rsidP="005A3B73">
      <w:pPr>
        <w:pStyle w:val="ActHead5"/>
      </w:pPr>
      <w:bookmarkStart w:id="2" w:name="_Toc57211156"/>
      <w:r w:rsidRPr="00D01B8C">
        <w:rPr>
          <w:rStyle w:val="CharSectno"/>
        </w:rPr>
        <w:t>1</w:t>
      </w:r>
      <w:r w:rsidRPr="005A3B73">
        <w:t xml:space="preserve">  Short title</w:t>
      </w:r>
      <w:bookmarkEnd w:id="2"/>
    </w:p>
    <w:p w:rsidR="0048364F" w:rsidRPr="005A3B73" w:rsidRDefault="0048364F" w:rsidP="005A3B73">
      <w:pPr>
        <w:pStyle w:val="subsection"/>
      </w:pPr>
      <w:r w:rsidRPr="005A3B73">
        <w:tab/>
      </w:r>
      <w:r w:rsidRPr="005A3B73">
        <w:tab/>
        <w:t xml:space="preserve">This Act </w:t>
      </w:r>
      <w:r w:rsidR="00275197" w:rsidRPr="005A3B73">
        <w:t xml:space="preserve">is </w:t>
      </w:r>
      <w:r w:rsidRPr="005A3B73">
        <w:t xml:space="preserve">the </w:t>
      </w:r>
      <w:r w:rsidR="00C91A91" w:rsidRPr="005A3B73">
        <w:rPr>
          <w:i/>
        </w:rPr>
        <w:t>Biosecurity Amendment (Traveller Declarations</w:t>
      </w:r>
      <w:r w:rsidR="00873DF2" w:rsidRPr="005A3B73">
        <w:rPr>
          <w:i/>
        </w:rPr>
        <w:t xml:space="preserve"> and Other Measures</w:t>
      </w:r>
      <w:r w:rsidR="00C91A91" w:rsidRPr="005A3B73">
        <w:rPr>
          <w:i/>
        </w:rPr>
        <w:t>)</w:t>
      </w:r>
      <w:r w:rsidR="00EE3E36" w:rsidRPr="005A3B73">
        <w:rPr>
          <w:i/>
        </w:rPr>
        <w:t xml:space="preserve"> Act 20</w:t>
      </w:r>
      <w:r w:rsidR="001B633C" w:rsidRPr="005A3B73">
        <w:rPr>
          <w:i/>
        </w:rPr>
        <w:t>20</w:t>
      </w:r>
      <w:r w:rsidRPr="005A3B73">
        <w:t>.</w:t>
      </w:r>
    </w:p>
    <w:p w:rsidR="0048364F" w:rsidRPr="005A3B73" w:rsidRDefault="0048364F" w:rsidP="005A3B73">
      <w:pPr>
        <w:pStyle w:val="ActHead5"/>
      </w:pPr>
      <w:bookmarkStart w:id="3" w:name="_Toc57211157"/>
      <w:r w:rsidRPr="00D01B8C">
        <w:rPr>
          <w:rStyle w:val="CharSectno"/>
        </w:rPr>
        <w:t>2</w:t>
      </w:r>
      <w:r w:rsidRPr="005A3B73">
        <w:t xml:space="preserve">  Commencement</w:t>
      </w:r>
      <w:bookmarkEnd w:id="3"/>
    </w:p>
    <w:p w:rsidR="0048364F" w:rsidRPr="005A3B73" w:rsidRDefault="0048364F" w:rsidP="005A3B73">
      <w:pPr>
        <w:pStyle w:val="subsection"/>
      </w:pPr>
      <w:r w:rsidRPr="005A3B73">
        <w:tab/>
        <w:t>(1)</w:t>
      </w:r>
      <w:r w:rsidRPr="005A3B7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5A3B73" w:rsidRDefault="0048364F" w:rsidP="005A3B7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5A3B73" w:rsidTr="0003038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Commencement information</w:t>
            </w:r>
          </w:p>
        </w:tc>
      </w:tr>
      <w:tr w:rsidR="0048364F" w:rsidRPr="005A3B73" w:rsidTr="0003038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Column 3</w:t>
            </w:r>
          </w:p>
        </w:tc>
      </w:tr>
      <w:tr w:rsidR="0048364F" w:rsidRPr="005A3B73" w:rsidTr="0003038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Heading"/>
            </w:pPr>
            <w:r w:rsidRPr="005A3B73">
              <w:t>Date/Details</w:t>
            </w:r>
          </w:p>
        </w:tc>
      </w:tr>
      <w:tr w:rsidR="0048364F" w:rsidRPr="005A3B73" w:rsidTr="0003038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48364F" w:rsidP="005A3B73">
            <w:pPr>
              <w:pStyle w:val="Tabletext"/>
            </w:pPr>
            <w:r w:rsidRPr="005A3B73">
              <w:t xml:space="preserve">1. </w:t>
            </w:r>
            <w:r w:rsidR="00C91A91" w:rsidRPr="005A3B73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C91A91" w:rsidP="005A3B73">
            <w:pPr>
              <w:pStyle w:val="Tabletext"/>
            </w:pPr>
            <w:r w:rsidRPr="005A3B73">
              <w:t>1</w:t>
            </w:r>
            <w:r w:rsidR="005A3B73" w:rsidRPr="005A3B73">
              <w:t> </w:t>
            </w:r>
            <w:r w:rsidRPr="005A3B73">
              <w:t>January 2021</w:t>
            </w:r>
            <w:r w:rsidR="0048364F" w:rsidRPr="005A3B73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5A3B73" w:rsidRDefault="005B5F41" w:rsidP="005A3B73">
            <w:pPr>
              <w:pStyle w:val="Tabletext"/>
            </w:pPr>
            <w:r w:rsidRPr="005A3B73">
              <w:t>1</w:t>
            </w:r>
            <w:r w:rsidR="005A3B73" w:rsidRPr="005A3B73">
              <w:t> </w:t>
            </w:r>
            <w:r w:rsidRPr="005A3B73">
              <w:t>January 2021</w:t>
            </w:r>
          </w:p>
        </w:tc>
      </w:tr>
    </w:tbl>
    <w:p w:rsidR="0048364F" w:rsidRPr="005A3B73" w:rsidRDefault="00201D27" w:rsidP="005A3B73">
      <w:pPr>
        <w:pStyle w:val="notetext"/>
      </w:pPr>
      <w:r w:rsidRPr="005A3B73">
        <w:t>Note:</w:t>
      </w:r>
      <w:r w:rsidRPr="005A3B73">
        <w:tab/>
        <w:t>This table relates only to the provisions of this Act as originally enacted. It will not be amended to deal with any later amendments of this Act.</w:t>
      </w:r>
    </w:p>
    <w:p w:rsidR="0048364F" w:rsidRPr="005A3B73" w:rsidRDefault="0048364F" w:rsidP="005A3B73">
      <w:pPr>
        <w:pStyle w:val="subsection"/>
      </w:pPr>
      <w:r w:rsidRPr="005A3B73">
        <w:tab/>
        <w:t>(2)</w:t>
      </w:r>
      <w:r w:rsidRPr="005A3B73">
        <w:tab/>
      </w:r>
      <w:r w:rsidR="00201D27" w:rsidRPr="005A3B73">
        <w:t xml:space="preserve">Any information in </w:t>
      </w:r>
      <w:r w:rsidR="00877D48" w:rsidRPr="005A3B73">
        <w:t>c</w:t>
      </w:r>
      <w:r w:rsidR="00201D27" w:rsidRPr="005A3B73">
        <w:t>olumn 3 of the table is not part of this Act. Information may be inserted in this column, or information in it may be edited, in any published version of this Act.</w:t>
      </w:r>
    </w:p>
    <w:p w:rsidR="0048364F" w:rsidRPr="005A3B73" w:rsidRDefault="0048364F" w:rsidP="005A3B73">
      <w:pPr>
        <w:pStyle w:val="ActHead5"/>
      </w:pPr>
      <w:bookmarkStart w:id="4" w:name="_Toc57211158"/>
      <w:r w:rsidRPr="00D01B8C">
        <w:rPr>
          <w:rStyle w:val="CharSectno"/>
        </w:rPr>
        <w:t>3</w:t>
      </w:r>
      <w:r w:rsidRPr="005A3B73">
        <w:t xml:space="preserve">  Schedules</w:t>
      </w:r>
      <w:bookmarkEnd w:id="4"/>
    </w:p>
    <w:p w:rsidR="0048364F" w:rsidRPr="005A3B73" w:rsidRDefault="0048364F" w:rsidP="005A3B73">
      <w:pPr>
        <w:pStyle w:val="subsection"/>
      </w:pPr>
      <w:r w:rsidRPr="005A3B73">
        <w:tab/>
      </w:r>
      <w:r w:rsidRPr="005A3B73">
        <w:tab/>
      </w:r>
      <w:r w:rsidR="00202618" w:rsidRPr="005A3B7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5A3B73" w:rsidRDefault="0048364F" w:rsidP="005A3B73">
      <w:pPr>
        <w:pStyle w:val="ActHead6"/>
        <w:pageBreakBefore/>
      </w:pPr>
      <w:bookmarkStart w:id="5" w:name="opcAmSched"/>
      <w:bookmarkStart w:id="6" w:name="opcCurrentFind"/>
      <w:bookmarkStart w:id="7" w:name="_Toc57211159"/>
      <w:r w:rsidRPr="00D01B8C">
        <w:rPr>
          <w:rStyle w:val="CharAmSchNo"/>
        </w:rPr>
        <w:t>Schedule</w:t>
      </w:r>
      <w:r w:rsidR="005A3B73" w:rsidRPr="00D01B8C">
        <w:rPr>
          <w:rStyle w:val="CharAmSchNo"/>
        </w:rPr>
        <w:t> </w:t>
      </w:r>
      <w:r w:rsidRPr="00D01B8C">
        <w:rPr>
          <w:rStyle w:val="CharAmSchNo"/>
        </w:rPr>
        <w:t>1</w:t>
      </w:r>
      <w:r w:rsidRPr="005A3B73">
        <w:t>—</w:t>
      </w:r>
      <w:r w:rsidR="00C91A91" w:rsidRPr="00D01B8C">
        <w:rPr>
          <w:rStyle w:val="CharAmSchText"/>
        </w:rPr>
        <w:t>Amendments</w:t>
      </w:r>
      <w:bookmarkEnd w:id="7"/>
    </w:p>
    <w:bookmarkEnd w:id="5"/>
    <w:bookmarkEnd w:id="6"/>
    <w:p w:rsidR="00EE69DB" w:rsidRPr="00D01B8C" w:rsidRDefault="00EE69DB" w:rsidP="005A3B73">
      <w:pPr>
        <w:pStyle w:val="Header"/>
      </w:pPr>
      <w:r w:rsidRPr="00D01B8C">
        <w:rPr>
          <w:rStyle w:val="CharAmPartNo"/>
        </w:rPr>
        <w:t xml:space="preserve"> </w:t>
      </w:r>
      <w:r w:rsidRPr="00D01B8C">
        <w:rPr>
          <w:rStyle w:val="CharAmPartText"/>
        </w:rPr>
        <w:t xml:space="preserve"> </w:t>
      </w:r>
    </w:p>
    <w:p w:rsidR="008D3E94" w:rsidRPr="005A3B73" w:rsidRDefault="00C91A91" w:rsidP="005A3B73">
      <w:pPr>
        <w:pStyle w:val="ActHead9"/>
        <w:rPr>
          <w:i w:val="0"/>
        </w:rPr>
      </w:pPr>
      <w:bookmarkStart w:id="8" w:name="_Toc57211160"/>
      <w:r w:rsidRPr="005A3B73">
        <w:t>Biosecurity Act 2015</w:t>
      </w:r>
      <w:bookmarkEnd w:id="8"/>
    </w:p>
    <w:p w:rsidR="006766C1" w:rsidRPr="005A3B73" w:rsidRDefault="006766C1" w:rsidP="005A3B73">
      <w:pPr>
        <w:pStyle w:val="ItemHead"/>
      </w:pPr>
      <w:r w:rsidRPr="005A3B73">
        <w:t>1  At the end of subsection</w:t>
      </w:r>
      <w:r w:rsidR="005A3B73" w:rsidRPr="005A3B73">
        <w:t> </w:t>
      </w:r>
      <w:r w:rsidRPr="005A3B73">
        <w:t>524(3)</w:t>
      </w:r>
    </w:p>
    <w:p w:rsidR="006766C1" w:rsidRPr="005A3B73" w:rsidRDefault="006766C1" w:rsidP="005A3B73">
      <w:pPr>
        <w:pStyle w:val="Item"/>
      </w:pPr>
      <w:r w:rsidRPr="005A3B73">
        <w:t>Add “, including</w:t>
      </w:r>
      <w:r w:rsidR="00575771" w:rsidRPr="005A3B73">
        <w:t>,</w:t>
      </w:r>
      <w:r w:rsidRPr="005A3B73">
        <w:t xml:space="preserve"> but not limited to</w:t>
      </w:r>
      <w:r w:rsidR="00575771" w:rsidRPr="005A3B73">
        <w:t>,</w:t>
      </w:r>
      <w:r w:rsidRPr="005A3B73">
        <w:t xml:space="preserve"> prescribing different periods depending on the kind of goods or class of goods to which </w:t>
      </w:r>
      <w:r w:rsidR="00575771" w:rsidRPr="005A3B73">
        <w:t>an</w:t>
      </w:r>
      <w:r w:rsidRPr="005A3B73">
        <w:t xml:space="preserve"> alleged contravention relates”.</w:t>
      </w:r>
    </w:p>
    <w:p w:rsidR="0071251B" w:rsidRPr="005A3B73" w:rsidRDefault="00C77BE5" w:rsidP="005A3B73">
      <w:pPr>
        <w:pStyle w:val="ItemHead"/>
      </w:pPr>
      <w:r w:rsidRPr="005A3B73">
        <w:t>2</w:t>
      </w:r>
      <w:r w:rsidR="0071251B" w:rsidRPr="005A3B73">
        <w:t xml:space="preserve">  At the end of section</w:t>
      </w:r>
      <w:r w:rsidR="005A3B73" w:rsidRPr="005A3B73">
        <w:t> </w:t>
      </w:r>
      <w:r w:rsidR="0071251B" w:rsidRPr="005A3B73">
        <w:t>524</w:t>
      </w:r>
    </w:p>
    <w:p w:rsidR="0071251B" w:rsidRPr="005A3B73" w:rsidRDefault="0071251B" w:rsidP="005A3B73">
      <w:pPr>
        <w:pStyle w:val="Item"/>
      </w:pPr>
      <w:r w:rsidRPr="005A3B73">
        <w:t>Add:</w:t>
      </w:r>
    </w:p>
    <w:p w:rsidR="0071251B" w:rsidRPr="005A3B73" w:rsidRDefault="0071251B" w:rsidP="005A3B73">
      <w:pPr>
        <w:pStyle w:val="subsection"/>
      </w:pPr>
      <w:r w:rsidRPr="005A3B73">
        <w:tab/>
        <w:t>(6)</w:t>
      </w:r>
      <w:r w:rsidRPr="005A3B73">
        <w:tab/>
        <w:t xml:space="preserve">Regulations made for the purposes of </w:t>
      </w:r>
      <w:r w:rsidR="005A3B73" w:rsidRPr="005A3B73">
        <w:t>paragraph (</w:t>
      </w:r>
      <w:r w:rsidR="006766C1" w:rsidRPr="005A3B73">
        <w:t>4)(c) may prescribe different numbers of penalty units for different kinds of contraventions of provisions mentioned in subsection</w:t>
      </w:r>
      <w:r w:rsidR="005A3B73" w:rsidRPr="005A3B73">
        <w:t> </w:t>
      </w:r>
      <w:r w:rsidR="006766C1" w:rsidRPr="005A3B73">
        <w:t>523(1), including</w:t>
      </w:r>
      <w:r w:rsidR="00575771" w:rsidRPr="005A3B73">
        <w:t>,</w:t>
      </w:r>
      <w:r w:rsidR="006766C1" w:rsidRPr="005A3B73">
        <w:t xml:space="preserve"> but not limited to</w:t>
      </w:r>
      <w:r w:rsidR="00575771" w:rsidRPr="005A3B73">
        <w:t>,</w:t>
      </w:r>
      <w:r w:rsidR="006766C1" w:rsidRPr="005A3B73">
        <w:t xml:space="preserve"> prescribing different numbers of penalty units depending on the kind of good</w:t>
      </w:r>
      <w:r w:rsidR="00575771" w:rsidRPr="005A3B73">
        <w:t>s or class of goods to which an</w:t>
      </w:r>
      <w:r w:rsidR="006766C1" w:rsidRPr="005A3B73">
        <w:t xml:space="preserve"> alleged contravention relates.</w:t>
      </w:r>
    </w:p>
    <w:p w:rsidR="006766C1" w:rsidRPr="005A3B73" w:rsidRDefault="006766C1" w:rsidP="005A3B73">
      <w:pPr>
        <w:pStyle w:val="SubsectionHead"/>
      </w:pPr>
      <w:r w:rsidRPr="005A3B73">
        <w:t xml:space="preserve">Regulations may apply </w:t>
      </w:r>
      <w:r w:rsidR="00A36CFB">
        <w:t xml:space="preserve">Director of Biosecurity </w:t>
      </w:r>
      <w:r w:rsidRPr="005A3B73">
        <w:t>determination</w:t>
      </w:r>
      <w:r w:rsidR="009A5921" w:rsidRPr="005A3B73">
        <w:t xml:space="preserve"> as in force from time to time</w:t>
      </w:r>
    </w:p>
    <w:p w:rsidR="004A1B2A" w:rsidRPr="005A3B73" w:rsidRDefault="006766C1" w:rsidP="005A3B73">
      <w:pPr>
        <w:pStyle w:val="subsection"/>
      </w:pPr>
      <w:r w:rsidRPr="005A3B73">
        <w:tab/>
        <w:t>(7)</w:t>
      </w:r>
      <w:r w:rsidRPr="005A3B73">
        <w:tab/>
        <w:t>Despite subsection</w:t>
      </w:r>
      <w:r w:rsidR="005A3B73" w:rsidRPr="005A3B73">
        <w:t> </w:t>
      </w:r>
      <w:r w:rsidRPr="005A3B73">
        <w:t xml:space="preserve">14(2) of the </w:t>
      </w:r>
      <w:r w:rsidRPr="005A3B73">
        <w:rPr>
          <w:i/>
        </w:rPr>
        <w:t>Legislation Act 2003</w:t>
      </w:r>
      <w:r w:rsidRPr="005A3B73">
        <w:t xml:space="preserve">, </w:t>
      </w:r>
      <w:r w:rsidR="00194C21" w:rsidRPr="005A3B73">
        <w:t xml:space="preserve">regulations made for the purposes of </w:t>
      </w:r>
      <w:r w:rsidR="005A3B73" w:rsidRPr="005A3B73">
        <w:t>paragraph (</w:t>
      </w:r>
      <w:r w:rsidR="00194C21" w:rsidRPr="005A3B73">
        <w:t xml:space="preserve">2)(b) or (4)(c) </w:t>
      </w:r>
      <w:r w:rsidR="00A36CFB">
        <w:t xml:space="preserve">of this section </w:t>
      </w:r>
      <w:r w:rsidR="00194C21" w:rsidRPr="005A3B73">
        <w:t xml:space="preserve">may </w:t>
      </w:r>
      <w:r w:rsidR="004A1B2A" w:rsidRPr="005A3B73">
        <w:t>make provision in relation to a matter by applying, adopting or incorporating any matter contained in a determination made by the Director of Biosecurity under subsection</w:t>
      </w:r>
      <w:r w:rsidR="005A3B73" w:rsidRPr="005A3B73">
        <w:t> </w:t>
      </w:r>
      <w:r w:rsidR="00194C21" w:rsidRPr="005A3B73">
        <w:t>524</w:t>
      </w:r>
      <w:r w:rsidR="004A1B2A" w:rsidRPr="005A3B73">
        <w:t>A(1), as in force from time to time.</w:t>
      </w:r>
    </w:p>
    <w:p w:rsidR="006766C1" w:rsidRPr="005A3B73" w:rsidRDefault="00C77BE5" w:rsidP="005A3B73">
      <w:pPr>
        <w:pStyle w:val="ItemHead"/>
      </w:pPr>
      <w:r w:rsidRPr="005A3B73">
        <w:t>3</w:t>
      </w:r>
      <w:r w:rsidR="006766C1" w:rsidRPr="005A3B73">
        <w:t xml:space="preserve">  After section</w:t>
      </w:r>
      <w:r w:rsidR="005A3B73" w:rsidRPr="005A3B73">
        <w:t> </w:t>
      </w:r>
      <w:r w:rsidR="006766C1" w:rsidRPr="005A3B73">
        <w:t>524</w:t>
      </w:r>
    </w:p>
    <w:p w:rsidR="006766C1" w:rsidRPr="005A3B73" w:rsidRDefault="006766C1" w:rsidP="005A3B73">
      <w:pPr>
        <w:pStyle w:val="Item"/>
      </w:pPr>
      <w:r w:rsidRPr="005A3B73">
        <w:t>Insert:</w:t>
      </w:r>
    </w:p>
    <w:p w:rsidR="006766C1" w:rsidRPr="005A3B73" w:rsidRDefault="000F3D61" w:rsidP="005A3B73">
      <w:pPr>
        <w:pStyle w:val="ActHead5"/>
      </w:pPr>
      <w:bookmarkStart w:id="9" w:name="_Toc57211161"/>
      <w:r w:rsidRPr="00D01B8C">
        <w:rPr>
          <w:rStyle w:val="CharSectno"/>
        </w:rPr>
        <w:t>524A</w:t>
      </w:r>
      <w:r w:rsidR="006766C1" w:rsidRPr="005A3B73">
        <w:t xml:space="preserve">  Director of Biosecurity may determine </w:t>
      </w:r>
      <w:r w:rsidRPr="005A3B73">
        <w:t>list of goods for purposes of infringement notices</w:t>
      </w:r>
      <w:bookmarkEnd w:id="9"/>
    </w:p>
    <w:p w:rsidR="009270E8" w:rsidRPr="005A3B73" w:rsidRDefault="006766C1" w:rsidP="005A3B73">
      <w:pPr>
        <w:pStyle w:val="subsection"/>
      </w:pPr>
      <w:r w:rsidRPr="005A3B73">
        <w:tab/>
        <w:t>(1)</w:t>
      </w:r>
      <w:r w:rsidRPr="005A3B73">
        <w:tab/>
        <w:t xml:space="preserve">The Director of Biosecurity may, in writing, determine </w:t>
      </w:r>
      <w:r w:rsidR="00194C21" w:rsidRPr="005A3B73">
        <w:t>a list of goods</w:t>
      </w:r>
      <w:r w:rsidR="00644481" w:rsidRPr="005A3B73">
        <w:t>,</w:t>
      </w:r>
      <w:r w:rsidR="00194C21" w:rsidRPr="005A3B73">
        <w:t xml:space="preserve"> </w:t>
      </w:r>
      <w:r w:rsidR="009270E8" w:rsidRPr="005A3B73">
        <w:t>or classes of goods</w:t>
      </w:r>
      <w:r w:rsidR="00644481" w:rsidRPr="005A3B73">
        <w:t>,</w:t>
      </w:r>
      <w:r w:rsidR="009270E8" w:rsidRPr="005A3B73">
        <w:t xml:space="preserve"> for the purposes of section</w:t>
      </w:r>
      <w:r w:rsidR="005A3B73" w:rsidRPr="005A3B73">
        <w:t> </w:t>
      </w:r>
      <w:r w:rsidR="009270E8" w:rsidRPr="005A3B73">
        <w:t>524.</w:t>
      </w:r>
    </w:p>
    <w:p w:rsidR="006766C1" w:rsidRPr="005A3B73" w:rsidRDefault="00C77BE5" w:rsidP="005A3B73">
      <w:pPr>
        <w:pStyle w:val="subsection"/>
      </w:pPr>
      <w:r w:rsidRPr="005A3B73">
        <w:tab/>
      </w:r>
      <w:r w:rsidR="006766C1" w:rsidRPr="005A3B73">
        <w:t>(</w:t>
      </w:r>
      <w:r w:rsidR="001D0DFA" w:rsidRPr="005A3B73">
        <w:t>2</w:t>
      </w:r>
      <w:r w:rsidR="006766C1" w:rsidRPr="005A3B73">
        <w:t>)</w:t>
      </w:r>
      <w:r w:rsidR="006766C1" w:rsidRPr="005A3B73">
        <w:tab/>
        <w:t xml:space="preserve">The Director of Biosecurity may </w:t>
      </w:r>
      <w:r w:rsidR="00644481" w:rsidRPr="005A3B73">
        <w:t>list</w:t>
      </w:r>
      <w:r w:rsidR="00194C21" w:rsidRPr="005A3B73">
        <w:t xml:space="preserve"> particular goods or a particular class of goods in </w:t>
      </w:r>
      <w:r w:rsidR="006766C1" w:rsidRPr="005A3B73">
        <w:t xml:space="preserve">a determination under </w:t>
      </w:r>
      <w:r w:rsidR="005A3B73" w:rsidRPr="005A3B73">
        <w:t>subsection (</w:t>
      </w:r>
      <w:r w:rsidR="006766C1" w:rsidRPr="005A3B73">
        <w:t>1) only if the Director is reasonably satisfied that there is a high level of biosecurity risk associated with the goods or the class of goods.</w:t>
      </w:r>
    </w:p>
    <w:p w:rsidR="00644481" w:rsidRPr="005A3B73" w:rsidRDefault="001D0DFA" w:rsidP="005A3B73">
      <w:pPr>
        <w:pStyle w:val="subsection"/>
      </w:pPr>
      <w:r w:rsidRPr="005A3B73">
        <w:tab/>
      </w:r>
      <w:r w:rsidR="00644481" w:rsidRPr="005A3B73">
        <w:t>(</w:t>
      </w:r>
      <w:r w:rsidR="003B7083">
        <w:t>3</w:t>
      </w:r>
      <w:r w:rsidR="00644481" w:rsidRPr="005A3B73">
        <w:t>)</w:t>
      </w:r>
      <w:r w:rsidR="00644481" w:rsidRPr="005A3B73">
        <w:tab/>
        <w:t xml:space="preserve">A determination under </w:t>
      </w:r>
      <w:r w:rsidR="005A3B73" w:rsidRPr="005A3B73">
        <w:t>subsection (</w:t>
      </w:r>
      <w:r w:rsidRPr="005A3B73">
        <w:t xml:space="preserve">1) </w:t>
      </w:r>
      <w:r w:rsidR="00644481" w:rsidRPr="005A3B73">
        <w:t>must specify the period during which the determination is to be in force. The period must not be longer than 12 months.</w:t>
      </w:r>
    </w:p>
    <w:p w:rsidR="006766C1" w:rsidRPr="005A3B73" w:rsidRDefault="006766C1" w:rsidP="005A3B73">
      <w:pPr>
        <w:pStyle w:val="subsection"/>
      </w:pPr>
      <w:r w:rsidRPr="005A3B73">
        <w:tab/>
        <w:t>(</w:t>
      </w:r>
      <w:r w:rsidR="003B7083">
        <w:t>4</w:t>
      </w:r>
      <w:r w:rsidRPr="005A3B73">
        <w:t>)</w:t>
      </w:r>
      <w:r w:rsidRPr="005A3B73">
        <w:tab/>
        <w:t xml:space="preserve">A determination under </w:t>
      </w:r>
      <w:r w:rsidR="005A3B73" w:rsidRPr="005A3B73">
        <w:t>subsection (</w:t>
      </w:r>
      <w:r w:rsidRPr="005A3B73">
        <w:t>1) is a legislative instrument, but section</w:t>
      </w:r>
      <w:r w:rsidR="005A3B73" w:rsidRPr="005A3B73">
        <w:t> </w:t>
      </w:r>
      <w:r w:rsidRPr="005A3B73">
        <w:t xml:space="preserve">42 (disallowance) of the </w:t>
      </w:r>
      <w:r w:rsidRPr="005A3B73">
        <w:rPr>
          <w:i/>
        </w:rPr>
        <w:t xml:space="preserve">Legislation Act 2003 </w:t>
      </w:r>
      <w:r w:rsidRPr="005A3B73">
        <w:t>does not apply to the determination.</w:t>
      </w:r>
    </w:p>
    <w:p w:rsidR="006766C1" w:rsidRPr="005A3B73" w:rsidRDefault="006766C1" w:rsidP="005A3B73">
      <w:pPr>
        <w:pStyle w:val="notetext"/>
      </w:pPr>
      <w:r w:rsidRPr="005A3B73">
        <w:t>Note:</w:t>
      </w:r>
      <w:r w:rsidRPr="005A3B73">
        <w:tab/>
        <w:t xml:space="preserve">For variation and revocation of a determination made under </w:t>
      </w:r>
      <w:r w:rsidR="005A3B73" w:rsidRPr="005A3B73">
        <w:t>subsection (</w:t>
      </w:r>
      <w:r w:rsidRPr="005A3B73">
        <w:t>1), see subsection</w:t>
      </w:r>
      <w:r w:rsidR="005A3B73" w:rsidRPr="005A3B73">
        <w:t> </w:t>
      </w:r>
      <w:r w:rsidRPr="005A3B73">
        <w:t xml:space="preserve">33(3) of the </w:t>
      </w:r>
      <w:r w:rsidRPr="005A3B73">
        <w:rPr>
          <w:i/>
        </w:rPr>
        <w:t>Acts Interpretation Act 1901</w:t>
      </w:r>
      <w:r w:rsidRPr="005A3B73">
        <w:t>.</w:t>
      </w:r>
    </w:p>
    <w:p w:rsidR="00164F9C" w:rsidRPr="005A3B73" w:rsidRDefault="007141C2" w:rsidP="005A3B73">
      <w:pPr>
        <w:pStyle w:val="ItemHead"/>
      </w:pPr>
      <w:r w:rsidRPr="005A3B73">
        <w:t>4</w:t>
      </w:r>
      <w:r w:rsidR="00164F9C" w:rsidRPr="005A3B73">
        <w:t xml:space="preserve">  Subsection</w:t>
      </w:r>
      <w:r w:rsidR="005A3B73" w:rsidRPr="005A3B73">
        <w:t> </w:t>
      </w:r>
      <w:r w:rsidR="00164F9C" w:rsidRPr="005A3B73">
        <w:t>542(3) (after table item</w:t>
      </w:r>
      <w:r w:rsidR="005A3B73" w:rsidRPr="005A3B73">
        <w:t> </w:t>
      </w:r>
      <w:r w:rsidRPr="005A3B73">
        <w:t>26</w:t>
      </w:r>
      <w:r w:rsidR="00164F9C" w:rsidRPr="005A3B73">
        <w:t>)</w:t>
      </w:r>
    </w:p>
    <w:p w:rsidR="00164F9C" w:rsidRPr="005A3B73" w:rsidRDefault="00164F9C" w:rsidP="005A3B73">
      <w:pPr>
        <w:pStyle w:val="Item"/>
      </w:pPr>
      <w:r w:rsidRPr="005A3B73">
        <w:t>Insert:</w:t>
      </w:r>
    </w:p>
    <w:p w:rsidR="002B1563" w:rsidRPr="005A3B73" w:rsidRDefault="002B1563" w:rsidP="005A3B7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2982"/>
      </w:tblGrid>
      <w:tr w:rsidR="00164F9C" w:rsidRPr="005A3B73" w:rsidTr="005E5653">
        <w:tc>
          <w:tcPr>
            <w:tcW w:w="714" w:type="dxa"/>
            <w:shd w:val="clear" w:color="auto" w:fill="auto"/>
          </w:tcPr>
          <w:p w:rsidR="00164F9C" w:rsidRPr="005A3B73" w:rsidRDefault="007141C2" w:rsidP="005A3B73">
            <w:pPr>
              <w:pStyle w:val="Tabletext"/>
            </w:pPr>
            <w:r w:rsidRPr="005A3B73">
              <w:t>26</w:t>
            </w:r>
            <w:r w:rsidR="00164F9C" w:rsidRPr="005A3B73">
              <w:t>A</w:t>
            </w:r>
            <w:r w:rsidR="00E55608" w:rsidRPr="005A3B73">
              <w:t>A</w:t>
            </w:r>
          </w:p>
        </w:tc>
        <w:tc>
          <w:tcPr>
            <w:tcW w:w="3392" w:type="dxa"/>
            <w:shd w:val="clear" w:color="auto" w:fill="auto"/>
          </w:tcPr>
          <w:p w:rsidR="00164F9C" w:rsidRPr="005A3B73" w:rsidRDefault="00164F9C" w:rsidP="005A3B73">
            <w:pPr>
              <w:pStyle w:val="Tabletext"/>
            </w:pPr>
            <w:r w:rsidRPr="005A3B73">
              <w:t xml:space="preserve">To determine </w:t>
            </w:r>
            <w:r w:rsidR="007141C2" w:rsidRPr="005A3B73">
              <w:t xml:space="preserve">a list of goods </w:t>
            </w:r>
            <w:r w:rsidR="001D0DFA" w:rsidRPr="005A3B73">
              <w:t>or classes of goods</w:t>
            </w:r>
          </w:p>
        </w:tc>
        <w:tc>
          <w:tcPr>
            <w:tcW w:w="2982" w:type="dxa"/>
            <w:shd w:val="clear" w:color="auto" w:fill="auto"/>
          </w:tcPr>
          <w:p w:rsidR="00164F9C" w:rsidRPr="005A3B73" w:rsidRDefault="00164F9C" w:rsidP="005A3B73">
            <w:pPr>
              <w:pStyle w:val="Tabletext"/>
            </w:pPr>
            <w:r w:rsidRPr="005A3B73">
              <w:t>Subsection</w:t>
            </w:r>
            <w:r w:rsidR="005A3B73" w:rsidRPr="005A3B73">
              <w:t> </w:t>
            </w:r>
            <w:r w:rsidR="007141C2" w:rsidRPr="005A3B73">
              <w:t>524</w:t>
            </w:r>
            <w:r w:rsidRPr="005A3B73">
              <w:t>A(1)</w:t>
            </w:r>
          </w:p>
        </w:tc>
      </w:tr>
    </w:tbl>
    <w:p w:rsidR="001E1FB8" w:rsidRPr="007E0999" w:rsidRDefault="001E1FB8" w:rsidP="001E1FB8"/>
    <w:p w:rsidR="001E1FB8" w:rsidRDefault="001E1FB8" w:rsidP="001E1FB8">
      <w:pPr>
        <w:pStyle w:val="AssentBk"/>
        <w:keepNext/>
      </w:pPr>
    </w:p>
    <w:p w:rsidR="001E1FB8" w:rsidRDefault="001E1FB8" w:rsidP="001E1FB8">
      <w:pPr>
        <w:pStyle w:val="AssentBk"/>
        <w:keepNext/>
      </w:pPr>
    </w:p>
    <w:p w:rsidR="001E1FB8" w:rsidRDefault="001E1FB8" w:rsidP="001E1FB8">
      <w:pPr>
        <w:pStyle w:val="2ndRd"/>
        <w:keepNext/>
        <w:pBdr>
          <w:top w:val="single" w:sz="2" w:space="1" w:color="auto"/>
        </w:pBdr>
      </w:pPr>
    </w:p>
    <w:p w:rsidR="001E1FB8" w:rsidRDefault="001E1FB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E1FB8" w:rsidRDefault="001E1FB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June 2020</w:t>
      </w:r>
    </w:p>
    <w:p w:rsidR="001E1FB8" w:rsidRDefault="001E1FB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7 October 2020</w:t>
      </w:r>
      <w:r>
        <w:t>]</w:t>
      </w:r>
    </w:p>
    <w:p w:rsidR="001E1FB8" w:rsidRDefault="001E1FB8" w:rsidP="000C5962"/>
    <w:p w:rsidR="006B74CB" w:rsidRPr="001E1FB8" w:rsidRDefault="001E1FB8" w:rsidP="001E1FB8">
      <w:pPr>
        <w:framePr w:w="775" w:h="286" w:hRule="exact" w:hSpace="180" w:wrap="around" w:vAnchor="text" w:hAnchor="page" w:x="2363" w:y="2871"/>
      </w:pPr>
      <w:r>
        <w:t>(88/20)</w:t>
      </w:r>
    </w:p>
    <w:p w:rsidR="001E1FB8" w:rsidRPr="00694A53" w:rsidRDefault="001E1FB8" w:rsidP="001E1FB8"/>
    <w:p w:rsidR="001E1FB8" w:rsidRDefault="001E1FB8" w:rsidP="001E1FB8">
      <w:pPr>
        <w:sectPr w:rsidR="001E1FB8" w:rsidSect="009C547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 w:code="9"/>
          <w:pgMar w:top="1871" w:right="2410" w:bottom="4253" w:left="2410" w:header="720" w:footer="3402" w:gutter="0"/>
          <w:cols w:space="708"/>
          <w:docGrid w:linePitch="360"/>
        </w:sectPr>
      </w:pPr>
    </w:p>
    <w:p w:rsidR="001E1FB8" w:rsidRDefault="001E1FB8" w:rsidP="001E1FB8"/>
    <w:sectPr w:rsidR="001E1FB8" w:rsidSect="001E1FB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 w:code="9"/>
      <w:pgMar w:top="1871" w:right="2410" w:bottom="4253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91" w:rsidRDefault="00C91A91" w:rsidP="0048364F">
      <w:pPr>
        <w:spacing w:line="240" w:lineRule="auto"/>
      </w:pPr>
      <w:r>
        <w:separator/>
      </w:r>
    </w:p>
  </w:endnote>
  <w:endnote w:type="continuationSeparator" w:id="0">
    <w:p w:rsidR="00C91A91" w:rsidRDefault="00C91A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5A3B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A3B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01B8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A3B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01B8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Default="001E1FB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E1FB8" w:rsidRDefault="001E1FB8" w:rsidP="00CD12A5"/>
  <w:p w:rsidR="00055B5C" w:rsidRDefault="00055B5C" w:rsidP="005A3B73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5A3B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5A3B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737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Biosecurity Amendment (Traveller Declarations and Other Measures)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No. 99,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5A3B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No. 99,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Biosecurity Amendment (Traveller Declarations and Other Measures)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1FB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77400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E1FB8" w:rsidTr="00774001">
      <w:tc>
        <w:tcPr>
          <w:tcW w:w="646" w:type="dxa"/>
        </w:tcPr>
        <w:p w:rsidR="001E1FB8" w:rsidRDefault="001E1FB8" w:rsidP="0077400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E1FB8" w:rsidRDefault="001E1FB8" w:rsidP="0077400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1E1FB8" w:rsidRDefault="001E1FB8" w:rsidP="0077400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E1FB8" w:rsidRPr="00A961C4" w:rsidRDefault="001E1FB8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77400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1FB8" w:rsidTr="00774001">
      <w:tc>
        <w:tcPr>
          <w:tcW w:w="1247" w:type="dxa"/>
        </w:tcPr>
        <w:p w:rsidR="001E1FB8" w:rsidRDefault="001E1FB8" w:rsidP="0077400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E1FB8" w:rsidRDefault="001E1FB8" w:rsidP="0077400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E1FB8" w:rsidRDefault="001E1FB8" w:rsidP="0077400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E1FB8" w:rsidRPr="00055B5C" w:rsidRDefault="001E1FB8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77400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1FB8" w:rsidTr="00774001">
      <w:tc>
        <w:tcPr>
          <w:tcW w:w="1247" w:type="dxa"/>
        </w:tcPr>
        <w:p w:rsidR="001E1FB8" w:rsidRDefault="001E1FB8" w:rsidP="0077400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E1FB8" w:rsidRDefault="001E1FB8" w:rsidP="0077400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E1FB8" w:rsidRDefault="001E1FB8" w:rsidP="0077400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E1FB8" w:rsidRPr="00A961C4" w:rsidRDefault="001E1FB8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A3B7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01B8C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Biosecurity Amendment (Traveller Declarations and Other Measures)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1FB8">
            <w:rPr>
              <w:i/>
              <w:sz w:val="18"/>
            </w:rPr>
            <w:t>No. 99,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91" w:rsidRDefault="00C91A91" w:rsidP="0048364F">
      <w:pPr>
        <w:spacing w:line="240" w:lineRule="auto"/>
      </w:pPr>
      <w:r>
        <w:separator/>
      </w:r>
    </w:p>
  </w:footnote>
  <w:footnote w:type="continuationSeparator" w:id="0">
    <w:p w:rsidR="00C91A91" w:rsidRDefault="00C91A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E1FB8">
      <w:rPr>
        <w:b/>
        <w:sz w:val="20"/>
      </w:rPr>
      <w:fldChar w:fldCharType="separate"/>
    </w:r>
    <w:r w:rsidR="001E1FB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E1FB8">
      <w:rPr>
        <w:sz w:val="20"/>
      </w:rPr>
      <w:fldChar w:fldCharType="separate"/>
    </w:r>
    <w:r w:rsidR="001E1FB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E1FB8">
      <w:rPr>
        <w:sz w:val="20"/>
      </w:rPr>
      <w:fldChar w:fldCharType="separate"/>
    </w:r>
    <w:r w:rsidR="001E1FB8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E1FB8">
      <w:rPr>
        <w:b/>
        <w:sz w:val="20"/>
      </w:rPr>
      <w:fldChar w:fldCharType="separate"/>
    </w:r>
    <w:r w:rsidR="001E1FB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>
      <w:rPr>
        <w:sz w:val="20"/>
      </w:rPr>
      <w:fldChar w:fldCharType="end"/>
    </w:r>
  </w:p>
  <w:p w:rsidR="001E1FB8" w:rsidRPr="00A961C4" w:rsidRDefault="001E1F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E1FB8" w:rsidRPr="00A961C4" w:rsidRDefault="001E1FB8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E1FB8" w:rsidRPr="00A961C4" w:rsidRDefault="001E1F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E1FB8" w:rsidRPr="00A961C4" w:rsidRDefault="001E1FB8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B8" w:rsidRPr="00A961C4" w:rsidRDefault="001E1FB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1"/>
    <w:rsid w:val="00000349"/>
    <w:rsid w:val="000113BC"/>
    <w:rsid w:val="000136AF"/>
    <w:rsid w:val="00030389"/>
    <w:rsid w:val="00033F9F"/>
    <w:rsid w:val="000417C9"/>
    <w:rsid w:val="00041AB1"/>
    <w:rsid w:val="000514D7"/>
    <w:rsid w:val="00055B5C"/>
    <w:rsid w:val="00056391"/>
    <w:rsid w:val="00060FF9"/>
    <w:rsid w:val="000614BF"/>
    <w:rsid w:val="000B1FD2"/>
    <w:rsid w:val="000D05EF"/>
    <w:rsid w:val="000F21C1"/>
    <w:rsid w:val="000F3D61"/>
    <w:rsid w:val="00101D90"/>
    <w:rsid w:val="0010745C"/>
    <w:rsid w:val="00113BD1"/>
    <w:rsid w:val="00122206"/>
    <w:rsid w:val="00126664"/>
    <w:rsid w:val="00144A20"/>
    <w:rsid w:val="00151AA2"/>
    <w:rsid w:val="0015646E"/>
    <w:rsid w:val="001643C9"/>
    <w:rsid w:val="00164F9C"/>
    <w:rsid w:val="00165568"/>
    <w:rsid w:val="00166C2F"/>
    <w:rsid w:val="001716C9"/>
    <w:rsid w:val="00173363"/>
    <w:rsid w:val="00173B94"/>
    <w:rsid w:val="001854B4"/>
    <w:rsid w:val="001939E1"/>
    <w:rsid w:val="00194C21"/>
    <w:rsid w:val="00195382"/>
    <w:rsid w:val="001A3658"/>
    <w:rsid w:val="001A759A"/>
    <w:rsid w:val="001B633C"/>
    <w:rsid w:val="001B7A5D"/>
    <w:rsid w:val="001C2418"/>
    <w:rsid w:val="001C69C4"/>
    <w:rsid w:val="001D0DFA"/>
    <w:rsid w:val="001D487E"/>
    <w:rsid w:val="001E1FB8"/>
    <w:rsid w:val="001E3590"/>
    <w:rsid w:val="001E7407"/>
    <w:rsid w:val="00201D27"/>
    <w:rsid w:val="00202618"/>
    <w:rsid w:val="00240749"/>
    <w:rsid w:val="0024777B"/>
    <w:rsid w:val="00257F9D"/>
    <w:rsid w:val="00263820"/>
    <w:rsid w:val="00275197"/>
    <w:rsid w:val="00293B89"/>
    <w:rsid w:val="00297ECB"/>
    <w:rsid w:val="002B1563"/>
    <w:rsid w:val="002B5A30"/>
    <w:rsid w:val="002D043A"/>
    <w:rsid w:val="002D395A"/>
    <w:rsid w:val="0030306A"/>
    <w:rsid w:val="003415D3"/>
    <w:rsid w:val="00350417"/>
    <w:rsid w:val="00352B0F"/>
    <w:rsid w:val="00373874"/>
    <w:rsid w:val="00375C6C"/>
    <w:rsid w:val="00381971"/>
    <w:rsid w:val="003A7B3C"/>
    <w:rsid w:val="003B4E3D"/>
    <w:rsid w:val="003B7083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4594"/>
    <w:rsid w:val="0048196B"/>
    <w:rsid w:val="0048364F"/>
    <w:rsid w:val="00486D05"/>
    <w:rsid w:val="00496E04"/>
    <w:rsid w:val="00496F97"/>
    <w:rsid w:val="004A1B2A"/>
    <w:rsid w:val="004B63AE"/>
    <w:rsid w:val="004C7C8C"/>
    <w:rsid w:val="004E2A4A"/>
    <w:rsid w:val="004F0D23"/>
    <w:rsid w:val="004F1FAC"/>
    <w:rsid w:val="0050500D"/>
    <w:rsid w:val="00510732"/>
    <w:rsid w:val="00516B8D"/>
    <w:rsid w:val="00537FBC"/>
    <w:rsid w:val="00543469"/>
    <w:rsid w:val="00551B54"/>
    <w:rsid w:val="00575771"/>
    <w:rsid w:val="00584811"/>
    <w:rsid w:val="00593AA6"/>
    <w:rsid w:val="00594161"/>
    <w:rsid w:val="00594749"/>
    <w:rsid w:val="005A0D92"/>
    <w:rsid w:val="005A3B73"/>
    <w:rsid w:val="005A5475"/>
    <w:rsid w:val="005B4067"/>
    <w:rsid w:val="005B5F41"/>
    <w:rsid w:val="005C3F41"/>
    <w:rsid w:val="005E152A"/>
    <w:rsid w:val="005E5653"/>
    <w:rsid w:val="005E7D96"/>
    <w:rsid w:val="00600219"/>
    <w:rsid w:val="00641DE5"/>
    <w:rsid w:val="00644481"/>
    <w:rsid w:val="00656F0C"/>
    <w:rsid w:val="006766C1"/>
    <w:rsid w:val="00677CC2"/>
    <w:rsid w:val="00681F92"/>
    <w:rsid w:val="006842C2"/>
    <w:rsid w:val="00685F42"/>
    <w:rsid w:val="0069207B"/>
    <w:rsid w:val="006A4B23"/>
    <w:rsid w:val="006B74CB"/>
    <w:rsid w:val="006C2874"/>
    <w:rsid w:val="006C7F8C"/>
    <w:rsid w:val="006D380D"/>
    <w:rsid w:val="006D7CBE"/>
    <w:rsid w:val="006E0135"/>
    <w:rsid w:val="006E303A"/>
    <w:rsid w:val="006F0A05"/>
    <w:rsid w:val="006F6D68"/>
    <w:rsid w:val="006F7E19"/>
    <w:rsid w:val="00700B2C"/>
    <w:rsid w:val="0071251B"/>
    <w:rsid w:val="00712D8D"/>
    <w:rsid w:val="00713084"/>
    <w:rsid w:val="007141C2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25092"/>
    <w:rsid w:val="00831E8D"/>
    <w:rsid w:val="00856A31"/>
    <w:rsid w:val="00857D6B"/>
    <w:rsid w:val="00873DF2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D4391"/>
    <w:rsid w:val="008E58F1"/>
    <w:rsid w:val="008F4F1C"/>
    <w:rsid w:val="008F77C4"/>
    <w:rsid w:val="009103F3"/>
    <w:rsid w:val="0091342B"/>
    <w:rsid w:val="009270E8"/>
    <w:rsid w:val="00932377"/>
    <w:rsid w:val="00967042"/>
    <w:rsid w:val="0098255A"/>
    <w:rsid w:val="009845BE"/>
    <w:rsid w:val="00984F80"/>
    <w:rsid w:val="009969C9"/>
    <w:rsid w:val="009A5921"/>
    <w:rsid w:val="009E793A"/>
    <w:rsid w:val="009F7BD0"/>
    <w:rsid w:val="00A048FF"/>
    <w:rsid w:val="00A10775"/>
    <w:rsid w:val="00A12095"/>
    <w:rsid w:val="00A231E2"/>
    <w:rsid w:val="00A23FF8"/>
    <w:rsid w:val="00A36C48"/>
    <w:rsid w:val="00A36CFB"/>
    <w:rsid w:val="00A41E0B"/>
    <w:rsid w:val="00A46BC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3B3C"/>
    <w:rsid w:val="00B60ED2"/>
    <w:rsid w:val="00B6382D"/>
    <w:rsid w:val="00B849D7"/>
    <w:rsid w:val="00BA5026"/>
    <w:rsid w:val="00BB40BF"/>
    <w:rsid w:val="00BC0CD1"/>
    <w:rsid w:val="00BE5816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06BA"/>
    <w:rsid w:val="00C42BF8"/>
    <w:rsid w:val="00C460AE"/>
    <w:rsid w:val="00C50043"/>
    <w:rsid w:val="00C54E84"/>
    <w:rsid w:val="00C7573B"/>
    <w:rsid w:val="00C76CF3"/>
    <w:rsid w:val="00C77BE5"/>
    <w:rsid w:val="00C91A91"/>
    <w:rsid w:val="00CA7373"/>
    <w:rsid w:val="00CD2EC6"/>
    <w:rsid w:val="00CE1E31"/>
    <w:rsid w:val="00CF0BB2"/>
    <w:rsid w:val="00D00EAA"/>
    <w:rsid w:val="00D01B8C"/>
    <w:rsid w:val="00D13441"/>
    <w:rsid w:val="00D160D0"/>
    <w:rsid w:val="00D243A3"/>
    <w:rsid w:val="00D31D14"/>
    <w:rsid w:val="00D4148B"/>
    <w:rsid w:val="00D477C3"/>
    <w:rsid w:val="00D52EFE"/>
    <w:rsid w:val="00D63EF6"/>
    <w:rsid w:val="00D70DFB"/>
    <w:rsid w:val="00D73029"/>
    <w:rsid w:val="00D766DF"/>
    <w:rsid w:val="00DB71B4"/>
    <w:rsid w:val="00DE2002"/>
    <w:rsid w:val="00DE6514"/>
    <w:rsid w:val="00DF7AE9"/>
    <w:rsid w:val="00E05704"/>
    <w:rsid w:val="00E24D66"/>
    <w:rsid w:val="00E41CB2"/>
    <w:rsid w:val="00E54292"/>
    <w:rsid w:val="00E55608"/>
    <w:rsid w:val="00E66D65"/>
    <w:rsid w:val="00E74DC7"/>
    <w:rsid w:val="00E87699"/>
    <w:rsid w:val="00E947C6"/>
    <w:rsid w:val="00E95A6D"/>
    <w:rsid w:val="00ED492F"/>
    <w:rsid w:val="00EE3E36"/>
    <w:rsid w:val="00EE69DB"/>
    <w:rsid w:val="00EF2E3A"/>
    <w:rsid w:val="00F047E2"/>
    <w:rsid w:val="00F0721E"/>
    <w:rsid w:val="00F078DC"/>
    <w:rsid w:val="00F13E86"/>
    <w:rsid w:val="00F14314"/>
    <w:rsid w:val="00F17B00"/>
    <w:rsid w:val="00F56251"/>
    <w:rsid w:val="00F677A9"/>
    <w:rsid w:val="00F84CF5"/>
    <w:rsid w:val="00F92D35"/>
    <w:rsid w:val="00FA0049"/>
    <w:rsid w:val="00FA2ECE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3B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0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0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0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0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0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0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0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3B73"/>
  </w:style>
  <w:style w:type="paragraph" w:customStyle="1" w:styleId="OPCParaBase">
    <w:name w:val="OPCParaBase"/>
    <w:qFormat/>
    <w:rsid w:val="005A3B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3B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3B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3B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3B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3B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A3B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3B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3B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3B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3B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A3B73"/>
  </w:style>
  <w:style w:type="paragraph" w:customStyle="1" w:styleId="Blocks">
    <w:name w:val="Blocks"/>
    <w:aliases w:val="bb"/>
    <w:basedOn w:val="OPCParaBase"/>
    <w:qFormat/>
    <w:rsid w:val="005A3B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3B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3B73"/>
    <w:rPr>
      <w:i/>
    </w:rPr>
  </w:style>
  <w:style w:type="paragraph" w:customStyle="1" w:styleId="BoxList">
    <w:name w:val="BoxList"/>
    <w:aliases w:val="bl"/>
    <w:basedOn w:val="BoxText"/>
    <w:qFormat/>
    <w:rsid w:val="005A3B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3B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3B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3B73"/>
    <w:pPr>
      <w:ind w:left="1985" w:hanging="851"/>
    </w:pPr>
  </w:style>
  <w:style w:type="character" w:customStyle="1" w:styleId="CharAmPartNo">
    <w:name w:val="CharAmPartNo"/>
    <w:basedOn w:val="OPCCharBase"/>
    <w:qFormat/>
    <w:rsid w:val="005A3B73"/>
  </w:style>
  <w:style w:type="character" w:customStyle="1" w:styleId="CharAmPartText">
    <w:name w:val="CharAmPartText"/>
    <w:basedOn w:val="OPCCharBase"/>
    <w:qFormat/>
    <w:rsid w:val="005A3B73"/>
  </w:style>
  <w:style w:type="character" w:customStyle="1" w:styleId="CharAmSchNo">
    <w:name w:val="CharAmSchNo"/>
    <w:basedOn w:val="OPCCharBase"/>
    <w:qFormat/>
    <w:rsid w:val="005A3B73"/>
  </w:style>
  <w:style w:type="character" w:customStyle="1" w:styleId="CharAmSchText">
    <w:name w:val="CharAmSchText"/>
    <w:basedOn w:val="OPCCharBase"/>
    <w:qFormat/>
    <w:rsid w:val="005A3B73"/>
  </w:style>
  <w:style w:type="character" w:customStyle="1" w:styleId="CharBoldItalic">
    <w:name w:val="CharBoldItalic"/>
    <w:basedOn w:val="OPCCharBase"/>
    <w:uiPriority w:val="1"/>
    <w:qFormat/>
    <w:rsid w:val="005A3B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3B73"/>
  </w:style>
  <w:style w:type="character" w:customStyle="1" w:styleId="CharChapText">
    <w:name w:val="CharChapText"/>
    <w:basedOn w:val="OPCCharBase"/>
    <w:uiPriority w:val="1"/>
    <w:qFormat/>
    <w:rsid w:val="005A3B73"/>
  </w:style>
  <w:style w:type="character" w:customStyle="1" w:styleId="CharDivNo">
    <w:name w:val="CharDivNo"/>
    <w:basedOn w:val="OPCCharBase"/>
    <w:uiPriority w:val="1"/>
    <w:qFormat/>
    <w:rsid w:val="005A3B73"/>
  </w:style>
  <w:style w:type="character" w:customStyle="1" w:styleId="CharDivText">
    <w:name w:val="CharDivText"/>
    <w:basedOn w:val="OPCCharBase"/>
    <w:uiPriority w:val="1"/>
    <w:qFormat/>
    <w:rsid w:val="005A3B73"/>
  </w:style>
  <w:style w:type="character" w:customStyle="1" w:styleId="CharItalic">
    <w:name w:val="CharItalic"/>
    <w:basedOn w:val="OPCCharBase"/>
    <w:uiPriority w:val="1"/>
    <w:qFormat/>
    <w:rsid w:val="005A3B73"/>
    <w:rPr>
      <w:i/>
    </w:rPr>
  </w:style>
  <w:style w:type="character" w:customStyle="1" w:styleId="CharPartNo">
    <w:name w:val="CharPartNo"/>
    <w:basedOn w:val="OPCCharBase"/>
    <w:uiPriority w:val="1"/>
    <w:qFormat/>
    <w:rsid w:val="005A3B73"/>
  </w:style>
  <w:style w:type="character" w:customStyle="1" w:styleId="CharPartText">
    <w:name w:val="CharPartText"/>
    <w:basedOn w:val="OPCCharBase"/>
    <w:uiPriority w:val="1"/>
    <w:qFormat/>
    <w:rsid w:val="005A3B73"/>
  </w:style>
  <w:style w:type="character" w:customStyle="1" w:styleId="CharSectno">
    <w:name w:val="CharSectno"/>
    <w:basedOn w:val="OPCCharBase"/>
    <w:qFormat/>
    <w:rsid w:val="005A3B73"/>
  </w:style>
  <w:style w:type="character" w:customStyle="1" w:styleId="CharSubdNo">
    <w:name w:val="CharSubdNo"/>
    <w:basedOn w:val="OPCCharBase"/>
    <w:uiPriority w:val="1"/>
    <w:qFormat/>
    <w:rsid w:val="005A3B73"/>
  </w:style>
  <w:style w:type="character" w:customStyle="1" w:styleId="CharSubdText">
    <w:name w:val="CharSubdText"/>
    <w:basedOn w:val="OPCCharBase"/>
    <w:uiPriority w:val="1"/>
    <w:qFormat/>
    <w:rsid w:val="005A3B73"/>
  </w:style>
  <w:style w:type="paragraph" w:customStyle="1" w:styleId="CTA--">
    <w:name w:val="CTA --"/>
    <w:basedOn w:val="OPCParaBase"/>
    <w:next w:val="Normal"/>
    <w:rsid w:val="005A3B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3B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3B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3B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3B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3B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3B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3B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3B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3B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3B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3B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3B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3B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A3B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3B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3B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3B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3B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3B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3B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3B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3B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3B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3B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3B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3B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3B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3B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3B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3B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3B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3B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3B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3B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3B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3B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3B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3B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3B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3B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3B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3B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3B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3B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3B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3B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3B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3B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3B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3B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3B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3B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3B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A3B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A3B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A3B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A3B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3B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3B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3B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3B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3B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3B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3B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A3B73"/>
    <w:rPr>
      <w:sz w:val="16"/>
    </w:rPr>
  </w:style>
  <w:style w:type="table" w:customStyle="1" w:styleId="CFlag">
    <w:name w:val="CFlag"/>
    <w:basedOn w:val="TableNormal"/>
    <w:uiPriority w:val="99"/>
    <w:rsid w:val="005A3B7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A3B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3B7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A3B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3B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A3B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3B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3B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3B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3B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A3B73"/>
    <w:pPr>
      <w:spacing w:before="120"/>
    </w:pPr>
  </w:style>
  <w:style w:type="paragraph" w:customStyle="1" w:styleId="TableTextEndNotes">
    <w:name w:val="TableTextEndNotes"/>
    <w:aliases w:val="Tten"/>
    <w:basedOn w:val="Normal"/>
    <w:rsid w:val="005A3B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A3B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A3B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3B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3B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3B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3B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3B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3B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3B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3B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A3B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A3B73"/>
  </w:style>
  <w:style w:type="character" w:customStyle="1" w:styleId="CharSubPartNoCASA">
    <w:name w:val="CharSubPartNo(CASA)"/>
    <w:basedOn w:val="OPCCharBase"/>
    <w:uiPriority w:val="1"/>
    <w:rsid w:val="005A3B73"/>
  </w:style>
  <w:style w:type="paragraph" w:customStyle="1" w:styleId="ENoteTTIndentHeadingSub">
    <w:name w:val="ENoteTTIndentHeadingSub"/>
    <w:aliases w:val="enTTHis"/>
    <w:basedOn w:val="OPCParaBase"/>
    <w:rsid w:val="005A3B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3B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3B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3B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A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A3B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3B73"/>
    <w:rPr>
      <w:sz w:val="22"/>
    </w:rPr>
  </w:style>
  <w:style w:type="paragraph" w:customStyle="1" w:styleId="SOTextNote">
    <w:name w:val="SO TextNote"/>
    <w:aliases w:val="sont"/>
    <w:basedOn w:val="SOText"/>
    <w:qFormat/>
    <w:rsid w:val="005A3B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3B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3B73"/>
    <w:rPr>
      <w:sz w:val="22"/>
    </w:rPr>
  </w:style>
  <w:style w:type="paragraph" w:customStyle="1" w:styleId="FileName">
    <w:name w:val="FileName"/>
    <w:basedOn w:val="Normal"/>
    <w:rsid w:val="005A3B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3B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3B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3B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3B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3B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3B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3B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3B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3B7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A3B7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60D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6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0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0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0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0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0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46B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BC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6B74C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B74C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B74C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B74C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B74C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E95A6D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E95A6D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E95A6D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1E1F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1F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1FB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3B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0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0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0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0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0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0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0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3B73"/>
  </w:style>
  <w:style w:type="paragraph" w:customStyle="1" w:styleId="OPCParaBase">
    <w:name w:val="OPCParaBase"/>
    <w:qFormat/>
    <w:rsid w:val="005A3B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3B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3B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3B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3B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3B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A3B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3B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3B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3B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3B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A3B73"/>
  </w:style>
  <w:style w:type="paragraph" w:customStyle="1" w:styleId="Blocks">
    <w:name w:val="Blocks"/>
    <w:aliases w:val="bb"/>
    <w:basedOn w:val="OPCParaBase"/>
    <w:qFormat/>
    <w:rsid w:val="005A3B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3B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3B73"/>
    <w:rPr>
      <w:i/>
    </w:rPr>
  </w:style>
  <w:style w:type="paragraph" w:customStyle="1" w:styleId="BoxList">
    <w:name w:val="BoxList"/>
    <w:aliases w:val="bl"/>
    <w:basedOn w:val="BoxText"/>
    <w:qFormat/>
    <w:rsid w:val="005A3B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3B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3B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3B73"/>
    <w:pPr>
      <w:ind w:left="1985" w:hanging="851"/>
    </w:pPr>
  </w:style>
  <w:style w:type="character" w:customStyle="1" w:styleId="CharAmPartNo">
    <w:name w:val="CharAmPartNo"/>
    <w:basedOn w:val="OPCCharBase"/>
    <w:qFormat/>
    <w:rsid w:val="005A3B73"/>
  </w:style>
  <w:style w:type="character" w:customStyle="1" w:styleId="CharAmPartText">
    <w:name w:val="CharAmPartText"/>
    <w:basedOn w:val="OPCCharBase"/>
    <w:qFormat/>
    <w:rsid w:val="005A3B73"/>
  </w:style>
  <w:style w:type="character" w:customStyle="1" w:styleId="CharAmSchNo">
    <w:name w:val="CharAmSchNo"/>
    <w:basedOn w:val="OPCCharBase"/>
    <w:qFormat/>
    <w:rsid w:val="005A3B73"/>
  </w:style>
  <w:style w:type="character" w:customStyle="1" w:styleId="CharAmSchText">
    <w:name w:val="CharAmSchText"/>
    <w:basedOn w:val="OPCCharBase"/>
    <w:qFormat/>
    <w:rsid w:val="005A3B73"/>
  </w:style>
  <w:style w:type="character" w:customStyle="1" w:styleId="CharBoldItalic">
    <w:name w:val="CharBoldItalic"/>
    <w:basedOn w:val="OPCCharBase"/>
    <w:uiPriority w:val="1"/>
    <w:qFormat/>
    <w:rsid w:val="005A3B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3B73"/>
  </w:style>
  <w:style w:type="character" w:customStyle="1" w:styleId="CharChapText">
    <w:name w:val="CharChapText"/>
    <w:basedOn w:val="OPCCharBase"/>
    <w:uiPriority w:val="1"/>
    <w:qFormat/>
    <w:rsid w:val="005A3B73"/>
  </w:style>
  <w:style w:type="character" w:customStyle="1" w:styleId="CharDivNo">
    <w:name w:val="CharDivNo"/>
    <w:basedOn w:val="OPCCharBase"/>
    <w:uiPriority w:val="1"/>
    <w:qFormat/>
    <w:rsid w:val="005A3B73"/>
  </w:style>
  <w:style w:type="character" w:customStyle="1" w:styleId="CharDivText">
    <w:name w:val="CharDivText"/>
    <w:basedOn w:val="OPCCharBase"/>
    <w:uiPriority w:val="1"/>
    <w:qFormat/>
    <w:rsid w:val="005A3B73"/>
  </w:style>
  <w:style w:type="character" w:customStyle="1" w:styleId="CharItalic">
    <w:name w:val="CharItalic"/>
    <w:basedOn w:val="OPCCharBase"/>
    <w:uiPriority w:val="1"/>
    <w:qFormat/>
    <w:rsid w:val="005A3B73"/>
    <w:rPr>
      <w:i/>
    </w:rPr>
  </w:style>
  <w:style w:type="character" w:customStyle="1" w:styleId="CharPartNo">
    <w:name w:val="CharPartNo"/>
    <w:basedOn w:val="OPCCharBase"/>
    <w:uiPriority w:val="1"/>
    <w:qFormat/>
    <w:rsid w:val="005A3B73"/>
  </w:style>
  <w:style w:type="character" w:customStyle="1" w:styleId="CharPartText">
    <w:name w:val="CharPartText"/>
    <w:basedOn w:val="OPCCharBase"/>
    <w:uiPriority w:val="1"/>
    <w:qFormat/>
    <w:rsid w:val="005A3B73"/>
  </w:style>
  <w:style w:type="character" w:customStyle="1" w:styleId="CharSectno">
    <w:name w:val="CharSectno"/>
    <w:basedOn w:val="OPCCharBase"/>
    <w:qFormat/>
    <w:rsid w:val="005A3B73"/>
  </w:style>
  <w:style w:type="character" w:customStyle="1" w:styleId="CharSubdNo">
    <w:name w:val="CharSubdNo"/>
    <w:basedOn w:val="OPCCharBase"/>
    <w:uiPriority w:val="1"/>
    <w:qFormat/>
    <w:rsid w:val="005A3B73"/>
  </w:style>
  <w:style w:type="character" w:customStyle="1" w:styleId="CharSubdText">
    <w:name w:val="CharSubdText"/>
    <w:basedOn w:val="OPCCharBase"/>
    <w:uiPriority w:val="1"/>
    <w:qFormat/>
    <w:rsid w:val="005A3B73"/>
  </w:style>
  <w:style w:type="paragraph" w:customStyle="1" w:styleId="CTA--">
    <w:name w:val="CTA --"/>
    <w:basedOn w:val="OPCParaBase"/>
    <w:next w:val="Normal"/>
    <w:rsid w:val="005A3B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3B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3B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3B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3B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3B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3B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3B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3B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3B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3B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3B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3B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3B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A3B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3B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3B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3B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3B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3B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3B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3B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3B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3B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3B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3B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3B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3B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3B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3B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3B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3B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3B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3B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3B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3B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3B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3B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3B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3B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3B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3B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3B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3B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3B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3B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3B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3B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3B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3B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3B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3B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3B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3B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A3B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A3B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A3B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A3B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A3B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3B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3B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3B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3B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3B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3B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3B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A3B73"/>
    <w:rPr>
      <w:sz w:val="16"/>
    </w:rPr>
  </w:style>
  <w:style w:type="table" w:customStyle="1" w:styleId="CFlag">
    <w:name w:val="CFlag"/>
    <w:basedOn w:val="TableNormal"/>
    <w:uiPriority w:val="99"/>
    <w:rsid w:val="005A3B7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A3B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3B7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A3B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3B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A3B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3B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3B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3B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3B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A3B73"/>
    <w:pPr>
      <w:spacing w:before="120"/>
    </w:pPr>
  </w:style>
  <w:style w:type="paragraph" w:customStyle="1" w:styleId="TableTextEndNotes">
    <w:name w:val="TableTextEndNotes"/>
    <w:aliases w:val="Tten"/>
    <w:basedOn w:val="Normal"/>
    <w:rsid w:val="005A3B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A3B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A3B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3B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3B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3B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3B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3B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3B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3B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3B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A3B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A3B73"/>
  </w:style>
  <w:style w:type="character" w:customStyle="1" w:styleId="CharSubPartNoCASA">
    <w:name w:val="CharSubPartNo(CASA)"/>
    <w:basedOn w:val="OPCCharBase"/>
    <w:uiPriority w:val="1"/>
    <w:rsid w:val="005A3B73"/>
  </w:style>
  <w:style w:type="paragraph" w:customStyle="1" w:styleId="ENoteTTIndentHeadingSub">
    <w:name w:val="ENoteTTIndentHeadingSub"/>
    <w:aliases w:val="enTTHis"/>
    <w:basedOn w:val="OPCParaBase"/>
    <w:rsid w:val="005A3B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3B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3B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3B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A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A3B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3B73"/>
    <w:rPr>
      <w:sz w:val="22"/>
    </w:rPr>
  </w:style>
  <w:style w:type="paragraph" w:customStyle="1" w:styleId="SOTextNote">
    <w:name w:val="SO TextNote"/>
    <w:aliases w:val="sont"/>
    <w:basedOn w:val="SOText"/>
    <w:qFormat/>
    <w:rsid w:val="005A3B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3B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3B73"/>
    <w:rPr>
      <w:sz w:val="22"/>
    </w:rPr>
  </w:style>
  <w:style w:type="paragraph" w:customStyle="1" w:styleId="FileName">
    <w:name w:val="FileName"/>
    <w:basedOn w:val="Normal"/>
    <w:rsid w:val="005A3B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3B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3B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3B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3B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3B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3B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3B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3B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3B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3B7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A3B7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60D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6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0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0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0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0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0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46B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BC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6B74C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B74C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B74C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B74C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B74C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E95A6D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E95A6D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E95A6D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1E1F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1F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1FB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639</Words>
  <Characters>3520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2020-06-09T04:36:00Z</cp:lastPrinted>
  <dcterms:created xsi:type="dcterms:W3CDTF">2020-11-25T03:25:00Z</dcterms:created>
  <dcterms:modified xsi:type="dcterms:W3CDTF">2020-11-25T04:39:00Z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Biosecurity Amendment (Traveller Declarations and Other Measures) Act 2020</vt:lpwstr>
  </property>
  <property fmtid="{D5CDD505-2E9C-101B-9397-08002B2CF9AE}" pid="5" name="ActNo">
    <vt:lpwstr>No. 99,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OPC7509</vt:lpwstr>
  </property>
</Properties>
</file>