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38" w:rsidRDefault="00C73038" w:rsidP="00C7303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9" o:title=""/>
          </v:shape>
          <o:OLEObject Type="Embed" ProgID="Word.Picture.8" ShapeID="_x0000_i1026" DrawAspect="Content" ObjectID="_1661941168" r:id="rId10"/>
        </w:object>
      </w:r>
    </w:p>
    <w:p w:rsidR="00C73038" w:rsidRDefault="00C73038" w:rsidP="00C73038"/>
    <w:p w:rsidR="00C73038" w:rsidRDefault="00C73038" w:rsidP="00C73038"/>
    <w:p w:rsidR="00C73038" w:rsidRDefault="00C73038" w:rsidP="00C73038"/>
    <w:p w:rsidR="00C73038" w:rsidRDefault="00C73038" w:rsidP="00C73038"/>
    <w:p w:rsidR="00C73038" w:rsidRDefault="00C73038" w:rsidP="00C73038"/>
    <w:p w:rsidR="00C73038" w:rsidRDefault="00C73038" w:rsidP="00C73038">
      <w:bookmarkStart w:id="0" w:name="_GoBack"/>
      <w:bookmarkEnd w:id="0"/>
    </w:p>
    <w:p w:rsidR="0048364F" w:rsidRPr="00D13236" w:rsidRDefault="00C73038" w:rsidP="0048364F">
      <w:pPr>
        <w:pStyle w:val="ShortT"/>
      </w:pPr>
      <w:r>
        <w:t>Australian Citizenship Amendment (Citizenship Cessation) Act 2020</w:t>
      </w:r>
    </w:p>
    <w:p w:rsidR="0048364F" w:rsidRPr="00D13236" w:rsidRDefault="0048364F" w:rsidP="0048364F"/>
    <w:p w:rsidR="0048364F" w:rsidRPr="00D13236" w:rsidRDefault="00C164CA" w:rsidP="0048364F">
      <w:pPr>
        <w:pStyle w:val="Actno"/>
      </w:pPr>
      <w:r w:rsidRPr="00D13236">
        <w:t>No</w:t>
      </w:r>
      <w:r w:rsidR="0015304A" w:rsidRPr="00D13236">
        <w:t>.</w:t>
      </w:r>
      <w:r w:rsidR="000F60F4">
        <w:t xml:space="preserve"> 88</w:t>
      </w:r>
      <w:r w:rsidRPr="00D13236">
        <w:t>, 20</w:t>
      </w:r>
      <w:r w:rsidR="00D21CCF">
        <w:t>20</w:t>
      </w:r>
    </w:p>
    <w:p w:rsidR="0048364F" w:rsidRPr="00D13236" w:rsidRDefault="0048364F" w:rsidP="0048364F"/>
    <w:p w:rsidR="00DD13FF" w:rsidRDefault="00DD13FF" w:rsidP="00DD13FF">
      <w:pPr>
        <w:rPr>
          <w:lang w:eastAsia="en-AU"/>
        </w:rPr>
      </w:pPr>
    </w:p>
    <w:p w:rsidR="0048364F" w:rsidRPr="00D13236" w:rsidRDefault="0048364F" w:rsidP="0048364F"/>
    <w:p w:rsidR="0048364F" w:rsidRPr="00D13236" w:rsidRDefault="0048364F" w:rsidP="0048364F"/>
    <w:p w:rsidR="0048364F" w:rsidRPr="00D13236" w:rsidRDefault="0048364F" w:rsidP="0048364F"/>
    <w:p w:rsidR="00C73038" w:rsidRDefault="00C73038" w:rsidP="00C73038">
      <w:pPr>
        <w:pStyle w:val="LongT"/>
      </w:pPr>
      <w:r>
        <w:t xml:space="preserve">An Act to amend the </w:t>
      </w:r>
      <w:r w:rsidRPr="00C73038">
        <w:rPr>
          <w:i/>
        </w:rPr>
        <w:t>Australian Citizenship Act 2007</w:t>
      </w:r>
      <w:r>
        <w:t>, and for related purposes</w:t>
      </w:r>
    </w:p>
    <w:p w:rsidR="005D3BF7" w:rsidRPr="00D13236" w:rsidRDefault="005D3BF7" w:rsidP="005D3BF7">
      <w:pPr>
        <w:pStyle w:val="Header"/>
        <w:tabs>
          <w:tab w:val="clear" w:pos="4150"/>
          <w:tab w:val="clear" w:pos="8307"/>
        </w:tabs>
      </w:pPr>
      <w:r w:rsidRPr="00D13236">
        <w:rPr>
          <w:rStyle w:val="CharAmSchNo"/>
        </w:rPr>
        <w:t xml:space="preserve"> </w:t>
      </w:r>
      <w:r w:rsidRPr="00D13236">
        <w:rPr>
          <w:rStyle w:val="CharAmSchText"/>
        </w:rPr>
        <w:t xml:space="preserve"> </w:t>
      </w:r>
    </w:p>
    <w:p w:rsidR="005D3BF7" w:rsidRPr="00D13236" w:rsidRDefault="005D3BF7" w:rsidP="005D3BF7">
      <w:pPr>
        <w:pStyle w:val="Header"/>
        <w:tabs>
          <w:tab w:val="clear" w:pos="4150"/>
          <w:tab w:val="clear" w:pos="8307"/>
        </w:tabs>
      </w:pPr>
      <w:r w:rsidRPr="00D13236">
        <w:rPr>
          <w:rStyle w:val="CharAmPartNo"/>
        </w:rPr>
        <w:t xml:space="preserve"> </w:t>
      </w:r>
      <w:r w:rsidRPr="00D13236">
        <w:rPr>
          <w:rStyle w:val="CharAmPartText"/>
        </w:rPr>
        <w:t xml:space="preserve"> </w:t>
      </w:r>
    </w:p>
    <w:p w:rsidR="0048364F" w:rsidRPr="00D13236" w:rsidRDefault="0048364F" w:rsidP="0048364F">
      <w:pPr>
        <w:sectPr w:rsidR="0048364F" w:rsidRPr="00D13236" w:rsidSect="00C73038">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D13236" w:rsidRDefault="0048364F" w:rsidP="00581ED2">
      <w:pPr>
        <w:rPr>
          <w:sz w:val="36"/>
        </w:rPr>
      </w:pPr>
      <w:r w:rsidRPr="00D13236">
        <w:rPr>
          <w:sz w:val="36"/>
        </w:rPr>
        <w:lastRenderedPageBreak/>
        <w:t>Contents</w:t>
      </w:r>
    </w:p>
    <w:p w:rsidR="00202CC9" w:rsidRDefault="00202CC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02CC9">
        <w:rPr>
          <w:noProof/>
        </w:rPr>
        <w:tab/>
      </w:r>
      <w:r w:rsidRPr="00202CC9">
        <w:rPr>
          <w:noProof/>
        </w:rPr>
        <w:fldChar w:fldCharType="begin"/>
      </w:r>
      <w:r w:rsidRPr="00202CC9">
        <w:rPr>
          <w:noProof/>
        </w:rPr>
        <w:instrText xml:space="preserve"> PAGEREF _Toc51327889 \h </w:instrText>
      </w:r>
      <w:r w:rsidRPr="00202CC9">
        <w:rPr>
          <w:noProof/>
        </w:rPr>
      </w:r>
      <w:r w:rsidRPr="00202CC9">
        <w:rPr>
          <w:noProof/>
        </w:rPr>
        <w:fldChar w:fldCharType="separate"/>
      </w:r>
      <w:r w:rsidR="00A02BD6">
        <w:rPr>
          <w:noProof/>
        </w:rPr>
        <w:t>1</w:t>
      </w:r>
      <w:r w:rsidRPr="00202CC9">
        <w:rPr>
          <w:noProof/>
        </w:rPr>
        <w:fldChar w:fldCharType="end"/>
      </w:r>
    </w:p>
    <w:p w:rsidR="00202CC9" w:rsidRDefault="00202CC9">
      <w:pPr>
        <w:pStyle w:val="TOC5"/>
        <w:rPr>
          <w:rFonts w:asciiTheme="minorHAnsi" w:eastAsiaTheme="minorEastAsia" w:hAnsiTheme="minorHAnsi" w:cstheme="minorBidi"/>
          <w:noProof/>
          <w:kern w:val="0"/>
          <w:sz w:val="22"/>
          <w:szCs w:val="22"/>
        </w:rPr>
      </w:pPr>
      <w:r>
        <w:rPr>
          <w:noProof/>
        </w:rPr>
        <w:t>2</w:t>
      </w:r>
      <w:r>
        <w:rPr>
          <w:noProof/>
        </w:rPr>
        <w:tab/>
        <w:t>Commencement</w:t>
      </w:r>
      <w:r w:rsidRPr="00202CC9">
        <w:rPr>
          <w:noProof/>
        </w:rPr>
        <w:tab/>
      </w:r>
      <w:r w:rsidRPr="00202CC9">
        <w:rPr>
          <w:noProof/>
        </w:rPr>
        <w:fldChar w:fldCharType="begin"/>
      </w:r>
      <w:r w:rsidRPr="00202CC9">
        <w:rPr>
          <w:noProof/>
        </w:rPr>
        <w:instrText xml:space="preserve"> PAGEREF _Toc51327890 \h </w:instrText>
      </w:r>
      <w:r w:rsidRPr="00202CC9">
        <w:rPr>
          <w:noProof/>
        </w:rPr>
      </w:r>
      <w:r w:rsidRPr="00202CC9">
        <w:rPr>
          <w:noProof/>
        </w:rPr>
        <w:fldChar w:fldCharType="separate"/>
      </w:r>
      <w:r w:rsidR="00A02BD6">
        <w:rPr>
          <w:noProof/>
        </w:rPr>
        <w:t>2</w:t>
      </w:r>
      <w:r w:rsidRPr="00202CC9">
        <w:rPr>
          <w:noProof/>
        </w:rPr>
        <w:fldChar w:fldCharType="end"/>
      </w:r>
    </w:p>
    <w:p w:rsidR="00202CC9" w:rsidRDefault="00202CC9">
      <w:pPr>
        <w:pStyle w:val="TOC5"/>
        <w:rPr>
          <w:rFonts w:asciiTheme="minorHAnsi" w:eastAsiaTheme="minorEastAsia" w:hAnsiTheme="minorHAnsi" w:cstheme="minorBidi"/>
          <w:noProof/>
          <w:kern w:val="0"/>
          <w:sz w:val="22"/>
          <w:szCs w:val="22"/>
        </w:rPr>
      </w:pPr>
      <w:r>
        <w:rPr>
          <w:noProof/>
        </w:rPr>
        <w:t>3</w:t>
      </w:r>
      <w:r>
        <w:rPr>
          <w:noProof/>
        </w:rPr>
        <w:tab/>
        <w:t>Schedules</w:t>
      </w:r>
      <w:r w:rsidRPr="00202CC9">
        <w:rPr>
          <w:noProof/>
        </w:rPr>
        <w:tab/>
      </w:r>
      <w:r w:rsidRPr="00202CC9">
        <w:rPr>
          <w:noProof/>
        </w:rPr>
        <w:fldChar w:fldCharType="begin"/>
      </w:r>
      <w:r w:rsidRPr="00202CC9">
        <w:rPr>
          <w:noProof/>
        </w:rPr>
        <w:instrText xml:space="preserve"> PAGEREF _Toc51327891 \h </w:instrText>
      </w:r>
      <w:r w:rsidRPr="00202CC9">
        <w:rPr>
          <w:noProof/>
        </w:rPr>
      </w:r>
      <w:r w:rsidRPr="00202CC9">
        <w:rPr>
          <w:noProof/>
        </w:rPr>
        <w:fldChar w:fldCharType="separate"/>
      </w:r>
      <w:r w:rsidR="00A02BD6">
        <w:rPr>
          <w:noProof/>
        </w:rPr>
        <w:t>2</w:t>
      </w:r>
      <w:r w:rsidRPr="00202CC9">
        <w:rPr>
          <w:noProof/>
        </w:rPr>
        <w:fldChar w:fldCharType="end"/>
      </w:r>
    </w:p>
    <w:p w:rsidR="00202CC9" w:rsidRDefault="00202CC9">
      <w:pPr>
        <w:pStyle w:val="TOC6"/>
        <w:rPr>
          <w:rFonts w:asciiTheme="minorHAnsi" w:eastAsiaTheme="minorEastAsia" w:hAnsiTheme="minorHAnsi" w:cstheme="minorBidi"/>
          <w:b w:val="0"/>
          <w:noProof/>
          <w:kern w:val="0"/>
          <w:sz w:val="22"/>
          <w:szCs w:val="22"/>
        </w:rPr>
      </w:pPr>
      <w:r>
        <w:rPr>
          <w:noProof/>
        </w:rPr>
        <w:t>Schedule 1—Amendments</w:t>
      </w:r>
      <w:r w:rsidRPr="00202CC9">
        <w:rPr>
          <w:b w:val="0"/>
          <w:noProof/>
          <w:sz w:val="18"/>
        </w:rPr>
        <w:tab/>
      </w:r>
      <w:r w:rsidRPr="00202CC9">
        <w:rPr>
          <w:b w:val="0"/>
          <w:noProof/>
          <w:sz w:val="18"/>
        </w:rPr>
        <w:fldChar w:fldCharType="begin"/>
      </w:r>
      <w:r w:rsidRPr="00202CC9">
        <w:rPr>
          <w:b w:val="0"/>
          <w:noProof/>
          <w:sz w:val="18"/>
        </w:rPr>
        <w:instrText xml:space="preserve"> PAGEREF _Toc51327892 \h </w:instrText>
      </w:r>
      <w:r w:rsidRPr="00202CC9">
        <w:rPr>
          <w:b w:val="0"/>
          <w:noProof/>
          <w:sz w:val="18"/>
        </w:rPr>
      </w:r>
      <w:r w:rsidRPr="00202CC9">
        <w:rPr>
          <w:b w:val="0"/>
          <w:noProof/>
          <w:sz w:val="18"/>
        </w:rPr>
        <w:fldChar w:fldCharType="separate"/>
      </w:r>
      <w:r w:rsidR="00A02BD6">
        <w:rPr>
          <w:b w:val="0"/>
          <w:noProof/>
          <w:sz w:val="18"/>
        </w:rPr>
        <w:t>3</w:t>
      </w:r>
      <w:r w:rsidRPr="00202CC9">
        <w:rPr>
          <w:b w:val="0"/>
          <w:noProof/>
          <w:sz w:val="18"/>
        </w:rPr>
        <w:fldChar w:fldCharType="end"/>
      </w:r>
    </w:p>
    <w:p w:rsidR="00202CC9" w:rsidRDefault="00202CC9">
      <w:pPr>
        <w:pStyle w:val="TOC7"/>
        <w:rPr>
          <w:rFonts w:asciiTheme="minorHAnsi" w:eastAsiaTheme="minorEastAsia" w:hAnsiTheme="minorHAnsi" w:cstheme="minorBidi"/>
          <w:noProof/>
          <w:kern w:val="0"/>
          <w:sz w:val="22"/>
          <w:szCs w:val="22"/>
        </w:rPr>
      </w:pPr>
      <w:r>
        <w:rPr>
          <w:noProof/>
        </w:rPr>
        <w:t>Part 1—Amendments</w:t>
      </w:r>
      <w:r w:rsidRPr="00202CC9">
        <w:rPr>
          <w:noProof/>
          <w:sz w:val="18"/>
        </w:rPr>
        <w:tab/>
      </w:r>
      <w:r w:rsidRPr="00202CC9">
        <w:rPr>
          <w:noProof/>
          <w:sz w:val="18"/>
        </w:rPr>
        <w:fldChar w:fldCharType="begin"/>
      </w:r>
      <w:r w:rsidRPr="00202CC9">
        <w:rPr>
          <w:noProof/>
          <w:sz w:val="18"/>
        </w:rPr>
        <w:instrText xml:space="preserve"> PAGEREF _Toc51327893 \h </w:instrText>
      </w:r>
      <w:r w:rsidRPr="00202CC9">
        <w:rPr>
          <w:noProof/>
          <w:sz w:val="18"/>
        </w:rPr>
      </w:r>
      <w:r w:rsidRPr="00202CC9">
        <w:rPr>
          <w:noProof/>
          <w:sz w:val="18"/>
        </w:rPr>
        <w:fldChar w:fldCharType="separate"/>
      </w:r>
      <w:r w:rsidR="00A02BD6">
        <w:rPr>
          <w:noProof/>
          <w:sz w:val="18"/>
        </w:rPr>
        <w:t>3</w:t>
      </w:r>
      <w:r w:rsidRPr="00202CC9">
        <w:rPr>
          <w:noProof/>
          <w:sz w:val="18"/>
        </w:rPr>
        <w:fldChar w:fldCharType="end"/>
      </w:r>
    </w:p>
    <w:p w:rsidR="00202CC9" w:rsidRDefault="00202CC9">
      <w:pPr>
        <w:pStyle w:val="TOC9"/>
        <w:rPr>
          <w:rFonts w:asciiTheme="minorHAnsi" w:eastAsiaTheme="minorEastAsia" w:hAnsiTheme="minorHAnsi" w:cstheme="minorBidi"/>
          <w:i w:val="0"/>
          <w:noProof/>
          <w:kern w:val="0"/>
          <w:sz w:val="22"/>
          <w:szCs w:val="22"/>
        </w:rPr>
      </w:pPr>
      <w:r>
        <w:rPr>
          <w:noProof/>
        </w:rPr>
        <w:t>Australian Citizenship Act 2007</w:t>
      </w:r>
      <w:r w:rsidRPr="00202CC9">
        <w:rPr>
          <w:i w:val="0"/>
          <w:noProof/>
          <w:sz w:val="18"/>
        </w:rPr>
        <w:tab/>
      </w:r>
      <w:r w:rsidRPr="00202CC9">
        <w:rPr>
          <w:i w:val="0"/>
          <w:noProof/>
          <w:sz w:val="18"/>
        </w:rPr>
        <w:fldChar w:fldCharType="begin"/>
      </w:r>
      <w:r w:rsidRPr="00202CC9">
        <w:rPr>
          <w:i w:val="0"/>
          <w:noProof/>
          <w:sz w:val="18"/>
        </w:rPr>
        <w:instrText xml:space="preserve"> PAGEREF _Toc51327894 \h </w:instrText>
      </w:r>
      <w:r w:rsidRPr="00202CC9">
        <w:rPr>
          <w:i w:val="0"/>
          <w:noProof/>
          <w:sz w:val="18"/>
        </w:rPr>
      </w:r>
      <w:r w:rsidRPr="00202CC9">
        <w:rPr>
          <w:i w:val="0"/>
          <w:noProof/>
          <w:sz w:val="18"/>
        </w:rPr>
        <w:fldChar w:fldCharType="separate"/>
      </w:r>
      <w:r w:rsidR="00A02BD6">
        <w:rPr>
          <w:i w:val="0"/>
          <w:noProof/>
          <w:sz w:val="18"/>
        </w:rPr>
        <w:t>3</w:t>
      </w:r>
      <w:r w:rsidRPr="00202CC9">
        <w:rPr>
          <w:i w:val="0"/>
          <w:noProof/>
          <w:sz w:val="18"/>
        </w:rPr>
        <w:fldChar w:fldCharType="end"/>
      </w:r>
    </w:p>
    <w:p w:rsidR="00202CC9" w:rsidRDefault="00202CC9">
      <w:pPr>
        <w:pStyle w:val="TOC9"/>
        <w:rPr>
          <w:rFonts w:asciiTheme="minorHAnsi" w:eastAsiaTheme="minorEastAsia" w:hAnsiTheme="minorHAnsi" w:cstheme="minorBidi"/>
          <w:i w:val="0"/>
          <w:noProof/>
          <w:kern w:val="0"/>
          <w:sz w:val="22"/>
          <w:szCs w:val="22"/>
        </w:rPr>
      </w:pPr>
      <w:r>
        <w:rPr>
          <w:noProof/>
        </w:rPr>
        <w:t>Independent National Security Legislation Monitor Act 2010</w:t>
      </w:r>
      <w:r w:rsidRPr="00202CC9">
        <w:rPr>
          <w:i w:val="0"/>
          <w:noProof/>
          <w:sz w:val="18"/>
        </w:rPr>
        <w:tab/>
      </w:r>
      <w:r w:rsidRPr="00202CC9">
        <w:rPr>
          <w:i w:val="0"/>
          <w:noProof/>
          <w:sz w:val="18"/>
        </w:rPr>
        <w:fldChar w:fldCharType="begin"/>
      </w:r>
      <w:r w:rsidRPr="00202CC9">
        <w:rPr>
          <w:i w:val="0"/>
          <w:noProof/>
          <w:sz w:val="18"/>
        </w:rPr>
        <w:instrText xml:space="preserve"> PAGEREF _Toc51327910 \h </w:instrText>
      </w:r>
      <w:r w:rsidRPr="00202CC9">
        <w:rPr>
          <w:i w:val="0"/>
          <w:noProof/>
          <w:sz w:val="18"/>
        </w:rPr>
      </w:r>
      <w:r w:rsidRPr="00202CC9">
        <w:rPr>
          <w:i w:val="0"/>
          <w:noProof/>
          <w:sz w:val="18"/>
        </w:rPr>
        <w:fldChar w:fldCharType="separate"/>
      </w:r>
      <w:r w:rsidR="00A02BD6">
        <w:rPr>
          <w:i w:val="0"/>
          <w:noProof/>
          <w:sz w:val="18"/>
        </w:rPr>
        <w:t>19</w:t>
      </w:r>
      <w:r w:rsidRPr="00202CC9">
        <w:rPr>
          <w:i w:val="0"/>
          <w:noProof/>
          <w:sz w:val="18"/>
        </w:rPr>
        <w:fldChar w:fldCharType="end"/>
      </w:r>
    </w:p>
    <w:p w:rsidR="00202CC9" w:rsidRDefault="00202CC9">
      <w:pPr>
        <w:pStyle w:val="TOC9"/>
        <w:rPr>
          <w:rFonts w:asciiTheme="minorHAnsi" w:eastAsiaTheme="minorEastAsia" w:hAnsiTheme="minorHAnsi" w:cstheme="minorBidi"/>
          <w:i w:val="0"/>
          <w:noProof/>
          <w:kern w:val="0"/>
          <w:sz w:val="22"/>
          <w:szCs w:val="22"/>
        </w:rPr>
      </w:pPr>
      <w:r>
        <w:rPr>
          <w:noProof/>
        </w:rPr>
        <w:t>Intelligence Services Act 2001</w:t>
      </w:r>
      <w:r w:rsidRPr="00202CC9">
        <w:rPr>
          <w:i w:val="0"/>
          <w:noProof/>
          <w:sz w:val="18"/>
        </w:rPr>
        <w:tab/>
      </w:r>
      <w:r w:rsidRPr="00202CC9">
        <w:rPr>
          <w:i w:val="0"/>
          <w:noProof/>
          <w:sz w:val="18"/>
        </w:rPr>
        <w:fldChar w:fldCharType="begin"/>
      </w:r>
      <w:r w:rsidRPr="00202CC9">
        <w:rPr>
          <w:i w:val="0"/>
          <w:noProof/>
          <w:sz w:val="18"/>
        </w:rPr>
        <w:instrText xml:space="preserve"> PAGEREF _Toc51327911 \h </w:instrText>
      </w:r>
      <w:r w:rsidRPr="00202CC9">
        <w:rPr>
          <w:i w:val="0"/>
          <w:noProof/>
          <w:sz w:val="18"/>
        </w:rPr>
      </w:r>
      <w:r w:rsidRPr="00202CC9">
        <w:rPr>
          <w:i w:val="0"/>
          <w:noProof/>
          <w:sz w:val="18"/>
        </w:rPr>
        <w:fldChar w:fldCharType="separate"/>
      </w:r>
      <w:r w:rsidR="00A02BD6">
        <w:rPr>
          <w:i w:val="0"/>
          <w:noProof/>
          <w:sz w:val="18"/>
        </w:rPr>
        <w:t>19</w:t>
      </w:r>
      <w:r w:rsidRPr="00202CC9">
        <w:rPr>
          <w:i w:val="0"/>
          <w:noProof/>
          <w:sz w:val="18"/>
        </w:rPr>
        <w:fldChar w:fldCharType="end"/>
      </w:r>
    </w:p>
    <w:p w:rsidR="00202CC9" w:rsidRDefault="00202CC9">
      <w:pPr>
        <w:pStyle w:val="TOC7"/>
        <w:rPr>
          <w:rFonts w:asciiTheme="minorHAnsi" w:eastAsiaTheme="minorEastAsia" w:hAnsiTheme="minorHAnsi" w:cstheme="minorBidi"/>
          <w:noProof/>
          <w:kern w:val="0"/>
          <w:sz w:val="22"/>
          <w:szCs w:val="22"/>
        </w:rPr>
      </w:pPr>
      <w:r>
        <w:rPr>
          <w:noProof/>
        </w:rPr>
        <w:t>Part 2—Application and transitional provisions</w:t>
      </w:r>
      <w:r w:rsidRPr="00202CC9">
        <w:rPr>
          <w:noProof/>
          <w:sz w:val="18"/>
        </w:rPr>
        <w:tab/>
      </w:r>
      <w:r w:rsidRPr="00202CC9">
        <w:rPr>
          <w:noProof/>
          <w:sz w:val="18"/>
        </w:rPr>
        <w:fldChar w:fldCharType="begin"/>
      </w:r>
      <w:r w:rsidRPr="00202CC9">
        <w:rPr>
          <w:noProof/>
          <w:sz w:val="18"/>
        </w:rPr>
        <w:instrText xml:space="preserve"> PAGEREF _Toc51327912 \h </w:instrText>
      </w:r>
      <w:r w:rsidRPr="00202CC9">
        <w:rPr>
          <w:noProof/>
          <w:sz w:val="18"/>
        </w:rPr>
      </w:r>
      <w:r w:rsidRPr="00202CC9">
        <w:rPr>
          <w:noProof/>
          <w:sz w:val="18"/>
        </w:rPr>
        <w:fldChar w:fldCharType="separate"/>
      </w:r>
      <w:r w:rsidR="00A02BD6">
        <w:rPr>
          <w:noProof/>
          <w:sz w:val="18"/>
        </w:rPr>
        <w:t>21</w:t>
      </w:r>
      <w:r w:rsidRPr="00202CC9">
        <w:rPr>
          <w:noProof/>
          <w:sz w:val="18"/>
        </w:rPr>
        <w:fldChar w:fldCharType="end"/>
      </w:r>
    </w:p>
    <w:p w:rsidR="00060FF9" w:rsidRPr="00D13236" w:rsidRDefault="00202CC9" w:rsidP="0048364F">
      <w:r>
        <w:fldChar w:fldCharType="end"/>
      </w:r>
    </w:p>
    <w:p w:rsidR="00FE7F93" w:rsidRPr="00D13236" w:rsidRDefault="00FE7F93" w:rsidP="0048364F">
      <w:pPr>
        <w:sectPr w:rsidR="00FE7F93" w:rsidRPr="00D13236" w:rsidSect="00C73038">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C73038" w:rsidRDefault="00C73038">
      <w:r>
        <w:object w:dxaOrig="2146" w:dyaOrig="1561">
          <v:shape id="_x0000_i1027" type="#_x0000_t75" alt="Commonwealth Coat of Arms of Australia" style="width:110.25pt;height:80.25pt" o:ole="" fillcolor="window">
            <v:imagedata r:id="rId9" o:title=""/>
          </v:shape>
          <o:OLEObject Type="Embed" ProgID="Word.Picture.8" ShapeID="_x0000_i1027" DrawAspect="Content" ObjectID="_1661941169" r:id="rId22"/>
        </w:object>
      </w:r>
    </w:p>
    <w:p w:rsidR="00C73038" w:rsidRDefault="00C73038"/>
    <w:p w:rsidR="00C73038" w:rsidRDefault="00C73038" w:rsidP="00202CC9">
      <w:pPr>
        <w:spacing w:line="240" w:lineRule="auto"/>
      </w:pPr>
    </w:p>
    <w:p w:rsidR="00C73038" w:rsidRDefault="001F5283" w:rsidP="00202CC9">
      <w:pPr>
        <w:pStyle w:val="ShortTP1"/>
      </w:pPr>
      <w:fldSimple w:instr=" STYLEREF ShortT ">
        <w:r w:rsidR="00A02BD6">
          <w:rPr>
            <w:noProof/>
          </w:rPr>
          <w:t>Australian Citizenship Amendment (Citizenship Cessation) Act 2020</w:t>
        </w:r>
      </w:fldSimple>
    </w:p>
    <w:p w:rsidR="00C73038" w:rsidRDefault="001F5283" w:rsidP="00202CC9">
      <w:pPr>
        <w:pStyle w:val="ActNoP1"/>
      </w:pPr>
      <w:fldSimple w:instr=" STYLEREF Actno ">
        <w:r w:rsidR="00A02BD6">
          <w:rPr>
            <w:noProof/>
          </w:rPr>
          <w:t>No. 88, 2020</w:t>
        </w:r>
      </w:fldSimple>
    </w:p>
    <w:p w:rsidR="00C73038" w:rsidRPr="009A0728" w:rsidRDefault="00C73038" w:rsidP="00202CC9">
      <w:pPr>
        <w:pBdr>
          <w:bottom w:val="single" w:sz="6" w:space="0" w:color="auto"/>
        </w:pBdr>
        <w:spacing w:before="400" w:line="240" w:lineRule="auto"/>
        <w:rPr>
          <w:rFonts w:eastAsia="Times New Roman"/>
          <w:b/>
          <w:sz w:val="28"/>
        </w:rPr>
      </w:pPr>
    </w:p>
    <w:p w:rsidR="00C73038" w:rsidRPr="009A0728" w:rsidRDefault="00C73038" w:rsidP="00202CC9">
      <w:pPr>
        <w:spacing w:line="40" w:lineRule="exact"/>
        <w:rPr>
          <w:rFonts w:eastAsia="Calibri"/>
          <w:b/>
          <w:sz w:val="28"/>
        </w:rPr>
      </w:pPr>
    </w:p>
    <w:p w:rsidR="00C73038" w:rsidRPr="009A0728" w:rsidRDefault="00C73038" w:rsidP="00202CC9">
      <w:pPr>
        <w:pBdr>
          <w:top w:val="single" w:sz="12" w:space="0" w:color="auto"/>
        </w:pBdr>
        <w:spacing w:line="240" w:lineRule="auto"/>
        <w:rPr>
          <w:rFonts w:eastAsia="Times New Roman"/>
          <w:b/>
          <w:sz w:val="28"/>
        </w:rPr>
      </w:pPr>
    </w:p>
    <w:p w:rsidR="00C73038" w:rsidRDefault="00C73038" w:rsidP="00C73038">
      <w:pPr>
        <w:pStyle w:val="Page1"/>
        <w:spacing w:before="400"/>
      </w:pPr>
      <w:r>
        <w:t xml:space="preserve">An Act to amend the </w:t>
      </w:r>
      <w:r w:rsidRPr="00C73038">
        <w:rPr>
          <w:i/>
        </w:rPr>
        <w:t>Australian Citizenship Act 2007</w:t>
      </w:r>
      <w:r>
        <w:t>, and for related purposes</w:t>
      </w:r>
    </w:p>
    <w:p w:rsidR="000F60F4" w:rsidRPr="00377735" w:rsidRDefault="000F60F4" w:rsidP="00377735">
      <w:pPr>
        <w:pStyle w:val="AssentDt"/>
        <w:spacing w:before="240"/>
        <w:rPr>
          <w:sz w:val="24"/>
        </w:rPr>
      </w:pPr>
      <w:r>
        <w:rPr>
          <w:sz w:val="24"/>
        </w:rPr>
        <w:t>[</w:t>
      </w:r>
      <w:r>
        <w:rPr>
          <w:i/>
          <w:sz w:val="24"/>
        </w:rPr>
        <w:t>Assented to 17 September 2020</w:t>
      </w:r>
      <w:r>
        <w:rPr>
          <w:sz w:val="24"/>
        </w:rPr>
        <w:t>]</w:t>
      </w:r>
    </w:p>
    <w:p w:rsidR="0048364F" w:rsidRPr="00D13236" w:rsidRDefault="0048364F" w:rsidP="00D13236">
      <w:pPr>
        <w:spacing w:before="240" w:line="240" w:lineRule="auto"/>
        <w:rPr>
          <w:sz w:val="32"/>
        </w:rPr>
      </w:pPr>
      <w:r w:rsidRPr="00D13236">
        <w:rPr>
          <w:sz w:val="32"/>
        </w:rPr>
        <w:t>The Parliament of Australia enacts:</w:t>
      </w:r>
    </w:p>
    <w:p w:rsidR="0048364F" w:rsidRPr="00D13236" w:rsidRDefault="0048364F" w:rsidP="00D13236">
      <w:pPr>
        <w:pStyle w:val="ActHead5"/>
      </w:pPr>
      <w:bookmarkStart w:id="1" w:name="_Toc51327889"/>
      <w:r w:rsidRPr="00D13236">
        <w:rPr>
          <w:rStyle w:val="CharSectno"/>
        </w:rPr>
        <w:t>1</w:t>
      </w:r>
      <w:r w:rsidRPr="00D13236">
        <w:t xml:space="preserve">  Short title</w:t>
      </w:r>
      <w:bookmarkEnd w:id="1"/>
    </w:p>
    <w:p w:rsidR="0048364F" w:rsidRPr="00D13236" w:rsidRDefault="0048364F" w:rsidP="00D13236">
      <w:pPr>
        <w:pStyle w:val="subsection"/>
      </w:pPr>
      <w:r w:rsidRPr="00D13236">
        <w:tab/>
      </w:r>
      <w:r w:rsidRPr="00D13236">
        <w:tab/>
        <w:t xml:space="preserve">This Act </w:t>
      </w:r>
      <w:r w:rsidR="00275197" w:rsidRPr="00D13236">
        <w:t xml:space="preserve">is </w:t>
      </w:r>
      <w:r w:rsidRPr="00D13236">
        <w:t xml:space="preserve">the </w:t>
      </w:r>
      <w:r w:rsidR="00856A11" w:rsidRPr="00D13236">
        <w:rPr>
          <w:i/>
        </w:rPr>
        <w:t xml:space="preserve">Australian Citizenship Amendment (Citizenship </w:t>
      </w:r>
      <w:r w:rsidR="00000502" w:rsidRPr="00D13236">
        <w:rPr>
          <w:i/>
        </w:rPr>
        <w:t>Cessation</w:t>
      </w:r>
      <w:r w:rsidR="00856A11" w:rsidRPr="00D13236">
        <w:rPr>
          <w:i/>
        </w:rPr>
        <w:t>)</w:t>
      </w:r>
      <w:r w:rsidR="00856A11" w:rsidRPr="00D13236">
        <w:t xml:space="preserve"> </w:t>
      </w:r>
      <w:r w:rsidR="00EE3E36" w:rsidRPr="00D13236">
        <w:rPr>
          <w:i/>
        </w:rPr>
        <w:t>Act 20</w:t>
      </w:r>
      <w:r w:rsidR="00D21CCF">
        <w:rPr>
          <w:i/>
        </w:rPr>
        <w:t>20</w:t>
      </w:r>
      <w:r w:rsidR="0015304A" w:rsidRPr="00D13236">
        <w:t>.</w:t>
      </w:r>
    </w:p>
    <w:p w:rsidR="0048364F" w:rsidRPr="00D13236" w:rsidRDefault="0048364F" w:rsidP="00D13236">
      <w:pPr>
        <w:pStyle w:val="ActHead5"/>
      </w:pPr>
      <w:bookmarkStart w:id="2" w:name="_Toc51327890"/>
      <w:r w:rsidRPr="00D13236">
        <w:rPr>
          <w:rStyle w:val="CharSectno"/>
        </w:rPr>
        <w:t>2</w:t>
      </w:r>
      <w:r w:rsidRPr="00D13236">
        <w:t xml:space="preserve">  Commencement</w:t>
      </w:r>
      <w:bookmarkEnd w:id="2"/>
    </w:p>
    <w:p w:rsidR="00AD1412" w:rsidRPr="00D13236" w:rsidRDefault="00AD1412" w:rsidP="00D13236">
      <w:pPr>
        <w:pStyle w:val="subsection"/>
      </w:pPr>
      <w:r w:rsidRPr="00D13236">
        <w:tab/>
        <w:t>(1)</w:t>
      </w:r>
      <w:r w:rsidRPr="00D13236">
        <w:tab/>
        <w:t>Each provision of this Act specified in column 1 of the table commences, or is taken to have commenced, in accordance with column 2 of the table</w:t>
      </w:r>
      <w:r w:rsidR="0015304A" w:rsidRPr="00D13236">
        <w:t>.</w:t>
      </w:r>
      <w:r w:rsidRPr="00D13236">
        <w:t xml:space="preserve"> Any other statement in column 2 has effect according to its terms</w:t>
      </w:r>
      <w:r w:rsidR="0015304A" w:rsidRPr="00D13236">
        <w:t>.</w:t>
      </w:r>
    </w:p>
    <w:p w:rsidR="00AD1412" w:rsidRPr="00D13236" w:rsidRDefault="00AD1412" w:rsidP="00D1323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AD1412" w:rsidRPr="00D13236" w:rsidTr="00EF2DCB">
        <w:trPr>
          <w:tblHeader/>
        </w:trPr>
        <w:tc>
          <w:tcPr>
            <w:tcW w:w="7111" w:type="dxa"/>
            <w:gridSpan w:val="3"/>
            <w:tcBorders>
              <w:top w:val="single" w:sz="12" w:space="0" w:color="auto"/>
              <w:bottom w:val="single" w:sz="2" w:space="0" w:color="auto"/>
            </w:tcBorders>
            <w:shd w:val="clear" w:color="auto" w:fill="auto"/>
            <w:hideMark/>
          </w:tcPr>
          <w:p w:rsidR="00AD1412" w:rsidRPr="00D13236" w:rsidRDefault="00AD1412" w:rsidP="00D13236">
            <w:pPr>
              <w:pStyle w:val="TableHeading"/>
            </w:pPr>
            <w:r w:rsidRPr="00D13236">
              <w:t>Commencement information</w:t>
            </w:r>
          </w:p>
        </w:tc>
      </w:tr>
      <w:tr w:rsidR="00AD1412" w:rsidRPr="00D13236" w:rsidTr="00EF2DCB">
        <w:trPr>
          <w:tblHeader/>
        </w:trPr>
        <w:tc>
          <w:tcPr>
            <w:tcW w:w="1701" w:type="dxa"/>
            <w:tcBorders>
              <w:top w:val="single" w:sz="2" w:space="0" w:color="auto"/>
              <w:bottom w:val="single" w:sz="2" w:space="0" w:color="auto"/>
            </w:tcBorders>
            <w:shd w:val="clear" w:color="auto" w:fill="auto"/>
            <w:hideMark/>
          </w:tcPr>
          <w:p w:rsidR="00AD1412" w:rsidRPr="00D13236" w:rsidRDefault="00AD1412" w:rsidP="00D13236">
            <w:pPr>
              <w:pStyle w:val="TableHeading"/>
            </w:pPr>
            <w:r w:rsidRPr="00D13236">
              <w:t>Column 1</w:t>
            </w:r>
          </w:p>
        </w:tc>
        <w:tc>
          <w:tcPr>
            <w:tcW w:w="3828" w:type="dxa"/>
            <w:tcBorders>
              <w:top w:val="single" w:sz="2" w:space="0" w:color="auto"/>
              <w:bottom w:val="single" w:sz="2" w:space="0" w:color="auto"/>
            </w:tcBorders>
            <w:shd w:val="clear" w:color="auto" w:fill="auto"/>
            <w:hideMark/>
          </w:tcPr>
          <w:p w:rsidR="00AD1412" w:rsidRPr="00D13236" w:rsidRDefault="00AD1412" w:rsidP="00D13236">
            <w:pPr>
              <w:pStyle w:val="TableHeading"/>
            </w:pPr>
            <w:r w:rsidRPr="00D13236">
              <w:t>Column 2</w:t>
            </w:r>
          </w:p>
        </w:tc>
        <w:tc>
          <w:tcPr>
            <w:tcW w:w="1582" w:type="dxa"/>
            <w:tcBorders>
              <w:top w:val="single" w:sz="2" w:space="0" w:color="auto"/>
              <w:bottom w:val="single" w:sz="2" w:space="0" w:color="auto"/>
            </w:tcBorders>
            <w:shd w:val="clear" w:color="auto" w:fill="auto"/>
            <w:hideMark/>
          </w:tcPr>
          <w:p w:rsidR="00AD1412" w:rsidRPr="00D13236" w:rsidRDefault="00AD1412" w:rsidP="00D13236">
            <w:pPr>
              <w:pStyle w:val="TableHeading"/>
            </w:pPr>
            <w:r w:rsidRPr="00D13236">
              <w:t>Column 3</w:t>
            </w:r>
          </w:p>
        </w:tc>
      </w:tr>
      <w:tr w:rsidR="00AD1412" w:rsidRPr="00D13236" w:rsidTr="00EF2DCB">
        <w:trPr>
          <w:tblHeader/>
        </w:trPr>
        <w:tc>
          <w:tcPr>
            <w:tcW w:w="1701" w:type="dxa"/>
            <w:tcBorders>
              <w:top w:val="single" w:sz="2" w:space="0" w:color="auto"/>
              <w:bottom w:val="single" w:sz="12" w:space="0" w:color="auto"/>
            </w:tcBorders>
            <w:shd w:val="clear" w:color="auto" w:fill="auto"/>
            <w:hideMark/>
          </w:tcPr>
          <w:p w:rsidR="00AD1412" w:rsidRPr="00D13236" w:rsidRDefault="00AD1412" w:rsidP="00D13236">
            <w:pPr>
              <w:pStyle w:val="TableHeading"/>
            </w:pPr>
            <w:r w:rsidRPr="00D13236">
              <w:t>Provisions</w:t>
            </w:r>
          </w:p>
        </w:tc>
        <w:tc>
          <w:tcPr>
            <w:tcW w:w="3828" w:type="dxa"/>
            <w:tcBorders>
              <w:top w:val="single" w:sz="2" w:space="0" w:color="auto"/>
              <w:bottom w:val="single" w:sz="12" w:space="0" w:color="auto"/>
            </w:tcBorders>
            <w:shd w:val="clear" w:color="auto" w:fill="auto"/>
            <w:hideMark/>
          </w:tcPr>
          <w:p w:rsidR="00AD1412" w:rsidRPr="00D13236" w:rsidRDefault="00AD1412" w:rsidP="00D13236">
            <w:pPr>
              <w:pStyle w:val="TableHeading"/>
            </w:pPr>
            <w:r w:rsidRPr="00D13236">
              <w:t>Commencement</w:t>
            </w:r>
          </w:p>
        </w:tc>
        <w:tc>
          <w:tcPr>
            <w:tcW w:w="1582" w:type="dxa"/>
            <w:tcBorders>
              <w:top w:val="single" w:sz="2" w:space="0" w:color="auto"/>
              <w:bottom w:val="single" w:sz="12" w:space="0" w:color="auto"/>
            </w:tcBorders>
            <w:shd w:val="clear" w:color="auto" w:fill="auto"/>
            <w:hideMark/>
          </w:tcPr>
          <w:p w:rsidR="00AD1412" w:rsidRPr="00D13236" w:rsidRDefault="00AD1412" w:rsidP="00D13236">
            <w:pPr>
              <w:pStyle w:val="TableHeading"/>
            </w:pPr>
            <w:r w:rsidRPr="00D13236">
              <w:t>Date/Details</w:t>
            </w:r>
          </w:p>
        </w:tc>
      </w:tr>
      <w:tr w:rsidR="00AD1412" w:rsidRPr="00D13236" w:rsidTr="00EF2DCB">
        <w:tc>
          <w:tcPr>
            <w:tcW w:w="1701" w:type="dxa"/>
            <w:tcBorders>
              <w:top w:val="single" w:sz="12" w:space="0" w:color="auto"/>
              <w:bottom w:val="single" w:sz="12" w:space="0" w:color="auto"/>
            </w:tcBorders>
            <w:shd w:val="clear" w:color="auto" w:fill="auto"/>
            <w:hideMark/>
          </w:tcPr>
          <w:p w:rsidR="00AD1412" w:rsidRPr="00D13236" w:rsidRDefault="00AD1412" w:rsidP="00D13236">
            <w:pPr>
              <w:pStyle w:val="Tabletext"/>
            </w:pPr>
            <w:r w:rsidRPr="00D13236">
              <w:t>1</w:t>
            </w:r>
            <w:r w:rsidR="0015304A" w:rsidRPr="00D13236">
              <w:t>.</w:t>
            </w:r>
            <w:r w:rsidRPr="00D13236">
              <w:t xml:space="preserve">  The whole of this Act</w:t>
            </w:r>
          </w:p>
        </w:tc>
        <w:tc>
          <w:tcPr>
            <w:tcW w:w="3828" w:type="dxa"/>
            <w:tcBorders>
              <w:top w:val="single" w:sz="12" w:space="0" w:color="auto"/>
              <w:bottom w:val="single" w:sz="12" w:space="0" w:color="auto"/>
            </w:tcBorders>
            <w:shd w:val="clear" w:color="auto" w:fill="auto"/>
            <w:hideMark/>
          </w:tcPr>
          <w:p w:rsidR="00AD1412" w:rsidRPr="00D13236" w:rsidRDefault="00AD1412" w:rsidP="00D13236">
            <w:pPr>
              <w:pStyle w:val="Tabletext"/>
            </w:pPr>
            <w:r w:rsidRPr="00D13236">
              <w:t>The day after this Act receives the Royal Assent</w:t>
            </w:r>
            <w:r w:rsidR="0015304A" w:rsidRPr="00D13236">
              <w:t>.</w:t>
            </w:r>
          </w:p>
        </w:tc>
        <w:tc>
          <w:tcPr>
            <w:tcW w:w="1582" w:type="dxa"/>
            <w:tcBorders>
              <w:top w:val="single" w:sz="12" w:space="0" w:color="auto"/>
              <w:bottom w:val="single" w:sz="12" w:space="0" w:color="auto"/>
            </w:tcBorders>
            <w:shd w:val="clear" w:color="auto" w:fill="auto"/>
          </w:tcPr>
          <w:p w:rsidR="00AD1412" w:rsidRPr="00D13236" w:rsidRDefault="00377735" w:rsidP="00D13236">
            <w:pPr>
              <w:pStyle w:val="Tabletext"/>
            </w:pPr>
            <w:r>
              <w:t>18 September 2020</w:t>
            </w:r>
          </w:p>
        </w:tc>
      </w:tr>
    </w:tbl>
    <w:p w:rsidR="00AD1412" w:rsidRPr="00D13236" w:rsidRDefault="00AD1412" w:rsidP="00D13236">
      <w:pPr>
        <w:pStyle w:val="notetext"/>
      </w:pPr>
      <w:r w:rsidRPr="00D13236">
        <w:rPr>
          <w:snapToGrid w:val="0"/>
          <w:lang w:eastAsia="en-US"/>
        </w:rPr>
        <w:t>Note:</w:t>
      </w:r>
      <w:r w:rsidRPr="00D13236">
        <w:rPr>
          <w:snapToGrid w:val="0"/>
          <w:lang w:eastAsia="en-US"/>
        </w:rPr>
        <w:tab/>
        <w:t>This table relates only to the provisions of this Act as originally enacted</w:t>
      </w:r>
      <w:r w:rsidR="0015304A" w:rsidRPr="00D13236">
        <w:rPr>
          <w:snapToGrid w:val="0"/>
          <w:lang w:eastAsia="en-US"/>
        </w:rPr>
        <w:t>.</w:t>
      </w:r>
      <w:r w:rsidRPr="00D13236">
        <w:rPr>
          <w:snapToGrid w:val="0"/>
          <w:lang w:eastAsia="en-US"/>
        </w:rPr>
        <w:t xml:space="preserve"> It will not be amended to deal with any later amendments of this Act</w:t>
      </w:r>
      <w:r w:rsidR="0015304A" w:rsidRPr="00D13236">
        <w:rPr>
          <w:snapToGrid w:val="0"/>
          <w:lang w:eastAsia="en-US"/>
        </w:rPr>
        <w:t>.</w:t>
      </w:r>
    </w:p>
    <w:p w:rsidR="00AD1412" w:rsidRPr="00D13236" w:rsidRDefault="00AD1412" w:rsidP="00D13236">
      <w:pPr>
        <w:pStyle w:val="subsection"/>
      </w:pPr>
      <w:r w:rsidRPr="00D13236">
        <w:tab/>
        <w:t>(2)</w:t>
      </w:r>
      <w:r w:rsidRPr="00D13236">
        <w:tab/>
        <w:t>Any information in column 3 of the table is not part of this Act</w:t>
      </w:r>
      <w:r w:rsidR="0015304A" w:rsidRPr="00D13236">
        <w:t>.</w:t>
      </w:r>
      <w:r w:rsidRPr="00D13236">
        <w:t xml:space="preserve"> Information may be inserted in this column, or information in it may be edited, in any published version of this Act</w:t>
      </w:r>
      <w:r w:rsidR="0015304A" w:rsidRPr="00D13236">
        <w:t>.</w:t>
      </w:r>
    </w:p>
    <w:p w:rsidR="0048364F" w:rsidRPr="00D13236" w:rsidRDefault="0048364F" w:rsidP="00D13236">
      <w:pPr>
        <w:pStyle w:val="ActHead5"/>
      </w:pPr>
      <w:bookmarkStart w:id="3" w:name="_Toc51327891"/>
      <w:r w:rsidRPr="00D13236">
        <w:rPr>
          <w:rStyle w:val="CharSectno"/>
        </w:rPr>
        <w:t>3</w:t>
      </w:r>
      <w:r w:rsidRPr="00D13236">
        <w:t xml:space="preserve">  Schedules</w:t>
      </w:r>
      <w:bookmarkEnd w:id="3"/>
    </w:p>
    <w:p w:rsidR="0048364F" w:rsidRPr="00D13236" w:rsidRDefault="0048364F" w:rsidP="00D13236">
      <w:pPr>
        <w:pStyle w:val="subsection"/>
      </w:pPr>
      <w:r w:rsidRPr="00D13236">
        <w:tab/>
      </w:r>
      <w:r w:rsidRPr="00D13236">
        <w:tab/>
      </w:r>
      <w:r w:rsidR="00202618" w:rsidRPr="00D13236">
        <w:t>Legislation that is specified in a Schedule to this Act is amended or repealed as set out in the applicable items in the Schedule concerned, and any other item in a Schedule to this Act has effect according to its terms</w:t>
      </w:r>
      <w:r w:rsidR="0015304A" w:rsidRPr="00D13236">
        <w:t>.</w:t>
      </w:r>
    </w:p>
    <w:p w:rsidR="008D3E94" w:rsidRPr="00D13236" w:rsidRDefault="0048364F" w:rsidP="00D13236">
      <w:pPr>
        <w:pStyle w:val="ActHead6"/>
        <w:pageBreakBefore/>
      </w:pPr>
      <w:bookmarkStart w:id="4" w:name="opcAmSched"/>
      <w:bookmarkStart w:id="5" w:name="opcCurrentFind"/>
      <w:bookmarkStart w:id="6" w:name="_Toc51327892"/>
      <w:r w:rsidRPr="00D13236">
        <w:rPr>
          <w:rStyle w:val="CharAmSchNo"/>
        </w:rPr>
        <w:t>Schedule</w:t>
      </w:r>
      <w:r w:rsidR="00D13236" w:rsidRPr="00D13236">
        <w:rPr>
          <w:rStyle w:val="CharAmSchNo"/>
        </w:rPr>
        <w:t> </w:t>
      </w:r>
      <w:r w:rsidRPr="00D13236">
        <w:rPr>
          <w:rStyle w:val="CharAmSchNo"/>
        </w:rPr>
        <w:t>1</w:t>
      </w:r>
      <w:r w:rsidRPr="00D13236">
        <w:t>—</w:t>
      </w:r>
      <w:r w:rsidR="00856A11" w:rsidRPr="00D13236">
        <w:rPr>
          <w:rStyle w:val="CharAmSchText"/>
        </w:rPr>
        <w:t>Amendments</w:t>
      </w:r>
      <w:bookmarkEnd w:id="6"/>
    </w:p>
    <w:p w:rsidR="008D3E94" w:rsidRPr="00D13236" w:rsidRDefault="007C1C78" w:rsidP="00D13236">
      <w:pPr>
        <w:pStyle w:val="ActHead7"/>
      </w:pPr>
      <w:bookmarkStart w:id="7" w:name="_Toc51327893"/>
      <w:bookmarkEnd w:id="4"/>
      <w:bookmarkEnd w:id="5"/>
      <w:r w:rsidRPr="00D13236">
        <w:rPr>
          <w:rStyle w:val="CharAmPartNo"/>
        </w:rPr>
        <w:t>Part</w:t>
      </w:r>
      <w:r w:rsidR="00D13236" w:rsidRPr="00D13236">
        <w:rPr>
          <w:rStyle w:val="CharAmPartNo"/>
        </w:rPr>
        <w:t> </w:t>
      </w:r>
      <w:r w:rsidRPr="00D13236">
        <w:rPr>
          <w:rStyle w:val="CharAmPartNo"/>
        </w:rPr>
        <w:t>1</w:t>
      </w:r>
      <w:r w:rsidRPr="00D13236">
        <w:t>—</w:t>
      </w:r>
      <w:r w:rsidRPr="00D13236">
        <w:rPr>
          <w:rStyle w:val="CharAmPartText"/>
        </w:rPr>
        <w:t>Amendments</w:t>
      </w:r>
      <w:bookmarkEnd w:id="7"/>
    </w:p>
    <w:p w:rsidR="00713E55" w:rsidRPr="00D13236" w:rsidRDefault="00713E55" w:rsidP="00D13236">
      <w:pPr>
        <w:pStyle w:val="ActHead9"/>
        <w:rPr>
          <w:i w:val="0"/>
        </w:rPr>
      </w:pPr>
      <w:bookmarkStart w:id="8" w:name="_Toc51327894"/>
      <w:r w:rsidRPr="00D13236">
        <w:t>Australian Citizenship Act 2007</w:t>
      </w:r>
      <w:bookmarkEnd w:id="8"/>
    </w:p>
    <w:p w:rsidR="0096768F" w:rsidRPr="00D13236" w:rsidRDefault="0015304A" w:rsidP="00D13236">
      <w:pPr>
        <w:pStyle w:val="ItemHead"/>
      </w:pPr>
      <w:r w:rsidRPr="00D13236">
        <w:t>1</w:t>
      </w:r>
      <w:r w:rsidR="0096768F" w:rsidRPr="00D13236">
        <w:t xml:space="preserve">  Subsection</w:t>
      </w:r>
      <w:r w:rsidR="00D13236" w:rsidRPr="00D13236">
        <w:t> </w:t>
      </w:r>
      <w:r w:rsidR="0096768F" w:rsidRPr="00D13236">
        <w:t>29(2) (note 2)</w:t>
      </w:r>
    </w:p>
    <w:p w:rsidR="0096768F" w:rsidRPr="00D13236" w:rsidRDefault="0096768F" w:rsidP="00D13236">
      <w:pPr>
        <w:pStyle w:val="Item"/>
      </w:pPr>
      <w:r w:rsidRPr="00D13236">
        <w:t xml:space="preserve">Omit </w:t>
      </w:r>
      <w:r w:rsidR="00D461AB" w:rsidRPr="00D13236">
        <w:t>“</w:t>
      </w:r>
      <w:r w:rsidR="00EB51B0" w:rsidRPr="00D13236">
        <w:t xml:space="preserve">, </w:t>
      </w:r>
      <w:r w:rsidRPr="00D13236">
        <w:t>34A or 35</w:t>
      </w:r>
      <w:r w:rsidR="00D461AB" w:rsidRPr="00D13236">
        <w:t>”</w:t>
      </w:r>
      <w:r w:rsidRPr="00D13236">
        <w:t xml:space="preserve">, substitute </w:t>
      </w:r>
      <w:r w:rsidR="00D461AB" w:rsidRPr="00D13236">
        <w:t>“</w:t>
      </w:r>
      <w:r w:rsidRPr="00D13236">
        <w:t>or 34A</w:t>
      </w:r>
      <w:r w:rsidR="00D461AB" w:rsidRPr="00D13236">
        <w:t>”</w:t>
      </w:r>
      <w:r w:rsidR="0015304A" w:rsidRPr="00D13236">
        <w:t>.</w:t>
      </w:r>
    </w:p>
    <w:p w:rsidR="008359F1" w:rsidRPr="00D13236" w:rsidRDefault="0015304A" w:rsidP="00D13236">
      <w:pPr>
        <w:pStyle w:val="ItemHead"/>
      </w:pPr>
      <w:r w:rsidRPr="00D13236">
        <w:t>2</w:t>
      </w:r>
      <w:r w:rsidR="008359F1" w:rsidRPr="00D13236">
        <w:t xml:space="preserve">  Section</w:t>
      </w:r>
      <w:r w:rsidR="00D13236" w:rsidRPr="00D13236">
        <w:t> </w:t>
      </w:r>
      <w:r w:rsidR="008359F1" w:rsidRPr="00D13236">
        <w:t>32A (heading)</w:t>
      </w:r>
    </w:p>
    <w:p w:rsidR="008359F1" w:rsidRPr="00D13236" w:rsidRDefault="008359F1" w:rsidP="00D13236">
      <w:pPr>
        <w:pStyle w:val="Item"/>
      </w:pPr>
      <w:r w:rsidRPr="00D13236">
        <w:t xml:space="preserve">Repeal the heading, </w:t>
      </w:r>
      <w:r w:rsidR="006A27AE" w:rsidRPr="00D13236">
        <w:t>substitute</w:t>
      </w:r>
      <w:r w:rsidRPr="00D13236">
        <w:t>:</w:t>
      </w:r>
    </w:p>
    <w:p w:rsidR="008359F1" w:rsidRPr="00D13236" w:rsidRDefault="008359F1" w:rsidP="00D13236">
      <w:pPr>
        <w:pStyle w:val="ActHead4"/>
      </w:pPr>
      <w:bookmarkStart w:id="9" w:name="_Toc51327895"/>
      <w:r w:rsidRPr="00D13236">
        <w:rPr>
          <w:rStyle w:val="CharSubdNo"/>
        </w:rPr>
        <w:t>Subdivision A</w:t>
      </w:r>
      <w:r w:rsidRPr="00D13236">
        <w:t>—</w:t>
      </w:r>
      <w:r w:rsidRPr="00D13236">
        <w:rPr>
          <w:rStyle w:val="CharSubdText"/>
        </w:rPr>
        <w:t>Simplified outline of this Division</w:t>
      </w:r>
      <w:bookmarkEnd w:id="9"/>
    </w:p>
    <w:p w:rsidR="008359F1" w:rsidRPr="00D13236" w:rsidRDefault="008359F1" w:rsidP="00D13236">
      <w:pPr>
        <w:pStyle w:val="ActHead5"/>
      </w:pPr>
      <w:bookmarkStart w:id="10" w:name="_Toc51327896"/>
      <w:r w:rsidRPr="00D13236">
        <w:rPr>
          <w:rStyle w:val="CharSectno"/>
        </w:rPr>
        <w:t>32A</w:t>
      </w:r>
      <w:r w:rsidRPr="00D13236">
        <w:t xml:space="preserve">  Simplified outline of this Division</w:t>
      </w:r>
      <w:bookmarkEnd w:id="10"/>
    </w:p>
    <w:p w:rsidR="0069216D" w:rsidRPr="00D13236" w:rsidRDefault="0015304A" w:rsidP="00D13236">
      <w:pPr>
        <w:pStyle w:val="ItemHead"/>
      </w:pPr>
      <w:r w:rsidRPr="00D13236">
        <w:t>3</w:t>
      </w:r>
      <w:r w:rsidR="0069216D" w:rsidRPr="00D13236">
        <w:t xml:space="preserve">  Section</w:t>
      </w:r>
      <w:r w:rsidR="00D13236" w:rsidRPr="00D13236">
        <w:t> </w:t>
      </w:r>
      <w:r w:rsidR="0069216D" w:rsidRPr="00D13236">
        <w:t>32A</w:t>
      </w:r>
    </w:p>
    <w:p w:rsidR="00E96C20" w:rsidRPr="00D13236" w:rsidRDefault="00E96C20" w:rsidP="00D13236">
      <w:pPr>
        <w:pStyle w:val="Item"/>
      </w:pPr>
      <w:r w:rsidRPr="00D13236">
        <w:t>Omit:</w:t>
      </w:r>
    </w:p>
    <w:p w:rsidR="00E96C20" w:rsidRPr="00D13236" w:rsidRDefault="00E96C20" w:rsidP="00D13236">
      <w:pPr>
        <w:pStyle w:val="SOBullet"/>
      </w:pPr>
      <w:r w:rsidRPr="00D13236">
        <w:t>•</w:t>
      </w:r>
      <w:r w:rsidRPr="00D13236">
        <w:tab/>
        <w:t>you engage in various kinds of conduct inconsistent with allegiance to Australia: see sections</w:t>
      </w:r>
      <w:r w:rsidR="00D13236" w:rsidRPr="00D13236">
        <w:t> </w:t>
      </w:r>
      <w:r w:rsidRPr="00D13236">
        <w:t xml:space="preserve">33AA, </w:t>
      </w:r>
      <w:r w:rsidR="0047154F" w:rsidRPr="00D13236">
        <w:t>35</w:t>
      </w:r>
      <w:r w:rsidRPr="00D13236">
        <w:t xml:space="preserve"> and </w:t>
      </w:r>
      <w:r w:rsidR="0047154F" w:rsidRPr="00D13236">
        <w:t>35</w:t>
      </w:r>
      <w:r w:rsidRPr="00D13236">
        <w:t>A; or</w:t>
      </w:r>
    </w:p>
    <w:p w:rsidR="009555EE" w:rsidRPr="00D13236" w:rsidRDefault="0015304A" w:rsidP="00D13236">
      <w:pPr>
        <w:pStyle w:val="ItemHead"/>
      </w:pPr>
      <w:r w:rsidRPr="00D13236">
        <w:t>4</w:t>
      </w:r>
      <w:r w:rsidR="009555EE" w:rsidRPr="00D13236">
        <w:t xml:space="preserve">  Section</w:t>
      </w:r>
      <w:r w:rsidR="00D13236" w:rsidRPr="00D13236">
        <w:t> </w:t>
      </w:r>
      <w:r w:rsidR="009555EE" w:rsidRPr="00D13236">
        <w:t>32A</w:t>
      </w:r>
    </w:p>
    <w:p w:rsidR="009555EE" w:rsidRPr="00D13236" w:rsidRDefault="009555EE" w:rsidP="00D13236">
      <w:pPr>
        <w:pStyle w:val="Item"/>
      </w:pPr>
      <w:r w:rsidRPr="00D13236">
        <w:t xml:space="preserve">Omit </w:t>
      </w:r>
      <w:r w:rsidR="00D461AB" w:rsidRPr="00D13236">
        <w:t>“</w:t>
      </w:r>
      <w:r w:rsidRPr="00D13236">
        <w:t>section</w:t>
      </w:r>
      <w:r w:rsidR="00D13236" w:rsidRPr="00D13236">
        <w:t> </w:t>
      </w:r>
      <w:r w:rsidRPr="00D13236">
        <w:t>36</w:t>
      </w:r>
      <w:r w:rsidR="0015304A" w:rsidRPr="00D13236">
        <w:t>.</w:t>
      </w:r>
      <w:r w:rsidR="00D461AB" w:rsidRPr="00D13236">
        <w:t>”</w:t>
      </w:r>
      <w:r w:rsidRPr="00D13236">
        <w:t xml:space="preserve">, substitute </w:t>
      </w:r>
      <w:r w:rsidR="00D461AB" w:rsidRPr="00D13236">
        <w:t>“</w:t>
      </w:r>
      <w:r w:rsidRPr="00D13236">
        <w:t>section</w:t>
      </w:r>
      <w:r w:rsidR="00D13236" w:rsidRPr="00D13236">
        <w:t> </w:t>
      </w:r>
      <w:r w:rsidRPr="00D13236">
        <w:t>36; or</w:t>
      </w:r>
      <w:r w:rsidR="00D461AB" w:rsidRPr="00D13236">
        <w:t>”</w:t>
      </w:r>
      <w:r w:rsidR="0015304A" w:rsidRPr="00D13236">
        <w:t>.</w:t>
      </w:r>
    </w:p>
    <w:p w:rsidR="009555EE" w:rsidRPr="00D13236" w:rsidRDefault="0015304A" w:rsidP="00D13236">
      <w:pPr>
        <w:pStyle w:val="ItemHead"/>
      </w:pPr>
      <w:r w:rsidRPr="00D13236">
        <w:t>5</w:t>
      </w:r>
      <w:r w:rsidR="009555EE" w:rsidRPr="00D13236">
        <w:t xml:space="preserve">  At the end of section</w:t>
      </w:r>
      <w:r w:rsidR="00D13236" w:rsidRPr="00D13236">
        <w:t> </w:t>
      </w:r>
      <w:r w:rsidR="009555EE" w:rsidRPr="00D13236">
        <w:t>32A</w:t>
      </w:r>
    </w:p>
    <w:p w:rsidR="009555EE" w:rsidRPr="00D13236" w:rsidRDefault="009555EE" w:rsidP="00D13236">
      <w:pPr>
        <w:pStyle w:val="Item"/>
      </w:pPr>
      <w:r w:rsidRPr="00D13236">
        <w:t>Add:</w:t>
      </w:r>
    </w:p>
    <w:p w:rsidR="00E96C20" w:rsidRPr="00D13236" w:rsidRDefault="00E96C20" w:rsidP="00D13236">
      <w:pPr>
        <w:pStyle w:val="SOBullet"/>
      </w:pPr>
      <w:r w:rsidRPr="00D13236">
        <w:t>•</w:t>
      </w:r>
      <w:r w:rsidRPr="00D13236">
        <w:tab/>
      </w:r>
      <w:r w:rsidR="00552795" w:rsidRPr="00D13236">
        <w:t xml:space="preserve">for certain conduct </w:t>
      </w:r>
      <w:r w:rsidR="007D0EA1" w:rsidRPr="00D13236">
        <w:t>or</w:t>
      </w:r>
      <w:r w:rsidR="00552795" w:rsidRPr="00D13236">
        <w:t xml:space="preserve"> convictions</w:t>
      </w:r>
      <w:r w:rsidR="007D0EA1" w:rsidRPr="00D13236">
        <w:t>,</w:t>
      </w:r>
      <w:r w:rsidR="00552795" w:rsidRPr="00D13236">
        <w:t xml:space="preserve"> </w:t>
      </w:r>
      <w:r w:rsidRPr="00D13236">
        <w:t xml:space="preserve">the Minister </w:t>
      </w:r>
      <w:r w:rsidR="006828E3" w:rsidRPr="00D13236">
        <w:t>can make</w:t>
      </w:r>
      <w:r w:rsidRPr="00D13236">
        <w:t xml:space="preserve"> a determination ceasing your citizenship </w:t>
      </w:r>
      <w:r w:rsidR="00913589" w:rsidRPr="00D13236">
        <w:t xml:space="preserve">if the Minister </w:t>
      </w:r>
      <w:r w:rsidRPr="00D13236">
        <w:t xml:space="preserve">is satisfied </w:t>
      </w:r>
      <w:r w:rsidR="00913589" w:rsidRPr="00D13236">
        <w:t>you have repudiated your</w:t>
      </w:r>
      <w:r w:rsidRPr="00D13236">
        <w:t xml:space="preserve"> allegiance to Australia</w:t>
      </w:r>
      <w:r w:rsidR="00913589" w:rsidRPr="00D13236">
        <w:t xml:space="preserve"> and that it would be contrary to the public interest for you to remain an Australia citizen</w:t>
      </w:r>
      <w:r w:rsidRPr="00D13236">
        <w:t xml:space="preserve">: see </w:t>
      </w:r>
      <w:r w:rsidR="009555EE" w:rsidRPr="00D13236">
        <w:t>Subdivision C (citizenship cessation determinations)</w:t>
      </w:r>
      <w:r w:rsidR="0015304A" w:rsidRPr="00D13236">
        <w:t>.</w:t>
      </w:r>
    </w:p>
    <w:p w:rsidR="00800407" w:rsidRPr="00D13236" w:rsidRDefault="0015304A" w:rsidP="00D13236">
      <w:pPr>
        <w:pStyle w:val="ItemHead"/>
      </w:pPr>
      <w:r w:rsidRPr="00D13236">
        <w:t>6</w:t>
      </w:r>
      <w:r w:rsidR="00800407" w:rsidRPr="00D13236">
        <w:t xml:space="preserve">  After section</w:t>
      </w:r>
      <w:r w:rsidR="00D13236" w:rsidRPr="00D13236">
        <w:t> </w:t>
      </w:r>
      <w:r w:rsidR="00800407" w:rsidRPr="00D13236">
        <w:t>32A</w:t>
      </w:r>
    </w:p>
    <w:p w:rsidR="00800407" w:rsidRPr="00D13236" w:rsidRDefault="00800407" w:rsidP="00D13236">
      <w:pPr>
        <w:pStyle w:val="Item"/>
      </w:pPr>
      <w:r w:rsidRPr="00D13236">
        <w:t>Insert:</w:t>
      </w:r>
    </w:p>
    <w:p w:rsidR="00800407" w:rsidRPr="00D13236" w:rsidRDefault="00800407" w:rsidP="00D13236">
      <w:pPr>
        <w:pStyle w:val="ActHead4"/>
      </w:pPr>
      <w:bookmarkStart w:id="11" w:name="_Toc51327897"/>
      <w:r w:rsidRPr="00D13236">
        <w:rPr>
          <w:rStyle w:val="CharSubdNo"/>
        </w:rPr>
        <w:t>Subdivision B</w:t>
      </w:r>
      <w:r w:rsidRPr="00D13236">
        <w:t>—</w:t>
      </w:r>
      <w:r w:rsidRPr="00D13236">
        <w:rPr>
          <w:rStyle w:val="CharSubdText"/>
        </w:rPr>
        <w:t>Citizenship renunciation and revocation</w:t>
      </w:r>
      <w:bookmarkEnd w:id="11"/>
    </w:p>
    <w:p w:rsidR="00981654" w:rsidRPr="00D13236" w:rsidRDefault="0015304A" w:rsidP="00D13236">
      <w:pPr>
        <w:pStyle w:val="ItemHead"/>
      </w:pPr>
      <w:r w:rsidRPr="00D13236">
        <w:t>7</w:t>
      </w:r>
      <w:r w:rsidR="00981654" w:rsidRPr="00D13236">
        <w:t xml:space="preserve">  Section</w:t>
      </w:r>
      <w:r w:rsidR="00D13236" w:rsidRPr="00D13236">
        <w:t> </w:t>
      </w:r>
      <w:r w:rsidR="00981654" w:rsidRPr="00D13236">
        <w:t>33AA</w:t>
      </w:r>
    </w:p>
    <w:p w:rsidR="00981654" w:rsidRPr="00D13236" w:rsidRDefault="009C4A4C" w:rsidP="00D13236">
      <w:pPr>
        <w:pStyle w:val="Item"/>
      </w:pPr>
      <w:r w:rsidRPr="00D13236">
        <w:t>Repeal the section</w:t>
      </w:r>
      <w:r w:rsidR="0015304A" w:rsidRPr="00D13236">
        <w:t>.</w:t>
      </w:r>
    </w:p>
    <w:p w:rsidR="00800407" w:rsidRPr="00D13236" w:rsidRDefault="0015304A" w:rsidP="00D13236">
      <w:pPr>
        <w:pStyle w:val="ItemHead"/>
      </w:pPr>
      <w:r w:rsidRPr="00D13236">
        <w:t>8</w:t>
      </w:r>
      <w:r w:rsidR="00800407" w:rsidRPr="00D13236">
        <w:t xml:space="preserve">  Sections</w:t>
      </w:r>
      <w:r w:rsidR="00D13236" w:rsidRPr="00D13236">
        <w:t> </w:t>
      </w:r>
      <w:r w:rsidR="00800407" w:rsidRPr="00D13236">
        <w:t>35 to 35B</w:t>
      </w:r>
    </w:p>
    <w:p w:rsidR="00800407" w:rsidRPr="00D13236" w:rsidRDefault="00800407" w:rsidP="00D13236">
      <w:pPr>
        <w:pStyle w:val="Item"/>
      </w:pPr>
      <w:r w:rsidRPr="00D13236">
        <w:t>Repeal the sections</w:t>
      </w:r>
      <w:r w:rsidR="0015304A" w:rsidRPr="00D13236">
        <w:t>.</w:t>
      </w:r>
    </w:p>
    <w:p w:rsidR="00800407" w:rsidRPr="00D13236" w:rsidRDefault="0015304A" w:rsidP="00D13236">
      <w:pPr>
        <w:pStyle w:val="ItemHead"/>
      </w:pPr>
      <w:r w:rsidRPr="00D13236">
        <w:t>9</w:t>
      </w:r>
      <w:r w:rsidR="00800407" w:rsidRPr="00D13236">
        <w:t xml:space="preserve">  Section</w:t>
      </w:r>
      <w:r w:rsidR="00D13236" w:rsidRPr="00D13236">
        <w:t> </w:t>
      </w:r>
      <w:r w:rsidR="00800407" w:rsidRPr="00D13236">
        <w:t>36A</w:t>
      </w:r>
    </w:p>
    <w:p w:rsidR="00800407" w:rsidRPr="00D13236" w:rsidRDefault="00800407" w:rsidP="00D13236">
      <w:pPr>
        <w:pStyle w:val="Item"/>
      </w:pPr>
      <w:r w:rsidRPr="00D13236">
        <w:t>Repeal the section, substitute:</w:t>
      </w:r>
    </w:p>
    <w:p w:rsidR="00800407" w:rsidRPr="00D13236" w:rsidRDefault="00800407" w:rsidP="00D13236">
      <w:pPr>
        <w:pStyle w:val="ActHead4"/>
      </w:pPr>
      <w:bookmarkStart w:id="12" w:name="_Toc51327898"/>
      <w:r w:rsidRPr="00D13236">
        <w:rPr>
          <w:rStyle w:val="CharSubdNo"/>
        </w:rPr>
        <w:t>Subdivision C</w:t>
      </w:r>
      <w:r w:rsidRPr="00D13236">
        <w:t>—</w:t>
      </w:r>
      <w:r w:rsidRPr="00D13236">
        <w:rPr>
          <w:rStyle w:val="CharSubdText"/>
        </w:rPr>
        <w:t>Citizenship cessation determinations</w:t>
      </w:r>
      <w:bookmarkEnd w:id="12"/>
    </w:p>
    <w:p w:rsidR="00AF6E7E" w:rsidRPr="00D13236" w:rsidRDefault="0015304A" w:rsidP="00D13236">
      <w:pPr>
        <w:pStyle w:val="ActHead5"/>
      </w:pPr>
      <w:bookmarkStart w:id="13" w:name="_Toc51327899"/>
      <w:r w:rsidRPr="00D13236">
        <w:rPr>
          <w:rStyle w:val="CharSectno"/>
        </w:rPr>
        <w:t>36A</w:t>
      </w:r>
      <w:r w:rsidR="00AF6E7E" w:rsidRPr="00D13236">
        <w:t xml:space="preserve">  Purpose of this Subdivision</w:t>
      </w:r>
      <w:bookmarkEnd w:id="13"/>
    </w:p>
    <w:p w:rsidR="00AF6E7E" w:rsidRPr="00D13236" w:rsidRDefault="00AF6E7E" w:rsidP="00D13236">
      <w:pPr>
        <w:pStyle w:val="subsection"/>
      </w:pPr>
      <w:r w:rsidRPr="00D13236">
        <w:tab/>
      </w:r>
      <w:r w:rsidRPr="00D13236">
        <w:tab/>
        <w:t>This Subdivision is enacted because the Parliament recognises that Australian citizenship is a common bond, involving reciprocal rights and obligations, and that citizens may, through certain conduct incompatible with the shared values of the Australian community, demonstrate that they have severed that bond and repudiated their allegiance to Australia</w:t>
      </w:r>
      <w:r w:rsidR="0015304A" w:rsidRPr="00D13236">
        <w:t>.</w:t>
      </w:r>
    </w:p>
    <w:p w:rsidR="009C4A4C" w:rsidRPr="00D13236" w:rsidRDefault="0015304A" w:rsidP="00D13236">
      <w:pPr>
        <w:pStyle w:val="ActHead5"/>
      </w:pPr>
      <w:bookmarkStart w:id="14" w:name="_Toc51327900"/>
      <w:r w:rsidRPr="00D13236">
        <w:rPr>
          <w:rStyle w:val="CharSectno"/>
        </w:rPr>
        <w:t>36B</w:t>
      </w:r>
      <w:r w:rsidR="009C4A4C" w:rsidRPr="00D13236">
        <w:t xml:space="preserve">  </w:t>
      </w:r>
      <w:r w:rsidR="00147677" w:rsidRPr="00D13236">
        <w:t xml:space="preserve">Citizenship </w:t>
      </w:r>
      <w:r w:rsidR="009C617F" w:rsidRPr="00D13236">
        <w:t>cessation</w:t>
      </w:r>
      <w:r w:rsidR="00147677" w:rsidRPr="00D13236">
        <w:t xml:space="preserve"> d</w:t>
      </w:r>
      <w:r w:rsidR="00E55C15" w:rsidRPr="00D13236">
        <w:t>etermination</w:t>
      </w:r>
      <w:r w:rsidR="00AF6E7E" w:rsidRPr="00D13236">
        <w:t xml:space="preserve"> for certain </w:t>
      </w:r>
      <w:r w:rsidR="009C4A4C" w:rsidRPr="00D13236">
        <w:t>conduct</w:t>
      </w:r>
      <w:bookmarkEnd w:id="14"/>
    </w:p>
    <w:p w:rsidR="00064D58" w:rsidRPr="00D13236" w:rsidRDefault="009C617F" w:rsidP="00D13236">
      <w:pPr>
        <w:pStyle w:val="SubsectionHead"/>
      </w:pPr>
      <w:r w:rsidRPr="00D13236">
        <w:t>Cessation</w:t>
      </w:r>
      <w:r w:rsidR="00064D58" w:rsidRPr="00D13236">
        <w:t xml:space="preserve"> of citizenship on determination by Minister</w:t>
      </w:r>
    </w:p>
    <w:p w:rsidR="009C4A4C" w:rsidRPr="00D13236" w:rsidRDefault="00452F85" w:rsidP="00D13236">
      <w:pPr>
        <w:pStyle w:val="subsection"/>
      </w:pPr>
      <w:r w:rsidRPr="00D13236">
        <w:tab/>
        <w:t>(1)</w:t>
      </w:r>
      <w:r w:rsidRPr="00D13236">
        <w:tab/>
      </w:r>
      <w:r w:rsidR="00F40553" w:rsidRPr="00D13236">
        <w:t>The Minister may determine in writing that a person aged 14 or older ceases to be an Australian citizen if the Minister is satisfied that:</w:t>
      </w:r>
    </w:p>
    <w:p w:rsidR="00C85D16" w:rsidRPr="00D13236" w:rsidRDefault="00C85D16" w:rsidP="00D13236">
      <w:pPr>
        <w:pStyle w:val="paragraph"/>
      </w:pPr>
      <w:r w:rsidRPr="00D13236">
        <w:tab/>
        <w:t>(a)</w:t>
      </w:r>
      <w:r w:rsidRPr="00D13236">
        <w:tab/>
        <w:t>the person:</w:t>
      </w:r>
    </w:p>
    <w:p w:rsidR="00C85D16" w:rsidRPr="00D13236" w:rsidRDefault="00C85D16" w:rsidP="00D13236">
      <w:pPr>
        <w:pStyle w:val="paragraphsub"/>
      </w:pPr>
      <w:r w:rsidRPr="00D13236">
        <w:tab/>
        <w:t>(</w:t>
      </w:r>
      <w:proofErr w:type="spellStart"/>
      <w:r w:rsidRPr="00D13236">
        <w:t>i</w:t>
      </w:r>
      <w:proofErr w:type="spellEnd"/>
      <w:r w:rsidRPr="00D13236">
        <w:t>)</w:t>
      </w:r>
      <w:r w:rsidRPr="00D13236">
        <w:tab/>
      </w:r>
      <w:r w:rsidR="00D47EFB" w:rsidRPr="00D13236">
        <w:t>e</w:t>
      </w:r>
      <w:r w:rsidRPr="00D13236">
        <w:t>ngaged in co</w:t>
      </w:r>
      <w:r w:rsidR="00B24B7F" w:rsidRPr="00D13236">
        <w:t xml:space="preserve">nduct specified in </w:t>
      </w:r>
      <w:r w:rsidR="00D13236" w:rsidRPr="00D13236">
        <w:t>subsection (</w:t>
      </w:r>
      <w:r w:rsidR="00B24B7F" w:rsidRPr="00D13236">
        <w:t>5</w:t>
      </w:r>
      <w:r w:rsidRPr="00D13236">
        <w:t>) while outside Australia;</w:t>
      </w:r>
      <w:r w:rsidR="005522CB" w:rsidRPr="00D13236">
        <w:t xml:space="preserve"> or</w:t>
      </w:r>
    </w:p>
    <w:p w:rsidR="00D46A7E" w:rsidRPr="00D13236" w:rsidRDefault="00D46A7E" w:rsidP="00D13236">
      <w:pPr>
        <w:pStyle w:val="paragraphsub"/>
      </w:pPr>
      <w:r w:rsidRPr="00D13236">
        <w:tab/>
        <w:t>(ii)</w:t>
      </w:r>
      <w:r w:rsidRPr="00D13236">
        <w:tab/>
        <w:t xml:space="preserve">engaged in conduct specified in </w:t>
      </w:r>
      <w:r w:rsidR="00AF6E7E" w:rsidRPr="00D13236">
        <w:t xml:space="preserve">any of </w:t>
      </w:r>
      <w:r w:rsidR="00D13236" w:rsidRPr="00D13236">
        <w:t>paragraphs (</w:t>
      </w:r>
      <w:r w:rsidRPr="00D13236">
        <w:t>5)</w:t>
      </w:r>
      <w:r w:rsidR="00AF6E7E" w:rsidRPr="00D13236">
        <w:t>(a) to (h)</w:t>
      </w:r>
      <w:r w:rsidRPr="00D13236">
        <w:t xml:space="preserve"> while </w:t>
      </w:r>
      <w:r w:rsidR="00F97C99" w:rsidRPr="00D13236">
        <w:t>in</w:t>
      </w:r>
      <w:r w:rsidRPr="00D13236">
        <w:t xml:space="preserve"> Australia</w:t>
      </w:r>
      <w:r w:rsidR="00F544D0" w:rsidRPr="00D13236">
        <w:t>,</w:t>
      </w:r>
      <w:r w:rsidR="00F97C99" w:rsidRPr="00D13236">
        <w:t xml:space="preserve"> has </w:t>
      </w:r>
      <w:r w:rsidR="00F544D0" w:rsidRPr="00D13236">
        <w:t xml:space="preserve">since </w:t>
      </w:r>
      <w:r w:rsidR="00F97C99" w:rsidRPr="00D13236">
        <w:t xml:space="preserve">left </w:t>
      </w:r>
      <w:r w:rsidRPr="00D13236">
        <w:t>Australia</w:t>
      </w:r>
      <w:r w:rsidR="00F97C99" w:rsidRPr="00D13236">
        <w:t xml:space="preserve"> and has not</w:t>
      </w:r>
      <w:r w:rsidRPr="00D13236">
        <w:t xml:space="preserve"> been tried for an offence in relation to the conduct; and</w:t>
      </w:r>
    </w:p>
    <w:p w:rsidR="00F40553" w:rsidRPr="00D13236" w:rsidRDefault="00F40553" w:rsidP="00D13236">
      <w:pPr>
        <w:pStyle w:val="paragraph"/>
      </w:pPr>
      <w:r w:rsidRPr="00D13236">
        <w:tab/>
        <w:t>(b)</w:t>
      </w:r>
      <w:r w:rsidRPr="00D13236">
        <w:tab/>
        <w:t>the conduct</w:t>
      </w:r>
      <w:r w:rsidR="00654F10" w:rsidRPr="00D13236">
        <w:t xml:space="preserve"> </w:t>
      </w:r>
      <w:r w:rsidR="00F807FD" w:rsidRPr="00D13236">
        <w:t xml:space="preserve">demonstrates that </w:t>
      </w:r>
      <w:r w:rsidR="00654F10" w:rsidRPr="00D13236">
        <w:t>the person has repudiated the</w:t>
      </w:r>
      <w:r w:rsidR="00F807FD" w:rsidRPr="00D13236">
        <w:t xml:space="preserve">ir </w:t>
      </w:r>
      <w:r w:rsidRPr="00D13236">
        <w:t>allegiance to Australia; and</w:t>
      </w:r>
    </w:p>
    <w:p w:rsidR="00F40553" w:rsidRPr="00D13236" w:rsidRDefault="00F40553" w:rsidP="00D13236">
      <w:pPr>
        <w:pStyle w:val="paragraph"/>
      </w:pPr>
      <w:r w:rsidRPr="00D13236">
        <w:tab/>
        <w:t>(c)</w:t>
      </w:r>
      <w:r w:rsidRPr="00D13236">
        <w:tab/>
        <w:t xml:space="preserve">it </w:t>
      </w:r>
      <w:r w:rsidR="00654F10" w:rsidRPr="00D13236">
        <w:t>would be contrary to</w:t>
      </w:r>
      <w:r w:rsidRPr="00D13236">
        <w:t xml:space="preserve"> the public interest for the person to remain an Australian citizen (see section</w:t>
      </w:r>
      <w:r w:rsidR="00D13236" w:rsidRPr="00D13236">
        <w:t> </w:t>
      </w:r>
      <w:r w:rsidR="0015304A" w:rsidRPr="00D13236">
        <w:t>36E</w:t>
      </w:r>
      <w:r w:rsidR="000C7165" w:rsidRPr="00D13236">
        <w:t>)</w:t>
      </w:r>
      <w:r w:rsidR="0015304A" w:rsidRPr="00D13236">
        <w:t>.</w:t>
      </w:r>
    </w:p>
    <w:p w:rsidR="00F40553" w:rsidRPr="00D13236" w:rsidRDefault="00F40553" w:rsidP="00D13236">
      <w:pPr>
        <w:pStyle w:val="notetext"/>
      </w:pPr>
      <w:r w:rsidRPr="00D13236">
        <w:t>Note:</w:t>
      </w:r>
      <w:r w:rsidRPr="00D13236">
        <w:tab/>
        <w:t>A person may seek review of a determination made under this subsection in the High Court of Australia under section</w:t>
      </w:r>
      <w:r w:rsidR="00D13236" w:rsidRPr="00D13236">
        <w:t> </w:t>
      </w:r>
      <w:r w:rsidRPr="00D13236">
        <w:t>75 of the Constitution, or in the Federal Court of Australia under section</w:t>
      </w:r>
      <w:r w:rsidR="00D13236" w:rsidRPr="00D13236">
        <w:t> </w:t>
      </w:r>
      <w:r w:rsidRPr="00D13236">
        <w:t xml:space="preserve">39B of the </w:t>
      </w:r>
      <w:r w:rsidRPr="00D13236">
        <w:rPr>
          <w:i/>
        </w:rPr>
        <w:t>Judiciary Act 1903</w:t>
      </w:r>
      <w:r w:rsidR="0015304A" w:rsidRPr="00D13236">
        <w:t>.</w:t>
      </w:r>
      <w:r w:rsidR="004579EA" w:rsidRPr="00D13236">
        <w:t xml:space="preserve"> See also section</w:t>
      </w:r>
      <w:r w:rsidR="00D13236" w:rsidRPr="00D13236">
        <w:t> </w:t>
      </w:r>
      <w:r w:rsidR="0015304A" w:rsidRPr="00D13236">
        <w:t>36H</w:t>
      </w:r>
      <w:r w:rsidR="00D90626" w:rsidRPr="00D13236">
        <w:t xml:space="preserve"> of this Act</w:t>
      </w:r>
      <w:r w:rsidR="004579EA" w:rsidRPr="00D13236">
        <w:t xml:space="preserve"> (revocation of citizenship cessation determination</w:t>
      </w:r>
      <w:r w:rsidR="00C974AE" w:rsidRPr="00D13236">
        <w:t xml:space="preserve"> on application to Minister</w:t>
      </w:r>
      <w:r w:rsidR="004579EA" w:rsidRPr="00D13236">
        <w:t>)</w:t>
      </w:r>
      <w:r w:rsidR="0015304A" w:rsidRPr="00D13236">
        <w:t>.</w:t>
      </w:r>
    </w:p>
    <w:p w:rsidR="00B067C3" w:rsidRPr="00D13236" w:rsidRDefault="00452F85" w:rsidP="00D13236">
      <w:pPr>
        <w:pStyle w:val="subsection"/>
      </w:pPr>
      <w:r w:rsidRPr="00D13236">
        <w:tab/>
        <w:t>(2)</w:t>
      </w:r>
      <w:r w:rsidRPr="00D13236">
        <w:tab/>
      </w:r>
      <w:r w:rsidR="00B067C3" w:rsidRPr="00D13236">
        <w:t>However, the Minister must not make a determination if the Minister is satisfied that the person would, if the Minister were to make the determination, become a person who is not a national or citizen of any country</w:t>
      </w:r>
      <w:r w:rsidR="0015304A" w:rsidRPr="00D13236">
        <w:t>.</w:t>
      </w:r>
    </w:p>
    <w:p w:rsidR="00431C38" w:rsidRPr="00D13236" w:rsidRDefault="00452F85" w:rsidP="00D13236">
      <w:pPr>
        <w:pStyle w:val="subsection"/>
      </w:pPr>
      <w:r w:rsidRPr="00D13236">
        <w:tab/>
        <w:t>(3)</w:t>
      </w:r>
      <w:r w:rsidRPr="00D13236">
        <w:tab/>
      </w:r>
      <w:r w:rsidR="00431C38" w:rsidRPr="00D13236">
        <w:t>The person ceases to be an Australian citizen at the time the determination is made</w:t>
      </w:r>
      <w:r w:rsidR="0015304A" w:rsidRPr="00D13236">
        <w:t>.</w:t>
      </w:r>
    </w:p>
    <w:p w:rsidR="00431C38" w:rsidRPr="00D13236" w:rsidRDefault="00452F85" w:rsidP="00D13236">
      <w:pPr>
        <w:pStyle w:val="subsection"/>
      </w:pPr>
      <w:r w:rsidRPr="00D13236">
        <w:tab/>
        <w:t>(4)</w:t>
      </w:r>
      <w:r w:rsidRPr="00D13236">
        <w:tab/>
      </w:r>
      <w:r w:rsidR="00D13236" w:rsidRPr="00D13236">
        <w:t>Subsection (</w:t>
      </w:r>
      <w:r w:rsidR="00431C38" w:rsidRPr="00D13236">
        <w:t>1) applies to a person who is an Australian citizen regardless of how the person became an Australian citizen (including a person who became an Australian citizen upon the person</w:t>
      </w:r>
      <w:r w:rsidR="00D461AB" w:rsidRPr="00D13236">
        <w:t>’</w:t>
      </w:r>
      <w:r w:rsidR="00431C38" w:rsidRPr="00D13236">
        <w:t>s birth)</w:t>
      </w:r>
      <w:r w:rsidR="0015304A" w:rsidRPr="00D13236">
        <w:t>.</w:t>
      </w:r>
    </w:p>
    <w:p w:rsidR="00431C38" w:rsidRPr="00D13236" w:rsidRDefault="00452F85" w:rsidP="00D13236">
      <w:pPr>
        <w:pStyle w:val="subsection"/>
      </w:pPr>
      <w:r w:rsidRPr="00D13236">
        <w:tab/>
        <w:t>(5)</w:t>
      </w:r>
      <w:r w:rsidRPr="00D13236">
        <w:tab/>
      </w:r>
      <w:r w:rsidR="00431C38" w:rsidRPr="00D13236">
        <w:t xml:space="preserve">For the purposes of </w:t>
      </w:r>
      <w:r w:rsidR="00D13236" w:rsidRPr="00D13236">
        <w:t>paragraph (</w:t>
      </w:r>
      <w:r w:rsidR="00431C38" w:rsidRPr="00D13236">
        <w:t>1)(a), the conduct is any of the following:</w:t>
      </w:r>
    </w:p>
    <w:p w:rsidR="00431C38" w:rsidRPr="00D13236" w:rsidRDefault="00431C38" w:rsidP="00D13236">
      <w:pPr>
        <w:pStyle w:val="paragraph"/>
      </w:pPr>
      <w:r w:rsidRPr="00D13236">
        <w:tab/>
        <w:t>(a)</w:t>
      </w:r>
      <w:r w:rsidRPr="00D13236">
        <w:tab/>
        <w:t>engaging in international terrorist activities using explosive or lethal devices;</w:t>
      </w:r>
    </w:p>
    <w:p w:rsidR="00431C38" w:rsidRPr="00D13236" w:rsidRDefault="00431C38" w:rsidP="00D13236">
      <w:pPr>
        <w:pStyle w:val="paragraph"/>
      </w:pPr>
      <w:r w:rsidRPr="00D13236">
        <w:tab/>
        <w:t>(b)</w:t>
      </w:r>
      <w:r w:rsidRPr="00D13236">
        <w:tab/>
        <w:t>engaging in a terrorist act;</w:t>
      </w:r>
    </w:p>
    <w:p w:rsidR="00431C38" w:rsidRPr="00D13236" w:rsidRDefault="00431C38" w:rsidP="00D13236">
      <w:pPr>
        <w:pStyle w:val="paragraph"/>
      </w:pPr>
      <w:r w:rsidRPr="00D13236">
        <w:tab/>
        <w:t>(c)</w:t>
      </w:r>
      <w:r w:rsidRPr="00D13236">
        <w:tab/>
        <w:t>providing or receiving training connected with preparation for, engagement in, or assistance in a terrorist act;</w:t>
      </w:r>
    </w:p>
    <w:p w:rsidR="00431C38" w:rsidRPr="00D13236" w:rsidRDefault="00431C38" w:rsidP="00D13236">
      <w:pPr>
        <w:pStyle w:val="paragraph"/>
      </w:pPr>
      <w:r w:rsidRPr="00D13236">
        <w:tab/>
        <w:t>(d)</w:t>
      </w:r>
      <w:r w:rsidRPr="00D13236">
        <w:tab/>
        <w:t>directing the activities of a terrorist organisation;</w:t>
      </w:r>
    </w:p>
    <w:p w:rsidR="00431C38" w:rsidRPr="00D13236" w:rsidRDefault="00431C38" w:rsidP="00D13236">
      <w:pPr>
        <w:pStyle w:val="paragraph"/>
      </w:pPr>
      <w:r w:rsidRPr="00D13236">
        <w:tab/>
        <w:t>(e)</w:t>
      </w:r>
      <w:r w:rsidRPr="00D13236">
        <w:tab/>
        <w:t>recruiting for a terrorist organisation;</w:t>
      </w:r>
    </w:p>
    <w:p w:rsidR="00431C38" w:rsidRPr="00D13236" w:rsidRDefault="00431C38" w:rsidP="00D13236">
      <w:pPr>
        <w:pStyle w:val="paragraph"/>
      </w:pPr>
      <w:r w:rsidRPr="00D13236">
        <w:tab/>
        <w:t>(f)</w:t>
      </w:r>
      <w:r w:rsidRPr="00D13236">
        <w:tab/>
        <w:t>financing terrorism;</w:t>
      </w:r>
    </w:p>
    <w:p w:rsidR="00431C38" w:rsidRPr="00D13236" w:rsidRDefault="00431C38" w:rsidP="00D13236">
      <w:pPr>
        <w:pStyle w:val="paragraph"/>
      </w:pPr>
      <w:r w:rsidRPr="00D13236">
        <w:tab/>
        <w:t>(g)</w:t>
      </w:r>
      <w:r w:rsidRPr="00D13236">
        <w:tab/>
        <w:t>financing a terrorist;</w:t>
      </w:r>
    </w:p>
    <w:p w:rsidR="00431C38" w:rsidRPr="00D13236" w:rsidRDefault="00431C38" w:rsidP="00D13236">
      <w:pPr>
        <w:pStyle w:val="paragraph"/>
      </w:pPr>
      <w:r w:rsidRPr="00D13236">
        <w:tab/>
        <w:t>(h)</w:t>
      </w:r>
      <w:r w:rsidRPr="00D13236">
        <w:tab/>
        <w:t>engaging in foreign incursions and recruitment</w:t>
      </w:r>
      <w:r w:rsidR="00AF6E7E" w:rsidRPr="00D13236">
        <w:t>;</w:t>
      </w:r>
    </w:p>
    <w:p w:rsidR="00AF6E7E" w:rsidRPr="00D13236" w:rsidRDefault="00986538" w:rsidP="00D13236">
      <w:pPr>
        <w:pStyle w:val="paragraph"/>
      </w:pPr>
      <w:r w:rsidRPr="00D13236">
        <w:tab/>
        <w:t>(</w:t>
      </w:r>
      <w:proofErr w:type="spellStart"/>
      <w:r w:rsidRPr="00D13236">
        <w:t>i</w:t>
      </w:r>
      <w:proofErr w:type="spellEnd"/>
      <w:r w:rsidR="00AF6E7E" w:rsidRPr="00D13236">
        <w:t>)</w:t>
      </w:r>
      <w:r w:rsidR="00AF6E7E" w:rsidRPr="00D13236">
        <w:tab/>
        <w:t>fighting for, or being in the service of, a declared terrorist organisation (see section</w:t>
      </w:r>
      <w:r w:rsidR="00D13236" w:rsidRPr="00D13236">
        <w:t> </w:t>
      </w:r>
      <w:r w:rsidR="0015304A" w:rsidRPr="00D13236">
        <w:t>36C</w:t>
      </w:r>
      <w:r w:rsidRPr="00D13236">
        <w:t>);</w:t>
      </w:r>
    </w:p>
    <w:p w:rsidR="00986538" w:rsidRPr="00D13236" w:rsidRDefault="00986538" w:rsidP="00D13236">
      <w:pPr>
        <w:pStyle w:val="paragraph"/>
      </w:pPr>
      <w:r w:rsidRPr="00D13236">
        <w:tab/>
        <w:t>(j)</w:t>
      </w:r>
      <w:r w:rsidRPr="00D13236">
        <w:tab/>
        <w:t>serving in the armed forces of a country at war with Australia</w:t>
      </w:r>
      <w:r w:rsidR="0015304A" w:rsidRPr="00D13236">
        <w:t>.</w:t>
      </w:r>
    </w:p>
    <w:p w:rsidR="006A27AE" w:rsidRPr="00D13236" w:rsidRDefault="008F36B5" w:rsidP="00D13236">
      <w:pPr>
        <w:pStyle w:val="notetext"/>
      </w:pPr>
      <w:r w:rsidRPr="00D13236">
        <w:t>Note 1:</w:t>
      </w:r>
      <w:r w:rsidRPr="00D13236">
        <w:tab/>
        <w:t xml:space="preserve">A determination may be made in relation to conduct specified in </w:t>
      </w:r>
      <w:r w:rsidR="00D13236" w:rsidRPr="00D13236">
        <w:t>subsection (</w:t>
      </w:r>
      <w:r w:rsidRPr="00D13236">
        <w:t>5) that was engaged in before the subsection commenced (see i</w:t>
      </w:r>
      <w:r w:rsidR="006A27AE" w:rsidRPr="00D13236">
        <w:t>tem</w:t>
      </w:r>
      <w:r w:rsidR="00D13236" w:rsidRPr="00D13236">
        <w:t> </w:t>
      </w:r>
      <w:r w:rsidR="007F71A6" w:rsidRPr="00D13236">
        <w:t>18</w:t>
      </w:r>
      <w:r w:rsidR="006A27AE" w:rsidRPr="00D13236">
        <w:t xml:space="preserve"> of Schedule</w:t>
      </w:r>
      <w:r w:rsidR="00D13236" w:rsidRPr="00D13236">
        <w:t> </w:t>
      </w:r>
      <w:r w:rsidR="006A27AE" w:rsidRPr="00D13236">
        <w:t xml:space="preserve">1 to the </w:t>
      </w:r>
      <w:r w:rsidR="006A27AE" w:rsidRPr="00D13236">
        <w:rPr>
          <w:i/>
        </w:rPr>
        <w:t xml:space="preserve">Australian Citizenship Amendment </w:t>
      </w:r>
      <w:r w:rsidR="00D21CCF">
        <w:rPr>
          <w:i/>
        </w:rPr>
        <w:t>(Citizenship Cessation) Act 2020</w:t>
      </w:r>
      <w:r w:rsidRPr="00D13236">
        <w:t>)</w:t>
      </w:r>
      <w:r w:rsidR="0015304A" w:rsidRPr="00D13236">
        <w:t>.</w:t>
      </w:r>
    </w:p>
    <w:p w:rsidR="006A27AE" w:rsidRPr="00D13236" w:rsidRDefault="006A27AE" w:rsidP="00D13236">
      <w:pPr>
        <w:pStyle w:val="notetext"/>
      </w:pPr>
      <w:r w:rsidRPr="00D13236">
        <w:t>Note 2:</w:t>
      </w:r>
      <w:r w:rsidRPr="00D13236">
        <w:tab/>
        <w:t xml:space="preserve">This section does not apply to conduct of Australian law enforcement or intelligence bodies, or to conduct in the course of certain duties to the Commonwealth (see </w:t>
      </w:r>
      <w:r w:rsidR="00D13236" w:rsidRPr="00D13236">
        <w:t>subsection (</w:t>
      </w:r>
      <w:r w:rsidRPr="00D13236">
        <w:t>8))</w:t>
      </w:r>
      <w:r w:rsidR="0015304A" w:rsidRPr="00D13236">
        <w:t>.</w:t>
      </w:r>
    </w:p>
    <w:p w:rsidR="00431C38" w:rsidRPr="00D13236" w:rsidRDefault="00452F85" w:rsidP="00D13236">
      <w:pPr>
        <w:pStyle w:val="subsection"/>
      </w:pPr>
      <w:r w:rsidRPr="00D13236">
        <w:tab/>
        <w:t>(6)</w:t>
      </w:r>
      <w:r w:rsidRPr="00D13236">
        <w:tab/>
      </w:r>
      <w:r w:rsidR="00431C38" w:rsidRPr="00D13236">
        <w:t xml:space="preserve">Words and expressions used in </w:t>
      </w:r>
      <w:r w:rsidR="00D13236" w:rsidRPr="00D13236">
        <w:t>paragraphs (</w:t>
      </w:r>
      <w:r w:rsidR="00B24B7F" w:rsidRPr="00D13236">
        <w:t>5</w:t>
      </w:r>
      <w:r w:rsidR="00431C38" w:rsidRPr="00D13236">
        <w:t>)</w:t>
      </w:r>
      <w:r w:rsidR="006A27AE" w:rsidRPr="00D13236">
        <w:t>(a) to (h)</w:t>
      </w:r>
      <w:r w:rsidR="00431C38" w:rsidRPr="00D13236">
        <w:t xml:space="preserve"> have the same meanings as in Subdivision A of Division</w:t>
      </w:r>
      <w:r w:rsidR="00D13236" w:rsidRPr="00D13236">
        <w:t> </w:t>
      </w:r>
      <w:r w:rsidR="00431C38" w:rsidRPr="00D13236">
        <w:t>72, sections</w:t>
      </w:r>
      <w:r w:rsidR="00D13236" w:rsidRPr="00D13236">
        <w:t> </w:t>
      </w:r>
      <w:r w:rsidR="00431C38" w:rsidRPr="00D13236">
        <w:t>101</w:t>
      </w:r>
      <w:r w:rsidR="0015304A" w:rsidRPr="00D13236">
        <w:t>.</w:t>
      </w:r>
      <w:r w:rsidR="00431C38" w:rsidRPr="00D13236">
        <w:t>1, 101</w:t>
      </w:r>
      <w:r w:rsidR="0015304A" w:rsidRPr="00D13236">
        <w:t>.</w:t>
      </w:r>
      <w:r w:rsidR="00431C38" w:rsidRPr="00D13236">
        <w:t>2, 102</w:t>
      </w:r>
      <w:r w:rsidR="0015304A" w:rsidRPr="00D13236">
        <w:t>.</w:t>
      </w:r>
      <w:r w:rsidR="00431C38" w:rsidRPr="00D13236">
        <w:t>2, 102</w:t>
      </w:r>
      <w:r w:rsidR="0015304A" w:rsidRPr="00D13236">
        <w:t>.</w:t>
      </w:r>
      <w:r w:rsidR="00431C38" w:rsidRPr="00D13236">
        <w:t>4, 103</w:t>
      </w:r>
      <w:r w:rsidR="0015304A" w:rsidRPr="00D13236">
        <w:t>.</w:t>
      </w:r>
      <w:r w:rsidR="00431C38" w:rsidRPr="00D13236">
        <w:t>1 and 103</w:t>
      </w:r>
      <w:r w:rsidR="0015304A" w:rsidRPr="00D13236">
        <w:t>.</w:t>
      </w:r>
      <w:r w:rsidR="00431C38" w:rsidRPr="00D13236">
        <w:t>2 and Division</w:t>
      </w:r>
      <w:r w:rsidR="00D13236" w:rsidRPr="00D13236">
        <w:t> </w:t>
      </w:r>
      <w:r w:rsidR="00431C38" w:rsidRPr="00D13236">
        <w:t xml:space="preserve">119 of the </w:t>
      </w:r>
      <w:r w:rsidR="00431C38" w:rsidRPr="00D13236">
        <w:rPr>
          <w:i/>
          <w:iCs/>
        </w:rPr>
        <w:t>Criminal Code</w:t>
      </w:r>
      <w:r w:rsidR="00431C38" w:rsidRPr="00D13236">
        <w:t>, respectively</w:t>
      </w:r>
      <w:r w:rsidR="0015304A" w:rsidRPr="00D13236">
        <w:t>.</w:t>
      </w:r>
      <w:r w:rsidR="00431C38" w:rsidRPr="00D13236">
        <w:t xml:space="preserve"> However (to avoid doubt) this does not include the fault elements that apply under the </w:t>
      </w:r>
      <w:r w:rsidR="00431C38" w:rsidRPr="00D13236">
        <w:rPr>
          <w:i/>
        </w:rPr>
        <w:t>Criminal Code</w:t>
      </w:r>
      <w:r w:rsidR="00431C38" w:rsidRPr="00D13236">
        <w:t xml:space="preserve"> in relation to those provisions of the </w:t>
      </w:r>
      <w:r w:rsidR="00431C38" w:rsidRPr="00D13236">
        <w:rPr>
          <w:i/>
        </w:rPr>
        <w:t>Criminal Code</w:t>
      </w:r>
      <w:r w:rsidR="0015304A" w:rsidRPr="00D13236">
        <w:t>.</w:t>
      </w:r>
    </w:p>
    <w:p w:rsidR="00AF6E7E" w:rsidRPr="00D13236" w:rsidRDefault="00452F85" w:rsidP="00D13236">
      <w:pPr>
        <w:pStyle w:val="subsection"/>
      </w:pPr>
      <w:r w:rsidRPr="00D13236">
        <w:tab/>
        <w:t>(7)</w:t>
      </w:r>
      <w:r w:rsidRPr="00D13236">
        <w:tab/>
      </w:r>
      <w:r w:rsidR="00AF6E7E" w:rsidRPr="00D13236">
        <w:t xml:space="preserve">For the purposes of </w:t>
      </w:r>
      <w:r w:rsidR="00D13236" w:rsidRPr="00D13236">
        <w:t>paragraph (</w:t>
      </w:r>
      <w:r w:rsidR="00AF6E7E" w:rsidRPr="00D13236">
        <w:t>5</w:t>
      </w:r>
      <w:r w:rsidR="00986538" w:rsidRPr="00D13236">
        <w:t>)(</w:t>
      </w:r>
      <w:proofErr w:type="spellStart"/>
      <w:r w:rsidR="00986538" w:rsidRPr="00D13236">
        <w:t>i</w:t>
      </w:r>
      <w:proofErr w:type="spellEnd"/>
      <w:r w:rsidR="00AF6E7E" w:rsidRPr="00D13236">
        <w:t>) and without limitation, a person is not in the service of a declared terrorist organisation to the extent that:</w:t>
      </w:r>
    </w:p>
    <w:p w:rsidR="00AF6E7E" w:rsidRPr="00D13236" w:rsidRDefault="00AF6E7E" w:rsidP="00D13236">
      <w:pPr>
        <w:pStyle w:val="paragraph"/>
      </w:pPr>
      <w:r w:rsidRPr="00D13236">
        <w:tab/>
        <w:t>(a)</w:t>
      </w:r>
      <w:r w:rsidRPr="00D13236">
        <w:tab/>
        <w:t>the person</w:t>
      </w:r>
      <w:r w:rsidR="00D461AB" w:rsidRPr="00D13236">
        <w:t>’</w:t>
      </w:r>
      <w:r w:rsidRPr="00D13236">
        <w:t>s actions are unintentional; or</w:t>
      </w:r>
    </w:p>
    <w:p w:rsidR="00AF6E7E" w:rsidRPr="00D13236" w:rsidRDefault="00AF6E7E" w:rsidP="00D13236">
      <w:pPr>
        <w:pStyle w:val="paragraph"/>
      </w:pPr>
      <w:r w:rsidRPr="00D13236">
        <w:tab/>
        <w:t>(b)</w:t>
      </w:r>
      <w:r w:rsidRPr="00D13236">
        <w:tab/>
        <w:t>the person is acting under duress or force; or</w:t>
      </w:r>
    </w:p>
    <w:p w:rsidR="00AF6E7E" w:rsidRPr="00D13236" w:rsidRDefault="00AF6E7E" w:rsidP="00D13236">
      <w:pPr>
        <w:pStyle w:val="paragraph"/>
      </w:pPr>
      <w:r w:rsidRPr="00D13236">
        <w:tab/>
        <w:t>(c)</w:t>
      </w:r>
      <w:r w:rsidRPr="00D13236">
        <w:tab/>
        <w:t>the person is providing neutral and independent humanitarian assistance</w:t>
      </w:r>
      <w:r w:rsidR="0015304A" w:rsidRPr="00D13236">
        <w:t>.</w:t>
      </w:r>
    </w:p>
    <w:p w:rsidR="00452F85" w:rsidRPr="00D13236" w:rsidRDefault="00452F85" w:rsidP="00D13236">
      <w:pPr>
        <w:pStyle w:val="subsection"/>
      </w:pPr>
      <w:r w:rsidRPr="00D13236">
        <w:tab/>
        <w:t>(8)</w:t>
      </w:r>
      <w:r w:rsidRPr="00D13236">
        <w:tab/>
        <w:t>This section does not apply to conduct engaged in by:</w:t>
      </w:r>
    </w:p>
    <w:p w:rsidR="00452F85" w:rsidRPr="00D13236" w:rsidRDefault="00452F85" w:rsidP="00D13236">
      <w:pPr>
        <w:pStyle w:val="paragraph"/>
      </w:pPr>
      <w:r w:rsidRPr="00D13236">
        <w:tab/>
        <w:t>(a)</w:t>
      </w:r>
      <w:r w:rsidRPr="00D13236">
        <w:tab/>
        <w:t>a person in the proper performance of a function of a body, agency or organisation of the Commonwealth, or of a State or Territory, that is responsible for, or deals with, law enforcement, criminal intelligence, criminal investigation, fraud, security intelligence, foreign intelligence or financial intelligence; or</w:t>
      </w:r>
    </w:p>
    <w:p w:rsidR="00452F85" w:rsidRPr="00D13236" w:rsidRDefault="00452F85" w:rsidP="00D13236">
      <w:pPr>
        <w:pStyle w:val="paragraph"/>
      </w:pPr>
      <w:r w:rsidRPr="00D13236">
        <w:tab/>
        <w:t>(b)</w:t>
      </w:r>
      <w:r w:rsidRPr="00D13236">
        <w:tab/>
        <w:t>a person acting in the course of the person</w:t>
      </w:r>
      <w:r w:rsidR="00D461AB" w:rsidRPr="00D13236">
        <w:t>’</w:t>
      </w:r>
      <w:r w:rsidRPr="00D13236">
        <w:t>s duty to the Commonwealth in relation to the defence, security or international relations of Australia</w:t>
      </w:r>
      <w:r w:rsidR="0015304A" w:rsidRPr="00D13236">
        <w:t>.</w:t>
      </w:r>
    </w:p>
    <w:p w:rsidR="00064D58" w:rsidRPr="00D13236" w:rsidRDefault="00064D58" w:rsidP="00D13236">
      <w:pPr>
        <w:pStyle w:val="SubsectionHead"/>
      </w:pPr>
      <w:r w:rsidRPr="00D13236">
        <w:t>General provisions relating to Minister</w:t>
      </w:r>
      <w:r w:rsidR="00D461AB" w:rsidRPr="00D13236">
        <w:t>’</w:t>
      </w:r>
      <w:r w:rsidRPr="00D13236">
        <w:t>s powers</w:t>
      </w:r>
    </w:p>
    <w:p w:rsidR="00A21349" w:rsidRPr="00D13236" w:rsidRDefault="00452F85" w:rsidP="00D13236">
      <w:pPr>
        <w:pStyle w:val="subsection"/>
      </w:pPr>
      <w:r w:rsidRPr="00D13236">
        <w:tab/>
        <w:t>(9)</w:t>
      </w:r>
      <w:r w:rsidRPr="00D13236">
        <w:tab/>
      </w:r>
      <w:r w:rsidR="00A21349" w:rsidRPr="00D13236">
        <w:t>The powers of the Minister under this section may only be exercised by the Minister personally</w:t>
      </w:r>
      <w:r w:rsidR="0015304A" w:rsidRPr="00D13236">
        <w:t>.</w:t>
      </w:r>
    </w:p>
    <w:p w:rsidR="00A21349" w:rsidRPr="00D13236" w:rsidRDefault="00452F85" w:rsidP="00D13236">
      <w:pPr>
        <w:pStyle w:val="subsection"/>
      </w:pPr>
      <w:r w:rsidRPr="00D13236">
        <w:tab/>
        <w:t>(10)</w:t>
      </w:r>
      <w:r w:rsidRPr="00D13236">
        <w:tab/>
      </w:r>
      <w:r w:rsidR="00A21349" w:rsidRPr="00D13236">
        <w:t>Section</w:t>
      </w:r>
      <w:r w:rsidR="00D13236" w:rsidRPr="00D13236">
        <w:t> </w:t>
      </w:r>
      <w:r w:rsidR="00A21349" w:rsidRPr="00D13236">
        <w:t xml:space="preserve">47 </w:t>
      </w:r>
      <w:r w:rsidR="00147677" w:rsidRPr="00D13236">
        <w:t xml:space="preserve">(notification of decisions) </w:t>
      </w:r>
      <w:r w:rsidR="00A21349" w:rsidRPr="00D13236">
        <w:t xml:space="preserve">does not apply to </w:t>
      </w:r>
      <w:r w:rsidR="00143004" w:rsidRPr="00D13236">
        <w:t>a</w:t>
      </w:r>
      <w:r w:rsidR="00A21349" w:rsidRPr="00D13236">
        <w:t xml:space="preserve"> decision of the Minister under this section</w:t>
      </w:r>
      <w:r w:rsidR="00FC5B4F" w:rsidRPr="00D13236">
        <w:t xml:space="preserve"> (see section</w:t>
      </w:r>
      <w:r w:rsidR="00D13236" w:rsidRPr="00D13236">
        <w:t> </w:t>
      </w:r>
      <w:r w:rsidR="0015304A" w:rsidRPr="00D13236">
        <w:t>36F</w:t>
      </w:r>
      <w:r w:rsidR="00FC5B4F" w:rsidRPr="00D13236">
        <w:t xml:space="preserve"> instead)</w:t>
      </w:r>
      <w:r w:rsidR="0015304A" w:rsidRPr="00D13236">
        <w:t>.</w:t>
      </w:r>
    </w:p>
    <w:p w:rsidR="002B11B4" w:rsidRPr="00D13236" w:rsidRDefault="00452F85" w:rsidP="00D13236">
      <w:pPr>
        <w:pStyle w:val="subsection"/>
      </w:pPr>
      <w:r w:rsidRPr="00D13236">
        <w:tab/>
        <w:t>(11)</w:t>
      </w:r>
      <w:r w:rsidRPr="00D13236">
        <w:tab/>
      </w:r>
      <w:r w:rsidR="006B449F" w:rsidRPr="00D13236">
        <w:t>The rules of natural justice do not apply in relation to making a decision or exercising a power under this section</w:t>
      </w:r>
      <w:r w:rsidR="0015304A" w:rsidRPr="00D13236">
        <w:t>.</w:t>
      </w:r>
    </w:p>
    <w:p w:rsidR="00A21349" w:rsidRPr="00D13236" w:rsidRDefault="00452F85" w:rsidP="00D13236">
      <w:pPr>
        <w:pStyle w:val="subsection"/>
      </w:pPr>
      <w:r w:rsidRPr="00D13236">
        <w:tab/>
        <w:t>(12)</w:t>
      </w:r>
      <w:r w:rsidRPr="00D13236">
        <w:tab/>
      </w:r>
      <w:r w:rsidR="00893179" w:rsidRPr="00D13236">
        <w:t xml:space="preserve">A determination made under </w:t>
      </w:r>
      <w:r w:rsidR="00D13236" w:rsidRPr="00D13236">
        <w:t>subsection (</w:t>
      </w:r>
      <w:r w:rsidR="00893179" w:rsidRPr="00D13236">
        <w:t xml:space="preserve">1) </w:t>
      </w:r>
      <w:r w:rsidR="00A21349" w:rsidRPr="00D13236">
        <w:t>is not a legislative instrument</w:t>
      </w:r>
      <w:r w:rsidR="0015304A" w:rsidRPr="00D13236">
        <w:t>.</w:t>
      </w:r>
    </w:p>
    <w:p w:rsidR="00663E17" w:rsidRPr="00D13236" w:rsidRDefault="0015304A" w:rsidP="00D13236">
      <w:pPr>
        <w:pStyle w:val="ActHead5"/>
      </w:pPr>
      <w:bookmarkStart w:id="15" w:name="_Toc51327901"/>
      <w:r w:rsidRPr="00D13236">
        <w:rPr>
          <w:rStyle w:val="CharSectno"/>
        </w:rPr>
        <w:t>36C</w:t>
      </w:r>
      <w:r w:rsidR="00663E17" w:rsidRPr="00D13236">
        <w:t xml:space="preserve">  Declared terrorist organisation</w:t>
      </w:r>
      <w:bookmarkEnd w:id="15"/>
    </w:p>
    <w:p w:rsidR="00663E17" w:rsidRPr="00D13236" w:rsidRDefault="00663E17" w:rsidP="00D13236">
      <w:pPr>
        <w:pStyle w:val="SubsectionHead"/>
      </w:pPr>
      <w:r w:rsidRPr="00D13236">
        <w:t>Declaration of declared terrorist organisation</w:t>
      </w:r>
    </w:p>
    <w:p w:rsidR="00663E17" w:rsidRPr="00D13236" w:rsidRDefault="00663E17" w:rsidP="00D13236">
      <w:pPr>
        <w:pStyle w:val="subsection"/>
      </w:pPr>
      <w:r w:rsidRPr="00D13236">
        <w:tab/>
        <w:t>(1)</w:t>
      </w:r>
      <w:r w:rsidRPr="00D13236">
        <w:tab/>
        <w:t xml:space="preserve">A </w:t>
      </w:r>
      <w:r w:rsidRPr="00D13236">
        <w:rPr>
          <w:b/>
          <w:i/>
        </w:rPr>
        <w:t>declared terrorist organisation</w:t>
      </w:r>
      <w:r w:rsidRPr="00D13236">
        <w:t xml:space="preserve"> is any terrorist organisation, within the meaning of </w:t>
      </w:r>
      <w:r w:rsidR="00D13236" w:rsidRPr="00D13236">
        <w:t>paragraph (</w:t>
      </w:r>
      <w:r w:rsidRPr="00D13236">
        <w:t xml:space="preserve">b) of the definition of </w:t>
      </w:r>
      <w:r w:rsidRPr="00D13236">
        <w:rPr>
          <w:b/>
          <w:i/>
        </w:rPr>
        <w:t>terrorist organisation</w:t>
      </w:r>
      <w:r w:rsidRPr="00D13236">
        <w:t xml:space="preserve"> in subsection</w:t>
      </w:r>
      <w:r w:rsidR="00D13236" w:rsidRPr="00D13236">
        <w:t> </w:t>
      </w:r>
      <w:r w:rsidRPr="00D13236">
        <w:t>102</w:t>
      </w:r>
      <w:r w:rsidR="0015304A" w:rsidRPr="00D13236">
        <w:t>.</w:t>
      </w:r>
      <w:r w:rsidRPr="00D13236">
        <w:t xml:space="preserve">1(1) of the </w:t>
      </w:r>
      <w:r w:rsidRPr="00D13236">
        <w:rPr>
          <w:i/>
        </w:rPr>
        <w:t>Criminal Code</w:t>
      </w:r>
      <w:r w:rsidRPr="00D13236">
        <w:t>, that the Minister, by legislative instrument, declares is a declared terrorist organisation for the purposes of this section</w:t>
      </w:r>
      <w:r w:rsidR="0015304A" w:rsidRPr="00D13236">
        <w:t>.</w:t>
      </w:r>
    </w:p>
    <w:p w:rsidR="00663E17" w:rsidRPr="00D13236" w:rsidRDefault="00663E17" w:rsidP="00D13236">
      <w:pPr>
        <w:pStyle w:val="subsection"/>
      </w:pPr>
      <w:r w:rsidRPr="00D13236">
        <w:tab/>
        <w:t>(2)</w:t>
      </w:r>
      <w:r w:rsidRPr="00D13236">
        <w:tab/>
        <w:t>Before declaring that an organisation is a declared terrorist organisation, the Minister must be satisfied on reasonable grounds that the organisation:</w:t>
      </w:r>
    </w:p>
    <w:p w:rsidR="00663E17" w:rsidRPr="00D13236" w:rsidRDefault="00663E17" w:rsidP="00D13236">
      <w:pPr>
        <w:pStyle w:val="paragraph"/>
      </w:pPr>
      <w:r w:rsidRPr="00D13236">
        <w:tab/>
        <w:t>(a)</w:t>
      </w:r>
      <w:r w:rsidRPr="00D13236">
        <w:tab/>
        <w:t>either:</w:t>
      </w:r>
    </w:p>
    <w:p w:rsidR="00663E17" w:rsidRPr="00D13236" w:rsidRDefault="00663E17" w:rsidP="00D13236">
      <w:pPr>
        <w:pStyle w:val="paragraphsub"/>
      </w:pPr>
      <w:r w:rsidRPr="00D13236">
        <w:tab/>
        <w:t>(</w:t>
      </w:r>
      <w:proofErr w:type="spellStart"/>
      <w:r w:rsidRPr="00D13236">
        <w:t>i</w:t>
      </w:r>
      <w:proofErr w:type="spellEnd"/>
      <w:r w:rsidRPr="00D13236">
        <w:t>)</w:t>
      </w:r>
      <w:r w:rsidRPr="00D13236">
        <w:tab/>
        <w:t>is directly or indirectly engaged in, preparing, planning, assisting in or fostering the doing of a terrorist act; or</w:t>
      </w:r>
    </w:p>
    <w:p w:rsidR="00663E17" w:rsidRPr="00D13236" w:rsidRDefault="00663E17" w:rsidP="00D13236">
      <w:pPr>
        <w:pStyle w:val="paragraphsub"/>
      </w:pPr>
      <w:r w:rsidRPr="00D13236">
        <w:tab/>
        <w:t>(ii)</w:t>
      </w:r>
      <w:r w:rsidRPr="00D13236">
        <w:tab/>
        <w:t>advocates the doing of a terrorist act; and</w:t>
      </w:r>
    </w:p>
    <w:p w:rsidR="00663E17" w:rsidRPr="00D13236" w:rsidRDefault="00663E17" w:rsidP="00D13236">
      <w:pPr>
        <w:pStyle w:val="paragraph"/>
      </w:pPr>
      <w:r w:rsidRPr="00D13236">
        <w:tab/>
        <w:t>(b)</w:t>
      </w:r>
      <w:r w:rsidRPr="00D13236">
        <w:tab/>
        <w:t>is opposed to Australia, or to Australia</w:t>
      </w:r>
      <w:r w:rsidR="00D461AB" w:rsidRPr="00D13236">
        <w:t>’</w:t>
      </w:r>
      <w:r w:rsidRPr="00D13236">
        <w:t>s interests, values, democratic beliefs, rights or liberties, so that if a person were to fight for or be in the service of such an organisation the person would be repudiating their allegiance to Australia</w:t>
      </w:r>
      <w:r w:rsidR="0015304A" w:rsidRPr="00D13236">
        <w:t>.</w:t>
      </w:r>
    </w:p>
    <w:p w:rsidR="00663E17" w:rsidRPr="00D13236" w:rsidRDefault="00663E17" w:rsidP="00D13236">
      <w:pPr>
        <w:pStyle w:val="subsection"/>
      </w:pPr>
      <w:r w:rsidRPr="00D13236">
        <w:tab/>
        <w:t>(3)</w:t>
      </w:r>
      <w:r w:rsidRPr="00D13236">
        <w:tab/>
        <w:t xml:space="preserve">The making of a declaration under </w:t>
      </w:r>
      <w:r w:rsidR="00D13236" w:rsidRPr="00D13236">
        <w:t>subsection (</w:t>
      </w:r>
      <w:r w:rsidRPr="00D13236">
        <w:t>1) is taken not to be prescribed administrative action for the purposes of Part</w:t>
      </w:r>
      <w:r w:rsidR="00D13236" w:rsidRPr="00D13236">
        <w:t> </w:t>
      </w:r>
      <w:r w:rsidRPr="00D13236">
        <w:t xml:space="preserve">IV of the </w:t>
      </w:r>
      <w:r w:rsidRPr="00D13236">
        <w:rPr>
          <w:i/>
        </w:rPr>
        <w:t>Australian Security Intelligence Organisation Act 1979</w:t>
      </w:r>
      <w:r w:rsidR="0015304A" w:rsidRPr="00D13236">
        <w:t>.</w:t>
      </w:r>
    </w:p>
    <w:p w:rsidR="00663E17" w:rsidRPr="00D13236" w:rsidRDefault="00663E17" w:rsidP="00D13236">
      <w:pPr>
        <w:pStyle w:val="SubsectionHead"/>
      </w:pPr>
      <w:r w:rsidRPr="00D13236">
        <w:t>Review of declaration by Parliamentary Joint Committee on Intelligence and Security</w:t>
      </w:r>
    </w:p>
    <w:p w:rsidR="00663E17" w:rsidRPr="00D13236" w:rsidRDefault="00663E17" w:rsidP="00D13236">
      <w:pPr>
        <w:pStyle w:val="subsection"/>
      </w:pPr>
      <w:r w:rsidRPr="00D13236">
        <w:tab/>
        <w:t>(4)</w:t>
      </w:r>
      <w:r w:rsidRPr="00D13236">
        <w:tab/>
        <w:t>The Parliamentary Joint Committee on Intelligence and Security may:</w:t>
      </w:r>
    </w:p>
    <w:p w:rsidR="00663E17" w:rsidRPr="00D13236" w:rsidRDefault="00663E17" w:rsidP="00D13236">
      <w:pPr>
        <w:pStyle w:val="paragraph"/>
      </w:pPr>
      <w:r w:rsidRPr="00D13236">
        <w:tab/>
        <w:t>(a)</w:t>
      </w:r>
      <w:r w:rsidRPr="00D13236">
        <w:tab/>
        <w:t xml:space="preserve">review a declaration made under </w:t>
      </w:r>
      <w:r w:rsidR="00D13236" w:rsidRPr="00D13236">
        <w:t>subsection (</w:t>
      </w:r>
      <w:r w:rsidRPr="00D13236">
        <w:t>1) as soon as possible after the declaration is made; and</w:t>
      </w:r>
    </w:p>
    <w:p w:rsidR="00663E17" w:rsidRPr="00D13236" w:rsidRDefault="00663E17" w:rsidP="00D13236">
      <w:pPr>
        <w:pStyle w:val="paragraph"/>
      </w:pPr>
      <w:r w:rsidRPr="00D13236">
        <w:tab/>
        <w:t>(b)</w:t>
      </w:r>
      <w:r w:rsidRPr="00D13236">
        <w:tab/>
        <w:t>report the Committee</w:t>
      </w:r>
      <w:r w:rsidR="00D461AB" w:rsidRPr="00D13236">
        <w:t>’</w:t>
      </w:r>
      <w:r w:rsidRPr="00D13236">
        <w:t>s comments and recommendations to each House of the Parliament before the end of the period during which the House may disallow the declaration</w:t>
      </w:r>
      <w:r w:rsidR="0015304A" w:rsidRPr="00D13236">
        <w:t>.</w:t>
      </w:r>
    </w:p>
    <w:p w:rsidR="00AF6E7E" w:rsidRPr="00D13236" w:rsidRDefault="0015304A" w:rsidP="00D13236">
      <w:pPr>
        <w:pStyle w:val="ActHead5"/>
      </w:pPr>
      <w:bookmarkStart w:id="16" w:name="_Toc51327902"/>
      <w:r w:rsidRPr="00D13236">
        <w:rPr>
          <w:rStyle w:val="CharSectno"/>
        </w:rPr>
        <w:t>36D</w:t>
      </w:r>
      <w:r w:rsidR="00AF6E7E" w:rsidRPr="00D13236">
        <w:t xml:space="preserve">  Citizenship cessation determination for certain convictions</w:t>
      </w:r>
      <w:bookmarkEnd w:id="16"/>
    </w:p>
    <w:p w:rsidR="00AF6E7E" w:rsidRPr="00D13236" w:rsidRDefault="00AF6E7E" w:rsidP="00D13236">
      <w:pPr>
        <w:pStyle w:val="SubsectionHead"/>
      </w:pPr>
      <w:r w:rsidRPr="00D13236">
        <w:t>Cessation of citizenship on determination by Minister</w:t>
      </w:r>
    </w:p>
    <w:p w:rsidR="00AF6E7E" w:rsidRPr="00D13236" w:rsidRDefault="00AF6E7E" w:rsidP="00D13236">
      <w:pPr>
        <w:pStyle w:val="subsection"/>
      </w:pPr>
      <w:r w:rsidRPr="00D13236">
        <w:tab/>
        <w:t>(1)</w:t>
      </w:r>
      <w:r w:rsidRPr="00D13236">
        <w:tab/>
        <w:t>The Minister may determine in writing that a person ceases to be an Australian citizen if:</w:t>
      </w:r>
    </w:p>
    <w:p w:rsidR="00AF6E7E" w:rsidRPr="00D13236" w:rsidRDefault="00AF6E7E" w:rsidP="00D13236">
      <w:pPr>
        <w:pStyle w:val="paragraph"/>
      </w:pPr>
      <w:r w:rsidRPr="00D13236">
        <w:tab/>
        <w:t>(a)</w:t>
      </w:r>
      <w:r w:rsidRPr="00D13236">
        <w:tab/>
        <w:t>the person h</w:t>
      </w:r>
      <w:r w:rsidR="00065463" w:rsidRPr="00D13236">
        <w:t xml:space="preserve">as </w:t>
      </w:r>
      <w:r w:rsidR="004A0AE1" w:rsidRPr="00D13236">
        <w:t>been convicted of an offence, or</w:t>
      </w:r>
      <w:r w:rsidR="00065463" w:rsidRPr="00D13236">
        <w:t xml:space="preserve"> offences, </w:t>
      </w:r>
      <w:r w:rsidRPr="00D13236">
        <w:t xml:space="preserve">against </w:t>
      </w:r>
      <w:r w:rsidR="00065463" w:rsidRPr="00D13236">
        <w:t>one or more of the</w:t>
      </w:r>
      <w:r w:rsidRPr="00D13236">
        <w:t xml:space="preserve"> provision</w:t>
      </w:r>
      <w:r w:rsidR="00065463" w:rsidRPr="00D13236">
        <w:t>s</w:t>
      </w:r>
      <w:r w:rsidRPr="00D13236">
        <w:t xml:space="preserve"> specified in </w:t>
      </w:r>
      <w:r w:rsidR="00D13236" w:rsidRPr="00D13236">
        <w:t>subsection (</w:t>
      </w:r>
      <w:r w:rsidRPr="00D13236">
        <w:t>5); and</w:t>
      </w:r>
    </w:p>
    <w:p w:rsidR="00AF6E7E" w:rsidRPr="00D13236" w:rsidRDefault="00AF6E7E" w:rsidP="00D13236">
      <w:pPr>
        <w:pStyle w:val="paragraph"/>
      </w:pPr>
      <w:r w:rsidRPr="00D13236">
        <w:tab/>
        <w:t>(b)</w:t>
      </w:r>
      <w:r w:rsidRPr="00D13236">
        <w:tab/>
        <w:t>the person has, in respect of the conviction or convictions, been sentenced to a period of imprisonment of at least 3 years, or to periods of imprisonment that total at least 3 years; and</w:t>
      </w:r>
    </w:p>
    <w:p w:rsidR="00AF6E7E" w:rsidRPr="00D13236" w:rsidRDefault="00AF6E7E" w:rsidP="00D13236">
      <w:pPr>
        <w:pStyle w:val="paragraph"/>
      </w:pPr>
      <w:r w:rsidRPr="00D13236">
        <w:tab/>
        <w:t>(c)</w:t>
      </w:r>
      <w:r w:rsidRPr="00D13236">
        <w:tab/>
        <w:t>the Minister is satisfied that the conduct of the person to which the conviction or convictions relate demonstrates that the person has repudiated their allegiance to Australia; and</w:t>
      </w:r>
    </w:p>
    <w:p w:rsidR="00AF6E7E" w:rsidRPr="00D13236" w:rsidRDefault="00716EB5" w:rsidP="00D13236">
      <w:pPr>
        <w:pStyle w:val="paragraph"/>
      </w:pPr>
      <w:r w:rsidRPr="00D13236">
        <w:tab/>
        <w:t>(d)</w:t>
      </w:r>
      <w:r w:rsidRPr="00D13236">
        <w:tab/>
        <w:t>the Minister is satisfied that it w</w:t>
      </w:r>
      <w:r w:rsidR="00AF6E7E" w:rsidRPr="00D13236">
        <w:t>ould be contrary to the public interest for the person to remain an Australian citizen (see section</w:t>
      </w:r>
      <w:r w:rsidR="00D13236" w:rsidRPr="00D13236">
        <w:t> </w:t>
      </w:r>
      <w:r w:rsidR="0015304A" w:rsidRPr="00D13236">
        <w:t>36E</w:t>
      </w:r>
      <w:r w:rsidR="00AF6E7E" w:rsidRPr="00D13236">
        <w:t>)</w:t>
      </w:r>
      <w:r w:rsidR="0015304A" w:rsidRPr="00D13236">
        <w:t>.</w:t>
      </w:r>
    </w:p>
    <w:p w:rsidR="00065463" w:rsidRPr="00D13236" w:rsidRDefault="00065463" w:rsidP="00D13236">
      <w:pPr>
        <w:pStyle w:val="notetext"/>
      </w:pPr>
      <w:r w:rsidRPr="00D13236">
        <w:t>Note:</w:t>
      </w:r>
      <w:r w:rsidRPr="00D13236">
        <w:tab/>
        <w:t>A person may seek review of a determination made under this subsection in the High Court of Australia under section</w:t>
      </w:r>
      <w:r w:rsidR="00D13236" w:rsidRPr="00D13236">
        <w:t> </w:t>
      </w:r>
      <w:r w:rsidRPr="00D13236">
        <w:t>75 of the Constitution, or in the Federal Court of Australia under section</w:t>
      </w:r>
      <w:r w:rsidR="00D13236" w:rsidRPr="00D13236">
        <w:t> </w:t>
      </w:r>
      <w:r w:rsidRPr="00D13236">
        <w:t xml:space="preserve">39B of the </w:t>
      </w:r>
      <w:r w:rsidRPr="00D13236">
        <w:rPr>
          <w:i/>
        </w:rPr>
        <w:t>Judiciary Act 1903</w:t>
      </w:r>
      <w:r w:rsidR="0015304A" w:rsidRPr="00D13236">
        <w:t>.</w:t>
      </w:r>
      <w:r w:rsidRPr="00D13236">
        <w:t xml:space="preserve"> See also section</w:t>
      </w:r>
      <w:r w:rsidR="00D13236" w:rsidRPr="00D13236">
        <w:t> </w:t>
      </w:r>
      <w:r w:rsidR="0015304A" w:rsidRPr="00D13236">
        <w:t>36H</w:t>
      </w:r>
      <w:r w:rsidRPr="00D13236">
        <w:t xml:space="preserve"> of this Act (revocation of citizenship cessation determination on application to Minister)</w:t>
      </w:r>
      <w:r w:rsidR="0015304A" w:rsidRPr="00D13236">
        <w:t>.</w:t>
      </w:r>
    </w:p>
    <w:p w:rsidR="00716EB5" w:rsidRPr="00D13236" w:rsidRDefault="00716EB5" w:rsidP="00D13236">
      <w:pPr>
        <w:pStyle w:val="subsection"/>
      </w:pPr>
      <w:r w:rsidRPr="00D13236">
        <w:tab/>
        <w:t>(2)</w:t>
      </w:r>
      <w:r w:rsidRPr="00D13236">
        <w:tab/>
        <w:t>However, the Minister must not make a determination if the Minister is satisfied that the person would, if the Minister were to make the determination, become a person who is not a national or citizen of any country</w:t>
      </w:r>
      <w:r w:rsidR="0015304A" w:rsidRPr="00D13236">
        <w:t>.</w:t>
      </w:r>
    </w:p>
    <w:p w:rsidR="00716EB5" w:rsidRPr="00D13236" w:rsidRDefault="00716EB5" w:rsidP="00D13236">
      <w:pPr>
        <w:pStyle w:val="subsection"/>
      </w:pPr>
      <w:r w:rsidRPr="00D13236">
        <w:tab/>
        <w:t>(3)</w:t>
      </w:r>
      <w:r w:rsidRPr="00D13236">
        <w:tab/>
        <w:t>The person ceases to be an Australian citizen at the time the determination is made</w:t>
      </w:r>
      <w:r w:rsidR="0015304A" w:rsidRPr="00D13236">
        <w:t>.</w:t>
      </w:r>
    </w:p>
    <w:p w:rsidR="00716EB5" w:rsidRPr="00D13236" w:rsidRDefault="00716EB5" w:rsidP="00D13236">
      <w:pPr>
        <w:pStyle w:val="subsection"/>
      </w:pPr>
      <w:r w:rsidRPr="00D13236">
        <w:tab/>
        <w:t>(4)</w:t>
      </w:r>
      <w:r w:rsidRPr="00D13236">
        <w:tab/>
      </w:r>
      <w:r w:rsidR="00D13236" w:rsidRPr="00D13236">
        <w:t>Subsection (</w:t>
      </w:r>
      <w:r w:rsidRPr="00D13236">
        <w:t>1) applies to a person who is an Australian citizen regardless of how the person became an Australian citizen (including a person who became an Australian citizen upon the person</w:t>
      </w:r>
      <w:r w:rsidR="00D461AB" w:rsidRPr="00D13236">
        <w:t>’</w:t>
      </w:r>
      <w:r w:rsidRPr="00D13236">
        <w:t>s birth)</w:t>
      </w:r>
      <w:r w:rsidR="0015304A" w:rsidRPr="00D13236">
        <w:t>.</w:t>
      </w:r>
    </w:p>
    <w:p w:rsidR="00AF6E7E" w:rsidRPr="00D13236" w:rsidRDefault="00AF6E7E" w:rsidP="00D13236">
      <w:pPr>
        <w:pStyle w:val="subsection"/>
      </w:pPr>
      <w:r w:rsidRPr="00D13236">
        <w:tab/>
        <w:t>(5)</w:t>
      </w:r>
      <w:r w:rsidRPr="00D13236">
        <w:tab/>
        <w:t xml:space="preserve">For the purposes of </w:t>
      </w:r>
      <w:r w:rsidR="00D13236" w:rsidRPr="00D13236">
        <w:t>paragraph (</w:t>
      </w:r>
      <w:r w:rsidRPr="00D13236">
        <w:t>1)(a), the provisions are the following:</w:t>
      </w:r>
    </w:p>
    <w:p w:rsidR="00AF6E7E" w:rsidRPr="00D13236" w:rsidRDefault="00AF6E7E" w:rsidP="00D13236">
      <w:pPr>
        <w:pStyle w:val="paragraph"/>
      </w:pPr>
      <w:r w:rsidRPr="00D13236">
        <w:tab/>
        <w:t>(a)</w:t>
      </w:r>
      <w:r w:rsidRPr="00D13236">
        <w:tab/>
        <w:t>a provision of Subdivision A of Division</w:t>
      </w:r>
      <w:r w:rsidR="00D13236" w:rsidRPr="00D13236">
        <w:t> </w:t>
      </w:r>
      <w:r w:rsidRPr="00D13236">
        <w:t xml:space="preserve">72 of the </w:t>
      </w:r>
      <w:r w:rsidRPr="00D13236">
        <w:rPr>
          <w:i/>
        </w:rPr>
        <w:t>Criminal Code</w:t>
      </w:r>
      <w:r w:rsidR="00B94E02" w:rsidRPr="00D13236">
        <w:rPr>
          <w:i/>
        </w:rPr>
        <w:t xml:space="preserve"> </w:t>
      </w:r>
      <w:r w:rsidR="00B94E02" w:rsidRPr="00D13236">
        <w:t>(explosives and lethal devices)</w:t>
      </w:r>
      <w:r w:rsidRPr="00D13236">
        <w:t>;</w:t>
      </w:r>
    </w:p>
    <w:p w:rsidR="00AF6E7E" w:rsidRPr="00D13236" w:rsidRDefault="00AF6E7E" w:rsidP="00D13236">
      <w:pPr>
        <w:pStyle w:val="paragraph"/>
      </w:pPr>
      <w:r w:rsidRPr="00D13236">
        <w:tab/>
        <w:t>(b)</w:t>
      </w:r>
      <w:r w:rsidRPr="00D13236">
        <w:tab/>
        <w:t>a provision of Subdivision B of Division</w:t>
      </w:r>
      <w:r w:rsidR="00D13236" w:rsidRPr="00D13236">
        <w:t> </w:t>
      </w:r>
      <w:r w:rsidRPr="00D13236">
        <w:t xml:space="preserve">80 of the </w:t>
      </w:r>
      <w:r w:rsidRPr="00D13236">
        <w:rPr>
          <w:i/>
        </w:rPr>
        <w:t>Criminal Code</w:t>
      </w:r>
      <w:r w:rsidRPr="00D13236">
        <w:t xml:space="preserve"> (treason);</w:t>
      </w:r>
    </w:p>
    <w:p w:rsidR="00AF6E7E" w:rsidRPr="00D13236" w:rsidRDefault="00AF6E7E" w:rsidP="00D13236">
      <w:pPr>
        <w:pStyle w:val="paragraph"/>
      </w:pPr>
      <w:r w:rsidRPr="00D13236">
        <w:tab/>
        <w:t>(c)</w:t>
      </w:r>
      <w:r w:rsidRPr="00D13236">
        <w:tab/>
        <w:t>a provision of Division</w:t>
      </w:r>
      <w:r w:rsidR="00D13236" w:rsidRPr="00D13236">
        <w:t> </w:t>
      </w:r>
      <w:r w:rsidRPr="00D13236">
        <w:t xml:space="preserve">82 of the </w:t>
      </w:r>
      <w:r w:rsidRPr="00D13236">
        <w:rPr>
          <w:i/>
        </w:rPr>
        <w:t>Criminal Code</w:t>
      </w:r>
      <w:r w:rsidRPr="00D13236">
        <w:t xml:space="preserve"> (sabotage)</w:t>
      </w:r>
      <w:r w:rsidR="00355D76" w:rsidRPr="00D13236">
        <w:t>,</w:t>
      </w:r>
      <w:r w:rsidRPr="00D13236">
        <w:t xml:space="preserve"> other than section</w:t>
      </w:r>
      <w:r w:rsidR="00D13236" w:rsidRPr="00D13236">
        <w:t> </w:t>
      </w:r>
      <w:r w:rsidRPr="00D13236">
        <w:t>82</w:t>
      </w:r>
      <w:r w:rsidR="0015304A" w:rsidRPr="00D13236">
        <w:t>.</w:t>
      </w:r>
      <w:r w:rsidRPr="00D13236">
        <w:t>9;</w:t>
      </w:r>
    </w:p>
    <w:p w:rsidR="00AF6E7E" w:rsidRPr="00D13236" w:rsidRDefault="00AF6E7E" w:rsidP="00D13236">
      <w:pPr>
        <w:pStyle w:val="paragraph"/>
      </w:pPr>
      <w:r w:rsidRPr="00D13236">
        <w:tab/>
        <w:t>(d)</w:t>
      </w:r>
      <w:r w:rsidRPr="00D13236">
        <w:tab/>
        <w:t>a provision of Division</w:t>
      </w:r>
      <w:r w:rsidR="00D13236" w:rsidRPr="00D13236">
        <w:t> </w:t>
      </w:r>
      <w:r w:rsidRPr="00D13236">
        <w:t xml:space="preserve">91 of the </w:t>
      </w:r>
      <w:r w:rsidRPr="00D13236">
        <w:rPr>
          <w:i/>
        </w:rPr>
        <w:t>Criminal Code</w:t>
      </w:r>
      <w:r w:rsidRPr="00D13236">
        <w:t xml:space="preserve"> (espionage);</w:t>
      </w:r>
    </w:p>
    <w:p w:rsidR="00AF6E7E" w:rsidRPr="00D13236" w:rsidRDefault="00AF6E7E" w:rsidP="00D13236">
      <w:pPr>
        <w:pStyle w:val="paragraph"/>
      </w:pPr>
      <w:r w:rsidRPr="00D13236">
        <w:tab/>
        <w:t>(e)</w:t>
      </w:r>
      <w:r w:rsidRPr="00D13236">
        <w:tab/>
        <w:t>a provision of Division</w:t>
      </w:r>
      <w:r w:rsidR="00D13236" w:rsidRPr="00D13236">
        <w:t> </w:t>
      </w:r>
      <w:r w:rsidRPr="00D13236">
        <w:t xml:space="preserve">92 of the </w:t>
      </w:r>
      <w:r w:rsidRPr="00D13236">
        <w:rPr>
          <w:i/>
        </w:rPr>
        <w:t>Criminal Code</w:t>
      </w:r>
      <w:r w:rsidRPr="00D13236">
        <w:t xml:space="preserve"> (foreign interference);</w:t>
      </w:r>
    </w:p>
    <w:p w:rsidR="00AF6E7E" w:rsidRPr="00D13236" w:rsidRDefault="00AF6E7E" w:rsidP="00D13236">
      <w:pPr>
        <w:pStyle w:val="paragraph"/>
      </w:pPr>
      <w:r w:rsidRPr="00D13236">
        <w:tab/>
        <w:t>(f)</w:t>
      </w:r>
      <w:r w:rsidRPr="00D13236">
        <w:tab/>
        <w:t>a provision of Part</w:t>
      </w:r>
      <w:r w:rsidR="00D13236" w:rsidRPr="00D13236">
        <w:t> </w:t>
      </w:r>
      <w:r w:rsidRPr="00D13236">
        <w:t>5</w:t>
      </w:r>
      <w:r w:rsidR="0015304A" w:rsidRPr="00D13236">
        <w:t>.</w:t>
      </w:r>
      <w:r w:rsidRPr="00D13236">
        <w:t xml:space="preserve">3 of the </w:t>
      </w:r>
      <w:r w:rsidRPr="00D13236">
        <w:rPr>
          <w:i/>
        </w:rPr>
        <w:t>Criminal Code</w:t>
      </w:r>
      <w:r w:rsidRPr="00D13236">
        <w:t xml:space="preserve"> </w:t>
      </w:r>
      <w:r w:rsidR="00355D76" w:rsidRPr="00D13236">
        <w:t xml:space="preserve">(terrorism), other than </w:t>
      </w:r>
      <w:r w:rsidRPr="00D13236">
        <w:t>section</w:t>
      </w:r>
      <w:r w:rsidR="00D13236" w:rsidRPr="00D13236">
        <w:t> </w:t>
      </w:r>
      <w:r w:rsidRPr="00D13236">
        <w:t>102</w:t>
      </w:r>
      <w:r w:rsidR="0015304A" w:rsidRPr="00D13236">
        <w:t>.</w:t>
      </w:r>
      <w:r w:rsidRPr="00D13236">
        <w:t>8 or Division</w:t>
      </w:r>
      <w:r w:rsidR="00D13236" w:rsidRPr="00D13236">
        <w:t> </w:t>
      </w:r>
      <w:r w:rsidR="00355D76" w:rsidRPr="00D13236">
        <w:t>104 or 105</w:t>
      </w:r>
      <w:r w:rsidRPr="00D13236">
        <w:t>;</w:t>
      </w:r>
    </w:p>
    <w:p w:rsidR="00AF6E7E" w:rsidRPr="00D13236" w:rsidRDefault="00AF6E7E" w:rsidP="00D13236">
      <w:pPr>
        <w:pStyle w:val="paragraph"/>
      </w:pPr>
      <w:r w:rsidRPr="00D13236">
        <w:tab/>
        <w:t>(g)</w:t>
      </w:r>
      <w:r w:rsidRPr="00D13236">
        <w:tab/>
        <w:t>a provision of Part</w:t>
      </w:r>
      <w:r w:rsidR="00D13236" w:rsidRPr="00D13236">
        <w:t> </w:t>
      </w:r>
      <w:r w:rsidRPr="00D13236">
        <w:t>5</w:t>
      </w:r>
      <w:r w:rsidR="0015304A" w:rsidRPr="00D13236">
        <w:t>.</w:t>
      </w:r>
      <w:r w:rsidRPr="00D13236">
        <w:t xml:space="preserve">5 of the </w:t>
      </w:r>
      <w:r w:rsidRPr="00D13236">
        <w:rPr>
          <w:i/>
        </w:rPr>
        <w:t>Criminal Code</w:t>
      </w:r>
      <w:r w:rsidR="00355D76" w:rsidRPr="00D13236">
        <w:t xml:space="preserve"> (foreign incursions and recruitment)</w:t>
      </w:r>
      <w:r w:rsidRPr="00D13236">
        <w:t>;</w:t>
      </w:r>
    </w:p>
    <w:p w:rsidR="00AF6E7E" w:rsidRPr="00D13236" w:rsidRDefault="00AF6E7E" w:rsidP="00D13236">
      <w:pPr>
        <w:pStyle w:val="paragraph"/>
      </w:pPr>
      <w:r w:rsidRPr="00D13236">
        <w:tab/>
        <w:t>(h)</w:t>
      </w:r>
      <w:r w:rsidRPr="00D13236">
        <w:tab/>
        <w:t>section</w:t>
      </w:r>
      <w:r w:rsidR="00D13236" w:rsidRPr="00D13236">
        <w:t> </w:t>
      </w:r>
      <w:r w:rsidRPr="00D13236">
        <w:t xml:space="preserve">6 or 7 of the repealed </w:t>
      </w:r>
      <w:r w:rsidRPr="00D13236">
        <w:rPr>
          <w:i/>
        </w:rPr>
        <w:t>Crimes (Foreign Incursions and Recruitment) Act 1978</w:t>
      </w:r>
      <w:r w:rsidR="0015304A" w:rsidRPr="00D13236">
        <w:t>.</w:t>
      </w:r>
    </w:p>
    <w:p w:rsidR="00C24F7A" w:rsidRPr="00D13236" w:rsidRDefault="00C24F7A" w:rsidP="00D13236">
      <w:pPr>
        <w:pStyle w:val="notetext"/>
      </w:pPr>
      <w:r w:rsidRPr="00D13236">
        <w:t>Note:</w:t>
      </w:r>
      <w:r w:rsidRPr="00D13236">
        <w:tab/>
        <w:t xml:space="preserve">A determination may be made </w:t>
      </w:r>
      <w:r w:rsidR="00E45CD3" w:rsidRPr="00D13236">
        <w:t xml:space="preserve">in relation to a conviction for an offence against a provision specified in </w:t>
      </w:r>
      <w:r w:rsidR="00D13236" w:rsidRPr="00D13236">
        <w:t>subsection (</w:t>
      </w:r>
      <w:r w:rsidR="00E45CD3" w:rsidRPr="00D13236">
        <w:t xml:space="preserve">5) that occurred before the subsection commenced </w:t>
      </w:r>
      <w:r w:rsidRPr="00D13236">
        <w:t>(see item</w:t>
      </w:r>
      <w:r w:rsidR="00D13236" w:rsidRPr="00D13236">
        <w:t> </w:t>
      </w:r>
      <w:r w:rsidR="007F71A6" w:rsidRPr="00D13236">
        <w:t>19</w:t>
      </w:r>
      <w:r w:rsidRPr="00D13236">
        <w:t xml:space="preserve"> of Schedule</w:t>
      </w:r>
      <w:r w:rsidR="00D13236" w:rsidRPr="00D13236">
        <w:t> </w:t>
      </w:r>
      <w:r w:rsidRPr="00D13236">
        <w:t xml:space="preserve">1 to the </w:t>
      </w:r>
      <w:r w:rsidRPr="00D13236">
        <w:rPr>
          <w:i/>
        </w:rPr>
        <w:t>Australian Citizenship Amendment (Citizenship Cessation)</w:t>
      </w:r>
      <w:r w:rsidRPr="00D13236">
        <w:t xml:space="preserve"> </w:t>
      </w:r>
      <w:r w:rsidRPr="00D13236">
        <w:rPr>
          <w:i/>
        </w:rPr>
        <w:t>Act 20</w:t>
      </w:r>
      <w:r w:rsidR="00D21CCF">
        <w:rPr>
          <w:i/>
        </w:rPr>
        <w:t>20</w:t>
      </w:r>
      <w:r w:rsidRPr="00D13236">
        <w:t>)</w:t>
      </w:r>
      <w:r w:rsidR="0015304A" w:rsidRPr="00D13236">
        <w:t>.</w:t>
      </w:r>
    </w:p>
    <w:p w:rsidR="00716EB5" w:rsidRPr="00D13236" w:rsidRDefault="00716EB5" w:rsidP="00D13236">
      <w:pPr>
        <w:pStyle w:val="subsection"/>
      </w:pPr>
      <w:r w:rsidRPr="00D13236">
        <w:tab/>
        <w:t>(6)</w:t>
      </w:r>
      <w:r w:rsidRPr="00D13236">
        <w:tab/>
        <w:t>For the purpose</w:t>
      </w:r>
      <w:r w:rsidR="008B024F" w:rsidRPr="00D13236">
        <w:t>s</w:t>
      </w:r>
      <w:r w:rsidRPr="00D13236">
        <w:t xml:space="preserve"> of </w:t>
      </w:r>
      <w:r w:rsidR="00D13236" w:rsidRPr="00D13236">
        <w:t>paragraph (</w:t>
      </w:r>
      <w:r w:rsidRPr="00D13236">
        <w:t>1)(b):</w:t>
      </w:r>
    </w:p>
    <w:p w:rsidR="00716EB5" w:rsidRPr="00D13236" w:rsidRDefault="00716EB5" w:rsidP="00D13236">
      <w:pPr>
        <w:pStyle w:val="paragraph"/>
      </w:pPr>
      <w:r w:rsidRPr="00D13236">
        <w:tab/>
        <w:t>(a)</w:t>
      </w:r>
      <w:r w:rsidRPr="00D13236">
        <w:tab/>
        <w:t>the reference to being sentenced to a period of imprisonment does not include a suspended sentence; and</w:t>
      </w:r>
    </w:p>
    <w:p w:rsidR="00716EB5" w:rsidRPr="00D13236" w:rsidRDefault="00716EB5" w:rsidP="00D13236">
      <w:pPr>
        <w:pStyle w:val="paragraph"/>
      </w:pPr>
      <w:r w:rsidRPr="00D13236">
        <w:tab/>
        <w:t>(b)</w:t>
      </w:r>
      <w:r w:rsidRPr="00D13236">
        <w:tab/>
        <w:t xml:space="preserve">if a single sentence of imprisonment is imposed in respect of both an offence against a provision </w:t>
      </w:r>
      <w:r w:rsidR="005E24EB" w:rsidRPr="00D13236">
        <w:t xml:space="preserve">specified </w:t>
      </w:r>
      <w:r w:rsidRPr="00D13236">
        <w:t xml:space="preserve">in </w:t>
      </w:r>
      <w:r w:rsidR="00D13236" w:rsidRPr="00D13236">
        <w:t>subsection (</w:t>
      </w:r>
      <w:r w:rsidR="005E24EB" w:rsidRPr="00D13236">
        <w:t>5</w:t>
      </w:r>
      <w:r w:rsidRPr="00D13236">
        <w:t>) and in respect of one or more other offences, then:</w:t>
      </w:r>
    </w:p>
    <w:p w:rsidR="00716EB5" w:rsidRPr="00D13236" w:rsidRDefault="00716EB5" w:rsidP="00D13236">
      <w:pPr>
        <w:pStyle w:val="paragraphsub"/>
      </w:pPr>
      <w:r w:rsidRPr="00D13236">
        <w:tab/>
        <w:t>(</w:t>
      </w:r>
      <w:proofErr w:type="spellStart"/>
      <w:r w:rsidRPr="00D13236">
        <w:t>i</w:t>
      </w:r>
      <w:proofErr w:type="spellEnd"/>
      <w:r w:rsidRPr="00D13236">
        <w:t>)</w:t>
      </w:r>
      <w:r w:rsidRPr="00D13236">
        <w:tab/>
        <w:t xml:space="preserve">if it is clear that only a particular part of the total period of imprisonment relates to the offence against the provision </w:t>
      </w:r>
      <w:r w:rsidR="005E24EB" w:rsidRPr="00D13236">
        <w:t xml:space="preserve">specified in </w:t>
      </w:r>
      <w:r w:rsidR="00D13236" w:rsidRPr="00D13236">
        <w:t>subsection (</w:t>
      </w:r>
      <w:r w:rsidR="005E24EB" w:rsidRPr="00D13236">
        <w:t>5)</w:t>
      </w:r>
      <w:r w:rsidRPr="00D13236">
        <w:t>—the person is taken to have been sentenced to imprisonment in respect of that offence for that part of the total period of imprisonment; and</w:t>
      </w:r>
    </w:p>
    <w:p w:rsidR="00716EB5" w:rsidRPr="00D13236" w:rsidRDefault="00716EB5" w:rsidP="00D13236">
      <w:pPr>
        <w:pStyle w:val="paragraphsub"/>
      </w:pPr>
      <w:r w:rsidRPr="00D13236">
        <w:tab/>
        <w:t>(ii)</w:t>
      </w:r>
      <w:r w:rsidRPr="00D13236">
        <w:tab/>
        <w:t xml:space="preserve">if </w:t>
      </w:r>
      <w:r w:rsidR="00D13236" w:rsidRPr="00D13236">
        <w:t>subparagraph (</w:t>
      </w:r>
      <w:proofErr w:type="spellStart"/>
      <w:r w:rsidRPr="00D13236">
        <w:t>i</w:t>
      </w:r>
      <w:proofErr w:type="spellEnd"/>
      <w:r w:rsidRPr="00D13236">
        <w:t xml:space="preserve">) does not apply—the person is taken to have been sentenced to imprisonment in respect of the offence against the provision </w:t>
      </w:r>
      <w:r w:rsidR="005E24EB" w:rsidRPr="00D13236">
        <w:t xml:space="preserve">specified in </w:t>
      </w:r>
      <w:r w:rsidR="00D13236" w:rsidRPr="00D13236">
        <w:t>subsection (</w:t>
      </w:r>
      <w:r w:rsidR="005E24EB" w:rsidRPr="00D13236">
        <w:t>5</w:t>
      </w:r>
      <w:r w:rsidRPr="00D13236">
        <w:t>) for the whole of the total period of imprisonment</w:t>
      </w:r>
      <w:r w:rsidR="0015304A" w:rsidRPr="00D13236">
        <w:t>.</w:t>
      </w:r>
    </w:p>
    <w:p w:rsidR="00716EB5" w:rsidRPr="00D13236" w:rsidRDefault="00716EB5" w:rsidP="00D13236">
      <w:pPr>
        <w:pStyle w:val="SubsectionHead"/>
      </w:pPr>
      <w:r w:rsidRPr="00D13236">
        <w:t>General provisions relating to Minister</w:t>
      </w:r>
      <w:r w:rsidR="00D461AB" w:rsidRPr="00D13236">
        <w:t>’</w:t>
      </w:r>
      <w:r w:rsidRPr="00D13236">
        <w:t>s powers</w:t>
      </w:r>
    </w:p>
    <w:p w:rsidR="00716EB5" w:rsidRPr="00D13236" w:rsidRDefault="00716EB5" w:rsidP="00D13236">
      <w:pPr>
        <w:pStyle w:val="subsection"/>
      </w:pPr>
      <w:r w:rsidRPr="00D13236">
        <w:tab/>
        <w:t>(7)</w:t>
      </w:r>
      <w:r w:rsidRPr="00D13236">
        <w:tab/>
        <w:t>The powers of the Minister under this section may only be exercised by the Minister personally</w:t>
      </w:r>
      <w:r w:rsidR="0015304A" w:rsidRPr="00D13236">
        <w:t>.</w:t>
      </w:r>
    </w:p>
    <w:p w:rsidR="00716EB5" w:rsidRPr="00D13236" w:rsidRDefault="00716EB5" w:rsidP="00D13236">
      <w:pPr>
        <w:pStyle w:val="subsection"/>
      </w:pPr>
      <w:r w:rsidRPr="00D13236">
        <w:tab/>
        <w:t>(8)</w:t>
      </w:r>
      <w:r w:rsidRPr="00D13236">
        <w:tab/>
        <w:t>Section</w:t>
      </w:r>
      <w:r w:rsidR="00D13236" w:rsidRPr="00D13236">
        <w:t> </w:t>
      </w:r>
      <w:r w:rsidRPr="00D13236">
        <w:t>47 (notification of decisions) does not apply to a decision of the Minister under this section (see section</w:t>
      </w:r>
      <w:r w:rsidR="00D13236" w:rsidRPr="00D13236">
        <w:t> </w:t>
      </w:r>
      <w:r w:rsidR="0015304A" w:rsidRPr="00D13236">
        <w:t>36F</w:t>
      </w:r>
      <w:r w:rsidRPr="00D13236">
        <w:t xml:space="preserve"> instead)</w:t>
      </w:r>
      <w:r w:rsidR="0015304A" w:rsidRPr="00D13236">
        <w:t>.</w:t>
      </w:r>
    </w:p>
    <w:p w:rsidR="00716EB5" w:rsidRPr="00D13236" w:rsidRDefault="00716EB5" w:rsidP="00D13236">
      <w:pPr>
        <w:pStyle w:val="subsection"/>
      </w:pPr>
      <w:r w:rsidRPr="00D13236">
        <w:tab/>
        <w:t>(9)</w:t>
      </w:r>
      <w:r w:rsidRPr="00D13236">
        <w:tab/>
        <w:t>The rules of natural justice do not apply in relation to making a decision or exercising a power under this section</w:t>
      </w:r>
      <w:r w:rsidR="0015304A" w:rsidRPr="00D13236">
        <w:t>.</w:t>
      </w:r>
    </w:p>
    <w:p w:rsidR="00716EB5" w:rsidRPr="00D13236" w:rsidRDefault="00716EB5" w:rsidP="00D13236">
      <w:pPr>
        <w:pStyle w:val="subsection"/>
      </w:pPr>
      <w:r w:rsidRPr="00D13236">
        <w:tab/>
        <w:t>(10)</w:t>
      </w:r>
      <w:r w:rsidRPr="00D13236">
        <w:tab/>
        <w:t xml:space="preserve">A determination made under </w:t>
      </w:r>
      <w:r w:rsidR="00D13236" w:rsidRPr="00D13236">
        <w:t>subsection (</w:t>
      </w:r>
      <w:r w:rsidRPr="00D13236">
        <w:t>1) is not a legislative instrument</w:t>
      </w:r>
      <w:r w:rsidR="0015304A" w:rsidRPr="00D13236">
        <w:t>.</w:t>
      </w:r>
    </w:p>
    <w:p w:rsidR="00592018" w:rsidRPr="00D13236" w:rsidRDefault="0015304A" w:rsidP="00D13236">
      <w:pPr>
        <w:pStyle w:val="ActHead5"/>
      </w:pPr>
      <w:bookmarkStart w:id="17" w:name="_Toc51327903"/>
      <w:r w:rsidRPr="00D13236">
        <w:rPr>
          <w:rStyle w:val="CharSectno"/>
        </w:rPr>
        <w:t>36E</w:t>
      </w:r>
      <w:r w:rsidR="00592018" w:rsidRPr="00D13236">
        <w:t xml:space="preserve">  Public interest</w:t>
      </w:r>
      <w:r w:rsidR="00A01B63" w:rsidRPr="00D13236">
        <w:t xml:space="preserve"> in making or revoking citizenship </w:t>
      </w:r>
      <w:r w:rsidR="00000502" w:rsidRPr="00D13236">
        <w:t>cessation</w:t>
      </w:r>
      <w:r w:rsidR="00A01B63" w:rsidRPr="00D13236">
        <w:t xml:space="preserve"> determinations</w:t>
      </w:r>
      <w:bookmarkEnd w:id="17"/>
    </w:p>
    <w:p w:rsidR="009636E0" w:rsidRPr="00D13236" w:rsidRDefault="00C31D1B" w:rsidP="00D13236">
      <w:pPr>
        <w:pStyle w:val="subsection"/>
      </w:pPr>
      <w:r w:rsidRPr="00D13236">
        <w:tab/>
        <w:t>(1)</w:t>
      </w:r>
      <w:r w:rsidRPr="00D13236">
        <w:tab/>
        <w:t xml:space="preserve">This section applies </w:t>
      </w:r>
      <w:r w:rsidR="00AD5F37" w:rsidRPr="00D13236">
        <w:t>when</w:t>
      </w:r>
      <w:r w:rsidRPr="00D13236">
        <w:t xml:space="preserve"> the Minister is considering the public interest for the purposes of </w:t>
      </w:r>
      <w:r w:rsidR="0030199B" w:rsidRPr="00D13236">
        <w:t xml:space="preserve">deciding whether to </w:t>
      </w:r>
      <w:r w:rsidRPr="00D13236">
        <w:t>mak</w:t>
      </w:r>
      <w:r w:rsidR="0030199B" w:rsidRPr="00D13236">
        <w:t>e</w:t>
      </w:r>
      <w:r w:rsidRPr="00D13236">
        <w:t xml:space="preserve"> a determination under subsection</w:t>
      </w:r>
      <w:r w:rsidR="00D13236" w:rsidRPr="00D13236">
        <w:t> </w:t>
      </w:r>
      <w:r w:rsidR="0015304A" w:rsidRPr="00D13236">
        <w:t>36B</w:t>
      </w:r>
      <w:r w:rsidRPr="00D13236">
        <w:t xml:space="preserve">(1) or </w:t>
      </w:r>
      <w:r w:rsidR="0015304A" w:rsidRPr="00D13236">
        <w:t>36D</w:t>
      </w:r>
      <w:r w:rsidRPr="00D13236">
        <w:t>(1)</w:t>
      </w:r>
      <w:r w:rsidR="0030199B" w:rsidRPr="00D13236">
        <w:t xml:space="preserve">, or </w:t>
      </w:r>
      <w:r w:rsidR="003A4BA8" w:rsidRPr="00D13236">
        <w:t xml:space="preserve">whether to </w:t>
      </w:r>
      <w:r w:rsidR="0030199B" w:rsidRPr="00D13236">
        <w:t>revoke</w:t>
      </w:r>
      <w:r w:rsidR="00147677" w:rsidRPr="00D13236">
        <w:t xml:space="preserve"> such a determination</w:t>
      </w:r>
      <w:r w:rsidR="0015304A" w:rsidRPr="00D13236">
        <w:t>.</w:t>
      </w:r>
    </w:p>
    <w:p w:rsidR="009636E0" w:rsidRPr="00D13236" w:rsidRDefault="009636E0" w:rsidP="00D13236">
      <w:pPr>
        <w:pStyle w:val="notetext"/>
      </w:pPr>
      <w:r w:rsidRPr="00D13236">
        <w:t xml:space="preserve">Note: </w:t>
      </w:r>
      <w:r w:rsidRPr="00D13236">
        <w:tab/>
        <w:t xml:space="preserve">See paragraphs </w:t>
      </w:r>
      <w:r w:rsidR="0015304A" w:rsidRPr="00D13236">
        <w:t>36B</w:t>
      </w:r>
      <w:r w:rsidRPr="00D13236">
        <w:t xml:space="preserve">(1)(c), </w:t>
      </w:r>
      <w:r w:rsidR="0015304A" w:rsidRPr="00D13236">
        <w:t>36D</w:t>
      </w:r>
      <w:r w:rsidRPr="00D13236">
        <w:t xml:space="preserve">(1)(d) and </w:t>
      </w:r>
      <w:r w:rsidR="0015304A" w:rsidRPr="00D13236">
        <w:t>36H</w:t>
      </w:r>
      <w:r w:rsidRPr="00D13236">
        <w:t>(3)(b) and subsection</w:t>
      </w:r>
      <w:r w:rsidR="00D13236" w:rsidRPr="00D13236">
        <w:t> </w:t>
      </w:r>
      <w:r w:rsidR="0015304A" w:rsidRPr="00D13236">
        <w:t>36J</w:t>
      </w:r>
      <w:r w:rsidRPr="00D13236">
        <w:t>(1)</w:t>
      </w:r>
      <w:r w:rsidR="0015304A" w:rsidRPr="00D13236">
        <w:t>.</w:t>
      </w:r>
    </w:p>
    <w:p w:rsidR="00592018" w:rsidRPr="00D13236" w:rsidRDefault="00C31D1B" w:rsidP="00D13236">
      <w:pPr>
        <w:pStyle w:val="subsection"/>
      </w:pPr>
      <w:r w:rsidRPr="00D13236">
        <w:tab/>
        <w:t>(2)</w:t>
      </w:r>
      <w:r w:rsidRPr="00D13236">
        <w:tab/>
        <w:t>T</w:t>
      </w:r>
      <w:r w:rsidR="00592018" w:rsidRPr="00D13236">
        <w:t>he Minister must have regard to the following matters:</w:t>
      </w:r>
    </w:p>
    <w:p w:rsidR="00592018" w:rsidRPr="00D13236" w:rsidRDefault="006F16B8" w:rsidP="00D13236">
      <w:pPr>
        <w:pStyle w:val="paragraph"/>
      </w:pPr>
      <w:r w:rsidRPr="00D13236">
        <w:tab/>
        <w:t>(a)</w:t>
      </w:r>
      <w:r w:rsidRPr="00D13236">
        <w:tab/>
      </w:r>
      <w:r w:rsidR="005D7C67" w:rsidRPr="00D13236">
        <w:t>in deciding whether to make a determination under subsection</w:t>
      </w:r>
      <w:r w:rsidR="00D13236" w:rsidRPr="00D13236">
        <w:t> </w:t>
      </w:r>
      <w:r w:rsidR="0015304A" w:rsidRPr="00D13236">
        <w:t>36B</w:t>
      </w:r>
      <w:r w:rsidR="005D7C67" w:rsidRPr="00D13236">
        <w:t xml:space="preserve">(1) or revoke such a determination—the severity of </w:t>
      </w:r>
      <w:r w:rsidR="00C31D1B" w:rsidRPr="00D13236">
        <w:t xml:space="preserve">the </w:t>
      </w:r>
      <w:r w:rsidR="00BC3FEA" w:rsidRPr="00D13236">
        <w:t>conduct</w:t>
      </w:r>
      <w:r w:rsidR="00C31D1B" w:rsidRPr="00D13236">
        <w:t xml:space="preserve"> </w:t>
      </w:r>
      <w:r w:rsidR="00592018" w:rsidRPr="00D13236">
        <w:t xml:space="preserve">to which the </w:t>
      </w:r>
      <w:r w:rsidR="00C31D1B" w:rsidRPr="00D13236">
        <w:t>determination</w:t>
      </w:r>
      <w:r w:rsidR="0050047F" w:rsidRPr="00D13236">
        <w:t xml:space="preserve"> </w:t>
      </w:r>
      <w:r w:rsidR="003C7858" w:rsidRPr="00D13236">
        <w:t>relates</w:t>
      </w:r>
      <w:r w:rsidR="00592018" w:rsidRPr="00D13236">
        <w:t>;</w:t>
      </w:r>
    </w:p>
    <w:p w:rsidR="00C31D1B" w:rsidRPr="00D13236" w:rsidRDefault="006F16B8" w:rsidP="00D13236">
      <w:pPr>
        <w:pStyle w:val="paragraph"/>
      </w:pPr>
      <w:r w:rsidRPr="00D13236">
        <w:tab/>
        <w:t>(b)</w:t>
      </w:r>
      <w:r w:rsidRPr="00D13236">
        <w:tab/>
      </w:r>
      <w:r w:rsidR="005D7C67" w:rsidRPr="00D13236">
        <w:t xml:space="preserve">in deciding </w:t>
      </w:r>
      <w:r w:rsidR="0030199B" w:rsidRPr="00D13236">
        <w:t>whether to make</w:t>
      </w:r>
      <w:r w:rsidR="00C31D1B" w:rsidRPr="00D13236">
        <w:t xml:space="preserve"> a determination under subsection</w:t>
      </w:r>
      <w:r w:rsidR="00D13236" w:rsidRPr="00D13236">
        <w:t> </w:t>
      </w:r>
      <w:r w:rsidR="0015304A" w:rsidRPr="00D13236">
        <w:t>36D</w:t>
      </w:r>
      <w:r w:rsidR="00C31D1B" w:rsidRPr="00D13236">
        <w:t>(1)</w:t>
      </w:r>
      <w:r w:rsidR="0030199B" w:rsidRPr="00D13236">
        <w:t xml:space="preserve"> or revoke </w:t>
      </w:r>
      <w:r w:rsidR="00EC4479" w:rsidRPr="00D13236">
        <w:t>such a determination</w:t>
      </w:r>
      <w:r w:rsidR="00C31D1B" w:rsidRPr="00D13236">
        <w:t xml:space="preserve">—the </w:t>
      </w:r>
      <w:r w:rsidR="005D7C67" w:rsidRPr="00D13236">
        <w:t xml:space="preserve">severity of the </w:t>
      </w:r>
      <w:r w:rsidR="00C31D1B" w:rsidRPr="00D13236">
        <w:t>conduct that was the basis o</w:t>
      </w:r>
      <w:r w:rsidR="00AB7890" w:rsidRPr="00D13236">
        <w:t xml:space="preserve">f the conviction or convictions, and the sentence or sentences, </w:t>
      </w:r>
      <w:r w:rsidR="00C31D1B" w:rsidRPr="00D13236">
        <w:t>to which the determination relates;</w:t>
      </w:r>
    </w:p>
    <w:p w:rsidR="00592018" w:rsidRPr="00D13236" w:rsidRDefault="006F16B8" w:rsidP="00D13236">
      <w:pPr>
        <w:pStyle w:val="paragraph"/>
      </w:pPr>
      <w:r w:rsidRPr="00D13236">
        <w:tab/>
        <w:t>(c)</w:t>
      </w:r>
      <w:r w:rsidRPr="00D13236">
        <w:tab/>
      </w:r>
      <w:r w:rsidR="00592018" w:rsidRPr="00D13236">
        <w:t>the degree of threat posed by the person to the Australian community;</w:t>
      </w:r>
    </w:p>
    <w:p w:rsidR="00592018" w:rsidRPr="00D13236" w:rsidRDefault="006F16B8" w:rsidP="00D13236">
      <w:pPr>
        <w:pStyle w:val="paragraph"/>
      </w:pPr>
      <w:r w:rsidRPr="00D13236">
        <w:tab/>
        <w:t>(d)</w:t>
      </w:r>
      <w:r w:rsidRPr="00D13236">
        <w:tab/>
      </w:r>
      <w:r w:rsidR="00592018" w:rsidRPr="00D13236">
        <w:t>the age of the person;</w:t>
      </w:r>
    </w:p>
    <w:p w:rsidR="00592018" w:rsidRPr="00D13236" w:rsidRDefault="006F16B8" w:rsidP="00D13236">
      <w:pPr>
        <w:pStyle w:val="paragraph"/>
      </w:pPr>
      <w:r w:rsidRPr="00D13236">
        <w:tab/>
        <w:t>(e)</w:t>
      </w:r>
      <w:r w:rsidRPr="00D13236">
        <w:tab/>
      </w:r>
      <w:r w:rsidR="00592018" w:rsidRPr="00D13236">
        <w:t>if the person is</w:t>
      </w:r>
      <w:r w:rsidR="00AD5F37" w:rsidRPr="00D13236">
        <w:t xml:space="preserve"> </w:t>
      </w:r>
      <w:r w:rsidR="00592018" w:rsidRPr="00D13236">
        <w:t>aged under 18—the best interests of the child as a primary consideration;</w:t>
      </w:r>
    </w:p>
    <w:p w:rsidR="00592018" w:rsidRPr="00D13236" w:rsidRDefault="006F16B8" w:rsidP="00D13236">
      <w:pPr>
        <w:pStyle w:val="paragraph"/>
      </w:pPr>
      <w:r w:rsidRPr="00D13236">
        <w:tab/>
        <w:t>(f)</w:t>
      </w:r>
      <w:r w:rsidRPr="00D13236">
        <w:tab/>
      </w:r>
      <w:r w:rsidR="0030199B" w:rsidRPr="00D13236">
        <w:t>in deciding whether to make</w:t>
      </w:r>
      <w:r w:rsidR="00147677" w:rsidRPr="00D13236">
        <w:t xml:space="preserve"> a determination under subsection</w:t>
      </w:r>
      <w:r w:rsidR="00D13236" w:rsidRPr="00D13236">
        <w:t> </w:t>
      </w:r>
      <w:r w:rsidR="0015304A" w:rsidRPr="00D13236">
        <w:t>36B</w:t>
      </w:r>
      <w:r w:rsidR="00147677" w:rsidRPr="00D13236">
        <w:t xml:space="preserve">(1) </w:t>
      </w:r>
      <w:r w:rsidR="006413AE" w:rsidRPr="00D13236">
        <w:t>or revoke such a determination</w:t>
      </w:r>
      <w:r w:rsidR="00147677" w:rsidRPr="00D13236">
        <w:t>—</w:t>
      </w:r>
      <w:r w:rsidR="00592018" w:rsidRPr="00D13236">
        <w:t xml:space="preserve">whether the person is being or is likely to be prosecuted in relation to </w:t>
      </w:r>
      <w:r w:rsidR="00147677" w:rsidRPr="00D13236">
        <w:t>conduct to which the determination relates</w:t>
      </w:r>
      <w:r w:rsidR="00592018" w:rsidRPr="00D13236">
        <w:t>;</w:t>
      </w:r>
    </w:p>
    <w:p w:rsidR="00592018" w:rsidRPr="00D13236" w:rsidRDefault="006F16B8" w:rsidP="00D13236">
      <w:pPr>
        <w:pStyle w:val="paragraph"/>
      </w:pPr>
      <w:r w:rsidRPr="00D13236">
        <w:tab/>
        <w:t>(g)</w:t>
      </w:r>
      <w:r w:rsidRPr="00D13236">
        <w:tab/>
      </w:r>
      <w:r w:rsidR="00592018" w:rsidRPr="00D13236">
        <w:t>the person</w:t>
      </w:r>
      <w:r w:rsidR="00D461AB" w:rsidRPr="00D13236">
        <w:t>’</w:t>
      </w:r>
      <w:r w:rsidR="00592018" w:rsidRPr="00D13236">
        <w:t xml:space="preserve">s connection to </w:t>
      </w:r>
      <w:r w:rsidR="00E4307B" w:rsidRPr="00D13236">
        <w:t xml:space="preserve">the </w:t>
      </w:r>
      <w:r w:rsidR="00592018" w:rsidRPr="00D13236">
        <w:t>other country of which the person is a national or citizen and the availability of the rights of citizenship of that country to the person;</w:t>
      </w:r>
    </w:p>
    <w:p w:rsidR="006F16B8" w:rsidRPr="00D13236" w:rsidRDefault="006F16B8" w:rsidP="00D13236">
      <w:pPr>
        <w:pStyle w:val="paragraph"/>
      </w:pPr>
      <w:r w:rsidRPr="00D13236">
        <w:tab/>
        <w:t>(h)</w:t>
      </w:r>
      <w:r w:rsidRPr="00D13236">
        <w:tab/>
        <w:t>Australia</w:t>
      </w:r>
      <w:r w:rsidR="00D461AB" w:rsidRPr="00D13236">
        <w:t>’</w:t>
      </w:r>
      <w:r w:rsidRPr="00D13236">
        <w:t>s international relations;</w:t>
      </w:r>
    </w:p>
    <w:p w:rsidR="00592018" w:rsidRPr="00D13236" w:rsidRDefault="006F16B8" w:rsidP="00D13236">
      <w:pPr>
        <w:pStyle w:val="paragraph"/>
      </w:pPr>
      <w:r w:rsidRPr="00D13236">
        <w:tab/>
        <w:t>(</w:t>
      </w:r>
      <w:proofErr w:type="spellStart"/>
      <w:r w:rsidRPr="00D13236">
        <w:t>i</w:t>
      </w:r>
      <w:proofErr w:type="spellEnd"/>
      <w:r w:rsidRPr="00D13236">
        <w:t>)</w:t>
      </w:r>
      <w:r w:rsidRPr="00D13236">
        <w:tab/>
      </w:r>
      <w:r w:rsidR="00592018" w:rsidRPr="00D13236">
        <w:t>any other matters of public interest</w:t>
      </w:r>
      <w:r w:rsidR="0015304A" w:rsidRPr="00D13236">
        <w:t>.</w:t>
      </w:r>
    </w:p>
    <w:p w:rsidR="002D0CDC" w:rsidRPr="00D13236" w:rsidRDefault="0015304A" w:rsidP="00D13236">
      <w:pPr>
        <w:pStyle w:val="ActHead5"/>
      </w:pPr>
      <w:bookmarkStart w:id="18" w:name="_Toc51327904"/>
      <w:r w:rsidRPr="00D13236">
        <w:rPr>
          <w:rStyle w:val="CharSectno"/>
        </w:rPr>
        <w:t>36F</w:t>
      </w:r>
      <w:r w:rsidR="002D0CDC" w:rsidRPr="00D13236">
        <w:t xml:space="preserve">  Notice of </w:t>
      </w:r>
      <w:r w:rsidR="007D10C5" w:rsidRPr="00D13236">
        <w:t>citizenship</w:t>
      </w:r>
      <w:r w:rsidR="002D0CDC" w:rsidRPr="00D13236">
        <w:t xml:space="preserve"> </w:t>
      </w:r>
      <w:r w:rsidR="00000502" w:rsidRPr="00D13236">
        <w:t>cessation</w:t>
      </w:r>
      <w:bookmarkEnd w:id="18"/>
    </w:p>
    <w:p w:rsidR="006274BF" w:rsidRPr="00D13236" w:rsidRDefault="00A05AF6" w:rsidP="00D13236">
      <w:pPr>
        <w:pStyle w:val="SubsectionHead"/>
      </w:pPr>
      <w:r w:rsidRPr="00D13236">
        <w:t>Requir</w:t>
      </w:r>
      <w:r w:rsidR="00A545A7" w:rsidRPr="00D13236">
        <w:t>e</w:t>
      </w:r>
      <w:r w:rsidRPr="00D13236">
        <w:t>ment to give</w:t>
      </w:r>
      <w:r w:rsidR="006274BF" w:rsidRPr="00D13236">
        <w:t xml:space="preserve"> notice</w:t>
      </w:r>
    </w:p>
    <w:p w:rsidR="00AB7890" w:rsidRPr="00D13236" w:rsidRDefault="001D34C5" w:rsidP="00D13236">
      <w:pPr>
        <w:pStyle w:val="subsection"/>
      </w:pPr>
      <w:r w:rsidRPr="00D13236">
        <w:tab/>
        <w:t>(1)</w:t>
      </w:r>
      <w:r w:rsidRPr="00D13236">
        <w:tab/>
      </w:r>
      <w:r w:rsidR="002D0CDC" w:rsidRPr="00D13236">
        <w:t>If the Minister makes a determination under subsection</w:t>
      </w:r>
      <w:r w:rsidR="00D13236" w:rsidRPr="00D13236">
        <w:t> </w:t>
      </w:r>
      <w:r w:rsidR="0015304A" w:rsidRPr="00D13236">
        <w:t>36B</w:t>
      </w:r>
      <w:r w:rsidR="002D0CDC" w:rsidRPr="00D13236">
        <w:t>(1)</w:t>
      </w:r>
      <w:r w:rsidR="00065463" w:rsidRPr="00D13236">
        <w:t xml:space="preserve"> </w:t>
      </w:r>
      <w:r w:rsidR="002D0CDC" w:rsidRPr="00D13236">
        <w:t xml:space="preserve">or </w:t>
      </w:r>
      <w:r w:rsidR="0015304A" w:rsidRPr="00D13236">
        <w:t>36D</w:t>
      </w:r>
      <w:r w:rsidR="002D0CDC" w:rsidRPr="00D13236">
        <w:t>(1) because of which a person ceases to be an Australian citizen, the Minister</w:t>
      </w:r>
      <w:r w:rsidR="00AB7890" w:rsidRPr="00D13236">
        <w:t>:</w:t>
      </w:r>
    </w:p>
    <w:p w:rsidR="002D0CDC" w:rsidRPr="00D13236" w:rsidRDefault="002D0CDC" w:rsidP="00D13236">
      <w:pPr>
        <w:pStyle w:val="paragraph"/>
      </w:pPr>
      <w:r w:rsidRPr="00D13236">
        <w:tab/>
        <w:t>(a)</w:t>
      </w:r>
      <w:r w:rsidRPr="00D13236">
        <w:tab/>
        <w:t>must give written notice</w:t>
      </w:r>
      <w:r w:rsidR="007D10C5" w:rsidRPr="00D13236">
        <w:t xml:space="preserve"> </w:t>
      </w:r>
      <w:r w:rsidR="00A01B63" w:rsidRPr="00D13236">
        <w:t xml:space="preserve">of the determination </w:t>
      </w:r>
      <w:r w:rsidRPr="00D13236">
        <w:t>to the person:</w:t>
      </w:r>
    </w:p>
    <w:p w:rsidR="002D0CDC" w:rsidRPr="00D13236" w:rsidRDefault="002D0CDC" w:rsidP="00D13236">
      <w:pPr>
        <w:pStyle w:val="paragraphsub"/>
      </w:pPr>
      <w:r w:rsidRPr="00D13236">
        <w:tab/>
        <w:t>(</w:t>
      </w:r>
      <w:proofErr w:type="spellStart"/>
      <w:r w:rsidRPr="00D13236">
        <w:t>i</w:t>
      </w:r>
      <w:proofErr w:type="spellEnd"/>
      <w:r w:rsidRPr="00D13236">
        <w:t>)</w:t>
      </w:r>
      <w:r w:rsidRPr="00D13236">
        <w:tab/>
        <w:t>as soon as practicable</w:t>
      </w:r>
      <w:r w:rsidR="00D048A6" w:rsidRPr="00D13236">
        <w:t xml:space="preserve"> after the determination is made</w:t>
      </w:r>
      <w:r w:rsidRPr="00D13236">
        <w:t>; or</w:t>
      </w:r>
    </w:p>
    <w:p w:rsidR="002D0CDC" w:rsidRPr="00D13236" w:rsidRDefault="002D0CDC" w:rsidP="00D13236">
      <w:pPr>
        <w:pStyle w:val="paragraphsub"/>
      </w:pPr>
      <w:r w:rsidRPr="00D13236">
        <w:tab/>
        <w:t>(ii)</w:t>
      </w:r>
      <w:r w:rsidRPr="00D13236">
        <w:tab/>
        <w:t xml:space="preserve">if the Minister </w:t>
      </w:r>
      <w:r w:rsidR="00A01B63" w:rsidRPr="00D13236">
        <w:t>makes</w:t>
      </w:r>
      <w:r w:rsidRPr="00D13236">
        <w:t xml:space="preserve"> a determination under </w:t>
      </w:r>
      <w:r w:rsidR="00DD1BBF" w:rsidRPr="00D13236">
        <w:t>subsection</w:t>
      </w:r>
      <w:r w:rsidR="00D13236" w:rsidRPr="00D13236">
        <w:t> </w:t>
      </w:r>
      <w:r w:rsidR="0015304A" w:rsidRPr="00D13236">
        <w:t>36G</w:t>
      </w:r>
      <w:r w:rsidR="00DD1BBF" w:rsidRPr="00D13236">
        <w:t>(</w:t>
      </w:r>
      <w:r w:rsidR="00040028" w:rsidRPr="00D13236">
        <w:t>1</w:t>
      </w:r>
      <w:r w:rsidRPr="00D13236">
        <w:t>)</w:t>
      </w:r>
      <w:r w:rsidR="00AB7890" w:rsidRPr="00D13236">
        <w:t xml:space="preserve"> </w:t>
      </w:r>
      <w:r w:rsidR="00FC6EF5" w:rsidRPr="00D13236">
        <w:t>(</w:t>
      </w:r>
      <w:r w:rsidR="00AB7890" w:rsidRPr="00D13236">
        <w:t>that notice should not be given to the person</w:t>
      </w:r>
      <w:r w:rsidR="00FC6EF5" w:rsidRPr="00D13236">
        <w:t>)</w:t>
      </w:r>
      <w:r w:rsidRPr="00D13236">
        <w:t>—as soon as practicabl</w:t>
      </w:r>
      <w:r w:rsidR="00A01B63" w:rsidRPr="00D13236">
        <w:t xml:space="preserve">e after the </w:t>
      </w:r>
      <w:r w:rsidR="00701564" w:rsidRPr="00D13236">
        <w:t>determination</w:t>
      </w:r>
      <w:r w:rsidR="00067971" w:rsidRPr="00D13236">
        <w:t xml:space="preserve"> under </w:t>
      </w:r>
      <w:r w:rsidR="00D90626" w:rsidRPr="00D13236">
        <w:t>that subsection</w:t>
      </w:r>
      <w:r w:rsidR="00701564" w:rsidRPr="00D13236">
        <w:t xml:space="preserve"> is revoked</w:t>
      </w:r>
      <w:r w:rsidRPr="00D13236">
        <w:t>; and</w:t>
      </w:r>
    </w:p>
    <w:p w:rsidR="002D0CDC" w:rsidRPr="00D13236" w:rsidRDefault="002D0CDC" w:rsidP="00D13236">
      <w:pPr>
        <w:pStyle w:val="paragraph"/>
      </w:pPr>
      <w:r w:rsidRPr="00D13236">
        <w:tab/>
        <w:t>(b)</w:t>
      </w:r>
      <w:r w:rsidRPr="00D13236">
        <w:tab/>
        <w:t xml:space="preserve">may give notice </w:t>
      </w:r>
      <w:r w:rsidR="00A01B63" w:rsidRPr="00D13236">
        <w:t>of the determination</w:t>
      </w:r>
      <w:r w:rsidRPr="00D13236">
        <w:t xml:space="preserve"> to such other persons and at such time as the Minister considers appropriate</w:t>
      </w:r>
      <w:r w:rsidR="0015304A" w:rsidRPr="00D13236">
        <w:t>.</w:t>
      </w:r>
    </w:p>
    <w:p w:rsidR="006274BF" w:rsidRPr="00D13236" w:rsidRDefault="006274BF" w:rsidP="00D13236">
      <w:pPr>
        <w:pStyle w:val="SubsectionHead"/>
      </w:pPr>
      <w:r w:rsidRPr="00D13236">
        <w:t>Method for giving notice</w:t>
      </w:r>
    </w:p>
    <w:p w:rsidR="00EF26DF" w:rsidRPr="00D13236" w:rsidRDefault="001D34C5" w:rsidP="00D13236">
      <w:pPr>
        <w:pStyle w:val="subsection"/>
      </w:pPr>
      <w:r w:rsidRPr="00D13236">
        <w:tab/>
        <w:t>(2)</w:t>
      </w:r>
      <w:r w:rsidRPr="00D13236">
        <w:tab/>
      </w:r>
      <w:r w:rsidR="00EF26DF" w:rsidRPr="00D13236">
        <w:t xml:space="preserve">A notice under </w:t>
      </w:r>
      <w:r w:rsidR="00D13236" w:rsidRPr="00D13236">
        <w:t>paragraph (</w:t>
      </w:r>
      <w:r w:rsidR="00EF26DF" w:rsidRPr="00D13236">
        <w:t>1)(a)</w:t>
      </w:r>
      <w:r w:rsidR="00C06D14" w:rsidRPr="00D13236">
        <w:t xml:space="preserve"> </w:t>
      </w:r>
      <w:r w:rsidR="00EF26DF" w:rsidRPr="00D13236">
        <w:t>must be given to the person by sending it by pre</w:t>
      </w:r>
      <w:r w:rsidR="00D13236">
        <w:noBreakHyphen/>
      </w:r>
      <w:r w:rsidR="00EF26DF" w:rsidRPr="00D13236">
        <w:t>paid post to the address of the place of residence of the person last known to the Department</w:t>
      </w:r>
      <w:r w:rsidR="0015304A" w:rsidRPr="00D13236">
        <w:t>.</w:t>
      </w:r>
    </w:p>
    <w:p w:rsidR="001D34C5" w:rsidRPr="00D13236" w:rsidRDefault="001D34C5" w:rsidP="00D13236">
      <w:pPr>
        <w:pStyle w:val="subsection"/>
      </w:pPr>
      <w:r w:rsidRPr="00D13236">
        <w:tab/>
        <w:t>(3)</w:t>
      </w:r>
      <w:r w:rsidRPr="00D13236">
        <w:tab/>
        <w:t xml:space="preserve">The Minister may, after giving the notice in accordance with </w:t>
      </w:r>
      <w:r w:rsidR="00D13236" w:rsidRPr="00D13236">
        <w:t>subsection (</w:t>
      </w:r>
      <w:r w:rsidRPr="00D13236">
        <w:t xml:space="preserve">2), </w:t>
      </w:r>
      <w:r w:rsidR="00C92E55" w:rsidRPr="00D13236">
        <w:t xml:space="preserve">give the notice again by sending it </w:t>
      </w:r>
      <w:r w:rsidRPr="00D13236">
        <w:t>to an electronic address for the person if:</w:t>
      </w:r>
    </w:p>
    <w:p w:rsidR="008764A4" w:rsidRPr="00D13236" w:rsidRDefault="008764A4" w:rsidP="00D13236">
      <w:pPr>
        <w:pStyle w:val="paragraph"/>
      </w:pPr>
      <w:r w:rsidRPr="00D13236">
        <w:tab/>
        <w:t>(a)</w:t>
      </w:r>
      <w:r w:rsidRPr="00D13236">
        <w:tab/>
        <w:t>the Minister is satisfied the person did not receive the notice given in accordance with that subsection; and</w:t>
      </w:r>
    </w:p>
    <w:p w:rsidR="001D34C5" w:rsidRPr="00D13236" w:rsidRDefault="008764A4" w:rsidP="00D13236">
      <w:pPr>
        <w:pStyle w:val="paragraph"/>
      </w:pPr>
      <w:r w:rsidRPr="00D13236">
        <w:tab/>
        <w:t>(b</w:t>
      </w:r>
      <w:r w:rsidR="001D34C5" w:rsidRPr="00D13236">
        <w:t>)</w:t>
      </w:r>
      <w:r w:rsidR="001D34C5" w:rsidRPr="00D13236">
        <w:tab/>
      </w:r>
      <w:r w:rsidR="00491FA4" w:rsidRPr="00D13236">
        <w:t xml:space="preserve">the Minister has become </w:t>
      </w:r>
      <w:r w:rsidR="001D34C5" w:rsidRPr="00D13236">
        <w:t>aware of the electr</w:t>
      </w:r>
      <w:r w:rsidRPr="00D13236">
        <w:t>onic address for the person</w:t>
      </w:r>
      <w:r w:rsidR="0015304A" w:rsidRPr="00D13236">
        <w:t>.</w:t>
      </w:r>
    </w:p>
    <w:p w:rsidR="001D34C5" w:rsidRPr="00D13236" w:rsidRDefault="001D34C5" w:rsidP="00D13236">
      <w:pPr>
        <w:pStyle w:val="subsection"/>
      </w:pPr>
      <w:r w:rsidRPr="00D13236">
        <w:tab/>
        <w:t>(4)</w:t>
      </w:r>
      <w:r w:rsidRPr="00D13236">
        <w:tab/>
        <w:t xml:space="preserve">Despite </w:t>
      </w:r>
      <w:r w:rsidR="00D13236" w:rsidRPr="00D13236">
        <w:t>subsection (</w:t>
      </w:r>
      <w:r w:rsidRPr="00D13236">
        <w:t xml:space="preserve">2), the Minister may </w:t>
      </w:r>
      <w:r w:rsidR="004A0AE1" w:rsidRPr="00D13236">
        <w:t>give</w:t>
      </w:r>
      <w:r w:rsidRPr="00D13236">
        <w:t xml:space="preserve"> the notice </w:t>
      </w:r>
      <w:r w:rsidR="004A0AE1" w:rsidRPr="00D13236">
        <w:t xml:space="preserve">by sending it </w:t>
      </w:r>
      <w:r w:rsidRPr="00D13236">
        <w:t xml:space="preserve">to an electronic address for the person without </w:t>
      </w:r>
      <w:r w:rsidR="00491FA4" w:rsidRPr="00D13236">
        <w:t>sending</w:t>
      </w:r>
      <w:r w:rsidRPr="00D13236">
        <w:t xml:space="preserve"> it in accordance with </w:t>
      </w:r>
      <w:r w:rsidR="0090669E" w:rsidRPr="00D13236">
        <w:t xml:space="preserve">that </w:t>
      </w:r>
      <w:r w:rsidR="00357587" w:rsidRPr="00D13236">
        <w:t>subsection</w:t>
      </w:r>
      <w:r w:rsidRPr="00D13236">
        <w:t xml:space="preserve"> if:</w:t>
      </w:r>
    </w:p>
    <w:p w:rsidR="001D34C5" w:rsidRPr="00D13236" w:rsidRDefault="001D34C5" w:rsidP="00D13236">
      <w:pPr>
        <w:pStyle w:val="paragraph"/>
      </w:pPr>
      <w:r w:rsidRPr="00D13236">
        <w:tab/>
        <w:t>(a)</w:t>
      </w:r>
      <w:r w:rsidRPr="00D13236">
        <w:tab/>
        <w:t>the Minister becomes aware of the electronic address for the person while a determination is in force under subsection</w:t>
      </w:r>
      <w:r w:rsidR="00D13236" w:rsidRPr="00D13236">
        <w:t> </w:t>
      </w:r>
      <w:r w:rsidR="0015304A" w:rsidRPr="00D13236">
        <w:t>36G</w:t>
      </w:r>
      <w:r w:rsidRPr="00D13236">
        <w:t>(1) (that notice should not be given to the person); and</w:t>
      </w:r>
    </w:p>
    <w:p w:rsidR="001D34C5" w:rsidRPr="00D13236" w:rsidRDefault="001D34C5" w:rsidP="00D13236">
      <w:pPr>
        <w:pStyle w:val="paragraph"/>
      </w:pPr>
      <w:r w:rsidRPr="00D13236">
        <w:tab/>
        <w:t>(b)</w:t>
      </w:r>
      <w:r w:rsidRPr="00D13236">
        <w:tab/>
      </w:r>
      <w:r w:rsidR="00ED58BB" w:rsidRPr="00D13236">
        <w:t>that</w:t>
      </w:r>
      <w:r w:rsidR="00491FA4" w:rsidRPr="00D13236">
        <w:t xml:space="preserve"> determination </w:t>
      </w:r>
      <w:r w:rsidR="00ED58BB" w:rsidRPr="00D13236">
        <w:t xml:space="preserve">is </w:t>
      </w:r>
      <w:r w:rsidRPr="00D13236">
        <w:t>revoked</w:t>
      </w:r>
      <w:r w:rsidR="0015304A" w:rsidRPr="00D13236">
        <w:t>.</w:t>
      </w:r>
    </w:p>
    <w:p w:rsidR="006274BF" w:rsidRPr="00D13236" w:rsidRDefault="006274BF" w:rsidP="00D13236">
      <w:pPr>
        <w:pStyle w:val="SubsectionHead"/>
      </w:pPr>
      <w:r w:rsidRPr="00D13236">
        <w:t>Content of notice</w:t>
      </w:r>
    </w:p>
    <w:p w:rsidR="002D0CDC" w:rsidRPr="00D13236" w:rsidRDefault="001D34C5" w:rsidP="00D13236">
      <w:pPr>
        <w:pStyle w:val="subsection"/>
      </w:pPr>
      <w:r w:rsidRPr="00D13236">
        <w:tab/>
        <w:t>(5)</w:t>
      </w:r>
      <w:r w:rsidRPr="00D13236">
        <w:tab/>
      </w:r>
      <w:r w:rsidR="002D0CDC" w:rsidRPr="00D13236">
        <w:t xml:space="preserve">A notice under </w:t>
      </w:r>
      <w:r w:rsidR="00D13236" w:rsidRPr="00D13236">
        <w:t>paragraph (</w:t>
      </w:r>
      <w:r w:rsidR="002D0CDC" w:rsidRPr="00D13236">
        <w:t>1)(a) must:</w:t>
      </w:r>
    </w:p>
    <w:p w:rsidR="002D0CDC" w:rsidRPr="00D13236" w:rsidRDefault="002D0CDC" w:rsidP="00D13236">
      <w:pPr>
        <w:pStyle w:val="paragraph"/>
      </w:pPr>
      <w:r w:rsidRPr="00D13236">
        <w:tab/>
        <w:t>(a)</w:t>
      </w:r>
      <w:r w:rsidRPr="00D13236">
        <w:tab/>
        <w:t>state that the Minister has determined under subsection</w:t>
      </w:r>
      <w:r w:rsidR="00D13236" w:rsidRPr="00D13236">
        <w:t> </w:t>
      </w:r>
      <w:r w:rsidR="0015304A" w:rsidRPr="00D13236">
        <w:t>36B</w:t>
      </w:r>
      <w:r w:rsidRPr="00D13236">
        <w:t xml:space="preserve">(1) or </w:t>
      </w:r>
      <w:r w:rsidR="0015304A" w:rsidRPr="00D13236">
        <w:t>36D</w:t>
      </w:r>
      <w:r w:rsidRPr="00D13236">
        <w:t>(1) (as applicable) that the person has ceased to be an Australian citizen; and</w:t>
      </w:r>
    </w:p>
    <w:p w:rsidR="00781AB0" w:rsidRPr="00D13236" w:rsidRDefault="00781AB0" w:rsidP="00D13236">
      <w:pPr>
        <w:pStyle w:val="paragraph"/>
      </w:pPr>
      <w:r w:rsidRPr="00D13236">
        <w:tab/>
        <w:t>(b)</w:t>
      </w:r>
      <w:r w:rsidRPr="00D13236">
        <w:tab/>
        <w:t>for a determination under subsection</w:t>
      </w:r>
      <w:r w:rsidR="00D13236" w:rsidRPr="00D13236">
        <w:t> </w:t>
      </w:r>
      <w:r w:rsidR="0015304A" w:rsidRPr="00D13236">
        <w:t>36B</w:t>
      </w:r>
      <w:r w:rsidR="00D863FC" w:rsidRPr="00D13236">
        <w:t>(1)</w:t>
      </w:r>
      <w:r w:rsidRPr="00D13236">
        <w:t>—contain a basic description of the conduct to which the determination rel</w:t>
      </w:r>
      <w:bookmarkStart w:id="19" w:name="OPCCaretCursor"/>
      <w:bookmarkEnd w:id="19"/>
      <w:r w:rsidRPr="00D13236">
        <w:t>ates; and</w:t>
      </w:r>
    </w:p>
    <w:p w:rsidR="00781AB0" w:rsidRPr="00D13236" w:rsidRDefault="00781AB0" w:rsidP="00D13236">
      <w:pPr>
        <w:pStyle w:val="paragraph"/>
      </w:pPr>
      <w:r w:rsidRPr="00D13236">
        <w:tab/>
        <w:t>(c)</w:t>
      </w:r>
      <w:r w:rsidRPr="00D13236">
        <w:tab/>
        <w:t>for a determination under subsection</w:t>
      </w:r>
      <w:r w:rsidR="00D13236" w:rsidRPr="00D13236">
        <w:t> </w:t>
      </w:r>
      <w:r w:rsidR="0015304A" w:rsidRPr="00D13236">
        <w:t>36D</w:t>
      </w:r>
      <w:r w:rsidRPr="00D13236">
        <w:t>(1)—specify the conviction or convictions, and sentence or sentences, to which the determination relates; and</w:t>
      </w:r>
    </w:p>
    <w:p w:rsidR="005045B8" w:rsidRPr="00D13236" w:rsidRDefault="005A3CD0" w:rsidP="00D13236">
      <w:pPr>
        <w:pStyle w:val="paragraph"/>
      </w:pPr>
      <w:r w:rsidRPr="00D13236">
        <w:tab/>
        <w:t>(d</w:t>
      </w:r>
      <w:r w:rsidR="001C248E" w:rsidRPr="00D13236">
        <w:t>)</w:t>
      </w:r>
      <w:r w:rsidR="001C248E" w:rsidRPr="00D13236">
        <w:tab/>
      </w:r>
      <w:r w:rsidR="005045B8" w:rsidRPr="00D13236">
        <w:t>specify the date of the notice; and</w:t>
      </w:r>
    </w:p>
    <w:p w:rsidR="002D0CDC" w:rsidRPr="00D13236" w:rsidRDefault="005045B8" w:rsidP="00D13236">
      <w:pPr>
        <w:pStyle w:val="paragraph"/>
      </w:pPr>
      <w:r w:rsidRPr="00D13236">
        <w:tab/>
        <w:t>(e)</w:t>
      </w:r>
      <w:r w:rsidRPr="00D13236">
        <w:tab/>
      </w:r>
      <w:r w:rsidR="002D0CDC" w:rsidRPr="00D13236">
        <w:t>set out the person</w:t>
      </w:r>
      <w:r w:rsidR="00D461AB" w:rsidRPr="00D13236">
        <w:t>’</w:t>
      </w:r>
      <w:r w:rsidR="002D0CDC" w:rsidRPr="00D13236">
        <w:t>s rights of review</w:t>
      </w:r>
      <w:r w:rsidR="0015304A" w:rsidRPr="00D13236">
        <w:t>.</w:t>
      </w:r>
    </w:p>
    <w:p w:rsidR="00CD17C5" w:rsidRPr="00D13236" w:rsidRDefault="001D34C5" w:rsidP="00D13236">
      <w:pPr>
        <w:pStyle w:val="subsection"/>
      </w:pPr>
      <w:r w:rsidRPr="00D13236">
        <w:tab/>
        <w:t>(6)</w:t>
      </w:r>
      <w:r w:rsidRPr="00D13236">
        <w:tab/>
      </w:r>
      <w:r w:rsidR="00CD17C5" w:rsidRPr="00D13236">
        <w:t xml:space="preserve">However, the notice must not contain information, or </w:t>
      </w:r>
      <w:r w:rsidR="001A4CFB" w:rsidRPr="00D13236">
        <w:t>content</w:t>
      </w:r>
      <w:r w:rsidR="00CD17C5" w:rsidRPr="00D13236">
        <w:t xml:space="preserve"> of a document, if:</w:t>
      </w:r>
    </w:p>
    <w:p w:rsidR="00CD17C5" w:rsidRPr="00D13236" w:rsidRDefault="00CD17C5" w:rsidP="00D13236">
      <w:pPr>
        <w:pStyle w:val="paragraph"/>
      </w:pPr>
      <w:r w:rsidRPr="00D13236">
        <w:tab/>
        <w:t>(a)</w:t>
      </w:r>
      <w:r w:rsidRPr="00D13236">
        <w:tab/>
        <w:t xml:space="preserve">the information or content includes any operationally sensitive information (within the meaning of the </w:t>
      </w:r>
      <w:r w:rsidRPr="00D13236">
        <w:rPr>
          <w:i/>
        </w:rPr>
        <w:t>Independent National Security Legislation Monitor Act 2010</w:t>
      </w:r>
      <w:r w:rsidRPr="00D13236">
        <w:t>); or</w:t>
      </w:r>
    </w:p>
    <w:p w:rsidR="00CD17C5" w:rsidRPr="00D13236" w:rsidRDefault="00CD17C5" w:rsidP="00D13236">
      <w:pPr>
        <w:pStyle w:val="paragraph"/>
      </w:pPr>
      <w:r w:rsidRPr="00D13236">
        <w:tab/>
        <w:t>(b)</w:t>
      </w:r>
      <w:r w:rsidRPr="00D13236">
        <w:tab/>
        <w:t xml:space="preserve">the disclosure of the information or content </w:t>
      </w:r>
      <w:r w:rsidR="00B34CAE" w:rsidRPr="00D13236">
        <w:t xml:space="preserve">could </w:t>
      </w:r>
      <w:r w:rsidRPr="00D13236">
        <w:t>prejudice:</w:t>
      </w:r>
    </w:p>
    <w:p w:rsidR="00CD17C5" w:rsidRPr="00D13236" w:rsidRDefault="00CD17C5" w:rsidP="00D13236">
      <w:pPr>
        <w:pStyle w:val="paragraphsub"/>
      </w:pPr>
      <w:r w:rsidRPr="00D13236">
        <w:tab/>
        <w:t>(</w:t>
      </w:r>
      <w:proofErr w:type="spellStart"/>
      <w:r w:rsidRPr="00D13236">
        <w:t>i</w:t>
      </w:r>
      <w:proofErr w:type="spellEnd"/>
      <w:r w:rsidRPr="00D13236">
        <w:t>)</w:t>
      </w:r>
      <w:r w:rsidRPr="00D13236">
        <w:tab/>
        <w:t>the security, defence or international relations of Australia; or</w:t>
      </w:r>
    </w:p>
    <w:p w:rsidR="00CD17C5" w:rsidRPr="00D13236" w:rsidRDefault="00CD17C5" w:rsidP="00D13236">
      <w:pPr>
        <w:pStyle w:val="paragraphsub"/>
      </w:pPr>
      <w:r w:rsidRPr="00D13236">
        <w:tab/>
        <w:t>(ii)</w:t>
      </w:r>
      <w:r w:rsidRPr="00D13236">
        <w:tab/>
        <w:t xml:space="preserve">the performance by a law enforcement or security agency (within the meaning of the </w:t>
      </w:r>
      <w:r w:rsidRPr="00D13236">
        <w:rPr>
          <w:i/>
        </w:rPr>
        <w:t>Independent National Security Legislation Monitor Act 2010</w:t>
      </w:r>
      <w:r w:rsidRPr="00D13236">
        <w:t>) of its functions; or</w:t>
      </w:r>
    </w:p>
    <w:p w:rsidR="00CD17C5" w:rsidRPr="00D13236" w:rsidRDefault="00CD17C5" w:rsidP="00D13236">
      <w:pPr>
        <w:pStyle w:val="paragraph"/>
      </w:pPr>
      <w:r w:rsidRPr="00D13236">
        <w:tab/>
        <w:t>(c)</w:t>
      </w:r>
      <w:r w:rsidRPr="00D13236">
        <w:tab/>
        <w:t xml:space="preserve">the disclosure of the information or content </w:t>
      </w:r>
      <w:r w:rsidR="00421639" w:rsidRPr="00D13236">
        <w:t>could</w:t>
      </w:r>
      <w:r w:rsidRPr="00D13236">
        <w:t xml:space="preserve"> endanger a person</w:t>
      </w:r>
      <w:r w:rsidR="00D461AB" w:rsidRPr="00D13236">
        <w:t>’</w:t>
      </w:r>
      <w:r w:rsidRPr="00D13236">
        <w:t>s safety; or</w:t>
      </w:r>
    </w:p>
    <w:p w:rsidR="00CD17C5" w:rsidRPr="00D13236" w:rsidRDefault="00CD17C5" w:rsidP="00D13236">
      <w:pPr>
        <w:pStyle w:val="paragraph"/>
      </w:pPr>
      <w:r w:rsidRPr="00D13236">
        <w:tab/>
        <w:t>(d)</w:t>
      </w:r>
      <w:r w:rsidRPr="00D13236">
        <w:tab/>
        <w:t>the disclosure of the information or content would be likely to be contrary to the public interest for any other reason</w:t>
      </w:r>
      <w:r w:rsidR="0015304A" w:rsidRPr="00D13236">
        <w:t>.</w:t>
      </w:r>
    </w:p>
    <w:p w:rsidR="006274BF" w:rsidRPr="00D13236" w:rsidRDefault="006274BF" w:rsidP="00D13236">
      <w:pPr>
        <w:pStyle w:val="SubsectionHead"/>
      </w:pPr>
      <w:r w:rsidRPr="00D13236">
        <w:t>General provisions relating to Minister</w:t>
      </w:r>
      <w:r w:rsidR="00D461AB" w:rsidRPr="00D13236">
        <w:t>’</w:t>
      </w:r>
      <w:r w:rsidRPr="00D13236">
        <w:t>s powers</w:t>
      </w:r>
    </w:p>
    <w:p w:rsidR="00040028" w:rsidRPr="00D13236" w:rsidRDefault="001D34C5" w:rsidP="00D13236">
      <w:pPr>
        <w:pStyle w:val="subsection"/>
      </w:pPr>
      <w:r w:rsidRPr="00D13236">
        <w:tab/>
        <w:t>(7)</w:t>
      </w:r>
      <w:r w:rsidRPr="00D13236">
        <w:tab/>
      </w:r>
      <w:r w:rsidR="00040028" w:rsidRPr="00D13236">
        <w:t>The rules of natural justice do not apply in relation to making a decision or exercising a power under this section</w:t>
      </w:r>
      <w:r w:rsidR="0015304A" w:rsidRPr="00D13236">
        <w:t>.</w:t>
      </w:r>
    </w:p>
    <w:p w:rsidR="007D10C5" w:rsidRPr="00D13236" w:rsidRDefault="0015304A" w:rsidP="00D13236">
      <w:pPr>
        <w:pStyle w:val="ActHead5"/>
      </w:pPr>
      <w:bookmarkStart w:id="20" w:name="_Toc51327905"/>
      <w:r w:rsidRPr="00D13236">
        <w:rPr>
          <w:rStyle w:val="CharSectno"/>
        </w:rPr>
        <w:t>36G</w:t>
      </w:r>
      <w:r w:rsidR="00040028" w:rsidRPr="00D13236">
        <w:t xml:space="preserve">  </w:t>
      </w:r>
      <w:r w:rsidR="007D10C5" w:rsidRPr="00D13236">
        <w:t>Determination that notice of citizenship</w:t>
      </w:r>
      <w:r w:rsidR="00A041E4" w:rsidRPr="00D13236">
        <w:t xml:space="preserve"> </w:t>
      </w:r>
      <w:r w:rsidR="00000502" w:rsidRPr="00D13236">
        <w:t>cessation</w:t>
      </w:r>
      <w:r w:rsidR="007D10C5" w:rsidRPr="00D13236">
        <w:t xml:space="preserve"> should not be given</w:t>
      </w:r>
      <w:bookmarkEnd w:id="20"/>
    </w:p>
    <w:p w:rsidR="002D0CDC" w:rsidRPr="00D13236" w:rsidRDefault="00257B35" w:rsidP="00D13236">
      <w:pPr>
        <w:pStyle w:val="subsection"/>
      </w:pPr>
      <w:r w:rsidRPr="00D13236">
        <w:tab/>
        <w:t>(1)</w:t>
      </w:r>
      <w:r w:rsidRPr="00D13236">
        <w:tab/>
      </w:r>
      <w:r w:rsidR="00D43E77" w:rsidRPr="00D13236">
        <w:t xml:space="preserve">The Minister may determine in writing that a notice under </w:t>
      </w:r>
      <w:r w:rsidR="00DD1BBF" w:rsidRPr="00D13236">
        <w:t>paragraph</w:t>
      </w:r>
      <w:r w:rsidR="00D13236" w:rsidRPr="00D13236">
        <w:t> </w:t>
      </w:r>
      <w:r w:rsidR="0015304A" w:rsidRPr="00D13236">
        <w:t>36F</w:t>
      </w:r>
      <w:r w:rsidR="00DD1BBF" w:rsidRPr="00D13236">
        <w:t>(</w:t>
      </w:r>
      <w:r w:rsidR="002D0CDC" w:rsidRPr="00D13236">
        <w:t>1</w:t>
      </w:r>
      <w:r w:rsidR="00D43E77" w:rsidRPr="00D13236">
        <w:t>)(a) should not be given to a person if the Minister is satisfied that giving the notic</w:t>
      </w:r>
      <w:r w:rsidR="00B34CAE" w:rsidRPr="00D13236">
        <w:t>e c</w:t>
      </w:r>
      <w:r w:rsidR="00D43E77" w:rsidRPr="00D13236">
        <w:t>ould prejudice the security, defence or international relations of Australia, or Australian law enforcement operations</w:t>
      </w:r>
      <w:r w:rsidR="0015304A" w:rsidRPr="00D13236">
        <w:t>.</w:t>
      </w:r>
    </w:p>
    <w:p w:rsidR="003112EB" w:rsidRPr="00D13236" w:rsidRDefault="00257B35" w:rsidP="00D13236">
      <w:pPr>
        <w:pStyle w:val="subsection"/>
      </w:pPr>
      <w:r w:rsidRPr="00D13236">
        <w:tab/>
        <w:t>(2)</w:t>
      </w:r>
      <w:r w:rsidRPr="00D13236">
        <w:tab/>
      </w:r>
      <w:r w:rsidR="003112EB" w:rsidRPr="00D13236">
        <w:t>The Minister mu</w:t>
      </w:r>
      <w:r w:rsidR="007C05CF" w:rsidRPr="00D13236">
        <w:t xml:space="preserve">st consider whether to revoke the </w:t>
      </w:r>
      <w:r w:rsidR="003112EB" w:rsidRPr="00D13236">
        <w:t>determination at least</w:t>
      </w:r>
      <w:r w:rsidR="00040028" w:rsidRPr="00D13236">
        <w:t xml:space="preserve"> every </w:t>
      </w:r>
      <w:r w:rsidR="00BE6875" w:rsidRPr="00D13236">
        <w:t xml:space="preserve">90 days </w:t>
      </w:r>
      <w:r w:rsidR="00040028" w:rsidRPr="00D13236">
        <w:t>after making it</w:t>
      </w:r>
      <w:r w:rsidR="0015304A" w:rsidRPr="00D13236">
        <w:t>.</w:t>
      </w:r>
    </w:p>
    <w:p w:rsidR="00040028" w:rsidRPr="00D13236" w:rsidRDefault="00257B35" w:rsidP="00D13236">
      <w:pPr>
        <w:pStyle w:val="subsection"/>
      </w:pPr>
      <w:r w:rsidRPr="00D13236">
        <w:tab/>
        <w:t>(3)</w:t>
      </w:r>
      <w:r w:rsidRPr="00D13236">
        <w:tab/>
      </w:r>
      <w:r w:rsidR="00040028" w:rsidRPr="00D13236">
        <w:t xml:space="preserve">If the Minister does not revoke the determination within 5 years of making it, the determination is taken to be revoked at the end of the 5 years unless the Minister </w:t>
      </w:r>
      <w:r w:rsidR="007A7AC0" w:rsidRPr="00D13236">
        <w:t xml:space="preserve">extends the </w:t>
      </w:r>
      <w:r w:rsidR="00040028" w:rsidRPr="00D13236">
        <w:t xml:space="preserve">determination under </w:t>
      </w:r>
      <w:r w:rsidR="00D13236" w:rsidRPr="00D13236">
        <w:t>subsection (</w:t>
      </w:r>
      <w:r w:rsidR="00040028" w:rsidRPr="00D13236">
        <w:t>4)</w:t>
      </w:r>
      <w:r w:rsidR="0015304A" w:rsidRPr="00D13236">
        <w:t>.</w:t>
      </w:r>
    </w:p>
    <w:p w:rsidR="007C05CF" w:rsidRPr="00D13236" w:rsidRDefault="00257B35" w:rsidP="00D13236">
      <w:pPr>
        <w:pStyle w:val="subsection"/>
      </w:pPr>
      <w:r w:rsidRPr="00D13236">
        <w:tab/>
        <w:t>(4)</w:t>
      </w:r>
      <w:r w:rsidRPr="00D13236">
        <w:tab/>
      </w:r>
      <w:r w:rsidR="007C05CF" w:rsidRPr="00D13236">
        <w:t xml:space="preserve">If, before the determination is taken to be revoked under </w:t>
      </w:r>
      <w:r w:rsidR="00D13236" w:rsidRPr="00D13236">
        <w:t>subsection (</w:t>
      </w:r>
      <w:r w:rsidR="007C05CF" w:rsidRPr="00D13236">
        <w:t xml:space="preserve">3), the Minister </w:t>
      </w:r>
      <w:r w:rsidR="006A172C" w:rsidRPr="00D13236">
        <w:t>remains</w:t>
      </w:r>
      <w:r w:rsidR="007C05CF" w:rsidRPr="00D13236">
        <w:t xml:space="preserve"> satisfied that giving the notice could prejudice the security, defence or international relations of Australia, or Australian law enforcement operations, the Minister may extend the determination for </w:t>
      </w:r>
      <w:r w:rsidR="001A4CFB" w:rsidRPr="00D13236">
        <w:t>1</w:t>
      </w:r>
      <w:r w:rsidR="007C05CF" w:rsidRPr="00D13236">
        <w:t xml:space="preserve"> year by making a determination in writing to that effect</w:t>
      </w:r>
      <w:r w:rsidR="0015304A" w:rsidRPr="00D13236">
        <w:t>.</w:t>
      </w:r>
    </w:p>
    <w:p w:rsidR="007A7AC0" w:rsidRPr="00D13236" w:rsidRDefault="00257B35" w:rsidP="00D13236">
      <w:pPr>
        <w:pStyle w:val="subsection"/>
      </w:pPr>
      <w:r w:rsidRPr="00D13236">
        <w:tab/>
        <w:t>(5)</w:t>
      </w:r>
      <w:r w:rsidRPr="00D13236">
        <w:tab/>
      </w:r>
      <w:r w:rsidR="00701564" w:rsidRPr="00D13236">
        <w:t>If the Minister</w:t>
      </w:r>
      <w:r w:rsidR="006A172C" w:rsidRPr="00D13236">
        <w:t xml:space="preserve"> extends the determination for </w:t>
      </w:r>
      <w:r w:rsidR="001A4CFB" w:rsidRPr="00D13236">
        <w:t>1</w:t>
      </w:r>
      <w:r w:rsidR="00701564" w:rsidRPr="00D13236">
        <w:t xml:space="preserve"> year under </w:t>
      </w:r>
      <w:r w:rsidR="00D13236" w:rsidRPr="00D13236">
        <w:t>subsection (</w:t>
      </w:r>
      <w:r w:rsidR="00701564" w:rsidRPr="00D13236">
        <w:t>4):</w:t>
      </w:r>
    </w:p>
    <w:p w:rsidR="00701564" w:rsidRPr="00D13236" w:rsidRDefault="00701564" w:rsidP="00D13236">
      <w:pPr>
        <w:pStyle w:val="paragraph"/>
      </w:pPr>
      <w:r w:rsidRPr="00D13236">
        <w:tab/>
        <w:t>(a)</w:t>
      </w:r>
      <w:r w:rsidRPr="00D13236">
        <w:tab/>
        <w:t xml:space="preserve">the Minister must consider whether to revoke the determination at least </w:t>
      </w:r>
      <w:r w:rsidR="00BE6875" w:rsidRPr="00D13236">
        <w:t>every 90 days</w:t>
      </w:r>
      <w:r w:rsidRPr="00D13236">
        <w:t xml:space="preserve"> after</w:t>
      </w:r>
      <w:r w:rsidR="00C519D1" w:rsidRPr="00D13236">
        <w:t xml:space="preserve"> extending it;</w:t>
      </w:r>
      <w:r w:rsidRPr="00D13236">
        <w:t xml:space="preserve"> and</w:t>
      </w:r>
    </w:p>
    <w:p w:rsidR="00701564" w:rsidRPr="00D13236" w:rsidRDefault="00701564" w:rsidP="00D13236">
      <w:pPr>
        <w:pStyle w:val="paragraph"/>
      </w:pPr>
      <w:r w:rsidRPr="00D13236">
        <w:tab/>
        <w:t>(b)</w:t>
      </w:r>
      <w:r w:rsidRPr="00D13236">
        <w:tab/>
        <w:t>the determination is taken to be revoked at the end of th</w:t>
      </w:r>
      <w:r w:rsidR="001320C0" w:rsidRPr="00D13236">
        <w:t>at</w:t>
      </w:r>
      <w:r w:rsidRPr="00D13236">
        <w:t xml:space="preserve"> year</w:t>
      </w:r>
      <w:r w:rsidR="0015304A" w:rsidRPr="00D13236">
        <w:t>.</w:t>
      </w:r>
    </w:p>
    <w:p w:rsidR="0050047F" w:rsidRPr="00D13236" w:rsidRDefault="00257B35" w:rsidP="00D13236">
      <w:pPr>
        <w:pStyle w:val="subsection"/>
      </w:pPr>
      <w:r w:rsidRPr="00D13236">
        <w:tab/>
        <w:t>(6)</w:t>
      </w:r>
      <w:r w:rsidRPr="00D13236">
        <w:tab/>
      </w:r>
      <w:r w:rsidR="0050047F" w:rsidRPr="00D13236">
        <w:t>The powers of the Minister under this section may only be exercised by the Minister personally</w:t>
      </w:r>
      <w:r w:rsidR="0015304A" w:rsidRPr="00D13236">
        <w:t>.</w:t>
      </w:r>
    </w:p>
    <w:p w:rsidR="00A01B63" w:rsidRPr="00D13236" w:rsidRDefault="00257B35" w:rsidP="00D13236">
      <w:pPr>
        <w:pStyle w:val="subsection"/>
      </w:pPr>
      <w:r w:rsidRPr="00D13236">
        <w:tab/>
        <w:t>(7)</w:t>
      </w:r>
      <w:r w:rsidRPr="00D13236">
        <w:tab/>
      </w:r>
      <w:r w:rsidR="00A01B63" w:rsidRPr="00D13236">
        <w:t>Section</w:t>
      </w:r>
      <w:r w:rsidR="00D13236" w:rsidRPr="00D13236">
        <w:t> </w:t>
      </w:r>
      <w:r w:rsidR="00A01B63" w:rsidRPr="00D13236">
        <w:t>47 (notification of decisions) does not apply to a decision of the Minister under this section</w:t>
      </w:r>
      <w:r w:rsidR="0015304A" w:rsidRPr="00D13236">
        <w:t>.</w:t>
      </w:r>
    </w:p>
    <w:p w:rsidR="00813B94" w:rsidRPr="00D13236" w:rsidRDefault="00257B35" w:rsidP="00D13236">
      <w:pPr>
        <w:pStyle w:val="subsection"/>
      </w:pPr>
      <w:r w:rsidRPr="00D13236">
        <w:tab/>
        <w:t>(8)</w:t>
      </w:r>
      <w:r w:rsidRPr="00D13236">
        <w:tab/>
      </w:r>
      <w:r w:rsidR="000174CF" w:rsidRPr="00D13236">
        <w:t>The rules of natural justice do not apply in relation to making a decision or exercising a power under this section</w:t>
      </w:r>
      <w:r w:rsidR="0015304A" w:rsidRPr="00D13236">
        <w:t>.</w:t>
      </w:r>
    </w:p>
    <w:p w:rsidR="005F6163" w:rsidRPr="00D13236" w:rsidRDefault="00257B35" w:rsidP="00D13236">
      <w:pPr>
        <w:pStyle w:val="subsection"/>
      </w:pPr>
      <w:r w:rsidRPr="00D13236">
        <w:tab/>
        <w:t>(9)</w:t>
      </w:r>
      <w:r w:rsidRPr="00D13236">
        <w:tab/>
      </w:r>
      <w:r w:rsidR="005F6163" w:rsidRPr="00D13236">
        <w:t xml:space="preserve">A determination made under </w:t>
      </w:r>
      <w:r w:rsidR="00D13236" w:rsidRPr="00D13236">
        <w:t>subsection (</w:t>
      </w:r>
      <w:r w:rsidR="00040028" w:rsidRPr="00D13236">
        <w:t>1</w:t>
      </w:r>
      <w:r w:rsidR="005F6163" w:rsidRPr="00D13236">
        <w:t>)</w:t>
      </w:r>
      <w:r w:rsidR="00C519D1" w:rsidRPr="00D13236">
        <w:t xml:space="preserve"> or (4)</w:t>
      </w:r>
      <w:r w:rsidR="005F6163" w:rsidRPr="00D13236">
        <w:t xml:space="preserve"> is not a legislative instrument</w:t>
      </w:r>
      <w:r w:rsidR="0015304A" w:rsidRPr="00D13236">
        <w:t>.</w:t>
      </w:r>
    </w:p>
    <w:p w:rsidR="00A041E4" w:rsidRPr="00D13236" w:rsidRDefault="0015304A" w:rsidP="00D13236">
      <w:pPr>
        <w:pStyle w:val="ActHead5"/>
      </w:pPr>
      <w:bookmarkStart w:id="21" w:name="_Toc51327906"/>
      <w:r w:rsidRPr="00D13236">
        <w:rPr>
          <w:rStyle w:val="CharSectno"/>
        </w:rPr>
        <w:t>36H</w:t>
      </w:r>
      <w:r w:rsidR="00A041E4" w:rsidRPr="00D13236">
        <w:t xml:space="preserve">  Revocation of citizenship </w:t>
      </w:r>
      <w:r w:rsidR="00000502" w:rsidRPr="00D13236">
        <w:t>cessation</w:t>
      </w:r>
      <w:r w:rsidR="00A041E4" w:rsidRPr="00D13236">
        <w:t xml:space="preserve"> determination</w:t>
      </w:r>
      <w:r w:rsidR="005478AD" w:rsidRPr="00D13236">
        <w:t xml:space="preserve"> on application</w:t>
      </w:r>
      <w:r w:rsidR="00C974AE" w:rsidRPr="00D13236">
        <w:t xml:space="preserve"> to Minister</w:t>
      </w:r>
      <w:bookmarkEnd w:id="21"/>
    </w:p>
    <w:p w:rsidR="00576691" w:rsidRPr="00D13236" w:rsidRDefault="00374BC7" w:rsidP="00D13236">
      <w:pPr>
        <w:pStyle w:val="subsection"/>
      </w:pPr>
      <w:r w:rsidRPr="00D13236">
        <w:tab/>
        <w:t>(1)</w:t>
      </w:r>
      <w:r w:rsidRPr="00D13236">
        <w:tab/>
      </w:r>
      <w:r w:rsidR="00576691" w:rsidRPr="00D13236">
        <w:t>A person who has ceased to be an Australian citizen because of a determination made under subsection</w:t>
      </w:r>
      <w:r w:rsidR="00D13236" w:rsidRPr="00D13236">
        <w:t> </w:t>
      </w:r>
      <w:r w:rsidR="0015304A" w:rsidRPr="00D13236">
        <w:t>36B</w:t>
      </w:r>
      <w:r w:rsidR="00576691" w:rsidRPr="00D13236">
        <w:t xml:space="preserve">(1) or </w:t>
      </w:r>
      <w:r w:rsidR="0015304A" w:rsidRPr="00D13236">
        <w:t>36D</w:t>
      </w:r>
      <w:r w:rsidR="00576691" w:rsidRPr="00D13236">
        <w:t>(1) may apply</w:t>
      </w:r>
      <w:r w:rsidR="00A00A65" w:rsidRPr="00D13236">
        <w:t xml:space="preserve"> in writing</w:t>
      </w:r>
      <w:r w:rsidR="00576691" w:rsidRPr="00D13236">
        <w:t xml:space="preserve"> to the Minister to have the determination revoked</w:t>
      </w:r>
      <w:r w:rsidR="0015304A" w:rsidRPr="00D13236">
        <w:t>.</w:t>
      </w:r>
      <w:r w:rsidR="00C125E8" w:rsidRPr="00D13236">
        <w:t xml:space="preserve"> Section</w:t>
      </w:r>
      <w:r w:rsidR="00D13236" w:rsidRPr="00D13236">
        <w:t> </w:t>
      </w:r>
      <w:r w:rsidR="00C125E8" w:rsidRPr="00D13236">
        <w:t>46 (application requirements) does not apply to the application</w:t>
      </w:r>
      <w:r w:rsidR="0015304A" w:rsidRPr="00D13236">
        <w:t>.</w:t>
      </w:r>
    </w:p>
    <w:p w:rsidR="00374BC7" w:rsidRPr="00D13236" w:rsidRDefault="00374BC7" w:rsidP="00D13236">
      <w:pPr>
        <w:pStyle w:val="subsection"/>
      </w:pPr>
      <w:r w:rsidRPr="00D13236">
        <w:tab/>
        <w:t>(2)</w:t>
      </w:r>
      <w:r w:rsidRPr="00D13236">
        <w:tab/>
      </w:r>
      <w:r w:rsidR="000A1427" w:rsidRPr="00D13236">
        <w:t>The application must be made no later than</w:t>
      </w:r>
      <w:r w:rsidRPr="00D13236">
        <w:t xml:space="preserve"> the later of</w:t>
      </w:r>
      <w:r w:rsidR="000F6AF1" w:rsidRPr="00D13236">
        <w:t xml:space="preserve"> the following</w:t>
      </w:r>
      <w:r w:rsidRPr="00D13236">
        <w:t>:</w:t>
      </w:r>
    </w:p>
    <w:p w:rsidR="000A1427" w:rsidRPr="00D13236" w:rsidRDefault="00374BC7" w:rsidP="00D13236">
      <w:pPr>
        <w:pStyle w:val="paragraph"/>
      </w:pPr>
      <w:r w:rsidRPr="00D13236">
        <w:tab/>
        <w:t>(a)</w:t>
      </w:r>
      <w:r w:rsidRPr="00D13236">
        <w:tab/>
      </w:r>
      <w:r w:rsidR="000A1427" w:rsidRPr="00D13236">
        <w:t>90 days after the</w:t>
      </w:r>
      <w:r w:rsidR="00D579BC" w:rsidRPr="00D13236">
        <w:t xml:space="preserve"> </w:t>
      </w:r>
      <w:r w:rsidR="00007436" w:rsidRPr="00D13236">
        <w:t>date of the notice</w:t>
      </w:r>
      <w:r w:rsidR="00824BDE" w:rsidRPr="00D13236">
        <w:t xml:space="preserve"> </w:t>
      </w:r>
      <w:r w:rsidR="00C436A5" w:rsidRPr="00D13236">
        <w:t>given under paragraph</w:t>
      </w:r>
      <w:r w:rsidR="00D13236" w:rsidRPr="00D13236">
        <w:t> </w:t>
      </w:r>
      <w:r w:rsidR="0015304A" w:rsidRPr="00D13236">
        <w:t>36F</w:t>
      </w:r>
      <w:r w:rsidR="00C436A5" w:rsidRPr="00D13236">
        <w:t xml:space="preserve">(1)(a) </w:t>
      </w:r>
      <w:r w:rsidR="00824BDE" w:rsidRPr="00D13236">
        <w:t>in relation to the determination</w:t>
      </w:r>
      <w:r w:rsidR="000F6AF1" w:rsidRPr="00D13236">
        <w:t>;</w:t>
      </w:r>
    </w:p>
    <w:p w:rsidR="00374BC7" w:rsidRPr="00D13236" w:rsidRDefault="00374BC7" w:rsidP="00D13236">
      <w:pPr>
        <w:pStyle w:val="paragraph"/>
      </w:pPr>
      <w:r w:rsidRPr="00D13236">
        <w:tab/>
        <w:t>(b)</w:t>
      </w:r>
      <w:r w:rsidRPr="00D13236">
        <w:tab/>
        <w:t xml:space="preserve">if the notice was </w:t>
      </w:r>
      <w:r w:rsidR="005C149D" w:rsidRPr="00D13236">
        <w:t>given to the person again by sending it</w:t>
      </w:r>
      <w:r w:rsidRPr="00D13236">
        <w:t xml:space="preserve"> to an electronic address in accordance with subsection</w:t>
      </w:r>
      <w:r w:rsidR="00D13236" w:rsidRPr="00D13236">
        <w:t> </w:t>
      </w:r>
      <w:r w:rsidR="0015304A" w:rsidRPr="00D13236">
        <w:t>36F</w:t>
      </w:r>
      <w:r w:rsidRPr="00D13236">
        <w:t>(3)—30 days after the day the notice was sent to the electronic address</w:t>
      </w:r>
      <w:r w:rsidR="0015304A" w:rsidRPr="00D13236">
        <w:t>.</w:t>
      </w:r>
    </w:p>
    <w:p w:rsidR="005D23BF" w:rsidRPr="00D13236" w:rsidRDefault="00374BC7" w:rsidP="00D13236">
      <w:pPr>
        <w:pStyle w:val="subsection"/>
      </w:pPr>
      <w:r w:rsidRPr="00D13236">
        <w:tab/>
        <w:t>(3)</w:t>
      </w:r>
      <w:r w:rsidRPr="00D13236">
        <w:tab/>
      </w:r>
      <w:r w:rsidR="005D23BF" w:rsidRPr="00D13236">
        <w:t>The Minister must consider the application and either revoke the determination or refuse the application</w:t>
      </w:r>
      <w:r w:rsidR="0015304A" w:rsidRPr="00D13236">
        <w:t>.</w:t>
      </w:r>
      <w:r w:rsidR="003F4416" w:rsidRPr="00D13236">
        <w:t xml:space="preserve"> The Minister:</w:t>
      </w:r>
    </w:p>
    <w:p w:rsidR="00EC72A5" w:rsidRPr="00D13236" w:rsidRDefault="003F4416" w:rsidP="00D13236">
      <w:pPr>
        <w:pStyle w:val="paragraph"/>
      </w:pPr>
      <w:r w:rsidRPr="00D13236">
        <w:tab/>
        <w:t>(a)</w:t>
      </w:r>
      <w:r w:rsidRPr="00D13236">
        <w:tab/>
        <w:t>must revoke the determination if</w:t>
      </w:r>
      <w:r w:rsidR="00EC72A5" w:rsidRPr="00D13236">
        <w:t>:</w:t>
      </w:r>
    </w:p>
    <w:p w:rsidR="003F4416" w:rsidRPr="00D13236" w:rsidRDefault="00EC72A5" w:rsidP="00D13236">
      <w:pPr>
        <w:pStyle w:val="paragraphsub"/>
      </w:pPr>
      <w:r w:rsidRPr="00D13236">
        <w:tab/>
        <w:t>(</w:t>
      </w:r>
      <w:proofErr w:type="spellStart"/>
      <w:r w:rsidRPr="00D13236">
        <w:t>i</w:t>
      </w:r>
      <w:proofErr w:type="spellEnd"/>
      <w:r w:rsidRPr="00D13236">
        <w:t>)</w:t>
      </w:r>
      <w:r w:rsidRPr="00D13236">
        <w:tab/>
        <w:t>the Minister is satisfied that, at the time the determination was made, the person was not a national or citizen of any other country; or</w:t>
      </w:r>
    </w:p>
    <w:p w:rsidR="00EC72A5" w:rsidRPr="00D13236" w:rsidRDefault="00EC72A5" w:rsidP="00D13236">
      <w:pPr>
        <w:pStyle w:val="paragraphsub"/>
      </w:pPr>
      <w:r w:rsidRPr="00D13236">
        <w:tab/>
        <w:t>(ii)</w:t>
      </w:r>
      <w:r w:rsidRPr="00D13236">
        <w:tab/>
      </w:r>
      <w:r w:rsidR="006D4618" w:rsidRPr="00D13236">
        <w:t>for a</w:t>
      </w:r>
      <w:r w:rsidRPr="00D13236">
        <w:t xml:space="preserve"> determination made under subsection</w:t>
      </w:r>
      <w:r w:rsidR="00D13236" w:rsidRPr="00D13236">
        <w:t> </w:t>
      </w:r>
      <w:r w:rsidR="0015304A" w:rsidRPr="00D13236">
        <w:t>36B</w:t>
      </w:r>
      <w:r w:rsidR="00D863FC" w:rsidRPr="00D13236">
        <w:t>(1)</w:t>
      </w:r>
      <w:r w:rsidR="006D4618" w:rsidRPr="00D13236">
        <w:t>—</w:t>
      </w:r>
      <w:r w:rsidRPr="00D13236">
        <w:t>the Minister is satisfied that the person did not engage in the conduct to which the determination relates; and</w:t>
      </w:r>
    </w:p>
    <w:p w:rsidR="003F4416" w:rsidRPr="00D13236" w:rsidRDefault="003F4416" w:rsidP="00D13236">
      <w:pPr>
        <w:pStyle w:val="paragraph"/>
      </w:pPr>
      <w:r w:rsidRPr="00D13236">
        <w:tab/>
        <w:t>(b)</w:t>
      </w:r>
      <w:r w:rsidRPr="00D13236">
        <w:tab/>
        <w:t xml:space="preserve">may revoke the determination if </w:t>
      </w:r>
      <w:r w:rsidR="00D13236" w:rsidRPr="00D13236">
        <w:t>paragraph (</w:t>
      </w:r>
      <w:r w:rsidRPr="00D13236">
        <w:t xml:space="preserve">a) </w:t>
      </w:r>
      <w:r w:rsidR="00D97C22" w:rsidRPr="00D13236">
        <w:t xml:space="preserve">of this </w:t>
      </w:r>
      <w:r w:rsidR="00CF210A" w:rsidRPr="00D13236">
        <w:t>sub</w:t>
      </w:r>
      <w:r w:rsidR="00D97C22" w:rsidRPr="00D13236">
        <w:t xml:space="preserve">section </w:t>
      </w:r>
      <w:r w:rsidRPr="00D13236">
        <w:t>does not apply, but only if satisfied that revoking the determination would be in the public interest (see section</w:t>
      </w:r>
      <w:r w:rsidR="00D13236" w:rsidRPr="00D13236">
        <w:t> </w:t>
      </w:r>
      <w:r w:rsidR="0015304A" w:rsidRPr="00D13236">
        <w:t>36E</w:t>
      </w:r>
      <w:r w:rsidRPr="00D13236">
        <w:t>)</w:t>
      </w:r>
      <w:r w:rsidR="0015304A" w:rsidRPr="00D13236">
        <w:t>.</w:t>
      </w:r>
    </w:p>
    <w:p w:rsidR="008F59DB" w:rsidRPr="00D13236" w:rsidRDefault="00DA34AF" w:rsidP="00D13236">
      <w:pPr>
        <w:pStyle w:val="notetext"/>
      </w:pPr>
      <w:r w:rsidRPr="00D13236">
        <w:t>Note:</w:t>
      </w:r>
      <w:r w:rsidRPr="00D13236">
        <w:tab/>
      </w:r>
      <w:r w:rsidR="00C817C7" w:rsidRPr="00D13236">
        <w:t xml:space="preserve">The Minister must observe the </w:t>
      </w:r>
      <w:r w:rsidR="00433100" w:rsidRPr="00D13236">
        <w:t>rules of</w:t>
      </w:r>
      <w:r w:rsidR="00C817C7" w:rsidRPr="00D13236">
        <w:t xml:space="preserve"> natural justice in making the decision</w:t>
      </w:r>
      <w:r w:rsidR="0015304A" w:rsidRPr="00D13236">
        <w:t>.</w:t>
      </w:r>
    </w:p>
    <w:p w:rsidR="00DA34AF" w:rsidRPr="00D13236" w:rsidRDefault="00374BC7" w:rsidP="00D13236">
      <w:pPr>
        <w:pStyle w:val="subsection"/>
      </w:pPr>
      <w:r w:rsidRPr="00D13236">
        <w:tab/>
        <w:t>(4)</w:t>
      </w:r>
      <w:r w:rsidRPr="00D13236">
        <w:tab/>
      </w:r>
      <w:r w:rsidR="00DA34AF" w:rsidRPr="00D13236">
        <w:t>The Minister must give the person written notice of the Minister</w:t>
      </w:r>
      <w:r w:rsidR="00D461AB" w:rsidRPr="00D13236">
        <w:t>’</w:t>
      </w:r>
      <w:r w:rsidR="00DA34AF" w:rsidRPr="00D13236">
        <w:t xml:space="preserve">s decision under </w:t>
      </w:r>
      <w:r w:rsidR="00D13236" w:rsidRPr="00D13236">
        <w:t>subsection (</w:t>
      </w:r>
      <w:r w:rsidRPr="00D13236">
        <w:t>3</w:t>
      </w:r>
      <w:r w:rsidR="00DA34AF" w:rsidRPr="00D13236">
        <w:t>)</w:t>
      </w:r>
      <w:r w:rsidR="0015304A" w:rsidRPr="00D13236">
        <w:t>.</w:t>
      </w:r>
      <w:r w:rsidR="00DA34AF" w:rsidRPr="00D13236">
        <w:t xml:space="preserve"> The notice must:</w:t>
      </w:r>
    </w:p>
    <w:p w:rsidR="00DA34AF" w:rsidRPr="00D13236" w:rsidRDefault="00DA34AF" w:rsidP="00D13236">
      <w:pPr>
        <w:pStyle w:val="paragraph"/>
      </w:pPr>
      <w:r w:rsidRPr="00D13236">
        <w:tab/>
        <w:t>(a)</w:t>
      </w:r>
      <w:r w:rsidRPr="00D13236">
        <w:tab/>
        <w:t>set out the decision; and</w:t>
      </w:r>
    </w:p>
    <w:p w:rsidR="002C3940" w:rsidRPr="00D13236" w:rsidRDefault="00DA34AF" w:rsidP="00D13236">
      <w:pPr>
        <w:pStyle w:val="paragraph"/>
      </w:pPr>
      <w:r w:rsidRPr="00D13236">
        <w:tab/>
        <w:t>(b)</w:t>
      </w:r>
      <w:r w:rsidRPr="00D13236">
        <w:tab/>
      </w:r>
      <w:r w:rsidR="002C3940" w:rsidRPr="00D13236">
        <w:t>if the Minister refused the application:</w:t>
      </w:r>
    </w:p>
    <w:p w:rsidR="00DA34AF" w:rsidRPr="00D13236" w:rsidRDefault="002C3940" w:rsidP="00D13236">
      <w:pPr>
        <w:pStyle w:val="paragraphsub"/>
      </w:pPr>
      <w:r w:rsidRPr="00D13236">
        <w:tab/>
        <w:t>(</w:t>
      </w:r>
      <w:proofErr w:type="spellStart"/>
      <w:r w:rsidRPr="00D13236">
        <w:t>i</w:t>
      </w:r>
      <w:proofErr w:type="spellEnd"/>
      <w:r w:rsidRPr="00D13236">
        <w:t>)</w:t>
      </w:r>
      <w:r w:rsidRPr="00D13236">
        <w:tab/>
      </w:r>
      <w:r w:rsidR="00DA34AF" w:rsidRPr="00D13236">
        <w:t>include the reasons for the decision; and</w:t>
      </w:r>
    </w:p>
    <w:p w:rsidR="00DA34AF" w:rsidRPr="00D13236" w:rsidRDefault="002C3940" w:rsidP="00D13236">
      <w:pPr>
        <w:pStyle w:val="paragraphsub"/>
      </w:pPr>
      <w:r w:rsidRPr="00D13236">
        <w:tab/>
        <w:t>(ii</w:t>
      </w:r>
      <w:r w:rsidR="00DA34AF" w:rsidRPr="00D13236">
        <w:t>)</w:t>
      </w:r>
      <w:r w:rsidR="00DA34AF" w:rsidRPr="00D13236">
        <w:tab/>
        <w:t>set out the person</w:t>
      </w:r>
      <w:r w:rsidR="00D461AB" w:rsidRPr="00D13236">
        <w:t>’</w:t>
      </w:r>
      <w:r w:rsidR="00DA34AF" w:rsidRPr="00D13236">
        <w:t>s rights of review</w:t>
      </w:r>
      <w:r w:rsidR="0015304A" w:rsidRPr="00D13236">
        <w:t>.</w:t>
      </w:r>
    </w:p>
    <w:p w:rsidR="00DA34AF" w:rsidRPr="00D13236" w:rsidRDefault="00DA34AF" w:rsidP="00D13236">
      <w:pPr>
        <w:pStyle w:val="subsection2"/>
      </w:pPr>
      <w:r w:rsidRPr="00D13236">
        <w:t>Section</w:t>
      </w:r>
      <w:r w:rsidR="00D13236" w:rsidRPr="00D13236">
        <w:t> </w:t>
      </w:r>
      <w:r w:rsidRPr="00D13236">
        <w:t xml:space="preserve">47 </w:t>
      </w:r>
      <w:r w:rsidR="00DC1171" w:rsidRPr="00D13236">
        <w:t xml:space="preserve">(notification of decisions) </w:t>
      </w:r>
      <w:r w:rsidRPr="00D13236">
        <w:t>does not apply in relation to a decision under this section</w:t>
      </w:r>
      <w:r w:rsidR="0015304A" w:rsidRPr="00D13236">
        <w:t>.</w:t>
      </w:r>
    </w:p>
    <w:p w:rsidR="00631352" w:rsidRPr="00D13236" w:rsidRDefault="00631352" w:rsidP="00D13236">
      <w:pPr>
        <w:pStyle w:val="notetext"/>
      </w:pPr>
      <w:r w:rsidRPr="00D13236">
        <w:t>Note:</w:t>
      </w:r>
      <w:r w:rsidRPr="00D13236">
        <w:tab/>
        <w:t xml:space="preserve">A person may seek review of a decision made under </w:t>
      </w:r>
      <w:r w:rsidR="00D13236" w:rsidRPr="00D13236">
        <w:t>subsection (</w:t>
      </w:r>
      <w:r w:rsidRPr="00D13236">
        <w:t>3) in the High Court of Australia under section</w:t>
      </w:r>
      <w:r w:rsidR="00D13236" w:rsidRPr="00D13236">
        <w:t> </w:t>
      </w:r>
      <w:r w:rsidRPr="00D13236">
        <w:t>75 of the Constitution, or in the Federal Court of Australia under section</w:t>
      </w:r>
      <w:r w:rsidR="00D13236" w:rsidRPr="00D13236">
        <w:t> </w:t>
      </w:r>
      <w:r w:rsidRPr="00D13236">
        <w:t xml:space="preserve">39B of the </w:t>
      </w:r>
      <w:r w:rsidRPr="00D13236">
        <w:rPr>
          <w:i/>
        </w:rPr>
        <w:t>Judiciary Act 1903</w:t>
      </w:r>
      <w:r w:rsidR="0015304A" w:rsidRPr="00D13236">
        <w:t>.</w:t>
      </w:r>
    </w:p>
    <w:p w:rsidR="00780E98" w:rsidRPr="00D13236" w:rsidRDefault="00374BC7" w:rsidP="00D13236">
      <w:pPr>
        <w:pStyle w:val="subsection"/>
      </w:pPr>
      <w:r w:rsidRPr="00D13236">
        <w:tab/>
        <w:t>(5)</w:t>
      </w:r>
      <w:r w:rsidRPr="00D13236">
        <w:tab/>
      </w:r>
      <w:r w:rsidR="00780E98" w:rsidRPr="00D13236">
        <w:t>However, the notice must not contain information, or content of a document, if:</w:t>
      </w:r>
    </w:p>
    <w:p w:rsidR="00780E98" w:rsidRPr="00D13236" w:rsidRDefault="00780E98" w:rsidP="00D13236">
      <w:pPr>
        <w:pStyle w:val="paragraph"/>
      </w:pPr>
      <w:r w:rsidRPr="00D13236">
        <w:tab/>
        <w:t>(a)</w:t>
      </w:r>
      <w:r w:rsidRPr="00D13236">
        <w:tab/>
        <w:t xml:space="preserve">the information or content includes any operationally sensitive information (within the meaning of the </w:t>
      </w:r>
      <w:r w:rsidRPr="00D13236">
        <w:rPr>
          <w:i/>
        </w:rPr>
        <w:t>Independent National Security Legislation Monitor Act 2010</w:t>
      </w:r>
      <w:r w:rsidRPr="00D13236">
        <w:t>); or</w:t>
      </w:r>
    </w:p>
    <w:p w:rsidR="00780E98" w:rsidRPr="00D13236" w:rsidRDefault="00780E98" w:rsidP="00D13236">
      <w:pPr>
        <w:pStyle w:val="paragraph"/>
      </w:pPr>
      <w:r w:rsidRPr="00D13236">
        <w:tab/>
        <w:t>(b)</w:t>
      </w:r>
      <w:r w:rsidRPr="00D13236">
        <w:tab/>
        <w:t xml:space="preserve">the disclosure of the information or content </w:t>
      </w:r>
      <w:r w:rsidR="00421639" w:rsidRPr="00D13236">
        <w:t>could</w:t>
      </w:r>
      <w:r w:rsidRPr="00D13236">
        <w:t xml:space="preserve"> prejudice:</w:t>
      </w:r>
    </w:p>
    <w:p w:rsidR="00780E98" w:rsidRPr="00D13236" w:rsidRDefault="00780E98" w:rsidP="00D13236">
      <w:pPr>
        <w:pStyle w:val="paragraphsub"/>
      </w:pPr>
      <w:r w:rsidRPr="00D13236">
        <w:tab/>
        <w:t>(</w:t>
      </w:r>
      <w:proofErr w:type="spellStart"/>
      <w:r w:rsidRPr="00D13236">
        <w:t>i</w:t>
      </w:r>
      <w:proofErr w:type="spellEnd"/>
      <w:r w:rsidRPr="00D13236">
        <w:t>)</w:t>
      </w:r>
      <w:r w:rsidRPr="00D13236">
        <w:tab/>
        <w:t>the security, defence or international relations of Australia; or</w:t>
      </w:r>
    </w:p>
    <w:p w:rsidR="00780E98" w:rsidRPr="00D13236" w:rsidRDefault="00780E98" w:rsidP="00D13236">
      <w:pPr>
        <w:pStyle w:val="paragraphsub"/>
      </w:pPr>
      <w:r w:rsidRPr="00D13236">
        <w:tab/>
        <w:t>(ii)</w:t>
      </w:r>
      <w:r w:rsidRPr="00D13236">
        <w:tab/>
        <w:t xml:space="preserve">the performance by a law enforcement or security agency (within the meaning of the </w:t>
      </w:r>
      <w:r w:rsidRPr="00D13236">
        <w:rPr>
          <w:i/>
        </w:rPr>
        <w:t>Independent National Security Legislation Monitor Act 2010</w:t>
      </w:r>
      <w:r w:rsidRPr="00D13236">
        <w:t>) of its functions; or</w:t>
      </w:r>
    </w:p>
    <w:p w:rsidR="00780E98" w:rsidRPr="00D13236" w:rsidRDefault="00780E98" w:rsidP="00D13236">
      <w:pPr>
        <w:pStyle w:val="paragraph"/>
      </w:pPr>
      <w:r w:rsidRPr="00D13236">
        <w:tab/>
        <w:t>(c)</w:t>
      </w:r>
      <w:r w:rsidRPr="00D13236">
        <w:tab/>
        <w:t xml:space="preserve">the disclosure of the information or content </w:t>
      </w:r>
      <w:r w:rsidR="00421639" w:rsidRPr="00D13236">
        <w:t>could</w:t>
      </w:r>
      <w:r w:rsidRPr="00D13236">
        <w:t xml:space="preserve"> endanger a person</w:t>
      </w:r>
      <w:r w:rsidR="00D461AB" w:rsidRPr="00D13236">
        <w:t>’</w:t>
      </w:r>
      <w:r w:rsidRPr="00D13236">
        <w:t>s safety; or</w:t>
      </w:r>
    </w:p>
    <w:p w:rsidR="00780E98" w:rsidRPr="00D13236" w:rsidRDefault="00780E98" w:rsidP="00D13236">
      <w:pPr>
        <w:pStyle w:val="paragraph"/>
      </w:pPr>
      <w:r w:rsidRPr="00D13236">
        <w:tab/>
        <w:t>(d)</w:t>
      </w:r>
      <w:r w:rsidRPr="00D13236">
        <w:tab/>
        <w:t>the disclosure of the information or content would be likely to be contrary to the public interest for any other reason</w:t>
      </w:r>
      <w:r w:rsidR="0015304A" w:rsidRPr="00D13236">
        <w:t>.</w:t>
      </w:r>
    </w:p>
    <w:p w:rsidR="009B5AC0" w:rsidRPr="00D13236" w:rsidRDefault="00374BC7" w:rsidP="00D13236">
      <w:pPr>
        <w:pStyle w:val="subsection"/>
      </w:pPr>
      <w:r w:rsidRPr="00D13236">
        <w:tab/>
        <w:t>(6)</w:t>
      </w:r>
      <w:r w:rsidRPr="00D13236">
        <w:tab/>
      </w:r>
      <w:r w:rsidR="009B5AC0" w:rsidRPr="00D13236">
        <w:t xml:space="preserve">If the </w:t>
      </w:r>
      <w:r w:rsidR="00034459" w:rsidRPr="00D13236">
        <w:t xml:space="preserve">Minister revokes the </w:t>
      </w:r>
      <w:r w:rsidR="009B5AC0" w:rsidRPr="00D13236">
        <w:t xml:space="preserve">determination under </w:t>
      </w:r>
      <w:r w:rsidR="00D13236" w:rsidRPr="00D13236">
        <w:t>subsection (</w:t>
      </w:r>
      <w:r w:rsidRPr="00D13236">
        <w:t>3</w:t>
      </w:r>
      <w:r w:rsidR="009B5AC0" w:rsidRPr="00D13236">
        <w:t>), the person</w:t>
      </w:r>
      <w:r w:rsidR="00D461AB" w:rsidRPr="00D13236">
        <w:t>’</w:t>
      </w:r>
      <w:r w:rsidR="009B5AC0" w:rsidRPr="00D13236">
        <w:t>s citizenship is taken never to have ceased under section</w:t>
      </w:r>
      <w:r w:rsidR="00D13236" w:rsidRPr="00D13236">
        <w:t> </w:t>
      </w:r>
      <w:r w:rsidR="0015304A" w:rsidRPr="00D13236">
        <w:t>36B</w:t>
      </w:r>
      <w:r w:rsidR="00D863FC" w:rsidRPr="00D13236">
        <w:t xml:space="preserve"> </w:t>
      </w:r>
      <w:r w:rsidR="009B5AC0" w:rsidRPr="00D13236">
        <w:t xml:space="preserve">or </w:t>
      </w:r>
      <w:r w:rsidR="0015304A" w:rsidRPr="00D13236">
        <w:t>36D</w:t>
      </w:r>
      <w:r w:rsidR="009B5AC0" w:rsidRPr="00D13236">
        <w:t xml:space="preserve"> (as applicable) because of the determination</w:t>
      </w:r>
      <w:r w:rsidR="0015304A" w:rsidRPr="00D13236">
        <w:t>.</w:t>
      </w:r>
      <w:r w:rsidR="009B5AC0" w:rsidRPr="00D13236">
        <w:t xml:space="preserve"> However, the validity of anything done in reliance on the determination before the revocation is not affected</w:t>
      </w:r>
      <w:r w:rsidR="0015304A" w:rsidRPr="00D13236">
        <w:t>.</w:t>
      </w:r>
    </w:p>
    <w:p w:rsidR="00A00A65" w:rsidRPr="00D13236" w:rsidRDefault="00374BC7" w:rsidP="00D13236">
      <w:pPr>
        <w:pStyle w:val="subsection"/>
      </w:pPr>
      <w:r w:rsidRPr="00D13236">
        <w:tab/>
        <w:t>(7)</w:t>
      </w:r>
      <w:r w:rsidRPr="00D13236">
        <w:tab/>
      </w:r>
      <w:r w:rsidR="00AA0758" w:rsidRPr="00D13236">
        <w:t>T</w:t>
      </w:r>
      <w:r w:rsidR="00E36F32" w:rsidRPr="00D13236">
        <w:t>he person</w:t>
      </w:r>
      <w:r w:rsidR="005478AD" w:rsidRPr="00D13236">
        <w:t xml:space="preserve"> </w:t>
      </w:r>
      <w:r w:rsidR="00AA0758" w:rsidRPr="00D13236">
        <w:t xml:space="preserve">may only apply once </w:t>
      </w:r>
      <w:r w:rsidR="005478AD" w:rsidRPr="00D13236">
        <w:t xml:space="preserve">to the Minister under </w:t>
      </w:r>
      <w:r w:rsidR="00D13236" w:rsidRPr="00D13236">
        <w:t>subsection (</w:t>
      </w:r>
      <w:r w:rsidR="00C43A48" w:rsidRPr="00D13236">
        <w:t xml:space="preserve">1) in relation to the </w:t>
      </w:r>
      <w:r w:rsidR="005478AD" w:rsidRPr="00D13236">
        <w:t>determination</w:t>
      </w:r>
      <w:r w:rsidR="0015304A" w:rsidRPr="00D13236">
        <w:t>.</w:t>
      </w:r>
    </w:p>
    <w:p w:rsidR="009B5AC0" w:rsidRPr="00D13236" w:rsidRDefault="00374BC7" w:rsidP="00D13236">
      <w:pPr>
        <w:pStyle w:val="subsection"/>
      </w:pPr>
      <w:r w:rsidRPr="00D13236">
        <w:tab/>
        <w:t>(8)</w:t>
      </w:r>
      <w:r w:rsidRPr="00D13236">
        <w:tab/>
      </w:r>
      <w:r w:rsidR="009B5AC0" w:rsidRPr="00D13236">
        <w:t>The powers of the Minister under this section may only be exercised by the Minister personally</w:t>
      </w:r>
      <w:r w:rsidR="0015304A" w:rsidRPr="00D13236">
        <w:t>.</w:t>
      </w:r>
    </w:p>
    <w:p w:rsidR="00070FE9" w:rsidRPr="00D13236" w:rsidRDefault="0015304A" w:rsidP="00D13236">
      <w:pPr>
        <w:pStyle w:val="ActHead5"/>
      </w:pPr>
      <w:bookmarkStart w:id="22" w:name="_Toc51327907"/>
      <w:r w:rsidRPr="00D13236">
        <w:rPr>
          <w:rStyle w:val="CharSectno"/>
        </w:rPr>
        <w:t>36J</w:t>
      </w:r>
      <w:r w:rsidR="005478AD" w:rsidRPr="00D13236">
        <w:t xml:space="preserve">  Revocation of citizenship cessation determination on Minister</w:t>
      </w:r>
      <w:r w:rsidR="00D461AB" w:rsidRPr="00D13236">
        <w:t>’</w:t>
      </w:r>
      <w:r w:rsidR="005478AD" w:rsidRPr="00D13236">
        <w:t>s initiative</w:t>
      </w:r>
      <w:bookmarkEnd w:id="22"/>
    </w:p>
    <w:p w:rsidR="00070FE9" w:rsidRPr="00D13236" w:rsidRDefault="00577396" w:rsidP="00D13236">
      <w:pPr>
        <w:pStyle w:val="subsection"/>
      </w:pPr>
      <w:r w:rsidRPr="00D13236">
        <w:tab/>
        <w:t>(1)</w:t>
      </w:r>
      <w:r w:rsidRPr="00D13236">
        <w:tab/>
      </w:r>
      <w:r w:rsidR="00070FE9" w:rsidRPr="00D13236">
        <w:t>The Minister may, on the Minister</w:t>
      </w:r>
      <w:r w:rsidR="00D461AB" w:rsidRPr="00D13236">
        <w:t>’</w:t>
      </w:r>
      <w:r w:rsidR="00070FE9" w:rsidRPr="00D13236">
        <w:t>s own initiative, revoke a determination made under subsection</w:t>
      </w:r>
      <w:r w:rsidR="00D13236" w:rsidRPr="00D13236">
        <w:t> </w:t>
      </w:r>
      <w:r w:rsidR="0015304A" w:rsidRPr="00D13236">
        <w:t>36B</w:t>
      </w:r>
      <w:r w:rsidR="00070FE9" w:rsidRPr="00D13236">
        <w:t xml:space="preserve">(1) or </w:t>
      </w:r>
      <w:r w:rsidR="0015304A" w:rsidRPr="00D13236">
        <w:t>36D</w:t>
      </w:r>
      <w:r w:rsidR="00070FE9" w:rsidRPr="00D13236">
        <w:t>(1) if the Minister is satisfied that revoking the determination would be in the public interest (see section</w:t>
      </w:r>
      <w:r w:rsidR="00D13236" w:rsidRPr="00D13236">
        <w:t> </w:t>
      </w:r>
      <w:r w:rsidR="0015304A" w:rsidRPr="00D13236">
        <w:t>36E</w:t>
      </w:r>
      <w:r w:rsidR="00070FE9" w:rsidRPr="00D13236">
        <w:t>)</w:t>
      </w:r>
      <w:r w:rsidR="0015304A" w:rsidRPr="00D13236">
        <w:t>.</w:t>
      </w:r>
    </w:p>
    <w:p w:rsidR="00070FE9" w:rsidRPr="00D13236" w:rsidRDefault="00577396" w:rsidP="00D13236">
      <w:pPr>
        <w:pStyle w:val="subsection"/>
      </w:pPr>
      <w:r w:rsidRPr="00D13236">
        <w:tab/>
        <w:t>(2)</w:t>
      </w:r>
      <w:r w:rsidRPr="00D13236">
        <w:tab/>
      </w:r>
      <w:r w:rsidR="00070FE9" w:rsidRPr="00D13236">
        <w:t>If the</w:t>
      </w:r>
      <w:r w:rsidR="00034459" w:rsidRPr="00D13236">
        <w:t xml:space="preserve"> Minister revokes the</w:t>
      </w:r>
      <w:r w:rsidR="00070FE9" w:rsidRPr="00D13236">
        <w:t xml:space="preserve"> determination under </w:t>
      </w:r>
      <w:r w:rsidR="00D13236" w:rsidRPr="00D13236">
        <w:t>subsection (</w:t>
      </w:r>
      <w:r w:rsidR="005478AD" w:rsidRPr="00D13236">
        <w:t>1</w:t>
      </w:r>
      <w:r w:rsidR="00070FE9" w:rsidRPr="00D13236">
        <w:t>), the person</w:t>
      </w:r>
      <w:r w:rsidR="00D461AB" w:rsidRPr="00D13236">
        <w:t>’</w:t>
      </w:r>
      <w:r w:rsidR="00070FE9" w:rsidRPr="00D13236">
        <w:t>s citizenship is taken never to have ceased under section</w:t>
      </w:r>
      <w:r w:rsidR="00D13236" w:rsidRPr="00D13236">
        <w:t> </w:t>
      </w:r>
      <w:r w:rsidR="0015304A" w:rsidRPr="00D13236">
        <w:t>36B</w:t>
      </w:r>
      <w:r w:rsidR="00070FE9" w:rsidRPr="00D13236">
        <w:t xml:space="preserve"> or </w:t>
      </w:r>
      <w:r w:rsidR="0015304A" w:rsidRPr="00D13236">
        <w:t>36D</w:t>
      </w:r>
      <w:r w:rsidR="00070FE9" w:rsidRPr="00D13236">
        <w:t xml:space="preserve"> (as applicable) because of the determination</w:t>
      </w:r>
      <w:r w:rsidR="0015304A" w:rsidRPr="00D13236">
        <w:t>.</w:t>
      </w:r>
      <w:r w:rsidR="00070FE9" w:rsidRPr="00D13236">
        <w:t xml:space="preserve"> However, the validity of anything done in reliance on the determination before the revocation is not affected</w:t>
      </w:r>
      <w:r w:rsidR="0015304A" w:rsidRPr="00D13236">
        <w:t>.</w:t>
      </w:r>
    </w:p>
    <w:p w:rsidR="008657A0" w:rsidRPr="00D13236" w:rsidRDefault="003A5E89" w:rsidP="00D13236">
      <w:pPr>
        <w:pStyle w:val="subsection"/>
      </w:pPr>
      <w:r w:rsidRPr="00D13236">
        <w:tab/>
        <w:t>(3)</w:t>
      </w:r>
      <w:r w:rsidRPr="00D13236">
        <w:tab/>
        <w:t xml:space="preserve">If the Minister decides under </w:t>
      </w:r>
      <w:r w:rsidR="00D13236" w:rsidRPr="00D13236">
        <w:t>subsection (</w:t>
      </w:r>
      <w:r w:rsidR="009340B2" w:rsidRPr="00D13236">
        <w:t>1) to revoke the determination</w:t>
      </w:r>
      <w:r w:rsidR="008657A0" w:rsidRPr="00D13236">
        <w:t>, the Minister:</w:t>
      </w:r>
    </w:p>
    <w:p w:rsidR="008657A0" w:rsidRPr="00D13236" w:rsidRDefault="008657A0" w:rsidP="00D13236">
      <w:pPr>
        <w:pStyle w:val="paragraph"/>
      </w:pPr>
      <w:r w:rsidRPr="00D13236">
        <w:tab/>
        <w:t>(a)</w:t>
      </w:r>
      <w:r w:rsidRPr="00D13236">
        <w:tab/>
        <w:t xml:space="preserve">must give the person written notice of the decision if </w:t>
      </w:r>
      <w:r w:rsidR="009340B2" w:rsidRPr="00D13236">
        <w:t>the person was given notice under paragraph</w:t>
      </w:r>
      <w:r w:rsidR="00D13236" w:rsidRPr="00D13236">
        <w:t> </w:t>
      </w:r>
      <w:r w:rsidR="009340B2" w:rsidRPr="00D13236">
        <w:t>35C(1)(a) of the determination</w:t>
      </w:r>
      <w:r w:rsidRPr="00D13236">
        <w:t>; and</w:t>
      </w:r>
    </w:p>
    <w:p w:rsidR="003A5E89" w:rsidRPr="00D13236" w:rsidRDefault="008657A0" w:rsidP="00D13236">
      <w:pPr>
        <w:pStyle w:val="paragraph"/>
      </w:pPr>
      <w:r w:rsidRPr="00D13236">
        <w:tab/>
        <w:t>(b)</w:t>
      </w:r>
      <w:r w:rsidRPr="00D13236">
        <w:tab/>
        <w:t>must not otherwise give the person notice of the decision</w:t>
      </w:r>
      <w:r w:rsidR="0015304A" w:rsidRPr="00D13236">
        <w:t>.</w:t>
      </w:r>
    </w:p>
    <w:p w:rsidR="00AD66CF" w:rsidRPr="00D13236" w:rsidRDefault="00AD66CF" w:rsidP="00D13236">
      <w:pPr>
        <w:pStyle w:val="subsection2"/>
      </w:pPr>
      <w:r w:rsidRPr="00D13236">
        <w:t>Section</w:t>
      </w:r>
      <w:r w:rsidR="00D13236" w:rsidRPr="00D13236">
        <w:t> </w:t>
      </w:r>
      <w:r w:rsidRPr="00D13236">
        <w:t xml:space="preserve">47 (notification of decisions) does not apply in relation to a decision under </w:t>
      </w:r>
      <w:r w:rsidR="00D13236" w:rsidRPr="00D13236">
        <w:t>subsection (</w:t>
      </w:r>
      <w:r w:rsidR="008657A0" w:rsidRPr="00D13236">
        <w:t>1)</w:t>
      </w:r>
      <w:r w:rsidR="0015304A" w:rsidRPr="00D13236">
        <w:t>.</w:t>
      </w:r>
    </w:p>
    <w:p w:rsidR="00AD66CF" w:rsidRPr="00D13236" w:rsidRDefault="00577396" w:rsidP="00D13236">
      <w:pPr>
        <w:pStyle w:val="subsection"/>
      </w:pPr>
      <w:r w:rsidRPr="00D13236">
        <w:tab/>
        <w:t>(4)</w:t>
      </w:r>
      <w:r w:rsidRPr="00D13236">
        <w:tab/>
      </w:r>
      <w:r w:rsidR="00AD66CF" w:rsidRPr="00D13236">
        <w:t>However, the notice must not contain information, or content of a document, if:</w:t>
      </w:r>
    </w:p>
    <w:p w:rsidR="00AD66CF" w:rsidRPr="00D13236" w:rsidRDefault="00AD66CF" w:rsidP="00D13236">
      <w:pPr>
        <w:pStyle w:val="paragraph"/>
      </w:pPr>
      <w:r w:rsidRPr="00D13236">
        <w:tab/>
        <w:t>(a)</w:t>
      </w:r>
      <w:r w:rsidRPr="00D13236">
        <w:tab/>
        <w:t xml:space="preserve">the information or content includes any operationally sensitive information (within the meaning of the </w:t>
      </w:r>
      <w:r w:rsidRPr="00D13236">
        <w:rPr>
          <w:i/>
        </w:rPr>
        <w:t>Independent National Security Legislation Monitor Act 2010</w:t>
      </w:r>
      <w:r w:rsidRPr="00D13236">
        <w:t>); or</w:t>
      </w:r>
    </w:p>
    <w:p w:rsidR="00AD66CF" w:rsidRPr="00D13236" w:rsidRDefault="00AD66CF" w:rsidP="00D13236">
      <w:pPr>
        <w:pStyle w:val="paragraph"/>
      </w:pPr>
      <w:r w:rsidRPr="00D13236">
        <w:tab/>
        <w:t>(b)</w:t>
      </w:r>
      <w:r w:rsidRPr="00D13236">
        <w:tab/>
        <w:t xml:space="preserve">the disclosure of the information or content </w:t>
      </w:r>
      <w:r w:rsidR="00421639" w:rsidRPr="00D13236">
        <w:t>could</w:t>
      </w:r>
      <w:r w:rsidRPr="00D13236">
        <w:t xml:space="preserve"> prejudice:</w:t>
      </w:r>
    </w:p>
    <w:p w:rsidR="00AD66CF" w:rsidRPr="00D13236" w:rsidRDefault="00AD66CF" w:rsidP="00D13236">
      <w:pPr>
        <w:pStyle w:val="paragraphsub"/>
      </w:pPr>
      <w:r w:rsidRPr="00D13236">
        <w:tab/>
        <w:t>(</w:t>
      </w:r>
      <w:proofErr w:type="spellStart"/>
      <w:r w:rsidRPr="00D13236">
        <w:t>i</w:t>
      </w:r>
      <w:proofErr w:type="spellEnd"/>
      <w:r w:rsidRPr="00D13236">
        <w:t>)</w:t>
      </w:r>
      <w:r w:rsidRPr="00D13236">
        <w:tab/>
        <w:t>the security, defence or international relations of Australia; or</w:t>
      </w:r>
    </w:p>
    <w:p w:rsidR="00AD66CF" w:rsidRPr="00D13236" w:rsidRDefault="00AD66CF" w:rsidP="00D13236">
      <w:pPr>
        <w:pStyle w:val="paragraphsub"/>
      </w:pPr>
      <w:r w:rsidRPr="00D13236">
        <w:tab/>
        <w:t>(ii)</w:t>
      </w:r>
      <w:r w:rsidRPr="00D13236">
        <w:tab/>
        <w:t xml:space="preserve">the performance by a law enforcement or security agency (within the meaning of the </w:t>
      </w:r>
      <w:r w:rsidRPr="00D13236">
        <w:rPr>
          <w:i/>
        </w:rPr>
        <w:t>Independent National Security Legislation Monitor Act 2010</w:t>
      </w:r>
      <w:r w:rsidRPr="00D13236">
        <w:t>) of its functions; or</w:t>
      </w:r>
    </w:p>
    <w:p w:rsidR="00AD66CF" w:rsidRPr="00D13236" w:rsidRDefault="00AD66CF" w:rsidP="00D13236">
      <w:pPr>
        <w:pStyle w:val="paragraph"/>
      </w:pPr>
      <w:r w:rsidRPr="00D13236">
        <w:tab/>
        <w:t>(c)</w:t>
      </w:r>
      <w:r w:rsidRPr="00D13236">
        <w:tab/>
        <w:t xml:space="preserve">the disclosure of the information or content </w:t>
      </w:r>
      <w:r w:rsidR="00421639" w:rsidRPr="00D13236">
        <w:t>could</w:t>
      </w:r>
      <w:r w:rsidRPr="00D13236">
        <w:t xml:space="preserve"> endanger a person</w:t>
      </w:r>
      <w:r w:rsidR="00D461AB" w:rsidRPr="00D13236">
        <w:t>’</w:t>
      </w:r>
      <w:r w:rsidRPr="00D13236">
        <w:t>s safety; or</w:t>
      </w:r>
    </w:p>
    <w:p w:rsidR="00AD66CF" w:rsidRPr="00D13236" w:rsidRDefault="00AD66CF" w:rsidP="00D13236">
      <w:pPr>
        <w:pStyle w:val="paragraph"/>
      </w:pPr>
      <w:r w:rsidRPr="00D13236">
        <w:tab/>
        <w:t>(d)</w:t>
      </w:r>
      <w:r w:rsidRPr="00D13236">
        <w:tab/>
        <w:t>the disclosure of the information or content would be likely to be contrary to the public interest for any other reason</w:t>
      </w:r>
      <w:r w:rsidR="0015304A" w:rsidRPr="00D13236">
        <w:t>.</w:t>
      </w:r>
    </w:p>
    <w:p w:rsidR="00577396" w:rsidRPr="00D13236" w:rsidRDefault="00577396" w:rsidP="00D13236">
      <w:pPr>
        <w:pStyle w:val="subsection"/>
      </w:pPr>
      <w:r w:rsidRPr="00D13236">
        <w:tab/>
        <w:t>(5)</w:t>
      </w:r>
      <w:r w:rsidRPr="00D13236">
        <w:tab/>
        <w:t xml:space="preserve">The Minister does not have a duty to consider whether to exercise the power under </w:t>
      </w:r>
      <w:r w:rsidR="00D13236" w:rsidRPr="00D13236">
        <w:t>subsection (</w:t>
      </w:r>
      <w:r w:rsidRPr="00D13236">
        <w:t>1) in respect of any person, whether the Minister is requested to do so by the person whose citizenship ceased because of the determination, or by any other person, or in any other circumstances</w:t>
      </w:r>
      <w:r w:rsidR="0015304A" w:rsidRPr="00D13236">
        <w:t>.</w:t>
      </w:r>
    </w:p>
    <w:p w:rsidR="00577396" w:rsidRPr="00D13236" w:rsidRDefault="00577396" w:rsidP="00D13236">
      <w:pPr>
        <w:pStyle w:val="subsection"/>
      </w:pPr>
      <w:r w:rsidRPr="00D13236">
        <w:tab/>
        <w:t>(6)</w:t>
      </w:r>
      <w:r w:rsidRPr="00D13236">
        <w:tab/>
        <w:t xml:space="preserve">To avoid doubt, in deciding whether to </w:t>
      </w:r>
      <w:r w:rsidR="001A4CFB" w:rsidRPr="00D13236">
        <w:t>consider exercising the power under</w:t>
      </w:r>
      <w:r w:rsidRPr="00D13236">
        <w:t xml:space="preserve"> </w:t>
      </w:r>
      <w:r w:rsidR="00D13236" w:rsidRPr="00D13236">
        <w:t>subsection (</w:t>
      </w:r>
      <w:r w:rsidRPr="00D13236">
        <w:t>1), the Minister is not required to have regard to any of the matters referred to in section</w:t>
      </w:r>
      <w:r w:rsidR="00D13236" w:rsidRPr="00D13236">
        <w:t> </w:t>
      </w:r>
      <w:r w:rsidR="0015304A" w:rsidRPr="00D13236">
        <w:t>36E.</w:t>
      </w:r>
    </w:p>
    <w:p w:rsidR="00577396" w:rsidRPr="00D13236" w:rsidRDefault="00577396" w:rsidP="00D13236">
      <w:pPr>
        <w:pStyle w:val="subsection"/>
      </w:pPr>
      <w:r w:rsidRPr="00D13236">
        <w:tab/>
        <w:t>(7)</w:t>
      </w:r>
      <w:r w:rsidRPr="00D13236">
        <w:tab/>
        <w:t xml:space="preserve">The rules of natural justice </w:t>
      </w:r>
      <w:r w:rsidR="001820A7" w:rsidRPr="00D13236">
        <w:t xml:space="preserve">do not apply </w:t>
      </w:r>
      <w:r w:rsidR="00EE4099" w:rsidRPr="00D13236">
        <w:t xml:space="preserve">in relation </w:t>
      </w:r>
      <w:r w:rsidR="001820A7" w:rsidRPr="00D13236">
        <w:t xml:space="preserve">to </w:t>
      </w:r>
      <w:r w:rsidR="00EE4099" w:rsidRPr="00D13236">
        <w:t xml:space="preserve">making a </w:t>
      </w:r>
      <w:r w:rsidR="001820A7" w:rsidRPr="00D13236">
        <w:t xml:space="preserve">decision </w:t>
      </w:r>
      <w:r w:rsidR="00EE4099" w:rsidRPr="00D13236">
        <w:t xml:space="preserve">or exercising a power </w:t>
      </w:r>
      <w:r w:rsidR="00E20E1C" w:rsidRPr="00D13236">
        <w:t>under this section</w:t>
      </w:r>
      <w:r w:rsidR="0015304A" w:rsidRPr="00D13236">
        <w:t>.</w:t>
      </w:r>
    </w:p>
    <w:p w:rsidR="00070FE9" w:rsidRPr="00D13236" w:rsidRDefault="00577396" w:rsidP="00D13236">
      <w:pPr>
        <w:pStyle w:val="subsection"/>
      </w:pPr>
      <w:r w:rsidRPr="00D13236">
        <w:tab/>
        <w:t>(8)</w:t>
      </w:r>
      <w:r w:rsidRPr="00D13236">
        <w:tab/>
      </w:r>
      <w:r w:rsidR="00070FE9" w:rsidRPr="00D13236">
        <w:t>The powers of the Minister under this section may only be exercised by the Minister personally</w:t>
      </w:r>
      <w:r w:rsidR="0015304A" w:rsidRPr="00D13236">
        <w:t>.</w:t>
      </w:r>
    </w:p>
    <w:p w:rsidR="009B5AC0" w:rsidRPr="00D13236" w:rsidRDefault="0015304A" w:rsidP="00D13236">
      <w:pPr>
        <w:pStyle w:val="ActHead5"/>
      </w:pPr>
      <w:bookmarkStart w:id="23" w:name="_Toc51327908"/>
      <w:r w:rsidRPr="00D13236">
        <w:rPr>
          <w:rStyle w:val="CharSectno"/>
        </w:rPr>
        <w:t>36K</w:t>
      </w:r>
      <w:r w:rsidR="009B5AC0" w:rsidRPr="00D13236">
        <w:t xml:space="preserve">  Automatic revocation of citizenship cessation determination</w:t>
      </w:r>
      <w:bookmarkEnd w:id="23"/>
    </w:p>
    <w:p w:rsidR="00BB7EC9" w:rsidRPr="00D13236" w:rsidRDefault="00031D12" w:rsidP="00D13236">
      <w:pPr>
        <w:pStyle w:val="subsection"/>
      </w:pPr>
      <w:r w:rsidRPr="00D13236">
        <w:tab/>
        <w:t>(1)</w:t>
      </w:r>
      <w:r w:rsidRPr="00D13236">
        <w:tab/>
      </w:r>
      <w:r w:rsidR="00B37FEB" w:rsidRPr="00D13236">
        <w:t>A determination made under subsection</w:t>
      </w:r>
      <w:r w:rsidR="00D13236" w:rsidRPr="00D13236">
        <w:t> </w:t>
      </w:r>
      <w:r w:rsidR="0015304A" w:rsidRPr="00D13236">
        <w:t>36B</w:t>
      </w:r>
      <w:r w:rsidR="00D863FC" w:rsidRPr="00D13236">
        <w:t>(1</w:t>
      </w:r>
      <w:r w:rsidR="00B37FEB" w:rsidRPr="00D13236">
        <w:t xml:space="preserve">) or </w:t>
      </w:r>
      <w:r w:rsidR="0015304A" w:rsidRPr="00D13236">
        <w:t>36D</w:t>
      </w:r>
      <w:r w:rsidR="00B37FEB" w:rsidRPr="00D13236">
        <w:t xml:space="preserve">(1) because of which </w:t>
      </w:r>
      <w:r w:rsidR="00BB7EC9" w:rsidRPr="00D13236">
        <w:t>a person has ceased to be an Australian cit</w:t>
      </w:r>
      <w:r w:rsidR="00AB7890" w:rsidRPr="00D13236">
        <w:t xml:space="preserve">izen </w:t>
      </w:r>
      <w:r w:rsidR="00B37FEB" w:rsidRPr="00D13236">
        <w:t>is taken to be revoked (without any decision or exercise of power by the Minister) if any of the following events occur</w:t>
      </w:r>
      <w:r w:rsidR="00C35AD7" w:rsidRPr="00D13236">
        <w:t>s</w:t>
      </w:r>
      <w:r w:rsidR="00B37FEB" w:rsidRPr="00D13236">
        <w:t>:</w:t>
      </w:r>
    </w:p>
    <w:p w:rsidR="009B5AC0" w:rsidRPr="00D13236" w:rsidRDefault="009B5AC0" w:rsidP="00D13236">
      <w:pPr>
        <w:pStyle w:val="paragraph"/>
      </w:pPr>
      <w:r w:rsidRPr="00D13236">
        <w:tab/>
        <w:t>(a)</w:t>
      </w:r>
      <w:r w:rsidRPr="00D13236">
        <w:tab/>
        <w:t>for a determination under subsection</w:t>
      </w:r>
      <w:r w:rsidR="00D13236" w:rsidRPr="00D13236">
        <w:t> </w:t>
      </w:r>
      <w:r w:rsidR="0015304A" w:rsidRPr="00D13236">
        <w:t>36B</w:t>
      </w:r>
      <w:r w:rsidR="00D863FC" w:rsidRPr="00D13236">
        <w:t>(1)</w:t>
      </w:r>
      <w:r w:rsidRPr="00D13236">
        <w:t>—in proceedings under section</w:t>
      </w:r>
      <w:r w:rsidR="00D13236" w:rsidRPr="00D13236">
        <w:t> </w:t>
      </w:r>
      <w:r w:rsidRPr="00D13236">
        <w:t>75 of the Constitution, or under this Act or another Commonwealth Act, a court finds that the person did not engage in the conduct to which the determination relates;</w:t>
      </w:r>
    </w:p>
    <w:p w:rsidR="009D3B21" w:rsidRPr="00D13236" w:rsidRDefault="00F01241" w:rsidP="00D13236">
      <w:pPr>
        <w:pStyle w:val="paragraph"/>
      </w:pPr>
      <w:r w:rsidRPr="00D13236">
        <w:tab/>
        <w:t>(b)</w:t>
      </w:r>
      <w:r w:rsidRPr="00D13236">
        <w:tab/>
        <w:t>for a determination under subsection</w:t>
      </w:r>
      <w:r w:rsidR="00D13236" w:rsidRPr="00D13236">
        <w:t> </w:t>
      </w:r>
      <w:r w:rsidR="0015304A" w:rsidRPr="00D13236">
        <w:t>36D</w:t>
      </w:r>
      <w:r w:rsidRPr="00D13236">
        <w:t>(1)—</w:t>
      </w:r>
      <w:r w:rsidR="009D3B21" w:rsidRPr="00D13236">
        <w:t>both:</w:t>
      </w:r>
    </w:p>
    <w:p w:rsidR="00F01241" w:rsidRPr="00D13236" w:rsidRDefault="009D3B21" w:rsidP="00D13236">
      <w:pPr>
        <w:pStyle w:val="paragraphsub"/>
      </w:pPr>
      <w:r w:rsidRPr="00D13236">
        <w:tab/>
        <w:t>(</w:t>
      </w:r>
      <w:proofErr w:type="spellStart"/>
      <w:r w:rsidRPr="00D13236">
        <w:t>i</w:t>
      </w:r>
      <w:proofErr w:type="spellEnd"/>
      <w:r w:rsidRPr="00D13236">
        <w:t>)</w:t>
      </w:r>
      <w:r w:rsidRPr="00D13236">
        <w:tab/>
      </w:r>
      <w:r w:rsidR="00C50BAD" w:rsidRPr="00D13236">
        <w:t xml:space="preserve">a </w:t>
      </w:r>
      <w:r w:rsidR="00F01241" w:rsidRPr="00D13236">
        <w:t xml:space="preserve">decision of a court </w:t>
      </w:r>
      <w:r w:rsidR="000173F7" w:rsidRPr="00D13236">
        <w:t>has overturned</w:t>
      </w:r>
      <w:r w:rsidR="00F01241" w:rsidRPr="00D13236">
        <w:t xml:space="preserve"> or quashe</w:t>
      </w:r>
      <w:r w:rsidR="000173F7" w:rsidRPr="00D13236">
        <w:t>d</w:t>
      </w:r>
      <w:r w:rsidR="00F01241" w:rsidRPr="00D13236">
        <w:t xml:space="preserve"> the conviction</w:t>
      </w:r>
      <w:r w:rsidR="000173F7" w:rsidRPr="00D13236">
        <w:t>,</w:t>
      </w:r>
      <w:r w:rsidR="00F01241" w:rsidRPr="00D13236">
        <w:t xml:space="preserve"> or each conviction</w:t>
      </w:r>
      <w:r w:rsidR="00AE7F50" w:rsidRPr="00D13236">
        <w:t>,</w:t>
      </w:r>
      <w:r w:rsidR="00F01241" w:rsidRPr="00D13236">
        <w:t xml:space="preserve"> to which the d</w:t>
      </w:r>
      <w:r w:rsidR="000173F7" w:rsidRPr="00D13236">
        <w:t>etermination relates, or has reduced</w:t>
      </w:r>
      <w:r w:rsidR="00F01241" w:rsidRPr="00D13236">
        <w:t xml:space="preserve"> </w:t>
      </w:r>
      <w:r w:rsidR="00AE7F50" w:rsidRPr="00D13236">
        <w:t>the sentence, or each sentence, to which the determination relates below the period specified in paragraph</w:t>
      </w:r>
      <w:r w:rsidR="00D13236" w:rsidRPr="00D13236">
        <w:t> </w:t>
      </w:r>
      <w:r w:rsidR="0015304A" w:rsidRPr="00D13236">
        <w:t>36D</w:t>
      </w:r>
      <w:r w:rsidR="00AE7F50" w:rsidRPr="00D13236">
        <w:t>(1)(b)</w:t>
      </w:r>
      <w:r w:rsidR="00C50BAD" w:rsidRPr="00D13236">
        <w:t>;</w:t>
      </w:r>
      <w:r w:rsidRPr="00D13236">
        <w:t xml:space="preserve"> and</w:t>
      </w:r>
    </w:p>
    <w:p w:rsidR="009D3B21" w:rsidRPr="00D13236" w:rsidRDefault="009D3B21" w:rsidP="00D13236">
      <w:pPr>
        <w:pStyle w:val="paragraphsub"/>
      </w:pPr>
      <w:r w:rsidRPr="00D13236">
        <w:tab/>
        <w:t>(ii)</w:t>
      </w:r>
      <w:r w:rsidRPr="00D13236">
        <w:tab/>
      </w:r>
      <w:r w:rsidR="00D500D3" w:rsidRPr="00D13236">
        <w:t>the time for appealing</w:t>
      </w:r>
      <w:r w:rsidR="000173F7" w:rsidRPr="00D13236">
        <w:t>, or applying for leave to appeal,</w:t>
      </w:r>
      <w:r w:rsidR="00D500D3" w:rsidRPr="00D13236">
        <w:t xml:space="preserve"> the decision</w:t>
      </w:r>
      <w:r w:rsidR="008B476C" w:rsidRPr="00D13236">
        <w:t xml:space="preserve"> has expired without an appeal</w:t>
      </w:r>
      <w:r w:rsidR="000173F7" w:rsidRPr="00D13236">
        <w:t xml:space="preserve"> or application being </w:t>
      </w:r>
      <w:r w:rsidR="008B476C" w:rsidRPr="00D13236">
        <w:t>lodged</w:t>
      </w:r>
      <w:r w:rsidR="000173F7" w:rsidRPr="00D13236">
        <w:t>,</w:t>
      </w:r>
      <w:r w:rsidR="008B476C" w:rsidRPr="00D13236">
        <w:t xml:space="preserve"> or the decision </w:t>
      </w:r>
      <w:r w:rsidR="000173F7" w:rsidRPr="00D13236">
        <w:t>is</w:t>
      </w:r>
      <w:r w:rsidR="008B476C" w:rsidRPr="00D13236">
        <w:t xml:space="preserve"> not </w:t>
      </w:r>
      <w:proofErr w:type="spellStart"/>
      <w:r w:rsidR="008B476C" w:rsidRPr="00D13236">
        <w:t>appellable</w:t>
      </w:r>
      <w:proofErr w:type="spellEnd"/>
      <w:r w:rsidR="008B476C" w:rsidRPr="00D13236">
        <w:t>;</w:t>
      </w:r>
    </w:p>
    <w:p w:rsidR="009B5AC0" w:rsidRPr="00D13236" w:rsidRDefault="009B5AC0" w:rsidP="00D13236">
      <w:pPr>
        <w:pStyle w:val="paragraph"/>
      </w:pPr>
      <w:r w:rsidRPr="00D13236">
        <w:tab/>
        <w:t>(</w:t>
      </w:r>
      <w:r w:rsidR="001E195B" w:rsidRPr="00D13236">
        <w:t>c</w:t>
      </w:r>
      <w:r w:rsidRPr="00D13236">
        <w:t>)</w:t>
      </w:r>
      <w:r w:rsidRPr="00D13236">
        <w:tab/>
        <w:t>in proceedings under section</w:t>
      </w:r>
      <w:r w:rsidR="00D13236" w:rsidRPr="00D13236">
        <w:t> </w:t>
      </w:r>
      <w:r w:rsidRPr="00D13236">
        <w:t>75 of the Constitution, or under this Act or another Commonwealth Act, a court finds that the person was not a national or citizen of a country other than Australia at the time the determination was made;</w:t>
      </w:r>
    </w:p>
    <w:p w:rsidR="007D28AB" w:rsidRPr="00D13236" w:rsidRDefault="001E195B" w:rsidP="00D13236">
      <w:pPr>
        <w:pStyle w:val="paragraph"/>
      </w:pPr>
      <w:r w:rsidRPr="00D13236">
        <w:tab/>
        <w:t>(d</w:t>
      </w:r>
      <w:r w:rsidR="007D28AB" w:rsidRPr="00D13236">
        <w:t>)</w:t>
      </w:r>
      <w:r w:rsidR="007D28AB" w:rsidRPr="00D13236">
        <w:tab/>
        <w:t>a declaration under section</w:t>
      </w:r>
      <w:r w:rsidR="00D13236" w:rsidRPr="00D13236">
        <w:t> </w:t>
      </w:r>
      <w:r w:rsidR="0015304A" w:rsidRPr="00D13236">
        <w:t>36C</w:t>
      </w:r>
      <w:r w:rsidR="007D28AB" w:rsidRPr="00D13236">
        <w:t xml:space="preserve"> (declared terrorist organisation) is disallowed by either House of the Parliament and the determination would not have been made if that declaration had not been made</w:t>
      </w:r>
      <w:r w:rsidR="0015304A" w:rsidRPr="00D13236">
        <w:t>.</w:t>
      </w:r>
    </w:p>
    <w:p w:rsidR="00EE07B8" w:rsidRPr="00D13236" w:rsidRDefault="009D3B21" w:rsidP="00D13236">
      <w:pPr>
        <w:pStyle w:val="subsection"/>
      </w:pPr>
      <w:r w:rsidRPr="00D13236">
        <w:tab/>
        <w:t>(2</w:t>
      </w:r>
      <w:r w:rsidR="00B47E9A" w:rsidRPr="00D13236">
        <w:t>)</w:t>
      </w:r>
      <w:r w:rsidR="00B47E9A" w:rsidRPr="00D13236">
        <w:tab/>
      </w:r>
      <w:r w:rsidR="00B37FEB" w:rsidRPr="00D13236">
        <w:t xml:space="preserve">If </w:t>
      </w:r>
      <w:r w:rsidR="003B61F8" w:rsidRPr="00D13236">
        <w:t xml:space="preserve">an event mentioned in </w:t>
      </w:r>
      <w:r w:rsidR="00D13236" w:rsidRPr="00D13236">
        <w:t>subsection (</w:t>
      </w:r>
      <w:r w:rsidR="00B37FEB" w:rsidRPr="00D13236">
        <w:t>1)</w:t>
      </w:r>
      <w:r w:rsidR="00DC3711" w:rsidRPr="00D13236">
        <w:t xml:space="preserve"> </w:t>
      </w:r>
      <w:r w:rsidR="003B61F8" w:rsidRPr="00D13236">
        <w:t xml:space="preserve">occurs in relation to a determination, </w:t>
      </w:r>
      <w:r w:rsidR="00EE07B8" w:rsidRPr="00D13236">
        <w:t>the person</w:t>
      </w:r>
      <w:r w:rsidR="00D461AB" w:rsidRPr="00D13236">
        <w:t>’</w:t>
      </w:r>
      <w:r w:rsidR="00EE07B8" w:rsidRPr="00D13236">
        <w:t>s citizenship is taken never to have ceased under section</w:t>
      </w:r>
      <w:r w:rsidR="00D13236" w:rsidRPr="00D13236">
        <w:t> </w:t>
      </w:r>
      <w:r w:rsidR="0015304A" w:rsidRPr="00D13236">
        <w:t>36B</w:t>
      </w:r>
      <w:r w:rsidR="00EE07B8" w:rsidRPr="00D13236">
        <w:t xml:space="preserve"> or </w:t>
      </w:r>
      <w:r w:rsidR="0015304A" w:rsidRPr="00D13236">
        <w:t>36D</w:t>
      </w:r>
      <w:r w:rsidR="00EE07B8" w:rsidRPr="00D13236">
        <w:t xml:space="preserve"> (as applicable) because of the determination</w:t>
      </w:r>
      <w:r w:rsidR="0015304A" w:rsidRPr="00D13236">
        <w:t>.</w:t>
      </w:r>
      <w:r w:rsidR="00B37FEB" w:rsidRPr="00D13236">
        <w:t xml:space="preserve"> However, the validity of anything done in reliance on the determination before the </w:t>
      </w:r>
      <w:r w:rsidR="00DC3711" w:rsidRPr="00D13236">
        <w:t>event occur</w:t>
      </w:r>
      <w:r w:rsidR="003B61F8" w:rsidRPr="00D13236">
        <w:t>red</w:t>
      </w:r>
      <w:r w:rsidR="00B37FEB" w:rsidRPr="00D13236">
        <w:t xml:space="preserve"> is not affected</w:t>
      </w:r>
      <w:r w:rsidR="0015304A" w:rsidRPr="00D13236">
        <w:t>.</w:t>
      </w:r>
    </w:p>
    <w:p w:rsidR="000D3D0A" w:rsidRPr="00D13236" w:rsidRDefault="0015304A" w:rsidP="00D13236">
      <w:pPr>
        <w:pStyle w:val="ActHead5"/>
      </w:pPr>
      <w:bookmarkStart w:id="24" w:name="_Toc51327909"/>
      <w:r w:rsidRPr="00D13236">
        <w:rPr>
          <w:rStyle w:val="CharSectno"/>
        </w:rPr>
        <w:t>36L</w:t>
      </w:r>
      <w:r w:rsidR="000D3D0A" w:rsidRPr="00D13236">
        <w:t xml:space="preserve">  No resumption of citizenship if citizenship ceases under </w:t>
      </w:r>
      <w:r w:rsidR="008B024F" w:rsidRPr="00D13236">
        <w:t>this Subdivision</w:t>
      </w:r>
      <w:bookmarkEnd w:id="24"/>
    </w:p>
    <w:p w:rsidR="000D3D0A" w:rsidRPr="00D13236" w:rsidRDefault="000D3D0A" w:rsidP="00D13236">
      <w:pPr>
        <w:pStyle w:val="subsection"/>
      </w:pPr>
      <w:r w:rsidRPr="00D13236">
        <w:tab/>
      </w:r>
      <w:r w:rsidRPr="00D13236">
        <w:tab/>
        <w:t xml:space="preserve">If </w:t>
      </w:r>
      <w:r w:rsidR="00C24F7A" w:rsidRPr="00D13236">
        <w:t xml:space="preserve">a person ceases to be an Australian citizen </w:t>
      </w:r>
      <w:r w:rsidRPr="00D13236">
        <w:t xml:space="preserve">under </w:t>
      </w:r>
      <w:r w:rsidR="008B024F" w:rsidRPr="00D13236">
        <w:t>this Subdivision</w:t>
      </w:r>
      <w:r w:rsidRPr="00D13236">
        <w:t>, Divisions</w:t>
      </w:r>
      <w:r w:rsidR="00D13236" w:rsidRPr="00D13236">
        <w:t> </w:t>
      </w:r>
      <w:r w:rsidRPr="00D13236">
        <w:t xml:space="preserve">1 and 2 of this Part do not apply in relation to the person </w:t>
      </w:r>
      <w:r w:rsidR="008B024F" w:rsidRPr="00D13236">
        <w:t>after</w:t>
      </w:r>
      <w:r w:rsidRPr="00D13236">
        <w:t xml:space="preserve"> that cessation</w:t>
      </w:r>
      <w:r w:rsidR="0015304A" w:rsidRPr="00D13236">
        <w:t>.</w:t>
      </w:r>
    </w:p>
    <w:p w:rsidR="005C5B7A" w:rsidRPr="00D13236" w:rsidRDefault="005C5B7A" w:rsidP="00D13236">
      <w:pPr>
        <w:pStyle w:val="notetext"/>
      </w:pPr>
      <w:r w:rsidRPr="00D13236">
        <w:t>Note:</w:t>
      </w:r>
      <w:r w:rsidRPr="00D13236">
        <w:tab/>
        <w:t>The effect of this section is that, unle</w:t>
      </w:r>
      <w:r w:rsidR="006D437E" w:rsidRPr="00D13236">
        <w:t>s</w:t>
      </w:r>
      <w:r w:rsidRPr="00D13236">
        <w:t>s a determination under section</w:t>
      </w:r>
      <w:r w:rsidR="00D13236" w:rsidRPr="00D13236">
        <w:t> </w:t>
      </w:r>
      <w:r w:rsidR="0015304A" w:rsidRPr="00D13236">
        <w:t>36B</w:t>
      </w:r>
      <w:r w:rsidR="000D3D0A" w:rsidRPr="00D13236">
        <w:t xml:space="preserve"> </w:t>
      </w:r>
      <w:r w:rsidRPr="00D13236">
        <w:t xml:space="preserve">or </w:t>
      </w:r>
      <w:r w:rsidR="0015304A" w:rsidRPr="00D13236">
        <w:t>36D</w:t>
      </w:r>
      <w:r w:rsidRPr="00D13236">
        <w:t xml:space="preserve"> is </w:t>
      </w:r>
      <w:r w:rsidR="0017795C" w:rsidRPr="00D13236">
        <w:t>revoked (see section</w:t>
      </w:r>
      <w:r w:rsidR="00D2299B" w:rsidRPr="00D13236">
        <w:t>s</w:t>
      </w:r>
      <w:r w:rsidR="00D13236" w:rsidRPr="00D13236">
        <w:t> </w:t>
      </w:r>
      <w:r w:rsidR="0015304A" w:rsidRPr="00D13236">
        <w:t>36H</w:t>
      </w:r>
      <w:r w:rsidR="005478AD" w:rsidRPr="00D13236">
        <w:t xml:space="preserve">, </w:t>
      </w:r>
      <w:r w:rsidR="0015304A" w:rsidRPr="00D13236">
        <w:t>36J</w:t>
      </w:r>
      <w:r w:rsidR="005478AD" w:rsidRPr="00D13236">
        <w:t xml:space="preserve"> and </w:t>
      </w:r>
      <w:r w:rsidR="0015304A" w:rsidRPr="00D13236">
        <w:t>36K</w:t>
      </w:r>
      <w:r w:rsidR="0017795C" w:rsidRPr="00D13236">
        <w:t>),</w:t>
      </w:r>
      <w:r w:rsidRPr="00D13236">
        <w:t xml:space="preserve"> the person can never become an Australian citizen again</w:t>
      </w:r>
      <w:r w:rsidR="0015304A" w:rsidRPr="00D13236">
        <w:t>.</w:t>
      </w:r>
    </w:p>
    <w:p w:rsidR="008F59DB" w:rsidRPr="00D13236" w:rsidRDefault="0015304A" w:rsidP="00D13236">
      <w:pPr>
        <w:pStyle w:val="ItemHead"/>
      </w:pPr>
      <w:r w:rsidRPr="00D13236">
        <w:t>10</w:t>
      </w:r>
      <w:r w:rsidR="008F59DB" w:rsidRPr="00D13236">
        <w:t xml:space="preserve">  After subsection</w:t>
      </w:r>
      <w:r w:rsidR="00D13236" w:rsidRPr="00D13236">
        <w:t> </w:t>
      </w:r>
      <w:r w:rsidR="008F59DB" w:rsidRPr="00D13236">
        <w:t>48(5)</w:t>
      </w:r>
    </w:p>
    <w:p w:rsidR="008F59DB" w:rsidRPr="00D13236" w:rsidRDefault="008F59DB" w:rsidP="00D13236">
      <w:pPr>
        <w:pStyle w:val="Item"/>
      </w:pPr>
      <w:r w:rsidRPr="00D13236">
        <w:t>Insert:</w:t>
      </w:r>
    </w:p>
    <w:p w:rsidR="008F59DB" w:rsidRPr="00D13236" w:rsidRDefault="002E6170" w:rsidP="00D13236">
      <w:pPr>
        <w:pStyle w:val="SubsectionHead"/>
      </w:pPr>
      <w:r w:rsidRPr="00D13236">
        <w:t>Exception</w:t>
      </w:r>
      <w:r w:rsidR="00D94594" w:rsidRPr="00D13236">
        <w:t>s</w:t>
      </w:r>
    </w:p>
    <w:p w:rsidR="00DA767A" w:rsidRPr="00D13236" w:rsidRDefault="00DA767A" w:rsidP="00D13236">
      <w:pPr>
        <w:pStyle w:val="subsection"/>
      </w:pPr>
      <w:r w:rsidRPr="00D13236">
        <w:tab/>
        <w:t>(5A)</w:t>
      </w:r>
      <w:r w:rsidRPr="00D13236">
        <w:tab/>
        <w:t xml:space="preserve">This section does not apply in relation to anything done under </w:t>
      </w:r>
      <w:r w:rsidR="00D863FC" w:rsidRPr="00D13236">
        <w:t>Subdivision C of Division</w:t>
      </w:r>
      <w:r w:rsidR="00D13236" w:rsidRPr="00D13236">
        <w:t> </w:t>
      </w:r>
      <w:r w:rsidR="00D863FC" w:rsidRPr="00D13236">
        <w:t>3 of Part</w:t>
      </w:r>
      <w:r w:rsidR="00D13236" w:rsidRPr="00D13236">
        <w:t> </w:t>
      </w:r>
      <w:r w:rsidR="00D863FC" w:rsidRPr="00D13236">
        <w:t>2</w:t>
      </w:r>
      <w:r w:rsidR="00A069D6" w:rsidRPr="00D13236">
        <w:t xml:space="preserve"> (</w:t>
      </w:r>
      <w:r w:rsidRPr="00D13236">
        <w:t>citizenship cessation determinations)</w:t>
      </w:r>
      <w:r w:rsidR="0015304A" w:rsidRPr="00D13236">
        <w:t>.</w:t>
      </w:r>
    </w:p>
    <w:p w:rsidR="005C5B7A" w:rsidRPr="00D13236" w:rsidRDefault="0015304A" w:rsidP="00D13236">
      <w:pPr>
        <w:pStyle w:val="ItemHead"/>
      </w:pPr>
      <w:r w:rsidRPr="00D13236">
        <w:t>11</w:t>
      </w:r>
      <w:r w:rsidR="005C5B7A" w:rsidRPr="00D13236">
        <w:t xml:space="preserve">  </w:t>
      </w:r>
      <w:r w:rsidR="00AC4A52" w:rsidRPr="00D13236">
        <w:t>Subsection</w:t>
      </w:r>
      <w:r w:rsidR="00D13236" w:rsidRPr="00D13236">
        <w:t> </w:t>
      </w:r>
      <w:r w:rsidR="00444F72" w:rsidRPr="00D13236">
        <w:t>51B</w:t>
      </w:r>
      <w:r w:rsidR="00AC4A52" w:rsidRPr="00D13236">
        <w:t>(1)</w:t>
      </w:r>
    </w:p>
    <w:p w:rsidR="00AC4A52" w:rsidRPr="00D13236" w:rsidRDefault="00AC4A52" w:rsidP="00D13236">
      <w:pPr>
        <w:pStyle w:val="Item"/>
      </w:pPr>
      <w:r w:rsidRPr="00D13236">
        <w:t>Repeal the subsection, substitute:</w:t>
      </w:r>
    </w:p>
    <w:p w:rsidR="00AC4A52" w:rsidRPr="00D13236" w:rsidRDefault="00AC4A52" w:rsidP="00D13236">
      <w:pPr>
        <w:pStyle w:val="subsection"/>
      </w:pPr>
      <w:r w:rsidRPr="00D13236">
        <w:tab/>
        <w:t>(1)</w:t>
      </w:r>
      <w:r w:rsidRPr="00D13236">
        <w:tab/>
        <w:t>As soon as practicable after each reporting period, the Minister must table a report in each House of the Parliament that sets out</w:t>
      </w:r>
      <w:r w:rsidR="00B32175" w:rsidRPr="00D13236">
        <w:t xml:space="preserve"> the following</w:t>
      </w:r>
      <w:r w:rsidRPr="00D13236">
        <w:t>:</w:t>
      </w:r>
    </w:p>
    <w:p w:rsidR="0045457C" w:rsidRPr="00D13236" w:rsidRDefault="00AA2924" w:rsidP="00D13236">
      <w:pPr>
        <w:pStyle w:val="paragraph"/>
      </w:pPr>
      <w:r w:rsidRPr="00D13236">
        <w:tab/>
        <w:t>(a)</w:t>
      </w:r>
      <w:r w:rsidRPr="00D13236">
        <w:tab/>
        <w:t xml:space="preserve">the number of </w:t>
      </w:r>
      <w:r w:rsidR="0045457C" w:rsidRPr="00D13236">
        <w:t>notices given by the Minister under paragraph</w:t>
      </w:r>
      <w:r w:rsidR="00D13236" w:rsidRPr="00D13236">
        <w:t> </w:t>
      </w:r>
      <w:r w:rsidR="0015304A" w:rsidRPr="00D13236">
        <w:t>36F</w:t>
      </w:r>
      <w:r w:rsidR="0045457C" w:rsidRPr="00D13236">
        <w:t xml:space="preserve">(1)(a) (notice of citizenship </w:t>
      </w:r>
      <w:r w:rsidR="00BA2741" w:rsidRPr="00D13236">
        <w:t>cessation</w:t>
      </w:r>
      <w:r w:rsidR="0045457C" w:rsidRPr="00D13236">
        <w:t>) during the reporting period;</w:t>
      </w:r>
    </w:p>
    <w:p w:rsidR="003D7286" w:rsidRPr="00D13236" w:rsidRDefault="00503076" w:rsidP="00D13236">
      <w:pPr>
        <w:pStyle w:val="paragraph"/>
      </w:pPr>
      <w:r w:rsidRPr="00D13236">
        <w:tab/>
        <w:t>(b</w:t>
      </w:r>
      <w:r w:rsidR="003D7286" w:rsidRPr="00D13236">
        <w:t>)</w:t>
      </w:r>
      <w:r w:rsidR="003D7286" w:rsidRPr="00D13236">
        <w:tab/>
        <w:t xml:space="preserve">for each notice </w:t>
      </w:r>
      <w:r w:rsidRPr="00D13236">
        <w:t xml:space="preserve">that was given </w:t>
      </w:r>
      <w:r w:rsidR="00946544" w:rsidRPr="00D13236">
        <w:t>under paragraph</w:t>
      </w:r>
      <w:r w:rsidR="00D13236" w:rsidRPr="00D13236">
        <w:t> </w:t>
      </w:r>
      <w:r w:rsidR="0015304A" w:rsidRPr="00D13236">
        <w:t>36F</w:t>
      </w:r>
      <w:r w:rsidR="00946544" w:rsidRPr="00D13236">
        <w:t xml:space="preserve">(1)(a) </w:t>
      </w:r>
      <w:r w:rsidR="003D7286" w:rsidRPr="00D13236">
        <w:t>during the reporting period—a brief statement of the matters that are the basis for the determination to which the notice relates;</w:t>
      </w:r>
    </w:p>
    <w:p w:rsidR="00053EE0" w:rsidRPr="00D13236" w:rsidRDefault="00503076" w:rsidP="00D13236">
      <w:pPr>
        <w:pStyle w:val="paragraph"/>
      </w:pPr>
      <w:r w:rsidRPr="00D13236">
        <w:tab/>
        <w:t>(c</w:t>
      </w:r>
      <w:r w:rsidR="003A6A03" w:rsidRPr="00D13236">
        <w:t>)</w:t>
      </w:r>
      <w:r w:rsidR="003A6A03" w:rsidRPr="00D13236">
        <w:tab/>
        <w:t xml:space="preserve">the number of notices </w:t>
      </w:r>
      <w:r w:rsidR="00946544" w:rsidRPr="00D13236">
        <w:t xml:space="preserve">given </w:t>
      </w:r>
      <w:r w:rsidR="003A6A03" w:rsidRPr="00D13236">
        <w:t>by the Minister</w:t>
      </w:r>
      <w:r w:rsidR="00053EE0" w:rsidRPr="00D13236">
        <w:t xml:space="preserve"> under </w:t>
      </w:r>
      <w:r w:rsidR="003A6A03" w:rsidRPr="00D13236">
        <w:t>sub</w:t>
      </w:r>
      <w:r w:rsidR="00053EE0" w:rsidRPr="00D13236">
        <w:t>section</w:t>
      </w:r>
      <w:r w:rsidR="00D13236" w:rsidRPr="00D13236">
        <w:t> </w:t>
      </w:r>
      <w:r w:rsidR="0015304A" w:rsidRPr="00D13236">
        <w:t>36H</w:t>
      </w:r>
      <w:r w:rsidR="00D37D2C" w:rsidRPr="00D13236">
        <w:t>(</w:t>
      </w:r>
      <w:r w:rsidR="00374BC7" w:rsidRPr="00D13236">
        <w:t>4</w:t>
      </w:r>
      <w:r w:rsidR="003A6A03" w:rsidRPr="00D13236">
        <w:t>)</w:t>
      </w:r>
      <w:r w:rsidR="00053EE0" w:rsidRPr="00D13236">
        <w:t xml:space="preserve"> </w:t>
      </w:r>
      <w:r w:rsidR="00946544" w:rsidRPr="00D13236">
        <w:t xml:space="preserve">during the reporting period </w:t>
      </w:r>
      <w:r w:rsidR="00053EE0" w:rsidRPr="00D13236">
        <w:t>(</w:t>
      </w:r>
      <w:r w:rsidR="003A6A03" w:rsidRPr="00D13236">
        <w:t xml:space="preserve">notice of decision on application to have </w:t>
      </w:r>
      <w:r w:rsidR="00053EE0" w:rsidRPr="00D13236">
        <w:t>citizen</w:t>
      </w:r>
      <w:r w:rsidR="003A6A03" w:rsidRPr="00D13236">
        <w:t>ship cessation determination revoked</w:t>
      </w:r>
      <w:r w:rsidR="00053EE0" w:rsidRPr="00D13236">
        <w:t>)</w:t>
      </w:r>
      <w:r w:rsidR="0015304A" w:rsidRPr="00D13236">
        <w:t>.</w:t>
      </w:r>
    </w:p>
    <w:p w:rsidR="00844DC4" w:rsidRPr="00D13236" w:rsidRDefault="0015304A" w:rsidP="00D13236">
      <w:pPr>
        <w:pStyle w:val="ItemHead"/>
      </w:pPr>
      <w:r w:rsidRPr="00D13236">
        <w:t>12</w:t>
      </w:r>
      <w:r w:rsidR="00844DC4" w:rsidRPr="00D13236">
        <w:t xml:space="preserve">  Subsection</w:t>
      </w:r>
      <w:r w:rsidR="00F20750" w:rsidRPr="00D13236">
        <w:t>s</w:t>
      </w:r>
      <w:r w:rsidR="00D13236" w:rsidRPr="00D13236">
        <w:t> </w:t>
      </w:r>
      <w:r w:rsidR="00844DC4" w:rsidRPr="00D13236">
        <w:t>51C(1)</w:t>
      </w:r>
      <w:r w:rsidR="00F20750" w:rsidRPr="00D13236">
        <w:t xml:space="preserve"> and (2)</w:t>
      </w:r>
    </w:p>
    <w:p w:rsidR="00844DC4" w:rsidRPr="00D13236" w:rsidRDefault="00844DC4" w:rsidP="00D13236">
      <w:pPr>
        <w:pStyle w:val="Item"/>
      </w:pPr>
      <w:r w:rsidRPr="00D13236">
        <w:t>Repeal the subsection</w:t>
      </w:r>
      <w:r w:rsidR="00F20750" w:rsidRPr="00D13236">
        <w:t>s</w:t>
      </w:r>
      <w:r w:rsidRPr="00D13236">
        <w:t>, substitute:</w:t>
      </w:r>
    </w:p>
    <w:p w:rsidR="00C452D7" w:rsidRPr="00D13236" w:rsidRDefault="00844DC4" w:rsidP="00D13236">
      <w:pPr>
        <w:pStyle w:val="subsection"/>
      </w:pPr>
      <w:r w:rsidRPr="00D13236">
        <w:tab/>
        <w:t>(1)</w:t>
      </w:r>
      <w:r w:rsidRPr="00D13236">
        <w:tab/>
        <w:t>Th</w:t>
      </w:r>
      <w:r w:rsidR="00F20750" w:rsidRPr="00D13236">
        <w:t>e Minister must</w:t>
      </w:r>
      <w:r w:rsidR="00946544" w:rsidRPr="00D13236">
        <w:t>, in writing,</w:t>
      </w:r>
      <w:r w:rsidR="00F20750" w:rsidRPr="00D13236">
        <w:t xml:space="preserve"> inform the Parliamentary Joint Committee on Intelligence and </w:t>
      </w:r>
      <w:r w:rsidR="008C0A7A" w:rsidRPr="00D13236">
        <w:t xml:space="preserve">Security as soon as practicable </w:t>
      </w:r>
      <w:r w:rsidR="00C452D7" w:rsidRPr="00D13236">
        <w:t>if</w:t>
      </w:r>
      <w:r w:rsidR="00C35AD7" w:rsidRPr="00D13236">
        <w:t xml:space="preserve"> any of the following events occurs</w:t>
      </w:r>
      <w:r w:rsidR="00C452D7" w:rsidRPr="00D13236">
        <w:t>:</w:t>
      </w:r>
    </w:p>
    <w:p w:rsidR="00C627BF" w:rsidRPr="00D13236" w:rsidRDefault="000960F5" w:rsidP="00D13236">
      <w:pPr>
        <w:pStyle w:val="paragraph"/>
      </w:pPr>
      <w:r w:rsidRPr="00D13236">
        <w:tab/>
        <w:t>(a)</w:t>
      </w:r>
      <w:r w:rsidRPr="00D13236">
        <w:tab/>
        <w:t>the Minister gives</w:t>
      </w:r>
      <w:r w:rsidR="00503076" w:rsidRPr="00D13236">
        <w:t xml:space="preserve"> </w:t>
      </w:r>
      <w:r w:rsidRPr="00D13236">
        <w:t xml:space="preserve">a person </w:t>
      </w:r>
      <w:r w:rsidR="007307E9" w:rsidRPr="00D13236">
        <w:t xml:space="preserve">a </w:t>
      </w:r>
      <w:r w:rsidRPr="00D13236">
        <w:t xml:space="preserve">notice under </w:t>
      </w:r>
      <w:r w:rsidR="007307E9" w:rsidRPr="00D13236">
        <w:t>paragraph</w:t>
      </w:r>
      <w:r w:rsidR="00D13236" w:rsidRPr="00D13236">
        <w:t> </w:t>
      </w:r>
      <w:r w:rsidR="0015304A" w:rsidRPr="00D13236">
        <w:t>36F</w:t>
      </w:r>
      <w:r w:rsidRPr="00D13236">
        <w:t>(1)</w:t>
      </w:r>
      <w:r w:rsidR="007307E9" w:rsidRPr="00D13236">
        <w:t>(a)</w:t>
      </w:r>
      <w:r w:rsidRPr="00D13236">
        <w:t xml:space="preserve"> (notice of </w:t>
      </w:r>
      <w:r w:rsidR="00C627BF" w:rsidRPr="00D13236">
        <w:t xml:space="preserve">citizenship </w:t>
      </w:r>
      <w:r w:rsidR="0026504C" w:rsidRPr="00D13236">
        <w:t>cessation</w:t>
      </w:r>
      <w:r w:rsidRPr="00D13236">
        <w:t>);</w:t>
      </w:r>
    </w:p>
    <w:p w:rsidR="00844DC4" w:rsidRPr="00D13236" w:rsidRDefault="000960F5" w:rsidP="00D13236">
      <w:pPr>
        <w:pStyle w:val="paragraph"/>
      </w:pPr>
      <w:r w:rsidRPr="00D13236">
        <w:tab/>
        <w:t>(b)</w:t>
      </w:r>
      <w:r w:rsidRPr="00D13236">
        <w:tab/>
        <w:t xml:space="preserve">the Minister makes a determination </w:t>
      </w:r>
      <w:r w:rsidR="00C627BF" w:rsidRPr="00D13236">
        <w:t>under subsection</w:t>
      </w:r>
      <w:r w:rsidR="00D13236" w:rsidRPr="00D13236">
        <w:t> </w:t>
      </w:r>
      <w:r w:rsidR="0015304A" w:rsidRPr="00D13236">
        <w:t>36G</w:t>
      </w:r>
      <w:r w:rsidR="00620BBF" w:rsidRPr="00D13236">
        <w:t>(1)</w:t>
      </w:r>
      <w:r w:rsidR="00C627BF" w:rsidRPr="00D13236">
        <w:t xml:space="preserve"> (</w:t>
      </w:r>
      <w:r w:rsidR="0026504C" w:rsidRPr="00D13236">
        <w:t xml:space="preserve">that </w:t>
      </w:r>
      <w:r w:rsidR="00C627BF" w:rsidRPr="00D13236">
        <w:t xml:space="preserve">notice of citizenship </w:t>
      </w:r>
      <w:r w:rsidR="0026504C" w:rsidRPr="00D13236">
        <w:t>cessation should not be given</w:t>
      </w:r>
      <w:r w:rsidR="00C35AD7" w:rsidRPr="00D13236">
        <w:t>);</w:t>
      </w:r>
    </w:p>
    <w:p w:rsidR="00C452D7" w:rsidRPr="00D13236" w:rsidRDefault="00C452D7" w:rsidP="00D13236">
      <w:pPr>
        <w:pStyle w:val="paragraph"/>
      </w:pPr>
      <w:r w:rsidRPr="00D13236">
        <w:tab/>
        <w:t>(</w:t>
      </w:r>
      <w:r w:rsidR="000960F5" w:rsidRPr="00D13236">
        <w:t>c</w:t>
      </w:r>
      <w:r w:rsidRPr="00D13236">
        <w:t>)</w:t>
      </w:r>
      <w:r w:rsidRPr="00D13236">
        <w:tab/>
      </w:r>
      <w:r w:rsidR="00BC4BD1" w:rsidRPr="00D13236">
        <w:t>the Minister gives a person notice</w:t>
      </w:r>
      <w:r w:rsidR="00101B35" w:rsidRPr="00D13236">
        <w:t>,</w:t>
      </w:r>
      <w:r w:rsidR="00BC4BD1" w:rsidRPr="00D13236">
        <w:t xml:space="preserve"> under subsection</w:t>
      </w:r>
      <w:r w:rsidR="00D13236" w:rsidRPr="00D13236">
        <w:t> </w:t>
      </w:r>
      <w:r w:rsidR="0015304A" w:rsidRPr="00D13236">
        <w:t>36H</w:t>
      </w:r>
      <w:r w:rsidR="00374BC7" w:rsidRPr="00D13236">
        <w:t>(4</w:t>
      </w:r>
      <w:r w:rsidR="00BC4BD1" w:rsidRPr="00D13236">
        <w:t>)</w:t>
      </w:r>
      <w:r w:rsidR="00B43A6F" w:rsidRPr="00D13236">
        <w:t xml:space="preserve"> </w:t>
      </w:r>
      <w:r w:rsidR="004C2CFF" w:rsidRPr="00D13236">
        <w:t xml:space="preserve">or </w:t>
      </w:r>
      <w:r w:rsidR="0015304A" w:rsidRPr="00D13236">
        <w:t>36J</w:t>
      </w:r>
      <w:r w:rsidR="004C2CFF" w:rsidRPr="00D13236">
        <w:t>(3)</w:t>
      </w:r>
      <w:r w:rsidR="00101B35" w:rsidRPr="00D13236">
        <w:t>,</w:t>
      </w:r>
      <w:r w:rsidR="004C2CFF" w:rsidRPr="00D13236">
        <w:t xml:space="preserve"> </w:t>
      </w:r>
      <w:r w:rsidR="00BC4BD1" w:rsidRPr="00D13236">
        <w:t>that the Minister has decided to revoke a determination made under subsection</w:t>
      </w:r>
      <w:r w:rsidR="00D13236" w:rsidRPr="00D13236">
        <w:t> </w:t>
      </w:r>
      <w:r w:rsidR="0015304A" w:rsidRPr="00D13236">
        <w:t>36B</w:t>
      </w:r>
      <w:r w:rsidR="002C294E" w:rsidRPr="00D13236">
        <w:t>(1)</w:t>
      </w:r>
      <w:r w:rsidR="00D863FC" w:rsidRPr="00D13236">
        <w:t xml:space="preserve"> </w:t>
      </w:r>
      <w:r w:rsidR="002C294E" w:rsidRPr="00D13236">
        <w:t xml:space="preserve">or </w:t>
      </w:r>
      <w:r w:rsidR="0015304A" w:rsidRPr="00D13236">
        <w:t>36D</w:t>
      </w:r>
      <w:r w:rsidR="002C294E" w:rsidRPr="00D13236">
        <w:t>(1)</w:t>
      </w:r>
      <w:r w:rsidR="0015304A" w:rsidRPr="00D13236">
        <w:t>.</w:t>
      </w:r>
    </w:p>
    <w:p w:rsidR="00844DC4" w:rsidRPr="00D13236" w:rsidRDefault="0015304A" w:rsidP="00D13236">
      <w:pPr>
        <w:pStyle w:val="ItemHead"/>
      </w:pPr>
      <w:r w:rsidRPr="00D13236">
        <w:t>13</w:t>
      </w:r>
      <w:r w:rsidR="00844DC4" w:rsidRPr="00D13236">
        <w:t xml:space="preserve">  </w:t>
      </w:r>
      <w:r w:rsidR="00F20750" w:rsidRPr="00D13236">
        <w:t>Subsection</w:t>
      </w:r>
      <w:r w:rsidR="00D13236" w:rsidRPr="00D13236">
        <w:t> </w:t>
      </w:r>
      <w:r w:rsidR="008843E1" w:rsidRPr="00D13236">
        <w:t>51C(5)</w:t>
      </w:r>
    </w:p>
    <w:p w:rsidR="008843E1" w:rsidRPr="00D13236" w:rsidRDefault="008843E1" w:rsidP="00D13236">
      <w:pPr>
        <w:pStyle w:val="Item"/>
      </w:pPr>
      <w:r w:rsidRPr="00D13236">
        <w:t xml:space="preserve">Repeal the </w:t>
      </w:r>
      <w:r w:rsidR="00F20750" w:rsidRPr="00D13236">
        <w:t>subsection</w:t>
      </w:r>
      <w:r w:rsidRPr="00D13236">
        <w:t>, substitute:</w:t>
      </w:r>
    </w:p>
    <w:p w:rsidR="000960F5" w:rsidRPr="00D13236" w:rsidRDefault="00F20750" w:rsidP="00D13236">
      <w:pPr>
        <w:pStyle w:val="subsection"/>
      </w:pPr>
      <w:r w:rsidRPr="00D13236">
        <w:tab/>
        <w:t>(5)</w:t>
      </w:r>
      <w:r w:rsidRPr="00D13236">
        <w:tab/>
        <w:t>The b</w:t>
      </w:r>
      <w:r w:rsidR="000960F5" w:rsidRPr="00D13236">
        <w:t>riefing must include details of the matters that are the basis for the notice, determination or revocation</w:t>
      </w:r>
      <w:r w:rsidR="0015304A" w:rsidRPr="00D13236">
        <w:t>.</w:t>
      </w:r>
    </w:p>
    <w:p w:rsidR="00CA295C" w:rsidRPr="00D13236" w:rsidRDefault="00CA295C" w:rsidP="00D13236">
      <w:pPr>
        <w:pStyle w:val="ActHead9"/>
        <w:rPr>
          <w:i w:val="0"/>
        </w:rPr>
      </w:pPr>
      <w:bookmarkStart w:id="25" w:name="_Toc51327910"/>
      <w:r w:rsidRPr="00D13236">
        <w:t>Independent National Security Legislation Monitor Act 2010</w:t>
      </w:r>
      <w:bookmarkEnd w:id="25"/>
    </w:p>
    <w:p w:rsidR="00CA295C" w:rsidRPr="00D13236" w:rsidRDefault="0015304A" w:rsidP="00D13236">
      <w:pPr>
        <w:pStyle w:val="ItemHead"/>
      </w:pPr>
      <w:r w:rsidRPr="00D13236">
        <w:t>14</w:t>
      </w:r>
      <w:r w:rsidR="00CA295C" w:rsidRPr="00D13236">
        <w:t xml:space="preserve">  Section</w:t>
      </w:r>
      <w:r w:rsidR="00D13236" w:rsidRPr="00D13236">
        <w:t> </w:t>
      </w:r>
      <w:r w:rsidR="00CA295C" w:rsidRPr="00D13236">
        <w:t>4 (</w:t>
      </w:r>
      <w:r w:rsidR="00D13236" w:rsidRPr="00D13236">
        <w:t>paragraph (</w:t>
      </w:r>
      <w:r w:rsidR="00CA295C" w:rsidRPr="00D13236">
        <w:t xml:space="preserve">aa) of the definition of </w:t>
      </w:r>
      <w:r w:rsidR="00CA295C" w:rsidRPr="00D13236">
        <w:rPr>
          <w:i/>
        </w:rPr>
        <w:t>counter</w:t>
      </w:r>
      <w:r w:rsidR="00D13236">
        <w:rPr>
          <w:i/>
        </w:rPr>
        <w:noBreakHyphen/>
      </w:r>
      <w:r w:rsidR="00CA295C" w:rsidRPr="00D13236">
        <w:rPr>
          <w:i/>
        </w:rPr>
        <w:t>terrorism and national security legislation</w:t>
      </w:r>
      <w:r w:rsidR="00CA295C" w:rsidRPr="00D13236">
        <w:t>)</w:t>
      </w:r>
    </w:p>
    <w:p w:rsidR="00CA295C" w:rsidRPr="00D13236" w:rsidRDefault="00CA295C" w:rsidP="00D13236">
      <w:pPr>
        <w:pStyle w:val="Item"/>
      </w:pPr>
      <w:r w:rsidRPr="00D13236">
        <w:t>Repeal the paragraph, substitute:</w:t>
      </w:r>
    </w:p>
    <w:p w:rsidR="00770F49" w:rsidRPr="00D13236" w:rsidRDefault="00CA295C" w:rsidP="00D13236">
      <w:pPr>
        <w:pStyle w:val="paragraph"/>
      </w:pPr>
      <w:r w:rsidRPr="00D13236">
        <w:tab/>
        <w:t>(aa)</w:t>
      </w:r>
      <w:r w:rsidRPr="00D13236">
        <w:tab/>
        <w:t>Subdivision C of Division</w:t>
      </w:r>
      <w:r w:rsidR="00D13236" w:rsidRPr="00D13236">
        <w:t> </w:t>
      </w:r>
      <w:r w:rsidRPr="00D13236">
        <w:t>3 of Part</w:t>
      </w:r>
      <w:r w:rsidR="00D13236" w:rsidRPr="00D13236">
        <w:t> </w:t>
      </w:r>
      <w:r w:rsidRPr="00D13236">
        <w:t xml:space="preserve">2 of the </w:t>
      </w:r>
      <w:r w:rsidRPr="00D13236">
        <w:rPr>
          <w:i/>
        </w:rPr>
        <w:t>Australian Citizenship Act 2007</w:t>
      </w:r>
      <w:r w:rsidRPr="00D13236">
        <w:t xml:space="preserve"> (citize</w:t>
      </w:r>
      <w:r w:rsidR="00360CE9" w:rsidRPr="00D13236">
        <w:t xml:space="preserve">nship cessation determinations) and any other provision of that Act </w:t>
      </w:r>
      <w:r w:rsidR="00597EF6" w:rsidRPr="00D13236">
        <w:t>as</w:t>
      </w:r>
      <w:r w:rsidR="00360CE9" w:rsidRPr="00D13236">
        <w:t xml:space="preserve"> far as it relates to that Subdivision;</w:t>
      </w:r>
    </w:p>
    <w:p w:rsidR="00E4678F" w:rsidRPr="00D13236" w:rsidRDefault="00E4678F" w:rsidP="00D13236">
      <w:pPr>
        <w:pStyle w:val="ActHead9"/>
        <w:rPr>
          <w:i w:val="0"/>
        </w:rPr>
      </w:pPr>
      <w:bookmarkStart w:id="26" w:name="_Toc51327911"/>
      <w:r w:rsidRPr="00D13236">
        <w:t>Intelligence Services Act 2001</w:t>
      </w:r>
      <w:bookmarkEnd w:id="26"/>
    </w:p>
    <w:p w:rsidR="00E4678F" w:rsidRPr="00D13236" w:rsidRDefault="0015304A" w:rsidP="00D13236">
      <w:pPr>
        <w:pStyle w:val="ItemHead"/>
      </w:pPr>
      <w:r w:rsidRPr="00D13236">
        <w:t>15</w:t>
      </w:r>
      <w:r w:rsidR="00E4678F" w:rsidRPr="00D13236">
        <w:t xml:space="preserve">  </w:t>
      </w:r>
      <w:r w:rsidR="00EA782E" w:rsidRPr="00D13236">
        <w:t>Paragraph 29(1)(ca)</w:t>
      </w:r>
    </w:p>
    <w:p w:rsidR="00781F6B" w:rsidRPr="00D13236" w:rsidRDefault="00781F6B" w:rsidP="00D13236">
      <w:pPr>
        <w:pStyle w:val="Item"/>
      </w:pPr>
      <w:r w:rsidRPr="00D13236">
        <w:t>Repeal the paragraph, substitute:</w:t>
      </w:r>
    </w:p>
    <w:p w:rsidR="00EA782E" w:rsidRPr="00D13236" w:rsidRDefault="00781F6B" w:rsidP="00D13236">
      <w:pPr>
        <w:pStyle w:val="paragraph"/>
      </w:pPr>
      <w:r w:rsidRPr="00D13236">
        <w:tab/>
        <w:t>(ca)</w:t>
      </w:r>
      <w:r w:rsidRPr="00D13236">
        <w:tab/>
        <w:t xml:space="preserve">to </w:t>
      </w:r>
      <w:r w:rsidR="00C1533B">
        <w:t xml:space="preserve">commence, by the third anniversary of the day the </w:t>
      </w:r>
      <w:r w:rsidR="00C1533B">
        <w:rPr>
          <w:i/>
        </w:rPr>
        <w:t>Australian Citizenship Amendment (Citizenship Cessation) Act 2020</w:t>
      </w:r>
      <w:bookmarkStart w:id="27" w:name="BK_S1P1L38C33"/>
      <w:bookmarkEnd w:id="27"/>
      <w:r w:rsidR="00C1533B">
        <w:rPr>
          <w:i/>
        </w:rPr>
        <w:t xml:space="preserve"> </w:t>
      </w:r>
      <w:r w:rsidR="00C1533B">
        <w:t>commenced, a review of</w:t>
      </w:r>
      <w:r w:rsidRPr="00D13236">
        <w:t xml:space="preserve"> the operation, effectiveness and implications of </w:t>
      </w:r>
      <w:r w:rsidR="00D863FC" w:rsidRPr="00D13236">
        <w:t>Subdivision C of Division</w:t>
      </w:r>
      <w:r w:rsidR="00D13236" w:rsidRPr="00D13236">
        <w:t> </w:t>
      </w:r>
      <w:r w:rsidR="00D863FC" w:rsidRPr="00D13236">
        <w:t>3 of Part</w:t>
      </w:r>
      <w:r w:rsidR="00D13236" w:rsidRPr="00D13236">
        <w:t> </w:t>
      </w:r>
      <w:r w:rsidR="00D863FC" w:rsidRPr="00D13236">
        <w:t>2</w:t>
      </w:r>
      <w:r w:rsidRPr="00D13236">
        <w:t xml:space="preserve"> of the </w:t>
      </w:r>
      <w:r w:rsidRPr="00D13236">
        <w:rPr>
          <w:i/>
        </w:rPr>
        <w:t>Australian Citizen</w:t>
      </w:r>
      <w:r w:rsidR="00D863FC" w:rsidRPr="00D13236">
        <w:rPr>
          <w:i/>
        </w:rPr>
        <w:t xml:space="preserve">ship Act 2007 </w:t>
      </w:r>
      <w:r w:rsidR="00D863FC" w:rsidRPr="00D13236">
        <w:t>(citizenship cessation determinations)</w:t>
      </w:r>
      <w:r w:rsidRPr="00D13236">
        <w:t xml:space="preserve"> and any other provision of that Ac</w:t>
      </w:r>
      <w:r w:rsidR="00D863FC" w:rsidRPr="00D13236">
        <w:t xml:space="preserve">t </w:t>
      </w:r>
      <w:r w:rsidR="00597EF6" w:rsidRPr="00D13236">
        <w:t>as</w:t>
      </w:r>
      <w:r w:rsidR="00D863FC" w:rsidRPr="00D13236">
        <w:t xml:space="preserve"> far as it relates to that Subdivision</w:t>
      </w:r>
      <w:r w:rsidRPr="00D13236">
        <w:t>; and</w:t>
      </w:r>
    </w:p>
    <w:p w:rsidR="00CE4D48" w:rsidRPr="00D13236" w:rsidRDefault="00CE4D48" w:rsidP="00D13236">
      <w:pPr>
        <w:pStyle w:val="ActHead7"/>
        <w:pageBreakBefore/>
      </w:pPr>
      <w:bookmarkStart w:id="28" w:name="_Toc51327912"/>
      <w:r w:rsidRPr="00D13236">
        <w:rPr>
          <w:rStyle w:val="CharAmPartNo"/>
        </w:rPr>
        <w:t>Part</w:t>
      </w:r>
      <w:r w:rsidR="00D13236" w:rsidRPr="00D13236">
        <w:rPr>
          <w:rStyle w:val="CharAmPartNo"/>
        </w:rPr>
        <w:t> </w:t>
      </w:r>
      <w:r w:rsidRPr="00D13236">
        <w:rPr>
          <w:rStyle w:val="CharAmPartNo"/>
        </w:rPr>
        <w:t>2</w:t>
      </w:r>
      <w:r w:rsidRPr="00D13236">
        <w:t>—</w:t>
      </w:r>
      <w:r w:rsidRPr="00D13236">
        <w:rPr>
          <w:rStyle w:val="CharAmPartText"/>
        </w:rPr>
        <w:t>Application and transitional provisions</w:t>
      </w:r>
      <w:bookmarkEnd w:id="28"/>
    </w:p>
    <w:p w:rsidR="00CE4D48" w:rsidRPr="00D13236" w:rsidRDefault="0015304A" w:rsidP="00D13236">
      <w:pPr>
        <w:pStyle w:val="Transitional"/>
      </w:pPr>
      <w:r w:rsidRPr="00D13236">
        <w:t>16</w:t>
      </w:r>
      <w:r w:rsidR="00CE4D48" w:rsidRPr="00D13236">
        <w:t xml:space="preserve">  Definitions</w:t>
      </w:r>
    </w:p>
    <w:p w:rsidR="00CE4D48" w:rsidRPr="00D13236" w:rsidRDefault="00CE4D48" w:rsidP="00D13236">
      <w:pPr>
        <w:pStyle w:val="Item"/>
      </w:pPr>
      <w:r w:rsidRPr="00D13236">
        <w:t>In this Part:</w:t>
      </w:r>
    </w:p>
    <w:p w:rsidR="00CE4D48" w:rsidRPr="00D13236" w:rsidRDefault="00CE4D48" w:rsidP="00D13236">
      <w:pPr>
        <w:pStyle w:val="Item"/>
      </w:pPr>
      <w:r w:rsidRPr="00D13236">
        <w:rPr>
          <w:b/>
          <w:i/>
        </w:rPr>
        <w:t>Act</w:t>
      </w:r>
      <w:r w:rsidRPr="00D13236">
        <w:t xml:space="preserve"> means the </w:t>
      </w:r>
      <w:r w:rsidRPr="00D13236">
        <w:rPr>
          <w:i/>
        </w:rPr>
        <w:t>Australian Citizenship Act 2007</w:t>
      </w:r>
      <w:r w:rsidR="0015304A" w:rsidRPr="00D13236">
        <w:t>.</w:t>
      </w:r>
    </w:p>
    <w:p w:rsidR="00CE4D48" w:rsidRPr="00D13236" w:rsidRDefault="00CE4D48" w:rsidP="00D13236">
      <w:pPr>
        <w:pStyle w:val="Item"/>
      </w:pPr>
      <w:r w:rsidRPr="00D13236">
        <w:rPr>
          <w:b/>
          <w:i/>
        </w:rPr>
        <w:t>amended Act</w:t>
      </w:r>
      <w:r w:rsidRPr="00D13236">
        <w:t xml:space="preserve"> means the Act as in force after commencement</w:t>
      </w:r>
      <w:r w:rsidR="0015304A" w:rsidRPr="00D13236">
        <w:t>.</w:t>
      </w:r>
    </w:p>
    <w:p w:rsidR="005558CA" w:rsidRPr="00D13236" w:rsidRDefault="005558CA" w:rsidP="00D13236">
      <w:pPr>
        <w:pStyle w:val="Item"/>
      </w:pPr>
      <w:r w:rsidRPr="00D13236">
        <w:rPr>
          <w:b/>
          <w:i/>
        </w:rPr>
        <w:t>cessation notice</w:t>
      </w:r>
      <w:r w:rsidRPr="00D13236">
        <w:t xml:space="preserve">: see </w:t>
      </w:r>
      <w:r w:rsidR="00D13236" w:rsidRPr="00D13236">
        <w:t>subparagraph (</w:t>
      </w:r>
      <w:r w:rsidRPr="00D13236">
        <w:t>c)(</w:t>
      </w:r>
      <w:proofErr w:type="spellStart"/>
      <w:r w:rsidRPr="00D13236">
        <w:t>i</w:t>
      </w:r>
      <w:proofErr w:type="spellEnd"/>
      <w:r w:rsidRPr="00D13236">
        <w:t xml:space="preserve">) of the definition of </w:t>
      </w:r>
      <w:r w:rsidRPr="00D13236">
        <w:rPr>
          <w:b/>
          <w:i/>
        </w:rPr>
        <w:t>designated non</w:t>
      </w:r>
      <w:r w:rsidR="00D13236">
        <w:rPr>
          <w:b/>
          <w:i/>
        </w:rPr>
        <w:noBreakHyphen/>
      </w:r>
      <w:r w:rsidRPr="00D13236">
        <w:rPr>
          <w:b/>
          <w:i/>
        </w:rPr>
        <w:t>citizen</w:t>
      </w:r>
      <w:r w:rsidRPr="00D13236">
        <w:t xml:space="preserve"> in this item</w:t>
      </w:r>
      <w:r w:rsidR="0015304A" w:rsidRPr="00D13236">
        <w:t>.</w:t>
      </w:r>
    </w:p>
    <w:p w:rsidR="005558CA" w:rsidRPr="00D13236" w:rsidRDefault="005558CA" w:rsidP="00D13236">
      <w:pPr>
        <w:pStyle w:val="Item"/>
      </w:pPr>
      <w:r w:rsidRPr="00D13236">
        <w:rPr>
          <w:b/>
          <w:i/>
        </w:rPr>
        <w:t>commencement</w:t>
      </w:r>
      <w:r w:rsidRPr="00D13236">
        <w:t xml:space="preserve"> means the time this item commences</w:t>
      </w:r>
      <w:r w:rsidR="0015304A" w:rsidRPr="00D13236">
        <w:t>.</w:t>
      </w:r>
    </w:p>
    <w:p w:rsidR="00CE4D48" w:rsidRPr="00D13236" w:rsidRDefault="005558CA" w:rsidP="00D13236">
      <w:pPr>
        <w:pStyle w:val="Item"/>
      </w:pPr>
      <w:r w:rsidRPr="00D13236">
        <w:rPr>
          <w:b/>
          <w:i/>
        </w:rPr>
        <w:t>designated</w:t>
      </w:r>
      <w:r w:rsidR="00CE4D48" w:rsidRPr="00D13236">
        <w:rPr>
          <w:b/>
          <w:i/>
        </w:rPr>
        <w:t xml:space="preserve"> non</w:t>
      </w:r>
      <w:r w:rsidR="00D13236">
        <w:rPr>
          <w:b/>
          <w:i/>
        </w:rPr>
        <w:noBreakHyphen/>
      </w:r>
      <w:r w:rsidR="00CE4D48" w:rsidRPr="00D13236">
        <w:rPr>
          <w:b/>
          <w:i/>
        </w:rPr>
        <w:t>citizen</w:t>
      </w:r>
      <w:r w:rsidR="00CE4D48" w:rsidRPr="00D13236">
        <w:t xml:space="preserve">: a person is </w:t>
      </w:r>
      <w:r w:rsidRPr="00D13236">
        <w:t xml:space="preserve">a </w:t>
      </w:r>
      <w:r w:rsidRPr="00D13236">
        <w:rPr>
          <w:b/>
          <w:i/>
        </w:rPr>
        <w:t>designated non</w:t>
      </w:r>
      <w:r w:rsidR="00D13236">
        <w:rPr>
          <w:b/>
          <w:i/>
        </w:rPr>
        <w:noBreakHyphen/>
      </w:r>
      <w:r w:rsidRPr="00D13236">
        <w:rPr>
          <w:b/>
          <w:i/>
        </w:rPr>
        <w:t>citizen</w:t>
      </w:r>
      <w:r w:rsidR="00CE4D48" w:rsidRPr="00D13236">
        <w:t>, for conduct engaged in by the person, if:</w:t>
      </w:r>
    </w:p>
    <w:p w:rsidR="00CE4D48" w:rsidRPr="00D13236" w:rsidRDefault="00CE4D48" w:rsidP="00D13236">
      <w:pPr>
        <w:pStyle w:val="paragraph"/>
      </w:pPr>
      <w:r w:rsidRPr="00D13236">
        <w:tab/>
        <w:t>(a)</w:t>
      </w:r>
      <w:r w:rsidRPr="00D13236">
        <w:tab/>
        <w:t>immediately before commencement, the person is not an Australian citizen; and</w:t>
      </w:r>
    </w:p>
    <w:p w:rsidR="00CE4D48" w:rsidRPr="00D13236" w:rsidRDefault="00CE4D48" w:rsidP="00D13236">
      <w:pPr>
        <w:pStyle w:val="paragraph"/>
      </w:pPr>
      <w:r w:rsidRPr="00D13236">
        <w:tab/>
        <w:t>(b)</w:t>
      </w:r>
      <w:r w:rsidRPr="00D13236">
        <w:tab/>
        <w:t>the person ceased to be an Australian citizen under section</w:t>
      </w:r>
      <w:r w:rsidR="00D13236" w:rsidRPr="00D13236">
        <w:t> </w:t>
      </w:r>
      <w:r w:rsidR="0047154F" w:rsidRPr="00D13236">
        <w:t>33</w:t>
      </w:r>
      <w:r w:rsidRPr="00D13236">
        <w:t>AA or 35 of the Act as in force before commencement because of the conduct; and</w:t>
      </w:r>
    </w:p>
    <w:p w:rsidR="00CE4D48" w:rsidRPr="00D13236" w:rsidRDefault="00CE4D48" w:rsidP="00D13236">
      <w:pPr>
        <w:pStyle w:val="paragraph"/>
      </w:pPr>
      <w:r w:rsidRPr="00D13236">
        <w:tab/>
        <w:t>(c)</w:t>
      </w:r>
      <w:r w:rsidRPr="00D13236">
        <w:tab/>
        <w:t>either:</w:t>
      </w:r>
    </w:p>
    <w:p w:rsidR="00CE4D48" w:rsidRPr="00D13236" w:rsidRDefault="00CE4D48" w:rsidP="00D13236">
      <w:pPr>
        <w:pStyle w:val="paragraphsub"/>
      </w:pPr>
      <w:r w:rsidRPr="00D13236">
        <w:tab/>
        <w:t>(</w:t>
      </w:r>
      <w:proofErr w:type="spellStart"/>
      <w:r w:rsidRPr="00D13236">
        <w:t>i</w:t>
      </w:r>
      <w:proofErr w:type="spellEnd"/>
      <w:r w:rsidRPr="00D13236">
        <w:t>)</w:t>
      </w:r>
      <w:r w:rsidRPr="00D13236">
        <w:tab/>
        <w:t>before commencement, the Minister gave, or made reasonable attempts to give, the person a notice under paragraph</w:t>
      </w:r>
      <w:r w:rsidR="00D13236" w:rsidRPr="00D13236">
        <w:t> </w:t>
      </w:r>
      <w:r w:rsidRPr="00D13236">
        <w:t xml:space="preserve">33AA(10)(a) or 35(5)(a) of the Act in relation to the conduct (a </w:t>
      </w:r>
      <w:r w:rsidRPr="00D13236">
        <w:rPr>
          <w:b/>
          <w:i/>
        </w:rPr>
        <w:t>cessation notice</w:t>
      </w:r>
      <w:r w:rsidRPr="00D13236">
        <w:t>); or</w:t>
      </w:r>
    </w:p>
    <w:p w:rsidR="00CE4D48" w:rsidRPr="00D13236" w:rsidRDefault="00CE4D48" w:rsidP="00D13236">
      <w:pPr>
        <w:pStyle w:val="paragraphsub"/>
      </w:pPr>
      <w:r w:rsidRPr="00D13236">
        <w:tab/>
        <w:t>(ii)</w:t>
      </w:r>
      <w:r w:rsidRPr="00D13236">
        <w:tab/>
        <w:t>immediately before commencement, a determination was in force under subsection</w:t>
      </w:r>
      <w:r w:rsidR="00D13236" w:rsidRPr="00D13236">
        <w:t> </w:t>
      </w:r>
      <w:r w:rsidRPr="00D13236">
        <w:t xml:space="preserve">33AA(12) or 35(7) of the Act in relation to the conduct (a </w:t>
      </w:r>
      <w:r w:rsidRPr="00D13236">
        <w:rPr>
          <w:b/>
          <w:i/>
        </w:rPr>
        <w:t>no</w:t>
      </w:r>
      <w:r w:rsidR="00D13236">
        <w:rPr>
          <w:b/>
          <w:i/>
        </w:rPr>
        <w:noBreakHyphen/>
      </w:r>
      <w:r w:rsidRPr="00D13236">
        <w:rPr>
          <w:b/>
          <w:i/>
        </w:rPr>
        <w:t>notice determination</w:t>
      </w:r>
      <w:r w:rsidRPr="00D13236">
        <w:t>)</w:t>
      </w:r>
      <w:r w:rsidR="0015304A" w:rsidRPr="00D13236">
        <w:t>.</w:t>
      </w:r>
    </w:p>
    <w:p w:rsidR="00CE4D48" w:rsidRPr="00D13236" w:rsidRDefault="00CE4D48" w:rsidP="00D13236">
      <w:pPr>
        <w:pStyle w:val="notemargin"/>
      </w:pPr>
      <w:r w:rsidRPr="00D13236">
        <w:t>Note:</w:t>
      </w:r>
      <w:r w:rsidRPr="00D13236">
        <w:tab/>
        <w:t>A person who, before commencement, ceased to be an Australian citizen under section</w:t>
      </w:r>
      <w:r w:rsidR="00D13236" w:rsidRPr="00D13236">
        <w:t> </w:t>
      </w:r>
      <w:r w:rsidRPr="00D13236">
        <w:t>33AA or 35 of the Act because of conduct engaged in by the person might be an Australian citizen again by the time of commencement (see subsections</w:t>
      </w:r>
      <w:r w:rsidR="00D13236" w:rsidRPr="00D13236">
        <w:t> </w:t>
      </w:r>
      <w:r w:rsidRPr="00D13236">
        <w:t>33AA(24) and 35(19) of the Act as in force immediately before commencement)</w:t>
      </w:r>
      <w:r w:rsidR="0015304A" w:rsidRPr="00D13236">
        <w:t>.</w:t>
      </w:r>
      <w:r w:rsidRPr="00D13236">
        <w:t xml:space="preserve"> This person is not </w:t>
      </w:r>
      <w:r w:rsidR="005558CA" w:rsidRPr="00D13236">
        <w:t xml:space="preserve">a </w:t>
      </w:r>
      <w:r w:rsidR="005558CA" w:rsidRPr="00D13236">
        <w:rPr>
          <w:b/>
          <w:i/>
        </w:rPr>
        <w:t>designated non</w:t>
      </w:r>
      <w:r w:rsidR="00D13236">
        <w:rPr>
          <w:b/>
          <w:i/>
        </w:rPr>
        <w:noBreakHyphen/>
      </w:r>
      <w:r w:rsidR="005558CA" w:rsidRPr="00D13236">
        <w:rPr>
          <w:b/>
          <w:i/>
        </w:rPr>
        <w:t>citizen</w:t>
      </w:r>
      <w:r w:rsidRPr="00D13236">
        <w:t xml:space="preserve"> because </w:t>
      </w:r>
      <w:r w:rsidR="00D13236" w:rsidRPr="00D13236">
        <w:t>paragraph (</w:t>
      </w:r>
      <w:r w:rsidR="00824BDE" w:rsidRPr="00D13236">
        <w:t>a) of that</w:t>
      </w:r>
      <w:r w:rsidRPr="00D13236">
        <w:t xml:space="preserve"> definition</w:t>
      </w:r>
      <w:r w:rsidR="001A4CFB" w:rsidRPr="00D13236">
        <w:t xml:space="preserve"> does not apply to the person</w:t>
      </w:r>
      <w:r w:rsidR="0015304A" w:rsidRPr="00D13236">
        <w:t>.</w:t>
      </w:r>
    </w:p>
    <w:p w:rsidR="00CE4D48" w:rsidRPr="00D13236" w:rsidRDefault="005558CA" w:rsidP="00D13236">
      <w:pPr>
        <w:pStyle w:val="Item"/>
      </w:pPr>
      <w:r w:rsidRPr="00D13236">
        <w:rPr>
          <w:b/>
          <w:i/>
        </w:rPr>
        <w:t>designated non</w:t>
      </w:r>
      <w:r w:rsidR="00D13236">
        <w:rPr>
          <w:b/>
          <w:i/>
        </w:rPr>
        <w:noBreakHyphen/>
      </w:r>
      <w:r w:rsidRPr="00D13236">
        <w:rPr>
          <w:b/>
          <w:i/>
        </w:rPr>
        <w:t>citizen determination</w:t>
      </w:r>
      <w:r w:rsidR="00CE4D48" w:rsidRPr="00D13236">
        <w:t xml:space="preserve">: see </w:t>
      </w:r>
      <w:proofErr w:type="spellStart"/>
      <w:r w:rsidR="00CE4D48" w:rsidRPr="00D13236">
        <w:t>subitem</w:t>
      </w:r>
      <w:proofErr w:type="spellEnd"/>
      <w:r w:rsidR="00D13236" w:rsidRPr="00D13236">
        <w:t> </w:t>
      </w:r>
      <w:r w:rsidR="007F71A6" w:rsidRPr="00D13236">
        <w:t>17</w:t>
      </w:r>
      <w:r w:rsidR="00CE4D48" w:rsidRPr="00D13236">
        <w:t>(1)</w:t>
      </w:r>
      <w:r w:rsidR="0015304A" w:rsidRPr="00D13236">
        <w:t>.</w:t>
      </w:r>
    </w:p>
    <w:p w:rsidR="00CE4D48" w:rsidRPr="00D13236" w:rsidRDefault="00CE4D48" w:rsidP="00D13236">
      <w:pPr>
        <w:pStyle w:val="Item"/>
      </w:pPr>
      <w:r w:rsidRPr="00D13236">
        <w:rPr>
          <w:b/>
          <w:i/>
        </w:rPr>
        <w:t>no</w:t>
      </w:r>
      <w:r w:rsidR="00D13236">
        <w:rPr>
          <w:b/>
          <w:i/>
        </w:rPr>
        <w:noBreakHyphen/>
      </w:r>
      <w:r w:rsidRPr="00D13236">
        <w:rPr>
          <w:b/>
          <w:i/>
        </w:rPr>
        <w:t>notice determination</w:t>
      </w:r>
      <w:r w:rsidRPr="00D13236">
        <w:t xml:space="preserve">: see </w:t>
      </w:r>
      <w:r w:rsidR="00D13236" w:rsidRPr="00D13236">
        <w:t>subparagraph (</w:t>
      </w:r>
      <w:r w:rsidRPr="00D13236">
        <w:t xml:space="preserve">c)(ii) of the definition of </w:t>
      </w:r>
      <w:r w:rsidR="005558CA" w:rsidRPr="00D13236">
        <w:rPr>
          <w:b/>
          <w:i/>
        </w:rPr>
        <w:t>designated non</w:t>
      </w:r>
      <w:r w:rsidR="00D13236">
        <w:rPr>
          <w:b/>
          <w:i/>
        </w:rPr>
        <w:noBreakHyphen/>
      </w:r>
      <w:r w:rsidR="005558CA" w:rsidRPr="00D13236">
        <w:rPr>
          <w:b/>
          <w:i/>
        </w:rPr>
        <w:t>citizen</w:t>
      </w:r>
      <w:r w:rsidRPr="00D13236">
        <w:t xml:space="preserve"> in this item</w:t>
      </w:r>
      <w:r w:rsidR="0015304A" w:rsidRPr="00D13236">
        <w:t>.</w:t>
      </w:r>
    </w:p>
    <w:p w:rsidR="00CE4D48" w:rsidRPr="00D13236" w:rsidRDefault="0015304A" w:rsidP="00D13236">
      <w:pPr>
        <w:pStyle w:val="Transitional"/>
      </w:pPr>
      <w:r w:rsidRPr="00D13236">
        <w:t>17</w:t>
      </w:r>
      <w:r w:rsidR="00CE4D48" w:rsidRPr="00D13236">
        <w:t xml:space="preserve">  Citizenship that ceased under section</w:t>
      </w:r>
      <w:r w:rsidR="00D13236" w:rsidRPr="00D13236">
        <w:t> </w:t>
      </w:r>
      <w:r w:rsidR="00CE4D48" w:rsidRPr="00D13236">
        <w:t xml:space="preserve">33AA or 35 </w:t>
      </w:r>
      <w:r w:rsidR="00ED7A36" w:rsidRPr="00D13236">
        <w:t>of</w:t>
      </w:r>
      <w:r w:rsidR="00B94E02" w:rsidRPr="00D13236">
        <w:t xml:space="preserve"> Act as in force </w:t>
      </w:r>
      <w:r w:rsidR="00CE4D48" w:rsidRPr="00D13236">
        <w:t>before commencement</w:t>
      </w:r>
    </w:p>
    <w:p w:rsidR="00CE4D48" w:rsidRPr="00D13236" w:rsidRDefault="00CE4D48" w:rsidP="00D13236">
      <w:pPr>
        <w:pStyle w:val="Subitem"/>
      </w:pPr>
      <w:r w:rsidRPr="00D13236">
        <w:t>(1)</w:t>
      </w:r>
      <w:r w:rsidRPr="00D13236">
        <w:tab/>
        <w:t>At commencement, the Minister is taken to have made a determination (</w:t>
      </w:r>
      <w:r w:rsidR="005558CA" w:rsidRPr="00D13236">
        <w:t xml:space="preserve">a </w:t>
      </w:r>
      <w:r w:rsidR="005558CA" w:rsidRPr="00D13236">
        <w:rPr>
          <w:b/>
          <w:i/>
        </w:rPr>
        <w:t>designated non</w:t>
      </w:r>
      <w:r w:rsidR="00D13236">
        <w:rPr>
          <w:b/>
          <w:i/>
        </w:rPr>
        <w:noBreakHyphen/>
      </w:r>
      <w:r w:rsidR="005558CA" w:rsidRPr="00D13236">
        <w:rPr>
          <w:b/>
          <w:i/>
        </w:rPr>
        <w:t>citizen determination</w:t>
      </w:r>
      <w:r w:rsidRPr="00D13236">
        <w:t>) under subsection</w:t>
      </w:r>
      <w:r w:rsidR="00D13236" w:rsidRPr="00D13236">
        <w:t> </w:t>
      </w:r>
      <w:r w:rsidR="0015304A" w:rsidRPr="00D13236">
        <w:t>36B</w:t>
      </w:r>
      <w:r w:rsidRPr="00D13236">
        <w:t xml:space="preserve">(1) of the amended Act in relation to </w:t>
      </w:r>
      <w:r w:rsidR="005558CA" w:rsidRPr="00D13236">
        <w:t>a designated non</w:t>
      </w:r>
      <w:r w:rsidR="00D13236">
        <w:noBreakHyphen/>
      </w:r>
      <w:r w:rsidR="005558CA" w:rsidRPr="00D13236">
        <w:t>citizen</w:t>
      </w:r>
      <w:r w:rsidR="0015304A" w:rsidRPr="00D13236">
        <w:t>.</w:t>
      </w:r>
      <w:r w:rsidRPr="00D13236">
        <w:t xml:space="preserve"> The </w:t>
      </w:r>
      <w:r w:rsidR="005558CA" w:rsidRPr="00D13236">
        <w:t>designated non</w:t>
      </w:r>
      <w:r w:rsidR="00D13236">
        <w:noBreakHyphen/>
      </w:r>
      <w:r w:rsidR="005558CA" w:rsidRPr="00D13236">
        <w:t>citizen determination</w:t>
      </w:r>
      <w:r w:rsidRPr="00D13236">
        <w:t xml:space="preserve"> relates to the conduct for which the person is </w:t>
      </w:r>
      <w:r w:rsidR="005558CA" w:rsidRPr="00D13236">
        <w:t>a designated non</w:t>
      </w:r>
      <w:r w:rsidR="00D13236">
        <w:noBreakHyphen/>
      </w:r>
      <w:r w:rsidR="005558CA" w:rsidRPr="00D13236">
        <w:t>citizen</w:t>
      </w:r>
      <w:r w:rsidR="0015304A" w:rsidRPr="00D13236">
        <w:t>.</w:t>
      </w:r>
    </w:p>
    <w:p w:rsidR="00CE4D48" w:rsidRPr="00D13236" w:rsidRDefault="00CE4D48" w:rsidP="00D13236">
      <w:pPr>
        <w:pStyle w:val="Subitem"/>
      </w:pPr>
      <w:r w:rsidRPr="00D13236">
        <w:t>(2)</w:t>
      </w:r>
      <w:r w:rsidRPr="00D13236">
        <w:tab/>
        <w:t xml:space="preserve">After commencement, the amended Act applies as if the </w:t>
      </w:r>
      <w:r w:rsidR="005558CA" w:rsidRPr="00D13236">
        <w:t>designated non</w:t>
      </w:r>
      <w:r w:rsidR="00D13236">
        <w:noBreakHyphen/>
      </w:r>
      <w:r w:rsidR="005558CA" w:rsidRPr="00D13236">
        <w:t>citizen determination</w:t>
      </w:r>
      <w:r w:rsidRPr="00D13236">
        <w:t xml:space="preserve"> had been made under subsection</w:t>
      </w:r>
      <w:r w:rsidR="00D13236" w:rsidRPr="00D13236">
        <w:t> </w:t>
      </w:r>
      <w:r w:rsidR="0015304A" w:rsidRPr="00D13236">
        <w:t>36B</w:t>
      </w:r>
      <w:r w:rsidRPr="00D13236">
        <w:t xml:space="preserve">(1) of </w:t>
      </w:r>
      <w:r w:rsidR="00995BE7" w:rsidRPr="00D13236">
        <w:t>the amended Act</w:t>
      </w:r>
      <w:r w:rsidR="0015304A" w:rsidRPr="00D13236">
        <w:t>.</w:t>
      </w:r>
    </w:p>
    <w:p w:rsidR="00DF74DE" w:rsidRPr="00D13236" w:rsidRDefault="00A32176" w:rsidP="00D13236">
      <w:pPr>
        <w:pStyle w:val="Subitem"/>
      </w:pPr>
      <w:r w:rsidRPr="00D13236">
        <w:t>(3)</w:t>
      </w:r>
      <w:r w:rsidRPr="00D13236">
        <w:tab/>
        <w:t>I</w:t>
      </w:r>
      <w:r w:rsidR="00CE4D48" w:rsidRPr="00D13236">
        <w:t xml:space="preserve">f the Minister gave, or made reasonable attempts to give, the person a cessation notice in relation to the conduct to which the </w:t>
      </w:r>
      <w:r w:rsidR="005558CA" w:rsidRPr="00D13236">
        <w:t>designated non</w:t>
      </w:r>
      <w:r w:rsidR="00D13236">
        <w:noBreakHyphen/>
      </w:r>
      <w:r w:rsidR="005558CA" w:rsidRPr="00D13236">
        <w:t>citizen determination</w:t>
      </w:r>
      <w:r w:rsidR="00CE4D48" w:rsidRPr="00D13236">
        <w:t xml:space="preserve"> relates</w:t>
      </w:r>
      <w:r w:rsidR="00DF74DE" w:rsidRPr="00D13236">
        <w:t>:</w:t>
      </w:r>
    </w:p>
    <w:p w:rsidR="00181FC0" w:rsidRPr="00D13236" w:rsidRDefault="00DF74DE" w:rsidP="00D13236">
      <w:pPr>
        <w:pStyle w:val="paragraph"/>
      </w:pPr>
      <w:r w:rsidRPr="00D13236">
        <w:tab/>
        <w:t>(a)</w:t>
      </w:r>
      <w:r w:rsidRPr="00D13236">
        <w:tab/>
      </w:r>
      <w:r w:rsidR="00181FC0" w:rsidRPr="00D13236">
        <w:t>the cessation notice</w:t>
      </w:r>
      <w:r w:rsidR="00B94E02" w:rsidRPr="00D13236">
        <w:t>:</w:t>
      </w:r>
    </w:p>
    <w:p w:rsidR="00181FC0" w:rsidRPr="00D13236" w:rsidRDefault="00DF74DE" w:rsidP="00D13236">
      <w:pPr>
        <w:pStyle w:val="paragraphsub"/>
      </w:pPr>
      <w:r w:rsidRPr="00D13236">
        <w:tab/>
        <w:t>(</w:t>
      </w:r>
      <w:proofErr w:type="spellStart"/>
      <w:r w:rsidRPr="00D13236">
        <w:t>i</w:t>
      </w:r>
      <w:proofErr w:type="spellEnd"/>
      <w:r w:rsidR="00181FC0" w:rsidRPr="00D13236">
        <w:t>)</w:t>
      </w:r>
      <w:r w:rsidR="00181FC0" w:rsidRPr="00D13236">
        <w:tab/>
      </w:r>
      <w:r w:rsidR="00B94E02" w:rsidRPr="00D13236">
        <w:t>is taken to have been given</w:t>
      </w:r>
      <w:r w:rsidR="00D8048F" w:rsidRPr="00D13236">
        <w:t xml:space="preserve"> under </w:t>
      </w:r>
      <w:r w:rsidR="00B17264" w:rsidRPr="00D13236">
        <w:t>section</w:t>
      </w:r>
      <w:r w:rsidR="00D13236" w:rsidRPr="00D13236">
        <w:t> </w:t>
      </w:r>
      <w:r w:rsidR="0015304A" w:rsidRPr="00D13236">
        <w:t>36F</w:t>
      </w:r>
      <w:r w:rsidR="00D8048F" w:rsidRPr="00D13236">
        <w:t xml:space="preserve"> of the amended Act</w:t>
      </w:r>
      <w:r w:rsidR="00181FC0" w:rsidRPr="00D13236">
        <w:t>; and</w:t>
      </w:r>
    </w:p>
    <w:p w:rsidR="00CE4D48" w:rsidRPr="00D13236" w:rsidRDefault="00DF74DE" w:rsidP="00D13236">
      <w:pPr>
        <w:pStyle w:val="paragraphsub"/>
      </w:pPr>
      <w:r w:rsidRPr="00D13236">
        <w:tab/>
        <w:t>(ii</w:t>
      </w:r>
      <w:r w:rsidR="00181FC0" w:rsidRPr="00D13236">
        <w:t>)</w:t>
      </w:r>
      <w:r w:rsidR="00181FC0" w:rsidRPr="00D13236">
        <w:tab/>
      </w:r>
      <w:r w:rsidR="00B94E02" w:rsidRPr="00D13236">
        <w:t xml:space="preserve">is taken to have been given </w:t>
      </w:r>
      <w:r w:rsidR="00181FC0" w:rsidRPr="00D13236">
        <w:t xml:space="preserve">at </w:t>
      </w:r>
      <w:r w:rsidR="00D8048F" w:rsidRPr="00D13236">
        <w:t xml:space="preserve">the time the Minister </w:t>
      </w:r>
      <w:r w:rsidR="00A32176" w:rsidRPr="00D13236">
        <w:t>gave, or first reasonably attempted to give, the notice</w:t>
      </w:r>
      <w:r w:rsidR="00647F86" w:rsidRPr="00D13236">
        <w:t xml:space="preserve"> to the person</w:t>
      </w:r>
      <w:r w:rsidR="00A32176" w:rsidRPr="00D13236">
        <w:t xml:space="preserve"> under the Act as in force</w:t>
      </w:r>
      <w:r w:rsidR="000D4502" w:rsidRPr="00D13236">
        <w:t xml:space="preserve"> before commencement</w:t>
      </w:r>
      <w:r w:rsidRPr="00D13236">
        <w:t>; and</w:t>
      </w:r>
    </w:p>
    <w:p w:rsidR="00DF74DE" w:rsidRPr="00D13236" w:rsidRDefault="00DF74DE" w:rsidP="00D13236">
      <w:pPr>
        <w:pStyle w:val="paragraph"/>
      </w:pPr>
      <w:r w:rsidRPr="00D13236">
        <w:tab/>
        <w:t>(b)</w:t>
      </w:r>
      <w:r w:rsidRPr="00D13236">
        <w:tab/>
        <w:t>the person cannot apply under section</w:t>
      </w:r>
      <w:r w:rsidR="00D13236" w:rsidRPr="00D13236">
        <w:t> </w:t>
      </w:r>
      <w:r w:rsidR="0015304A" w:rsidRPr="00D13236">
        <w:t>36H</w:t>
      </w:r>
      <w:r w:rsidRPr="00D13236">
        <w:t xml:space="preserve"> of the amended Act to have the designated non</w:t>
      </w:r>
      <w:r w:rsidR="00D13236">
        <w:noBreakHyphen/>
      </w:r>
      <w:r w:rsidR="000D4502" w:rsidRPr="00D13236">
        <w:t>citizen determination</w:t>
      </w:r>
      <w:r w:rsidRPr="00D13236">
        <w:t xml:space="preserve"> revoked</w:t>
      </w:r>
      <w:r w:rsidR="0015304A" w:rsidRPr="00D13236">
        <w:t>.</w:t>
      </w:r>
    </w:p>
    <w:p w:rsidR="00CE4D48" w:rsidRPr="00D13236" w:rsidRDefault="00A75860" w:rsidP="00D13236">
      <w:pPr>
        <w:pStyle w:val="Subitem"/>
      </w:pPr>
      <w:r w:rsidRPr="00D13236">
        <w:t>(</w:t>
      </w:r>
      <w:r w:rsidR="00DF74DE" w:rsidRPr="00D13236">
        <w:t>4</w:t>
      </w:r>
      <w:r w:rsidR="00CE4D48" w:rsidRPr="00D13236">
        <w:t>)</w:t>
      </w:r>
      <w:r w:rsidR="00CE4D48" w:rsidRPr="00D13236">
        <w:tab/>
        <w:t>A no</w:t>
      </w:r>
      <w:r w:rsidR="00D13236">
        <w:noBreakHyphen/>
      </w:r>
      <w:r w:rsidR="00CE4D48" w:rsidRPr="00D13236">
        <w:t>notice determination continues in force after commencement despite the amendments made by this Schedule, as if the no</w:t>
      </w:r>
      <w:r w:rsidR="00D13236">
        <w:noBreakHyphen/>
      </w:r>
      <w:r w:rsidR="00CE4D48" w:rsidRPr="00D13236">
        <w:t>notice determination had been made under subsection</w:t>
      </w:r>
      <w:r w:rsidR="00D13236" w:rsidRPr="00D13236">
        <w:t> </w:t>
      </w:r>
      <w:r w:rsidR="0015304A" w:rsidRPr="00D13236">
        <w:t>36G</w:t>
      </w:r>
      <w:r w:rsidR="00620BBF" w:rsidRPr="00D13236">
        <w:t>(1)</w:t>
      </w:r>
      <w:r w:rsidR="00CE4D48" w:rsidRPr="00D13236">
        <w:t xml:space="preserve"> of the amended Act at the time it was made under the Act </w:t>
      </w:r>
      <w:r w:rsidR="00355D76" w:rsidRPr="00D13236">
        <w:t>as in force before commencement</w:t>
      </w:r>
      <w:r w:rsidR="0015304A" w:rsidRPr="00D13236">
        <w:t>.</w:t>
      </w:r>
    </w:p>
    <w:p w:rsidR="00CE4D48" w:rsidRPr="00D13236" w:rsidRDefault="00CE4D48" w:rsidP="00D13236">
      <w:pPr>
        <w:pStyle w:val="notemargin"/>
      </w:pPr>
      <w:r w:rsidRPr="00D13236">
        <w:t>Note:</w:t>
      </w:r>
      <w:r w:rsidRPr="00D13236">
        <w:tab/>
        <w:t xml:space="preserve">Among other things, this means that the 5 year period </w:t>
      </w:r>
      <w:r w:rsidR="00D57CC7" w:rsidRPr="00D13236">
        <w:t>in</w:t>
      </w:r>
      <w:r w:rsidR="00896925" w:rsidRPr="00D13236">
        <w:t xml:space="preserve"> which the Minister must </w:t>
      </w:r>
      <w:r w:rsidRPr="00D13236">
        <w:t xml:space="preserve">consider whether to revoke the determination </w:t>
      </w:r>
      <w:r w:rsidR="00896925" w:rsidRPr="00D13236">
        <w:t xml:space="preserve">at least </w:t>
      </w:r>
      <w:r w:rsidRPr="00D13236">
        <w:t xml:space="preserve">every </w:t>
      </w:r>
      <w:r w:rsidR="00BE6875" w:rsidRPr="00D13236">
        <w:t>90 days</w:t>
      </w:r>
      <w:r w:rsidRPr="00D13236">
        <w:t xml:space="preserve"> continues </w:t>
      </w:r>
      <w:r w:rsidR="00896925" w:rsidRPr="00D13236">
        <w:t>until</w:t>
      </w:r>
      <w:r w:rsidR="00C03E43" w:rsidRPr="00D13236">
        <w:t xml:space="preserve"> the end of the</w:t>
      </w:r>
      <w:r w:rsidR="00896925" w:rsidRPr="00D13236">
        <w:t xml:space="preserve"> 5 years</w:t>
      </w:r>
      <w:r w:rsidR="00C03E43" w:rsidRPr="00D13236">
        <w:t xml:space="preserve"> </w:t>
      </w:r>
      <w:r w:rsidRPr="00D13236">
        <w:t>rather than re</w:t>
      </w:r>
      <w:r w:rsidR="00D13236">
        <w:noBreakHyphen/>
      </w:r>
      <w:r w:rsidRPr="00D13236">
        <w:t>starting</w:t>
      </w:r>
      <w:r w:rsidR="00D57CC7" w:rsidRPr="00D13236">
        <w:t xml:space="preserve"> at commencement</w:t>
      </w:r>
      <w:r w:rsidR="0015304A" w:rsidRPr="00D13236">
        <w:t>.</w:t>
      </w:r>
      <w:r w:rsidR="00020F20" w:rsidRPr="00D13236">
        <w:t xml:space="preserve"> The Minister may also decide to extend the determination under subsection</w:t>
      </w:r>
      <w:r w:rsidR="00D13236" w:rsidRPr="00D13236">
        <w:t> </w:t>
      </w:r>
      <w:r w:rsidR="0015304A" w:rsidRPr="00D13236">
        <w:t>36G</w:t>
      </w:r>
      <w:r w:rsidR="00020F20" w:rsidRPr="00D13236">
        <w:t>(4) of the amended Act</w:t>
      </w:r>
      <w:r w:rsidR="0015304A" w:rsidRPr="00D13236">
        <w:t>.</w:t>
      </w:r>
    </w:p>
    <w:p w:rsidR="00E155B0" w:rsidRPr="00D13236" w:rsidRDefault="00E155B0" w:rsidP="00D13236">
      <w:pPr>
        <w:pStyle w:val="Subitem"/>
      </w:pPr>
      <w:r w:rsidRPr="00D13236">
        <w:t>(5)</w:t>
      </w:r>
      <w:r w:rsidRPr="00D13236">
        <w:tab/>
      </w:r>
      <w:r w:rsidR="004E6A43" w:rsidRPr="00D13236">
        <w:t>For</w:t>
      </w:r>
      <w:r w:rsidRPr="00D13236">
        <w:t xml:space="preserve"> a person </w:t>
      </w:r>
      <w:r w:rsidR="004E6A43" w:rsidRPr="00D13236">
        <w:t xml:space="preserve">who </w:t>
      </w:r>
      <w:r w:rsidRPr="00D13236">
        <w:t>is a designated non</w:t>
      </w:r>
      <w:r w:rsidR="00D13236">
        <w:noBreakHyphen/>
      </w:r>
      <w:r w:rsidRPr="00D13236">
        <w:t>citizen:</w:t>
      </w:r>
    </w:p>
    <w:p w:rsidR="00E155B0" w:rsidRPr="00D13236" w:rsidRDefault="00E155B0" w:rsidP="00D13236">
      <w:pPr>
        <w:pStyle w:val="paragraph"/>
      </w:pPr>
      <w:r w:rsidRPr="00D13236">
        <w:tab/>
        <w:t>(a)</w:t>
      </w:r>
      <w:r w:rsidRPr="00D13236">
        <w:tab/>
        <w:t>the designated non</w:t>
      </w:r>
      <w:r w:rsidR="00D13236">
        <w:noBreakHyphen/>
      </w:r>
      <w:r w:rsidRPr="00D13236">
        <w:t>citizen determination in relation to the person does not alter the time the person</w:t>
      </w:r>
      <w:r w:rsidR="00D461AB" w:rsidRPr="00D13236">
        <w:t>’</w:t>
      </w:r>
      <w:r w:rsidRPr="00D13236">
        <w:t>s citizenship ceased under section</w:t>
      </w:r>
      <w:r w:rsidR="00D13236" w:rsidRPr="00D13236">
        <w:t> </w:t>
      </w:r>
      <w:r w:rsidRPr="00D13236">
        <w:t xml:space="preserve">33AA or 35 of the Act </w:t>
      </w:r>
      <w:r w:rsidR="00355D76" w:rsidRPr="00D13236">
        <w:t>as in force before commencement</w:t>
      </w:r>
      <w:r w:rsidRPr="00D13236">
        <w:t>; and</w:t>
      </w:r>
    </w:p>
    <w:p w:rsidR="00E155B0" w:rsidRPr="00D13236" w:rsidRDefault="00E155B0" w:rsidP="00D13236">
      <w:pPr>
        <w:pStyle w:val="paragraph"/>
      </w:pPr>
      <w:r w:rsidRPr="00D13236">
        <w:tab/>
        <w:t>(b)</w:t>
      </w:r>
      <w:r w:rsidRPr="00D13236">
        <w:tab/>
        <w:t>the person remains at all times a person who is not an Australian citizen, unless the designated non</w:t>
      </w:r>
      <w:r w:rsidR="00D13236">
        <w:noBreakHyphen/>
      </w:r>
      <w:r w:rsidRPr="00D13236">
        <w:t>citizen determination is revoked under section</w:t>
      </w:r>
      <w:r w:rsidR="00D13236" w:rsidRPr="00D13236">
        <w:t> </w:t>
      </w:r>
      <w:r w:rsidR="0015304A" w:rsidRPr="00D13236">
        <w:t>36H</w:t>
      </w:r>
      <w:r w:rsidRPr="00D13236">
        <w:t xml:space="preserve">, </w:t>
      </w:r>
      <w:r w:rsidR="0015304A" w:rsidRPr="00D13236">
        <w:t>36J</w:t>
      </w:r>
      <w:r w:rsidRPr="00D13236">
        <w:t xml:space="preserve"> or </w:t>
      </w:r>
      <w:r w:rsidR="0015304A" w:rsidRPr="00D13236">
        <w:t>36K</w:t>
      </w:r>
      <w:r w:rsidRPr="00D13236">
        <w:t xml:space="preserve"> of the amended Act</w:t>
      </w:r>
      <w:r w:rsidR="0015304A" w:rsidRPr="00D13236">
        <w:t>.</w:t>
      </w:r>
    </w:p>
    <w:p w:rsidR="00CE4D48" w:rsidRPr="00D13236" w:rsidRDefault="00DF74DE" w:rsidP="00D13236">
      <w:pPr>
        <w:pStyle w:val="Subitem"/>
      </w:pPr>
      <w:r w:rsidRPr="00D13236">
        <w:t>(6</w:t>
      </w:r>
      <w:r w:rsidR="00CE4D48" w:rsidRPr="00D13236">
        <w:t>)</w:t>
      </w:r>
      <w:r w:rsidR="00CE4D48" w:rsidRPr="00D13236">
        <w:tab/>
        <w:t>To avoid doubt, at commencement</w:t>
      </w:r>
      <w:r w:rsidR="005E0EA1" w:rsidRPr="00D13236">
        <w:t>,</w:t>
      </w:r>
      <w:r w:rsidR="00CE4D48" w:rsidRPr="00D13236">
        <w:t xml:space="preserve"> the Act as in force immediately before commencement ceases to apply in relation to anything to which the amended Act applies in accordance with </w:t>
      </w:r>
      <w:proofErr w:type="spellStart"/>
      <w:r w:rsidR="00D13236" w:rsidRPr="00D13236">
        <w:t>subitems</w:t>
      </w:r>
      <w:proofErr w:type="spellEnd"/>
      <w:r w:rsidR="00D13236" w:rsidRPr="00D13236">
        <w:t> (</w:t>
      </w:r>
      <w:r w:rsidR="00A75860" w:rsidRPr="00D13236">
        <w:t xml:space="preserve">1) to </w:t>
      </w:r>
      <w:r w:rsidR="00CE4D48" w:rsidRPr="00D13236">
        <w:t>(</w:t>
      </w:r>
      <w:r w:rsidRPr="00D13236">
        <w:t>5</w:t>
      </w:r>
      <w:r w:rsidR="00CE4D48" w:rsidRPr="00D13236">
        <w:t>)</w:t>
      </w:r>
      <w:r w:rsidR="0015304A" w:rsidRPr="00D13236">
        <w:t>.</w:t>
      </w:r>
    </w:p>
    <w:p w:rsidR="007625EF" w:rsidRPr="00D13236" w:rsidRDefault="00DF74DE" w:rsidP="00D13236">
      <w:pPr>
        <w:pStyle w:val="Subitem"/>
      </w:pPr>
      <w:r w:rsidRPr="00D13236">
        <w:t>(7</w:t>
      </w:r>
      <w:r w:rsidR="007625EF" w:rsidRPr="00D13236">
        <w:t>)</w:t>
      </w:r>
      <w:r w:rsidR="007625EF" w:rsidRPr="00D13236">
        <w:tab/>
        <w:t>The operation of section</w:t>
      </w:r>
      <w:r w:rsidR="00D13236" w:rsidRPr="00D13236">
        <w:t> </w:t>
      </w:r>
      <w:r w:rsidR="007625EF" w:rsidRPr="00D13236">
        <w:t>33AA of the Act</w:t>
      </w:r>
      <w:r w:rsidR="00AF2D9B" w:rsidRPr="00D13236">
        <w:t xml:space="preserve"> </w:t>
      </w:r>
      <w:r w:rsidR="005D2CFD" w:rsidRPr="00D13236">
        <w:t xml:space="preserve">before commencement </w:t>
      </w:r>
      <w:r w:rsidR="00AF2D9B" w:rsidRPr="00D13236">
        <w:t xml:space="preserve">in relation to conduct engaged in by a person </w:t>
      </w:r>
      <w:r w:rsidR="007625EF" w:rsidRPr="00D13236">
        <w:t>is to be disregarded for all purposes if, be</w:t>
      </w:r>
      <w:r w:rsidR="00305051" w:rsidRPr="00D13236">
        <w:t>fore</w:t>
      </w:r>
      <w:r w:rsidR="00780263" w:rsidRPr="00D13236">
        <w:t xml:space="preserve"> commencement, the Minister</w:t>
      </w:r>
      <w:r w:rsidR="00305051" w:rsidRPr="00D13236">
        <w:t>:</w:t>
      </w:r>
    </w:p>
    <w:p w:rsidR="007625EF" w:rsidRPr="00D13236" w:rsidRDefault="007625EF" w:rsidP="00D13236">
      <w:pPr>
        <w:pStyle w:val="paragraph"/>
      </w:pPr>
      <w:r w:rsidRPr="00D13236">
        <w:tab/>
        <w:t>(a)</w:t>
      </w:r>
      <w:r w:rsidRPr="00D13236">
        <w:tab/>
      </w:r>
      <w:r w:rsidR="00D90F88" w:rsidRPr="00D13236">
        <w:t>did not give or make reasonable attempts to give</w:t>
      </w:r>
      <w:r w:rsidRPr="00D13236">
        <w:t xml:space="preserve"> the person a notice under paragraph</w:t>
      </w:r>
      <w:r w:rsidR="00D13236" w:rsidRPr="00D13236">
        <w:t> </w:t>
      </w:r>
      <w:r w:rsidRPr="00D13236">
        <w:t>33AA(10)(a) of the Act in relation to the conduct</w:t>
      </w:r>
      <w:r w:rsidR="00305051" w:rsidRPr="00D13236">
        <w:t>;</w:t>
      </w:r>
      <w:r w:rsidR="00780263" w:rsidRPr="00D13236">
        <w:t xml:space="preserve"> and</w:t>
      </w:r>
    </w:p>
    <w:p w:rsidR="007625EF" w:rsidRPr="00D13236" w:rsidRDefault="007625EF" w:rsidP="00D13236">
      <w:pPr>
        <w:pStyle w:val="paragraph"/>
      </w:pPr>
      <w:r w:rsidRPr="00D13236">
        <w:tab/>
        <w:t>(b)</w:t>
      </w:r>
      <w:r w:rsidRPr="00D13236">
        <w:tab/>
      </w:r>
      <w:r w:rsidR="00780263" w:rsidRPr="00D13236">
        <w:t>did not mak</w:t>
      </w:r>
      <w:r w:rsidR="00305051" w:rsidRPr="00D13236">
        <w:t>e</w:t>
      </w:r>
      <w:r w:rsidRPr="00D13236">
        <w:t xml:space="preserve"> a determination under subsection</w:t>
      </w:r>
      <w:r w:rsidR="00D13236" w:rsidRPr="00D13236">
        <w:t> </w:t>
      </w:r>
      <w:r w:rsidRPr="00D13236">
        <w:t>33AA(12) of the Act in relation to the conduct</w:t>
      </w:r>
      <w:r w:rsidR="0015304A" w:rsidRPr="00D13236">
        <w:t>.</w:t>
      </w:r>
    </w:p>
    <w:p w:rsidR="00457D0E" w:rsidRPr="00D13236" w:rsidRDefault="00DF74DE" w:rsidP="00D13236">
      <w:pPr>
        <w:pStyle w:val="Subitem"/>
      </w:pPr>
      <w:r w:rsidRPr="00D13236">
        <w:t>(8</w:t>
      </w:r>
      <w:r w:rsidR="00457D0E" w:rsidRPr="00D13236">
        <w:t>)</w:t>
      </w:r>
      <w:r w:rsidR="00457D0E" w:rsidRPr="00D13236">
        <w:tab/>
        <w:t>If, before commencement, the Minister exempted a person from the operation of section</w:t>
      </w:r>
      <w:r w:rsidR="00D13236" w:rsidRPr="00D13236">
        <w:t> </w:t>
      </w:r>
      <w:r w:rsidR="00457D0E" w:rsidRPr="00D13236">
        <w:t>33AA of the Act in relation to conduct engaged in by the person, the Minister must not make a determination under section</w:t>
      </w:r>
      <w:r w:rsidR="00D13236" w:rsidRPr="00D13236">
        <w:t> </w:t>
      </w:r>
      <w:r w:rsidR="0015304A" w:rsidRPr="00D13236">
        <w:t>36B</w:t>
      </w:r>
      <w:r w:rsidR="00457D0E" w:rsidRPr="00D13236">
        <w:t xml:space="preserve"> of the amended Act in relation to the conduct</w:t>
      </w:r>
      <w:r w:rsidR="0015304A" w:rsidRPr="00D13236">
        <w:t>.</w:t>
      </w:r>
    </w:p>
    <w:p w:rsidR="00457D0E" w:rsidRPr="00D13236" w:rsidRDefault="00DF74DE" w:rsidP="00D13236">
      <w:pPr>
        <w:pStyle w:val="Subitem"/>
      </w:pPr>
      <w:r w:rsidRPr="00D13236">
        <w:t>(9</w:t>
      </w:r>
      <w:r w:rsidR="009E693B" w:rsidRPr="00D13236">
        <w:t>)</w:t>
      </w:r>
      <w:r w:rsidR="009E693B" w:rsidRPr="00D13236">
        <w:tab/>
      </w:r>
      <w:r w:rsidR="00457D0E" w:rsidRPr="00D13236">
        <w:t>The operation of section</w:t>
      </w:r>
      <w:r w:rsidR="00D13236" w:rsidRPr="00D13236">
        <w:t> </w:t>
      </w:r>
      <w:r w:rsidR="00457D0E" w:rsidRPr="00D13236">
        <w:t>35 of the Act</w:t>
      </w:r>
      <w:r w:rsidR="005D2CFD" w:rsidRPr="00D13236">
        <w:t xml:space="preserve"> before commencement</w:t>
      </w:r>
      <w:r w:rsidR="00457D0E" w:rsidRPr="00D13236">
        <w:t xml:space="preserve"> in relation to conduct engaged in by a person is to be disregarded for all purposes if, be</w:t>
      </w:r>
      <w:r w:rsidR="00D90F88" w:rsidRPr="00D13236">
        <w:t>fore commencement, the Minister</w:t>
      </w:r>
      <w:r w:rsidR="00457D0E" w:rsidRPr="00D13236">
        <w:t>:</w:t>
      </w:r>
    </w:p>
    <w:p w:rsidR="00457D0E" w:rsidRPr="00D13236" w:rsidRDefault="00457D0E" w:rsidP="00D13236">
      <w:pPr>
        <w:pStyle w:val="paragraph"/>
      </w:pPr>
      <w:r w:rsidRPr="00D13236">
        <w:tab/>
        <w:t>(a)</w:t>
      </w:r>
      <w:r w:rsidRPr="00D13236">
        <w:tab/>
      </w:r>
      <w:r w:rsidR="00D90F88" w:rsidRPr="00D13236">
        <w:t>did not give or mak</w:t>
      </w:r>
      <w:r w:rsidRPr="00D13236">
        <w:t>e reasonable attempts to give the person a notice under paragraph</w:t>
      </w:r>
      <w:r w:rsidR="00D13236" w:rsidRPr="00D13236">
        <w:t> </w:t>
      </w:r>
      <w:r w:rsidRPr="00D13236">
        <w:t>35(5)(a) of the Act in relation to the conduct;</w:t>
      </w:r>
      <w:r w:rsidR="00D90F88" w:rsidRPr="00D13236">
        <w:t xml:space="preserve"> and</w:t>
      </w:r>
    </w:p>
    <w:p w:rsidR="00457D0E" w:rsidRPr="00D13236" w:rsidRDefault="00457D0E" w:rsidP="00D13236">
      <w:pPr>
        <w:pStyle w:val="paragraph"/>
      </w:pPr>
      <w:r w:rsidRPr="00D13236">
        <w:tab/>
        <w:t>(b)</w:t>
      </w:r>
      <w:r w:rsidRPr="00D13236">
        <w:tab/>
      </w:r>
      <w:r w:rsidR="00D90F88" w:rsidRPr="00D13236">
        <w:t>did not make</w:t>
      </w:r>
      <w:r w:rsidRPr="00D13236">
        <w:t xml:space="preserve"> a determination under subsection</w:t>
      </w:r>
      <w:r w:rsidR="00D13236" w:rsidRPr="00D13236">
        <w:t> </w:t>
      </w:r>
      <w:r w:rsidRPr="00D13236">
        <w:t>35(7) of the Act in relation to the conduct</w:t>
      </w:r>
      <w:r w:rsidR="0015304A" w:rsidRPr="00D13236">
        <w:t>.</w:t>
      </w:r>
    </w:p>
    <w:p w:rsidR="009E693B" w:rsidRPr="00D13236" w:rsidRDefault="00DF74DE" w:rsidP="00D13236">
      <w:pPr>
        <w:pStyle w:val="Subitem"/>
      </w:pPr>
      <w:r w:rsidRPr="00D13236">
        <w:t>(10</w:t>
      </w:r>
      <w:r w:rsidR="009E693B" w:rsidRPr="00D13236">
        <w:t>)</w:t>
      </w:r>
      <w:r w:rsidR="009E693B" w:rsidRPr="00D13236">
        <w:tab/>
        <w:t>If, before commencement, the Minister exempted a person from the operation of section</w:t>
      </w:r>
      <w:r w:rsidR="00D13236" w:rsidRPr="00D13236">
        <w:t> </w:t>
      </w:r>
      <w:r w:rsidR="009E693B" w:rsidRPr="00D13236">
        <w:t>35 of the Act in relation to conduct engaged in by the person, the Minister must not make a determination under section</w:t>
      </w:r>
      <w:r w:rsidR="00D13236" w:rsidRPr="00D13236">
        <w:t> </w:t>
      </w:r>
      <w:r w:rsidR="0015304A" w:rsidRPr="00D13236">
        <w:t>36B</w:t>
      </w:r>
      <w:r w:rsidR="009E693B" w:rsidRPr="00D13236">
        <w:t xml:space="preserve"> of the amended Act in relation to the conduct</w:t>
      </w:r>
      <w:r w:rsidR="0015304A" w:rsidRPr="00D13236">
        <w:t>.</w:t>
      </w:r>
    </w:p>
    <w:p w:rsidR="00CE4D48" w:rsidRPr="00D13236" w:rsidRDefault="0015304A" w:rsidP="00D13236">
      <w:pPr>
        <w:pStyle w:val="Transitional"/>
      </w:pPr>
      <w:r w:rsidRPr="00D13236">
        <w:t>18</w:t>
      </w:r>
      <w:r w:rsidR="00CE4D48" w:rsidRPr="00D13236">
        <w:t xml:space="preserve">  Application of section</w:t>
      </w:r>
      <w:r w:rsidR="00D13236" w:rsidRPr="00D13236">
        <w:t> </w:t>
      </w:r>
      <w:r w:rsidRPr="00D13236">
        <w:t>36B</w:t>
      </w:r>
      <w:r w:rsidR="00CE4D48" w:rsidRPr="00D13236">
        <w:t xml:space="preserve"> of amended Act</w:t>
      </w:r>
    </w:p>
    <w:p w:rsidR="00FC5946" w:rsidRPr="00D13236" w:rsidRDefault="00FC5946" w:rsidP="00D13236">
      <w:pPr>
        <w:pStyle w:val="Subitem"/>
      </w:pPr>
      <w:r w:rsidRPr="00D13236">
        <w:t>(1)</w:t>
      </w:r>
      <w:r w:rsidRPr="00D13236">
        <w:tab/>
      </w:r>
      <w:r w:rsidR="00CE4D48" w:rsidRPr="00D13236">
        <w:t>Section</w:t>
      </w:r>
      <w:r w:rsidR="00D13236" w:rsidRPr="00D13236">
        <w:t> </w:t>
      </w:r>
      <w:r w:rsidR="0015304A" w:rsidRPr="00D13236">
        <w:t>36B</w:t>
      </w:r>
      <w:r w:rsidR="00CE4D48" w:rsidRPr="00D13236">
        <w:t xml:space="preserve"> of the amended Act applies in relation to conduct </w:t>
      </w:r>
      <w:r w:rsidRPr="00D13236">
        <w:t xml:space="preserve">specified in any of </w:t>
      </w:r>
      <w:r w:rsidR="00D13236" w:rsidRPr="00D13236">
        <w:t>paragraphs (</w:t>
      </w:r>
      <w:r w:rsidRPr="00D13236">
        <w:t>5)(a) to (h) of that section, if:</w:t>
      </w:r>
    </w:p>
    <w:p w:rsidR="00FC5946" w:rsidRPr="00D13236" w:rsidRDefault="00FC5946" w:rsidP="00D13236">
      <w:pPr>
        <w:pStyle w:val="paragraph"/>
      </w:pPr>
      <w:r w:rsidRPr="00D13236">
        <w:tab/>
        <w:t>(a)</w:t>
      </w:r>
      <w:r w:rsidRPr="00D13236">
        <w:tab/>
        <w:t xml:space="preserve">the conduct was </w:t>
      </w:r>
      <w:r w:rsidR="00CE4D48" w:rsidRPr="00D13236">
        <w:t xml:space="preserve">engaged in </w:t>
      </w:r>
      <w:r w:rsidR="00EB0370" w:rsidRPr="00D13236">
        <w:t xml:space="preserve">on or </w:t>
      </w:r>
      <w:r w:rsidR="00CE4D48" w:rsidRPr="00D13236">
        <w:t xml:space="preserve">after </w:t>
      </w:r>
      <w:r w:rsidR="00EB0370" w:rsidRPr="00D13236">
        <w:t>29</w:t>
      </w:r>
      <w:r w:rsidR="00D13236" w:rsidRPr="00D13236">
        <w:t> </w:t>
      </w:r>
      <w:r w:rsidR="00EB0370" w:rsidRPr="00D13236">
        <w:t>May 2003</w:t>
      </w:r>
      <w:r w:rsidR="00CE4D48" w:rsidRPr="00D13236">
        <w:t xml:space="preserve"> (whether the conduct commenced </w:t>
      </w:r>
      <w:r w:rsidRPr="00D13236">
        <w:t>before, on or after that date); and</w:t>
      </w:r>
    </w:p>
    <w:p w:rsidR="00CE4D48" w:rsidRPr="00D13236" w:rsidRDefault="00FC5946" w:rsidP="00D13236">
      <w:pPr>
        <w:pStyle w:val="paragraph"/>
      </w:pPr>
      <w:r w:rsidRPr="00D13236">
        <w:tab/>
        <w:t>(b)</w:t>
      </w:r>
      <w:r w:rsidRPr="00D13236">
        <w:tab/>
        <w:t xml:space="preserve">the </w:t>
      </w:r>
      <w:r w:rsidR="00CE4D48" w:rsidRPr="00D13236">
        <w:t xml:space="preserve">conduct </w:t>
      </w:r>
      <w:r w:rsidRPr="00D13236">
        <w:t xml:space="preserve">is not conduct </w:t>
      </w:r>
      <w:r w:rsidR="00CE4D48" w:rsidRPr="00D13236">
        <w:t xml:space="preserve">to which </w:t>
      </w:r>
      <w:r w:rsidR="005558CA" w:rsidRPr="00D13236">
        <w:t>a designated non</w:t>
      </w:r>
      <w:r w:rsidR="00D13236">
        <w:noBreakHyphen/>
      </w:r>
      <w:r w:rsidR="005558CA" w:rsidRPr="00D13236">
        <w:t>citizen determination</w:t>
      </w:r>
      <w:r w:rsidR="00CE4D48" w:rsidRPr="00D13236">
        <w:t xml:space="preserve"> relates</w:t>
      </w:r>
      <w:r w:rsidR="0015304A" w:rsidRPr="00D13236">
        <w:t>.</w:t>
      </w:r>
    </w:p>
    <w:p w:rsidR="00FC5946" w:rsidRPr="00D13236" w:rsidRDefault="00FC5946" w:rsidP="00D13236">
      <w:pPr>
        <w:pStyle w:val="Subitem"/>
      </w:pPr>
      <w:r w:rsidRPr="00D13236">
        <w:t>(2)</w:t>
      </w:r>
      <w:r w:rsidRPr="00D13236">
        <w:tab/>
      </w:r>
      <w:r w:rsidR="00CE4D48" w:rsidRPr="00D13236">
        <w:t>Section</w:t>
      </w:r>
      <w:r w:rsidR="00D13236" w:rsidRPr="00D13236">
        <w:t> </w:t>
      </w:r>
      <w:r w:rsidR="0015304A" w:rsidRPr="00D13236">
        <w:t>36B</w:t>
      </w:r>
      <w:r w:rsidR="00CE4D48" w:rsidRPr="00D13236">
        <w:t xml:space="preserve"> of the amended Act applies in relation to conduct </w:t>
      </w:r>
      <w:r w:rsidRPr="00D13236">
        <w:t>specified</w:t>
      </w:r>
      <w:r w:rsidR="00986538" w:rsidRPr="00D13236">
        <w:t xml:space="preserve"> in </w:t>
      </w:r>
      <w:r w:rsidR="00D13236" w:rsidRPr="00D13236">
        <w:t>paragraph (</w:t>
      </w:r>
      <w:r w:rsidR="00452F85" w:rsidRPr="00D13236">
        <w:t>5</w:t>
      </w:r>
      <w:r w:rsidRPr="00D13236">
        <w:t>)</w:t>
      </w:r>
      <w:r w:rsidR="00986538" w:rsidRPr="00D13236">
        <w:t>(</w:t>
      </w:r>
      <w:proofErr w:type="spellStart"/>
      <w:r w:rsidR="00986538" w:rsidRPr="00D13236">
        <w:t>i</w:t>
      </w:r>
      <w:proofErr w:type="spellEnd"/>
      <w:r w:rsidRPr="00D13236">
        <w:t>) of that section, if:</w:t>
      </w:r>
    </w:p>
    <w:p w:rsidR="00FC5946" w:rsidRPr="00D13236" w:rsidRDefault="00FC5946" w:rsidP="00D13236">
      <w:pPr>
        <w:pStyle w:val="paragraph"/>
      </w:pPr>
      <w:r w:rsidRPr="00D13236">
        <w:tab/>
        <w:t>(a)</w:t>
      </w:r>
      <w:r w:rsidRPr="00D13236">
        <w:tab/>
        <w:t xml:space="preserve">the conduct was </w:t>
      </w:r>
      <w:r w:rsidR="009A5EA9" w:rsidRPr="00D13236">
        <w:t>engaged in on or after 12</w:t>
      </w:r>
      <w:r w:rsidR="00D13236" w:rsidRPr="00D13236">
        <w:t> </w:t>
      </w:r>
      <w:r w:rsidR="009A5EA9" w:rsidRPr="00D13236">
        <w:t>December 2015</w:t>
      </w:r>
      <w:r w:rsidR="00CE4D48" w:rsidRPr="00D13236">
        <w:t xml:space="preserve"> (whether the conduct commenced </w:t>
      </w:r>
      <w:r w:rsidRPr="00D13236">
        <w:t>before, on or after that date); and</w:t>
      </w:r>
    </w:p>
    <w:p w:rsidR="00CE4D48" w:rsidRPr="00D13236" w:rsidRDefault="00FC5946" w:rsidP="00D13236">
      <w:pPr>
        <w:pStyle w:val="paragraph"/>
      </w:pPr>
      <w:r w:rsidRPr="00D13236">
        <w:tab/>
        <w:t>(b)</w:t>
      </w:r>
      <w:r w:rsidRPr="00D13236">
        <w:tab/>
        <w:t xml:space="preserve">the conduct is not </w:t>
      </w:r>
      <w:r w:rsidR="00CE4D48" w:rsidRPr="00D13236">
        <w:t xml:space="preserve">conduct to which </w:t>
      </w:r>
      <w:r w:rsidR="005558CA" w:rsidRPr="00D13236">
        <w:t>a designated non</w:t>
      </w:r>
      <w:r w:rsidR="00D13236">
        <w:noBreakHyphen/>
      </w:r>
      <w:r w:rsidR="005558CA" w:rsidRPr="00D13236">
        <w:t>citizen determination</w:t>
      </w:r>
      <w:r w:rsidR="00CE4D48" w:rsidRPr="00D13236">
        <w:t xml:space="preserve"> relates</w:t>
      </w:r>
      <w:r w:rsidR="0015304A" w:rsidRPr="00D13236">
        <w:t>.</w:t>
      </w:r>
    </w:p>
    <w:p w:rsidR="00736D33" w:rsidRPr="00D13236" w:rsidRDefault="00736D33" w:rsidP="00D13236">
      <w:pPr>
        <w:pStyle w:val="Subitem"/>
      </w:pPr>
      <w:r w:rsidRPr="00D13236">
        <w:t>(3)</w:t>
      </w:r>
      <w:r w:rsidRPr="00D13236">
        <w:tab/>
        <w:t>Section</w:t>
      </w:r>
      <w:r w:rsidR="00D13236" w:rsidRPr="00D13236">
        <w:t> </w:t>
      </w:r>
      <w:r w:rsidR="0015304A" w:rsidRPr="00D13236">
        <w:t>36B</w:t>
      </w:r>
      <w:r w:rsidRPr="00D13236">
        <w:t xml:space="preserve"> of the amended Act applies in relation to conduct specified in </w:t>
      </w:r>
      <w:r w:rsidR="00D13236" w:rsidRPr="00D13236">
        <w:t>paragraph (</w:t>
      </w:r>
      <w:r w:rsidR="003F52CA" w:rsidRPr="00D13236">
        <w:t>5)(</w:t>
      </w:r>
      <w:r w:rsidR="008F36B5" w:rsidRPr="00D13236">
        <w:t>j</w:t>
      </w:r>
      <w:r w:rsidR="003F52CA" w:rsidRPr="00D13236">
        <w:t>) of that section</w:t>
      </w:r>
      <w:r w:rsidRPr="00D13236">
        <w:t xml:space="preserve"> </w:t>
      </w:r>
      <w:r w:rsidR="003F52CA" w:rsidRPr="00D13236">
        <w:t>whether the conduct was engaged in before or after commencement, unless a designated non</w:t>
      </w:r>
      <w:r w:rsidR="00D13236">
        <w:noBreakHyphen/>
      </w:r>
      <w:r w:rsidR="003F52CA" w:rsidRPr="00D13236">
        <w:t>citizen determination relates to the conduct</w:t>
      </w:r>
      <w:r w:rsidR="0015304A" w:rsidRPr="00D13236">
        <w:t>.</w:t>
      </w:r>
    </w:p>
    <w:p w:rsidR="00CE4D48" w:rsidRPr="00D13236" w:rsidRDefault="0015304A" w:rsidP="00D13236">
      <w:pPr>
        <w:pStyle w:val="Transitional"/>
      </w:pPr>
      <w:r w:rsidRPr="00D13236">
        <w:t>19</w:t>
      </w:r>
      <w:r w:rsidR="00CE4D48" w:rsidRPr="00D13236">
        <w:t xml:space="preserve">  Application of section</w:t>
      </w:r>
      <w:r w:rsidR="00D13236" w:rsidRPr="00D13236">
        <w:t> </w:t>
      </w:r>
      <w:r w:rsidRPr="00D13236">
        <w:t>36D</w:t>
      </w:r>
      <w:r w:rsidR="00CE4D48" w:rsidRPr="00D13236">
        <w:t xml:space="preserve"> of amended Act</w:t>
      </w:r>
    </w:p>
    <w:p w:rsidR="00CE4D48" w:rsidRPr="00D13236" w:rsidRDefault="00CE4D48" w:rsidP="00D13236">
      <w:pPr>
        <w:pStyle w:val="Item"/>
      </w:pPr>
      <w:r w:rsidRPr="00D13236">
        <w:t>Section</w:t>
      </w:r>
      <w:r w:rsidR="00D13236" w:rsidRPr="00D13236">
        <w:t> </w:t>
      </w:r>
      <w:r w:rsidR="0015304A" w:rsidRPr="00D13236">
        <w:t>36D</w:t>
      </w:r>
      <w:r w:rsidRPr="00D13236">
        <w:t xml:space="preserve"> of the amended Act applies in relation to</w:t>
      </w:r>
      <w:r w:rsidR="00914901" w:rsidRPr="00D13236">
        <w:t xml:space="preserve"> a conviction of a person</w:t>
      </w:r>
      <w:r w:rsidRPr="00D13236">
        <w:t>:</w:t>
      </w:r>
    </w:p>
    <w:p w:rsidR="00CE4D48" w:rsidRPr="00D13236" w:rsidRDefault="00CE4D48" w:rsidP="00D13236">
      <w:pPr>
        <w:pStyle w:val="paragraph"/>
      </w:pPr>
      <w:r w:rsidRPr="00D13236">
        <w:tab/>
        <w:t>(a)</w:t>
      </w:r>
      <w:r w:rsidRPr="00D13236">
        <w:tab/>
        <w:t>tha</w:t>
      </w:r>
      <w:r w:rsidR="00914901" w:rsidRPr="00D13236">
        <w:t>t occurs after commencement; or</w:t>
      </w:r>
    </w:p>
    <w:p w:rsidR="00CE4D48" w:rsidRPr="00D13236" w:rsidRDefault="00E07EA7" w:rsidP="00D13236">
      <w:pPr>
        <w:pStyle w:val="paragraph"/>
      </w:pPr>
      <w:r w:rsidRPr="00D13236">
        <w:tab/>
        <w:t>(b)</w:t>
      </w:r>
      <w:r w:rsidRPr="00D13236">
        <w:tab/>
        <w:t>that occurred</w:t>
      </w:r>
      <w:r w:rsidR="00CE4D48" w:rsidRPr="00D13236">
        <w:t xml:space="preserve"> before commencement, if:</w:t>
      </w:r>
    </w:p>
    <w:p w:rsidR="00CE4D48" w:rsidRPr="00D13236" w:rsidRDefault="00CE4D48" w:rsidP="00D13236">
      <w:pPr>
        <w:pStyle w:val="paragraphsub"/>
      </w:pPr>
      <w:r w:rsidRPr="00D13236">
        <w:tab/>
        <w:t>(</w:t>
      </w:r>
      <w:proofErr w:type="spellStart"/>
      <w:r w:rsidRPr="00D13236">
        <w:t>i</w:t>
      </w:r>
      <w:proofErr w:type="spellEnd"/>
      <w:r w:rsidRPr="00D13236">
        <w:t>)</w:t>
      </w:r>
      <w:r w:rsidRPr="00D13236">
        <w:tab/>
        <w:t xml:space="preserve">the conviction occurred </w:t>
      </w:r>
      <w:r w:rsidR="00EB0370" w:rsidRPr="00D13236">
        <w:t>on or after 29</w:t>
      </w:r>
      <w:r w:rsidR="00D13236" w:rsidRPr="00D13236">
        <w:t> </w:t>
      </w:r>
      <w:r w:rsidR="00EB0370" w:rsidRPr="00D13236">
        <w:t>May 2003</w:t>
      </w:r>
      <w:r w:rsidRPr="00D13236">
        <w:t>; and</w:t>
      </w:r>
    </w:p>
    <w:p w:rsidR="00CE4D48" w:rsidRPr="00D13236" w:rsidRDefault="00CE4D48" w:rsidP="00D13236">
      <w:pPr>
        <w:pStyle w:val="paragraphsub"/>
      </w:pPr>
      <w:r w:rsidRPr="00D13236">
        <w:tab/>
        <w:t>(ii)</w:t>
      </w:r>
      <w:r w:rsidRPr="00D13236">
        <w:tab/>
        <w:t>the person was sentenced to a period of imprisonment</w:t>
      </w:r>
      <w:r w:rsidR="001320C0" w:rsidRPr="00D13236">
        <w:t xml:space="preserve"> of at least 3 years, or to periods of imprisonment that total at </w:t>
      </w:r>
      <w:r w:rsidRPr="00D13236">
        <w:t>least 3 years</w:t>
      </w:r>
      <w:r w:rsidR="001320C0" w:rsidRPr="00D13236">
        <w:t>,</w:t>
      </w:r>
      <w:r w:rsidRPr="00D13236">
        <w:t xml:space="preserve"> in respect of the convictio</w:t>
      </w:r>
      <w:r w:rsidR="008F5986" w:rsidRPr="00D13236">
        <w:t>n</w:t>
      </w:r>
      <w:r w:rsidR="0015304A" w:rsidRPr="00D13236">
        <w:t>.</w:t>
      </w:r>
    </w:p>
    <w:p w:rsidR="00452F85" w:rsidRPr="00D13236" w:rsidRDefault="0015304A" w:rsidP="00D13236">
      <w:pPr>
        <w:pStyle w:val="Transitional"/>
      </w:pPr>
      <w:r w:rsidRPr="00D13236">
        <w:t>20</w:t>
      </w:r>
      <w:r w:rsidR="00452F85" w:rsidRPr="00D13236">
        <w:t xml:space="preserve">  Declared terrorist organisations</w:t>
      </w:r>
    </w:p>
    <w:p w:rsidR="00452F85" w:rsidRPr="00D13236" w:rsidRDefault="00452F85" w:rsidP="00D13236">
      <w:pPr>
        <w:pStyle w:val="Item"/>
      </w:pPr>
      <w:r w:rsidRPr="00D13236">
        <w:t>Despite the repeal of section</w:t>
      </w:r>
      <w:r w:rsidR="00D13236" w:rsidRPr="00D13236">
        <w:t> </w:t>
      </w:r>
      <w:r w:rsidRPr="00D13236">
        <w:t>35AA of the Act by this Schedule, a declaration in force under that section immediately before commencement continues in force, after commencement, as if it had been made under section</w:t>
      </w:r>
      <w:r w:rsidR="00D13236" w:rsidRPr="00D13236">
        <w:t> </w:t>
      </w:r>
      <w:r w:rsidR="0015304A" w:rsidRPr="00D13236">
        <w:t>36C</w:t>
      </w:r>
      <w:r w:rsidRPr="00D13236">
        <w:t xml:space="preserve"> of the amended Act</w:t>
      </w:r>
      <w:r w:rsidR="0015304A" w:rsidRPr="00D13236">
        <w:t>.</w:t>
      </w:r>
    </w:p>
    <w:p w:rsidR="00CE4D48" w:rsidRPr="00D13236" w:rsidRDefault="0015304A" w:rsidP="00D13236">
      <w:pPr>
        <w:pStyle w:val="Transitional"/>
      </w:pPr>
      <w:r w:rsidRPr="00D13236">
        <w:t>21</w:t>
      </w:r>
      <w:r w:rsidR="00CE4D48" w:rsidRPr="00D13236">
        <w:t xml:space="preserve">  Section</w:t>
      </w:r>
      <w:r w:rsidR="00D13236" w:rsidRPr="00D13236">
        <w:t> </w:t>
      </w:r>
      <w:r w:rsidR="00CE4D48" w:rsidRPr="00D13236">
        <w:t>51B report</w:t>
      </w:r>
    </w:p>
    <w:p w:rsidR="00CE4D48" w:rsidRPr="00D13236" w:rsidRDefault="00CE4D48" w:rsidP="00D13236">
      <w:pPr>
        <w:pStyle w:val="Item"/>
      </w:pPr>
      <w:r w:rsidRPr="00D13236">
        <w:t>A report prepared for the purposes of section</w:t>
      </w:r>
      <w:r w:rsidR="00D13236" w:rsidRPr="00D13236">
        <w:t> </w:t>
      </w:r>
      <w:r w:rsidRPr="00D13236">
        <w:t>51B of the amended Act in relation to the reporting period in which commencement occurs must set out:</w:t>
      </w:r>
    </w:p>
    <w:p w:rsidR="00CE4D48" w:rsidRPr="00D13236" w:rsidRDefault="00CE4D48" w:rsidP="00D13236">
      <w:pPr>
        <w:pStyle w:val="paragraph"/>
      </w:pPr>
      <w:r w:rsidRPr="00D13236">
        <w:tab/>
        <w:t>(a)</w:t>
      </w:r>
      <w:r w:rsidRPr="00D13236">
        <w:tab/>
        <w:t>for the part of the reporting period that occurs before commencement—the matters required by subsection</w:t>
      </w:r>
      <w:r w:rsidR="00D13236" w:rsidRPr="00D13236">
        <w:t> </w:t>
      </w:r>
      <w:r w:rsidRPr="00D13236">
        <w:t xml:space="preserve">51B(1) of the Act as in force immediately before </w:t>
      </w:r>
      <w:r w:rsidR="00315A2C" w:rsidRPr="00D13236">
        <w:t>commencement</w:t>
      </w:r>
      <w:r w:rsidRPr="00D13236">
        <w:t>; and</w:t>
      </w:r>
    </w:p>
    <w:p w:rsidR="00CE4D48" w:rsidRPr="00D13236" w:rsidRDefault="00CE4D48" w:rsidP="00D13236">
      <w:pPr>
        <w:pStyle w:val="paragraph"/>
      </w:pPr>
      <w:r w:rsidRPr="00D13236">
        <w:tab/>
        <w:t>(b)</w:t>
      </w:r>
      <w:r w:rsidRPr="00D13236">
        <w:tab/>
        <w:t xml:space="preserve">for the part of the reporting period that occurs after </w:t>
      </w:r>
      <w:r w:rsidR="00315A2C" w:rsidRPr="00D13236">
        <w:t>commencement</w:t>
      </w:r>
      <w:r w:rsidRPr="00D13236">
        <w:t>—the matters required by subsection</w:t>
      </w:r>
      <w:r w:rsidR="00D13236" w:rsidRPr="00D13236">
        <w:t> </w:t>
      </w:r>
      <w:r w:rsidRPr="00D13236">
        <w:t>51B(1) of the amended Act</w:t>
      </w:r>
      <w:r w:rsidR="0015304A" w:rsidRPr="00D13236">
        <w:t>.</w:t>
      </w:r>
    </w:p>
    <w:p w:rsidR="00CE4D48" w:rsidRPr="00D13236" w:rsidRDefault="0015304A" w:rsidP="00D13236">
      <w:pPr>
        <w:pStyle w:val="Transitional"/>
      </w:pPr>
      <w:r w:rsidRPr="00D13236">
        <w:t>22</w:t>
      </w:r>
      <w:r w:rsidR="00CE4D48" w:rsidRPr="00D13236">
        <w:t xml:space="preserve">  Australian citizenship</w:t>
      </w:r>
    </w:p>
    <w:p w:rsidR="00CE4D48" w:rsidRPr="00D13236" w:rsidRDefault="00CE4D48" w:rsidP="00D13236">
      <w:pPr>
        <w:pStyle w:val="Item"/>
      </w:pPr>
      <w:r w:rsidRPr="00D13236">
        <w:t>The amendments of the Act made by this Schedule apply in relation to a person, in accordance with this Part, regardless of:</w:t>
      </w:r>
    </w:p>
    <w:p w:rsidR="00CE4D48" w:rsidRPr="00D13236" w:rsidRDefault="00CE4D48" w:rsidP="00D13236">
      <w:pPr>
        <w:pStyle w:val="paragraph"/>
      </w:pPr>
      <w:r w:rsidRPr="00D13236">
        <w:tab/>
        <w:t>(a)</w:t>
      </w:r>
      <w:r w:rsidRPr="00D13236">
        <w:tab/>
        <w:t>whether the person became an Australian citizen before or after commencement; or</w:t>
      </w:r>
    </w:p>
    <w:p w:rsidR="00CE4D48" w:rsidRDefault="00CE4D48" w:rsidP="00D13236">
      <w:pPr>
        <w:pStyle w:val="paragraph"/>
      </w:pPr>
      <w:r w:rsidRPr="00D13236">
        <w:tab/>
        <w:t>(b)</w:t>
      </w:r>
      <w:r w:rsidRPr="00D13236">
        <w:tab/>
        <w:t>whether the person ceased to be an Australian citizen before commencement</w:t>
      </w:r>
      <w:r w:rsidR="0015304A" w:rsidRPr="00D13236">
        <w:t>.</w:t>
      </w:r>
    </w:p>
    <w:p w:rsidR="00DD13FF" w:rsidRPr="00D13236" w:rsidRDefault="00DD13FF" w:rsidP="003E75AD"/>
    <w:p w:rsidR="000F60F4" w:rsidRDefault="000F60F4" w:rsidP="000F60F4">
      <w:pPr>
        <w:pStyle w:val="AssentBk"/>
        <w:keepNext/>
      </w:pPr>
    </w:p>
    <w:p w:rsidR="000F60F4" w:rsidRDefault="000F60F4" w:rsidP="000F60F4">
      <w:pPr>
        <w:pStyle w:val="AssentBk"/>
        <w:keepNext/>
      </w:pPr>
    </w:p>
    <w:p w:rsidR="000F60F4" w:rsidRDefault="000F60F4" w:rsidP="000F60F4">
      <w:pPr>
        <w:pStyle w:val="2ndRd"/>
        <w:keepNext/>
        <w:pBdr>
          <w:top w:val="single" w:sz="2" w:space="1" w:color="auto"/>
        </w:pBdr>
      </w:pPr>
    </w:p>
    <w:p w:rsidR="000F60F4" w:rsidRDefault="000F60F4" w:rsidP="00202CC9">
      <w:pPr>
        <w:pStyle w:val="2ndRd"/>
        <w:keepNext/>
        <w:spacing w:line="260" w:lineRule="atLeast"/>
        <w:rPr>
          <w:i/>
        </w:rPr>
      </w:pPr>
      <w:r>
        <w:t>[</w:t>
      </w:r>
      <w:r>
        <w:rPr>
          <w:i/>
        </w:rPr>
        <w:t>Minister’s second reading speech made in—</w:t>
      </w:r>
    </w:p>
    <w:p w:rsidR="000F60F4" w:rsidRDefault="000F60F4" w:rsidP="00202CC9">
      <w:pPr>
        <w:pStyle w:val="2ndRd"/>
        <w:keepNext/>
        <w:spacing w:line="260" w:lineRule="atLeast"/>
        <w:rPr>
          <w:i/>
        </w:rPr>
      </w:pPr>
      <w:r>
        <w:rPr>
          <w:i/>
        </w:rPr>
        <w:t>House of Representatives on 19 September 2019</w:t>
      </w:r>
    </w:p>
    <w:p w:rsidR="000F60F4" w:rsidRDefault="000F60F4" w:rsidP="00202CC9">
      <w:pPr>
        <w:pStyle w:val="2ndRd"/>
        <w:keepNext/>
        <w:spacing w:line="260" w:lineRule="atLeast"/>
        <w:rPr>
          <w:i/>
        </w:rPr>
      </w:pPr>
      <w:r>
        <w:rPr>
          <w:i/>
        </w:rPr>
        <w:t>Senate on 3 September 2020</w:t>
      </w:r>
      <w:r>
        <w:t>]</w:t>
      </w:r>
    </w:p>
    <w:p w:rsidR="000F60F4" w:rsidRDefault="000F60F4" w:rsidP="00202CC9"/>
    <w:p w:rsidR="00C73038" w:rsidRPr="000F60F4" w:rsidRDefault="000F60F4" w:rsidP="000F60F4">
      <w:pPr>
        <w:framePr w:hSpace="180" w:wrap="around" w:vAnchor="text" w:hAnchor="page" w:x="2410" w:y="4361"/>
      </w:pPr>
      <w:r>
        <w:t>(175/19)</w:t>
      </w:r>
    </w:p>
    <w:p w:rsidR="000F60F4" w:rsidRDefault="000F60F4"/>
    <w:sectPr w:rsidR="000F60F4" w:rsidSect="00C73038">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CC9" w:rsidRDefault="00202CC9" w:rsidP="0048364F">
      <w:pPr>
        <w:spacing w:line="240" w:lineRule="auto"/>
      </w:pPr>
      <w:r>
        <w:separator/>
      </w:r>
    </w:p>
  </w:endnote>
  <w:endnote w:type="continuationSeparator" w:id="0">
    <w:p w:rsidR="00202CC9" w:rsidRDefault="00202CC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5F1388" w:rsidRDefault="00202CC9" w:rsidP="00D1323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Default="00202CC9" w:rsidP="00202CC9">
    <w:pPr>
      <w:pStyle w:val="ScalePlusRef"/>
    </w:pPr>
    <w:r>
      <w:t>Note: An electronic version of this Act is available on the Federal Register of Legislation (</w:t>
    </w:r>
    <w:hyperlink r:id="rId1" w:history="1">
      <w:r>
        <w:t>https://www.legislation.gov.au/</w:t>
      </w:r>
    </w:hyperlink>
    <w:r>
      <w:t>)</w:t>
    </w:r>
  </w:p>
  <w:p w:rsidR="00202CC9" w:rsidRDefault="00202CC9" w:rsidP="00202CC9"/>
  <w:p w:rsidR="00202CC9" w:rsidRDefault="00202CC9" w:rsidP="00D13236">
    <w:pPr>
      <w:pStyle w:val="Footer"/>
      <w:spacing w:before="120"/>
    </w:pPr>
  </w:p>
  <w:p w:rsidR="00202CC9" w:rsidRPr="005F1388" w:rsidRDefault="00202CC9" w:rsidP="00781C9A">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ED79B6" w:rsidRDefault="00202CC9" w:rsidP="00D1323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Default="00202CC9" w:rsidP="00D1323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02CC9" w:rsidTr="00D21CCF">
      <w:tc>
        <w:tcPr>
          <w:tcW w:w="646" w:type="dxa"/>
        </w:tcPr>
        <w:p w:rsidR="00202CC9" w:rsidRDefault="00202CC9" w:rsidP="00D21CC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2BD6">
            <w:rPr>
              <w:i/>
              <w:noProof/>
              <w:sz w:val="18"/>
            </w:rPr>
            <w:t>xxi</w:t>
          </w:r>
          <w:r w:rsidRPr="00ED79B6">
            <w:rPr>
              <w:i/>
              <w:sz w:val="18"/>
            </w:rPr>
            <w:fldChar w:fldCharType="end"/>
          </w:r>
        </w:p>
      </w:tc>
      <w:tc>
        <w:tcPr>
          <w:tcW w:w="5387" w:type="dxa"/>
        </w:tcPr>
        <w:p w:rsidR="00202CC9" w:rsidRDefault="00202CC9" w:rsidP="00D21CC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02BD6">
            <w:rPr>
              <w:i/>
              <w:sz w:val="18"/>
            </w:rPr>
            <w:t>Australian Citizenship Amendment (Citizenship Cessation) Act 2020</w:t>
          </w:r>
          <w:r w:rsidRPr="00ED79B6">
            <w:rPr>
              <w:i/>
              <w:sz w:val="18"/>
            </w:rPr>
            <w:fldChar w:fldCharType="end"/>
          </w:r>
        </w:p>
      </w:tc>
      <w:tc>
        <w:tcPr>
          <w:tcW w:w="1270" w:type="dxa"/>
        </w:tcPr>
        <w:p w:rsidR="00202CC9" w:rsidRDefault="00202CC9" w:rsidP="00D21CC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02BD6">
            <w:rPr>
              <w:i/>
              <w:sz w:val="18"/>
            </w:rPr>
            <w:t>No. 88, 2020</w:t>
          </w:r>
          <w:r w:rsidRPr="00ED79B6">
            <w:rPr>
              <w:i/>
              <w:sz w:val="18"/>
            </w:rPr>
            <w:fldChar w:fldCharType="end"/>
          </w:r>
        </w:p>
      </w:tc>
    </w:tr>
  </w:tbl>
  <w:p w:rsidR="00202CC9" w:rsidRDefault="00202CC9" w:rsidP="00781C9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Default="00202CC9" w:rsidP="00D1323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02CC9" w:rsidTr="00D21CCF">
      <w:tc>
        <w:tcPr>
          <w:tcW w:w="1247" w:type="dxa"/>
        </w:tcPr>
        <w:p w:rsidR="00202CC9" w:rsidRDefault="00202CC9" w:rsidP="00D21CC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02BD6">
            <w:rPr>
              <w:i/>
              <w:sz w:val="18"/>
            </w:rPr>
            <w:t>No. 88, 2020</w:t>
          </w:r>
          <w:r w:rsidRPr="00ED79B6">
            <w:rPr>
              <w:i/>
              <w:sz w:val="18"/>
            </w:rPr>
            <w:fldChar w:fldCharType="end"/>
          </w:r>
        </w:p>
      </w:tc>
      <w:tc>
        <w:tcPr>
          <w:tcW w:w="5387" w:type="dxa"/>
        </w:tcPr>
        <w:p w:rsidR="00202CC9" w:rsidRDefault="00202CC9" w:rsidP="00DD13F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02BD6">
            <w:rPr>
              <w:i/>
              <w:sz w:val="18"/>
            </w:rPr>
            <w:t>Australian Citizenship Amendment (Citizenship Cessation) Act 2020</w:t>
          </w:r>
          <w:r w:rsidRPr="00ED79B6">
            <w:rPr>
              <w:i/>
              <w:sz w:val="18"/>
            </w:rPr>
            <w:fldChar w:fldCharType="end"/>
          </w:r>
        </w:p>
      </w:tc>
      <w:tc>
        <w:tcPr>
          <w:tcW w:w="669" w:type="dxa"/>
        </w:tcPr>
        <w:p w:rsidR="00202CC9" w:rsidRDefault="00202CC9" w:rsidP="00D21CC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2BD6">
            <w:rPr>
              <w:i/>
              <w:noProof/>
              <w:sz w:val="18"/>
            </w:rPr>
            <w:t>i</w:t>
          </w:r>
          <w:r w:rsidRPr="00ED79B6">
            <w:rPr>
              <w:i/>
              <w:sz w:val="18"/>
            </w:rPr>
            <w:fldChar w:fldCharType="end"/>
          </w:r>
        </w:p>
      </w:tc>
    </w:tr>
  </w:tbl>
  <w:p w:rsidR="00202CC9" w:rsidRPr="00ED79B6" w:rsidRDefault="00202CC9" w:rsidP="00781C9A">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A961C4" w:rsidRDefault="00202CC9" w:rsidP="00D1323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02CC9" w:rsidTr="00D13236">
      <w:tc>
        <w:tcPr>
          <w:tcW w:w="646" w:type="dxa"/>
        </w:tcPr>
        <w:p w:rsidR="00202CC9" w:rsidRDefault="00202CC9" w:rsidP="00D21CC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02BD6">
            <w:rPr>
              <w:i/>
              <w:noProof/>
              <w:sz w:val="18"/>
            </w:rPr>
            <w:t>24</w:t>
          </w:r>
          <w:r w:rsidRPr="007A1328">
            <w:rPr>
              <w:i/>
              <w:sz w:val="18"/>
            </w:rPr>
            <w:fldChar w:fldCharType="end"/>
          </w:r>
        </w:p>
      </w:tc>
      <w:tc>
        <w:tcPr>
          <w:tcW w:w="5387" w:type="dxa"/>
        </w:tcPr>
        <w:p w:rsidR="00202CC9" w:rsidRDefault="00202CC9" w:rsidP="00D21CC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02BD6">
            <w:rPr>
              <w:i/>
              <w:sz w:val="18"/>
            </w:rPr>
            <w:t>Australian Citizenship Amendment (Citizenship Cessation) Act 2020</w:t>
          </w:r>
          <w:r w:rsidRPr="007A1328">
            <w:rPr>
              <w:i/>
              <w:sz w:val="18"/>
            </w:rPr>
            <w:fldChar w:fldCharType="end"/>
          </w:r>
        </w:p>
      </w:tc>
      <w:tc>
        <w:tcPr>
          <w:tcW w:w="1270" w:type="dxa"/>
        </w:tcPr>
        <w:p w:rsidR="00202CC9" w:rsidRDefault="00202CC9" w:rsidP="00D21CC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02BD6">
            <w:rPr>
              <w:i/>
              <w:sz w:val="18"/>
            </w:rPr>
            <w:t>No. 88, 2020</w:t>
          </w:r>
          <w:r w:rsidRPr="007A1328">
            <w:rPr>
              <w:i/>
              <w:sz w:val="18"/>
            </w:rPr>
            <w:fldChar w:fldCharType="end"/>
          </w:r>
        </w:p>
      </w:tc>
    </w:tr>
  </w:tbl>
  <w:p w:rsidR="00202CC9" w:rsidRPr="00A961C4" w:rsidRDefault="00202CC9" w:rsidP="00781C9A">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A961C4" w:rsidRDefault="00202CC9" w:rsidP="00D1323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02CC9" w:rsidTr="00D13236">
      <w:tc>
        <w:tcPr>
          <w:tcW w:w="1247" w:type="dxa"/>
        </w:tcPr>
        <w:p w:rsidR="00202CC9" w:rsidRDefault="00202CC9" w:rsidP="00D21CC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02BD6">
            <w:rPr>
              <w:i/>
              <w:sz w:val="18"/>
            </w:rPr>
            <w:t>No. 88, 2020</w:t>
          </w:r>
          <w:r w:rsidRPr="007A1328">
            <w:rPr>
              <w:i/>
              <w:sz w:val="18"/>
            </w:rPr>
            <w:fldChar w:fldCharType="end"/>
          </w:r>
        </w:p>
      </w:tc>
      <w:tc>
        <w:tcPr>
          <w:tcW w:w="5387" w:type="dxa"/>
        </w:tcPr>
        <w:p w:rsidR="00202CC9" w:rsidRDefault="00202CC9" w:rsidP="00D21CC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02BD6">
            <w:rPr>
              <w:i/>
              <w:sz w:val="18"/>
            </w:rPr>
            <w:t>Australian Citizenship Amendment (Citizenship Cessation) Act 2020</w:t>
          </w:r>
          <w:r w:rsidRPr="007A1328">
            <w:rPr>
              <w:i/>
              <w:sz w:val="18"/>
            </w:rPr>
            <w:fldChar w:fldCharType="end"/>
          </w:r>
        </w:p>
      </w:tc>
      <w:tc>
        <w:tcPr>
          <w:tcW w:w="669" w:type="dxa"/>
        </w:tcPr>
        <w:p w:rsidR="00202CC9" w:rsidRDefault="00202CC9" w:rsidP="00D21C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02BD6">
            <w:rPr>
              <w:i/>
              <w:noProof/>
              <w:sz w:val="18"/>
            </w:rPr>
            <w:t>25</w:t>
          </w:r>
          <w:r w:rsidRPr="007A1328">
            <w:rPr>
              <w:i/>
              <w:sz w:val="18"/>
            </w:rPr>
            <w:fldChar w:fldCharType="end"/>
          </w:r>
        </w:p>
      </w:tc>
    </w:tr>
  </w:tbl>
  <w:p w:rsidR="00202CC9" w:rsidRPr="00055B5C" w:rsidRDefault="00202CC9" w:rsidP="00781C9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A961C4" w:rsidRDefault="00202CC9" w:rsidP="00D1323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02CC9" w:rsidTr="00D13236">
      <w:tc>
        <w:tcPr>
          <w:tcW w:w="1247" w:type="dxa"/>
        </w:tcPr>
        <w:p w:rsidR="00202CC9" w:rsidRDefault="00202CC9" w:rsidP="00D21CC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02BD6">
            <w:rPr>
              <w:i/>
              <w:sz w:val="18"/>
            </w:rPr>
            <w:t>No. 88, 2020</w:t>
          </w:r>
          <w:r w:rsidRPr="007A1328">
            <w:rPr>
              <w:i/>
              <w:sz w:val="18"/>
            </w:rPr>
            <w:fldChar w:fldCharType="end"/>
          </w:r>
        </w:p>
      </w:tc>
      <w:tc>
        <w:tcPr>
          <w:tcW w:w="5387" w:type="dxa"/>
        </w:tcPr>
        <w:p w:rsidR="00202CC9" w:rsidRDefault="00202CC9" w:rsidP="00D21CC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02BD6">
            <w:rPr>
              <w:i/>
              <w:sz w:val="18"/>
            </w:rPr>
            <w:t>Australian Citizenship Amendment (Citizenship Cessation) Act 2020</w:t>
          </w:r>
          <w:r w:rsidRPr="007A1328">
            <w:rPr>
              <w:i/>
              <w:sz w:val="18"/>
            </w:rPr>
            <w:fldChar w:fldCharType="end"/>
          </w:r>
        </w:p>
      </w:tc>
      <w:tc>
        <w:tcPr>
          <w:tcW w:w="669" w:type="dxa"/>
        </w:tcPr>
        <w:p w:rsidR="00202CC9" w:rsidRDefault="00202CC9" w:rsidP="00D21CC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02BD6">
            <w:rPr>
              <w:i/>
              <w:noProof/>
              <w:sz w:val="18"/>
            </w:rPr>
            <w:t>1</w:t>
          </w:r>
          <w:r w:rsidRPr="007A1328">
            <w:rPr>
              <w:i/>
              <w:sz w:val="18"/>
            </w:rPr>
            <w:fldChar w:fldCharType="end"/>
          </w:r>
        </w:p>
      </w:tc>
    </w:tr>
  </w:tbl>
  <w:p w:rsidR="00202CC9" w:rsidRPr="00A961C4" w:rsidRDefault="00202CC9" w:rsidP="00781C9A">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CC9" w:rsidRDefault="00202CC9" w:rsidP="0048364F">
      <w:pPr>
        <w:spacing w:line="240" w:lineRule="auto"/>
      </w:pPr>
      <w:r>
        <w:separator/>
      </w:r>
    </w:p>
  </w:footnote>
  <w:footnote w:type="continuationSeparator" w:id="0">
    <w:p w:rsidR="00202CC9" w:rsidRDefault="00202CC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5F1388" w:rsidRDefault="00202CC9" w:rsidP="00781C9A">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5F1388" w:rsidRDefault="00202CC9" w:rsidP="00781C9A">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5F1388" w:rsidRDefault="00202CC9" w:rsidP="00781C9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ED79B6" w:rsidRDefault="00202CC9" w:rsidP="00781C9A">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ED79B6" w:rsidRDefault="00202CC9" w:rsidP="00781C9A">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ED79B6" w:rsidRDefault="00202CC9" w:rsidP="00781C9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A961C4" w:rsidRDefault="00202CC9" w:rsidP="00781C9A">
    <w:pPr>
      <w:rPr>
        <w:b/>
        <w:sz w:val="20"/>
      </w:rPr>
    </w:pPr>
    <w:r>
      <w:rPr>
        <w:b/>
        <w:sz w:val="20"/>
      </w:rPr>
      <w:fldChar w:fldCharType="begin"/>
    </w:r>
    <w:r>
      <w:rPr>
        <w:b/>
        <w:sz w:val="20"/>
      </w:rPr>
      <w:instrText xml:space="preserve"> STYLEREF CharAmSchNo </w:instrText>
    </w:r>
    <w:r w:rsidR="00A02BD6">
      <w:rPr>
        <w:b/>
        <w:sz w:val="20"/>
      </w:rPr>
      <w:fldChar w:fldCharType="separate"/>
    </w:r>
    <w:r w:rsidR="00A02BD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02BD6">
      <w:rPr>
        <w:sz w:val="20"/>
      </w:rPr>
      <w:fldChar w:fldCharType="separate"/>
    </w:r>
    <w:r w:rsidR="00A02BD6">
      <w:rPr>
        <w:noProof/>
        <w:sz w:val="20"/>
      </w:rPr>
      <w:t>Amendments</w:t>
    </w:r>
    <w:r>
      <w:rPr>
        <w:sz w:val="20"/>
      </w:rPr>
      <w:fldChar w:fldCharType="end"/>
    </w:r>
  </w:p>
  <w:p w:rsidR="00202CC9" w:rsidRPr="00A961C4" w:rsidRDefault="00202CC9" w:rsidP="00781C9A">
    <w:pPr>
      <w:rPr>
        <w:b/>
        <w:sz w:val="20"/>
      </w:rPr>
    </w:pPr>
    <w:r>
      <w:rPr>
        <w:b/>
        <w:sz w:val="20"/>
      </w:rPr>
      <w:fldChar w:fldCharType="begin"/>
    </w:r>
    <w:r>
      <w:rPr>
        <w:b/>
        <w:sz w:val="20"/>
      </w:rPr>
      <w:instrText xml:space="preserve"> STYLEREF CharAmPartNo </w:instrText>
    </w:r>
    <w:r w:rsidR="00A02BD6">
      <w:rPr>
        <w:b/>
        <w:sz w:val="20"/>
      </w:rPr>
      <w:fldChar w:fldCharType="separate"/>
    </w:r>
    <w:r w:rsidR="00A02BD6">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A02BD6">
      <w:rPr>
        <w:sz w:val="20"/>
      </w:rPr>
      <w:fldChar w:fldCharType="separate"/>
    </w:r>
    <w:r w:rsidR="00A02BD6">
      <w:rPr>
        <w:noProof/>
        <w:sz w:val="20"/>
      </w:rPr>
      <w:t>Application and transitional provisions</w:t>
    </w:r>
    <w:r>
      <w:rPr>
        <w:sz w:val="20"/>
      </w:rPr>
      <w:fldChar w:fldCharType="end"/>
    </w:r>
  </w:p>
  <w:p w:rsidR="00202CC9" w:rsidRPr="00A961C4" w:rsidRDefault="00202CC9" w:rsidP="00781C9A">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A961C4" w:rsidRDefault="00202CC9" w:rsidP="00781C9A">
    <w:pPr>
      <w:jc w:val="right"/>
      <w:rPr>
        <w:sz w:val="20"/>
      </w:rPr>
    </w:pPr>
    <w:r w:rsidRPr="00A961C4">
      <w:rPr>
        <w:sz w:val="20"/>
      </w:rPr>
      <w:fldChar w:fldCharType="begin"/>
    </w:r>
    <w:r w:rsidRPr="00A961C4">
      <w:rPr>
        <w:sz w:val="20"/>
      </w:rPr>
      <w:instrText xml:space="preserve"> STYLEREF CharAmSchText </w:instrText>
    </w:r>
    <w:r w:rsidR="00A02BD6">
      <w:rPr>
        <w:sz w:val="20"/>
      </w:rPr>
      <w:fldChar w:fldCharType="separate"/>
    </w:r>
    <w:r w:rsidR="00A02BD6">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02BD6">
      <w:rPr>
        <w:b/>
        <w:sz w:val="20"/>
      </w:rPr>
      <w:fldChar w:fldCharType="separate"/>
    </w:r>
    <w:r w:rsidR="00A02BD6">
      <w:rPr>
        <w:b/>
        <w:noProof/>
        <w:sz w:val="20"/>
      </w:rPr>
      <w:t>Schedule 1</w:t>
    </w:r>
    <w:r>
      <w:rPr>
        <w:b/>
        <w:sz w:val="20"/>
      </w:rPr>
      <w:fldChar w:fldCharType="end"/>
    </w:r>
  </w:p>
  <w:p w:rsidR="00202CC9" w:rsidRPr="00A961C4" w:rsidRDefault="00202CC9" w:rsidP="00781C9A">
    <w:pPr>
      <w:jc w:val="right"/>
      <w:rPr>
        <w:b/>
        <w:sz w:val="20"/>
      </w:rPr>
    </w:pPr>
    <w:r w:rsidRPr="00A961C4">
      <w:rPr>
        <w:sz w:val="20"/>
      </w:rPr>
      <w:fldChar w:fldCharType="begin"/>
    </w:r>
    <w:r w:rsidRPr="00A961C4">
      <w:rPr>
        <w:sz w:val="20"/>
      </w:rPr>
      <w:instrText xml:space="preserve"> STYLEREF CharAmPartText </w:instrText>
    </w:r>
    <w:r w:rsidR="00A02BD6">
      <w:rPr>
        <w:sz w:val="20"/>
      </w:rPr>
      <w:fldChar w:fldCharType="separate"/>
    </w:r>
    <w:r w:rsidR="00A02BD6">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02BD6">
      <w:rPr>
        <w:b/>
        <w:sz w:val="20"/>
      </w:rPr>
      <w:fldChar w:fldCharType="separate"/>
    </w:r>
    <w:r w:rsidR="00A02BD6">
      <w:rPr>
        <w:b/>
        <w:noProof/>
        <w:sz w:val="20"/>
      </w:rPr>
      <w:t>Part 2</w:t>
    </w:r>
    <w:r w:rsidRPr="00A961C4">
      <w:rPr>
        <w:b/>
        <w:sz w:val="20"/>
      </w:rPr>
      <w:fldChar w:fldCharType="end"/>
    </w:r>
  </w:p>
  <w:p w:rsidR="00202CC9" w:rsidRPr="00A961C4" w:rsidRDefault="00202CC9" w:rsidP="00781C9A">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CC9" w:rsidRPr="00A961C4" w:rsidRDefault="00202CC9" w:rsidP="00781C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1670916"/>
    <w:multiLevelType w:val="hybridMultilevel"/>
    <w:tmpl w:val="7010A4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204059B"/>
    <w:multiLevelType w:val="hybridMultilevel"/>
    <w:tmpl w:val="52C82D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44C01FB"/>
    <w:multiLevelType w:val="hybridMultilevel"/>
    <w:tmpl w:val="414EB3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6F760B1"/>
    <w:multiLevelType w:val="hybridMultilevel"/>
    <w:tmpl w:val="7F2634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2230E29"/>
    <w:multiLevelType w:val="hybridMultilevel"/>
    <w:tmpl w:val="E97A7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30133A1"/>
    <w:multiLevelType w:val="hybridMultilevel"/>
    <w:tmpl w:val="A5E81E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91C6BAF"/>
    <w:multiLevelType w:val="hybridMultilevel"/>
    <w:tmpl w:val="E43A20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CEC52DF"/>
    <w:multiLevelType w:val="hybridMultilevel"/>
    <w:tmpl w:val="114C02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2670627"/>
    <w:multiLevelType w:val="hybridMultilevel"/>
    <w:tmpl w:val="5D109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2886C59"/>
    <w:multiLevelType w:val="hybridMultilevel"/>
    <w:tmpl w:val="D13EF1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56C52E7"/>
    <w:multiLevelType w:val="hybridMultilevel"/>
    <w:tmpl w:val="7F44C4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82A0F94"/>
    <w:multiLevelType w:val="hybridMultilevel"/>
    <w:tmpl w:val="A09E6E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934643B"/>
    <w:multiLevelType w:val="hybridMultilevel"/>
    <w:tmpl w:val="01EC0E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CF1624C"/>
    <w:multiLevelType w:val="hybridMultilevel"/>
    <w:tmpl w:val="92D21B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2E3A33F5"/>
    <w:multiLevelType w:val="hybridMultilevel"/>
    <w:tmpl w:val="60B0C2D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2F4F3748"/>
    <w:multiLevelType w:val="hybridMultilevel"/>
    <w:tmpl w:val="E362B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3E51D8B"/>
    <w:multiLevelType w:val="hybridMultilevel"/>
    <w:tmpl w:val="39D2B3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95C380C"/>
    <w:multiLevelType w:val="hybridMultilevel"/>
    <w:tmpl w:val="CCAA21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nsid w:val="3F876A83"/>
    <w:multiLevelType w:val="hybridMultilevel"/>
    <w:tmpl w:val="FA0A13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1B20194"/>
    <w:multiLevelType w:val="hybridMultilevel"/>
    <w:tmpl w:val="827A2B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A2405FF"/>
    <w:multiLevelType w:val="hybridMultilevel"/>
    <w:tmpl w:val="7AC0BC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4A362B2B"/>
    <w:multiLevelType w:val="hybridMultilevel"/>
    <w:tmpl w:val="8E0860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4A795301"/>
    <w:multiLevelType w:val="hybridMultilevel"/>
    <w:tmpl w:val="3F74C9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4DEF1B62"/>
    <w:multiLevelType w:val="hybridMultilevel"/>
    <w:tmpl w:val="E500B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0593F6E"/>
    <w:multiLevelType w:val="hybridMultilevel"/>
    <w:tmpl w:val="30A0C9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5944FA1"/>
    <w:multiLevelType w:val="hybridMultilevel"/>
    <w:tmpl w:val="305A47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5D34E80"/>
    <w:multiLevelType w:val="hybridMultilevel"/>
    <w:tmpl w:val="93885F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7BD3D70"/>
    <w:multiLevelType w:val="hybridMultilevel"/>
    <w:tmpl w:val="A0E63C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5A703117"/>
    <w:multiLevelType w:val="hybridMultilevel"/>
    <w:tmpl w:val="466E77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0CB1F62"/>
    <w:multiLevelType w:val="hybridMultilevel"/>
    <w:tmpl w:val="104ED6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4F67CD3"/>
    <w:multiLevelType w:val="hybridMultilevel"/>
    <w:tmpl w:val="1916C8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650008AB"/>
    <w:multiLevelType w:val="hybridMultilevel"/>
    <w:tmpl w:val="186073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67FA41CC"/>
    <w:multiLevelType w:val="hybridMultilevel"/>
    <w:tmpl w:val="EC7259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691D5C5F"/>
    <w:multiLevelType w:val="hybridMultilevel"/>
    <w:tmpl w:val="ED00A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6EC425A7"/>
    <w:multiLevelType w:val="hybridMultilevel"/>
    <w:tmpl w:val="774E7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2C413F8"/>
    <w:multiLevelType w:val="hybridMultilevel"/>
    <w:tmpl w:val="70F872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753003A9"/>
    <w:multiLevelType w:val="hybridMultilevel"/>
    <w:tmpl w:val="54D60C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7A7B1BB0"/>
    <w:multiLevelType w:val="hybridMultilevel"/>
    <w:tmpl w:val="BA6EAD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4"/>
  </w:num>
  <w:num w:numId="13">
    <w:abstractNumId w:val="24"/>
  </w:num>
  <w:num w:numId="14">
    <w:abstractNumId w:val="43"/>
  </w:num>
  <w:num w:numId="15">
    <w:abstractNumId w:val="44"/>
  </w:num>
  <w:num w:numId="16">
    <w:abstractNumId w:val="46"/>
  </w:num>
  <w:num w:numId="17">
    <w:abstractNumId w:val="45"/>
  </w:num>
  <w:num w:numId="18">
    <w:abstractNumId w:val="40"/>
  </w:num>
  <w:num w:numId="19">
    <w:abstractNumId w:val="49"/>
  </w:num>
  <w:num w:numId="20">
    <w:abstractNumId w:val="13"/>
  </w:num>
  <w:num w:numId="21">
    <w:abstractNumId w:val="25"/>
  </w:num>
  <w:num w:numId="22">
    <w:abstractNumId w:val="42"/>
  </w:num>
  <w:num w:numId="23">
    <w:abstractNumId w:val="23"/>
  </w:num>
  <w:num w:numId="24">
    <w:abstractNumId w:val="10"/>
  </w:num>
  <w:num w:numId="25">
    <w:abstractNumId w:val="11"/>
  </w:num>
  <w:num w:numId="26">
    <w:abstractNumId w:val="47"/>
  </w:num>
  <w:num w:numId="27">
    <w:abstractNumId w:val="38"/>
  </w:num>
  <w:num w:numId="28">
    <w:abstractNumId w:val="33"/>
  </w:num>
  <w:num w:numId="29">
    <w:abstractNumId w:val="37"/>
  </w:num>
  <w:num w:numId="30">
    <w:abstractNumId w:val="22"/>
  </w:num>
  <w:num w:numId="31">
    <w:abstractNumId w:val="26"/>
  </w:num>
  <w:num w:numId="32">
    <w:abstractNumId w:val="20"/>
  </w:num>
  <w:num w:numId="33">
    <w:abstractNumId w:val="36"/>
  </w:num>
  <w:num w:numId="34">
    <w:abstractNumId w:val="17"/>
  </w:num>
  <w:num w:numId="35">
    <w:abstractNumId w:val="31"/>
  </w:num>
  <w:num w:numId="36">
    <w:abstractNumId w:val="21"/>
  </w:num>
  <w:num w:numId="37">
    <w:abstractNumId w:val="48"/>
  </w:num>
  <w:num w:numId="38">
    <w:abstractNumId w:val="27"/>
  </w:num>
  <w:num w:numId="39">
    <w:abstractNumId w:val="34"/>
  </w:num>
  <w:num w:numId="40">
    <w:abstractNumId w:val="16"/>
  </w:num>
  <w:num w:numId="41">
    <w:abstractNumId w:val="32"/>
  </w:num>
  <w:num w:numId="42">
    <w:abstractNumId w:val="12"/>
  </w:num>
  <w:num w:numId="43">
    <w:abstractNumId w:val="41"/>
  </w:num>
  <w:num w:numId="44">
    <w:abstractNumId w:val="30"/>
  </w:num>
  <w:num w:numId="45">
    <w:abstractNumId w:val="39"/>
  </w:num>
  <w:num w:numId="46">
    <w:abstractNumId w:val="19"/>
  </w:num>
  <w:num w:numId="47">
    <w:abstractNumId w:val="28"/>
  </w:num>
  <w:num w:numId="48">
    <w:abstractNumId w:val="15"/>
  </w:num>
  <w:num w:numId="49">
    <w:abstractNumId w:val="18"/>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E0"/>
    <w:rsid w:val="00000502"/>
    <w:rsid w:val="00003E8E"/>
    <w:rsid w:val="0000508B"/>
    <w:rsid w:val="00007436"/>
    <w:rsid w:val="000113BC"/>
    <w:rsid w:val="000117AD"/>
    <w:rsid w:val="00013020"/>
    <w:rsid w:val="000136AF"/>
    <w:rsid w:val="00013A0E"/>
    <w:rsid w:val="00015395"/>
    <w:rsid w:val="00015FE2"/>
    <w:rsid w:val="00016435"/>
    <w:rsid w:val="0001732E"/>
    <w:rsid w:val="000173F7"/>
    <w:rsid w:val="000174CF"/>
    <w:rsid w:val="00020F20"/>
    <w:rsid w:val="000318BA"/>
    <w:rsid w:val="00031D12"/>
    <w:rsid w:val="00034459"/>
    <w:rsid w:val="00034E7A"/>
    <w:rsid w:val="00034FDB"/>
    <w:rsid w:val="00035C3A"/>
    <w:rsid w:val="00040028"/>
    <w:rsid w:val="00040265"/>
    <w:rsid w:val="000417C9"/>
    <w:rsid w:val="000423BB"/>
    <w:rsid w:val="00044283"/>
    <w:rsid w:val="000460F1"/>
    <w:rsid w:val="00051D11"/>
    <w:rsid w:val="00052111"/>
    <w:rsid w:val="0005300A"/>
    <w:rsid w:val="00053EE0"/>
    <w:rsid w:val="00055B5C"/>
    <w:rsid w:val="00056391"/>
    <w:rsid w:val="00060FF9"/>
    <w:rsid w:val="000614BF"/>
    <w:rsid w:val="000624E2"/>
    <w:rsid w:val="00062B96"/>
    <w:rsid w:val="00064D58"/>
    <w:rsid w:val="00065463"/>
    <w:rsid w:val="00067971"/>
    <w:rsid w:val="00070FE9"/>
    <w:rsid w:val="0007752B"/>
    <w:rsid w:val="00083FA2"/>
    <w:rsid w:val="00091DAD"/>
    <w:rsid w:val="00095A01"/>
    <w:rsid w:val="000960F5"/>
    <w:rsid w:val="00096F14"/>
    <w:rsid w:val="000A1427"/>
    <w:rsid w:val="000A38F7"/>
    <w:rsid w:val="000B1FD2"/>
    <w:rsid w:val="000B76DA"/>
    <w:rsid w:val="000C119D"/>
    <w:rsid w:val="000C2AF0"/>
    <w:rsid w:val="000C5BA4"/>
    <w:rsid w:val="000C7165"/>
    <w:rsid w:val="000C7AC8"/>
    <w:rsid w:val="000D05EF"/>
    <w:rsid w:val="000D32DE"/>
    <w:rsid w:val="000D3D0A"/>
    <w:rsid w:val="000D4502"/>
    <w:rsid w:val="000D5516"/>
    <w:rsid w:val="000E4118"/>
    <w:rsid w:val="000E4DEE"/>
    <w:rsid w:val="000F0409"/>
    <w:rsid w:val="000F21C1"/>
    <w:rsid w:val="000F4867"/>
    <w:rsid w:val="000F5DD8"/>
    <w:rsid w:val="000F60F4"/>
    <w:rsid w:val="000F6AF1"/>
    <w:rsid w:val="001006F9"/>
    <w:rsid w:val="00101B35"/>
    <w:rsid w:val="00101D90"/>
    <w:rsid w:val="0010499A"/>
    <w:rsid w:val="00105EB4"/>
    <w:rsid w:val="0010620C"/>
    <w:rsid w:val="0010745C"/>
    <w:rsid w:val="00113BD1"/>
    <w:rsid w:val="00122206"/>
    <w:rsid w:val="0012278D"/>
    <w:rsid w:val="00123154"/>
    <w:rsid w:val="001320C0"/>
    <w:rsid w:val="00134F8E"/>
    <w:rsid w:val="00137118"/>
    <w:rsid w:val="00143004"/>
    <w:rsid w:val="00144003"/>
    <w:rsid w:val="00144AFF"/>
    <w:rsid w:val="00146133"/>
    <w:rsid w:val="00147677"/>
    <w:rsid w:val="00147800"/>
    <w:rsid w:val="0015304A"/>
    <w:rsid w:val="0015530C"/>
    <w:rsid w:val="00155F49"/>
    <w:rsid w:val="0015646E"/>
    <w:rsid w:val="001575C8"/>
    <w:rsid w:val="00160572"/>
    <w:rsid w:val="001643C9"/>
    <w:rsid w:val="00164B1B"/>
    <w:rsid w:val="0016504C"/>
    <w:rsid w:val="00165568"/>
    <w:rsid w:val="00166C2F"/>
    <w:rsid w:val="001679DD"/>
    <w:rsid w:val="00167ED4"/>
    <w:rsid w:val="00171284"/>
    <w:rsid w:val="00171382"/>
    <w:rsid w:val="001716C9"/>
    <w:rsid w:val="00171CB7"/>
    <w:rsid w:val="00172B45"/>
    <w:rsid w:val="00173363"/>
    <w:rsid w:val="001736A7"/>
    <w:rsid w:val="00173B94"/>
    <w:rsid w:val="0017795C"/>
    <w:rsid w:val="00181FC0"/>
    <w:rsid w:val="001820A7"/>
    <w:rsid w:val="00183631"/>
    <w:rsid w:val="001841A4"/>
    <w:rsid w:val="001854B4"/>
    <w:rsid w:val="00190711"/>
    <w:rsid w:val="00190A18"/>
    <w:rsid w:val="00191905"/>
    <w:rsid w:val="0019343B"/>
    <w:rsid w:val="001939E1"/>
    <w:rsid w:val="00193CB8"/>
    <w:rsid w:val="00195382"/>
    <w:rsid w:val="0019679A"/>
    <w:rsid w:val="001976BF"/>
    <w:rsid w:val="0019784E"/>
    <w:rsid w:val="001A1B8F"/>
    <w:rsid w:val="001A1E3D"/>
    <w:rsid w:val="001A3306"/>
    <w:rsid w:val="001A3658"/>
    <w:rsid w:val="001A4CFB"/>
    <w:rsid w:val="001A759A"/>
    <w:rsid w:val="001A7950"/>
    <w:rsid w:val="001B78E2"/>
    <w:rsid w:val="001B7A5D"/>
    <w:rsid w:val="001B7B4E"/>
    <w:rsid w:val="001C0C18"/>
    <w:rsid w:val="001C1815"/>
    <w:rsid w:val="001C2418"/>
    <w:rsid w:val="001C248E"/>
    <w:rsid w:val="001C5FB8"/>
    <w:rsid w:val="001C69C4"/>
    <w:rsid w:val="001D099B"/>
    <w:rsid w:val="001D34C5"/>
    <w:rsid w:val="001D45BB"/>
    <w:rsid w:val="001D7B54"/>
    <w:rsid w:val="001E195B"/>
    <w:rsid w:val="001E2208"/>
    <w:rsid w:val="001E304B"/>
    <w:rsid w:val="001E34A2"/>
    <w:rsid w:val="001E3590"/>
    <w:rsid w:val="001E63E8"/>
    <w:rsid w:val="001E695E"/>
    <w:rsid w:val="001E7407"/>
    <w:rsid w:val="001F3F4D"/>
    <w:rsid w:val="001F5283"/>
    <w:rsid w:val="001F5A4F"/>
    <w:rsid w:val="00201BAE"/>
    <w:rsid w:val="00201D27"/>
    <w:rsid w:val="00202183"/>
    <w:rsid w:val="00202618"/>
    <w:rsid w:val="00202CC9"/>
    <w:rsid w:val="00207FE0"/>
    <w:rsid w:val="002139F4"/>
    <w:rsid w:val="002244DE"/>
    <w:rsid w:val="002319B2"/>
    <w:rsid w:val="00234C75"/>
    <w:rsid w:val="00236FCA"/>
    <w:rsid w:val="00240749"/>
    <w:rsid w:val="00243C68"/>
    <w:rsid w:val="002524C6"/>
    <w:rsid w:val="00252632"/>
    <w:rsid w:val="002569AA"/>
    <w:rsid w:val="0025731D"/>
    <w:rsid w:val="00257B35"/>
    <w:rsid w:val="00263820"/>
    <w:rsid w:val="0026504C"/>
    <w:rsid w:val="002712B5"/>
    <w:rsid w:val="00272F22"/>
    <w:rsid w:val="002735FF"/>
    <w:rsid w:val="00275197"/>
    <w:rsid w:val="00282A69"/>
    <w:rsid w:val="0028390F"/>
    <w:rsid w:val="00285355"/>
    <w:rsid w:val="002938B2"/>
    <w:rsid w:val="00293B89"/>
    <w:rsid w:val="00295422"/>
    <w:rsid w:val="00297ECB"/>
    <w:rsid w:val="002A1BDB"/>
    <w:rsid w:val="002A32AD"/>
    <w:rsid w:val="002B11B4"/>
    <w:rsid w:val="002B1979"/>
    <w:rsid w:val="002B30EE"/>
    <w:rsid w:val="002B5095"/>
    <w:rsid w:val="002B5A30"/>
    <w:rsid w:val="002B5B13"/>
    <w:rsid w:val="002B5D72"/>
    <w:rsid w:val="002B768A"/>
    <w:rsid w:val="002B7EF1"/>
    <w:rsid w:val="002C1FB7"/>
    <w:rsid w:val="002C294E"/>
    <w:rsid w:val="002C3940"/>
    <w:rsid w:val="002C6FD4"/>
    <w:rsid w:val="002C7AC6"/>
    <w:rsid w:val="002D043A"/>
    <w:rsid w:val="002D0CDC"/>
    <w:rsid w:val="002D2DEC"/>
    <w:rsid w:val="002D3625"/>
    <w:rsid w:val="002D395A"/>
    <w:rsid w:val="002D7AA7"/>
    <w:rsid w:val="002E1C66"/>
    <w:rsid w:val="002E6170"/>
    <w:rsid w:val="002E65EE"/>
    <w:rsid w:val="002F07AD"/>
    <w:rsid w:val="002F4838"/>
    <w:rsid w:val="0030199B"/>
    <w:rsid w:val="0030206E"/>
    <w:rsid w:val="00305051"/>
    <w:rsid w:val="003063EE"/>
    <w:rsid w:val="003112EB"/>
    <w:rsid w:val="00313486"/>
    <w:rsid w:val="00315A2C"/>
    <w:rsid w:val="00316112"/>
    <w:rsid w:val="00320C9E"/>
    <w:rsid w:val="003214B3"/>
    <w:rsid w:val="0032233E"/>
    <w:rsid w:val="00322929"/>
    <w:rsid w:val="003240E9"/>
    <w:rsid w:val="003248DB"/>
    <w:rsid w:val="00327CF5"/>
    <w:rsid w:val="0033290A"/>
    <w:rsid w:val="00332E51"/>
    <w:rsid w:val="00336115"/>
    <w:rsid w:val="003413BC"/>
    <w:rsid w:val="003415D3"/>
    <w:rsid w:val="00341D64"/>
    <w:rsid w:val="00345BC3"/>
    <w:rsid w:val="00345CB6"/>
    <w:rsid w:val="00345DD6"/>
    <w:rsid w:val="00350417"/>
    <w:rsid w:val="00352B0F"/>
    <w:rsid w:val="00353663"/>
    <w:rsid w:val="00355073"/>
    <w:rsid w:val="00355D76"/>
    <w:rsid w:val="00357587"/>
    <w:rsid w:val="00360CE9"/>
    <w:rsid w:val="00361810"/>
    <w:rsid w:val="00363EB1"/>
    <w:rsid w:val="00364866"/>
    <w:rsid w:val="003658EF"/>
    <w:rsid w:val="003714B4"/>
    <w:rsid w:val="00373874"/>
    <w:rsid w:val="00374BC7"/>
    <w:rsid w:val="00375C6C"/>
    <w:rsid w:val="0037632F"/>
    <w:rsid w:val="00377735"/>
    <w:rsid w:val="00380A50"/>
    <w:rsid w:val="00381C04"/>
    <w:rsid w:val="00385A63"/>
    <w:rsid w:val="00387093"/>
    <w:rsid w:val="00387C10"/>
    <w:rsid w:val="00396C0C"/>
    <w:rsid w:val="00397F9D"/>
    <w:rsid w:val="003A0A5E"/>
    <w:rsid w:val="003A2C4F"/>
    <w:rsid w:val="003A3D79"/>
    <w:rsid w:val="003A4BA8"/>
    <w:rsid w:val="003A5E89"/>
    <w:rsid w:val="003A6A03"/>
    <w:rsid w:val="003A7B3C"/>
    <w:rsid w:val="003B1EC4"/>
    <w:rsid w:val="003B4006"/>
    <w:rsid w:val="003B4E3D"/>
    <w:rsid w:val="003B5446"/>
    <w:rsid w:val="003B61F8"/>
    <w:rsid w:val="003C1CB2"/>
    <w:rsid w:val="003C5F2B"/>
    <w:rsid w:val="003C7858"/>
    <w:rsid w:val="003D0BFE"/>
    <w:rsid w:val="003D199E"/>
    <w:rsid w:val="003D369A"/>
    <w:rsid w:val="003D3830"/>
    <w:rsid w:val="003D5700"/>
    <w:rsid w:val="003D7286"/>
    <w:rsid w:val="003E70DA"/>
    <w:rsid w:val="003E75AD"/>
    <w:rsid w:val="003F2768"/>
    <w:rsid w:val="003F4416"/>
    <w:rsid w:val="003F52CA"/>
    <w:rsid w:val="004002EF"/>
    <w:rsid w:val="0040305B"/>
    <w:rsid w:val="00405579"/>
    <w:rsid w:val="004071D0"/>
    <w:rsid w:val="00407DA2"/>
    <w:rsid w:val="004101B0"/>
    <w:rsid w:val="0041020C"/>
    <w:rsid w:val="00410B8E"/>
    <w:rsid w:val="004116CD"/>
    <w:rsid w:val="00412151"/>
    <w:rsid w:val="00415995"/>
    <w:rsid w:val="0042160D"/>
    <w:rsid w:val="00421639"/>
    <w:rsid w:val="00421FC1"/>
    <w:rsid w:val="004229C7"/>
    <w:rsid w:val="004242A2"/>
    <w:rsid w:val="00424CA9"/>
    <w:rsid w:val="00424DB8"/>
    <w:rsid w:val="00426041"/>
    <w:rsid w:val="00431184"/>
    <w:rsid w:val="00431C38"/>
    <w:rsid w:val="00433100"/>
    <w:rsid w:val="0043525B"/>
    <w:rsid w:val="004364BB"/>
    <w:rsid w:val="004366C0"/>
    <w:rsid w:val="00436785"/>
    <w:rsid w:val="00436BD5"/>
    <w:rsid w:val="00437DEF"/>
    <w:rsid w:val="00437E4B"/>
    <w:rsid w:val="00440DE6"/>
    <w:rsid w:val="0044291A"/>
    <w:rsid w:val="00444F72"/>
    <w:rsid w:val="0044596C"/>
    <w:rsid w:val="004502DE"/>
    <w:rsid w:val="00452766"/>
    <w:rsid w:val="00452F85"/>
    <w:rsid w:val="0045426B"/>
    <w:rsid w:val="0045457C"/>
    <w:rsid w:val="00456515"/>
    <w:rsid w:val="004579EA"/>
    <w:rsid w:val="00457D0E"/>
    <w:rsid w:val="00460A02"/>
    <w:rsid w:val="00460DFA"/>
    <w:rsid w:val="00461499"/>
    <w:rsid w:val="004615EC"/>
    <w:rsid w:val="0046412E"/>
    <w:rsid w:val="004642AD"/>
    <w:rsid w:val="00470BDA"/>
    <w:rsid w:val="0047154F"/>
    <w:rsid w:val="00473A8F"/>
    <w:rsid w:val="00475869"/>
    <w:rsid w:val="0048196B"/>
    <w:rsid w:val="0048364F"/>
    <w:rsid w:val="00486D05"/>
    <w:rsid w:val="00491FA4"/>
    <w:rsid w:val="00493337"/>
    <w:rsid w:val="0049668A"/>
    <w:rsid w:val="00496F97"/>
    <w:rsid w:val="004972C1"/>
    <w:rsid w:val="00497573"/>
    <w:rsid w:val="004A0AE1"/>
    <w:rsid w:val="004A2099"/>
    <w:rsid w:val="004A2133"/>
    <w:rsid w:val="004B0C28"/>
    <w:rsid w:val="004B7887"/>
    <w:rsid w:val="004C0670"/>
    <w:rsid w:val="004C2CFF"/>
    <w:rsid w:val="004C5267"/>
    <w:rsid w:val="004C5399"/>
    <w:rsid w:val="004C7C8C"/>
    <w:rsid w:val="004D2458"/>
    <w:rsid w:val="004D66D8"/>
    <w:rsid w:val="004E0111"/>
    <w:rsid w:val="004E2A4A"/>
    <w:rsid w:val="004E6A43"/>
    <w:rsid w:val="004E7276"/>
    <w:rsid w:val="004F0D23"/>
    <w:rsid w:val="004F1FAC"/>
    <w:rsid w:val="004F4B1C"/>
    <w:rsid w:val="004F54AC"/>
    <w:rsid w:val="004F7141"/>
    <w:rsid w:val="0050047F"/>
    <w:rsid w:val="0050132A"/>
    <w:rsid w:val="00503076"/>
    <w:rsid w:val="0050327E"/>
    <w:rsid w:val="005033AD"/>
    <w:rsid w:val="005044E8"/>
    <w:rsid w:val="005045B8"/>
    <w:rsid w:val="00507464"/>
    <w:rsid w:val="0051006F"/>
    <w:rsid w:val="005129F1"/>
    <w:rsid w:val="0051615B"/>
    <w:rsid w:val="00516B8D"/>
    <w:rsid w:val="00522B03"/>
    <w:rsid w:val="00522D7D"/>
    <w:rsid w:val="00523CBB"/>
    <w:rsid w:val="00525CC2"/>
    <w:rsid w:val="00527408"/>
    <w:rsid w:val="00535B4B"/>
    <w:rsid w:val="00537682"/>
    <w:rsid w:val="00537BE4"/>
    <w:rsid w:val="00537FBC"/>
    <w:rsid w:val="005401DA"/>
    <w:rsid w:val="005407D6"/>
    <w:rsid w:val="00543469"/>
    <w:rsid w:val="005458D4"/>
    <w:rsid w:val="005478AD"/>
    <w:rsid w:val="00551B54"/>
    <w:rsid w:val="005522CB"/>
    <w:rsid w:val="00552795"/>
    <w:rsid w:val="005531B9"/>
    <w:rsid w:val="00554AFE"/>
    <w:rsid w:val="005558CA"/>
    <w:rsid w:val="00555E70"/>
    <w:rsid w:val="005573B7"/>
    <w:rsid w:val="005607CA"/>
    <w:rsid w:val="005633DF"/>
    <w:rsid w:val="00576691"/>
    <w:rsid w:val="005770C7"/>
    <w:rsid w:val="00577396"/>
    <w:rsid w:val="00581ED2"/>
    <w:rsid w:val="00582584"/>
    <w:rsid w:val="00584811"/>
    <w:rsid w:val="00584C1B"/>
    <w:rsid w:val="00592018"/>
    <w:rsid w:val="00593AA6"/>
    <w:rsid w:val="00594161"/>
    <w:rsid w:val="00594749"/>
    <w:rsid w:val="00594DE5"/>
    <w:rsid w:val="00597040"/>
    <w:rsid w:val="00597EF6"/>
    <w:rsid w:val="005A0D92"/>
    <w:rsid w:val="005A153A"/>
    <w:rsid w:val="005A177E"/>
    <w:rsid w:val="005A3CD0"/>
    <w:rsid w:val="005A5888"/>
    <w:rsid w:val="005B4067"/>
    <w:rsid w:val="005B5C65"/>
    <w:rsid w:val="005B7303"/>
    <w:rsid w:val="005C149D"/>
    <w:rsid w:val="005C1F65"/>
    <w:rsid w:val="005C3F41"/>
    <w:rsid w:val="005C5B7A"/>
    <w:rsid w:val="005C662A"/>
    <w:rsid w:val="005D23BF"/>
    <w:rsid w:val="005D2CE7"/>
    <w:rsid w:val="005D2CFD"/>
    <w:rsid w:val="005D3BF7"/>
    <w:rsid w:val="005D3F51"/>
    <w:rsid w:val="005D7C67"/>
    <w:rsid w:val="005E0EA1"/>
    <w:rsid w:val="005E152A"/>
    <w:rsid w:val="005E24EB"/>
    <w:rsid w:val="005E4FB6"/>
    <w:rsid w:val="005E6E68"/>
    <w:rsid w:val="005F27F8"/>
    <w:rsid w:val="005F6163"/>
    <w:rsid w:val="005F6F2A"/>
    <w:rsid w:val="00600219"/>
    <w:rsid w:val="00600939"/>
    <w:rsid w:val="00600BFA"/>
    <w:rsid w:val="00604B41"/>
    <w:rsid w:val="00604DB9"/>
    <w:rsid w:val="00611048"/>
    <w:rsid w:val="00612892"/>
    <w:rsid w:val="00617E84"/>
    <w:rsid w:val="00620BBF"/>
    <w:rsid w:val="006260DE"/>
    <w:rsid w:val="006274BF"/>
    <w:rsid w:val="0063052A"/>
    <w:rsid w:val="00630AB6"/>
    <w:rsid w:val="00631352"/>
    <w:rsid w:val="00632EEE"/>
    <w:rsid w:val="00633E45"/>
    <w:rsid w:val="00636280"/>
    <w:rsid w:val="0063759A"/>
    <w:rsid w:val="006413AE"/>
    <w:rsid w:val="00641A6E"/>
    <w:rsid w:val="00641DE5"/>
    <w:rsid w:val="00642EBE"/>
    <w:rsid w:val="00644CB1"/>
    <w:rsid w:val="00644D0D"/>
    <w:rsid w:val="0064608E"/>
    <w:rsid w:val="00647F86"/>
    <w:rsid w:val="006515FF"/>
    <w:rsid w:val="00654BBA"/>
    <w:rsid w:val="00654F10"/>
    <w:rsid w:val="00656F0C"/>
    <w:rsid w:val="006610F1"/>
    <w:rsid w:val="00661135"/>
    <w:rsid w:val="006613F2"/>
    <w:rsid w:val="00663E17"/>
    <w:rsid w:val="00664C60"/>
    <w:rsid w:val="00665C72"/>
    <w:rsid w:val="00672871"/>
    <w:rsid w:val="00673C22"/>
    <w:rsid w:val="0067469F"/>
    <w:rsid w:val="00676724"/>
    <w:rsid w:val="00677CC2"/>
    <w:rsid w:val="00681AD1"/>
    <w:rsid w:val="00681F92"/>
    <w:rsid w:val="006828E3"/>
    <w:rsid w:val="006842C2"/>
    <w:rsid w:val="0068493B"/>
    <w:rsid w:val="00685F42"/>
    <w:rsid w:val="00686A72"/>
    <w:rsid w:val="00691413"/>
    <w:rsid w:val="0069207B"/>
    <w:rsid w:val="0069216D"/>
    <w:rsid w:val="006932D5"/>
    <w:rsid w:val="00693990"/>
    <w:rsid w:val="00693A96"/>
    <w:rsid w:val="00694A97"/>
    <w:rsid w:val="00696147"/>
    <w:rsid w:val="006A0FF8"/>
    <w:rsid w:val="006A172C"/>
    <w:rsid w:val="006A27AE"/>
    <w:rsid w:val="006A39BE"/>
    <w:rsid w:val="006A4B23"/>
    <w:rsid w:val="006A5C98"/>
    <w:rsid w:val="006A7907"/>
    <w:rsid w:val="006B133F"/>
    <w:rsid w:val="006B2FD1"/>
    <w:rsid w:val="006B34C3"/>
    <w:rsid w:val="006B449F"/>
    <w:rsid w:val="006B4683"/>
    <w:rsid w:val="006B5C08"/>
    <w:rsid w:val="006B6293"/>
    <w:rsid w:val="006B6BFF"/>
    <w:rsid w:val="006B730F"/>
    <w:rsid w:val="006B73A6"/>
    <w:rsid w:val="006C2874"/>
    <w:rsid w:val="006C4566"/>
    <w:rsid w:val="006C6693"/>
    <w:rsid w:val="006C6DD3"/>
    <w:rsid w:val="006C7F8C"/>
    <w:rsid w:val="006D380D"/>
    <w:rsid w:val="006D437E"/>
    <w:rsid w:val="006D4618"/>
    <w:rsid w:val="006D7CE1"/>
    <w:rsid w:val="006E0135"/>
    <w:rsid w:val="006E0912"/>
    <w:rsid w:val="006E303A"/>
    <w:rsid w:val="006E38A7"/>
    <w:rsid w:val="006E5317"/>
    <w:rsid w:val="006F16B8"/>
    <w:rsid w:val="006F7E19"/>
    <w:rsid w:val="00700B2C"/>
    <w:rsid w:val="00701564"/>
    <w:rsid w:val="00703051"/>
    <w:rsid w:val="00705912"/>
    <w:rsid w:val="00705ED7"/>
    <w:rsid w:val="007070F3"/>
    <w:rsid w:val="00711588"/>
    <w:rsid w:val="0071165E"/>
    <w:rsid w:val="00712D8D"/>
    <w:rsid w:val="00713084"/>
    <w:rsid w:val="00713E55"/>
    <w:rsid w:val="00714B26"/>
    <w:rsid w:val="00715A3D"/>
    <w:rsid w:val="00716EB5"/>
    <w:rsid w:val="007176EF"/>
    <w:rsid w:val="00724B57"/>
    <w:rsid w:val="007307E9"/>
    <w:rsid w:val="00731B40"/>
    <w:rsid w:val="00731E00"/>
    <w:rsid w:val="00732CF0"/>
    <w:rsid w:val="00736D33"/>
    <w:rsid w:val="007426DB"/>
    <w:rsid w:val="00742B2A"/>
    <w:rsid w:val="007440B7"/>
    <w:rsid w:val="00751B8F"/>
    <w:rsid w:val="0075578D"/>
    <w:rsid w:val="007625EF"/>
    <w:rsid w:val="00762FC0"/>
    <w:rsid w:val="007634AD"/>
    <w:rsid w:val="0076664E"/>
    <w:rsid w:val="00770D3F"/>
    <w:rsid w:val="00770F49"/>
    <w:rsid w:val="007715C9"/>
    <w:rsid w:val="00773518"/>
    <w:rsid w:val="00774EDD"/>
    <w:rsid w:val="007757EC"/>
    <w:rsid w:val="0077780E"/>
    <w:rsid w:val="00780263"/>
    <w:rsid w:val="00780E98"/>
    <w:rsid w:val="00781130"/>
    <w:rsid w:val="007816C0"/>
    <w:rsid w:val="00781772"/>
    <w:rsid w:val="00781AB0"/>
    <w:rsid w:val="00781C9A"/>
    <w:rsid w:val="00781F6B"/>
    <w:rsid w:val="007839F7"/>
    <w:rsid w:val="00784840"/>
    <w:rsid w:val="00790BF6"/>
    <w:rsid w:val="007916AD"/>
    <w:rsid w:val="00793848"/>
    <w:rsid w:val="007A3CB1"/>
    <w:rsid w:val="007A4BE7"/>
    <w:rsid w:val="007A77D8"/>
    <w:rsid w:val="007A7AC0"/>
    <w:rsid w:val="007B0FA7"/>
    <w:rsid w:val="007B30AA"/>
    <w:rsid w:val="007B56D4"/>
    <w:rsid w:val="007B59E3"/>
    <w:rsid w:val="007C05CF"/>
    <w:rsid w:val="007C076E"/>
    <w:rsid w:val="007C1C78"/>
    <w:rsid w:val="007C7667"/>
    <w:rsid w:val="007D0EA1"/>
    <w:rsid w:val="007D10C5"/>
    <w:rsid w:val="007D256B"/>
    <w:rsid w:val="007D2706"/>
    <w:rsid w:val="007D28AB"/>
    <w:rsid w:val="007D38B8"/>
    <w:rsid w:val="007E566F"/>
    <w:rsid w:val="007E7D4A"/>
    <w:rsid w:val="007F139A"/>
    <w:rsid w:val="007F3A5F"/>
    <w:rsid w:val="007F71A6"/>
    <w:rsid w:val="007F751F"/>
    <w:rsid w:val="00800407"/>
    <w:rsid w:val="008006CC"/>
    <w:rsid w:val="008006DC"/>
    <w:rsid w:val="0080759B"/>
    <w:rsid w:val="00807F18"/>
    <w:rsid w:val="00813B94"/>
    <w:rsid w:val="008149F1"/>
    <w:rsid w:val="008157B8"/>
    <w:rsid w:val="00824BDE"/>
    <w:rsid w:val="008262AF"/>
    <w:rsid w:val="00831094"/>
    <w:rsid w:val="00831E8D"/>
    <w:rsid w:val="008359F1"/>
    <w:rsid w:val="00843ED7"/>
    <w:rsid w:val="00844DC4"/>
    <w:rsid w:val="00847138"/>
    <w:rsid w:val="008476D0"/>
    <w:rsid w:val="0085094B"/>
    <w:rsid w:val="00852FE1"/>
    <w:rsid w:val="008554F7"/>
    <w:rsid w:val="008557C4"/>
    <w:rsid w:val="00856301"/>
    <w:rsid w:val="00856A11"/>
    <w:rsid w:val="00856A31"/>
    <w:rsid w:val="00857500"/>
    <w:rsid w:val="00857D6B"/>
    <w:rsid w:val="00863934"/>
    <w:rsid w:val="0086409E"/>
    <w:rsid w:val="008657A0"/>
    <w:rsid w:val="00866576"/>
    <w:rsid w:val="00866992"/>
    <w:rsid w:val="00867C24"/>
    <w:rsid w:val="008707F3"/>
    <w:rsid w:val="00874488"/>
    <w:rsid w:val="008754D0"/>
    <w:rsid w:val="008764A4"/>
    <w:rsid w:val="00877D48"/>
    <w:rsid w:val="00880BC9"/>
    <w:rsid w:val="00881929"/>
    <w:rsid w:val="00883781"/>
    <w:rsid w:val="008843E1"/>
    <w:rsid w:val="00885570"/>
    <w:rsid w:val="00885B45"/>
    <w:rsid w:val="008869AD"/>
    <w:rsid w:val="00886B53"/>
    <w:rsid w:val="00890389"/>
    <w:rsid w:val="00893179"/>
    <w:rsid w:val="00893958"/>
    <w:rsid w:val="00896925"/>
    <w:rsid w:val="00897043"/>
    <w:rsid w:val="008A2E77"/>
    <w:rsid w:val="008A3E61"/>
    <w:rsid w:val="008A43AF"/>
    <w:rsid w:val="008A4A1F"/>
    <w:rsid w:val="008A5243"/>
    <w:rsid w:val="008A55FB"/>
    <w:rsid w:val="008A6316"/>
    <w:rsid w:val="008B024F"/>
    <w:rsid w:val="008B275C"/>
    <w:rsid w:val="008B476C"/>
    <w:rsid w:val="008B4E07"/>
    <w:rsid w:val="008B67B4"/>
    <w:rsid w:val="008B7395"/>
    <w:rsid w:val="008C0A7A"/>
    <w:rsid w:val="008C2C87"/>
    <w:rsid w:val="008C6F6F"/>
    <w:rsid w:val="008C7649"/>
    <w:rsid w:val="008D0EE0"/>
    <w:rsid w:val="008D144F"/>
    <w:rsid w:val="008D2AE4"/>
    <w:rsid w:val="008D2B19"/>
    <w:rsid w:val="008D31B6"/>
    <w:rsid w:val="008D3862"/>
    <w:rsid w:val="008D3E94"/>
    <w:rsid w:val="008D46B0"/>
    <w:rsid w:val="008D75ED"/>
    <w:rsid w:val="008D7BC9"/>
    <w:rsid w:val="008D7C6E"/>
    <w:rsid w:val="008F1D6D"/>
    <w:rsid w:val="008F36B5"/>
    <w:rsid w:val="008F4F1C"/>
    <w:rsid w:val="008F5986"/>
    <w:rsid w:val="008F59DB"/>
    <w:rsid w:val="008F77C4"/>
    <w:rsid w:val="00904EA2"/>
    <w:rsid w:val="00905F20"/>
    <w:rsid w:val="0090669E"/>
    <w:rsid w:val="009103F3"/>
    <w:rsid w:val="009110CA"/>
    <w:rsid w:val="00913589"/>
    <w:rsid w:val="0091393F"/>
    <w:rsid w:val="0091406B"/>
    <w:rsid w:val="009145E4"/>
    <w:rsid w:val="00914901"/>
    <w:rsid w:val="00916AAC"/>
    <w:rsid w:val="00924651"/>
    <w:rsid w:val="00924CE4"/>
    <w:rsid w:val="00927FC3"/>
    <w:rsid w:val="009317C4"/>
    <w:rsid w:val="00932377"/>
    <w:rsid w:val="00933C56"/>
    <w:rsid w:val="009340B2"/>
    <w:rsid w:val="00934DC2"/>
    <w:rsid w:val="009375B2"/>
    <w:rsid w:val="00937CA7"/>
    <w:rsid w:val="00944FF3"/>
    <w:rsid w:val="00945CCF"/>
    <w:rsid w:val="00946544"/>
    <w:rsid w:val="00950F9D"/>
    <w:rsid w:val="009555EE"/>
    <w:rsid w:val="009562CD"/>
    <w:rsid w:val="009636E0"/>
    <w:rsid w:val="00964D08"/>
    <w:rsid w:val="00965A19"/>
    <w:rsid w:val="00965ACC"/>
    <w:rsid w:val="00967042"/>
    <w:rsid w:val="0096768F"/>
    <w:rsid w:val="00981654"/>
    <w:rsid w:val="0098255A"/>
    <w:rsid w:val="009845BE"/>
    <w:rsid w:val="00986538"/>
    <w:rsid w:val="00995BE7"/>
    <w:rsid w:val="009969C9"/>
    <w:rsid w:val="009A5EA9"/>
    <w:rsid w:val="009A7287"/>
    <w:rsid w:val="009A7F36"/>
    <w:rsid w:val="009B5AC0"/>
    <w:rsid w:val="009C2E3D"/>
    <w:rsid w:val="009C4A4C"/>
    <w:rsid w:val="009C617F"/>
    <w:rsid w:val="009D3B21"/>
    <w:rsid w:val="009D6CA1"/>
    <w:rsid w:val="009E4F00"/>
    <w:rsid w:val="009E693B"/>
    <w:rsid w:val="009E69C3"/>
    <w:rsid w:val="009E7DD7"/>
    <w:rsid w:val="009F6D37"/>
    <w:rsid w:val="009F7BD0"/>
    <w:rsid w:val="00A00A65"/>
    <w:rsid w:val="00A01B63"/>
    <w:rsid w:val="00A01F9C"/>
    <w:rsid w:val="00A02BD6"/>
    <w:rsid w:val="00A02D21"/>
    <w:rsid w:val="00A041E4"/>
    <w:rsid w:val="00A048FF"/>
    <w:rsid w:val="00A05AF6"/>
    <w:rsid w:val="00A06345"/>
    <w:rsid w:val="00A069D6"/>
    <w:rsid w:val="00A100FA"/>
    <w:rsid w:val="00A10775"/>
    <w:rsid w:val="00A14507"/>
    <w:rsid w:val="00A20A03"/>
    <w:rsid w:val="00A21349"/>
    <w:rsid w:val="00A231E2"/>
    <w:rsid w:val="00A24C99"/>
    <w:rsid w:val="00A32176"/>
    <w:rsid w:val="00A334CF"/>
    <w:rsid w:val="00A34C1B"/>
    <w:rsid w:val="00A35DAE"/>
    <w:rsid w:val="00A367CA"/>
    <w:rsid w:val="00A36C48"/>
    <w:rsid w:val="00A37577"/>
    <w:rsid w:val="00A40875"/>
    <w:rsid w:val="00A40D5F"/>
    <w:rsid w:val="00A41E0B"/>
    <w:rsid w:val="00A4302E"/>
    <w:rsid w:val="00A45966"/>
    <w:rsid w:val="00A46EF6"/>
    <w:rsid w:val="00A479F5"/>
    <w:rsid w:val="00A545A7"/>
    <w:rsid w:val="00A55631"/>
    <w:rsid w:val="00A61B1C"/>
    <w:rsid w:val="00A62350"/>
    <w:rsid w:val="00A64814"/>
    <w:rsid w:val="00A648F8"/>
    <w:rsid w:val="00A64912"/>
    <w:rsid w:val="00A65574"/>
    <w:rsid w:val="00A67486"/>
    <w:rsid w:val="00A70A74"/>
    <w:rsid w:val="00A7175A"/>
    <w:rsid w:val="00A72CA8"/>
    <w:rsid w:val="00A7312F"/>
    <w:rsid w:val="00A73331"/>
    <w:rsid w:val="00A75860"/>
    <w:rsid w:val="00A75C6E"/>
    <w:rsid w:val="00A82A63"/>
    <w:rsid w:val="00A84B48"/>
    <w:rsid w:val="00A87204"/>
    <w:rsid w:val="00A942A1"/>
    <w:rsid w:val="00A9627E"/>
    <w:rsid w:val="00AA0758"/>
    <w:rsid w:val="00AA1255"/>
    <w:rsid w:val="00AA1C9E"/>
    <w:rsid w:val="00AA2924"/>
    <w:rsid w:val="00AA3795"/>
    <w:rsid w:val="00AA3E35"/>
    <w:rsid w:val="00AA477A"/>
    <w:rsid w:val="00AA6B3A"/>
    <w:rsid w:val="00AB2963"/>
    <w:rsid w:val="00AB4BC9"/>
    <w:rsid w:val="00AB7890"/>
    <w:rsid w:val="00AC0A31"/>
    <w:rsid w:val="00AC195A"/>
    <w:rsid w:val="00AC1C66"/>
    <w:rsid w:val="00AC1D08"/>
    <w:rsid w:val="00AC1E75"/>
    <w:rsid w:val="00AC2D92"/>
    <w:rsid w:val="00AC4A52"/>
    <w:rsid w:val="00AC5546"/>
    <w:rsid w:val="00AC6A15"/>
    <w:rsid w:val="00AD1412"/>
    <w:rsid w:val="00AD2B95"/>
    <w:rsid w:val="00AD2BE8"/>
    <w:rsid w:val="00AD5641"/>
    <w:rsid w:val="00AD5F37"/>
    <w:rsid w:val="00AD66CF"/>
    <w:rsid w:val="00AD79E3"/>
    <w:rsid w:val="00AE1088"/>
    <w:rsid w:val="00AE1F33"/>
    <w:rsid w:val="00AE4CCA"/>
    <w:rsid w:val="00AE52B4"/>
    <w:rsid w:val="00AE687D"/>
    <w:rsid w:val="00AE718E"/>
    <w:rsid w:val="00AE7321"/>
    <w:rsid w:val="00AE7F50"/>
    <w:rsid w:val="00AF19F1"/>
    <w:rsid w:val="00AF1BA4"/>
    <w:rsid w:val="00AF2D9B"/>
    <w:rsid w:val="00AF57D7"/>
    <w:rsid w:val="00AF6E7E"/>
    <w:rsid w:val="00AF74A4"/>
    <w:rsid w:val="00AF7F4C"/>
    <w:rsid w:val="00B01966"/>
    <w:rsid w:val="00B032D8"/>
    <w:rsid w:val="00B06176"/>
    <w:rsid w:val="00B067C3"/>
    <w:rsid w:val="00B06DC3"/>
    <w:rsid w:val="00B06E50"/>
    <w:rsid w:val="00B1116E"/>
    <w:rsid w:val="00B11918"/>
    <w:rsid w:val="00B11E04"/>
    <w:rsid w:val="00B13F9F"/>
    <w:rsid w:val="00B15326"/>
    <w:rsid w:val="00B16DCF"/>
    <w:rsid w:val="00B17264"/>
    <w:rsid w:val="00B1739C"/>
    <w:rsid w:val="00B2400B"/>
    <w:rsid w:val="00B24B7F"/>
    <w:rsid w:val="00B257CC"/>
    <w:rsid w:val="00B264D7"/>
    <w:rsid w:val="00B27AAA"/>
    <w:rsid w:val="00B32175"/>
    <w:rsid w:val="00B33B3C"/>
    <w:rsid w:val="00B34CAE"/>
    <w:rsid w:val="00B37FEB"/>
    <w:rsid w:val="00B403E2"/>
    <w:rsid w:val="00B40A58"/>
    <w:rsid w:val="00B420E7"/>
    <w:rsid w:val="00B43A6F"/>
    <w:rsid w:val="00B47E9A"/>
    <w:rsid w:val="00B5467A"/>
    <w:rsid w:val="00B54F30"/>
    <w:rsid w:val="00B55F64"/>
    <w:rsid w:val="00B56C3B"/>
    <w:rsid w:val="00B56CCC"/>
    <w:rsid w:val="00B6382D"/>
    <w:rsid w:val="00B66E89"/>
    <w:rsid w:val="00B66EB4"/>
    <w:rsid w:val="00B70C33"/>
    <w:rsid w:val="00B715BF"/>
    <w:rsid w:val="00B72680"/>
    <w:rsid w:val="00B73DA2"/>
    <w:rsid w:val="00B751EB"/>
    <w:rsid w:val="00B77CD6"/>
    <w:rsid w:val="00B83909"/>
    <w:rsid w:val="00B8674B"/>
    <w:rsid w:val="00B86ED0"/>
    <w:rsid w:val="00B90193"/>
    <w:rsid w:val="00B94E02"/>
    <w:rsid w:val="00B95ABB"/>
    <w:rsid w:val="00B95F9F"/>
    <w:rsid w:val="00B975A8"/>
    <w:rsid w:val="00BA2741"/>
    <w:rsid w:val="00BA402D"/>
    <w:rsid w:val="00BA5026"/>
    <w:rsid w:val="00BA51E7"/>
    <w:rsid w:val="00BA6136"/>
    <w:rsid w:val="00BB3461"/>
    <w:rsid w:val="00BB3F20"/>
    <w:rsid w:val="00BB40BF"/>
    <w:rsid w:val="00BB7EC9"/>
    <w:rsid w:val="00BC0CD1"/>
    <w:rsid w:val="00BC3FEA"/>
    <w:rsid w:val="00BC4BD1"/>
    <w:rsid w:val="00BC4E3C"/>
    <w:rsid w:val="00BC6083"/>
    <w:rsid w:val="00BC79E7"/>
    <w:rsid w:val="00BE0180"/>
    <w:rsid w:val="00BE64CE"/>
    <w:rsid w:val="00BE6875"/>
    <w:rsid w:val="00BE6CF8"/>
    <w:rsid w:val="00BE7086"/>
    <w:rsid w:val="00BE719A"/>
    <w:rsid w:val="00BE720A"/>
    <w:rsid w:val="00BF0461"/>
    <w:rsid w:val="00BF0C58"/>
    <w:rsid w:val="00BF14A8"/>
    <w:rsid w:val="00BF4127"/>
    <w:rsid w:val="00BF4944"/>
    <w:rsid w:val="00BF56D4"/>
    <w:rsid w:val="00C03E43"/>
    <w:rsid w:val="00C04409"/>
    <w:rsid w:val="00C067E5"/>
    <w:rsid w:val="00C06924"/>
    <w:rsid w:val="00C06D14"/>
    <w:rsid w:val="00C125E8"/>
    <w:rsid w:val="00C13447"/>
    <w:rsid w:val="00C145CA"/>
    <w:rsid w:val="00C1533B"/>
    <w:rsid w:val="00C159A2"/>
    <w:rsid w:val="00C164CA"/>
    <w:rsid w:val="00C171BC"/>
    <w:rsid w:val="00C176CF"/>
    <w:rsid w:val="00C205AB"/>
    <w:rsid w:val="00C20822"/>
    <w:rsid w:val="00C24F7A"/>
    <w:rsid w:val="00C30C08"/>
    <w:rsid w:val="00C31D1B"/>
    <w:rsid w:val="00C35AD7"/>
    <w:rsid w:val="00C41868"/>
    <w:rsid w:val="00C42822"/>
    <w:rsid w:val="00C42BF8"/>
    <w:rsid w:val="00C436A5"/>
    <w:rsid w:val="00C43A48"/>
    <w:rsid w:val="00C452D7"/>
    <w:rsid w:val="00C460AE"/>
    <w:rsid w:val="00C50043"/>
    <w:rsid w:val="00C50609"/>
    <w:rsid w:val="00C50BAD"/>
    <w:rsid w:val="00C519D1"/>
    <w:rsid w:val="00C54E84"/>
    <w:rsid w:val="00C55947"/>
    <w:rsid w:val="00C563CF"/>
    <w:rsid w:val="00C61DBA"/>
    <w:rsid w:val="00C627BF"/>
    <w:rsid w:val="00C65A27"/>
    <w:rsid w:val="00C670DB"/>
    <w:rsid w:val="00C72533"/>
    <w:rsid w:val="00C72F0B"/>
    <w:rsid w:val="00C73038"/>
    <w:rsid w:val="00C74AC1"/>
    <w:rsid w:val="00C7517C"/>
    <w:rsid w:val="00C7573B"/>
    <w:rsid w:val="00C76CF3"/>
    <w:rsid w:val="00C80D42"/>
    <w:rsid w:val="00C817C7"/>
    <w:rsid w:val="00C825DD"/>
    <w:rsid w:val="00C8451D"/>
    <w:rsid w:val="00C85D16"/>
    <w:rsid w:val="00C8654C"/>
    <w:rsid w:val="00C90E94"/>
    <w:rsid w:val="00C913E2"/>
    <w:rsid w:val="00C92E55"/>
    <w:rsid w:val="00C974AE"/>
    <w:rsid w:val="00CA295C"/>
    <w:rsid w:val="00CA4B51"/>
    <w:rsid w:val="00CA555E"/>
    <w:rsid w:val="00CA77BE"/>
    <w:rsid w:val="00CB061C"/>
    <w:rsid w:val="00CB1CBF"/>
    <w:rsid w:val="00CC3573"/>
    <w:rsid w:val="00CD112D"/>
    <w:rsid w:val="00CD17C5"/>
    <w:rsid w:val="00CD402A"/>
    <w:rsid w:val="00CE0FF5"/>
    <w:rsid w:val="00CE1852"/>
    <w:rsid w:val="00CE1E31"/>
    <w:rsid w:val="00CE1FFF"/>
    <w:rsid w:val="00CE3D73"/>
    <w:rsid w:val="00CE4D48"/>
    <w:rsid w:val="00CF070B"/>
    <w:rsid w:val="00CF0BB2"/>
    <w:rsid w:val="00CF210A"/>
    <w:rsid w:val="00CF43AE"/>
    <w:rsid w:val="00CF539A"/>
    <w:rsid w:val="00D00EAA"/>
    <w:rsid w:val="00D048A6"/>
    <w:rsid w:val="00D13236"/>
    <w:rsid w:val="00D13441"/>
    <w:rsid w:val="00D163D9"/>
    <w:rsid w:val="00D21CCF"/>
    <w:rsid w:val="00D21ECA"/>
    <w:rsid w:val="00D2299B"/>
    <w:rsid w:val="00D243A3"/>
    <w:rsid w:val="00D25BFA"/>
    <w:rsid w:val="00D263BC"/>
    <w:rsid w:val="00D2692B"/>
    <w:rsid w:val="00D2762F"/>
    <w:rsid w:val="00D3000A"/>
    <w:rsid w:val="00D3077C"/>
    <w:rsid w:val="00D34913"/>
    <w:rsid w:val="00D35699"/>
    <w:rsid w:val="00D36A32"/>
    <w:rsid w:val="00D37D2C"/>
    <w:rsid w:val="00D431C1"/>
    <w:rsid w:val="00D43E77"/>
    <w:rsid w:val="00D45E65"/>
    <w:rsid w:val="00D461AB"/>
    <w:rsid w:val="00D46A7E"/>
    <w:rsid w:val="00D477C3"/>
    <w:rsid w:val="00D47EFB"/>
    <w:rsid w:val="00D500D3"/>
    <w:rsid w:val="00D50DFB"/>
    <w:rsid w:val="00D52EFE"/>
    <w:rsid w:val="00D534C0"/>
    <w:rsid w:val="00D53621"/>
    <w:rsid w:val="00D5660B"/>
    <w:rsid w:val="00D579BC"/>
    <w:rsid w:val="00D57CC7"/>
    <w:rsid w:val="00D6050B"/>
    <w:rsid w:val="00D63EF6"/>
    <w:rsid w:val="00D641B3"/>
    <w:rsid w:val="00D6512A"/>
    <w:rsid w:val="00D70279"/>
    <w:rsid w:val="00D70DFB"/>
    <w:rsid w:val="00D710C9"/>
    <w:rsid w:val="00D71B27"/>
    <w:rsid w:val="00D71C79"/>
    <w:rsid w:val="00D73029"/>
    <w:rsid w:val="00D766DF"/>
    <w:rsid w:val="00D8048F"/>
    <w:rsid w:val="00D80C5E"/>
    <w:rsid w:val="00D82426"/>
    <w:rsid w:val="00D863FC"/>
    <w:rsid w:val="00D873E4"/>
    <w:rsid w:val="00D874A9"/>
    <w:rsid w:val="00D90626"/>
    <w:rsid w:val="00D907F6"/>
    <w:rsid w:val="00D90F88"/>
    <w:rsid w:val="00D94594"/>
    <w:rsid w:val="00D96735"/>
    <w:rsid w:val="00D97C22"/>
    <w:rsid w:val="00DA34AF"/>
    <w:rsid w:val="00DA610F"/>
    <w:rsid w:val="00DA767A"/>
    <w:rsid w:val="00DB07B9"/>
    <w:rsid w:val="00DB1506"/>
    <w:rsid w:val="00DB31DB"/>
    <w:rsid w:val="00DB44F9"/>
    <w:rsid w:val="00DC1171"/>
    <w:rsid w:val="00DC194E"/>
    <w:rsid w:val="00DC3575"/>
    <w:rsid w:val="00DC3711"/>
    <w:rsid w:val="00DC7207"/>
    <w:rsid w:val="00DD0350"/>
    <w:rsid w:val="00DD13FF"/>
    <w:rsid w:val="00DD1B6B"/>
    <w:rsid w:val="00DD1BBF"/>
    <w:rsid w:val="00DD2E7B"/>
    <w:rsid w:val="00DD2F1B"/>
    <w:rsid w:val="00DD35FF"/>
    <w:rsid w:val="00DE0218"/>
    <w:rsid w:val="00DE2002"/>
    <w:rsid w:val="00DE74ED"/>
    <w:rsid w:val="00DF4061"/>
    <w:rsid w:val="00DF4256"/>
    <w:rsid w:val="00DF74DE"/>
    <w:rsid w:val="00DF7AE9"/>
    <w:rsid w:val="00E05704"/>
    <w:rsid w:val="00E07EA7"/>
    <w:rsid w:val="00E07FBA"/>
    <w:rsid w:val="00E1141D"/>
    <w:rsid w:val="00E155B0"/>
    <w:rsid w:val="00E17A0F"/>
    <w:rsid w:val="00E17B29"/>
    <w:rsid w:val="00E202CE"/>
    <w:rsid w:val="00E20E1C"/>
    <w:rsid w:val="00E24D66"/>
    <w:rsid w:val="00E262F9"/>
    <w:rsid w:val="00E32895"/>
    <w:rsid w:val="00E35127"/>
    <w:rsid w:val="00E36308"/>
    <w:rsid w:val="00E365D6"/>
    <w:rsid w:val="00E36F32"/>
    <w:rsid w:val="00E40236"/>
    <w:rsid w:val="00E404A2"/>
    <w:rsid w:val="00E4307B"/>
    <w:rsid w:val="00E43AA6"/>
    <w:rsid w:val="00E45CD3"/>
    <w:rsid w:val="00E4678F"/>
    <w:rsid w:val="00E467AE"/>
    <w:rsid w:val="00E4752C"/>
    <w:rsid w:val="00E54292"/>
    <w:rsid w:val="00E55C15"/>
    <w:rsid w:val="00E56317"/>
    <w:rsid w:val="00E61000"/>
    <w:rsid w:val="00E65C1B"/>
    <w:rsid w:val="00E70A43"/>
    <w:rsid w:val="00E71B36"/>
    <w:rsid w:val="00E731D5"/>
    <w:rsid w:val="00E74CA1"/>
    <w:rsid w:val="00E74DC7"/>
    <w:rsid w:val="00E77148"/>
    <w:rsid w:val="00E82B26"/>
    <w:rsid w:val="00E834B8"/>
    <w:rsid w:val="00E863A0"/>
    <w:rsid w:val="00E86D7F"/>
    <w:rsid w:val="00E86FE1"/>
    <w:rsid w:val="00E87699"/>
    <w:rsid w:val="00E9359F"/>
    <w:rsid w:val="00E947C6"/>
    <w:rsid w:val="00E953F7"/>
    <w:rsid w:val="00E95916"/>
    <w:rsid w:val="00E96BF3"/>
    <w:rsid w:val="00E96C20"/>
    <w:rsid w:val="00E97E88"/>
    <w:rsid w:val="00EA782E"/>
    <w:rsid w:val="00EB0370"/>
    <w:rsid w:val="00EB39CC"/>
    <w:rsid w:val="00EB51B0"/>
    <w:rsid w:val="00EB5D2C"/>
    <w:rsid w:val="00EC1713"/>
    <w:rsid w:val="00EC2E44"/>
    <w:rsid w:val="00EC3D39"/>
    <w:rsid w:val="00EC4479"/>
    <w:rsid w:val="00EC458A"/>
    <w:rsid w:val="00EC72A5"/>
    <w:rsid w:val="00ED0403"/>
    <w:rsid w:val="00ED0D36"/>
    <w:rsid w:val="00ED43CE"/>
    <w:rsid w:val="00ED492F"/>
    <w:rsid w:val="00ED58BB"/>
    <w:rsid w:val="00ED5B5E"/>
    <w:rsid w:val="00ED657F"/>
    <w:rsid w:val="00ED6795"/>
    <w:rsid w:val="00ED7A36"/>
    <w:rsid w:val="00EE07B8"/>
    <w:rsid w:val="00EE3BAF"/>
    <w:rsid w:val="00EE3E36"/>
    <w:rsid w:val="00EE4099"/>
    <w:rsid w:val="00EE482A"/>
    <w:rsid w:val="00EF057B"/>
    <w:rsid w:val="00EF26DF"/>
    <w:rsid w:val="00EF2DCB"/>
    <w:rsid w:val="00EF2E3A"/>
    <w:rsid w:val="00EF6352"/>
    <w:rsid w:val="00EF721D"/>
    <w:rsid w:val="00F00ED0"/>
    <w:rsid w:val="00F01241"/>
    <w:rsid w:val="00F0207B"/>
    <w:rsid w:val="00F029B5"/>
    <w:rsid w:val="00F047E2"/>
    <w:rsid w:val="00F077CD"/>
    <w:rsid w:val="00F078DC"/>
    <w:rsid w:val="00F1296A"/>
    <w:rsid w:val="00F13E86"/>
    <w:rsid w:val="00F14210"/>
    <w:rsid w:val="00F1427E"/>
    <w:rsid w:val="00F16289"/>
    <w:rsid w:val="00F17033"/>
    <w:rsid w:val="00F17B00"/>
    <w:rsid w:val="00F20750"/>
    <w:rsid w:val="00F21BED"/>
    <w:rsid w:val="00F22D2C"/>
    <w:rsid w:val="00F23CEA"/>
    <w:rsid w:val="00F2745A"/>
    <w:rsid w:val="00F31FC8"/>
    <w:rsid w:val="00F330CD"/>
    <w:rsid w:val="00F36FF1"/>
    <w:rsid w:val="00F40553"/>
    <w:rsid w:val="00F40A6E"/>
    <w:rsid w:val="00F40AFA"/>
    <w:rsid w:val="00F43E6F"/>
    <w:rsid w:val="00F50A55"/>
    <w:rsid w:val="00F544D0"/>
    <w:rsid w:val="00F57C12"/>
    <w:rsid w:val="00F626EE"/>
    <w:rsid w:val="00F677A9"/>
    <w:rsid w:val="00F67C57"/>
    <w:rsid w:val="00F7018C"/>
    <w:rsid w:val="00F76F71"/>
    <w:rsid w:val="00F77E2F"/>
    <w:rsid w:val="00F807FD"/>
    <w:rsid w:val="00F81CA5"/>
    <w:rsid w:val="00F8205E"/>
    <w:rsid w:val="00F82B6A"/>
    <w:rsid w:val="00F83E43"/>
    <w:rsid w:val="00F84CF5"/>
    <w:rsid w:val="00F85196"/>
    <w:rsid w:val="00F9245E"/>
    <w:rsid w:val="00F92D35"/>
    <w:rsid w:val="00F97C99"/>
    <w:rsid w:val="00FA1A8E"/>
    <w:rsid w:val="00FA420B"/>
    <w:rsid w:val="00FA5B9E"/>
    <w:rsid w:val="00FB155C"/>
    <w:rsid w:val="00FB3DE0"/>
    <w:rsid w:val="00FB4A85"/>
    <w:rsid w:val="00FB564E"/>
    <w:rsid w:val="00FB64D6"/>
    <w:rsid w:val="00FB7603"/>
    <w:rsid w:val="00FC056E"/>
    <w:rsid w:val="00FC5946"/>
    <w:rsid w:val="00FC5B4F"/>
    <w:rsid w:val="00FC5D9E"/>
    <w:rsid w:val="00FC5E92"/>
    <w:rsid w:val="00FC6EF5"/>
    <w:rsid w:val="00FD1E13"/>
    <w:rsid w:val="00FD2CC9"/>
    <w:rsid w:val="00FD41B9"/>
    <w:rsid w:val="00FD4256"/>
    <w:rsid w:val="00FD6566"/>
    <w:rsid w:val="00FD6B3E"/>
    <w:rsid w:val="00FD6FCF"/>
    <w:rsid w:val="00FD7118"/>
    <w:rsid w:val="00FD759A"/>
    <w:rsid w:val="00FD7EB1"/>
    <w:rsid w:val="00FE054F"/>
    <w:rsid w:val="00FE3675"/>
    <w:rsid w:val="00FE38D4"/>
    <w:rsid w:val="00FE41C9"/>
    <w:rsid w:val="00FE7F93"/>
    <w:rsid w:val="00FF036F"/>
    <w:rsid w:val="00FF4E6A"/>
    <w:rsid w:val="00FF540D"/>
    <w:rsid w:val="00FF7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4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3236"/>
    <w:pPr>
      <w:spacing w:line="260" w:lineRule="atLeast"/>
    </w:pPr>
    <w:rPr>
      <w:sz w:val="22"/>
    </w:rPr>
  </w:style>
  <w:style w:type="paragraph" w:styleId="Heading1">
    <w:name w:val="heading 1"/>
    <w:basedOn w:val="Normal"/>
    <w:next w:val="Normal"/>
    <w:link w:val="Heading1Char"/>
    <w:uiPriority w:val="9"/>
    <w:qFormat/>
    <w:rsid w:val="00AD1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14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D14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D141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D141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141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141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141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D141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13236"/>
  </w:style>
  <w:style w:type="paragraph" w:customStyle="1" w:styleId="OPCParaBase">
    <w:name w:val="OPCParaBase"/>
    <w:qFormat/>
    <w:rsid w:val="00D13236"/>
    <w:pPr>
      <w:spacing w:line="260" w:lineRule="atLeast"/>
    </w:pPr>
    <w:rPr>
      <w:rFonts w:eastAsia="Times New Roman" w:cs="Times New Roman"/>
      <w:sz w:val="22"/>
      <w:lang w:eastAsia="en-AU"/>
    </w:rPr>
  </w:style>
  <w:style w:type="paragraph" w:customStyle="1" w:styleId="ShortT">
    <w:name w:val="ShortT"/>
    <w:basedOn w:val="OPCParaBase"/>
    <w:next w:val="Normal"/>
    <w:qFormat/>
    <w:rsid w:val="00D13236"/>
    <w:pPr>
      <w:spacing w:line="240" w:lineRule="auto"/>
    </w:pPr>
    <w:rPr>
      <w:b/>
      <w:sz w:val="40"/>
    </w:rPr>
  </w:style>
  <w:style w:type="paragraph" w:customStyle="1" w:styleId="ActHead1">
    <w:name w:val="ActHead 1"/>
    <w:aliases w:val="c"/>
    <w:basedOn w:val="OPCParaBase"/>
    <w:next w:val="Normal"/>
    <w:qFormat/>
    <w:rsid w:val="00D1323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1323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1323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1323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1323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1323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1323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1323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1323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13236"/>
  </w:style>
  <w:style w:type="paragraph" w:customStyle="1" w:styleId="Blocks">
    <w:name w:val="Blocks"/>
    <w:aliases w:val="bb"/>
    <w:basedOn w:val="OPCParaBase"/>
    <w:qFormat/>
    <w:rsid w:val="00D13236"/>
    <w:pPr>
      <w:spacing w:line="240" w:lineRule="auto"/>
    </w:pPr>
    <w:rPr>
      <w:sz w:val="24"/>
    </w:rPr>
  </w:style>
  <w:style w:type="paragraph" w:customStyle="1" w:styleId="BoxText">
    <w:name w:val="BoxText"/>
    <w:aliases w:val="bt"/>
    <w:basedOn w:val="OPCParaBase"/>
    <w:qFormat/>
    <w:rsid w:val="00D1323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13236"/>
    <w:rPr>
      <w:b/>
    </w:rPr>
  </w:style>
  <w:style w:type="paragraph" w:customStyle="1" w:styleId="BoxHeadItalic">
    <w:name w:val="BoxHeadItalic"/>
    <w:aliases w:val="bhi"/>
    <w:basedOn w:val="BoxText"/>
    <w:next w:val="BoxStep"/>
    <w:qFormat/>
    <w:rsid w:val="00D13236"/>
    <w:rPr>
      <w:i/>
    </w:rPr>
  </w:style>
  <w:style w:type="paragraph" w:customStyle="1" w:styleId="BoxList">
    <w:name w:val="BoxList"/>
    <w:aliases w:val="bl"/>
    <w:basedOn w:val="BoxText"/>
    <w:qFormat/>
    <w:rsid w:val="00D13236"/>
    <w:pPr>
      <w:ind w:left="1559" w:hanging="425"/>
    </w:pPr>
  </w:style>
  <w:style w:type="paragraph" w:customStyle="1" w:styleId="BoxNote">
    <w:name w:val="BoxNote"/>
    <w:aliases w:val="bn"/>
    <w:basedOn w:val="BoxText"/>
    <w:qFormat/>
    <w:rsid w:val="00D13236"/>
    <w:pPr>
      <w:tabs>
        <w:tab w:val="left" w:pos="1985"/>
      </w:tabs>
      <w:spacing w:before="122" w:line="198" w:lineRule="exact"/>
      <w:ind w:left="2948" w:hanging="1814"/>
    </w:pPr>
    <w:rPr>
      <w:sz w:val="18"/>
    </w:rPr>
  </w:style>
  <w:style w:type="paragraph" w:customStyle="1" w:styleId="BoxPara">
    <w:name w:val="BoxPara"/>
    <w:aliases w:val="bp"/>
    <w:basedOn w:val="BoxText"/>
    <w:qFormat/>
    <w:rsid w:val="00D13236"/>
    <w:pPr>
      <w:tabs>
        <w:tab w:val="right" w:pos="2268"/>
      </w:tabs>
      <w:ind w:left="2552" w:hanging="1418"/>
    </w:pPr>
  </w:style>
  <w:style w:type="paragraph" w:customStyle="1" w:styleId="BoxStep">
    <w:name w:val="BoxStep"/>
    <w:aliases w:val="bs"/>
    <w:basedOn w:val="BoxText"/>
    <w:qFormat/>
    <w:rsid w:val="00D13236"/>
    <w:pPr>
      <w:ind w:left="1985" w:hanging="851"/>
    </w:pPr>
  </w:style>
  <w:style w:type="character" w:customStyle="1" w:styleId="CharAmPartNo">
    <w:name w:val="CharAmPartNo"/>
    <w:basedOn w:val="OPCCharBase"/>
    <w:qFormat/>
    <w:rsid w:val="00D13236"/>
  </w:style>
  <w:style w:type="character" w:customStyle="1" w:styleId="CharAmPartText">
    <w:name w:val="CharAmPartText"/>
    <w:basedOn w:val="OPCCharBase"/>
    <w:qFormat/>
    <w:rsid w:val="00D13236"/>
  </w:style>
  <w:style w:type="character" w:customStyle="1" w:styleId="CharAmSchNo">
    <w:name w:val="CharAmSchNo"/>
    <w:basedOn w:val="OPCCharBase"/>
    <w:qFormat/>
    <w:rsid w:val="00D13236"/>
  </w:style>
  <w:style w:type="character" w:customStyle="1" w:styleId="CharAmSchText">
    <w:name w:val="CharAmSchText"/>
    <w:basedOn w:val="OPCCharBase"/>
    <w:qFormat/>
    <w:rsid w:val="00D13236"/>
  </w:style>
  <w:style w:type="character" w:customStyle="1" w:styleId="CharBoldItalic">
    <w:name w:val="CharBoldItalic"/>
    <w:basedOn w:val="OPCCharBase"/>
    <w:uiPriority w:val="1"/>
    <w:qFormat/>
    <w:rsid w:val="00D13236"/>
    <w:rPr>
      <w:b/>
      <w:i/>
    </w:rPr>
  </w:style>
  <w:style w:type="character" w:customStyle="1" w:styleId="CharChapNo">
    <w:name w:val="CharChapNo"/>
    <w:basedOn w:val="OPCCharBase"/>
    <w:uiPriority w:val="1"/>
    <w:qFormat/>
    <w:rsid w:val="00D13236"/>
  </w:style>
  <w:style w:type="character" w:customStyle="1" w:styleId="CharChapText">
    <w:name w:val="CharChapText"/>
    <w:basedOn w:val="OPCCharBase"/>
    <w:uiPriority w:val="1"/>
    <w:qFormat/>
    <w:rsid w:val="00D13236"/>
  </w:style>
  <w:style w:type="character" w:customStyle="1" w:styleId="CharDivNo">
    <w:name w:val="CharDivNo"/>
    <w:basedOn w:val="OPCCharBase"/>
    <w:uiPriority w:val="1"/>
    <w:qFormat/>
    <w:rsid w:val="00D13236"/>
  </w:style>
  <w:style w:type="character" w:customStyle="1" w:styleId="CharDivText">
    <w:name w:val="CharDivText"/>
    <w:basedOn w:val="OPCCharBase"/>
    <w:uiPriority w:val="1"/>
    <w:qFormat/>
    <w:rsid w:val="00D13236"/>
  </w:style>
  <w:style w:type="character" w:customStyle="1" w:styleId="CharItalic">
    <w:name w:val="CharItalic"/>
    <w:basedOn w:val="OPCCharBase"/>
    <w:uiPriority w:val="1"/>
    <w:qFormat/>
    <w:rsid w:val="00D13236"/>
    <w:rPr>
      <w:i/>
    </w:rPr>
  </w:style>
  <w:style w:type="character" w:customStyle="1" w:styleId="CharPartNo">
    <w:name w:val="CharPartNo"/>
    <w:basedOn w:val="OPCCharBase"/>
    <w:uiPriority w:val="1"/>
    <w:qFormat/>
    <w:rsid w:val="00D13236"/>
  </w:style>
  <w:style w:type="character" w:customStyle="1" w:styleId="CharPartText">
    <w:name w:val="CharPartText"/>
    <w:basedOn w:val="OPCCharBase"/>
    <w:uiPriority w:val="1"/>
    <w:qFormat/>
    <w:rsid w:val="00D13236"/>
  </w:style>
  <w:style w:type="character" w:customStyle="1" w:styleId="CharSectno">
    <w:name w:val="CharSectno"/>
    <w:basedOn w:val="OPCCharBase"/>
    <w:qFormat/>
    <w:rsid w:val="00D13236"/>
  </w:style>
  <w:style w:type="character" w:customStyle="1" w:styleId="CharSubdNo">
    <w:name w:val="CharSubdNo"/>
    <w:basedOn w:val="OPCCharBase"/>
    <w:uiPriority w:val="1"/>
    <w:qFormat/>
    <w:rsid w:val="00D13236"/>
  </w:style>
  <w:style w:type="character" w:customStyle="1" w:styleId="CharSubdText">
    <w:name w:val="CharSubdText"/>
    <w:basedOn w:val="OPCCharBase"/>
    <w:uiPriority w:val="1"/>
    <w:qFormat/>
    <w:rsid w:val="00D13236"/>
  </w:style>
  <w:style w:type="paragraph" w:customStyle="1" w:styleId="CTA--">
    <w:name w:val="CTA --"/>
    <w:basedOn w:val="OPCParaBase"/>
    <w:next w:val="Normal"/>
    <w:rsid w:val="00D13236"/>
    <w:pPr>
      <w:spacing w:before="60" w:line="240" w:lineRule="atLeast"/>
      <w:ind w:left="142" w:hanging="142"/>
    </w:pPr>
    <w:rPr>
      <w:sz w:val="20"/>
    </w:rPr>
  </w:style>
  <w:style w:type="paragraph" w:customStyle="1" w:styleId="CTA-">
    <w:name w:val="CTA -"/>
    <w:basedOn w:val="OPCParaBase"/>
    <w:rsid w:val="00D13236"/>
    <w:pPr>
      <w:spacing w:before="60" w:line="240" w:lineRule="atLeast"/>
      <w:ind w:left="85" w:hanging="85"/>
    </w:pPr>
    <w:rPr>
      <w:sz w:val="20"/>
    </w:rPr>
  </w:style>
  <w:style w:type="paragraph" w:customStyle="1" w:styleId="CTA---">
    <w:name w:val="CTA ---"/>
    <w:basedOn w:val="OPCParaBase"/>
    <w:next w:val="Normal"/>
    <w:rsid w:val="00D13236"/>
    <w:pPr>
      <w:spacing w:before="60" w:line="240" w:lineRule="atLeast"/>
      <w:ind w:left="198" w:hanging="198"/>
    </w:pPr>
    <w:rPr>
      <w:sz w:val="20"/>
    </w:rPr>
  </w:style>
  <w:style w:type="paragraph" w:customStyle="1" w:styleId="CTA----">
    <w:name w:val="CTA ----"/>
    <w:basedOn w:val="OPCParaBase"/>
    <w:next w:val="Normal"/>
    <w:rsid w:val="00D13236"/>
    <w:pPr>
      <w:spacing w:before="60" w:line="240" w:lineRule="atLeast"/>
      <w:ind w:left="255" w:hanging="255"/>
    </w:pPr>
    <w:rPr>
      <w:sz w:val="20"/>
    </w:rPr>
  </w:style>
  <w:style w:type="paragraph" w:customStyle="1" w:styleId="CTA1a">
    <w:name w:val="CTA 1(a)"/>
    <w:basedOn w:val="OPCParaBase"/>
    <w:rsid w:val="00D13236"/>
    <w:pPr>
      <w:tabs>
        <w:tab w:val="right" w:pos="414"/>
      </w:tabs>
      <w:spacing w:before="40" w:line="240" w:lineRule="atLeast"/>
      <w:ind w:left="675" w:hanging="675"/>
    </w:pPr>
    <w:rPr>
      <w:sz w:val="20"/>
    </w:rPr>
  </w:style>
  <w:style w:type="paragraph" w:customStyle="1" w:styleId="CTA1ai">
    <w:name w:val="CTA 1(a)(i)"/>
    <w:basedOn w:val="OPCParaBase"/>
    <w:rsid w:val="00D13236"/>
    <w:pPr>
      <w:tabs>
        <w:tab w:val="right" w:pos="1004"/>
      </w:tabs>
      <w:spacing w:before="40" w:line="240" w:lineRule="atLeast"/>
      <w:ind w:left="1253" w:hanging="1253"/>
    </w:pPr>
    <w:rPr>
      <w:sz w:val="20"/>
    </w:rPr>
  </w:style>
  <w:style w:type="paragraph" w:customStyle="1" w:styleId="CTA2a">
    <w:name w:val="CTA 2(a)"/>
    <w:basedOn w:val="OPCParaBase"/>
    <w:rsid w:val="00D13236"/>
    <w:pPr>
      <w:tabs>
        <w:tab w:val="right" w:pos="482"/>
      </w:tabs>
      <w:spacing w:before="40" w:line="240" w:lineRule="atLeast"/>
      <w:ind w:left="748" w:hanging="748"/>
    </w:pPr>
    <w:rPr>
      <w:sz w:val="20"/>
    </w:rPr>
  </w:style>
  <w:style w:type="paragraph" w:customStyle="1" w:styleId="CTA2ai">
    <w:name w:val="CTA 2(a)(i)"/>
    <w:basedOn w:val="OPCParaBase"/>
    <w:rsid w:val="00D13236"/>
    <w:pPr>
      <w:tabs>
        <w:tab w:val="right" w:pos="1089"/>
      </w:tabs>
      <w:spacing w:before="40" w:line="240" w:lineRule="atLeast"/>
      <w:ind w:left="1327" w:hanging="1327"/>
    </w:pPr>
    <w:rPr>
      <w:sz w:val="20"/>
    </w:rPr>
  </w:style>
  <w:style w:type="paragraph" w:customStyle="1" w:styleId="CTA3a">
    <w:name w:val="CTA 3(a)"/>
    <w:basedOn w:val="OPCParaBase"/>
    <w:rsid w:val="00D13236"/>
    <w:pPr>
      <w:tabs>
        <w:tab w:val="right" w:pos="556"/>
      </w:tabs>
      <w:spacing w:before="40" w:line="240" w:lineRule="atLeast"/>
      <w:ind w:left="805" w:hanging="805"/>
    </w:pPr>
    <w:rPr>
      <w:sz w:val="20"/>
    </w:rPr>
  </w:style>
  <w:style w:type="paragraph" w:customStyle="1" w:styleId="CTA3ai">
    <w:name w:val="CTA 3(a)(i)"/>
    <w:basedOn w:val="OPCParaBase"/>
    <w:rsid w:val="00D13236"/>
    <w:pPr>
      <w:tabs>
        <w:tab w:val="right" w:pos="1140"/>
      </w:tabs>
      <w:spacing w:before="40" w:line="240" w:lineRule="atLeast"/>
      <w:ind w:left="1361" w:hanging="1361"/>
    </w:pPr>
    <w:rPr>
      <w:sz w:val="20"/>
    </w:rPr>
  </w:style>
  <w:style w:type="paragraph" w:customStyle="1" w:styleId="CTA4a">
    <w:name w:val="CTA 4(a)"/>
    <w:basedOn w:val="OPCParaBase"/>
    <w:rsid w:val="00D13236"/>
    <w:pPr>
      <w:tabs>
        <w:tab w:val="right" w:pos="624"/>
      </w:tabs>
      <w:spacing w:before="40" w:line="240" w:lineRule="atLeast"/>
      <w:ind w:left="873" w:hanging="873"/>
    </w:pPr>
    <w:rPr>
      <w:sz w:val="20"/>
    </w:rPr>
  </w:style>
  <w:style w:type="paragraph" w:customStyle="1" w:styleId="CTA4ai">
    <w:name w:val="CTA 4(a)(i)"/>
    <w:basedOn w:val="OPCParaBase"/>
    <w:rsid w:val="00D13236"/>
    <w:pPr>
      <w:tabs>
        <w:tab w:val="right" w:pos="1213"/>
      </w:tabs>
      <w:spacing w:before="40" w:line="240" w:lineRule="atLeast"/>
      <w:ind w:left="1452" w:hanging="1452"/>
    </w:pPr>
    <w:rPr>
      <w:sz w:val="20"/>
    </w:rPr>
  </w:style>
  <w:style w:type="paragraph" w:customStyle="1" w:styleId="CTACAPS">
    <w:name w:val="CTA CAPS"/>
    <w:basedOn w:val="OPCParaBase"/>
    <w:rsid w:val="00D13236"/>
    <w:pPr>
      <w:spacing w:before="60" w:line="240" w:lineRule="atLeast"/>
    </w:pPr>
    <w:rPr>
      <w:sz w:val="20"/>
    </w:rPr>
  </w:style>
  <w:style w:type="paragraph" w:customStyle="1" w:styleId="CTAright">
    <w:name w:val="CTA right"/>
    <w:basedOn w:val="OPCParaBase"/>
    <w:rsid w:val="00D13236"/>
    <w:pPr>
      <w:spacing w:before="60" w:line="240" w:lineRule="auto"/>
      <w:jc w:val="right"/>
    </w:pPr>
    <w:rPr>
      <w:sz w:val="20"/>
    </w:rPr>
  </w:style>
  <w:style w:type="paragraph" w:customStyle="1" w:styleId="subsection">
    <w:name w:val="subsection"/>
    <w:aliases w:val="ss"/>
    <w:basedOn w:val="OPCParaBase"/>
    <w:link w:val="subsectionChar"/>
    <w:rsid w:val="00D13236"/>
    <w:pPr>
      <w:tabs>
        <w:tab w:val="right" w:pos="1021"/>
      </w:tabs>
      <w:spacing w:before="180" w:line="240" w:lineRule="auto"/>
      <w:ind w:left="1134" w:hanging="1134"/>
    </w:pPr>
  </w:style>
  <w:style w:type="paragraph" w:customStyle="1" w:styleId="Definition">
    <w:name w:val="Definition"/>
    <w:aliases w:val="dd"/>
    <w:basedOn w:val="OPCParaBase"/>
    <w:rsid w:val="00D13236"/>
    <w:pPr>
      <w:spacing w:before="180" w:line="240" w:lineRule="auto"/>
      <w:ind w:left="1134"/>
    </w:pPr>
  </w:style>
  <w:style w:type="paragraph" w:customStyle="1" w:styleId="ETAsubitem">
    <w:name w:val="ETA(subitem)"/>
    <w:basedOn w:val="OPCParaBase"/>
    <w:rsid w:val="00D13236"/>
    <w:pPr>
      <w:tabs>
        <w:tab w:val="right" w:pos="340"/>
      </w:tabs>
      <w:spacing w:before="60" w:line="240" w:lineRule="auto"/>
      <w:ind w:left="454" w:hanging="454"/>
    </w:pPr>
    <w:rPr>
      <w:sz w:val="20"/>
    </w:rPr>
  </w:style>
  <w:style w:type="paragraph" w:customStyle="1" w:styleId="ETApara">
    <w:name w:val="ETA(para)"/>
    <w:basedOn w:val="OPCParaBase"/>
    <w:rsid w:val="00D13236"/>
    <w:pPr>
      <w:tabs>
        <w:tab w:val="right" w:pos="754"/>
      </w:tabs>
      <w:spacing w:before="60" w:line="240" w:lineRule="auto"/>
      <w:ind w:left="828" w:hanging="828"/>
    </w:pPr>
    <w:rPr>
      <w:sz w:val="20"/>
    </w:rPr>
  </w:style>
  <w:style w:type="paragraph" w:customStyle="1" w:styleId="ETAsubpara">
    <w:name w:val="ETA(subpara)"/>
    <w:basedOn w:val="OPCParaBase"/>
    <w:rsid w:val="00D13236"/>
    <w:pPr>
      <w:tabs>
        <w:tab w:val="right" w:pos="1083"/>
      </w:tabs>
      <w:spacing w:before="60" w:line="240" w:lineRule="auto"/>
      <w:ind w:left="1191" w:hanging="1191"/>
    </w:pPr>
    <w:rPr>
      <w:sz w:val="20"/>
    </w:rPr>
  </w:style>
  <w:style w:type="paragraph" w:customStyle="1" w:styleId="ETAsub-subpara">
    <w:name w:val="ETA(sub-subpara)"/>
    <w:basedOn w:val="OPCParaBase"/>
    <w:rsid w:val="00D13236"/>
    <w:pPr>
      <w:tabs>
        <w:tab w:val="right" w:pos="1412"/>
      </w:tabs>
      <w:spacing w:before="60" w:line="240" w:lineRule="auto"/>
      <w:ind w:left="1525" w:hanging="1525"/>
    </w:pPr>
    <w:rPr>
      <w:sz w:val="20"/>
    </w:rPr>
  </w:style>
  <w:style w:type="paragraph" w:customStyle="1" w:styleId="Formula">
    <w:name w:val="Formula"/>
    <w:basedOn w:val="OPCParaBase"/>
    <w:rsid w:val="00D13236"/>
    <w:pPr>
      <w:spacing w:line="240" w:lineRule="auto"/>
      <w:ind w:left="1134"/>
    </w:pPr>
    <w:rPr>
      <w:sz w:val="20"/>
    </w:rPr>
  </w:style>
  <w:style w:type="paragraph" w:styleId="Header">
    <w:name w:val="header"/>
    <w:basedOn w:val="OPCParaBase"/>
    <w:link w:val="HeaderChar"/>
    <w:unhideWhenUsed/>
    <w:rsid w:val="00D1323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13236"/>
    <w:rPr>
      <w:rFonts w:eastAsia="Times New Roman" w:cs="Times New Roman"/>
      <w:sz w:val="16"/>
      <w:lang w:eastAsia="en-AU"/>
    </w:rPr>
  </w:style>
  <w:style w:type="paragraph" w:customStyle="1" w:styleId="House">
    <w:name w:val="House"/>
    <w:basedOn w:val="OPCParaBase"/>
    <w:rsid w:val="00D13236"/>
    <w:pPr>
      <w:spacing w:line="240" w:lineRule="auto"/>
    </w:pPr>
    <w:rPr>
      <w:sz w:val="28"/>
    </w:rPr>
  </w:style>
  <w:style w:type="paragraph" w:customStyle="1" w:styleId="Item">
    <w:name w:val="Item"/>
    <w:aliases w:val="i"/>
    <w:basedOn w:val="OPCParaBase"/>
    <w:next w:val="ItemHead"/>
    <w:rsid w:val="00D13236"/>
    <w:pPr>
      <w:keepLines/>
      <w:spacing w:before="80" w:line="240" w:lineRule="auto"/>
      <w:ind w:left="709"/>
    </w:pPr>
  </w:style>
  <w:style w:type="paragraph" w:customStyle="1" w:styleId="ItemHead">
    <w:name w:val="ItemHead"/>
    <w:aliases w:val="ih"/>
    <w:basedOn w:val="OPCParaBase"/>
    <w:next w:val="Item"/>
    <w:rsid w:val="00D1323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13236"/>
    <w:pPr>
      <w:spacing w:line="240" w:lineRule="auto"/>
    </w:pPr>
    <w:rPr>
      <w:b/>
      <w:sz w:val="32"/>
    </w:rPr>
  </w:style>
  <w:style w:type="paragraph" w:customStyle="1" w:styleId="notedraft">
    <w:name w:val="note(draft)"/>
    <w:aliases w:val="nd"/>
    <w:basedOn w:val="OPCParaBase"/>
    <w:rsid w:val="00D13236"/>
    <w:pPr>
      <w:spacing w:before="240" w:line="240" w:lineRule="auto"/>
      <w:ind w:left="284" w:hanging="284"/>
    </w:pPr>
    <w:rPr>
      <w:i/>
      <w:sz w:val="24"/>
    </w:rPr>
  </w:style>
  <w:style w:type="paragraph" w:customStyle="1" w:styleId="notemargin">
    <w:name w:val="note(margin)"/>
    <w:aliases w:val="nm"/>
    <w:basedOn w:val="OPCParaBase"/>
    <w:rsid w:val="00D13236"/>
    <w:pPr>
      <w:tabs>
        <w:tab w:val="left" w:pos="709"/>
      </w:tabs>
      <w:spacing w:before="122" w:line="198" w:lineRule="exact"/>
      <w:ind w:left="709" w:hanging="709"/>
    </w:pPr>
    <w:rPr>
      <w:sz w:val="18"/>
    </w:rPr>
  </w:style>
  <w:style w:type="paragraph" w:customStyle="1" w:styleId="noteToPara">
    <w:name w:val="noteToPara"/>
    <w:aliases w:val="ntp"/>
    <w:basedOn w:val="OPCParaBase"/>
    <w:rsid w:val="00D13236"/>
    <w:pPr>
      <w:spacing w:before="122" w:line="198" w:lineRule="exact"/>
      <w:ind w:left="2353" w:hanging="709"/>
    </w:pPr>
    <w:rPr>
      <w:sz w:val="18"/>
    </w:rPr>
  </w:style>
  <w:style w:type="paragraph" w:customStyle="1" w:styleId="noteParlAmend">
    <w:name w:val="note(ParlAmend)"/>
    <w:aliases w:val="npp"/>
    <w:basedOn w:val="OPCParaBase"/>
    <w:next w:val="ParlAmend"/>
    <w:rsid w:val="00D13236"/>
    <w:pPr>
      <w:spacing w:line="240" w:lineRule="auto"/>
      <w:jc w:val="right"/>
    </w:pPr>
    <w:rPr>
      <w:rFonts w:ascii="Arial" w:hAnsi="Arial"/>
      <w:b/>
      <w:i/>
    </w:rPr>
  </w:style>
  <w:style w:type="paragraph" w:customStyle="1" w:styleId="Page1">
    <w:name w:val="Page1"/>
    <w:basedOn w:val="OPCParaBase"/>
    <w:rsid w:val="00D13236"/>
    <w:pPr>
      <w:spacing w:before="5600" w:line="240" w:lineRule="auto"/>
    </w:pPr>
    <w:rPr>
      <w:b/>
      <w:sz w:val="32"/>
    </w:rPr>
  </w:style>
  <w:style w:type="paragraph" w:customStyle="1" w:styleId="PageBreak">
    <w:name w:val="PageBreak"/>
    <w:aliases w:val="pb"/>
    <w:basedOn w:val="OPCParaBase"/>
    <w:rsid w:val="00D13236"/>
    <w:pPr>
      <w:spacing w:line="240" w:lineRule="auto"/>
    </w:pPr>
    <w:rPr>
      <w:sz w:val="20"/>
    </w:rPr>
  </w:style>
  <w:style w:type="paragraph" w:customStyle="1" w:styleId="paragraphsub">
    <w:name w:val="paragraph(sub)"/>
    <w:aliases w:val="aa"/>
    <w:basedOn w:val="OPCParaBase"/>
    <w:rsid w:val="00D13236"/>
    <w:pPr>
      <w:tabs>
        <w:tab w:val="right" w:pos="1985"/>
      </w:tabs>
      <w:spacing w:before="40" w:line="240" w:lineRule="auto"/>
      <w:ind w:left="2098" w:hanging="2098"/>
    </w:pPr>
  </w:style>
  <w:style w:type="paragraph" w:customStyle="1" w:styleId="paragraphsub-sub">
    <w:name w:val="paragraph(sub-sub)"/>
    <w:aliases w:val="aaa"/>
    <w:basedOn w:val="OPCParaBase"/>
    <w:rsid w:val="00D13236"/>
    <w:pPr>
      <w:tabs>
        <w:tab w:val="right" w:pos="2722"/>
      </w:tabs>
      <w:spacing w:before="40" w:line="240" w:lineRule="auto"/>
      <w:ind w:left="2835" w:hanging="2835"/>
    </w:pPr>
  </w:style>
  <w:style w:type="paragraph" w:customStyle="1" w:styleId="paragraph">
    <w:name w:val="paragraph"/>
    <w:aliases w:val="a"/>
    <w:basedOn w:val="OPCParaBase"/>
    <w:link w:val="paragraphChar"/>
    <w:rsid w:val="00D13236"/>
    <w:pPr>
      <w:tabs>
        <w:tab w:val="right" w:pos="1531"/>
      </w:tabs>
      <w:spacing w:before="40" w:line="240" w:lineRule="auto"/>
      <w:ind w:left="1644" w:hanging="1644"/>
    </w:pPr>
  </w:style>
  <w:style w:type="paragraph" w:customStyle="1" w:styleId="ParlAmend">
    <w:name w:val="ParlAmend"/>
    <w:aliases w:val="pp"/>
    <w:basedOn w:val="OPCParaBase"/>
    <w:rsid w:val="00D13236"/>
    <w:pPr>
      <w:spacing w:before="240" w:line="240" w:lineRule="atLeast"/>
      <w:ind w:hanging="567"/>
    </w:pPr>
    <w:rPr>
      <w:sz w:val="24"/>
    </w:rPr>
  </w:style>
  <w:style w:type="paragraph" w:customStyle="1" w:styleId="Penalty">
    <w:name w:val="Penalty"/>
    <w:basedOn w:val="OPCParaBase"/>
    <w:rsid w:val="00D13236"/>
    <w:pPr>
      <w:tabs>
        <w:tab w:val="left" w:pos="2977"/>
      </w:tabs>
      <w:spacing w:before="180" w:line="240" w:lineRule="auto"/>
      <w:ind w:left="1985" w:hanging="851"/>
    </w:pPr>
  </w:style>
  <w:style w:type="paragraph" w:customStyle="1" w:styleId="Portfolio">
    <w:name w:val="Portfolio"/>
    <w:basedOn w:val="OPCParaBase"/>
    <w:rsid w:val="00D13236"/>
    <w:pPr>
      <w:spacing w:line="240" w:lineRule="auto"/>
    </w:pPr>
    <w:rPr>
      <w:i/>
      <w:sz w:val="20"/>
    </w:rPr>
  </w:style>
  <w:style w:type="paragraph" w:customStyle="1" w:styleId="Preamble">
    <w:name w:val="Preamble"/>
    <w:basedOn w:val="OPCParaBase"/>
    <w:next w:val="Normal"/>
    <w:rsid w:val="00D1323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13236"/>
    <w:pPr>
      <w:spacing w:line="240" w:lineRule="auto"/>
    </w:pPr>
    <w:rPr>
      <w:i/>
      <w:sz w:val="20"/>
    </w:rPr>
  </w:style>
  <w:style w:type="paragraph" w:customStyle="1" w:styleId="Session">
    <w:name w:val="Session"/>
    <w:basedOn w:val="OPCParaBase"/>
    <w:rsid w:val="00D13236"/>
    <w:pPr>
      <w:spacing w:line="240" w:lineRule="auto"/>
    </w:pPr>
    <w:rPr>
      <w:sz w:val="28"/>
    </w:rPr>
  </w:style>
  <w:style w:type="paragraph" w:customStyle="1" w:styleId="Sponsor">
    <w:name w:val="Sponsor"/>
    <w:basedOn w:val="OPCParaBase"/>
    <w:rsid w:val="00D13236"/>
    <w:pPr>
      <w:spacing w:line="240" w:lineRule="auto"/>
    </w:pPr>
    <w:rPr>
      <w:i/>
    </w:rPr>
  </w:style>
  <w:style w:type="paragraph" w:customStyle="1" w:styleId="Subitem">
    <w:name w:val="Subitem"/>
    <w:aliases w:val="iss"/>
    <w:basedOn w:val="OPCParaBase"/>
    <w:rsid w:val="00D13236"/>
    <w:pPr>
      <w:spacing w:before="180" w:line="240" w:lineRule="auto"/>
      <w:ind w:left="709" w:hanging="709"/>
    </w:pPr>
  </w:style>
  <w:style w:type="paragraph" w:customStyle="1" w:styleId="SubitemHead">
    <w:name w:val="SubitemHead"/>
    <w:aliases w:val="issh"/>
    <w:basedOn w:val="OPCParaBase"/>
    <w:rsid w:val="00D1323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13236"/>
    <w:pPr>
      <w:spacing w:before="40" w:line="240" w:lineRule="auto"/>
      <w:ind w:left="1134"/>
    </w:pPr>
  </w:style>
  <w:style w:type="paragraph" w:customStyle="1" w:styleId="SubsectionHead">
    <w:name w:val="SubsectionHead"/>
    <w:aliases w:val="ssh"/>
    <w:basedOn w:val="OPCParaBase"/>
    <w:next w:val="subsection"/>
    <w:rsid w:val="00D13236"/>
    <w:pPr>
      <w:keepNext/>
      <w:keepLines/>
      <w:spacing w:before="240" w:line="240" w:lineRule="auto"/>
      <w:ind w:left="1134"/>
    </w:pPr>
    <w:rPr>
      <w:i/>
    </w:rPr>
  </w:style>
  <w:style w:type="paragraph" w:customStyle="1" w:styleId="Tablea">
    <w:name w:val="Table(a)"/>
    <w:aliases w:val="ta"/>
    <w:basedOn w:val="OPCParaBase"/>
    <w:rsid w:val="00D13236"/>
    <w:pPr>
      <w:spacing w:before="60" w:line="240" w:lineRule="auto"/>
      <w:ind w:left="284" w:hanging="284"/>
    </w:pPr>
    <w:rPr>
      <w:sz w:val="20"/>
    </w:rPr>
  </w:style>
  <w:style w:type="paragraph" w:customStyle="1" w:styleId="TableAA">
    <w:name w:val="Table(AA)"/>
    <w:aliases w:val="taaa"/>
    <w:basedOn w:val="OPCParaBase"/>
    <w:rsid w:val="00D1323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1323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13236"/>
    <w:pPr>
      <w:spacing w:before="60" w:line="240" w:lineRule="atLeast"/>
    </w:pPr>
    <w:rPr>
      <w:sz w:val="20"/>
    </w:rPr>
  </w:style>
  <w:style w:type="paragraph" w:customStyle="1" w:styleId="TLPBoxTextnote">
    <w:name w:val="TLPBoxText(note"/>
    <w:aliases w:val="right)"/>
    <w:basedOn w:val="OPCParaBase"/>
    <w:rsid w:val="00D1323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1323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13236"/>
    <w:pPr>
      <w:spacing w:before="122" w:line="198" w:lineRule="exact"/>
      <w:ind w:left="1985" w:hanging="851"/>
      <w:jc w:val="right"/>
    </w:pPr>
    <w:rPr>
      <w:sz w:val="18"/>
    </w:rPr>
  </w:style>
  <w:style w:type="paragraph" w:customStyle="1" w:styleId="TLPTableBullet">
    <w:name w:val="TLPTableBullet"/>
    <w:aliases w:val="ttb"/>
    <w:basedOn w:val="OPCParaBase"/>
    <w:rsid w:val="00D13236"/>
    <w:pPr>
      <w:spacing w:line="240" w:lineRule="exact"/>
      <w:ind w:left="284" w:hanging="284"/>
    </w:pPr>
    <w:rPr>
      <w:sz w:val="20"/>
    </w:rPr>
  </w:style>
  <w:style w:type="paragraph" w:styleId="TOC1">
    <w:name w:val="toc 1"/>
    <w:basedOn w:val="OPCParaBase"/>
    <w:next w:val="Normal"/>
    <w:uiPriority w:val="39"/>
    <w:semiHidden/>
    <w:unhideWhenUsed/>
    <w:rsid w:val="00D1323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1323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1323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1323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1323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1323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1323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1323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1323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13236"/>
    <w:pPr>
      <w:keepLines/>
      <w:spacing w:before="240" w:after="120" w:line="240" w:lineRule="auto"/>
      <w:ind w:left="794"/>
    </w:pPr>
    <w:rPr>
      <w:b/>
      <w:kern w:val="28"/>
      <w:sz w:val="20"/>
    </w:rPr>
  </w:style>
  <w:style w:type="paragraph" w:customStyle="1" w:styleId="TofSectsHeading">
    <w:name w:val="TofSects(Heading)"/>
    <w:basedOn w:val="OPCParaBase"/>
    <w:rsid w:val="00D13236"/>
    <w:pPr>
      <w:spacing w:before="240" w:after="120" w:line="240" w:lineRule="auto"/>
    </w:pPr>
    <w:rPr>
      <w:b/>
      <w:sz w:val="24"/>
    </w:rPr>
  </w:style>
  <w:style w:type="paragraph" w:customStyle="1" w:styleId="TofSectsSection">
    <w:name w:val="TofSects(Section)"/>
    <w:basedOn w:val="OPCParaBase"/>
    <w:rsid w:val="00D13236"/>
    <w:pPr>
      <w:keepLines/>
      <w:spacing w:before="40" w:line="240" w:lineRule="auto"/>
      <w:ind w:left="1588" w:hanging="794"/>
    </w:pPr>
    <w:rPr>
      <w:kern w:val="28"/>
      <w:sz w:val="18"/>
    </w:rPr>
  </w:style>
  <w:style w:type="paragraph" w:customStyle="1" w:styleId="TofSectsSubdiv">
    <w:name w:val="TofSects(Subdiv)"/>
    <w:basedOn w:val="OPCParaBase"/>
    <w:rsid w:val="00D13236"/>
    <w:pPr>
      <w:keepLines/>
      <w:spacing w:before="80" w:line="240" w:lineRule="auto"/>
      <w:ind w:left="1588" w:hanging="794"/>
    </w:pPr>
    <w:rPr>
      <w:kern w:val="28"/>
    </w:rPr>
  </w:style>
  <w:style w:type="paragraph" w:customStyle="1" w:styleId="WRStyle">
    <w:name w:val="WR Style"/>
    <w:aliases w:val="WR"/>
    <w:basedOn w:val="OPCParaBase"/>
    <w:rsid w:val="00D13236"/>
    <w:pPr>
      <w:spacing w:before="240" w:line="240" w:lineRule="auto"/>
      <w:ind w:left="284" w:hanging="284"/>
    </w:pPr>
    <w:rPr>
      <w:b/>
      <w:i/>
      <w:kern w:val="28"/>
      <w:sz w:val="24"/>
    </w:rPr>
  </w:style>
  <w:style w:type="paragraph" w:customStyle="1" w:styleId="notepara">
    <w:name w:val="note(para)"/>
    <w:aliases w:val="na"/>
    <w:basedOn w:val="OPCParaBase"/>
    <w:rsid w:val="00D13236"/>
    <w:pPr>
      <w:spacing w:before="40" w:line="198" w:lineRule="exact"/>
      <w:ind w:left="2354" w:hanging="369"/>
    </w:pPr>
    <w:rPr>
      <w:sz w:val="18"/>
    </w:rPr>
  </w:style>
  <w:style w:type="paragraph" w:styleId="Footer">
    <w:name w:val="footer"/>
    <w:link w:val="FooterChar"/>
    <w:rsid w:val="00D1323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13236"/>
    <w:rPr>
      <w:rFonts w:eastAsia="Times New Roman" w:cs="Times New Roman"/>
      <w:sz w:val="22"/>
      <w:szCs w:val="24"/>
      <w:lang w:eastAsia="en-AU"/>
    </w:rPr>
  </w:style>
  <w:style w:type="character" w:styleId="LineNumber">
    <w:name w:val="line number"/>
    <w:basedOn w:val="OPCCharBase"/>
    <w:uiPriority w:val="99"/>
    <w:semiHidden/>
    <w:unhideWhenUsed/>
    <w:rsid w:val="00D13236"/>
    <w:rPr>
      <w:sz w:val="16"/>
    </w:rPr>
  </w:style>
  <w:style w:type="table" w:customStyle="1" w:styleId="CFlag">
    <w:name w:val="CFlag"/>
    <w:basedOn w:val="TableNormal"/>
    <w:uiPriority w:val="99"/>
    <w:rsid w:val="00D13236"/>
    <w:rPr>
      <w:rFonts w:eastAsia="Times New Roman" w:cs="Times New Roman"/>
      <w:lang w:eastAsia="en-AU"/>
    </w:rPr>
    <w:tblPr/>
  </w:style>
  <w:style w:type="paragraph" w:customStyle="1" w:styleId="NotesHeading1">
    <w:name w:val="NotesHeading 1"/>
    <w:basedOn w:val="OPCParaBase"/>
    <w:next w:val="Normal"/>
    <w:rsid w:val="00D13236"/>
    <w:rPr>
      <w:b/>
      <w:sz w:val="28"/>
      <w:szCs w:val="28"/>
    </w:rPr>
  </w:style>
  <w:style w:type="paragraph" w:customStyle="1" w:styleId="NotesHeading2">
    <w:name w:val="NotesHeading 2"/>
    <w:basedOn w:val="OPCParaBase"/>
    <w:next w:val="Normal"/>
    <w:rsid w:val="00D13236"/>
    <w:rPr>
      <w:b/>
      <w:sz w:val="28"/>
      <w:szCs w:val="28"/>
    </w:rPr>
  </w:style>
  <w:style w:type="paragraph" w:customStyle="1" w:styleId="SignCoverPageEnd">
    <w:name w:val="SignCoverPageEnd"/>
    <w:basedOn w:val="OPCParaBase"/>
    <w:next w:val="Normal"/>
    <w:rsid w:val="00D1323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13236"/>
    <w:pPr>
      <w:pBdr>
        <w:top w:val="single" w:sz="4" w:space="1" w:color="auto"/>
      </w:pBdr>
      <w:spacing w:before="360"/>
      <w:ind w:right="397"/>
      <w:jc w:val="both"/>
    </w:pPr>
  </w:style>
  <w:style w:type="paragraph" w:customStyle="1" w:styleId="Paragraphsub-sub-sub">
    <w:name w:val="Paragraph(sub-sub-sub)"/>
    <w:aliases w:val="aaaa"/>
    <w:basedOn w:val="OPCParaBase"/>
    <w:rsid w:val="00D1323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1323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1323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1323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1323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13236"/>
    <w:pPr>
      <w:spacing w:before="120"/>
    </w:pPr>
  </w:style>
  <w:style w:type="paragraph" w:customStyle="1" w:styleId="TableTextEndNotes">
    <w:name w:val="TableTextEndNotes"/>
    <w:aliases w:val="Tten"/>
    <w:basedOn w:val="Normal"/>
    <w:rsid w:val="00D13236"/>
    <w:pPr>
      <w:spacing w:before="60" w:line="240" w:lineRule="auto"/>
    </w:pPr>
    <w:rPr>
      <w:rFonts w:cs="Arial"/>
      <w:sz w:val="20"/>
      <w:szCs w:val="22"/>
    </w:rPr>
  </w:style>
  <w:style w:type="paragraph" w:customStyle="1" w:styleId="TableHeading">
    <w:name w:val="TableHeading"/>
    <w:aliases w:val="th"/>
    <w:basedOn w:val="OPCParaBase"/>
    <w:next w:val="Tabletext"/>
    <w:rsid w:val="00D13236"/>
    <w:pPr>
      <w:keepNext/>
      <w:spacing w:before="60" w:line="240" w:lineRule="atLeast"/>
    </w:pPr>
    <w:rPr>
      <w:b/>
      <w:sz w:val="20"/>
    </w:rPr>
  </w:style>
  <w:style w:type="paragraph" w:customStyle="1" w:styleId="NoteToSubpara">
    <w:name w:val="NoteToSubpara"/>
    <w:aliases w:val="nts"/>
    <w:basedOn w:val="OPCParaBase"/>
    <w:rsid w:val="00D13236"/>
    <w:pPr>
      <w:spacing w:before="40" w:line="198" w:lineRule="exact"/>
      <w:ind w:left="2835" w:hanging="709"/>
    </w:pPr>
    <w:rPr>
      <w:sz w:val="18"/>
    </w:rPr>
  </w:style>
  <w:style w:type="paragraph" w:customStyle="1" w:styleId="ENoteTableHeading">
    <w:name w:val="ENoteTableHeading"/>
    <w:aliases w:val="enth"/>
    <w:basedOn w:val="OPCParaBase"/>
    <w:rsid w:val="00D13236"/>
    <w:pPr>
      <w:keepNext/>
      <w:spacing w:before="60" w:line="240" w:lineRule="atLeast"/>
    </w:pPr>
    <w:rPr>
      <w:rFonts w:ascii="Arial" w:hAnsi="Arial"/>
      <w:b/>
      <w:sz w:val="16"/>
    </w:rPr>
  </w:style>
  <w:style w:type="paragraph" w:customStyle="1" w:styleId="ENoteTTi">
    <w:name w:val="ENoteTTi"/>
    <w:aliases w:val="entti"/>
    <w:basedOn w:val="OPCParaBase"/>
    <w:rsid w:val="00D13236"/>
    <w:pPr>
      <w:keepNext/>
      <w:spacing w:before="60" w:line="240" w:lineRule="atLeast"/>
      <w:ind w:left="170"/>
    </w:pPr>
    <w:rPr>
      <w:sz w:val="16"/>
    </w:rPr>
  </w:style>
  <w:style w:type="paragraph" w:customStyle="1" w:styleId="ENotesHeading1">
    <w:name w:val="ENotesHeading 1"/>
    <w:aliases w:val="Enh1"/>
    <w:basedOn w:val="OPCParaBase"/>
    <w:next w:val="Normal"/>
    <w:rsid w:val="00D13236"/>
    <w:pPr>
      <w:spacing w:before="120"/>
      <w:outlineLvl w:val="1"/>
    </w:pPr>
    <w:rPr>
      <w:b/>
      <w:sz w:val="28"/>
      <w:szCs w:val="28"/>
    </w:rPr>
  </w:style>
  <w:style w:type="paragraph" w:customStyle="1" w:styleId="ENotesHeading2">
    <w:name w:val="ENotesHeading 2"/>
    <w:aliases w:val="Enh2"/>
    <w:basedOn w:val="OPCParaBase"/>
    <w:next w:val="Normal"/>
    <w:rsid w:val="00D13236"/>
    <w:pPr>
      <w:spacing w:before="120" w:after="120"/>
      <w:outlineLvl w:val="2"/>
    </w:pPr>
    <w:rPr>
      <w:b/>
      <w:sz w:val="24"/>
      <w:szCs w:val="28"/>
    </w:rPr>
  </w:style>
  <w:style w:type="paragraph" w:customStyle="1" w:styleId="ENoteTTIndentHeading">
    <w:name w:val="ENoteTTIndentHeading"/>
    <w:aliases w:val="enTTHi"/>
    <w:basedOn w:val="OPCParaBase"/>
    <w:rsid w:val="00D1323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13236"/>
    <w:pPr>
      <w:spacing w:before="60" w:line="240" w:lineRule="atLeast"/>
    </w:pPr>
    <w:rPr>
      <w:sz w:val="16"/>
    </w:rPr>
  </w:style>
  <w:style w:type="paragraph" w:customStyle="1" w:styleId="MadeunderText">
    <w:name w:val="MadeunderText"/>
    <w:basedOn w:val="OPCParaBase"/>
    <w:next w:val="Normal"/>
    <w:rsid w:val="00D13236"/>
    <w:pPr>
      <w:spacing w:before="240"/>
    </w:pPr>
    <w:rPr>
      <w:sz w:val="24"/>
      <w:szCs w:val="24"/>
    </w:rPr>
  </w:style>
  <w:style w:type="paragraph" w:customStyle="1" w:styleId="ENotesHeading3">
    <w:name w:val="ENotesHeading 3"/>
    <w:aliases w:val="Enh3"/>
    <w:basedOn w:val="OPCParaBase"/>
    <w:next w:val="Normal"/>
    <w:rsid w:val="00D13236"/>
    <w:pPr>
      <w:keepNext/>
      <w:spacing w:before="120" w:line="240" w:lineRule="auto"/>
      <w:outlineLvl w:val="4"/>
    </w:pPr>
    <w:rPr>
      <w:b/>
      <w:szCs w:val="24"/>
    </w:rPr>
  </w:style>
  <w:style w:type="paragraph" w:customStyle="1" w:styleId="SubPartCASA">
    <w:name w:val="SubPart(CASA)"/>
    <w:aliases w:val="csp"/>
    <w:basedOn w:val="OPCParaBase"/>
    <w:next w:val="ActHead3"/>
    <w:rsid w:val="00D1323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13236"/>
  </w:style>
  <w:style w:type="character" w:customStyle="1" w:styleId="CharSubPartNoCASA">
    <w:name w:val="CharSubPartNo(CASA)"/>
    <w:basedOn w:val="OPCCharBase"/>
    <w:uiPriority w:val="1"/>
    <w:rsid w:val="00D13236"/>
  </w:style>
  <w:style w:type="paragraph" w:customStyle="1" w:styleId="ENoteTTIndentHeadingSub">
    <w:name w:val="ENoteTTIndentHeadingSub"/>
    <w:aliases w:val="enTTHis"/>
    <w:basedOn w:val="OPCParaBase"/>
    <w:rsid w:val="00D13236"/>
    <w:pPr>
      <w:keepNext/>
      <w:spacing w:before="60" w:line="240" w:lineRule="atLeast"/>
      <w:ind w:left="340"/>
    </w:pPr>
    <w:rPr>
      <w:b/>
      <w:sz w:val="16"/>
    </w:rPr>
  </w:style>
  <w:style w:type="paragraph" w:customStyle="1" w:styleId="ENoteTTiSub">
    <w:name w:val="ENoteTTiSub"/>
    <w:aliases w:val="enttis"/>
    <w:basedOn w:val="OPCParaBase"/>
    <w:rsid w:val="00D13236"/>
    <w:pPr>
      <w:keepNext/>
      <w:spacing w:before="60" w:line="240" w:lineRule="atLeast"/>
      <w:ind w:left="340"/>
    </w:pPr>
    <w:rPr>
      <w:sz w:val="16"/>
    </w:rPr>
  </w:style>
  <w:style w:type="paragraph" w:customStyle="1" w:styleId="SubDivisionMigration">
    <w:name w:val="SubDivisionMigration"/>
    <w:aliases w:val="sdm"/>
    <w:basedOn w:val="OPCParaBase"/>
    <w:rsid w:val="00D1323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13236"/>
    <w:pPr>
      <w:keepNext/>
      <w:keepLines/>
      <w:spacing w:before="240" w:line="240" w:lineRule="auto"/>
      <w:ind w:left="1134" w:hanging="1134"/>
    </w:pPr>
    <w:rPr>
      <w:b/>
      <w:sz w:val="28"/>
    </w:rPr>
  </w:style>
  <w:style w:type="table" w:styleId="TableGrid">
    <w:name w:val="Table Grid"/>
    <w:basedOn w:val="TableNormal"/>
    <w:uiPriority w:val="59"/>
    <w:rsid w:val="00D13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13236"/>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D1323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13236"/>
    <w:rPr>
      <w:sz w:val="22"/>
    </w:rPr>
  </w:style>
  <w:style w:type="paragraph" w:customStyle="1" w:styleId="SOTextNote">
    <w:name w:val="SO TextNote"/>
    <w:aliases w:val="sont"/>
    <w:basedOn w:val="SOText"/>
    <w:qFormat/>
    <w:rsid w:val="00D13236"/>
    <w:pPr>
      <w:spacing w:before="122" w:line="198" w:lineRule="exact"/>
      <w:ind w:left="1843" w:hanging="709"/>
    </w:pPr>
    <w:rPr>
      <w:sz w:val="18"/>
    </w:rPr>
  </w:style>
  <w:style w:type="paragraph" w:customStyle="1" w:styleId="SOPara">
    <w:name w:val="SO Para"/>
    <w:aliases w:val="soa"/>
    <w:basedOn w:val="SOText"/>
    <w:link w:val="SOParaChar"/>
    <w:qFormat/>
    <w:rsid w:val="00D13236"/>
    <w:pPr>
      <w:tabs>
        <w:tab w:val="right" w:pos="1786"/>
      </w:tabs>
      <w:spacing w:before="40"/>
      <w:ind w:left="2070" w:hanging="936"/>
    </w:pPr>
  </w:style>
  <w:style w:type="character" w:customStyle="1" w:styleId="SOParaChar">
    <w:name w:val="SO Para Char"/>
    <w:aliases w:val="soa Char"/>
    <w:basedOn w:val="DefaultParagraphFont"/>
    <w:link w:val="SOPara"/>
    <w:rsid w:val="00D13236"/>
    <w:rPr>
      <w:sz w:val="22"/>
    </w:rPr>
  </w:style>
  <w:style w:type="paragraph" w:customStyle="1" w:styleId="FileName">
    <w:name w:val="FileName"/>
    <w:basedOn w:val="Normal"/>
    <w:rsid w:val="00D13236"/>
  </w:style>
  <w:style w:type="paragraph" w:customStyle="1" w:styleId="SOHeadBold">
    <w:name w:val="SO HeadBold"/>
    <w:aliases w:val="sohb"/>
    <w:basedOn w:val="SOText"/>
    <w:next w:val="SOText"/>
    <w:link w:val="SOHeadBoldChar"/>
    <w:qFormat/>
    <w:rsid w:val="00D13236"/>
    <w:rPr>
      <w:b/>
    </w:rPr>
  </w:style>
  <w:style w:type="character" w:customStyle="1" w:styleId="SOHeadBoldChar">
    <w:name w:val="SO HeadBold Char"/>
    <w:aliases w:val="sohb Char"/>
    <w:basedOn w:val="DefaultParagraphFont"/>
    <w:link w:val="SOHeadBold"/>
    <w:rsid w:val="00D13236"/>
    <w:rPr>
      <w:b/>
      <w:sz w:val="22"/>
    </w:rPr>
  </w:style>
  <w:style w:type="paragraph" w:customStyle="1" w:styleId="SOHeadItalic">
    <w:name w:val="SO HeadItalic"/>
    <w:aliases w:val="sohi"/>
    <w:basedOn w:val="SOText"/>
    <w:next w:val="SOText"/>
    <w:link w:val="SOHeadItalicChar"/>
    <w:qFormat/>
    <w:rsid w:val="00D13236"/>
    <w:rPr>
      <w:i/>
    </w:rPr>
  </w:style>
  <w:style w:type="character" w:customStyle="1" w:styleId="SOHeadItalicChar">
    <w:name w:val="SO HeadItalic Char"/>
    <w:aliases w:val="sohi Char"/>
    <w:basedOn w:val="DefaultParagraphFont"/>
    <w:link w:val="SOHeadItalic"/>
    <w:rsid w:val="00D13236"/>
    <w:rPr>
      <w:i/>
      <w:sz w:val="22"/>
    </w:rPr>
  </w:style>
  <w:style w:type="paragraph" w:customStyle="1" w:styleId="SOBullet">
    <w:name w:val="SO Bullet"/>
    <w:aliases w:val="sotb"/>
    <w:basedOn w:val="SOText"/>
    <w:link w:val="SOBulletChar"/>
    <w:qFormat/>
    <w:rsid w:val="00D13236"/>
    <w:pPr>
      <w:ind w:left="1559" w:hanging="425"/>
    </w:pPr>
  </w:style>
  <w:style w:type="character" w:customStyle="1" w:styleId="SOBulletChar">
    <w:name w:val="SO Bullet Char"/>
    <w:aliases w:val="sotb Char"/>
    <w:basedOn w:val="DefaultParagraphFont"/>
    <w:link w:val="SOBullet"/>
    <w:rsid w:val="00D13236"/>
    <w:rPr>
      <w:sz w:val="22"/>
    </w:rPr>
  </w:style>
  <w:style w:type="paragraph" w:customStyle="1" w:styleId="SOBulletNote">
    <w:name w:val="SO BulletNote"/>
    <w:aliases w:val="sonb"/>
    <w:basedOn w:val="SOTextNote"/>
    <w:link w:val="SOBulletNoteChar"/>
    <w:qFormat/>
    <w:rsid w:val="00D13236"/>
    <w:pPr>
      <w:tabs>
        <w:tab w:val="left" w:pos="1560"/>
      </w:tabs>
      <w:ind w:left="2268" w:hanging="1134"/>
    </w:pPr>
  </w:style>
  <w:style w:type="character" w:customStyle="1" w:styleId="SOBulletNoteChar">
    <w:name w:val="SO BulletNote Char"/>
    <w:aliases w:val="sonb Char"/>
    <w:basedOn w:val="DefaultParagraphFont"/>
    <w:link w:val="SOBulletNote"/>
    <w:rsid w:val="00D13236"/>
    <w:rPr>
      <w:sz w:val="18"/>
    </w:rPr>
  </w:style>
  <w:style w:type="paragraph" w:customStyle="1" w:styleId="SOText2">
    <w:name w:val="SO Text2"/>
    <w:aliases w:val="sot2"/>
    <w:basedOn w:val="Normal"/>
    <w:next w:val="SOText"/>
    <w:link w:val="SOText2Char"/>
    <w:rsid w:val="00D1323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13236"/>
    <w:rPr>
      <w:sz w:val="22"/>
    </w:rPr>
  </w:style>
  <w:style w:type="paragraph" w:customStyle="1" w:styleId="Transitional">
    <w:name w:val="Transitional"/>
    <w:aliases w:val="tr"/>
    <w:basedOn w:val="ItemHead"/>
    <w:next w:val="Item"/>
    <w:rsid w:val="00D13236"/>
  </w:style>
  <w:style w:type="character" w:customStyle="1" w:styleId="paragraphChar">
    <w:name w:val="paragraph Char"/>
    <w:aliases w:val="a Char"/>
    <w:link w:val="paragraph"/>
    <w:rsid w:val="00AF74A4"/>
    <w:rPr>
      <w:rFonts w:eastAsia="Times New Roman" w:cs="Times New Roman"/>
      <w:sz w:val="22"/>
      <w:lang w:eastAsia="en-AU"/>
    </w:rPr>
  </w:style>
  <w:style w:type="character" w:customStyle="1" w:styleId="subsectionChar">
    <w:name w:val="subsection Char"/>
    <w:aliases w:val="ss Char"/>
    <w:link w:val="subsection"/>
    <w:locked/>
    <w:rsid w:val="00AF74A4"/>
    <w:rPr>
      <w:rFonts w:eastAsia="Times New Roman" w:cs="Times New Roman"/>
      <w:sz w:val="22"/>
      <w:lang w:eastAsia="en-AU"/>
    </w:rPr>
  </w:style>
  <w:style w:type="character" w:customStyle="1" w:styleId="ActHead5Char">
    <w:name w:val="ActHead 5 Char"/>
    <w:aliases w:val="s Char"/>
    <w:link w:val="ActHead5"/>
    <w:rsid w:val="00AF74A4"/>
    <w:rPr>
      <w:rFonts w:eastAsia="Times New Roman" w:cs="Times New Roman"/>
      <w:b/>
      <w:kern w:val="28"/>
      <w:sz w:val="24"/>
      <w:lang w:eastAsia="en-AU"/>
    </w:rPr>
  </w:style>
  <w:style w:type="character" w:customStyle="1" w:styleId="notetextChar">
    <w:name w:val="note(text) Char"/>
    <w:aliases w:val="n Char"/>
    <w:link w:val="notetext"/>
    <w:rsid w:val="00AF74A4"/>
    <w:rPr>
      <w:rFonts w:eastAsia="Times New Roman" w:cs="Times New Roman"/>
      <w:sz w:val="18"/>
      <w:lang w:eastAsia="en-AU"/>
    </w:rPr>
  </w:style>
  <w:style w:type="character" w:customStyle="1" w:styleId="Heading1Char">
    <w:name w:val="Heading 1 Char"/>
    <w:basedOn w:val="DefaultParagraphFont"/>
    <w:link w:val="Heading1"/>
    <w:uiPriority w:val="9"/>
    <w:rsid w:val="00AD14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D14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D141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D141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AD141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D141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D141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D141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D1412"/>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A962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27E"/>
    <w:rPr>
      <w:rFonts w:ascii="Tahoma" w:hAnsi="Tahoma" w:cs="Tahoma"/>
      <w:sz w:val="16"/>
      <w:szCs w:val="16"/>
    </w:rPr>
  </w:style>
  <w:style w:type="character" w:styleId="Hyperlink">
    <w:name w:val="Hyperlink"/>
    <w:basedOn w:val="DefaultParagraphFont"/>
    <w:uiPriority w:val="99"/>
    <w:semiHidden/>
    <w:unhideWhenUsed/>
    <w:rsid w:val="00DD13FF"/>
    <w:rPr>
      <w:color w:val="0000FF" w:themeColor="hyperlink"/>
      <w:u w:val="single"/>
    </w:rPr>
  </w:style>
  <w:style w:type="character" w:styleId="FollowedHyperlink">
    <w:name w:val="FollowedHyperlink"/>
    <w:basedOn w:val="DefaultParagraphFont"/>
    <w:uiPriority w:val="99"/>
    <w:semiHidden/>
    <w:unhideWhenUsed/>
    <w:rsid w:val="00DD13FF"/>
    <w:rPr>
      <w:color w:val="0000FF" w:themeColor="hyperlink"/>
      <w:u w:val="single"/>
    </w:rPr>
  </w:style>
  <w:style w:type="paragraph" w:customStyle="1" w:styleId="ClerkBlock">
    <w:name w:val="ClerkBlock"/>
    <w:basedOn w:val="Normal"/>
    <w:rsid w:val="00DD13FF"/>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C73038"/>
    <w:pPr>
      <w:spacing w:before="800"/>
    </w:pPr>
  </w:style>
  <w:style w:type="character" w:customStyle="1" w:styleId="ShortTP1Char">
    <w:name w:val="ShortTP1 Char"/>
    <w:basedOn w:val="DefaultParagraphFont"/>
    <w:link w:val="ShortTP1"/>
    <w:rsid w:val="00C73038"/>
    <w:rPr>
      <w:rFonts w:eastAsia="Times New Roman" w:cs="Times New Roman"/>
      <w:b/>
      <w:sz w:val="40"/>
      <w:lang w:eastAsia="en-AU"/>
    </w:rPr>
  </w:style>
  <w:style w:type="paragraph" w:customStyle="1" w:styleId="ActNoP1">
    <w:name w:val="ActNoP1"/>
    <w:basedOn w:val="Actno"/>
    <w:link w:val="ActNoP1Char"/>
    <w:rsid w:val="00C73038"/>
    <w:pPr>
      <w:spacing w:before="800"/>
    </w:pPr>
    <w:rPr>
      <w:sz w:val="28"/>
    </w:rPr>
  </w:style>
  <w:style w:type="character" w:customStyle="1" w:styleId="ActNoP1Char">
    <w:name w:val="ActNoP1 Char"/>
    <w:basedOn w:val="DefaultParagraphFont"/>
    <w:link w:val="ActNoP1"/>
    <w:rsid w:val="00C73038"/>
    <w:rPr>
      <w:rFonts w:eastAsia="Times New Roman" w:cs="Times New Roman"/>
      <w:b/>
      <w:sz w:val="28"/>
      <w:lang w:eastAsia="en-AU"/>
    </w:rPr>
  </w:style>
  <w:style w:type="paragraph" w:customStyle="1" w:styleId="AssentBk">
    <w:name w:val="AssentBk"/>
    <w:basedOn w:val="Normal"/>
    <w:rsid w:val="00C73038"/>
    <w:pPr>
      <w:spacing w:line="240" w:lineRule="auto"/>
    </w:pPr>
    <w:rPr>
      <w:rFonts w:eastAsia="Times New Roman" w:cs="Times New Roman"/>
      <w:sz w:val="20"/>
      <w:lang w:eastAsia="en-AU"/>
    </w:rPr>
  </w:style>
  <w:style w:type="paragraph" w:customStyle="1" w:styleId="AssentDt">
    <w:name w:val="AssentDt"/>
    <w:basedOn w:val="Normal"/>
    <w:rsid w:val="000F60F4"/>
    <w:pPr>
      <w:spacing w:line="240" w:lineRule="auto"/>
    </w:pPr>
    <w:rPr>
      <w:rFonts w:eastAsia="Times New Roman" w:cs="Times New Roman"/>
      <w:sz w:val="20"/>
      <w:lang w:eastAsia="en-AU"/>
    </w:rPr>
  </w:style>
  <w:style w:type="paragraph" w:customStyle="1" w:styleId="2ndRd">
    <w:name w:val="2ndRd"/>
    <w:basedOn w:val="Normal"/>
    <w:rsid w:val="000F60F4"/>
    <w:pPr>
      <w:spacing w:line="240" w:lineRule="auto"/>
    </w:pPr>
    <w:rPr>
      <w:rFonts w:eastAsia="Times New Roman" w:cs="Times New Roman"/>
      <w:sz w:val="20"/>
      <w:lang w:eastAsia="en-AU"/>
    </w:rPr>
  </w:style>
  <w:style w:type="paragraph" w:customStyle="1" w:styleId="ScalePlusRef">
    <w:name w:val="ScalePlusRef"/>
    <w:basedOn w:val="Normal"/>
    <w:rsid w:val="000F60F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3236"/>
    <w:pPr>
      <w:spacing w:line="260" w:lineRule="atLeast"/>
    </w:pPr>
    <w:rPr>
      <w:sz w:val="22"/>
    </w:rPr>
  </w:style>
  <w:style w:type="paragraph" w:styleId="Heading1">
    <w:name w:val="heading 1"/>
    <w:basedOn w:val="Normal"/>
    <w:next w:val="Normal"/>
    <w:link w:val="Heading1Char"/>
    <w:uiPriority w:val="9"/>
    <w:qFormat/>
    <w:rsid w:val="00AD1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14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D14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D141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D141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141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D141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141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D141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13236"/>
  </w:style>
  <w:style w:type="paragraph" w:customStyle="1" w:styleId="OPCParaBase">
    <w:name w:val="OPCParaBase"/>
    <w:qFormat/>
    <w:rsid w:val="00D13236"/>
    <w:pPr>
      <w:spacing w:line="260" w:lineRule="atLeast"/>
    </w:pPr>
    <w:rPr>
      <w:rFonts w:eastAsia="Times New Roman" w:cs="Times New Roman"/>
      <w:sz w:val="22"/>
      <w:lang w:eastAsia="en-AU"/>
    </w:rPr>
  </w:style>
  <w:style w:type="paragraph" w:customStyle="1" w:styleId="ShortT">
    <w:name w:val="ShortT"/>
    <w:basedOn w:val="OPCParaBase"/>
    <w:next w:val="Normal"/>
    <w:qFormat/>
    <w:rsid w:val="00D13236"/>
    <w:pPr>
      <w:spacing w:line="240" w:lineRule="auto"/>
    </w:pPr>
    <w:rPr>
      <w:b/>
      <w:sz w:val="40"/>
    </w:rPr>
  </w:style>
  <w:style w:type="paragraph" w:customStyle="1" w:styleId="ActHead1">
    <w:name w:val="ActHead 1"/>
    <w:aliases w:val="c"/>
    <w:basedOn w:val="OPCParaBase"/>
    <w:next w:val="Normal"/>
    <w:qFormat/>
    <w:rsid w:val="00D1323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1323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1323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1323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1323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1323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1323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1323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1323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13236"/>
  </w:style>
  <w:style w:type="paragraph" w:customStyle="1" w:styleId="Blocks">
    <w:name w:val="Blocks"/>
    <w:aliases w:val="bb"/>
    <w:basedOn w:val="OPCParaBase"/>
    <w:qFormat/>
    <w:rsid w:val="00D13236"/>
    <w:pPr>
      <w:spacing w:line="240" w:lineRule="auto"/>
    </w:pPr>
    <w:rPr>
      <w:sz w:val="24"/>
    </w:rPr>
  </w:style>
  <w:style w:type="paragraph" w:customStyle="1" w:styleId="BoxText">
    <w:name w:val="BoxText"/>
    <w:aliases w:val="bt"/>
    <w:basedOn w:val="OPCParaBase"/>
    <w:qFormat/>
    <w:rsid w:val="00D1323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13236"/>
    <w:rPr>
      <w:b/>
    </w:rPr>
  </w:style>
  <w:style w:type="paragraph" w:customStyle="1" w:styleId="BoxHeadItalic">
    <w:name w:val="BoxHeadItalic"/>
    <w:aliases w:val="bhi"/>
    <w:basedOn w:val="BoxText"/>
    <w:next w:val="BoxStep"/>
    <w:qFormat/>
    <w:rsid w:val="00D13236"/>
    <w:rPr>
      <w:i/>
    </w:rPr>
  </w:style>
  <w:style w:type="paragraph" w:customStyle="1" w:styleId="BoxList">
    <w:name w:val="BoxList"/>
    <w:aliases w:val="bl"/>
    <w:basedOn w:val="BoxText"/>
    <w:qFormat/>
    <w:rsid w:val="00D13236"/>
    <w:pPr>
      <w:ind w:left="1559" w:hanging="425"/>
    </w:pPr>
  </w:style>
  <w:style w:type="paragraph" w:customStyle="1" w:styleId="BoxNote">
    <w:name w:val="BoxNote"/>
    <w:aliases w:val="bn"/>
    <w:basedOn w:val="BoxText"/>
    <w:qFormat/>
    <w:rsid w:val="00D13236"/>
    <w:pPr>
      <w:tabs>
        <w:tab w:val="left" w:pos="1985"/>
      </w:tabs>
      <w:spacing w:before="122" w:line="198" w:lineRule="exact"/>
      <w:ind w:left="2948" w:hanging="1814"/>
    </w:pPr>
    <w:rPr>
      <w:sz w:val="18"/>
    </w:rPr>
  </w:style>
  <w:style w:type="paragraph" w:customStyle="1" w:styleId="BoxPara">
    <w:name w:val="BoxPara"/>
    <w:aliases w:val="bp"/>
    <w:basedOn w:val="BoxText"/>
    <w:qFormat/>
    <w:rsid w:val="00D13236"/>
    <w:pPr>
      <w:tabs>
        <w:tab w:val="right" w:pos="2268"/>
      </w:tabs>
      <w:ind w:left="2552" w:hanging="1418"/>
    </w:pPr>
  </w:style>
  <w:style w:type="paragraph" w:customStyle="1" w:styleId="BoxStep">
    <w:name w:val="BoxStep"/>
    <w:aliases w:val="bs"/>
    <w:basedOn w:val="BoxText"/>
    <w:qFormat/>
    <w:rsid w:val="00D13236"/>
    <w:pPr>
      <w:ind w:left="1985" w:hanging="851"/>
    </w:pPr>
  </w:style>
  <w:style w:type="character" w:customStyle="1" w:styleId="CharAmPartNo">
    <w:name w:val="CharAmPartNo"/>
    <w:basedOn w:val="OPCCharBase"/>
    <w:qFormat/>
    <w:rsid w:val="00D13236"/>
  </w:style>
  <w:style w:type="character" w:customStyle="1" w:styleId="CharAmPartText">
    <w:name w:val="CharAmPartText"/>
    <w:basedOn w:val="OPCCharBase"/>
    <w:qFormat/>
    <w:rsid w:val="00D13236"/>
  </w:style>
  <w:style w:type="character" w:customStyle="1" w:styleId="CharAmSchNo">
    <w:name w:val="CharAmSchNo"/>
    <w:basedOn w:val="OPCCharBase"/>
    <w:qFormat/>
    <w:rsid w:val="00D13236"/>
  </w:style>
  <w:style w:type="character" w:customStyle="1" w:styleId="CharAmSchText">
    <w:name w:val="CharAmSchText"/>
    <w:basedOn w:val="OPCCharBase"/>
    <w:qFormat/>
    <w:rsid w:val="00D13236"/>
  </w:style>
  <w:style w:type="character" w:customStyle="1" w:styleId="CharBoldItalic">
    <w:name w:val="CharBoldItalic"/>
    <w:basedOn w:val="OPCCharBase"/>
    <w:uiPriority w:val="1"/>
    <w:qFormat/>
    <w:rsid w:val="00D13236"/>
    <w:rPr>
      <w:b/>
      <w:i/>
    </w:rPr>
  </w:style>
  <w:style w:type="character" w:customStyle="1" w:styleId="CharChapNo">
    <w:name w:val="CharChapNo"/>
    <w:basedOn w:val="OPCCharBase"/>
    <w:uiPriority w:val="1"/>
    <w:qFormat/>
    <w:rsid w:val="00D13236"/>
  </w:style>
  <w:style w:type="character" w:customStyle="1" w:styleId="CharChapText">
    <w:name w:val="CharChapText"/>
    <w:basedOn w:val="OPCCharBase"/>
    <w:uiPriority w:val="1"/>
    <w:qFormat/>
    <w:rsid w:val="00D13236"/>
  </w:style>
  <w:style w:type="character" w:customStyle="1" w:styleId="CharDivNo">
    <w:name w:val="CharDivNo"/>
    <w:basedOn w:val="OPCCharBase"/>
    <w:uiPriority w:val="1"/>
    <w:qFormat/>
    <w:rsid w:val="00D13236"/>
  </w:style>
  <w:style w:type="character" w:customStyle="1" w:styleId="CharDivText">
    <w:name w:val="CharDivText"/>
    <w:basedOn w:val="OPCCharBase"/>
    <w:uiPriority w:val="1"/>
    <w:qFormat/>
    <w:rsid w:val="00D13236"/>
  </w:style>
  <w:style w:type="character" w:customStyle="1" w:styleId="CharItalic">
    <w:name w:val="CharItalic"/>
    <w:basedOn w:val="OPCCharBase"/>
    <w:uiPriority w:val="1"/>
    <w:qFormat/>
    <w:rsid w:val="00D13236"/>
    <w:rPr>
      <w:i/>
    </w:rPr>
  </w:style>
  <w:style w:type="character" w:customStyle="1" w:styleId="CharPartNo">
    <w:name w:val="CharPartNo"/>
    <w:basedOn w:val="OPCCharBase"/>
    <w:uiPriority w:val="1"/>
    <w:qFormat/>
    <w:rsid w:val="00D13236"/>
  </w:style>
  <w:style w:type="character" w:customStyle="1" w:styleId="CharPartText">
    <w:name w:val="CharPartText"/>
    <w:basedOn w:val="OPCCharBase"/>
    <w:uiPriority w:val="1"/>
    <w:qFormat/>
    <w:rsid w:val="00D13236"/>
  </w:style>
  <w:style w:type="character" w:customStyle="1" w:styleId="CharSectno">
    <w:name w:val="CharSectno"/>
    <w:basedOn w:val="OPCCharBase"/>
    <w:qFormat/>
    <w:rsid w:val="00D13236"/>
  </w:style>
  <w:style w:type="character" w:customStyle="1" w:styleId="CharSubdNo">
    <w:name w:val="CharSubdNo"/>
    <w:basedOn w:val="OPCCharBase"/>
    <w:uiPriority w:val="1"/>
    <w:qFormat/>
    <w:rsid w:val="00D13236"/>
  </w:style>
  <w:style w:type="character" w:customStyle="1" w:styleId="CharSubdText">
    <w:name w:val="CharSubdText"/>
    <w:basedOn w:val="OPCCharBase"/>
    <w:uiPriority w:val="1"/>
    <w:qFormat/>
    <w:rsid w:val="00D13236"/>
  </w:style>
  <w:style w:type="paragraph" w:customStyle="1" w:styleId="CTA--">
    <w:name w:val="CTA --"/>
    <w:basedOn w:val="OPCParaBase"/>
    <w:next w:val="Normal"/>
    <w:rsid w:val="00D13236"/>
    <w:pPr>
      <w:spacing w:before="60" w:line="240" w:lineRule="atLeast"/>
      <w:ind w:left="142" w:hanging="142"/>
    </w:pPr>
    <w:rPr>
      <w:sz w:val="20"/>
    </w:rPr>
  </w:style>
  <w:style w:type="paragraph" w:customStyle="1" w:styleId="CTA-">
    <w:name w:val="CTA -"/>
    <w:basedOn w:val="OPCParaBase"/>
    <w:rsid w:val="00D13236"/>
    <w:pPr>
      <w:spacing w:before="60" w:line="240" w:lineRule="atLeast"/>
      <w:ind w:left="85" w:hanging="85"/>
    </w:pPr>
    <w:rPr>
      <w:sz w:val="20"/>
    </w:rPr>
  </w:style>
  <w:style w:type="paragraph" w:customStyle="1" w:styleId="CTA---">
    <w:name w:val="CTA ---"/>
    <w:basedOn w:val="OPCParaBase"/>
    <w:next w:val="Normal"/>
    <w:rsid w:val="00D13236"/>
    <w:pPr>
      <w:spacing w:before="60" w:line="240" w:lineRule="atLeast"/>
      <w:ind w:left="198" w:hanging="198"/>
    </w:pPr>
    <w:rPr>
      <w:sz w:val="20"/>
    </w:rPr>
  </w:style>
  <w:style w:type="paragraph" w:customStyle="1" w:styleId="CTA----">
    <w:name w:val="CTA ----"/>
    <w:basedOn w:val="OPCParaBase"/>
    <w:next w:val="Normal"/>
    <w:rsid w:val="00D13236"/>
    <w:pPr>
      <w:spacing w:before="60" w:line="240" w:lineRule="atLeast"/>
      <w:ind w:left="255" w:hanging="255"/>
    </w:pPr>
    <w:rPr>
      <w:sz w:val="20"/>
    </w:rPr>
  </w:style>
  <w:style w:type="paragraph" w:customStyle="1" w:styleId="CTA1a">
    <w:name w:val="CTA 1(a)"/>
    <w:basedOn w:val="OPCParaBase"/>
    <w:rsid w:val="00D13236"/>
    <w:pPr>
      <w:tabs>
        <w:tab w:val="right" w:pos="414"/>
      </w:tabs>
      <w:spacing w:before="40" w:line="240" w:lineRule="atLeast"/>
      <w:ind w:left="675" w:hanging="675"/>
    </w:pPr>
    <w:rPr>
      <w:sz w:val="20"/>
    </w:rPr>
  </w:style>
  <w:style w:type="paragraph" w:customStyle="1" w:styleId="CTA1ai">
    <w:name w:val="CTA 1(a)(i)"/>
    <w:basedOn w:val="OPCParaBase"/>
    <w:rsid w:val="00D13236"/>
    <w:pPr>
      <w:tabs>
        <w:tab w:val="right" w:pos="1004"/>
      </w:tabs>
      <w:spacing w:before="40" w:line="240" w:lineRule="atLeast"/>
      <w:ind w:left="1253" w:hanging="1253"/>
    </w:pPr>
    <w:rPr>
      <w:sz w:val="20"/>
    </w:rPr>
  </w:style>
  <w:style w:type="paragraph" w:customStyle="1" w:styleId="CTA2a">
    <w:name w:val="CTA 2(a)"/>
    <w:basedOn w:val="OPCParaBase"/>
    <w:rsid w:val="00D13236"/>
    <w:pPr>
      <w:tabs>
        <w:tab w:val="right" w:pos="482"/>
      </w:tabs>
      <w:spacing w:before="40" w:line="240" w:lineRule="atLeast"/>
      <w:ind w:left="748" w:hanging="748"/>
    </w:pPr>
    <w:rPr>
      <w:sz w:val="20"/>
    </w:rPr>
  </w:style>
  <w:style w:type="paragraph" w:customStyle="1" w:styleId="CTA2ai">
    <w:name w:val="CTA 2(a)(i)"/>
    <w:basedOn w:val="OPCParaBase"/>
    <w:rsid w:val="00D13236"/>
    <w:pPr>
      <w:tabs>
        <w:tab w:val="right" w:pos="1089"/>
      </w:tabs>
      <w:spacing w:before="40" w:line="240" w:lineRule="atLeast"/>
      <w:ind w:left="1327" w:hanging="1327"/>
    </w:pPr>
    <w:rPr>
      <w:sz w:val="20"/>
    </w:rPr>
  </w:style>
  <w:style w:type="paragraph" w:customStyle="1" w:styleId="CTA3a">
    <w:name w:val="CTA 3(a)"/>
    <w:basedOn w:val="OPCParaBase"/>
    <w:rsid w:val="00D13236"/>
    <w:pPr>
      <w:tabs>
        <w:tab w:val="right" w:pos="556"/>
      </w:tabs>
      <w:spacing w:before="40" w:line="240" w:lineRule="atLeast"/>
      <w:ind w:left="805" w:hanging="805"/>
    </w:pPr>
    <w:rPr>
      <w:sz w:val="20"/>
    </w:rPr>
  </w:style>
  <w:style w:type="paragraph" w:customStyle="1" w:styleId="CTA3ai">
    <w:name w:val="CTA 3(a)(i)"/>
    <w:basedOn w:val="OPCParaBase"/>
    <w:rsid w:val="00D13236"/>
    <w:pPr>
      <w:tabs>
        <w:tab w:val="right" w:pos="1140"/>
      </w:tabs>
      <w:spacing w:before="40" w:line="240" w:lineRule="atLeast"/>
      <w:ind w:left="1361" w:hanging="1361"/>
    </w:pPr>
    <w:rPr>
      <w:sz w:val="20"/>
    </w:rPr>
  </w:style>
  <w:style w:type="paragraph" w:customStyle="1" w:styleId="CTA4a">
    <w:name w:val="CTA 4(a)"/>
    <w:basedOn w:val="OPCParaBase"/>
    <w:rsid w:val="00D13236"/>
    <w:pPr>
      <w:tabs>
        <w:tab w:val="right" w:pos="624"/>
      </w:tabs>
      <w:spacing w:before="40" w:line="240" w:lineRule="atLeast"/>
      <w:ind w:left="873" w:hanging="873"/>
    </w:pPr>
    <w:rPr>
      <w:sz w:val="20"/>
    </w:rPr>
  </w:style>
  <w:style w:type="paragraph" w:customStyle="1" w:styleId="CTA4ai">
    <w:name w:val="CTA 4(a)(i)"/>
    <w:basedOn w:val="OPCParaBase"/>
    <w:rsid w:val="00D13236"/>
    <w:pPr>
      <w:tabs>
        <w:tab w:val="right" w:pos="1213"/>
      </w:tabs>
      <w:spacing w:before="40" w:line="240" w:lineRule="atLeast"/>
      <w:ind w:left="1452" w:hanging="1452"/>
    </w:pPr>
    <w:rPr>
      <w:sz w:val="20"/>
    </w:rPr>
  </w:style>
  <w:style w:type="paragraph" w:customStyle="1" w:styleId="CTACAPS">
    <w:name w:val="CTA CAPS"/>
    <w:basedOn w:val="OPCParaBase"/>
    <w:rsid w:val="00D13236"/>
    <w:pPr>
      <w:spacing w:before="60" w:line="240" w:lineRule="atLeast"/>
    </w:pPr>
    <w:rPr>
      <w:sz w:val="20"/>
    </w:rPr>
  </w:style>
  <w:style w:type="paragraph" w:customStyle="1" w:styleId="CTAright">
    <w:name w:val="CTA right"/>
    <w:basedOn w:val="OPCParaBase"/>
    <w:rsid w:val="00D13236"/>
    <w:pPr>
      <w:spacing w:before="60" w:line="240" w:lineRule="auto"/>
      <w:jc w:val="right"/>
    </w:pPr>
    <w:rPr>
      <w:sz w:val="20"/>
    </w:rPr>
  </w:style>
  <w:style w:type="paragraph" w:customStyle="1" w:styleId="subsection">
    <w:name w:val="subsection"/>
    <w:aliases w:val="ss"/>
    <w:basedOn w:val="OPCParaBase"/>
    <w:link w:val="subsectionChar"/>
    <w:rsid w:val="00D13236"/>
    <w:pPr>
      <w:tabs>
        <w:tab w:val="right" w:pos="1021"/>
      </w:tabs>
      <w:spacing w:before="180" w:line="240" w:lineRule="auto"/>
      <w:ind w:left="1134" w:hanging="1134"/>
    </w:pPr>
  </w:style>
  <w:style w:type="paragraph" w:customStyle="1" w:styleId="Definition">
    <w:name w:val="Definition"/>
    <w:aliases w:val="dd"/>
    <w:basedOn w:val="OPCParaBase"/>
    <w:rsid w:val="00D13236"/>
    <w:pPr>
      <w:spacing w:before="180" w:line="240" w:lineRule="auto"/>
      <w:ind w:left="1134"/>
    </w:pPr>
  </w:style>
  <w:style w:type="paragraph" w:customStyle="1" w:styleId="ETAsubitem">
    <w:name w:val="ETA(subitem)"/>
    <w:basedOn w:val="OPCParaBase"/>
    <w:rsid w:val="00D13236"/>
    <w:pPr>
      <w:tabs>
        <w:tab w:val="right" w:pos="340"/>
      </w:tabs>
      <w:spacing w:before="60" w:line="240" w:lineRule="auto"/>
      <w:ind w:left="454" w:hanging="454"/>
    </w:pPr>
    <w:rPr>
      <w:sz w:val="20"/>
    </w:rPr>
  </w:style>
  <w:style w:type="paragraph" w:customStyle="1" w:styleId="ETApara">
    <w:name w:val="ETA(para)"/>
    <w:basedOn w:val="OPCParaBase"/>
    <w:rsid w:val="00D13236"/>
    <w:pPr>
      <w:tabs>
        <w:tab w:val="right" w:pos="754"/>
      </w:tabs>
      <w:spacing w:before="60" w:line="240" w:lineRule="auto"/>
      <w:ind w:left="828" w:hanging="828"/>
    </w:pPr>
    <w:rPr>
      <w:sz w:val="20"/>
    </w:rPr>
  </w:style>
  <w:style w:type="paragraph" w:customStyle="1" w:styleId="ETAsubpara">
    <w:name w:val="ETA(subpara)"/>
    <w:basedOn w:val="OPCParaBase"/>
    <w:rsid w:val="00D13236"/>
    <w:pPr>
      <w:tabs>
        <w:tab w:val="right" w:pos="1083"/>
      </w:tabs>
      <w:spacing w:before="60" w:line="240" w:lineRule="auto"/>
      <w:ind w:left="1191" w:hanging="1191"/>
    </w:pPr>
    <w:rPr>
      <w:sz w:val="20"/>
    </w:rPr>
  </w:style>
  <w:style w:type="paragraph" w:customStyle="1" w:styleId="ETAsub-subpara">
    <w:name w:val="ETA(sub-subpara)"/>
    <w:basedOn w:val="OPCParaBase"/>
    <w:rsid w:val="00D13236"/>
    <w:pPr>
      <w:tabs>
        <w:tab w:val="right" w:pos="1412"/>
      </w:tabs>
      <w:spacing w:before="60" w:line="240" w:lineRule="auto"/>
      <w:ind w:left="1525" w:hanging="1525"/>
    </w:pPr>
    <w:rPr>
      <w:sz w:val="20"/>
    </w:rPr>
  </w:style>
  <w:style w:type="paragraph" w:customStyle="1" w:styleId="Formula">
    <w:name w:val="Formula"/>
    <w:basedOn w:val="OPCParaBase"/>
    <w:rsid w:val="00D13236"/>
    <w:pPr>
      <w:spacing w:line="240" w:lineRule="auto"/>
      <w:ind w:left="1134"/>
    </w:pPr>
    <w:rPr>
      <w:sz w:val="20"/>
    </w:rPr>
  </w:style>
  <w:style w:type="paragraph" w:styleId="Header">
    <w:name w:val="header"/>
    <w:basedOn w:val="OPCParaBase"/>
    <w:link w:val="HeaderChar"/>
    <w:unhideWhenUsed/>
    <w:rsid w:val="00D1323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13236"/>
    <w:rPr>
      <w:rFonts w:eastAsia="Times New Roman" w:cs="Times New Roman"/>
      <w:sz w:val="16"/>
      <w:lang w:eastAsia="en-AU"/>
    </w:rPr>
  </w:style>
  <w:style w:type="paragraph" w:customStyle="1" w:styleId="House">
    <w:name w:val="House"/>
    <w:basedOn w:val="OPCParaBase"/>
    <w:rsid w:val="00D13236"/>
    <w:pPr>
      <w:spacing w:line="240" w:lineRule="auto"/>
    </w:pPr>
    <w:rPr>
      <w:sz w:val="28"/>
    </w:rPr>
  </w:style>
  <w:style w:type="paragraph" w:customStyle="1" w:styleId="Item">
    <w:name w:val="Item"/>
    <w:aliases w:val="i"/>
    <w:basedOn w:val="OPCParaBase"/>
    <w:next w:val="ItemHead"/>
    <w:rsid w:val="00D13236"/>
    <w:pPr>
      <w:keepLines/>
      <w:spacing w:before="80" w:line="240" w:lineRule="auto"/>
      <w:ind w:left="709"/>
    </w:pPr>
  </w:style>
  <w:style w:type="paragraph" w:customStyle="1" w:styleId="ItemHead">
    <w:name w:val="ItemHead"/>
    <w:aliases w:val="ih"/>
    <w:basedOn w:val="OPCParaBase"/>
    <w:next w:val="Item"/>
    <w:rsid w:val="00D1323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13236"/>
    <w:pPr>
      <w:spacing w:line="240" w:lineRule="auto"/>
    </w:pPr>
    <w:rPr>
      <w:b/>
      <w:sz w:val="32"/>
    </w:rPr>
  </w:style>
  <w:style w:type="paragraph" w:customStyle="1" w:styleId="notedraft">
    <w:name w:val="note(draft)"/>
    <w:aliases w:val="nd"/>
    <w:basedOn w:val="OPCParaBase"/>
    <w:rsid w:val="00D13236"/>
    <w:pPr>
      <w:spacing w:before="240" w:line="240" w:lineRule="auto"/>
      <w:ind w:left="284" w:hanging="284"/>
    </w:pPr>
    <w:rPr>
      <w:i/>
      <w:sz w:val="24"/>
    </w:rPr>
  </w:style>
  <w:style w:type="paragraph" w:customStyle="1" w:styleId="notemargin">
    <w:name w:val="note(margin)"/>
    <w:aliases w:val="nm"/>
    <w:basedOn w:val="OPCParaBase"/>
    <w:rsid w:val="00D13236"/>
    <w:pPr>
      <w:tabs>
        <w:tab w:val="left" w:pos="709"/>
      </w:tabs>
      <w:spacing w:before="122" w:line="198" w:lineRule="exact"/>
      <w:ind w:left="709" w:hanging="709"/>
    </w:pPr>
    <w:rPr>
      <w:sz w:val="18"/>
    </w:rPr>
  </w:style>
  <w:style w:type="paragraph" w:customStyle="1" w:styleId="noteToPara">
    <w:name w:val="noteToPara"/>
    <w:aliases w:val="ntp"/>
    <w:basedOn w:val="OPCParaBase"/>
    <w:rsid w:val="00D13236"/>
    <w:pPr>
      <w:spacing w:before="122" w:line="198" w:lineRule="exact"/>
      <w:ind w:left="2353" w:hanging="709"/>
    </w:pPr>
    <w:rPr>
      <w:sz w:val="18"/>
    </w:rPr>
  </w:style>
  <w:style w:type="paragraph" w:customStyle="1" w:styleId="noteParlAmend">
    <w:name w:val="note(ParlAmend)"/>
    <w:aliases w:val="npp"/>
    <w:basedOn w:val="OPCParaBase"/>
    <w:next w:val="ParlAmend"/>
    <w:rsid w:val="00D13236"/>
    <w:pPr>
      <w:spacing w:line="240" w:lineRule="auto"/>
      <w:jc w:val="right"/>
    </w:pPr>
    <w:rPr>
      <w:rFonts w:ascii="Arial" w:hAnsi="Arial"/>
      <w:b/>
      <w:i/>
    </w:rPr>
  </w:style>
  <w:style w:type="paragraph" w:customStyle="1" w:styleId="Page1">
    <w:name w:val="Page1"/>
    <w:basedOn w:val="OPCParaBase"/>
    <w:rsid w:val="00D13236"/>
    <w:pPr>
      <w:spacing w:before="5600" w:line="240" w:lineRule="auto"/>
    </w:pPr>
    <w:rPr>
      <w:b/>
      <w:sz w:val="32"/>
    </w:rPr>
  </w:style>
  <w:style w:type="paragraph" w:customStyle="1" w:styleId="PageBreak">
    <w:name w:val="PageBreak"/>
    <w:aliases w:val="pb"/>
    <w:basedOn w:val="OPCParaBase"/>
    <w:rsid w:val="00D13236"/>
    <w:pPr>
      <w:spacing w:line="240" w:lineRule="auto"/>
    </w:pPr>
    <w:rPr>
      <w:sz w:val="20"/>
    </w:rPr>
  </w:style>
  <w:style w:type="paragraph" w:customStyle="1" w:styleId="paragraphsub">
    <w:name w:val="paragraph(sub)"/>
    <w:aliases w:val="aa"/>
    <w:basedOn w:val="OPCParaBase"/>
    <w:rsid w:val="00D13236"/>
    <w:pPr>
      <w:tabs>
        <w:tab w:val="right" w:pos="1985"/>
      </w:tabs>
      <w:spacing w:before="40" w:line="240" w:lineRule="auto"/>
      <w:ind w:left="2098" w:hanging="2098"/>
    </w:pPr>
  </w:style>
  <w:style w:type="paragraph" w:customStyle="1" w:styleId="paragraphsub-sub">
    <w:name w:val="paragraph(sub-sub)"/>
    <w:aliases w:val="aaa"/>
    <w:basedOn w:val="OPCParaBase"/>
    <w:rsid w:val="00D13236"/>
    <w:pPr>
      <w:tabs>
        <w:tab w:val="right" w:pos="2722"/>
      </w:tabs>
      <w:spacing w:before="40" w:line="240" w:lineRule="auto"/>
      <w:ind w:left="2835" w:hanging="2835"/>
    </w:pPr>
  </w:style>
  <w:style w:type="paragraph" w:customStyle="1" w:styleId="paragraph">
    <w:name w:val="paragraph"/>
    <w:aliases w:val="a"/>
    <w:basedOn w:val="OPCParaBase"/>
    <w:link w:val="paragraphChar"/>
    <w:rsid w:val="00D13236"/>
    <w:pPr>
      <w:tabs>
        <w:tab w:val="right" w:pos="1531"/>
      </w:tabs>
      <w:spacing w:before="40" w:line="240" w:lineRule="auto"/>
      <w:ind w:left="1644" w:hanging="1644"/>
    </w:pPr>
  </w:style>
  <w:style w:type="paragraph" w:customStyle="1" w:styleId="ParlAmend">
    <w:name w:val="ParlAmend"/>
    <w:aliases w:val="pp"/>
    <w:basedOn w:val="OPCParaBase"/>
    <w:rsid w:val="00D13236"/>
    <w:pPr>
      <w:spacing w:before="240" w:line="240" w:lineRule="atLeast"/>
      <w:ind w:hanging="567"/>
    </w:pPr>
    <w:rPr>
      <w:sz w:val="24"/>
    </w:rPr>
  </w:style>
  <w:style w:type="paragraph" w:customStyle="1" w:styleId="Penalty">
    <w:name w:val="Penalty"/>
    <w:basedOn w:val="OPCParaBase"/>
    <w:rsid w:val="00D13236"/>
    <w:pPr>
      <w:tabs>
        <w:tab w:val="left" w:pos="2977"/>
      </w:tabs>
      <w:spacing w:before="180" w:line="240" w:lineRule="auto"/>
      <w:ind w:left="1985" w:hanging="851"/>
    </w:pPr>
  </w:style>
  <w:style w:type="paragraph" w:customStyle="1" w:styleId="Portfolio">
    <w:name w:val="Portfolio"/>
    <w:basedOn w:val="OPCParaBase"/>
    <w:rsid w:val="00D13236"/>
    <w:pPr>
      <w:spacing w:line="240" w:lineRule="auto"/>
    </w:pPr>
    <w:rPr>
      <w:i/>
      <w:sz w:val="20"/>
    </w:rPr>
  </w:style>
  <w:style w:type="paragraph" w:customStyle="1" w:styleId="Preamble">
    <w:name w:val="Preamble"/>
    <w:basedOn w:val="OPCParaBase"/>
    <w:next w:val="Normal"/>
    <w:rsid w:val="00D1323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13236"/>
    <w:pPr>
      <w:spacing w:line="240" w:lineRule="auto"/>
    </w:pPr>
    <w:rPr>
      <w:i/>
      <w:sz w:val="20"/>
    </w:rPr>
  </w:style>
  <w:style w:type="paragraph" w:customStyle="1" w:styleId="Session">
    <w:name w:val="Session"/>
    <w:basedOn w:val="OPCParaBase"/>
    <w:rsid w:val="00D13236"/>
    <w:pPr>
      <w:spacing w:line="240" w:lineRule="auto"/>
    </w:pPr>
    <w:rPr>
      <w:sz w:val="28"/>
    </w:rPr>
  </w:style>
  <w:style w:type="paragraph" w:customStyle="1" w:styleId="Sponsor">
    <w:name w:val="Sponsor"/>
    <w:basedOn w:val="OPCParaBase"/>
    <w:rsid w:val="00D13236"/>
    <w:pPr>
      <w:spacing w:line="240" w:lineRule="auto"/>
    </w:pPr>
    <w:rPr>
      <w:i/>
    </w:rPr>
  </w:style>
  <w:style w:type="paragraph" w:customStyle="1" w:styleId="Subitem">
    <w:name w:val="Subitem"/>
    <w:aliases w:val="iss"/>
    <w:basedOn w:val="OPCParaBase"/>
    <w:rsid w:val="00D13236"/>
    <w:pPr>
      <w:spacing w:before="180" w:line="240" w:lineRule="auto"/>
      <w:ind w:left="709" w:hanging="709"/>
    </w:pPr>
  </w:style>
  <w:style w:type="paragraph" w:customStyle="1" w:styleId="SubitemHead">
    <w:name w:val="SubitemHead"/>
    <w:aliases w:val="issh"/>
    <w:basedOn w:val="OPCParaBase"/>
    <w:rsid w:val="00D1323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13236"/>
    <w:pPr>
      <w:spacing w:before="40" w:line="240" w:lineRule="auto"/>
      <w:ind w:left="1134"/>
    </w:pPr>
  </w:style>
  <w:style w:type="paragraph" w:customStyle="1" w:styleId="SubsectionHead">
    <w:name w:val="SubsectionHead"/>
    <w:aliases w:val="ssh"/>
    <w:basedOn w:val="OPCParaBase"/>
    <w:next w:val="subsection"/>
    <w:rsid w:val="00D13236"/>
    <w:pPr>
      <w:keepNext/>
      <w:keepLines/>
      <w:spacing w:before="240" w:line="240" w:lineRule="auto"/>
      <w:ind w:left="1134"/>
    </w:pPr>
    <w:rPr>
      <w:i/>
    </w:rPr>
  </w:style>
  <w:style w:type="paragraph" w:customStyle="1" w:styleId="Tablea">
    <w:name w:val="Table(a)"/>
    <w:aliases w:val="ta"/>
    <w:basedOn w:val="OPCParaBase"/>
    <w:rsid w:val="00D13236"/>
    <w:pPr>
      <w:spacing w:before="60" w:line="240" w:lineRule="auto"/>
      <w:ind w:left="284" w:hanging="284"/>
    </w:pPr>
    <w:rPr>
      <w:sz w:val="20"/>
    </w:rPr>
  </w:style>
  <w:style w:type="paragraph" w:customStyle="1" w:styleId="TableAA">
    <w:name w:val="Table(AA)"/>
    <w:aliases w:val="taaa"/>
    <w:basedOn w:val="OPCParaBase"/>
    <w:rsid w:val="00D1323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1323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13236"/>
    <w:pPr>
      <w:spacing w:before="60" w:line="240" w:lineRule="atLeast"/>
    </w:pPr>
    <w:rPr>
      <w:sz w:val="20"/>
    </w:rPr>
  </w:style>
  <w:style w:type="paragraph" w:customStyle="1" w:styleId="TLPBoxTextnote">
    <w:name w:val="TLPBoxText(note"/>
    <w:aliases w:val="right)"/>
    <w:basedOn w:val="OPCParaBase"/>
    <w:rsid w:val="00D1323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1323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13236"/>
    <w:pPr>
      <w:spacing w:before="122" w:line="198" w:lineRule="exact"/>
      <w:ind w:left="1985" w:hanging="851"/>
      <w:jc w:val="right"/>
    </w:pPr>
    <w:rPr>
      <w:sz w:val="18"/>
    </w:rPr>
  </w:style>
  <w:style w:type="paragraph" w:customStyle="1" w:styleId="TLPTableBullet">
    <w:name w:val="TLPTableBullet"/>
    <w:aliases w:val="ttb"/>
    <w:basedOn w:val="OPCParaBase"/>
    <w:rsid w:val="00D13236"/>
    <w:pPr>
      <w:spacing w:line="240" w:lineRule="exact"/>
      <w:ind w:left="284" w:hanging="284"/>
    </w:pPr>
    <w:rPr>
      <w:sz w:val="20"/>
    </w:rPr>
  </w:style>
  <w:style w:type="paragraph" w:styleId="TOC1">
    <w:name w:val="toc 1"/>
    <w:basedOn w:val="OPCParaBase"/>
    <w:next w:val="Normal"/>
    <w:uiPriority w:val="39"/>
    <w:semiHidden/>
    <w:unhideWhenUsed/>
    <w:rsid w:val="00D1323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1323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1323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1323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1323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1323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1323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1323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1323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13236"/>
    <w:pPr>
      <w:keepLines/>
      <w:spacing w:before="240" w:after="120" w:line="240" w:lineRule="auto"/>
      <w:ind w:left="794"/>
    </w:pPr>
    <w:rPr>
      <w:b/>
      <w:kern w:val="28"/>
      <w:sz w:val="20"/>
    </w:rPr>
  </w:style>
  <w:style w:type="paragraph" w:customStyle="1" w:styleId="TofSectsHeading">
    <w:name w:val="TofSects(Heading)"/>
    <w:basedOn w:val="OPCParaBase"/>
    <w:rsid w:val="00D13236"/>
    <w:pPr>
      <w:spacing w:before="240" w:after="120" w:line="240" w:lineRule="auto"/>
    </w:pPr>
    <w:rPr>
      <w:b/>
      <w:sz w:val="24"/>
    </w:rPr>
  </w:style>
  <w:style w:type="paragraph" w:customStyle="1" w:styleId="TofSectsSection">
    <w:name w:val="TofSects(Section)"/>
    <w:basedOn w:val="OPCParaBase"/>
    <w:rsid w:val="00D13236"/>
    <w:pPr>
      <w:keepLines/>
      <w:spacing w:before="40" w:line="240" w:lineRule="auto"/>
      <w:ind w:left="1588" w:hanging="794"/>
    </w:pPr>
    <w:rPr>
      <w:kern w:val="28"/>
      <w:sz w:val="18"/>
    </w:rPr>
  </w:style>
  <w:style w:type="paragraph" w:customStyle="1" w:styleId="TofSectsSubdiv">
    <w:name w:val="TofSects(Subdiv)"/>
    <w:basedOn w:val="OPCParaBase"/>
    <w:rsid w:val="00D13236"/>
    <w:pPr>
      <w:keepLines/>
      <w:spacing w:before="80" w:line="240" w:lineRule="auto"/>
      <w:ind w:left="1588" w:hanging="794"/>
    </w:pPr>
    <w:rPr>
      <w:kern w:val="28"/>
    </w:rPr>
  </w:style>
  <w:style w:type="paragraph" w:customStyle="1" w:styleId="WRStyle">
    <w:name w:val="WR Style"/>
    <w:aliases w:val="WR"/>
    <w:basedOn w:val="OPCParaBase"/>
    <w:rsid w:val="00D13236"/>
    <w:pPr>
      <w:spacing w:before="240" w:line="240" w:lineRule="auto"/>
      <w:ind w:left="284" w:hanging="284"/>
    </w:pPr>
    <w:rPr>
      <w:b/>
      <w:i/>
      <w:kern w:val="28"/>
      <w:sz w:val="24"/>
    </w:rPr>
  </w:style>
  <w:style w:type="paragraph" w:customStyle="1" w:styleId="notepara">
    <w:name w:val="note(para)"/>
    <w:aliases w:val="na"/>
    <w:basedOn w:val="OPCParaBase"/>
    <w:rsid w:val="00D13236"/>
    <w:pPr>
      <w:spacing w:before="40" w:line="198" w:lineRule="exact"/>
      <w:ind w:left="2354" w:hanging="369"/>
    </w:pPr>
    <w:rPr>
      <w:sz w:val="18"/>
    </w:rPr>
  </w:style>
  <w:style w:type="paragraph" w:styleId="Footer">
    <w:name w:val="footer"/>
    <w:link w:val="FooterChar"/>
    <w:rsid w:val="00D1323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13236"/>
    <w:rPr>
      <w:rFonts w:eastAsia="Times New Roman" w:cs="Times New Roman"/>
      <w:sz w:val="22"/>
      <w:szCs w:val="24"/>
      <w:lang w:eastAsia="en-AU"/>
    </w:rPr>
  </w:style>
  <w:style w:type="character" w:styleId="LineNumber">
    <w:name w:val="line number"/>
    <w:basedOn w:val="OPCCharBase"/>
    <w:uiPriority w:val="99"/>
    <w:semiHidden/>
    <w:unhideWhenUsed/>
    <w:rsid w:val="00D13236"/>
    <w:rPr>
      <w:sz w:val="16"/>
    </w:rPr>
  </w:style>
  <w:style w:type="table" w:customStyle="1" w:styleId="CFlag">
    <w:name w:val="CFlag"/>
    <w:basedOn w:val="TableNormal"/>
    <w:uiPriority w:val="99"/>
    <w:rsid w:val="00D13236"/>
    <w:rPr>
      <w:rFonts w:eastAsia="Times New Roman" w:cs="Times New Roman"/>
      <w:lang w:eastAsia="en-AU"/>
    </w:rPr>
    <w:tblPr/>
  </w:style>
  <w:style w:type="paragraph" w:customStyle="1" w:styleId="NotesHeading1">
    <w:name w:val="NotesHeading 1"/>
    <w:basedOn w:val="OPCParaBase"/>
    <w:next w:val="Normal"/>
    <w:rsid w:val="00D13236"/>
    <w:rPr>
      <w:b/>
      <w:sz w:val="28"/>
      <w:szCs w:val="28"/>
    </w:rPr>
  </w:style>
  <w:style w:type="paragraph" w:customStyle="1" w:styleId="NotesHeading2">
    <w:name w:val="NotesHeading 2"/>
    <w:basedOn w:val="OPCParaBase"/>
    <w:next w:val="Normal"/>
    <w:rsid w:val="00D13236"/>
    <w:rPr>
      <w:b/>
      <w:sz w:val="28"/>
      <w:szCs w:val="28"/>
    </w:rPr>
  </w:style>
  <w:style w:type="paragraph" w:customStyle="1" w:styleId="SignCoverPageEnd">
    <w:name w:val="SignCoverPageEnd"/>
    <w:basedOn w:val="OPCParaBase"/>
    <w:next w:val="Normal"/>
    <w:rsid w:val="00D1323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13236"/>
    <w:pPr>
      <w:pBdr>
        <w:top w:val="single" w:sz="4" w:space="1" w:color="auto"/>
      </w:pBdr>
      <w:spacing w:before="360"/>
      <w:ind w:right="397"/>
      <w:jc w:val="both"/>
    </w:pPr>
  </w:style>
  <w:style w:type="paragraph" w:customStyle="1" w:styleId="Paragraphsub-sub-sub">
    <w:name w:val="Paragraph(sub-sub-sub)"/>
    <w:aliases w:val="aaaa"/>
    <w:basedOn w:val="OPCParaBase"/>
    <w:rsid w:val="00D1323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1323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1323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1323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1323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13236"/>
    <w:pPr>
      <w:spacing w:before="120"/>
    </w:pPr>
  </w:style>
  <w:style w:type="paragraph" w:customStyle="1" w:styleId="TableTextEndNotes">
    <w:name w:val="TableTextEndNotes"/>
    <w:aliases w:val="Tten"/>
    <w:basedOn w:val="Normal"/>
    <w:rsid w:val="00D13236"/>
    <w:pPr>
      <w:spacing w:before="60" w:line="240" w:lineRule="auto"/>
    </w:pPr>
    <w:rPr>
      <w:rFonts w:cs="Arial"/>
      <w:sz w:val="20"/>
      <w:szCs w:val="22"/>
    </w:rPr>
  </w:style>
  <w:style w:type="paragraph" w:customStyle="1" w:styleId="TableHeading">
    <w:name w:val="TableHeading"/>
    <w:aliases w:val="th"/>
    <w:basedOn w:val="OPCParaBase"/>
    <w:next w:val="Tabletext"/>
    <w:rsid w:val="00D13236"/>
    <w:pPr>
      <w:keepNext/>
      <w:spacing w:before="60" w:line="240" w:lineRule="atLeast"/>
    </w:pPr>
    <w:rPr>
      <w:b/>
      <w:sz w:val="20"/>
    </w:rPr>
  </w:style>
  <w:style w:type="paragraph" w:customStyle="1" w:styleId="NoteToSubpara">
    <w:name w:val="NoteToSubpara"/>
    <w:aliases w:val="nts"/>
    <w:basedOn w:val="OPCParaBase"/>
    <w:rsid w:val="00D13236"/>
    <w:pPr>
      <w:spacing w:before="40" w:line="198" w:lineRule="exact"/>
      <w:ind w:left="2835" w:hanging="709"/>
    </w:pPr>
    <w:rPr>
      <w:sz w:val="18"/>
    </w:rPr>
  </w:style>
  <w:style w:type="paragraph" w:customStyle="1" w:styleId="ENoteTableHeading">
    <w:name w:val="ENoteTableHeading"/>
    <w:aliases w:val="enth"/>
    <w:basedOn w:val="OPCParaBase"/>
    <w:rsid w:val="00D13236"/>
    <w:pPr>
      <w:keepNext/>
      <w:spacing w:before="60" w:line="240" w:lineRule="atLeast"/>
    </w:pPr>
    <w:rPr>
      <w:rFonts w:ascii="Arial" w:hAnsi="Arial"/>
      <w:b/>
      <w:sz w:val="16"/>
    </w:rPr>
  </w:style>
  <w:style w:type="paragraph" w:customStyle="1" w:styleId="ENoteTTi">
    <w:name w:val="ENoteTTi"/>
    <w:aliases w:val="entti"/>
    <w:basedOn w:val="OPCParaBase"/>
    <w:rsid w:val="00D13236"/>
    <w:pPr>
      <w:keepNext/>
      <w:spacing w:before="60" w:line="240" w:lineRule="atLeast"/>
      <w:ind w:left="170"/>
    </w:pPr>
    <w:rPr>
      <w:sz w:val="16"/>
    </w:rPr>
  </w:style>
  <w:style w:type="paragraph" w:customStyle="1" w:styleId="ENotesHeading1">
    <w:name w:val="ENotesHeading 1"/>
    <w:aliases w:val="Enh1"/>
    <w:basedOn w:val="OPCParaBase"/>
    <w:next w:val="Normal"/>
    <w:rsid w:val="00D13236"/>
    <w:pPr>
      <w:spacing w:before="120"/>
      <w:outlineLvl w:val="1"/>
    </w:pPr>
    <w:rPr>
      <w:b/>
      <w:sz w:val="28"/>
      <w:szCs w:val="28"/>
    </w:rPr>
  </w:style>
  <w:style w:type="paragraph" w:customStyle="1" w:styleId="ENotesHeading2">
    <w:name w:val="ENotesHeading 2"/>
    <w:aliases w:val="Enh2"/>
    <w:basedOn w:val="OPCParaBase"/>
    <w:next w:val="Normal"/>
    <w:rsid w:val="00D13236"/>
    <w:pPr>
      <w:spacing w:before="120" w:after="120"/>
      <w:outlineLvl w:val="2"/>
    </w:pPr>
    <w:rPr>
      <w:b/>
      <w:sz w:val="24"/>
      <w:szCs w:val="28"/>
    </w:rPr>
  </w:style>
  <w:style w:type="paragraph" w:customStyle="1" w:styleId="ENoteTTIndentHeading">
    <w:name w:val="ENoteTTIndentHeading"/>
    <w:aliases w:val="enTTHi"/>
    <w:basedOn w:val="OPCParaBase"/>
    <w:rsid w:val="00D1323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13236"/>
    <w:pPr>
      <w:spacing w:before="60" w:line="240" w:lineRule="atLeast"/>
    </w:pPr>
    <w:rPr>
      <w:sz w:val="16"/>
    </w:rPr>
  </w:style>
  <w:style w:type="paragraph" w:customStyle="1" w:styleId="MadeunderText">
    <w:name w:val="MadeunderText"/>
    <w:basedOn w:val="OPCParaBase"/>
    <w:next w:val="Normal"/>
    <w:rsid w:val="00D13236"/>
    <w:pPr>
      <w:spacing w:before="240"/>
    </w:pPr>
    <w:rPr>
      <w:sz w:val="24"/>
      <w:szCs w:val="24"/>
    </w:rPr>
  </w:style>
  <w:style w:type="paragraph" w:customStyle="1" w:styleId="ENotesHeading3">
    <w:name w:val="ENotesHeading 3"/>
    <w:aliases w:val="Enh3"/>
    <w:basedOn w:val="OPCParaBase"/>
    <w:next w:val="Normal"/>
    <w:rsid w:val="00D13236"/>
    <w:pPr>
      <w:keepNext/>
      <w:spacing w:before="120" w:line="240" w:lineRule="auto"/>
      <w:outlineLvl w:val="4"/>
    </w:pPr>
    <w:rPr>
      <w:b/>
      <w:szCs w:val="24"/>
    </w:rPr>
  </w:style>
  <w:style w:type="paragraph" w:customStyle="1" w:styleId="SubPartCASA">
    <w:name w:val="SubPart(CASA)"/>
    <w:aliases w:val="csp"/>
    <w:basedOn w:val="OPCParaBase"/>
    <w:next w:val="ActHead3"/>
    <w:rsid w:val="00D1323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13236"/>
  </w:style>
  <w:style w:type="character" w:customStyle="1" w:styleId="CharSubPartNoCASA">
    <w:name w:val="CharSubPartNo(CASA)"/>
    <w:basedOn w:val="OPCCharBase"/>
    <w:uiPriority w:val="1"/>
    <w:rsid w:val="00D13236"/>
  </w:style>
  <w:style w:type="paragraph" w:customStyle="1" w:styleId="ENoteTTIndentHeadingSub">
    <w:name w:val="ENoteTTIndentHeadingSub"/>
    <w:aliases w:val="enTTHis"/>
    <w:basedOn w:val="OPCParaBase"/>
    <w:rsid w:val="00D13236"/>
    <w:pPr>
      <w:keepNext/>
      <w:spacing w:before="60" w:line="240" w:lineRule="atLeast"/>
      <w:ind w:left="340"/>
    </w:pPr>
    <w:rPr>
      <w:b/>
      <w:sz w:val="16"/>
    </w:rPr>
  </w:style>
  <w:style w:type="paragraph" w:customStyle="1" w:styleId="ENoteTTiSub">
    <w:name w:val="ENoteTTiSub"/>
    <w:aliases w:val="enttis"/>
    <w:basedOn w:val="OPCParaBase"/>
    <w:rsid w:val="00D13236"/>
    <w:pPr>
      <w:keepNext/>
      <w:spacing w:before="60" w:line="240" w:lineRule="atLeast"/>
      <w:ind w:left="340"/>
    </w:pPr>
    <w:rPr>
      <w:sz w:val="16"/>
    </w:rPr>
  </w:style>
  <w:style w:type="paragraph" w:customStyle="1" w:styleId="SubDivisionMigration">
    <w:name w:val="SubDivisionMigration"/>
    <w:aliases w:val="sdm"/>
    <w:basedOn w:val="OPCParaBase"/>
    <w:rsid w:val="00D1323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13236"/>
    <w:pPr>
      <w:keepNext/>
      <w:keepLines/>
      <w:spacing w:before="240" w:line="240" w:lineRule="auto"/>
      <w:ind w:left="1134" w:hanging="1134"/>
    </w:pPr>
    <w:rPr>
      <w:b/>
      <w:sz w:val="28"/>
    </w:rPr>
  </w:style>
  <w:style w:type="table" w:styleId="TableGrid">
    <w:name w:val="Table Grid"/>
    <w:basedOn w:val="TableNormal"/>
    <w:uiPriority w:val="59"/>
    <w:rsid w:val="00D13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13236"/>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D1323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13236"/>
    <w:rPr>
      <w:sz w:val="22"/>
    </w:rPr>
  </w:style>
  <w:style w:type="paragraph" w:customStyle="1" w:styleId="SOTextNote">
    <w:name w:val="SO TextNote"/>
    <w:aliases w:val="sont"/>
    <w:basedOn w:val="SOText"/>
    <w:qFormat/>
    <w:rsid w:val="00D13236"/>
    <w:pPr>
      <w:spacing w:before="122" w:line="198" w:lineRule="exact"/>
      <w:ind w:left="1843" w:hanging="709"/>
    </w:pPr>
    <w:rPr>
      <w:sz w:val="18"/>
    </w:rPr>
  </w:style>
  <w:style w:type="paragraph" w:customStyle="1" w:styleId="SOPara">
    <w:name w:val="SO Para"/>
    <w:aliases w:val="soa"/>
    <w:basedOn w:val="SOText"/>
    <w:link w:val="SOParaChar"/>
    <w:qFormat/>
    <w:rsid w:val="00D13236"/>
    <w:pPr>
      <w:tabs>
        <w:tab w:val="right" w:pos="1786"/>
      </w:tabs>
      <w:spacing w:before="40"/>
      <w:ind w:left="2070" w:hanging="936"/>
    </w:pPr>
  </w:style>
  <w:style w:type="character" w:customStyle="1" w:styleId="SOParaChar">
    <w:name w:val="SO Para Char"/>
    <w:aliases w:val="soa Char"/>
    <w:basedOn w:val="DefaultParagraphFont"/>
    <w:link w:val="SOPara"/>
    <w:rsid w:val="00D13236"/>
    <w:rPr>
      <w:sz w:val="22"/>
    </w:rPr>
  </w:style>
  <w:style w:type="paragraph" w:customStyle="1" w:styleId="FileName">
    <w:name w:val="FileName"/>
    <w:basedOn w:val="Normal"/>
    <w:rsid w:val="00D13236"/>
  </w:style>
  <w:style w:type="paragraph" w:customStyle="1" w:styleId="SOHeadBold">
    <w:name w:val="SO HeadBold"/>
    <w:aliases w:val="sohb"/>
    <w:basedOn w:val="SOText"/>
    <w:next w:val="SOText"/>
    <w:link w:val="SOHeadBoldChar"/>
    <w:qFormat/>
    <w:rsid w:val="00D13236"/>
    <w:rPr>
      <w:b/>
    </w:rPr>
  </w:style>
  <w:style w:type="character" w:customStyle="1" w:styleId="SOHeadBoldChar">
    <w:name w:val="SO HeadBold Char"/>
    <w:aliases w:val="sohb Char"/>
    <w:basedOn w:val="DefaultParagraphFont"/>
    <w:link w:val="SOHeadBold"/>
    <w:rsid w:val="00D13236"/>
    <w:rPr>
      <w:b/>
      <w:sz w:val="22"/>
    </w:rPr>
  </w:style>
  <w:style w:type="paragraph" w:customStyle="1" w:styleId="SOHeadItalic">
    <w:name w:val="SO HeadItalic"/>
    <w:aliases w:val="sohi"/>
    <w:basedOn w:val="SOText"/>
    <w:next w:val="SOText"/>
    <w:link w:val="SOHeadItalicChar"/>
    <w:qFormat/>
    <w:rsid w:val="00D13236"/>
    <w:rPr>
      <w:i/>
    </w:rPr>
  </w:style>
  <w:style w:type="character" w:customStyle="1" w:styleId="SOHeadItalicChar">
    <w:name w:val="SO HeadItalic Char"/>
    <w:aliases w:val="sohi Char"/>
    <w:basedOn w:val="DefaultParagraphFont"/>
    <w:link w:val="SOHeadItalic"/>
    <w:rsid w:val="00D13236"/>
    <w:rPr>
      <w:i/>
      <w:sz w:val="22"/>
    </w:rPr>
  </w:style>
  <w:style w:type="paragraph" w:customStyle="1" w:styleId="SOBullet">
    <w:name w:val="SO Bullet"/>
    <w:aliases w:val="sotb"/>
    <w:basedOn w:val="SOText"/>
    <w:link w:val="SOBulletChar"/>
    <w:qFormat/>
    <w:rsid w:val="00D13236"/>
    <w:pPr>
      <w:ind w:left="1559" w:hanging="425"/>
    </w:pPr>
  </w:style>
  <w:style w:type="character" w:customStyle="1" w:styleId="SOBulletChar">
    <w:name w:val="SO Bullet Char"/>
    <w:aliases w:val="sotb Char"/>
    <w:basedOn w:val="DefaultParagraphFont"/>
    <w:link w:val="SOBullet"/>
    <w:rsid w:val="00D13236"/>
    <w:rPr>
      <w:sz w:val="22"/>
    </w:rPr>
  </w:style>
  <w:style w:type="paragraph" w:customStyle="1" w:styleId="SOBulletNote">
    <w:name w:val="SO BulletNote"/>
    <w:aliases w:val="sonb"/>
    <w:basedOn w:val="SOTextNote"/>
    <w:link w:val="SOBulletNoteChar"/>
    <w:qFormat/>
    <w:rsid w:val="00D13236"/>
    <w:pPr>
      <w:tabs>
        <w:tab w:val="left" w:pos="1560"/>
      </w:tabs>
      <w:ind w:left="2268" w:hanging="1134"/>
    </w:pPr>
  </w:style>
  <w:style w:type="character" w:customStyle="1" w:styleId="SOBulletNoteChar">
    <w:name w:val="SO BulletNote Char"/>
    <w:aliases w:val="sonb Char"/>
    <w:basedOn w:val="DefaultParagraphFont"/>
    <w:link w:val="SOBulletNote"/>
    <w:rsid w:val="00D13236"/>
    <w:rPr>
      <w:sz w:val="18"/>
    </w:rPr>
  </w:style>
  <w:style w:type="paragraph" w:customStyle="1" w:styleId="SOText2">
    <w:name w:val="SO Text2"/>
    <w:aliases w:val="sot2"/>
    <w:basedOn w:val="Normal"/>
    <w:next w:val="SOText"/>
    <w:link w:val="SOText2Char"/>
    <w:rsid w:val="00D1323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13236"/>
    <w:rPr>
      <w:sz w:val="22"/>
    </w:rPr>
  </w:style>
  <w:style w:type="paragraph" w:customStyle="1" w:styleId="Transitional">
    <w:name w:val="Transitional"/>
    <w:aliases w:val="tr"/>
    <w:basedOn w:val="ItemHead"/>
    <w:next w:val="Item"/>
    <w:rsid w:val="00D13236"/>
  </w:style>
  <w:style w:type="character" w:customStyle="1" w:styleId="paragraphChar">
    <w:name w:val="paragraph Char"/>
    <w:aliases w:val="a Char"/>
    <w:link w:val="paragraph"/>
    <w:rsid w:val="00AF74A4"/>
    <w:rPr>
      <w:rFonts w:eastAsia="Times New Roman" w:cs="Times New Roman"/>
      <w:sz w:val="22"/>
      <w:lang w:eastAsia="en-AU"/>
    </w:rPr>
  </w:style>
  <w:style w:type="character" w:customStyle="1" w:styleId="subsectionChar">
    <w:name w:val="subsection Char"/>
    <w:aliases w:val="ss Char"/>
    <w:link w:val="subsection"/>
    <w:locked/>
    <w:rsid w:val="00AF74A4"/>
    <w:rPr>
      <w:rFonts w:eastAsia="Times New Roman" w:cs="Times New Roman"/>
      <w:sz w:val="22"/>
      <w:lang w:eastAsia="en-AU"/>
    </w:rPr>
  </w:style>
  <w:style w:type="character" w:customStyle="1" w:styleId="ActHead5Char">
    <w:name w:val="ActHead 5 Char"/>
    <w:aliases w:val="s Char"/>
    <w:link w:val="ActHead5"/>
    <w:rsid w:val="00AF74A4"/>
    <w:rPr>
      <w:rFonts w:eastAsia="Times New Roman" w:cs="Times New Roman"/>
      <w:b/>
      <w:kern w:val="28"/>
      <w:sz w:val="24"/>
      <w:lang w:eastAsia="en-AU"/>
    </w:rPr>
  </w:style>
  <w:style w:type="character" w:customStyle="1" w:styleId="notetextChar">
    <w:name w:val="note(text) Char"/>
    <w:aliases w:val="n Char"/>
    <w:link w:val="notetext"/>
    <w:rsid w:val="00AF74A4"/>
    <w:rPr>
      <w:rFonts w:eastAsia="Times New Roman" w:cs="Times New Roman"/>
      <w:sz w:val="18"/>
      <w:lang w:eastAsia="en-AU"/>
    </w:rPr>
  </w:style>
  <w:style w:type="character" w:customStyle="1" w:styleId="Heading1Char">
    <w:name w:val="Heading 1 Char"/>
    <w:basedOn w:val="DefaultParagraphFont"/>
    <w:link w:val="Heading1"/>
    <w:uiPriority w:val="9"/>
    <w:rsid w:val="00AD14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D14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D141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D141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AD141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D141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D141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D141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D1412"/>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A962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27E"/>
    <w:rPr>
      <w:rFonts w:ascii="Tahoma" w:hAnsi="Tahoma" w:cs="Tahoma"/>
      <w:sz w:val="16"/>
      <w:szCs w:val="16"/>
    </w:rPr>
  </w:style>
  <w:style w:type="character" w:styleId="Hyperlink">
    <w:name w:val="Hyperlink"/>
    <w:basedOn w:val="DefaultParagraphFont"/>
    <w:uiPriority w:val="99"/>
    <w:semiHidden/>
    <w:unhideWhenUsed/>
    <w:rsid w:val="00DD13FF"/>
    <w:rPr>
      <w:color w:val="0000FF" w:themeColor="hyperlink"/>
      <w:u w:val="single"/>
    </w:rPr>
  </w:style>
  <w:style w:type="character" w:styleId="FollowedHyperlink">
    <w:name w:val="FollowedHyperlink"/>
    <w:basedOn w:val="DefaultParagraphFont"/>
    <w:uiPriority w:val="99"/>
    <w:semiHidden/>
    <w:unhideWhenUsed/>
    <w:rsid w:val="00DD13FF"/>
    <w:rPr>
      <w:color w:val="0000FF" w:themeColor="hyperlink"/>
      <w:u w:val="single"/>
    </w:rPr>
  </w:style>
  <w:style w:type="paragraph" w:customStyle="1" w:styleId="ClerkBlock">
    <w:name w:val="ClerkBlock"/>
    <w:basedOn w:val="Normal"/>
    <w:rsid w:val="00DD13FF"/>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C73038"/>
    <w:pPr>
      <w:spacing w:before="800"/>
    </w:pPr>
  </w:style>
  <w:style w:type="character" w:customStyle="1" w:styleId="ShortTP1Char">
    <w:name w:val="ShortTP1 Char"/>
    <w:basedOn w:val="DefaultParagraphFont"/>
    <w:link w:val="ShortTP1"/>
    <w:rsid w:val="00C73038"/>
    <w:rPr>
      <w:rFonts w:eastAsia="Times New Roman" w:cs="Times New Roman"/>
      <w:b/>
      <w:sz w:val="40"/>
      <w:lang w:eastAsia="en-AU"/>
    </w:rPr>
  </w:style>
  <w:style w:type="paragraph" w:customStyle="1" w:styleId="ActNoP1">
    <w:name w:val="ActNoP1"/>
    <w:basedOn w:val="Actno"/>
    <w:link w:val="ActNoP1Char"/>
    <w:rsid w:val="00C73038"/>
    <w:pPr>
      <w:spacing w:before="800"/>
    </w:pPr>
    <w:rPr>
      <w:sz w:val="28"/>
    </w:rPr>
  </w:style>
  <w:style w:type="character" w:customStyle="1" w:styleId="ActNoP1Char">
    <w:name w:val="ActNoP1 Char"/>
    <w:basedOn w:val="DefaultParagraphFont"/>
    <w:link w:val="ActNoP1"/>
    <w:rsid w:val="00C73038"/>
    <w:rPr>
      <w:rFonts w:eastAsia="Times New Roman" w:cs="Times New Roman"/>
      <w:b/>
      <w:sz w:val="28"/>
      <w:lang w:eastAsia="en-AU"/>
    </w:rPr>
  </w:style>
  <w:style w:type="paragraph" w:customStyle="1" w:styleId="AssentBk">
    <w:name w:val="AssentBk"/>
    <w:basedOn w:val="Normal"/>
    <w:rsid w:val="00C73038"/>
    <w:pPr>
      <w:spacing w:line="240" w:lineRule="auto"/>
    </w:pPr>
    <w:rPr>
      <w:rFonts w:eastAsia="Times New Roman" w:cs="Times New Roman"/>
      <w:sz w:val="20"/>
      <w:lang w:eastAsia="en-AU"/>
    </w:rPr>
  </w:style>
  <w:style w:type="paragraph" w:customStyle="1" w:styleId="AssentDt">
    <w:name w:val="AssentDt"/>
    <w:basedOn w:val="Normal"/>
    <w:rsid w:val="000F60F4"/>
    <w:pPr>
      <w:spacing w:line="240" w:lineRule="auto"/>
    </w:pPr>
    <w:rPr>
      <w:rFonts w:eastAsia="Times New Roman" w:cs="Times New Roman"/>
      <w:sz w:val="20"/>
      <w:lang w:eastAsia="en-AU"/>
    </w:rPr>
  </w:style>
  <w:style w:type="paragraph" w:customStyle="1" w:styleId="2ndRd">
    <w:name w:val="2ndRd"/>
    <w:basedOn w:val="Normal"/>
    <w:rsid w:val="000F60F4"/>
    <w:pPr>
      <w:spacing w:line="240" w:lineRule="auto"/>
    </w:pPr>
    <w:rPr>
      <w:rFonts w:eastAsia="Times New Roman" w:cs="Times New Roman"/>
      <w:sz w:val="20"/>
      <w:lang w:eastAsia="en-AU"/>
    </w:rPr>
  </w:style>
  <w:style w:type="paragraph" w:customStyle="1" w:styleId="ScalePlusRef">
    <w:name w:val="ScalePlusRef"/>
    <w:basedOn w:val="Normal"/>
    <w:rsid w:val="000F60F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71C7C-CA1B-4FF0-8482-C5273C09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29</Pages>
  <Words>6231</Words>
  <Characters>32903</Characters>
  <Application>Microsoft Office Word</Application>
  <DocSecurity>0</DocSecurity>
  <PresentationFormat/>
  <Lines>274</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2019-08-23T05:21:00Z</cp:lastPrinted>
  <dcterms:created xsi:type="dcterms:W3CDTF">2020-09-18T03:22:00Z</dcterms:created>
  <dcterms:modified xsi:type="dcterms:W3CDTF">2020-09-18T03:32:00Z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Australian Citizenship Amendment (Citizenship Cessation) Act 2020</vt:lpwstr>
  </property>
  <property fmtid="{D5CDD505-2E9C-101B-9397-08002B2CF9AE}" pid="5" name="ActNo">
    <vt:lpwstr>No. 88,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OPC7242</vt:lpwstr>
  </property>
  <property fmtid="{D5CDD505-2E9C-101B-9397-08002B2CF9AE}" pid="10" name="DoNotAsk">
    <vt:lpwstr>1</vt:lpwstr>
  </property>
  <property fmtid="{D5CDD505-2E9C-101B-9397-08002B2CF9AE}" pid="11" name="ChangedTitle">
    <vt:lpwstr>Australian Citizenship Amendment (Citizenship Cessation) Bill 2019</vt:lpwstr>
  </property>
</Properties>
</file>