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6F5" w:rsidRDefault="002E36F5" w:rsidP="002E36F5">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660984005" r:id="rId9"/>
        </w:object>
      </w:r>
    </w:p>
    <w:p w:rsidR="002E36F5" w:rsidRDefault="002E36F5" w:rsidP="002E36F5"/>
    <w:p w:rsidR="002E36F5" w:rsidRDefault="002E36F5" w:rsidP="002E36F5"/>
    <w:p w:rsidR="002E36F5" w:rsidRDefault="002E36F5" w:rsidP="002E36F5"/>
    <w:p w:rsidR="002E36F5" w:rsidRDefault="002E36F5" w:rsidP="002E36F5"/>
    <w:p w:rsidR="002E36F5" w:rsidRDefault="002E36F5" w:rsidP="002E36F5"/>
    <w:p w:rsidR="002E36F5" w:rsidRDefault="002E36F5" w:rsidP="002E36F5"/>
    <w:p w:rsidR="00715914" w:rsidRPr="006640F4" w:rsidRDefault="002E36F5" w:rsidP="00715914">
      <w:pPr>
        <w:pStyle w:val="ShortT"/>
      </w:pPr>
      <w:r>
        <w:t>Treasury Laws Amendment (2020 Measures No. 2) Act 2020</w:t>
      </w:r>
    </w:p>
    <w:p w:rsidR="00715914" w:rsidRPr="006640F4" w:rsidRDefault="00715914" w:rsidP="00715914"/>
    <w:p w:rsidR="00715914" w:rsidRPr="006640F4" w:rsidRDefault="00715914" w:rsidP="00715914">
      <w:pPr>
        <w:pStyle w:val="Actno"/>
      </w:pPr>
      <w:r w:rsidRPr="006640F4">
        <w:t>No.</w:t>
      </w:r>
      <w:r w:rsidR="00937CF5">
        <w:t xml:space="preserve"> 79</w:t>
      </w:r>
      <w:r w:rsidR="006C41FA" w:rsidRPr="006640F4">
        <w:t>, 2020</w:t>
      </w:r>
      <w:bookmarkStart w:id="0" w:name="_GoBack"/>
      <w:bookmarkEnd w:id="0"/>
    </w:p>
    <w:p w:rsidR="00715914" w:rsidRPr="006640F4" w:rsidRDefault="00715914" w:rsidP="00715914"/>
    <w:p w:rsidR="00AE1506" w:rsidRDefault="00AE1506" w:rsidP="00AE1506">
      <w:pPr>
        <w:rPr>
          <w:lang w:eastAsia="en-AU"/>
        </w:rPr>
      </w:pPr>
    </w:p>
    <w:p w:rsidR="00990ED3" w:rsidRPr="006640F4" w:rsidRDefault="00990ED3" w:rsidP="00715914"/>
    <w:p w:rsidR="00990ED3" w:rsidRPr="006640F4" w:rsidRDefault="00990ED3" w:rsidP="00715914"/>
    <w:p w:rsidR="00990ED3" w:rsidRPr="006640F4" w:rsidRDefault="00990ED3" w:rsidP="00715914"/>
    <w:p w:rsidR="002E36F5" w:rsidRDefault="002E36F5" w:rsidP="002E36F5">
      <w:pPr>
        <w:pStyle w:val="LongT"/>
      </w:pPr>
      <w:r>
        <w:t>An Act to amend the law relating to taxation, child support and international finance institutions, and for related purposes</w:t>
      </w:r>
    </w:p>
    <w:p w:rsidR="00CB4341" w:rsidRPr="00826806" w:rsidRDefault="00CB4341" w:rsidP="00CB4341">
      <w:pPr>
        <w:pStyle w:val="Header"/>
        <w:tabs>
          <w:tab w:val="clear" w:pos="4150"/>
          <w:tab w:val="clear" w:pos="8307"/>
        </w:tabs>
      </w:pPr>
      <w:r w:rsidRPr="00826806">
        <w:rPr>
          <w:rStyle w:val="CharAmSchNo"/>
        </w:rPr>
        <w:t xml:space="preserve"> </w:t>
      </w:r>
      <w:r w:rsidRPr="00826806">
        <w:rPr>
          <w:rStyle w:val="CharAmSchText"/>
        </w:rPr>
        <w:t xml:space="preserve"> </w:t>
      </w:r>
    </w:p>
    <w:p w:rsidR="00CB4341" w:rsidRPr="00826806" w:rsidRDefault="00CB4341" w:rsidP="00CB4341">
      <w:pPr>
        <w:pStyle w:val="Header"/>
        <w:tabs>
          <w:tab w:val="clear" w:pos="4150"/>
          <w:tab w:val="clear" w:pos="8307"/>
        </w:tabs>
      </w:pPr>
      <w:r w:rsidRPr="00826806">
        <w:rPr>
          <w:rStyle w:val="CharAmPartNo"/>
        </w:rPr>
        <w:t xml:space="preserve"> </w:t>
      </w:r>
      <w:r w:rsidRPr="00826806">
        <w:rPr>
          <w:rStyle w:val="CharAmPartText"/>
        </w:rPr>
        <w:t xml:space="preserve"> </w:t>
      </w:r>
    </w:p>
    <w:p w:rsidR="00715914" w:rsidRPr="006640F4" w:rsidRDefault="00715914" w:rsidP="00715914">
      <w:pPr>
        <w:sectPr w:rsidR="00715914" w:rsidRPr="006640F4" w:rsidSect="002E36F5">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rsidR="00715914" w:rsidRPr="006640F4" w:rsidRDefault="00715914" w:rsidP="00E46EFE">
      <w:pPr>
        <w:rPr>
          <w:sz w:val="36"/>
        </w:rPr>
      </w:pPr>
      <w:r w:rsidRPr="006640F4">
        <w:rPr>
          <w:sz w:val="36"/>
        </w:rPr>
        <w:t>Contents</w:t>
      </w:r>
    </w:p>
    <w:bookmarkStart w:id="1" w:name="BKCheck15B_1"/>
    <w:bookmarkEnd w:id="1"/>
    <w:p w:rsidR="00AF3C21" w:rsidRDefault="00AF3C21">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AF3C21">
        <w:rPr>
          <w:noProof/>
        </w:rPr>
        <w:tab/>
      </w:r>
      <w:r w:rsidRPr="00AF3C21">
        <w:rPr>
          <w:noProof/>
        </w:rPr>
        <w:fldChar w:fldCharType="begin"/>
      </w:r>
      <w:r w:rsidRPr="00AF3C21">
        <w:rPr>
          <w:noProof/>
        </w:rPr>
        <w:instrText xml:space="preserve"> PAGEREF _Toc50370718 \h </w:instrText>
      </w:r>
      <w:r w:rsidRPr="00AF3C21">
        <w:rPr>
          <w:noProof/>
        </w:rPr>
      </w:r>
      <w:r w:rsidRPr="00AF3C21">
        <w:rPr>
          <w:noProof/>
        </w:rPr>
        <w:fldChar w:fldCharType="separate"/>
      </w:r>
      <w:r w:rsidR="001125EC">
        <w:rPr>
          <w:noProof/>
        </w:rPr>
        <w:t>1</w:t>
      </w:r>
      <w:r w:rsidRPr="00AF3C21">
        <w:rPr>
          <w:noProof/>
        </w:rPr>
        <w:fldChar w:fldCharType="end"/>
      </w:r>
    </w:p>
    <w:p w:rsidR="00AF3C21" w:rsidRDefault="00AF3C21">
      <w:pPr>
        <w:pStyle w:val="TOC5"/>
        <w:rPr>
          <w:rFonts w:asciiTheme="minorHAnsi" w:eastAsiaTheme="minorEastAsia" w:hAnsiTheme="minorHAnsi" w:cstheme="minorBidi"/>
          <w:noProof/>
          <w:kern w:val="0"/>
          <w:sz w:val="22"/>
          <w:szCs w:val="22"/>
        </w:rPr>
      </w:pPr>
      <w:r>
        <w:rPr>
          <w:noProof/>
        </w:rPr>
        <w:t>2</w:t>
      </w:r>
      <w:r>
        <w:rPr>
          <w:noProof/>
        </w:rPr>
        <w:tab/>
        <w:t>Commencement</w:t>
      </w:r>
      <w:r w:rsidRPr="00AF3C21">
        <w:rPr>
          <w:noProof/>
        </w:rPr>
        <w:tab/>
      </w:r>
      <w:r w:rsidRPr="00AF3C21">
        <w:rPr>
          <w:noProof/>
        </w:rPr>
        <w:fldChar w:fldCharType="begin"/>
      </w:r>
      <w:r w:rsidRPr="00AF3C21">
        <w:rPr>
          <w:noProof/>
        </w:rPr>
        <w:instrText xml:space="preserve"> PAGEREF _Toc50370719 \h </w:instrText>
      </w:r>
      <w:r w:rsidRPr="00AF3C21">
        <w:rPr>
          <w:noProof/>
        </w:rPr>
      </w:r>
      <w:r w:rsidRPr="00AF3C21">
        <w:rPr>
          <w:noProof/>
        </w:rPr>
        <w:fldChar w:fldCharType="separate"/>
      </w:r>
      <w:r w:rsidR="001125EC">
        <w:rPr>
          <w:noProof/>
        </w:rPr>
        <w:t>2</w:t>
      </w:r>
      <w:r w:rsidRPr="00AF3C21">
        <w:rPr>
          <w:noProof/>
        </w:rPr>
        <w:fldChar w:fldCharType="end"/>
      </w:r>
    </w:p>
    <w:p w:rsidR="00AF3C21" w:rsidRDefault="00AF3C21">
      <w:pPr>
        <w:pStyle w:val="TOC5"/>
        <w:rPr>
          <w:rFonts w:asciiTheme="minorHAnsi" w:eastAsiaTheme="minorEastAsia" w:hAnsiTheme="minorHAnsi" w:cstheme="minorBidi"/>
          <w:noProof/>
          <w:kern w:val="0"/>
          <w:sz w:val="22"/>
          <w:szCs w:val="22"/>
        </w:rPr>
      </w:pPr>
      <w:r>
        <w:rPr>
          <w:noProof/>
        </w:rPr>
        <w:t>3</w:t>
      </w:r>
      <w:r>
        <w:rPr>
          <w:noProof/>
        </w:rPr>
        <w:tab/>
        <w:t>Schedules</w:t>
      </w:r>
      <w:r w:rsidRPr="00AF3C21">
        <w:rPr>
          <w:noProof/>
        </w:rPr>
        <w:tab/>
      </w:r>
      <w:r w:rsidRPr="00AF3C21">
        <w:rPr>
          <w:noProof/>
        </w:rPr>
        <w:fldChar w:fldCharType="begin"/>
      </w:r>
      <w:r w:rsidRPr="00AF3C21">
        <w:rPr>
          <w:noProof/>
        </w:rPr>
        <w:instrText xml:space="preserve"> PAGEREF _Toc50370720 \h </w:instrText>
      </w:r>
      <w:r w:rsidRPr="00AF3C21">
        <w:rPr>
          <w:noProof/>
        </w:rPr>
      </w:r>
      <w:r w:rsidRPr="00AF3C21">
        <w:rPr>
          <w:noProof/>
        </w:rPr>
        <w:fldChar w:fldCharType="separate"/>
      </w:r>
      <w:r w:rsidR="001125EC">
        <w:rPr>
          <w:noProof/>
        </w:rPr>
        <w:t>2</w:t>
      </w:r>
      <w:r w:rsidRPr="00AF3C21">
        <w:rPr>
          <w:noProof/>
        </w:rPr>
        <w:fldChar w:fldCharType="end"/>
      </w:r>
    </w:p>
    <w:p w:rsidR="00AF3C21" w:rsidRDefault="00AF3C21">
      <w:pPr>
        <w:pStyle w:val="TOC6"/>
        <w:rPr>
          <w:rFonts w:asciiTheme="minorHAnsi" w:eastAsiaTheme="minorEastAsia" w:hAnsiTheme="minorHAnsi" w:cstheme="minorBidi"/>
          <w:b w:val="0"/>
          <w:noProof/>
          <w:kern w:val="0"/>
          <w:sz w:val="22"/>
          <w:szCs w:val="22"/>
        </w:rPr>
      </w:pPr>
      <w:r>
        <w:rPr>
          <w:noProof/>
        </w:rPr>
        <w:t>Schedule 1—Hybrid mismatch rules</w:t>
      </w:r>
      <w:r w:rsidRPr="00AF3C21">
        <w:rPr>
          <w:b w:val="0"/>
          <w:noProof/>
          <w:sz w:val="18"/>
        </w:rPr>
        <w:tab/>
      </w:r>
      <w:r w:rsidRPr="00AF3C21">
        <w:rPr>
          <w:b w:val="0"/>
          <w:noProof/>
          <w:sz w:val="18"/>
        </w:rPr>
        <w:fldChar w:fldCharType="begin"/>
      </w:r>
      <w:r w:rsidRPr="00AF3C21">
        <w:rPr>
          <w:b w:val="0"/>
          <w:noProof/>
          <w:sz w:val="18"/>
        </w:rPr>
        <w:instrText xml:space="preserve"> PAGEREF _Toc50370721 \h </w:instrText>
      </w:r>
      <w:r w:rsidRPr="00AF3C21">
        <w:rPr>
          <w:b w:val="0"/>
          <w:noProof/>
          <w:sz w:val="18"/>
        </w:rPr>
      </w:r>
      <w:r w:rsidRPr="00AF3C21">
        <w:rPr>
          <w:b w:val="0"/>
          <w:noProof/>
          <w:sz w:val="18"/>
        </w:rPr>
        <w:fldChar w:fldCharType="separate"/>
      </w:r>
      <w:r w:rsidR="001125EC">
        <w:rPr>
          <w:b w:val="0"/>
          <w:noProof/>
          <w:sz w:val="18"/>
        </w:rPr>
        <w:t>3</w:t>
      </w:r>
      <w:r w:rsidRPr="00AF3C21">
        <w:rPr>
          <w:b w:val="0"/>
          <w:noProof/>
          <w:sz w:val="18"/>
        </w:rPr>
        <w:fldChar w:fldCharType="end"/>
      </w:r>
    </w:p>
    <w:p w:rsidR="00AF3C21" w:rsidRDefault="00AF3C21">
      <w:pPr>
        <w:pStyle w:val="TOC7"/>
        <w:rPr>
          <w:rFonts w:asciiTheme="minorHAnsi" w:eastAsiaTheme="minorEastAsia" w:hAnsiTheme="minorHAnsi" w:cstheme="minorBidi"/>
          <w:noProof/>
          <w:kern w:val="0"/>
          <w:sz w:val="22"/>
          <w:szCs w:val="22"/>
        </w:rPr>
      </w:pPr>
      <w:r>
        <w:rPr>
          <w:noProof/>
        </w:rPr>
        <w:t>Part 1—Main amendments</w:t>
      </w:r>
      <w:r w:rsidRPr="00AF3C21">
        <w:rPr>
          <w:noProof/>
          <w:sz w:val="18"/>
        </w:rPr>
        <w:tab/>
      </w:r>
      <w:r w:rsidRPr="00AF3C21">
        <w:rPr>
          <w:noProof/>
          <w:sz w:val="18"/>
        </w:rPr>
        <w:fldChar w:fldCharType="begin"/>
      </w:r>
      <w:r w:rsidRPr="00AF3C21">
        <w:rPr>
          <w:noProof/>
          <w:sz w:val="18"/>
        </w:rPr>
        <w:instrText xml:space="preserve"> PAGEREF _Toc50370722 \h </w:instrText>
      </w:r>
      <w:r w:rsidRPr="00AF3C21">
        <w:rPr>
          <w:noProof/>
          <w:sz w:val="18"/>
        </w:rPr>
      </w:r>
      <w:r w:rsidRPr="00AF3C21">
        <w:rPr>
          <w:noProof/>
          <w:sz w:val="18"/>
        </w:rPr>
        <w:fldChar w:fldCharType="separate"/>
      </w:r>
      <w:r w:rsidR="001125EC">
        <w:rPr>
          <w:noProof/>
          <w:sz w:val="18"/>
        </w:rPr>
        <w:t>3</w:t>
      </w:r>
      <w:r w:rsidRPr="00AF3C21">
        <w:rPr>
          <w:noProof/>
          <w:sz w:val="18"/>
        </w:rPr>
        <w:fldChar w:fldCharType="end"/>
      </w:r>
    </w:p>
    <w:p w:rsidR="00AF3C21" w:rsidRDefault="00AF3C21">
      <w:pPr>
        <w:pStyle w:val="TOC9"/>
        <w:rPr>
          <w:rFonts w:asciiTheme="minorHAnsi" w:eastAsiaTheme="minorEastAsia" w:hAnsiTheme="minorHAnsi" w:cstheme="minorBidi"/>
          <w:i w:val="0"/>
          <w:noProof/>
          <w:kern w:val="0"/>
          <w:sz w:val="22"/>
          <w:szCs w:val="22"/>
        </w:rPr>
      </w:pPr>
      <w:r>
        <w:rPr>
          <w:noProof/>
        </w:rPr>
        <w:t>Income Tax Assessment Act 1997</w:t>
      </w:r>
      <w:r w:rsidRPr="00AF3C21">
        <w:rPr>
          <w:i w:val="0"/>
          <w:noProof/>
          <w:sz w:val="18"/>
        </w:rPr>
        <w:tab/>
      </w:r>
      <w:r w:rsidRPr="00AF3C21">
        <w:rPr>
          <w:i w:val="0"/>
          <w:noProof/>
          <w:sz w:val="18"/>
        </w:rPr>
        <w:fldChar w:fldCharType="begin"/>
      </w:r>
      <w:r w:rsidRPr="00AF3C21">
        <w:rPr>
          <w:i w:val="0"/>
          <w:noProof/>
          <w:sz w:val="18"/>
        </w:rPr>
        <w:instrText xml:space="preserve"> PAGEREF _Toc50370723 \h </w:instrText>
      </w:r>
      <w:r w:rsidRPr="00AF3C21">
        <w:rPr>
          <w:i w:val="0"/>
          <w:noProof/>
          <w:sz w:val="18"/>
        </w:rPr>
      </w:r>
      <w:r w:rsidRPr="00AF3C21">
        <w:rPr>
          <w:i w:val="0"/>
          <w:noProof/>
          <w:sz w:val="18"/>
        </w:rPr>
        <w:fldChar w:fldCharType="separate"/>
      </w:r>
      <w:r w:rsidR="001125EC">
        <w:rPr>
          <w:i w:val="0"/>
          <w:noProof/>
          <w:sz w:val="18"/>
        </w:rPr>
        <w:t>3</w:t>
      </w:r>
      <w:r w:rsidRPr="00AF3C21">
        <w:rPr>
          <w:i w:val="0"/>
          <w:noProof/>
          <w:sz w:val="18"/>
        </w:rPr>
        <w:fldChar w:fldCharType="end"/>
      </w:r>
    </w:p>
    <w:p w:rsidR="00AF3C21" w:rsidRDefault="00AF3C21">
      <w:pPr>
        <w:pStyle w:val="TOC7"/>
        <w:rPr>
          <w:rFonts w:asciiTheme="minorHAnsi" w:eastAsiaTheme="minorEastAsia" w:hAnsiTheme="minorHAnsi" w:cstheme="minorBidi"/>
          <w:noProof/>
          <w:kern w:val="0"/>
          <w:sz w:val="22"/>
          <w:szCs w:val="22"/>
        </w:rPr>
      </w:pPr>
      <w:r>
        <w:rPr>
          <w:noProof/>
        </w:rPr>
        <w:t>Part 2—Foreign hybrid mismatch rules</w:t>
      </w:r>
      <w:r w:rsidRPr="00AF3C21">
        <w:rPr>
          <w:noProof/>
          <w:sz w:val="18"/>
        </w:rPr>
        <w:tab/>
      </w:r>
      <w:r w:rsidRPr="00AF3C21">
        <w:rPr>
          <w:noProof/>
          <w:sz w:val="18"/>
        </w:rPr>
        <w:fldChar w:fldCharType="begin"/>
      </w:r>
      <w:r w:rsidRPr="00AF3C21">
        <w:rPr>
          <w:noProof/>
          <w:sz w:val="18"/>
        </w:rPr>
        <w:instrText xml:space="preserve"> PAGEREF _Toc50370725 \h </w:instrText>
      </w:r>
      <w:r w:rsidRPr="00AF3C21">
        <w:rPr>
          <w:noProof/>
          <w:sz w:val="18"/>
        </w:rPr>
      </w:r>
      <w:r w:rsidRPr="00AF3C21">
        <w:rPr>
          <w:noProof/>
          <w:sz w:val="18"/>
        </w:rPr>
        <w:fldChar w:fldCharType="separate"/>
      </w:r>
      <w:r w:rsidR="001125EC">
        <w:rPr>
          <w:noProof/>
          <w:sz w:val="18"/>
        </w:rPr>
        <w:t>11</w:t>
      </w:r>
      <w:r w:rsidRPr="00AF3C21">
        <w:rPr>
          <w:noProof/>
          <w:sz w:val="18"/>
        </w:rPr>
        <w:fldChar w:fldCharType="end"/>
      </w:r>
    </w:p>
    <w:p w:rsidR="00AF3C21" w:rsidRDefault="00AF3C21">
      <w:pPr>
        <w:pStyle w:val="TOC9"/>
        <w:rPr>
          <w:rFonts w:asciiTheme="minorHAnsi" w:eastAsiaTheme="minorEastAsia" w:hAnsiTheme="minorHAnsi" w:cstheme="minorBidi"/>
          <w:i w:val="0"/>
          <w:noProof/>
          <w:kern w:val="0"/>
          <w:sz w:val="22"/>
          <w:szCs w:val="22"/>
        </w:rPr>
      </w:pPr>
      <w:r>
        <w:rPr>
          <w:noProof/>
        </w:rPr>
        <w:t>Income Tax Assessment Act 1997</w:t>
      </w:r>
      <w:r w:rsidRPr="00AF3C21">
        <w:rPr>
          <w:i w:val="0"/>
          <w:noProof/>
          <w:sz w:val="18"/>
        </w:rPr>
        <w:tab/>
      </w:r>
      <w:r w:rsidRPr="00AF3C21">
        <w:rPr>
          <w:i w:val="0"/>
          <w:noProof/>
          <w:sz w:val="18"/>
        </w:rPr>
        <w:fldChar w:fldCharType="begin"/>
      </w:r>
      <w:r w:rsidRPr="00AF3C21">
        <w:rPr>
          <w:i w:val="0"/>
          <w:noProof/>
          <w:sz w:val="18"/>
        </w:rPr>
        <w:instrText xml:space="preserve"> PAGEREF _Toc50370726 \h </w:instrText>
      </w:r>
      <w:r w:rsidRPr="00AF3C21">
        <w:rPr>
          <w:i w:val="0"/>
          <w:noProof/>
          <w:sz w:val="18"/>
        </w:rPr>
      </w:r>
      <w:r w:rsidRPr="00AF3C21">
        <w:rPr>
          <w:i w:val="0"/>
          <w:noProof/>
          <w:sz w:val="18"/>
        </w:rPr>
        <w:fldChar w:fldCharType="separate"/>
      </w:r>
      <w:r w:rsidR="001125EC">
        <w:rPr>
          <w:i w:val="0"/>
          <w:noProof/>
          <w:sz w:val="18"/>
        </w:rPr>
        <w:t>11</w:t>
      </w:r>
      <w:r w:rsidRPr="00AF3C21">
        <w:rPr>
          <w:i w:val="0"/>
          <w:noProof/>
          <w:sz w:val="18"/>
        </w:rPr>
        <w:fldChar w:fldCharType="end"/>
      </w:r>
    </w:p>
    <w:p w:rsidR="00AF3C21" w:rsidRDefault="00AF3C21">
      <w:pPr>
        <w:pStyle w:val="TOC7"/>
        <w:rPr>
          <w:rFonts w:asciiTheme="minorHAnsi" w:eastAsiaTheme="minorEastAsia" w:hAnsiTheme="minorHAnsi" w:cstheme="minorBidi"/>
          <w:noProof/>
          <w:kern w:val="0"/>
          <w:sz w:val="22"/>
          <w:szCs w:val="22"/>
        </w:rPr>
      </w:pPr>
      <w:r>
        <w:rPr>
          <w:noProof/>
        </w:rPr>
        <w:t>Part 3—Hybrid entities integrity rule</w:t>
      </w:r>
      <w:r w:rsidRPr="00AF3C21">
        <w:rPr>
          <w:noProof/>
          <w:sz w:val="18"/>
        </w:rPr>
        <w:tab/>
      </w:r>
      <w:r w:rsidRPr="00AF3C21">
        <w:rPr>
          <w:noProof/>
          <w:sz w:val="18"/>
        </w:rPr>
        <w:fldChar w:fldCharType="begin"/>
      </w:r>
      <w:r w:rsidRPr="00AF3C21">
        <w:rPr>
          <w:noProof/>
          <w:sz w:val="18"/>
        </w:rPr>
        <w:instrText xml:space="preserve"> PAGEREF _Toc50370727 \h </w:instrText>
      </w:r>
      <w:r w:rsidRPr="00AF3C21">
        <w:rPr>
          <w:noProof/>
          <w:sz w:val="18"/>
        </w:rPr>
      </w:r>
      <w:r w:rsidRPr="00AF3C21">
        <w:rPr>
          <w:noProof/>
          <w:sz w:val="18"/>
        </w:rPr>
        <w:fldChar w:fldCharType="separate"/>
      </w:r>
      <w:r w:rsidR="001125EC">
        <w:rPr>
          <w:noProof/>
          <w:sz w:val="18"/>
        </w:rPr>
        <w:t>13</w:t>
      </w:r>
      <w:r w:rsidRPr="00AF3C21">
        <w:rPr>
          <w:noProof/>
          <w:sz w:val="18"/>
        </w:rPr>
        <w:fldChar w:fldCharType="end"/>
      </w:r>
    </w:p>
    <w:p w:rsidR="00AF3C21" w:rsidRDefault="00AF3C21">
      <w:pPr>
        <w:pStyle w:val="TOC9"/>
        <w:rPr>
          <w:rFonts w:asciiTheme="minorHAnsi" w:eastAsiaTheme="minorEastAsia" w:hAnsiTheme="minorHAnsi" w:cstheme="minorBidi"/>
          <w:i w:val="0"/>
          <w:noProof/>
          <w:kern w:val="0"/>
          <w:sz w:val="22"/>
          <w:szCs w:val="22"/>
        </w:rPr>
      </w:pPr>
      <w:r>
        <w:rPr>
          <w:noProof/>
        </w:rPr>
        <w:t>Income Tax Assessment Act 1997</w:t>
      </w:r>
      <w:r w:rsidRPr="00AF3C21">
        <w:rPr>
          <w:i w:val="0"/>
          <w:noProof/>
          <w:sz w:val="18"/>
        </w:rPr>
        <w:tab/>
      </w:r>
      <w:r w:rsidRPr="00AF3C21">
        <w:rPr>
          <w:i w:val="0"/>
          <w:noProof/>
          <w:sz w:val="18"/>
        </w:rPr>
        <w:fldChar w:fldCharType="begin"/>
      </w:r>
      <w:r w:rsidRPr="00AF3C21">
        <w:rPr>
          <w:i w:val="0"/>
          <w:noProof/>
          <w:sz w:val="18"/>
        </w:rPr>
        <w:instrText xml:space="preserve"> PAGEREF _Toc50370728 \h </w:instrText>
      </w:r>
      <w:r w:rsidRPr="00AF3C21">
        <w:rPr>
          <w:i w:val="0"/>
          <w:noProof/>
          <w:sz w:val="18"/>
        </w:rPr>
      </w:r>
      <w:r w:rsidRPr="00AF3C21">
        <w:rPr>
          <w:i w:val="0"/>
          <w:noProof/>
          <w:sz w:val="18"/>
        </w:rPr>
        <w:fldChar w:fldCharType="separate"/>
      </w:r>
      <w:r w:rsidR="001125EC">
        <w:rPr>
          <w:i w:val="0"/>
          <w:noProof/>
          <w:sz w:val="18"/>
        </w:rPr>
        <w:t>13</w:t>
      </w:r>
      <w:r w:rsidRPr="00AF3C21">
        <w:rPr>
          <w:i w:val="0"/>
          <w:noProof/>
          <w:sz w:val="18"/>
        </w:rPr>
        <w:fldChar w:fldCharType="end"/>
      </w:r>
    </w:p>
    <w:p w:rsidR="00AF3C21" w:rsidRDefault="00AF3C21">
      <w:pPr>
        <w:pStyle w:val="TOC7"/>
        <w:rPr>
          <w:rFonts w:asciiTheme="minorHAnsi" w:eastAsiaTheme="minorEastAsia" w:hAnsiTheme="minorHAnsi" w:cstheme="minorBidi"/>
          <w:noProof/>
          <w:kern w:val="0"/>
          <w:sz w:val="22"/>
          <w:szCs w:val="22"/>
        </w:rPr>
      </w:pPr>
      <w:r>
        <w:rPr>
          <w:noProof/>
        </w:rPr>
        <w:t>Part 4—Foreign income tax deductions for regulatory capital</w:t>
      </w:r>
      <w:r w:rsidRPr="00AF3C21">
        <w:rPr>
          <w:noProof/>
          <w:sz w:val="18"/>
        </w:rPr>
        <w:tab/>
      </w:r>
      <w:r w:rsidRPr="00AF3C21">
        <w:rPr>
          <w:noProof/>
          <w:sz w:val="18"/>
        </w:rPr>
        <w:fldChar w:fldCharType="begin"/>
      </w:r>
      <w:r w:rsidRPr="00AF3C21">
        <w:rPr>
          <w:noProof/>
          <w:sz w:val="18"/>
        </w:rPr>
        <w:instrText xml:space="preserve"> PAGEREF _Toc50370729 \h </w:instrText>
      </w:r>
      <w:r w:rsidRPr="00AF3C21">
        <w:rPr>
          <w:noProof/>
          <w:sz w:val="18"/>
        </w:rPr>
      </w:r>
      <w:r w:rsidRPr="00AF3C21">
        <w:rPr>
          <w:noProof/>
          <w:sz w:val="18"/>
        </w:rPr>
        <w:fldChar w:fldCharType="separate"/>
      </w:r>
      <w:r w:rsidR="001125EC">
        <w:rPr>
          <w:noProof/>
          <w:sz w:val="18"/>
        </w:rPr>
        <w:t>15</w:t>
      </w:r>
      <w:r w:rsidRPr="00AF3C21">
        <w:rPr>
          <w:noProof/>
          <w:sz w:val="18"/>
        </w:rPr>
        <w:fldChar w:fldCharType="end"/>
      </w:r>
    </w:p>
    <w:p w:rsidR="00AF3C21" w:rsidRDefault="00AF3C21">
      <w:pPr>
        <w:pStyle w:val="TOC9"/>
        <w:rPr>
          <w:rFonts w:asciiTheme="minorHAnsi" w:eastAsiaTheme="minorEastAsia" w:hAnsiTheme="minorHAnsi" w:cstheme="minorBidi"/>
          <w:i w:val="0"/>
          <w:noProof/>
          <w:kern w:val="0"/>
          <w:sz w:val="22"/>
          <w:szCs w:val="22"/>
        </w:rPr>
      </w:pPr>
      <w:r>
        <w:rPr>
          <w:noProof/>
        </w:rPr>
        <w:t>Income Tax Assessment Act 1997</w:t>
      </w:r>
      <w:r w:rsidRPr="00AF3C21">
        <w:rPr>
          <w:i w:val="0"/>
          <w:noProof/>
          <w:sz w:val="18"/>
        </w:rPr>
        <w:tab/>
      </w:r>
      <w:r w:rsidRPr="00AF3C21">
        <w:rPr>
          <w:i w:val="0"/>
          <w:noProof/>
          <w:sz w:val="18"/>
        </w:rPr>
        <w:fldChar w:fldCharType="begin"/>
      </w:r>
      <w:r w:rsidRPr="00AF3C21">
        <w:rPr>
          <w:i w:val="0"/>
          <w:noProof/>
          <w:sz w:val="18"/>
        </w:rPr>
        <w:instrText xml:space="preserve"> PAGEREF _Toc50370730 \h </w:instrText>
      </w:r>
      <w:r w:rsidRPr="00AF3C21">
        <w:rPr>
          <w:i w:val="0"/>
          <w:noProof/>
          <w:sz w:val="18"/>
        </w:rPr>
      </w:r>
      <w:r w:rsidRPr="00AF3C21">
        <w:rPr>
          <w:i w:val="0"/>
          <w:noProof/>
          <w:sz w:val="18"/>
        </w:rPr>
        <w:fldChar w:fldCharType="separate"/>
      </w:r>
      <w:r w:rsidR="001125EC">
        <w:rPr>
          <w:i w:val="0"/>
          <w:noProof/>
          <w:sz w:val="18"/>
        </w:rPr>
        <w:t>15</w:t>
      </w:r>
      <w:r w:rsidRPr="00AF3C21">
        <w:rPr>
          <w:i w:val="0"/>
          <w:noProof/>
          <w:sz w:val="18"/>
        </w:rPr>
        <w:fldChar w:fldCharType="end"/>
      </w:r>
    </w:p>
    <w:p w:rsidR="00AF3C21" w:rsidRDefault="00AF3C21">
      <w:pPr>
        <w:pStyle w:val="TOC6"/>
        <w:rPr>
          <w:rFonts w:asciiTheme="minorHAnsi" w:eastAsiaTheme="minorEastAsia" w:hAnsiTheme="minorHAnsi" w:cstheme="minorBidi"/>
          <w:b w:val="0"/>
          <w:noProof/>
          <w:kern w:val="0"/>
          <w:sz w:val="22"/>
          <w:szCs w:val="22"/>
        </w:rPr>
      </w:pPr>
      <w:r>
        <w:rPr>
          <w:noProof/>
        </w:rPr>
        <w:t>Schedule 2—Single touch payroll reporting—child support information</w:t>
      </w:r>
      <w:r w:rsidRPr="00AF3C21">
        <w:rPr>
          <w:b w:val="0"/>
          <w:noProof/>
          <w:sz w:val="18"/>
        </w:rPr>
        <w:tab/>
      </w:r>
      <w:r w:rsidRPr="00AF3C21">
        <w:rPr>
          <w:b w:val="0"/>
          <w:noProof/>
          <w:sz w:val="18"/>
        </w:rPr>
        <w:fldChar w:fldCharType="begin"/>
      </w:r>
      <w:r w:rsidRPr="00AF3C21">
        <w:rPr>
          <w:b w:val="0"/>
          <w:noProof/>
          <w:sz w:val="18"/>
        </w:rPr>
        <w:instrText xml:space="preserve"> PAGEREF _Toc50370733 \h </w:instrText>
      </w:r>
      <w:r w:rsidRPr="00AF3C21">
        <w:rPr>
          <w:b w:val="0"/>
          <w:noProof/>
          <w:sz w:val="18"/>
        </w:rPr>
      </w:r>
      <w:r w:rsidRPr="00AF3C21">
        <w:rPr>
          <w:b w:val="0"/>
          <w:noProof/>
          <w:sz w:val="18"/>
        </w:rPr>
        <w:fldChar w:fldCharType="separate"/>
      </w:r>
      <w:r w:rsidR="001125EC">
        <w:rPr>
          <w:b w:val="0"/>
          <w:noProof/>
          <w:sz w:val="18"/>
        </w:rPr>
        <w:t>17</w:t>
      </w:r>
      <w:r w:rsidRPr="00AF3C21">
        <w:rPr>
          <w:b w:val="0"/>
          <w:noProof/>
          <w:sz w:val="18"/>
        </w:rPr>
        <w:fldChar w:fldCharType="end"/>
      </w:r>
    </w:p>
    <w:p w:rsidR="00AF3C21" w:rsidRDefault="00AF3C21">
      <w:pPr>
        <w:pStyle w:val="TOC9"/>
        <w:rPr>
          <w:rFonts w:asciiTheme="minorHAnsi" w:eastAsiaTheme="minorEastAsia" w:hAnsiTheme="minorHAnsi" w:cstheme="minorBidi"/>
          <w:i w:val="0"/>
          <w:noProof/>
          <w:kern w:val="0"/>
          <w:sz w:val="22"/>
          <w:szCs w:val="22"/>
        </w:rPr>
      </w:pPr>
      <w:r>
        <w:rPr>
          <w:noProof/>
        </w:rPr>
        <w:t>Child Support (Assessment) Act 1989</w:t>
      </w:r>
      <w:r w:rsidRPr="00AF3C21">
        <w:rPr>
          <w:i w:val="0"/>
          <w:noProof/>
          <w:sz w:val="18"/>
        </w:rPr>
        <w:tab/>
      </w:r>
      <w:r w:rsidRPr="00AF3C21">
        <w:rPr>
          <w:i w:val="0"/>
          <w:noProof/>
          <w:sz w:val="18"/>
        </w:rPr>
        <w:fldChar w:fldCharType="begin"/>
      </w:r>
      <w:r w:rsidRPr="00AF3C21">
        <w:rPr>
          <w:i w:val="0"/>
          <w:noProof/>
          <w:sz w:val="18"/>
        </w:rPr>
        <w:instrText xml:space="preserve"> PAGEREF _Toc50370734 \h </w:instrText>
      </w:r>
      <w:r w:rsidRPr="00AF3C21">
        <w:rPr>
          <w:i w:val="0"/>
          <w:noProof/>
          <w:sz w:val="18"/>
        </w:rPr>
      </w:r>
      <w:r w:rsidRPr="00AF3C21">
        <w:rPr>
          <w:i w:val="0"/>
          <w:noProof/>
          <w:sz w:val="18"/>
        </w:rPr>
        <w:fldChar w:fldCharType="separate"/>
      </w:r>
      <w:r w:rsidR="001125EC">
        <w:rPr>
          <w:i w:val="0"/>
          <w:noProof/>
          <w:sz w:val="18"/>
        </w:rPr>
        <w:t>17</w:t>
      </w:r>
      <w:r w:rsidRPr="00AF3C21">
        <w:rPr>
          <w:i w:val="0"/>
          <w:noProof/>
          <w:sz w:val="18"/>
        </w:rPr>
        <w:fldChar w:fldCharType="end"/>
      </w:r>
    </w:p>
    <w:p w:rsidR="00AF3C21" w:rsidRDefault="00AF3C21">
      <w:pPr>
        <w:pStyle w:val="TOC9"/>
        <w:rPr>
          <w:rFonts w:asciiTheme="minorHAnsi" w:eastAsiaTheme="minorEastAsia" w:hAnsiTheme="minorHAnsi" w:cstheme="minorBidi"/>
          <w:i w:val="0"/>
          <w:noProof/>
          <w:kern w:val="0"/>
          <w:sz w:val="22"/>
          <w:szCs w:val="22"/>
        </w:rPr>
      </w:pPr>
      <w:r>
        <w:rPr>
          <w:noProof/>
        </w:rPr>
        <w:t>Child Support (Registration and Collection) Act 1988</w:t>
      </w:r>
      <w:r w:rsidRPr="00AF3C21">
        <w:rPr>
          <w:i w:val="0"/>
          <w:noProof/>
          <w:sz w:val="18"/>
        </w:rPr>
        <w:tab/>
      </w:r>
      <w:r w:rsidRPr="00AF3C21">
        <w:rPr>
          <w:i w:val="0"/>
          <w:noProof/>
          <w:sz w:val="18"/>
        </w:rPr>
        <w:fldChar w:fldCharType="begin"/>
      </w:r>
      <w:r w:rsidRPr="00AF3C21">
        <w:rPr>
          <w:i w:val="0"/>
          <w:noProof/>
          <w:sz w:val="18"/>
        </w:rPr>
        <w:instrText xml:space="preserve"> PAGEREF _Toc50370735 \h </w:instrText>
      </w:r>
      <w:r w:rsidRPr="00AF3C21">
        <w:rPr>
          <w:i w:val="0"/>
          <w:noProof/>
          <w:sz w:val="18"/>
        </w:rPr>
      </w:r>
      <w:r w:rsidRPr="00AF3C21">
        <w:rPr>
          <w:i w:val="0"/>
          <w:noProof/>
          <w:sz w:val="18"/>
        </w:rPr>
        <w:fldChar w:fldCharType="separate"/>
      </w:r>
      <w:r w:rsidR="001125EC">
        <w:rPr>
          <w:i w:val="0"/>
          <w:noProof/>
          <w:sz w:val="18"/>
        </w:rPr>
        <w:t>17</w:t>
      </w:r>
      <w:r w:rsidRPr="00AF3C21">
        <w:rPr>
          <w:i w:val="0"/>
          <w:noProof/>
          <w:sz w:val="18"/>
        </w:rPr>
        <w:fldChar w:fldCharType="end"/>
      </w:r>
    </w:p>
    <w:p w:rsidR="00AF3C21" w:rsidRDefault="00AF3C21">
      <w:pPr>
        <w:pStyle w:val="TOC9"/>
        <w:rPr>
          <w:rFonts w:asciiTheme="minorHAnsi" w:eastAsiaTheme="minorEastAsia" w:hAnsiTheme="minorHAnsi" w:cstheme="minorBidi"/>
          <w:i w:val="0"/>
          <w:noProof/>
          <w:kern w:val="0"/>
          <w:sz w:val="22"/>
          <w:szCs w:val="22"/>
        </w:rPr>
      </w:pPr>
      <w:r>
        <w:rPr>
          <w:noProof/>
        </w:rPr>
        <w:t>Taxation Administration Act 1953</w:t>
      </w:r>
      <w:r w:rsidRPr="00AF3C21">
        <w:rPr>
          <w:i w:val="0"/>
          <w:noProof/>
          <w:sz w:val="18"/>
        </w:rPr>
        <w:tab/>
      </w:r>
      <w:r w:rsidRPr="00AF3C21">
        <w:rPr>
          <w:i w:val="0"/>
          <w:noProof/>
          <w:sz w:val="18"/>
        </w:rPr>
        <w:fldChar w:fldCharType="begin"/>
      </w:r>
      <w:r w:rsidRPr="00AF3C21">
        <w:rPr>
          <w:i w:val="0"/>
          <w:noProof/>
          <w:sz w:val="18"/>
        </w:rPr>
        <w:instrText xml:space="preserve"> PAGEREF _Toc50370736 \h </w:instrText>
      </w:r>
      <w:r w:rsidRPr="00AF3C21">
        <w:rPr>
          <w:i w:val="0"/>
          <w:noProof/>
          <w:sz w:val="18"/>
        </w:rPr>
      </w:r>
      <w:r w:rsidRPr="00AF3C21">
        <w:rPr>
          <w:i w:val="0"/>
          <w:noProof/>
          <w:sz w:val="18"/>
        </w:rPr>
        <w:fldChar w:fldCharType="separate"/>
      </w:r>
      <w:r w:rsidR="001125EC">
        <w:rPr>
          <w:i w:val="0"/>
          <w:noProof/>
          <w:sz w:val="18"/>
        </w:rPr>
        <w:t>18</w:t>
      </w:r>
      <w:r w:rsidRPr="00AF3C21">
        <w:rPr>
          <w:i w:val="0"/>
          <w:noProof/>
          <w:sz w:val="18"/>
        </w:rPr>
        <w:fldChar w:fldCharType="end"/>
      </w:r>
    </w:p>
    <w:p w:rsidR="00AF3C21" w:rsidRDefault="00AF3C21">
      <w:pPr>
        <w:pStyle w:val="TOC6"/>
        <w:rPr>
          <w:rFonts w:asciiTheme="minorHAnsi" w:eastAsiaTheme="minorEastAsia" w:hAnsiTheme="minorHAnsi" w:cstheme="minorBidi"/>
          <w:b w:val="0"/>
          <w:noProof/>
          <w:kern w:val="0"/>
          <w:sz w:val="22"/>
          <w:szCs w:val="22"/>
        </w:rPr>
      </w:pPr>
      <w:r>
        <w:rPr>
          <w:noProof/>
        </w:rPr>
        <w:t>Schedule 3—Deductible gift recipient status for community sheds</w:t>
      </w:r>
      <w:r w:rsidRPr="00AF3C21">
        <w:rPr>
          <w:b w:val="0"/>
          <w:noProof/>
          <w:sz w:val="18"/>
        </w:rPr>
        <w:tab/>
      </w:r>
      <w:r w:rsidRPr="00AF3C21">
        <w:rPr>
          <w:b w:val="0"/>
          <w:noProof/>
          <w:sz w:val="18"/>
        </w:rPr>
        <w:fldChar w:fldCharType="begin"/>
      </w:r>
      <w:r w:rsidRPr="00AF3C21">
        <w:rPr>
          <w:b w:val="0"/>
          <w:noProof/>
          <w:sz w:val="18"/>
        </w:rPr>
        <w:instrText xml:space="preserve"> PAGEREF _Toc50370740 \h </w:instrText>
      </w:r>
      <w:r w:rsidRPr="00AF3C21">
        <w:rPr>
          <w:b w:val="0"/>
          <w:noProof/>
          <w:sz w:val="18"/>
        </w:rPr>
      </w:r>
      <w:r w:rsidRPr="00AF3C21">
        <w:rPr>
          <w:b w:val="0"/>
          <w:noProof/>
          <w:sz w:val="18"/>
        </w:rPr>
        <w:fldChar w:fldCharType="separate"/>
      </w:r>
      <w:r w:rsidR="001125EC">
        <w:rPr>
          <w:b w:val="0"/>
          <w:noProof/>
          <w:sz w:val="18"/>
        </w:rPr>
        <w:t>22</w:t>
      </w:r>
      <w:r w:rsidRPr="00AF3C21">
        <w:rPr>
          <w:b w:val="0"/>
          <w:noProof/>
          <w:sz w:val="18"/>
        </w:rPr>
        <w:fldChar w:fldCharType="end"/>
      </w:r>
    </w:p>
    <w:p w:rsidR="00AF3C21" w:rsidRDefault="00AF3C21">
      <w:pPr>
        <w:pStyle w:val="TOC9"/>
        <w:rPr>
          <w:rFonts w:asciiTheme="minorHAnsi" w:eastAsiaTheme="minorEastAsia" w:hAnsiTheme="minorHAnsi" w:cstheme="minorBidi"/>
          <w:i w:val="0"/>
          <w:noProof/>
          <w:kern w:val="0"/>
          <w:sz w:val="22"/>
          <w:szCs w:val="22"/>
        </w:rPr>
      </w:pPr>
      <w:r>
        <w:rPr>
          <w:noProof/>
        </w:rPr>
        <w:t>Income Tax Assessment Act 1997</w:t>
      </w:r>
      <w:r w:rsidRPr="00AF3C21">
        <w:rPr>
          <w:i w:val="0"/>
          <w:noProof/>
          <w:sz w:val="18"/>
        </w:rPr>
        <w:tab/>
      </w:r>
      <w:r w:rsidRPr="00AF3C21">
        <w:rPr>
          <w:i w:val="0"/>
          <w:noProof/>
          <w:sz w:val="18"/>
        </w:rPr>
        <w:fldChar w:fldCharType="begin"/>
      </w:r>
      <w:r w:rsidRPr="00AF3C21">
        <w:rPr>
          <w:i w:val="0"/>
          <w:noProof/>
          <w:sz w:val="18"/>
        </w:rPr>
        <w:instrText xml:space="preserve"> PAGEREF _Toc50370741 \h </w:instrText>
      </w:r>
      <w:r w:rsidRPr="00AF3C21">
        <w:rPr>
          <w:i w:val="0"/>
          <w:noProof/>
          <w:sz w:val="18"/>
        </w:rPr>
      </w:r>
      <w:r w:rsidRPr="00AF3C21">
        <w:rPr>
          <w:i w:val="0"/>
          <w:noProof/>
          <w:sz w:val="18"/>
        </w:rPr>
        <w:fldChar w:fldCharType="separate"/>
      </w:r>
      <w:r w:rsidR="001125EC">
        <w:rPr>
          <w:i w:val="0"/>
          <w:noProof/>
          <w:sz w:val="18"/>
        </w:rPr>
        <w:t>22</w:t>
      </w:r>
      <w:r w:rsidRPr="00AF3C21">
        <w:rPr>
          <w:i w:val="0"/>
          <w:noProof/>
          <w:sz w:val="18"/>
        </w:rPr>
        <w:fldChar w:fldCharType="end"/>
      </w:r>
    </w:p>
    <w:p w:rsidR="00AF3C21" w:rsidRDefault="00AF3C21">
      <w:pPr>
        <w:pStyle w:val="TOC6"/>
        <w:rPr>
          <w:rFonts w:asciiTheme="minorHAnsi" w:eastAsiaTheme="minorEastAsia" w:hAnsiTheme="minorHAnsi" w:cstheme="minorBidi"/>
          <w:b w:val="0"/>
          <w:noProof/>
          <w:kern w:val="0"/>
          <w:sz w:val="22"/>
          <w:szCs w:val="22"/>
        </w:rPr>
      </w:pPr>
      <w:r>
        <w:rPr>
          <w:noProof/>
        </w:rPr>
        <w:t>Schedule 4—Funding capital increases for the World Bank Group</w:t>
      </w:r>
      <w:r w:rsidRPr="00AF3C21">
        <w:rPr>
          <w:b w:val="0"/>
          <w:noProof/>
          <w:sz w:val="18"/>
        </w:rPr>
        <w:tab/>
      </w:r>
      <w:r w:rsidRPr="00AF3C21">
        <w:rPr>
          <w:b w:val="0"/>
          <w:noProof/>
          <w:sz w:val="18"/>
        </w:rPr>
        <w:fldChar w:fldCharType="begin"/>
      </w:r>
      <w:r w:rsidRPr="00AF3C21">
        <w:rPr>
          <w:b w:val="0"/>
          <w:noProof/>
          <w:sz w:val="18"/>
        </w:rPr>
        <w:instrText xml:space="preserve"> PAGEREF _Toc50370742 \h </w:instrText>
      </w:r>
      <w:r w:rsidRPr="00AF3C21">
        <w:rPr>
          <w:b w:val="0"/>
          <w:noProof/>
          <w:sz w:val="18"/>
        </w:rPr>
      </w:r>
      <w:r w:rsidRPr="00AF3C21">
        <w:rPr>
          <w:b w:val="0"/>
          <w:noProof/>
          <w:sz w:val="18"/>
        </w:rPr>
        <w:fldChar w:fldCharType="separate"/>
      </w:r>
      <w:r w:rsidR="001125EC">
        <w:rPr>
          <w:b w:val="0"/>
          <w:noProof/>
          <w:sz w:val="18"/>
        </w:rPr>
        <w:t>23</w:t>
      </w:r>
      <w:r w:rsidRPr="00AF3C21">
        <w:rPr>
          <w:b w:val="0"/>
          <w:noProof/>
          <w:sz w:val="18"/>
        </w:rPr>
        <w:fldChar w:fldCharType="end"/>
      </w:r>
    </w:p>
    <w:p w:rsidR="00AF3C21" w:rsidRDefault="00AF3C21">
      <w:pPr>
        <w:pStyle w:val="TOC9"/>
        <w:rPr>
          <w:rFonts w:asciiTheme="minorHAnsi" w:eastAsiaTheme="minorEastAsia" w:hAnsiTheme="minorHAnsi" w:cstheme="minorBidi"/>
          <w:i w:val="0"/>
          <w:noProof/>
          <w:kern w:val="0"/>
          <w:sz w:val="22"/>
          <w:szCs w:val="22"/>
        </w:rPr>
      </w:pPr>
      <w:r>
        <w:rPr>
          <w:noProof/>
        </w:rPr>
        <w:t>International Finance Corporation Act 1955</w:t>
      </w:r>
      <w:r w:rsidRPr="00AF3C21">
        <w:rPr>
          <w:i w:val="0"/>
          <w:noProof/>
          <w:sz w:val="18"/>
        </w:rPr>
        <w:tab/>
      </w:r>
      <w:r w:rsidRPr="00AF3C21">
        <w:rPr>
          <w:i w:val="0"/>
          <w:noProof/>
          <w:sz w:val="18"/>
        </w:rPr>
        <w:fldChar w:fldCharType="begin"/>
      </w:r>
      <w:r w:rsidRPr="00AF3C21">
        <w:rPr>
          <w:i w:val="0"/>
          <w:noProof/>
          <w:sz w:val="18"/>
        </w:rPr>
        <w:instrText xml:space="preserve"> PAGEREF _Toc50370743 \h </w:instrText>
      </w:r>
      <w:r w:rsidRPr="00AF3C21">
        <w:rPr>
          <w:i w:val="0"/>
          <w:noProof/>
          <w:sz w:val="18"/>
        </w:rPr>
      </w:r>
      <w:r w:rsidRPr="00AF3C21">
        <w:rPr>
          <w:i w:val="0"/>
          <w:noProof/>
          <w:sz w:val="18"/>
        </w:rPr>
        <w:fldChar w:fldCharType="separate"/>
      </w:r>
      <w:r w:rsidR="001125EC">
        <w:rPr>
          <w:i w:val="0"/>
          <w:noProof/>
          <w:sz w:val="18"/>
        </w:rPr>
        <w:t>23</w:t>
      </w:r>
      <w:r w:rsidRPr="00AF3C21">
        <w:rPr>
          <w:i w:val="0"/>
          <w:noProof/>
          <w:sz w:val="18"/>
        </w:rPr>
        <w:fldChar w:fldCharType="end"/>
      </w:r>
    </w:p>
    <w:p w:rsidR="00AF3C21" w:rsidRDefault="00AF3C21">
      <w:pPr>
        <w:pStyle w:val="TOC9"/>
        <w:rPr>
          <w:rFonts w:asciiTheme="minorHAnsi" w:eastAsiaTheme="minorEastAsia" w:hAnsiTheme="minorHAnsi" w:cstheme="minorBidi"/>
          <w:i w:val="0"/>
          <w:noProof/>
          <w:kern w:val="0"/>
          <w:sz w:val="22"/>
          <w:szCs w:val="22"/>
        </w:rPr>
      </w:pPr>
      <w:r>
        <w:rPr>
          <w:noProof/>
        </w:rPr>
        <w:t>International Monetary Agreements Act 1947</w:t>
      </w:r>
      <w:r w:rsidRPr="00AF3C21">
        <w:rPr>
          <w:i w:val="0"/>
          <w:noProof/>
          <w:sz w:val="18"/>
        </w:rPr>
        <w:tab/>
      </w:r>
      <w:r w:rsidRPr="00AF3C21">
        <w:rPr>
          <w:i w:val="0"/>
          <w:noProof/>
          <w:sz w:val="18"/>
        </w:rPr>
        <w:fldChar w:fldCharType="begin"/>
      </w:r>
      <w:r w:rsidRPr="00AF3C21">
        <w:rPr>
          <w:i w:val="0"/>
          <w:noProof/>
          <w:sz w:val="18"/>
        </w:rPr>
        <w:instrText xml:space="preserve"> PAGEREF _Toc50370747 \h </w:instrText>
      </w:r>
      <w:r w:rsidRPr="00AF3C21">
        <w:rPr>
          <w:i w:val="0"/>
          <w:noProof/>
          <w:sz w:val="18"/>
        </w:rPr>
      </w:r>
      <w:r w:rsidRPr="00AF3C21">
        <w:rPr>
          <w:i w:val="0"/>
          <w:noProof/>
          <w:sz w:val="18"/>
        </w:rPr>
        <w:fldChar w:fldCharType="separate"/>
      </w:r>
      <w:r w:rsidR="001125EC">
        <w:rPr>
          <w:i w:val="0"/>
          <w:noProof/>
          <w:sz w:val="18"/>
        </w:rPr>
        <w:t>25</w:t>
      </w:r>
      <w:r w:rsidRPr="00AF3C21">
        <w:rPr>
          <w:i w:val="0"/>
          <w:noProof/>
          <w:sz w:val="18"/>
        </w:rPr>
        <w:fldChar w:fldCharType="end"/>
      </w:r>
    </w:p>
    <w:p w:rsidR="00AF3C21" w:rsidRDefault="00AF3C21">
      <w:pPr>
        <w:pStyle w:val="TOC6"/>
        <w:rPr>
          <w:rFonts w:asciiTheme="minorHAnsi" w:eastAsiaTheme="minorEastAsia" w:hAnsiTheme="minorHAnsi" w:cstheme="minorBidi"/>
          <w:b w:val="0"/>
          <w:noProof/>
          <w:kern w:val="0"/>
          <w:sz w:val="22"/>
          <w:szCs w:val="22"/>
        </w:rPr>
      </w:pPr>
      <w:r>
        <w:rPr>
          <w:noProof/>
        </w:rPr>
        <w:t>Schedule 5—Deductible gift recipients—new specific recipients</w:t>
      </w:r>
      <w:r w:rsidRPr="00AF3C21">
        <w:rPr>
          <w:b w:val="0"/>
          <w:noProof/>
          <w:sz w:val="18"/>
        </w:rPr>
        <w:tab/>
      </w:r>
      <w:r w:rsidRPr="00AF3C21">
        <w:rPr>
          <w:b w:val="0"/>
          <w:noProof/>
          <w:sz w:val="18"/>
        </w:rPr>
        <w:fldChar w:fldCharType="begin"/>
      </w:r>
      <w:r w:rsidRPr="00AF3C21">
        <w:rPr>
          <w:b w:val="0"/>
          <w:noProof/>
          <w:sz w:val="18"/>
        </w:rPr>
        <w:instrText xml:space="preserve"> PAGEREF _Toc50370749 \h </w:instrText>
      </w:r>
      <w:r w:rsidRPr="00AF3C21">
        <w:rPr>
          <w:b w:val="0"/>
          <w:noProof/>
          <w:sz w:val="18"/>
        </w:rPr>
      </w:r>
      <w:r w:rsidRPr="00AF3C21">
        <w:rPr>
          <w:b w:val="0"/>
          <w:noProof/>
          <w:sz w:val="18"/>
        </w:rPr>
        <w:fldChar w:fldCharType="separate"/>
      </w:r>
      <w:r w:rsidR="001125EC">
        <w:rPr>
          <w:b w:val="0"/>
          <w:noProof/>
          <w:sz w:val="18"/>
        </w:rPr>
        <w:t>26</w:t>
      </w:r>
      <w:r w:rsidRPr="00AF3C21">
        <w:rPr>
          <w:b w:val="0"/>
          <w:noProof/>
          <w:sz w:val="18"/>
        </w:rPr>
        <w:fldChar w:fldCharType="end"/>
      </w:r>
    </w:p>
    <w:p w:rsidR="00AF3C21" w:rsidRDefault="00AF3C21">
      <w:pPr>
        <w:pStyle w:val="TOC9"/>
        <w:rPr>
          <w:rFonts w:asciiTheme="minorHAnsi" w:eastAsiaTheme="minorEastAsia" w:hAnsiTheme="minorHAnsi" w:cstheme="minorBidi"/>
          <w:i w:val="0"/>
          <w:noProof/>
          <w:kern w:val="0"/>
          <w:sz w:val="22"/>
          <w:szCs w:val="22"/>
        </w:rPr>
      </w:pPr>
      <w:r>
        <w:rPr>
          <w:noProof/>
        </w:rPr>
        <w:t>Income Tax Assessment Act 1997</w:t>
      </w:r>
      <w:r w:rsidRPr="00AF3C21">
        <w:rPr>
          <w:i w:val="0"/>
          <w:noProof/>
          <w:sz w:val="18"/>
        </w:rPr>
        <w:tab/>
      </w:r>
      <w:r w:rsidRPr="00AF3C21">
        <w:rPr>
          <w:i w:val="0"/>
          <w:noProof/>
          <w:sz w:val="18"/>
        </w:rPr>
        <w:fldChar w:fldCharType="begin"/>
      </w:r>
      <w:r w:rsidRPr="00AF3C21">
        <w:rPr>
          <w:i w:val="0"/>
          <w:noProof/>
          <w:sz w:val="18"/>
        </w:rPr>
        <w:instrText xml:space="preserve"> PAGEREF _Toc50370750 \h </w:instrText>
      </w:r>
      <w:r w:rsidRPr="00AF3C21">
        <w:rPr>
          <w:i w:val="0"/>
          <w:noProof/>
          <w:sz w:val="18"/>
        </w:rPr>
      </w:r>
      <w:r w:rsidRPr="00AF3C21">
        <w:rPr>
          <w:i w:val="0"/>
          <w:noProof/>
          <w:sz w:val="18"/>
        </w:rPr>
        <w:fldChar w:fldCharType="separate"/>
      </w:r>
      <w:r w:rsidR="001125EC">
        <w:rPr>
          <w:i w:val="0"/>
          <w:noProof/>
          <w:sz w:val="18"/>
        </w:rPr>
        <w:t>26</w:t>
      </w:r>
      <w:r w:rsidRPr="00AF3C21">
        <w:rPr>
          <w:i w:val="0"/>
          <w:noProof/>
          <w:sz w:val="18"/>
        </w:rPr>
        <w:fldChar w:fldCharType="end"/>
      </w:r>
    </w:p>
    <w:p w:rsidR="00AF3C21" w:rsidRDefault="00AF3C21">
      <w:pPr>
        <w:pStyle w:val="TOC6"/>
        <w:rPr>
          <w:rFonts w:asciiTheme="minorHAnsi" w:eastAsiaTheme="minorEastAsia" w:hAnsiTheme="minorHAnsi" w:cstheme="minorBidi"/>
          <w:b w:val="0"/>
          <w:noProof/>
          <w:kern w:val="0"/>
          <w:sz w:val="22"/>
          <w:szCs w:val="22"/>
        </w:rPr>
      </w:pPr>
      <w:r>
        <w:rPr>
          <w:noProof/>
        </w:rPr>
        <w:t>Schedule 6—Tax secrecy</w:t>
      </w:r>
      <w:r w:rsidRPr="00AF3C21">
        <w:rPr>
          <w:b w:val="0"/>
          <w:noProof/>
          <w:sz w:val="18"/>
        </w:rPr>
        <w:tab/>
      </w:r>
      <w:r w:rsidRPr="00AF3C21">
        <w:rPr>
          <w:b w:val="0"/>
          <w:noProof/>
          <w:sz w:val="18"/>
        </w:rPr>
        <w:fldChar w:fldCharType="begin"/>
      </w:r>
      <w:r w:rsidRPr="00AF3C21">
        <w:rPr>
          <w:b w:val="0"/>
          <w:noProof/>
          <w:sz w:val="18"/>
        </w:rPr>
        <w:instrText xml:space="preserve"> PAGEREF _Toc50370751 \h </w:instrText>
      </w:r>
      <w:r w:rsidRPr="00AF3C21">
        <w:rPr>
          <w:b w:val="0"/>
          <w:noProof/>
          <w:sz w:val="18"/>
        </w:rPr>
      </w:r>
      <w:r w:rsidRPr="00AF3C21">
        <w:rPr>
          <w:b w:val="0"/>
          <w:noProof/>
          <w:sz w:val="18"/>
        </w:rPr>
        <w:fldChar w:fldCharType="separate"/>
      </w:r>
      <w:r w:rsidR="001125EC">
        <w:rPr>
          <w:b w:val="0"/>
          <w:noProof/>
          <w:sz w:val="18"/>
        </w:rPr>
        <w:t>29</w:t>
      </w:r>
      <w:r w:rsidRPr="00AF3C21">
        <w:rPr>
          <w:b w:val="0"/>
          <w:noProof/>
          <w:sz w:val="18"/>
        </w:rPr>
        <w:fldChar w:fldCharType="end"/>
      </w:r>
    </w:p>
    <w:p w:rsidR="00AF3C21" w:rsidRDefault="00AF3C21">
      <w:pPr>
        <w:pStyle w:val="TOC9"/>
        <w:rPr>
          <w:rFonts w:asciiTheme="minorHAnsi" w:eastAsiaTheme="minorEastAsia" w:hAnsiTheme="minorHAnsi" w:cstheme="minorBidi"/>
          <w:i w:val="0"/>
          <w:noProof/>
          <w:kern w:val="0"/>
          <w:sz w:val="22"/>
          <w:szCs w:val="22"/>
        </w:rPr>
      </w:pPr>
      <w:r>
        <w:rPr>
          <w:noProof/>
        </w:rPr>
        <w:t>Taxation Administration Act 1953</w:t>
      </w:r>
      <w:r w:rsidRPr="00AF3C21">
        <w:rPr>
          <w:i w:val="0"/>
          <w:noProof/>
          <w:sz w:val="18"/>
        </w:rPr>
        <w:tab/>
      </w:r>
      <w:r w:rsidRPr="00AF3C21">
        <w:rPr>
          <w:i w:val="0"/>
          <w:noProof/>
          <w:sz w:val="18"/>
        </w:rPr>
        <w:fldChar w:fldCharType="begin"/>
      </w:r>
      <w:r w:rsidRPr="00AF3C21">
        <w:rPr>
          <w:i w:val="0"/>
          <w:noProof/>
          <w:sz w:val="18"/>
        </w:rPr>
        <w:instrText xml:space="preserve"> PAGEREF _Toc50370752 \h </w:instrText>
      </w:r>
      <w:r w:rsidRPr="00AF3C21">
        <w:rPr>
          <w:i w:val="0"/>
          <w:noProof/>
          <w:sz w:val="18"/>
        </w:rPr>
      </w:r>
      <w:r w:rsidRPr="00AF3C21">
        <w:rPr>
          <w:i w:val="0"/>
          <w:noProof/>
          <w:sz w:val="18"/>
        </w:rPr>
        <w:fldChar w:fldCharType="separate"/>
      </w:r>
      <w:r w:rsidR="001125EC">
        <w:rPr>
          <w:i w:val="0"/>
          <w:noProof/>
          <w:sz w:val="18"/>
        </w:rPr>
        <w:t>29</w:t>
      </w:r>
      <w:r w:rsidRPr="00AF3C21">
        <w:rPr>
          <w:i w:val="0"/>
          <w:noProof/>
          <w:sz w:val="18"/>
        </w:rPr>
        <w:fldChar w:fldCharType="end"/>
      </w:r>
    </w:p>
    <w:p w:rsidR="00374B0A" w:rsidRPr="006640F4" w:rsidRDefault="00AF3C21" w:rsidP="00715914">
      <w:pPr>
        <w:sectPr w:rsidR="00374B0A" w:rsidRPr="006640F4" w:rsidSect="002E36F5">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fldChar w:fldCharType="end"/>
      </w:r>
    </w:p>
    <w:p w:rsidR="002E36F5" w:rsidRDefault="002E36F5">
      <w: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60984006" r:id="rId21"/>
        </w:object>
      </w:r>
    </w:p>
    <w:p w:rsidR="002E36F5" w:rsidRDefault="002E36F5"/>
    <w:p w:rsidR="002E36F5" w:rsidRDefault="002E36F5" w:rsidP="000178F8">
      <w:pPr>
        <w:spacing w:line="240" w:lineRule="auto"/>
      </w:pPr>
    </w:p>
    <w:p w:rsidR="002E36F5" w:rsidRDefault="00B716AB" w:rsidP="000178F8">
      <w:pPr>
        <w:pStyle w:val="ShortTP1"/>
      </w:pPr>
      <w:fldSimple w:instr=" STYLEREF ShortT ">
        <w:r w:rsidR="001125EC">
          <w:rPr>
            <w:noProof/>
          </w:rPr>
          <w:t>Treasury Laws Amendment (2020 Measures No. 2) Act 2020</w:t>
        </w:r>
      </w:fldSimple>
    </w:p>
    <w:p w:rsidR="002E36F5" w:rsidRDefault="00B716AB" w:rsidP="000178F8">
      <w:pPr>
        <w:pStyle w:val="ActNoP1"/>
      </w:pPr>
      <w:fldSimple w:instr=" STYLEREF Actno ">
        <w:r w:rsidR="001125EC">
          <w:rPr>
            <w:noProof/>
          </w:rPr>
          <w:t>No. 79, 2020</w:t>
        </w:r>
      </w:fldSimple>
    </w:p>
    <w:p w:rsidR="002E36F5" w:rsidRPr="009A0728" w:rsidRDefault="002E36F5" w:rsidP="009A0728">
      <w:pPr>
        <w:pBdr>
          <w:bottom w:val="single" w:sz="6" w:space="0" w:color="auto"/>
        </w:pBdr>
        <w:spacing w:before="400" w:line="240" w:lineRule="auto"/>
        <w:rPr>
          <w:rFonts w:eastAsia="Times New Roman"/>
          <w:b/>
          <w:sz w:val="28"/>
        </w:rPr>
      </w:pPr>
    </w:p>
    <w:p w:rsidR="002E36F5" w:rsidRPr="009A0728" w:rsidRDefault="002E36F5" w:rsidP="009A0728">
      <w:pPr>
        <w:spacing w:line="40" w:lineRule="exact"/>
        <w:rPr>
          <w:rFonts w:eastAsia="Calibri"/>
          <w:b/>
          <w:sz w:val="28"/>
        </w:rPr>
      </w:pPr>
    </w:p>
    <w:p w:rsidR="002E36F5" w:rsidRPr="009A0728" w:rsidRDefault="002E36F5" w:rsidP="009A0728">
      <w:pPr>
        <w:pBdr>
          <w:top w:val="single" w:sz="12" w:space="0" w:color="auto"/>
        </w:pBdr>
        <w:spacing w:line="240" w:lineRule="auto"/>
        <w:rPr>
          <w:rFonts w:eastAsia="Times New Roman"/>
          <w:b/>
          <w:sz w:val="28"/>
        </w:rPr>
      </w:pPr>
    </w:p>
    <w:p w:rsidR="002E36F5" w:rsidRDefault="002E36F5" w:rsidP="002E36F5">
      <w:pPr>
        <w:pStyle w:val="Page1"/>
        <w:spacing w:before="400"/>
      </w:pPr>
      <w:r>
        <w:t>An Act to amend the law relating to taxation, child support and international finance institutions, and for related purposes</w:t>
      </w:r>
    </w:p>
    <w:p w:rsidR="00937CF5" w:rsidRPr="00937CF5" w:rsidRDefault="00937CF5" w:rsidP="00937CF5">
      <w:pPr>
        <w:pStyle w:val="AssentDt"/>
        <w:spacing w:before="240"/>
        <w:rPr>
          <w:sz w:val="24"/>
        </w:rPr>
      </w:pPr>
      <w:r>
        <w:rPr>
          <w:sz w:val="24"/>
        </w:rPr>
        <w:t>[</w:t>
      </w:r>
      <w:r>
        <w:rPr>
          <w:i/>
          <w:sz w:val="24"/>
        </w:rPr>
        <w:t>Assented to 3 September 2020</w:t>
      </w:r>
      <w:r>
        <w:rPr>
          <w:sz w:val="24"/>
        </w:rPr>
        <w:t>]</w:t>
      </w:r>
    </w:p>
    <w:p w:rsidR="00715914" w:rsidRPr="006640F4" w:rsidRDefault="00715914" w:rsidP="006640F4">
      <w:pPr>
        <w:spacing w:before="240" w:line="240" w:lineRule="auto"/>
        <w:rPr>
          <w:sz w:val="32"/>
        </w:rPr>
      </w:pPr>
      <w:r w:rsidRPr="006640F4">
        <w:rPr>
          <w:sz w:val="32"/>
        </w:rPr>
        <w:t>The Parliament of Australia enacts:</w:t>
      </w:r>
    </w:p>
    <w:p w:rsidR="00715914" w:rsidRPr="006640F4" w:rsidRDefault="00715914" w:rsidP="006640F4">
      <w:pPr>
        <w:pStyle w:val="ActHead5"/>
      </w:pPr>
      <w:bookmarkStart w:id="2" w:name="_Toc50370718"/>
      <w:r w:rsidRPr="00826806">
        <w:rPr>
          <w:rStyle w:val="CharSectno"/>
        </w:rPr>
        <w:t>1</w:t>
      </w:r>
      <w:r w:rsidRPr="006640F4">
        <w:t xml:space="preserve">  Short title</w:t>
      </w:r>
      <w:bookmarkEnd w:id="2"/>
    </w:p>
    <w:p w:rsidR="00715914" w:rsidRPr="006640F4" w:rsidRDefault="00715914" w:rsidP="006640F4">
      <w:pPr>
        <w:pStyle w:val="subsection"/>
      </w:pPr>
      <w:r w:rsidRPr="006640F4">
        <w:tab/>
      </w:r>
      <w:r w:rsidRPr="006640F4">
        <w:tab/>
        <w:t xml:space="preserve">This Act </w:t>
      </w:r>
      <w:r w:rsidR="00B20224" w:rsidRPr="006640F4">
        <w:t>is</w:t>
      </w:r>
      <w:r w:rsidRPr="006640F4">
        <w:t xml:space="preserve"> the </w:t>
      </w:r>
      <w:r w:rsidR="00423263" w:rsidRPr="006640F4">
        <w:rPr>
          <w:i/>
        </w:rPr>
        <w:t>Treasury Laws Amendment (2020 Measures No.</w:t>
      </w:r>
      <w:r w:rsidR="006640F4" w:rsidRPr="006640F4">
        <w:rPr>
          <w:i/>
        </w:rPr>
        <w:t> </w:t>
      </w:r>
      <w:r w:rsidR="00423263" w:rsidRPr="006640F4">
        <w:rPr>
          <w:i/>
        </w:rPr>
        <w:t xml:space="preserve">2) </w:t>
      </w:r>
      <w:r w:rsidR="006C41FA" w:rsidRPr="006640F4">
        <w:rPr>
          <w:i/>
        </w:rPr>
        <w:t>Act 2020</w:t>
      </w:r>
      <w:r w:rsidRPr="006640F4">
        <w:t>.</w:t>
      </w:r>
    </w:p>
    <w:p w:rsidR="00715914" w:rsidRPr="006640F4" w:rsidRDefault="00715914" w:rsidP="006640F4">
      <w:pPr>
        <w:pStyle w:val="ActHead5"/>
      </w:pPr>
      <w:bookmarkStart w:id="3" w:name="_Toc50370719"/>
      <w:r w:rsidRPr="00826806">
        <w:rPr>
          <w:rStyle w:val="CharSectno"/>
        </w:rPr>
        <w:t>2</w:t>
      </w:r>
      <w:r w:rsidRPr="006640F4">
        <w:t xml:space="preserve">  Commencement</w:t>
      </w:r>
      <w:bookmarkEnd w:id="3"/>
    </w:p>
    <w:p w:rsidR="00715914" w:rsidRPr="006640F4" w:rsidRDefault="00715914" w:rsidP="006640F4">
      <w:pPr>
        <w:pStyle w:val="subsection"/>
      </w:pPr>
      <w:r w:rsidRPr="006640F4">
        <w:tab/>
        <w:t>(1)</w:t>
      </w:r>
      <w:r w:rsidRPr="006640F4">
        <w:tab/>
        <w:t>Each provision of this Act specified in column 1 of the table commences, or is taken to have commenced, in accordance with column 2 of the table. Any other statement in column 2 has effect according to its terms.</w:t>
      </w:r>
    </w:p>
    <w:p w:rsidR="00715914" w:rsidRPr="006640F4" w:rsidRDefault="00715914" w:rsidP="006640F4">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715914" w:rsidRPr="006640F4" w:rsidTr="00AC0791">
        <w:trPr>
          <w:tblHeader/>
        </w:trPr>
        <w:tc>
          <w:tcPr>
            <w:tcW w:w="7111" w:type="dxa"/>
            <w:gridSpan w:val="3"/>
            <w:tcBorders>
              <w:top w:val="single" w:sz="12" w:space="0" w:color="auto"/>
              <w:bottom w:val="single" w:sz="6" w:space="0" w:color="auto"/>
            </w:tcBorders>
            <w:shd w:val="clear" w:color="auto" w:fill="auto"/>
          </w:tcPr>
          <w:p w:rsidR="00715914" w:rsidRPr="006640F4" w:rsidRDefault="00715914" w:rsidP="006640F4">
            <w:pPr>
              <w:pStyle w:val="TableHeading"/>
            </w:pPr>
            <w:r w:rsidRPr="006640F4">
              <w:t>Commencement information</w:t>
            </w:r>
          </w:p>
        </w:tc>
      </w:tr>
      <w:tr w:rsidR="00715914" w:rsidRPr="006640F4" w:rsidTr="00AC0791">
        <w:trPr>
          <w:tblHeader/>
        </w:trPr>
        <w:tc>
          <w:tcPr>
            <w:tcW w:w="1701" w:type="dxa"/>
            <w:tcBorders>
              <w:top w:val="single" w:sz="6" w:space="0" w:color="auto"/>
              <w:bottom w:val="single" w:sz="6" w:space="0" w:color="auto"/>
            </w:tcBorders>
            <w:shd w:val="clear" w:color="auto" w:fill="auto"/>
          </w:tcPr>
          <w:p w:rsidR="00715914" w:rsidRPr="006640F4" w:rsidRDefault="00715914" w:rsidP="006640F4">
            <w:pPr>
              <w:pStyle w:val="TableHeading"/>
            </w:pPr>
            <w:r w:rsidRPr="006640F4">
              <w:t>Column 1</w:t>
            </w:r>
          </w:p>
        </w:tc>
        <w:tc>
          <w:tcPr>
            <w:tcW w:w="3828" w:type="dxa"/>
            <w:tcBorders>
              <w:top w:val="single" w:sz="6" w:space="0" w:color="auto"/>
              <w:bottom w:val="single" w:sz="6" w:space="0" w:color="auto"/>
            </w:tcBorders>
            <w:shd w:val="clear" w:color="auto" w:fill="auto"/>
          </w:tcPr>
          <w:p w:rsidR="00715914" w:rsidRPr="006640F4" w:rsidRDefault="00715914" w:rsidP="006640F4">
            <w:pPr>
              <w:pStyle w:val="TableHeading"/>
            </w:pPr>
            <w:r w:rsidRPr="006640F4">
              <w:t>Column 2</w:t>
            </w:r>
          </w:p>
        </w:tc>
        <w:tc>
          <w:tcPr>
            <w:tcW w:w="1582" w:type="dxa"/>
            <w:tcBorders>
              <w:top w:val="single" w:sz="6" w:space="0" w:color="auto"/>
              <w:bottom w:val="single" w:sz="6" w:space="0" w:color="auto"/>
            </w:tcBorders>
            <w:shd w:val="clear" w:color="auto" w:fill="auto"/>
          </w:tcPr>
          <w:p w:rsidR="00715914" w:rsidRPr="006640F4" w:rsidRDefault="00715914" w:rsidP="006640F4">
            <w:pPr>
              <w:pStyle w:val="TableHeading"/>
            </w:pPr>
            <w:r w:rsidRPr="006640F4">
              <w:t>Column 3</w:t>
            </w:r>
          </w:p>
        </w:tc>
      </w:tr>
      <w:tr w:rsidR="00715914" w:rsidRPr="006640F4" w:rsidTr="00AC0791">
        <w:trPr>
          <w:tblHeader/>
        </w:trPr>
        <w:tc>
          <w:tcPr>
            <w:tcW w:w="1701" w:type="dxa"/>
            <w:tcBorders>
              <w:top w:val="single" w:sz="6" w:space="0" w:color="auto"/>
              <w:bottom w:val="single" w:sz="12" w:space="0" w:color="auto"/>
            </w:tcBorders>
            <w:shd w:val="clear" w:color="auto" w:fill="auto"/>
          </w:tcPr>
          <w:p w:rsidR="00715914" w:rsidRPr="006640F4" w:rsidRDefault="00715914" w:rsidP="006640F4">
            <w:pPr>
              <w:pStyle w:val="TableHeading"/>
            </w:pPr>
            <w:r w:rsidRPr="006640F4">
              <w:t>Provisions</w:t>
            </w:r>
          </w:p>
        </w:tc>
        <w:tc>
          <w:tcPr>
            <w:tcW w:w="3828" w:type="dxa"/>
            <w:tcBorders>
              <w:top w:val="single" w:sz="6" w:space="0" w:color="auto"/>
              <w:bottom w:val="single" w:sz="12" w:space="0" w:color="auto"/>
            </w:tcBorders>
            <w:shd w:val="clear" w:color="auto" w:fill="auto"/>
          </w:tcPr>
          <w:p w:rsidR="00715914" w:rsidRPr="006640F4" w:rsidRDefault="00715914" w:rsidP="006640F4">
            <w:pPr>
              <w:pStyle w:val="TableHeading"/>
            </w:pPr>
            <w:r w:rsidRPr="006640F4">
              <w:t>Commencement</w:t>
            </w:r>
          </w:p>
        </w:tc>
        <w:tc>
          <w:tcPr>
            <w:tcW w:w="1582" w:type="dxa"/>
            <w:tcBorders>
              <w:top w:val="single" w:sz="6" w:space="0" w:color="auto"/>
              <w:bottom w:val="single" w:sz="12" w:space="0" w:color="auto"/>
            </w:tcBorders>
            <w:shd w:val="clear" w:color="auto" w:fill="auto"/>
          </w:tcPr>
          <w:p w:rsidR="00715914" w:rsidRPr="006640F4" w:rsidRDefault="00715914" w:rsidP="006640F4">
            <w:pPr>
              <w:pStyle w:val="TableHeading"/>
            </w:pPr>
            <w:r w:rsidRPr="006640F4">
              <w:t>Date/Details</w:t>
            </w:r>
          </w:p>
        </w:tc>
      </w:tr>
      <w:tr w:rsidR="00715914" w:rsidRPr="006640F4" w:rsidTr="00AC0791">
        <w:tc>
          <w:tcPr>
            <w:tcW w:w="1701" w:type="dxa"/>
            <w:tcBorders>
              <w:top w:val="single" w:sz="12" w:space="0" w:color="auto"/>
            </w:tcBorders>
            <w:shd w:val="clear" w:color="auto" w:fill="auto"/>
          </w:tcPr>
          <w:p w:rsidR="00715914" w:rsidRPr="006640F4" w:rsidRDefault="00715914" w:rsidP="006640F4">
            <w:pPr>
              <w:pStyle w:val="Tabletext"/>
            </w:pPr>
            <w:r w:rsidRPr="006640F4">
              <w:t>1.  Sections</w:t>
            </w:r>
            <w:r w:rsidR="006640F4" w:rsidRPr="006640F4">
              <w:t> </w:t>
            </w:r>
            <w:r w:rsidRPr="006640F4">
              <w:t xml:space="preserve">1 </w:t>
            </w:r>
            <w:r w:rsidR="00AC0791" w:rsidRPr="006640F4">
              <w:t>to 3</w:t>
            </w:r>
            <w:r w:rsidRPr="006640F4">
              <w:t xml:space="preserve"> and anything in this Act not elsewhere covered by this table</w:t>
            </w:r>
          </w:p>
        </w:tc>
        <w:tc>
          <w:tcPr>
            <w:tcW w:w="3828" w:type="dxa"/>
            <w:tcBorders>
              <w:top w:val="single" w:sz="12" w:space="0" w:color="auto"/>
            </w:tcBorders>
            <w:shd w:val="clear" w:color="auto" w:fill="auto"/>
          </w:tcPr>
          <w:p w:rsidR="00715914" w:rsidRPr="006640F4" w:rsidRDefault="00715914" w:rsidP="006640F4">
            <w:pPr>
              <w:pStyle w:val="Tabletext"/>
            </w:pPr>
            <w:r w:rsidRPr="006640F4">
              <w:t>The day this Act receives the Royal Assent.</w:t>
            </w:r>
          </w:p>
        </w:tc>
        <w:tc>
          <w:tcPr>
            <w:tcW w:w="1582" w:type="dxa"/>
            <w:tcBorders>
              <w:top w:val="single" w:sz="12" w:space="0" w:color="auto"/>
            </w:tcBorders>
            <w:shd w:val="clear" w:color="auto" w:fill="auto"/>
          </w:tcPr>
          <w:p w:rsidR="00715914" w:rsidRPr="006640F4" w:rsidRDefault="00937CF5" w:rsidP="006640F4">
            <w:pPr>
              <w:pStyle w:val="Tabletext"/>
            </w:pPr>
            <w:r>
              <w:t>3 September 2020</w:t>
            </w:r>
          </w:p>
        </w:tc>
      </w:tr>
      <w:tr w:rsidR="00715914" w:rsidRPr="006640F4" w:rsidTr="00AC0791">
        <w:tc>
          <w:tcPr>
            <w:tcW w:w="1701" w:type="dxa"/>
            <w:shd w:val="clear" w:color="auto" w:fill="auto"/>
          </w:tcPr>
          <w:p w:rsidR="00715914" w:rsidRPr="006640F4" w:rsidRDefault="00AC0791" w:rsidP="006640F4">
            <w:pPr>
              <w:pStyle w:val="Tabletext"/>
            </w:pPr>
            <w:r w:rsidRPr="006640F4">
              <w:t>2</w:t>
            </w:r>
            <w:r w:rsidR="00715914" w:rsidRPr="006640F4">
              <w:t xml:space="preserve">.  </w:t>
            </w:r>
            <w:r w:rsidR="00423263" w:rsidRPr="006640F4">
              <w:t>Schedule</w:t>
            </w:r>
            <w:r w:rsidRPr="006640F4">
              <w:t>s</w:t>
            </w:r>
            <w:r w:rsidR="006640F4" w:rsidRPr="006640F4">
              <w:t> </w:t>
            </w:r>
            <w:r w:rsidRPr="006640F4">
              <w:t>1 to 3</w:t>
            </w:r>
          </w:p>
        </w:tc>
        <w:tc>
          <w:tcPr>
            <w:tcW w:w="3828" w:type="dxa"/>
            <w:shd w:val="clear" w:color="auto" w:fill="auto"/>
          </w:tcPr>
          <w:p w:rsidR="00715914" w:rsidRPr="006640F4" w:rsidRDefault="00AC0791" w:rsidP="006640F4">
            <w:pPr>
              <w:pStyle w:val="Tabletext"/>
            </w:pPr>
            <w:r w:rsidRPr="006640F4">
              <w:t>The first 1</w:t>
            </w:r>
            <w:r w:rsidR="006640F4" w:rsidRPr="006640F4">
              <w:t> </w:t>
            </w:r>
            <w:r w:rsidRPr="006640F4">
              <w:t>January, 1</w:t>
            </w:r>
            <w:r w:rsidR="006640F4" w:rsidRPr="006640F4">
              <w:t> </w:t>
            </w:r>
            <w:r w:rsidRPr="006640F4">
              <w:t>April, 1</w:t>
            </w:r>
            <w:r w:rsidR="006640F4" w:rsidRPr="006640F4">
              <w:t> </w:t>
            </w:r>
            <w:r w:rsidRPr="006640F4">
              <w:t>July or 1</w:t>
            </w:r>
            <w:r w:rsidR="006640F4" w:rsidRPr="006640F4">
              <w:t> </w:t>
            </w:r>
            <w:r w:rsidRPr="006640F4">
              <w:t>October to occur after the day this Act receives the Royal Assent.</w:t>
            </w:r>
          </w:p>
        </w:tc>
        <w:tc>
          <w:tcPr>
            <w:tcW w:w="1582" w:type="dxa"/>
            <w:shd w:val="clear" w:color="auto" w:fill="auto"/>
          </w:tcPr>
          <w:p w:rsidR="00715914" w:rsidRPr="006640F4" w:rsidRDefault="00937CF5" w:rsidP="006640F4">
            <w:pPr>
              <w:pStyle w:val="Tabletext"/>
            </w:pPr>
            <w:r>
              <w:t>1 October 2020</w:t>
            </w:r>
          </w:p>
        </w:tc>
      </w:tr>
      <w:tr w:rsidR="00715914" w:rsidRPr="006640F4" w:rsidTr="00AC0791">
        <w:tc>
          <w:tcPr>
            <w:tcW w:w="1701" w:type="dxa"/>
            <w:tcBorders>
              <w:bottom w:val="single" w:sz="2" w:space="0" w:color="auto"/>
            </w:tcBorders>
            <w:shd w:val="clear" w:color="auto" w:fill="auto"/>
          </w:tcPr>
          <w:p w:rsidR="00715914" w:rsidRPr="006640F4" w:rsidRDefault="00AC0791" w:rsidP="006640F4">
            <w:pPr>
              <w:pStyle w:val="Tabletext"/>
            </w:pPr>
            <w:r w:rsidRPr="006640F4">
              <w:t>3</w:t>
            </w:r>
            <w:r w:rsidR="00715914" w:rsidRPr="006640F4">
              <w:t xml:space="preserve">.  </w:t>
            </w:r>
            <w:r w:rsidR="00423263" w:rsidRPr="006640F4">
              <w:t>Schedule</w:t>
            </w:r>
            <w:r w:rsidR="006640F4" w:rsidRPr="006640F4">
              <w:t> </w:t>
            </w:r>
            <w:r w:rsidR="00423263" w:rsidRPr="006640F4">
              <w:t>4</w:t>
            </w:r>
          </w:p>
        </w:tc>
        <w:tc>
          <w:tcPr>
            <w:tcW w:w="3828" w:type="dxa"/>
            <w:tcBorders>
              <w:bottom w:val="single" w:sz="2" w:space="0" w:color="auto"/>
            </w:tcBorders>
            <w:shd w:val="clear" w:color="auto" w:fill="auto"/>
          </w:tcPr>
          <w:p w:rsidR="00715914" w:rsidRPr="006640F4" w:rsidRDefault="00AC0791" w:rsidP="006640F4">
            <w:pPr>
              <w:pStyle w:val="Tabletext"/>
            </w:pPr>
            <w:r w:rsidRPr="006640F4">
              <w:t>The day after this Act receives the Royal Assent.</w:t>
            </w:r>
          </w:p>
        </w:tc>
        <w:tc>
          <w:tcPr>
            <w:tcW w:w="1582" w:type="dxa"/>
            <w:tcBorders>
              <w:bottom w:val="single" w:sz="2" w:space="0" w:color="auto"/>
            </w:tcBorders>
            <w:shd w:val="clear" w:color="auto" w:fill="auto"/>
          </w:tcPr>
          <w:p w:rsidR="00715914" w:rsidRPr="006640F4" w:rsidRDefault="00937CF5" w:rsidP="006640F4">
            <w:pPr>
              <w:pStyle w:val="Tabletext"/>
            </w:pPr>
            <w:r>
              <w:t>4 September 2020</w:t>
            </w:r>
          </w:p>
        </w:tc>
      </w:tr>
      <w:tr w:rsidR="00715914" w:rsidRPr="006640F4" w:rsidTr="00137427">
        <w:tc>
          <w:tcPr>
            <w:tcW w:w="1701" w:type="dxa"/>
            <w:tcBorders>
              <w:top w:val="single" w:sz="2" w:space="0" w:color="auto"/>
              <w:bottom w:val="single" w:sz="2" w:space="0" w:color="auto"/>
            </w:tcBorders>
            <w:shd w:val="clear" w:color="auto" w:fill="auto"/>
          </w:tcPr>
          <w:p w:rsidR="00715914" w:rsidRPr="006640F4" w:rsidRDefault="00AC0791" w:rsidP="006640F4">
            <w:pPr>
              <w:pStyle w:val="Tabletext"/>
            </w:pPr>
            <w:r w:rsidRPr="006640F4">
              <w:t>4</w:t>
            </w:r>
            <w:r w:rsidR="00715914" w:rsidRPr="006640F4">
              <w:t xml:space="preserve">.  </w:t>
            </w:r>
            <w:r w:rsidR="00423263" w:rsidRPr="006640F4">
              <w:t>Schedule</w:t>
            </w:r>
            <w:r w:rsidR="006640F4" w:rsidRPr="006640F4">
              <w:t> </w:t>
            </w:r>
            <w:r w:rsidR="00423263" w:rsidRPr="006640F4">
              <w:t>5</w:t>
            </w:r>
          </w:p>
        </w:tc>
        <w:tc>
          <w:tcPr>
            <w:tcW w:w="3828" w:type="dxa"/>
            <w:tcBorders>
              <w:top w:val="single" w:sz="2" w:space="0" w:color="auto"/>
              <w:bottom w:val="single" w:sz="2" w:space="0" w:color="auto"/>
            </w:tcBorders>
            <w:shd w:val="clear" w:color="auto" w:fill="auto"/>
          </w:tcPr>
          <w:p w:rsidR="00715914" w:rsidRPr="006640F4" w:rsidRDefault="00AC0791" w:rsidP="006640F4">
            <w:pPr>
              <w:pStyle w:val="Tabletext"/>
            </w:pPr>
            <w:r w:rsidRPr="006640F4">
              <w:t>The first 1</w:t>
            </w:r>
            <w:r w:rsidR="006640F4" w:rsidRPr="006640F4">
              <w:t> </w:t>
            </w:r>
            <w:r w:rsidRPr="006640F4">
              <w:t>January, 1</w:t>
            </w:r>
            <w:r w:rsidR="006640F4" w:rsidRPr="006640F4">
              <w:t> </w:t>
            </w:r>
            <w:r w:rsidRPr="006640F4">
              <w:t>April, 1</w:t>
            </w:r>
            <w:r w:rsidR="006640F4" w:rsidRPr="006640F4">
              <w:t> </w:t>
            </w:r>
            <w:r w:rsidRPr="006640F4">
              <w:t>July or 1</w:t>
            </w:r>
            <w:r w:rsidR="006640F4" w:rsidRPr="006640F4">
              <w:t> </w:t>
            </w:r>
            <w:r w:rsidRPr="006640F4">
              <w:t>October to occur after the day this Act receives the Royal Assent.</w:t>
            </w:r>
          </w:p>
        </w:tc>
        <w:tc>
          <w:tcPr>
            <w:tcW w:w="1582" w:type="dxa"/>
            <w:tcBorders>
              <w:top w:val="single" w:sz="2" w:space="0" w:color="auto"/>
              <w:bottom w:val="single" w:sz="2" w:space="0" w:color="auto"/>
            </w:tcBorders>
            <w:shd w:val="clear" w:color="auto" w:fill="auto"/>
          </w:tcPr>
          <w:p w:rsidR="00715914" w:rsidRPr="006640F4" w:rsidRDefault="00937CF5" w:rsidP="006640F4">
            <w:pPr>
              <w:pStyle w:val="Tabletext"/>
            </w:pPr>
            <w:r>
              <w:t>1 October 2020</w:t>
            </w:r>
          </w:p>
        </w:tc>
      </w:tr>
      <w:tr w:rsidR="00137427" w:rsidRPr="006640F4" w:rsidTr="00AC0791">
        <w:tc>
          <w:tcPr>
            <w:tcW w:w="1701" w:type="dxa"/>
            <w:tcBorders>
              <w:top w:val="single" w:sz="2" w:space="0" w:color="auto"/>
              <w:bottom w:val="single" w:sz="12" w:space="0" w:color="auto"/>
            </w:tcBorders>
            <w:shd w:val="clear" w:color="auto" w:fill="auto"/>
          </w:tcPr>
          <w:p w:rsidR="00137427" w:rsidRPr="006640F4" w:rsidRDefault="00137427" w:rsidP="006640F4">
            <w:pPr>
              <w:pStyle w:val="Tabletext"/>
            </w:pPr>
            <w:r>
              <w:t>5.  Schedule 6</w:t>
            </w:r>
          </w:p>
        </w:tc>
        <w:tc>
          <w:tcPr>
            <w:tcW w:w="3828" w:type="dxa"/>
            <w:tcBorders>
              <w:top w:val="single" w:sz="2" w:space="0" w:color="auto"/>
              <w:bottom w:val="single" w:sz="12" w:space="0" w:color="auto"/>
            </w:tcBorders>
            <w:shd w:val="clear" w:color="auto" w:fill="auto"/>
          </w:tcPr>
          <w:p w:rsidR="00137427" w:rsidRPr="006640F4" w:rsidRDefault="00137427" w:rsidP="006640F4">
            <w:pPr>
              <w:pStyle w:val="Tabletext"/>
            </w:pPr>
            <w:r w:rsidRPr="009A6B9B">
              <w:t>The day after this Act receives the Royal Assent.</w:t>
            </w:r>
          </w:p>
        </w:tc>
        <w:tc>
          <w:tcPr>
            <w:tcW w:w="1582" w:type="dxa"/>
            <w:tcBorders>
              <w:top w:val="single" w:sz="2" w:space="0" w:color="auto"/>
              <w:bottom w:val="single" w:sz="12" w:space="0" w:color="auto"/>
            </w:tcBorders>
            <w:shd w:val="clear" w:color="auto" w:fill="auto"/>
          </w:tcPr>
          <w:p w:rsidR="00137427" w:rsidRPr="006640F4" w:rsidRDefault="00937CF5" w:rsidP="006640F4">
            <w:pPr>
              <w:pStyle w:val="Tabletext"/>
            </w:pPr>
            <w:r>
              <w:t>4 September 2020</w:t>
            </w:r>
          </w:p>
        </w:tc>
      </w:tr>
    </w:tbl>
    <w:p w:rsidR="00715914" w:rsidRPr="006640F4" w:rsidRDefault="00B80199" w:rsidP="006640F4">
      <w:pPr>
        <w:pStyle w:val="notetext"/>
      </w:pPr>
      <w:r w:rsidRPr="006640F4">
        <w:t>Note:</w:t>
      </w:r>
      <w:r w:rsidRPr="006640F4">
        <w:tab/>
        <w:t>This table relates only to the provisions of this Act as originally enacted. It will not be amended to deal with any later amendments of this Act.</w:t>
      </w:r>
    </w:p>
    <w:p w:rsidR="00715914" w:rsidRPr="006640F4" w:rsidRDefault="00715914" w:rsidP="006640F4">
      <w:pPr>
        <w:pStyle w:val="subsection"/>
      </w:pPr>
      <w:r w:rsidRPr="006640F4">
        <w:tab/>
        <w:t>(2)</w:t>
      </w:r>
      <w:r w:rsidRPr="006640F4">
        <w:tab/>
      </w:r>
      <w:r w:rsidR="00B80199" w:rsidRPr="006640F4">
        <w:t xml:space="preserve">Any information in </w:t>
      </w:r>
      <w:r w:rsidR="009532A5" w:rsidRPr="006640F4">
        <w:t>c</w:t>
      </w:r>
      <w:r w:rsidR="00B80199" w:rsidRPr="006640F4">
        <w:t>olumn 3 of the table is not part of this Act. Information may be inserted in this column, or information in it may be edited, in any published version of this Act.</w:t>
      </w:r>
    </w:p>
    <w:p w:rsidR="00F91403" w:rsidRPr="006640F4" w:rsidRDefault="00F91403" w:rsidP="006640F4">
      <w:pPr>
        <w:pStyle w:val="ActHead5"/>
      </w:pPr>
      <w:bookmarkStart w:id="4" w:name="_Toc50370720"/>
      <w:r w:rsidRPr="00826806">
        <w:rPr>
          <w:rStyle w:val="CharSectno"/>
        </w:rPr>
        <w:t>3</w:t>
      </w:r>
      <w:r w:rsidRPr="006640F4">
        <w:t xml:space="preserve">  </w:t>
      </w:r>
      <w:r w:rsidR="00423263" w:rsidRPr="006640F4">
        <w:t>Schedules</w:t>
      </w:r>
      <w:bookmarkEnd w:id="4"/>
    </w:p>
    <w:p w:rsidR="00423263" w:rsidRPr="006640F4" w:rsidRDefault="00423263" w:rsidP="006640F4">
      <w:pPr>
        <w:pStyle w:val="subsection"/>
      </w:pPr>
      <w:r w:rsidRPr="006640F4">
        <w:tab/>
      </w:r>
      <w:r w:rsidRPr="006640F4">
        <w:tab/>
        <w:t>Legislation that is specified in a Schedule to this Act is amended or repealed as set out in the applicable items in the Schedule concerned, and any other item in a Schedule to this Act has effect according to its terms.</w:t>
      </w:r>
    </w:p>
    <w:p w:rsidR="008F32F2" w:rsidRPr="006640F4" w:rsidRDefault="008F32F2" w:rsidP="006640F4">
      <w:pPr>
        <w:sectPr w:rsidR="008F32F2" w:rsidRPr="006640F4" w:rsidSect="002E36F5">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p>
    <w:p w:rsidR="00FF086F" w:rsidRPr="006640F4" w:rsidRDefault="008F32F2" w:rsidP="006640F4">
      <w:pPr>
        <w:pStyle w:val="ActHead6"/>
        <w:pageBreakBefore/>
      </w:pPr>
      <w:bookmarkStart w:id="5" w:name="opcAmSched"/>
      <w:bookmarkStart w:id="6" w:name="_Toc50370721"/>
      <w:r w:rsidRPr="00826806">
        <w:rPr>
          <w:rStyle w:val="CharAmSchNo"/>
        </w:rPr>
        <w:t>Schedule</w:t>
      </w:r>
      <w:r w:rsidR="006640F4" w:rsidRPr="00826806">
        <w:rPr>
          <w:rStyle w:val="CharAmSchNo"/>
        </w:rPr>
        <w:t> </w:t>
      </w:r>
      <w:r w:rsidRPr="00826806">
        <w:rPr>
          <w:rStyle w:val="CharAmSchNo"/>
        </w:rPr>
        <w:t>1</w:t>
      </w:r>
      <w:r w:rsidRPr="006640F4">
        <w:t>—</w:t>
      </w:r>
      <w:r w:rsidRPr="00826806">
        <w:rPr>
          <w:rStyle w:val="CharAmSchText"/>
        </w:rPr>
        <w:t>Hybrid mismatch rules</w:t>
      </w:r>
      <w:bookmarkEnd w:id="6"/>
    </w:p>
    <w:p w:rsidR="00FF086F" w:rsidRPr="006640F4" w:rsidRDefault="00FF086F" w:rsidP="006640F4">
      <w:pPr>
        <w:pStyle w:val="ActHead7"/>
      </w:pPr>
      <w:bookmarkStart w:id="7" w:name="_Toc50370722"/>
      <w:bookmarkEnd w:id="5"/>
      <w:r w:rsidRPr="00826806">
        <w:rPr>
          <w:rStyle w:val="CharAmPartNo"/>
        </w:rPr>
        <w:t>Part</w:t>
      </w:r>
      <w:r w:rsidR="006640F4" w:rsidRPr="00826806">
        <w:rPr>
          <w:rStyle w:val="CharAmPartNo"/>
        </w:rPr>
        <w:t> </w:t>
      </w:r>
      <w:r w:rsidRPr="00826806">
        <w:rPr>
          <w:rStyle w:val="CharAmPartNo"/>
        </w:rPr>
        <w:t>1</w:t>
      </w:r>
      <w:r w:rsidRPr="006640F4">
        <w:t>—</w:t>
      </w:r>
      <w:r w:rsidRPr="00826806">
        <w:rPr>
          <w:rStyle w:val="CharAmPartText"/>
        </w:rPr>
        <w:t>Main amendments</w:t>
      </w:r>
      <w:bookmarkEnd w:id="7"/>
    </w:p>
    <w:p w:rsidR="00FF086F" w:rsidRPr="00826806" w:rsidRDefault="00FF086F" w:rsidP="006640F4">
      <w:pPr>
        <w:pStyle w:val="ActHead9"/>
        <w:rPr>
          <w:i w:val="0"/>
        </w:rPr>
      </w:pPr>
      <w:bookmarkStart w:id="8" w:name="_Toc50370723"/>
      <w:r w:rsidRPr="006640F4">
        <w:t>Income Tax Assessment Act 1997</w:t>
      </w:r>
      <w:bookmarkEnd w:id="8"/>
    </w:p>
    <w:p w:rsidR="00FF086F" w:rsidRPr="006640F4" w:rsidRDefault="00FF086F" w:rsidP="006640F4">
      <w:pPr>
        <w:pStyle w:val="ItemHead"/>
      </w:pPr>
      <w:r w:rsidRPr="006640F4">
        <w:t>1  Section</w:t>
      </w:r>
      <w:r w:rsidR="006640F4" w:rsidRPr="006640F4">
        <w:t> </w:t>
      </w:r>
      <w:r w:rsidRPr="006640F4">
        <w:t>832</w:t>
      </w:r>
      <w:r w:rsidR="00CB4341">
        <w:noBreakHyphen/>
      </w:r>
      <w:r w:rsidRPr="006640F4">
        <w:t>30</w:t>
      </w:r>
    </w:p>
    <w:p w:rsidR="00FF086F" w:rsidRPr="006640F4" w:rsidRDefault="00FF086F" w:rsidP="006640F4">
      <w:pPr>
        <w:pStyle w:val="Item"/>
      </w:pPr>
      <w:r w:rsidRPr="006640F4">
        <w:t>Repeal the section, substitute:</w:t>
      </w:r>
    </w:p>
    <w:p w:rsidR="00FF086F" w:rsidRPr="006640F4" w:rsidRDefault="00FF086F" w:rsidP="006640F4">
      <w:pPr>
        <w:pStyle w:val="ActHead5"/>
      </w:pPr>
      <w:bookmarkStart w:id="9" w:name="_Toc50370724"/>
      <w:r w:rsidRPr="00826806">
        <w:rPr>
          <w:rStyle w:val="CharSectno"/>
        </w:rPr>
        <w:t>832</w:t>
      </w:r>
      <w:r w:rsidR="00CB4341" w:rsidRPr="00826806">
        <w:rPr>
          <w:rStyle w:val="CharSectno"/>
        </w:rPr>
        <w:noBreakHyphen/>
      </w:r>
      <w:r w:rsidRPr="00826806">
        <w:rPr>
          <w:rStyle w:val="CharSectno"/>
        </w:rPr>
        <w:t>30</w:t>
      </w:r>
      <w:r w:rsidRPr="006640F4">
        <w:t xml:space="preserve">  How this Division applies to entities</w:t>
      </w:r>
      <w:bookmarkEnd w:id="9"/>
    </w:p>
    <w:p w:rsidR="00FF086F" w:rsidRPr="006640F4" w:rsidRDefault="00FF086F" w:rsidP="006640F4">
      <w:pPr>
        <w:pStyle w:val="SubsectionHead"/>
      </w:pPr>
      <w:r w:rsidRPr="006640F4">
        <w:t>Identifying payments between entities etc.</w:t>
      </w:r>
    </w:p>
    <w:p w:rsidR="00FF086F" w:rsidRPr="006640F4" w:rsidRDefault="00FF086F" w:rsidP="006640F4">
      <w:pPr>
        <w:pStyle w:val="subsection"/>
      </w:pPr>
      <w:r w:rsidRPr="006640F4">
        <w:tab/>
        <w:t>(1)</w:t>
      </w:r>
      <w:r w:rsidRPr="006640F4">
        <w:tab/>
        <w:t>A number of provisions in this Division refer to an entity making a payment to another entity. In determining for the purposes of this Division whether an entity makes or receives a payment, the following are to be disregarded:</w:t>
      </w:r>
    </w:p>
    <w:p w:rsidR="00FF086F" w:rsidRPr="006640F4" w:rsidRDefault="00FF086F" w:rsidP="006640F4">
      <w:pPr>
        <w:pStyle w:val="paragraph"/>
      </w:pPr>
      <w:r w:rsidRPr="006640F4">
        <w:tab/>
        <w:t>(a)</w:t>
      </w:r>
      <w:r w:rsidRPr="006640F4">
        <w:tab/>
        <w:t>subsection</w:t>
      </w:r>
      <w:r w:rsidR="006640F4" w:rsidRPr="006640F4">
        <w:t> </w:t>
      </w:r>
      <w:r w:rsidRPr="006640F4">
        <w:t>701</w:t>
      </w:r>
      <w:r w:rsidR="00CB4341">
        <w:noBreakHyphen/>
      </w:r>
      <w:r w:rsidRPr="006640F4">
        <w:t>1(1) (the single entity rule);</w:t>
      </w:r>
    </w:p>
    <w:p w:rsidR="00FF086F" w:rsidRPr="006640F4" w:rsidRDefault="00FF086F" w:rsidP="006640F4">
      <w:pPr>
        <w:pStyle w:val="paragraph"/>
      </w:pPr>
      <w:r w:rsidRPr="006640F4">
        <w:tab/>
        <w:t>(b)</w:t>
      </w:r>
      <w:r w:rsidRPr="006640F4">
        <w:tab/>
        <w:t>Part</w:t>
      </w:r>
      <w:r w:rsidR="006640F4" w:rsidRPr="006640F4">
        <w:t> </w:t>
      </w:r>
      <w:r w:rsidRPr="006640F4">
        <w:t xml:space="preserve">IIIB of the </w:t>
      </w:r>
      <w:r w:rsidRPr="006640F4">
        <w:rPr>
          <w:i/>
        </w:rPr>
        <w:t>Income Tax Assessment Act 1936</w:t>
      </w:r>
      <w:r w:rsidRPr="006640F4">
        <w:t>;</w:t>
      </w:r>
    </w:p>
    <w:p w:rsidR="00FF086F" w:rsidRPr="006640F4" w:rsidRDefault="00FF086F" w:rsidP="006640F4">
      <w:pPr>
        <w:pStyle w:val="paragraph"/>
      </w:pPr>
      <w:r w:rsidRPr="006640F4">
        <w:tab/>
        <w:t>(c)</w:t>
      </w:r>
      <w:r w:rsidRPr="006640F4">
        <w:tab/>
        <w:t>any law of a foreign country that, for the purposes of a foreign tax, treats a different entity as having made the payment, or disregards the payment.</w:t>
      </w:r>
    </w:p>
    <w:p w:rsidR="00FF086F" w:rsidRPr="006640F4" w:rsidRDefault="00FF086F" w:rsidP="006640F4">
      <w:pPr>
        <w:pStyle w:val="notetext"/>
      </w:pPr>
      <w:r w:rsidRPr="006640F4">
        <w:t>Note 1:</w:t>
      </w:r>
      <w:r w:rsidRPr="006640F4">
        <w:tab/>
        <w:t>The purpose of this subsection is to establish a uniform basis for recognising “payments” between entities across all jurisdictions. (Note that in some countries, a “payment” recognised by this subsection will not have a tax consequence because the payment is disregarded for tax purposes).</w:t>
      </w:r>
    </w:p>
    <w:p w:rsidR="00FF086F" w:rsidRPr="006640F4" w:rsidRDefault="00FF086F" w:rsidP="006640F4">
      <w:pPr>
        <w:pStyle w:val="notetext"/>
      </w:pPr>
      <w:r w:rsidRPr="006640F4">
        <w:t>Note 2:</w:t>
      </w:r>
      <w:r w:rsidRPr="006640F4">
        <w:tab/>
        <w:t xml:space="preserve">As a consequence of </w:t>
      </w:r>
      <w:r w:rsidR="006640F4" w:rsidRPr="006640F4">
        <w:t>paragraph (</w:t>
      </w:r>
      <w:r w:rsidRPr="006640F4">
        <w:t>1)(a), a subsidiary member of a consolidated group or MEC group may be a hybrid payer under section</w:t>
      </w:r>
      <w:r w:rsidR="006640F4" w:rsidRPr="006640F4">
        <w:t> </w:t>
      </w:r>
      <w:r w:rsidRPr="006640F4">
        <w:t>832</w:t>
      </w:r>
      <w:r w:rsidR="00CB4341">
        <w:noBreakHyphen/>
      </w:r>
      <w:r w:rsidRPr="006640F4">
        <w:t>320 or a deducting hybrid under section</w:t>
      </w:r>
      <w:r w:rsidR="006640F4" w:rsidRPr="006640F4">
        <w:t> </w:t>
      </w:r>
      <w:r w:rsidRPr="006640F4">
        <w:t>832</w:t>
      </w:r>
      <w:r w:rsidR="00CB4341">
        <w:noBreakHyphen/>
      </w:r>
      <w:r w:rsidRPr="006640F4">
        <w:t>550 (it cannot be a reverse hybrid because of subparagraph</w:t>
      </w:r>
      <w:r w:rsidR="006640F4" w:rsidRPr="006640F4">
        <w:t> </w:t>
      </w:r>
      <w:r w:rsidRPr="006640F4">
        <w:t>832</w:t>
      </w:r>
      <w:r w:rsidR="00CB4341">
        <w:noBreakHyphen/>
      </w:r>
      <w:r w:rsidRPr="006640F4">
        <w:t>410(2)(b)(ii)).</w:t>
      </w:r>
    </w:p>
    <w:p w:rsidR="00FF086F" w:rsidRPr="006640F4" w:rsidRDefault="00FF086F" w:rsidP="006640F4">
      <w:pPr>
        <w:pStyle w:val="subsection"/>
      </w:pPr>
      <w:r w:rsidRPr="006640F4">
        <w:tab/>
        <w:t>(2)</w:t>
      </w:r>
      <w:r w:rsidRPr="006640F4">
        <w:tab/>
        <w:t>In addition, in the case of a trust or partnership, the trust or partnership, instead of a trustee or partner, is taken, for the purposes of this Division, to do the following things:</w:t>
      </w:r>
    </w:p>
    <w:p w:rsidR="00FF086F" w:rsidRPr="006640F4" w:rsidRDefault="00FF086F" w:rsidP="006640F4">
      <w:pPr>
        <w:pStyle w:val="paragraph"/>
      </w:pPr>
      <w:r w:rsidRPr="006640F4">
        <w:tab/>
        <w:t>(a)</w:t>
      </w:r>
      <w:r w:rsidRPr="006640F4">
        <w:tab/>
        <w:t>make or receive a payment;</w:t>
      </w:r>
    </w:p>
    <w:p w:rsidR="00FF086F" w:rsidRPr="006640F4" w:rsidRDefault="00FF086F" w:rsidP="006640F4">
      <w:pPr>
        <w:pStyle w:val="paragraph"/>
      </w:pPr>
      <w:r w:rsidRPr="006640F4">
        <w:tab/>
        <w:t>(b)</w:t>
      </w:r>
      <w:r w:rsidRPr="006640F4">
        <w:tab/>
        <w:t>hold, acquire or dispose of an asset, interest or other property;</w:t>
      </w:r>
    </w:p>
    <w:p w:rsidR="00FF086F" w:rsidRPr="006640F4" w:rsidRDefault="00FF086F" w:rsidP="006640F4">
      <w:pPr>
        <w:pStyle w:val="paragraph"/>
      </w:pPr>
      <w:r w:rsidRPr="006640F4">
        <w:tab/>
        <w:t>(c)</w:t>
      </w:r>
      <w:r w:rsidRPr="006640F4">
        <w:tab/>
        <w:t xml:space="preserve">enter into or carry out a </w:t>
      </w:r>
      <w:r w:rsidR="006640F4" w:rsidRPr="006640F4">
        <w:rPr>
          <w:position w:val="6"/>
          <w:sz w:val="16"/>
        </w:rPr>
        <w:t>*</w:t>
      </w:r>
      <w:r w:rsidRPr="006640F4">
        <w:t>scheme</w:t>
      </w:r>
      <w:bookmarkStart w:id="10" w:name="BK_S4P4L1C39"/>
      <w:bookmarkEnd w:id="10"/>
      <w:r w:rsidRPr="006640F4">
        <w:t xml:space="preserve"> or a part of a scheme.</w:t>
      </w:r>
    </w:p>
    <w:p w:rsidR="00FF086F" w:rsidRPr="006640F4" w:rsidRDefault="00FF086F" w:rsidP="006640F4">
      <w:pPr>
        <w:pStyle w:val="SubsectionHead"/>
      </w:pPr>
      <w:r w:rsidRPr="006640F4">
        <w:t>Identifying income or profits of entities</w:t>
      </w:r>
    </w:p>
    <w:p w:rsidR="00FF086F" w:rsidRPr="006640F4" w:rsidRDefault="00FF086F" w:rsidP="006640F4">
      <w:pPr>
        <w:pStyle w:val="subsection"/>
      </w:pPr>
      <w:r w:rsidRPr="006640F4">
        <w:tab/>
        <w:t>(3)</w:t>
      </w:r>
      <w:r w:rsidRPr="006640F4">
        <w:tab/>
        <w:t xml:space="preserve">A number of provisions in this Division refer to the income or profits of an entity. For the purposes of this Division, things recognised in accordance with </w:t>
      </w:r>
      <w:r w:rsidR="006640F4" w:rsidRPr="006640F4">
        <w:t>subsection (</w:t>
      </w:r>
      <w:r w:rsidRPr="006640F4">
        <w:t>1) or (2) as being done by an entity are to be taken into account in identifying the income or profits of the entity.</w:t>
      </w:r>
    </w:p>
    <w:p w:rsidR="00FF086F" w:rsidRPr="006640F4" w:rsidRDefault="00FF086F" w:rsidP="006640F4">
      <w:pPr>
        <w:pStyle w:val="SubsectionHead"/>
      </w:pPr>
      <w:r w:rsidRPr="006640F4">
        <w:t>Assessable income and deductions</w:t>
      </w:r>
    </w:p>
    <w:p w:rsidR="00FF086F" w:rsidRPr="006640F4" w:rsidRDefault="00FF086F" w:rsidP="006640F4">
      <w:pPr>
        <w:pStyle w:val="subsection"/>
      </w:pPr>
      <w:r w:rsidRPr="006640F4">
        <w:tab/>
        <w:t>(4)</w:t>
      </w:r>
      <w:r w:rsidRPr="006640F4">
        <w:tab/>
        <w:t>A reference in this Division to an amount being included in the assessable income of an entity, or being allowable, or not allowable, as a deduction to an entity, is taken to be a reference to an amount that is so included, or allowable or not allowable, as the case requires, in determining:</w:t>
      </w:r>
    </w:p>
    <w:p w:rsidR="00FF086F" w:rsidRPr="006640F4" w:rsidRDefault="00FF086F" w:rsidP="006640F4">
      <w:pPr>
        <w:pStyle w:val="paragraph"/>
      </w:pPr>
      <w:r w:rsidRPr="006640F4">
        <w:tab/>
        <w:t>(a)</w:t>
      </w:r>
      <w:r w:rsidRPr="006640F4">
        <w:tab/>
        <w:t xml:space="preserve">in the case of an entity that is a trust—the entity’s </w:t>
      </w:r>
      <w:r w:rsidR="006640F4" w:rsidRPr="006640F4">
        <w:rPr>
          <w:position w:val="6"/>
          <w:sz w:val="16"/>
        </w:rPr>
        <w:t>*</w:t>
      </w:r>
      <w:r w:rsidRPr="006640F4">
        <w:t>net income; or</w:t>
      </w:r>
    </w:p>
    <w:p w:rsidR="00FF086F" w:rsidRPr="006640F4" w:rsidRDefault="00FF086F" w:rsidP="006640F4">
      <w:pPr>
        <w:pStyle w:val="paragraph"/>
      </w:pPr>
      <w:r w:rsidRPr="006640F4">
        <w:tab/>
        <w:t>(b)</w:t>
      </w:r>
      <w:r w:rsidRPr="006640F4">
        <w:tab/>
        <w:t xml:space="preserve">in the case of a partnership—the partnership’s net income or </w:t>
      </w:r>
      <w:r w:rsidR="006640F4" w:rsidRPr="006640F4">
        <w:rPr>
          <w:position w:val="6"/>
          <w:sz w:val="16"/>
        </w:rPr>
        <w:t>*</w:t>
      </w:r>
      <w:r w:rsidRPr="006640F4">
        <w:t>partnership loss.</w:t>
      </w:r>
    </w:p>
    <w:p w:rsidR="00FF086F" w:rsidRPr="006640F4" w:rsidRDefault="00FF086F" w:rsidP="006640F4">
      <w:pPr>
        <w:pStyle w:val="SubsectionHead"/>
      </w:pPr>
      <w:r w:rsidRPr="006640F4">
        <w:t>This section does not affect the interpretation of other provisions</w:t>
      </w:r>
    </w:p>
    <w:p w:rsidR="00FF086F" w:rsidRPr="006640F4" w:rsidRDefault="00FF086F" w:rsidP="006640F4">
      <w:pPr>
        <w:pStyle w:val="subsection"/>
      </w:pPr>
      <w:r w:rsidRPr="006640F4">
        <w:tab/>
        <w:t>(5)</w:t>
      </w:r>
      <w:r w:rsidRPr="006640F4">
        <w:tab/>
        <w:t xml:space="preserve">Nothing in this section affects whether </w:t>
      </w:r>
      <w:r w:rsidR="006640F4" w:rsidRPr="006640F4">
        <w:rPr>
          <w:position w:val="6"/>
          <w:sz w:val="16"/>
        </w:rPr>
        <w:t>*</w:t>
      </w:r>
      <w:r w:rsidRPr="006640F4">
        <w:t xml:space="preserve">tax or </w:t>
      </w:r>
      <w:r w:rsidR="006640F4" w:rsidRPr="006640F4">
        <w:rPr>
          <w:position w:val="6"/>
          <w:sz w:val="16"/>
        </w:rPr>
        <w:t>*</w:t>
      </w:r>
      <w:r w:rsidRPr="006640F4">
        <w:t>foreign income tax is imposed on an entity.</w:t>
      </w:r>
    </w:p>
    <w:p w:rsidR="00FF086F" w:rsidRPr="006640F4" w:rsidRDefault="00FF086F" w:rsidP="006640F4">
      <w:pPr>
        <w:pStyle w:val="subsection"/>
      </w:pPr>
      <w:r w:rsidRPr="006640F4">
        <w:tab/>
        <w:t>(6)</w:t>
      </w:r>
      <w:r w:rsidRPr="006640F4">
        <w:tab/>
        <w:t>Nothing in this section limits, by implication, any other provision of this Act.</w:t>
      </w:r>
    </w:p>
    <w:p w:rsidR="00FF086F" w:rsidRPr="006640F4" w:rsidRDefault="00FF086F" w:rsidP="006640F4">
      <w:pPr>
        <w:pStyle w:val="ItemHead"/>
      </w:pPr>
      <w:r w:rsidRPr="006640F4">
        <w:t>2  Subparagraph 832</w:t>
      </w:r>
      <w:r w:rsidR="00CB4341">
        <w:noBreakHyphen/>
      </w:r>
      <w:r w:rsidRPr="006640F4">
        <w:t>110(5)(b)(i)</w:t>
      </w:r>
    </w:p>
    <w:p w:rsidR="00FF086F" w:rsidRPr="006640F4" w:rsidRDefault="00FF086F" w:rsidP="006640F4">
      <w:pPr>
        <w:pStyle w:val="Item"/>
      </w:pPr>
      <w:r w:rsidRPr="006640F4">
        <w:t xml:space="preserve">Omit “(except </w:t>
      </w:r>
      <w:r w:rsidR="006640F4" w:rsidRPr="006640F4">
        <w:rPr>
          <w:position w:val="6"/>
          <w:sz w:val="16"/>
        </w:rPr>
        <w:t>*</w:t>
      </w:r>
      <w:r w:rsidRPr="006640F4">
        <w:t xml:space="preserve">credit absorption tax, </w:t>
      </w:r>
      <w:r w:rsidR="006640F4" w:rsidRPr="006640F4">
        <w:rPr>
          <w:position w:val="6"/>
          <w:sz w:val="16"/>
        </w:rPr>
        <w:t>*</w:t>
      </w:r>
      <w:r w:rsidRPr="006640F4">
        <w:t>unitary tax or a withholding</w:t>
      </w:r>
      <w:r w:rsidR="00CB4341">
        <w:noBreakHyphen/>
      </w:r>
      <w:r w:rsidRPr="006640F4">
        <w:t>type tax)”, substitute “(except a tax covered by subsection</w:t>
      </w:r>
      <w:r w:rsidR="006640F4" w:rsidRPr="006640F4">
        <w:t> </w:t>
      </w:r>
      <w:r w:rsidRPr="006640F4">
        <w:t>832</w:t>
      </w:r>
      <w:r w:rsidR="00CB4341">
        <w:noBreakHyphen/>
      </w:r>
      <w:r w:rsidRPr="006640F4">
        <w:t>130(7))”.</w:t>
      </w:r>
    </w:p>
    <w:p w:rsidR="00FF086F" w:rsidRPr="006640F4" w:rsidRDefault="00FF086F" w:rsidP="006640F4">
      <w:pPr>
        <w:pStyle w:val="ItemHead"/>
      </w:pPr>
      <w:r w:rsidRPr="006640F4">
        <w:t>3  Subsection</w:t>
      </w:r>
      <w:r w:rsidR="006640F4" w:rsidRPr="006640F4">
        <w:t> </w:t>
      </w:r>
      <w:r w:rsidRPr="006640F4">
        <w:t>832</w:t>
      </w:r>
      <w:r w:rsidR="00CB4341">
        <w:noBreakHyphen/>
      </w:r>
      <w:r w:rsidRPr="006640F4">
        <w:t>120(1)</w:t>
      </w:r>
    </w:p>
    <w:p w:rsidR="00FF086F" w:rsidRPr="006640F4" w:rsidRDefault="00FF086F" w:rsidP="006640F4">
      <w:pPr>
        <w:pStyle w:val="Item"/>
      </w:pPr>
      <w:r w:rsidRPr="006640F4">
        <w:t xml:space="preserve">Omit “(except </w:t>
      </w:r>
      <w:r w:rsidR="006640F4" w:rsidRPr="006640F4">
        <w:rPr>
          <w:position w:val="6"/>
          <w:sz w:val="16"/>
        </w:rPr>
        <w:t>*</w:t>
      </w:r>
      <w:r w:rsidRPr="006640F4">
        <w:t xml:space="preserve">credit absorption tax, </w:t>
      </w:r>
      <w:r w:rsidR="006640F4" w:rsidRPr="006640F4">
        <w:rPr>
          <w:position w:val="6"/>
          <w:sz w:val="16"/>
        </w:rPr>
        <w:t>*</w:t>
      </w:r>
      <w:r w:rsidRPr="006640F4">
        <w:t>unitary tax or a withholding</w:t>
      </w:r>
      <w:r w:rsidR="00CB4341">
        <w:noBreakHyphen/>
      </w:r>
      <w:r w:rsidRPr="006640F4">
        <w:t>type tax)”, substitute “(except a tax covered by subsection</w:t>
      </w:r>
      <w:r w:rsidR="006640F4" w:rsidRPr="006640F4">
        <w:t> </w:t>
      </w:r>
      <w:r w:rsidRPr="006640F4">
        <w:t>832</w:t>
      </w:r>
      <w:r w:rsidR="00CB4341">
        <w:noBreakHyphen/>
      </w:r>
      <w:r w:rsidRPr="006640F4">
        <w:t>130(7))”.</w:t>
      </w:r>
    </w:p>
    <w:p w:rsidR="00FF086F" w:rsidRPr="006640F4" w:rsidRDefault="00FF086F" w:rsidP="006640F4">
      <w:pPr>
        <w:pStyle w:val="ItemHead"/>
      </w:pPr>
      <w:r w:rsidRPr="006640F4">
        <w:t>4  Paragraph 832</w:t>
      </w:r>
      <w:r w:rsidR="00CB4341">
        <w:noBreakHyphen/>
      </w:r>
      <w:r w:rsidRPr="006640F4">
        <w:t>120(3)(b)</w:t>
      </w:r>
    </w:p>
    <w:p w:rsidR="00FF086F" w:rsidRPr="006640F4" w:rsidRDefault="00FF086F" w:rsidP="006640F4">
      <w:pPr>
        <w:pStyle w:val="Item"/>
      </w:pPr>
      <w:r w:rsidRPr="006640F4">
        <w:t xml:space="preserve">Omit “(except </w:t>
      </w:r>
      <w:r w:rsidR="006640F4" w:rsidRPr="006640F4">
        <w:rPr>
          <w:position w:val="6"/>
          <w:sz w:val="16"/>
        </w:rPr>
        <w:t>*</w:t>
      </w:r>
      <w:r w:rsidRPr="006640F4">
        <w:t xml:space="preserve">credit absorption tax, </w:t>
      </w:r>
      <w:r w:rsidR="006640F4" w:rsidRPr="006640F4">
        <w:rPr>
          <w:position w:val="6"/>
          <w:sz w:val="16"/>
        </w:rPr>
        <w:t>*</w:t>
      </w:r>
      <w:r w:rsidRPr="006640F4">
        <w:t>unitary tax or a withholding</w:t>
      </w:r>
      <w:r w:rsidR="00CB4341">
        <w:noBreakHyphen/>
      </w:r>
      <w:r w:rsidRPr="006640F4">
        <w:t>type tax)”, substitute “(except a tax covered by subsection</w:t>
      </w:r>
      <w:r w:rsidR="006640F4" w:rsidRPr="006640F4">
        <w:t> </w:t>
      </w:r>
      <w:r w:rsidRPr="006640F4">
        <w:t>832</w:t>
      </w:r>
      <w:r w:rsidR="00CB4341">
        <w:noBreakHyphen/>
      </w:r>
      <w:r w:rsidRPr="006640F4">
        <w:t>130(7))”.</w:t>
      </w:r>
    </w:p>
    <w:p w:rsidR="00FF086F" w:rsidRPr="006640F4" w:rsidRDefault="00FF086F" w:rsidP="006640F4">
      <w:pPr>
        <w:pStyle w:val="ItemHead"/>
      </w:pPr>
      <w:r w:rsidRPr="006640F4">
        <w:t>5  Paragraph 832</w:t>
      </w:r>
      <w:r w:rsidR="00CB4341">
        <w:noBreakHyphen/>
      </w:r>
      <w:r w:rsidRPr="006640F4">
        <w:t>125(2)(b)</w:t>
      </w:r>
    </w:p>
    <w:p w:rsidR="00FF086F" w:rsidRPr="006640F4" w:rsidRDefault="00FF086F" w:rsidP="006640F4">
      <w:pPr>
        <w:pStyle w:val="Item"/>
      </w:pPr>
      <w:r w:rsidRPr="006640F4">
        <w:t>Omit “net income”, substitute “</w:t>
      </w:r>
      <w:r w:rsidR="006640F4" w:rsidRPr="006640F4">
        <w:rPr>
          <w:position w:val="6"/>
          <w:sz w:val="16"/>
        </w:rPr>
        <w:t>*</w:t>
      </w:r>
      <w:r w:rsidRPr="006640F4">
        <w:t>net income”.</w:t>
      </w:r>
    </w:p>
    <w:p w:rsidR="00FF086F" w:rsidRPr="006640F4" w:rsidRDefault="00FF086F" w:rsidP="006640F4">
      <w:pPr>
        <w:pStyle w:val="ItemHead"/>
      </w:pPr>
      <w:r w:rsidRPr="006640F4">
        <w:t>6  Paragraph 832</w:t>
      </w:r>
      <w:r w:rsidR="00CB4341">
        <w:noBreakHyphen/>
      </w:r>
      <w:r w:rsidRPr="006640F4">
        <w:t>125(2)(c)</w:t>
      </w:r>
    </w:p>
    <w:p w:rsidR="00FF086F" w:rsidRPr="006640F4" w:rsidRDefault="00FF086F" w:rsidP="006640F4">
      <w:pPr>
        <w:pStyle w:val="Item"/>
      </w:pPr>
      <w:r w:rsidRPr="006640F4">
        <w:t>Omit “the trustee of”.</w:t>
      </w:r>
    </w:p>
    <w:p w:rsidR="00FF086F" w:rsidRPr="006640F4" w:rsidRDefault="00FF086F" w:rsidP="006640F4">
      <w:pPr>
        <w:pStyle w:val="ItemHead"/>
      </w:pPr>
      <w:r w:rsidRPr="006640F4">
        <w:t>7  Subsection</w:t>
      </w:r>
      <w:r w:rsidR="006640F4" w:rsidRPr="006640F4">
        <w:t> </w:t>
      </w:r>
      <w:r w:rsidRPr="006640F4">
        <w:t>832</w:t>
      </w:r>
      <w:r w:rsidR="00CB4341">
        <w:noBreakHyphen/>
      </w:r>
      <w:r w:rsidRPr="006640F4">
        <w:t>130(1)</w:t>
      </w:r>
    </w:p>
    <w:p w:rsidR="00FF086F" w:rsidRPr="006640F4" w:rsidRDefault="00FF086F" w:rsidP="006640F4">
      <w:pPr>
        <w:pStyle w:val="Item"/>
      </w:pPr>
      <w:r w:rsidRPr="006640F4">
        <w:t xml:space="preserve">Omit “(except </w:t>
      </w:r>
      <w:r w:rsidR="006640F4" w:rsidRPr="006640F4">
        <w:rPr>
          <w:position w:val="6"/>
          <w:sz w:val="16"/>
        </w:rPr>
        <w:t>*</w:t>
      </w:r>
      <w:r w:rsidRPr="006640F4">
        <w:t xml:space="preserve">credit absorption tax, </w:t>
      </w:r>
      <w:r w:rsidR="006640F4" w:rsidRPr="006640F4">
        <w:rPr>
          <w:position w:val="6"/>
          <w:sz w:val="16"/>
        </w:rPr>
        <w:t>*</w:t>
      </w:r>
      <w:r w:rsidRPr="006640F4">
        <w:t>unitary tax or a withholding</w:t>
      </w:r>
      <w:r w:rsidR="00CB4341">
        <w:noBreakHyphen/>
      </w:r>
      <w:r w:rsidRPr="006640F4">
        <w:t xml:space="preserve">type tax)”, substitute “(except a tax covered by </w:t>
      </w:r>
      <w:r w:rsidR="006640F4" w:rsidRPr="006640F4">
        <w:t>subsection (</w:t>
      </w:r>
      <w:r w:rsidRPr="006640F4">
        <w:t>7))”.</w:t>
      </w:r>
    </w:p>
    <w:p w:rsidR="00FF086F" w:rsidRPr="006640F4" w:rsidRDefault="00FF086F" w:rsidP="006640F4">
      <w:pPr>
        <w:pStyle w:val="ItemHead"/>
      </w:pPr>
      <w:r w:rsidRPr="006640F4">
        <w:t>8  Subsection</w:t>
      </w:r>
      <w:r w:rsidR="006640F4" w:rsidRPr="006640F4">
        <w:t> </w:t>
      </w:r>
      <w:r w:rsidRPr="006640F4">
        <w:t>832</w:t>
      </w:r>
      <w:r w:rsidR="00CB4341">
        <w:noBreakHyphen/>
      </w:r>
      <w:r w:rsidRPr="006640F4">
        <w:t>130(3)</w:t>
      </w:r>
    </w:p>
    <w:p w:rsidR="00FF086F" w:rsidRPr="006640F4" w:rsidRDefault="00FF086F" w:rsidP="006640F4">
      <w:pPr>
        <w:pStyle w:val="Item"/>
      </w:pPr>
      <w:r w:rsidRPr="006640F4">
        <w:t xml:space="preserve">Omit “(except </w:t>
      </w:r>
      <w:r w:rsidR="006640F4" w:rsidRPr="006640F4">
        <w:rPr>
          <w:position w:val="6"/>
          <w:sz w:val="16"/>
        </w:rPr>
        <w:t>*</w:t>
      </w:r>
      <w:r w:rsidRPr="006640F4">
        <w:t xml:space="preserve">credit absorption tax, </w:t>
      </w:r>
      <w:r w:rsidR="006640F4" w:rsidRPr="006640F4">
        <w:rPr>
          <w:position w:val="6"/>
          <w:sz w:val="16"/>
        </w:rPr>
        <w:t>*</w:t>
      </w:r>
      <w:r w:rsidRPr="006640F4">
        <w:t>unitary tax or a withholding</w:t>
      </w:r>
      <w:r w:rsidR="00CB4341">
        <w:noBreakHyphen/>
      </w:r>
      <w:r w:rsidRPr="006640F4">
        <w:t xml:space="preserve">type tax)”, substitute “(except a tax covered by </w:t>
      </w:r>
      <w:r w:rsidR="006640F4" w:rsidRPr="006640F4">
        <w:t>subsection (</w:t>
      </w:r>
      <w:r w:rsidRPr="006640F4">
        <w:t>7))”.</w:t>
      </w:r>
    </w:p>
    <w:p w:rsidR="00FF086F" w:rsidRPr="006640F4" w:rsidRDefault="00FF086F" w:rsidP="006640F4">
      <w:pPr>
        <w:pStyle w:val="ItemHead"/>
      </w:pPr>
      <w:r w:rsidRPr="006640F4">
        <w:t>9  Subsection</w:t>
      </w:r>
      <w:r w:rsidR="006640F4" w:rsidRPr="006640F4">
        <w:t> </w:t>
      </w:r>
      <w:r w:rsidRPr="006640F4">
        <w:t>832</w:t>
      </w:r>
      <w:r w:rsidR="00CB4341">
        <w:noBreakHyphen/>
      </w:r>
      <w:r w:rsidRPr="006640F4">
        <w:t>130(4)</w:t>
      </w:r>
    </w:p>
    <w:p w:rsidR="00FF086F" w:rsidRPr="006640F4" w:rsidRDefault="00FF086F" w:rsidP="006640F4">
      <w:pPr>
        <w:pStyle w:val="Item"/>
      </w:pPr>
      <w:r w:rsidRPr="006640F4">
        <w:t xml:space="preserve">Omit “(except </w:t>
      </w:r>
      <w:r w:rsidR="006640F4" w:rsidRPr="006640F4">
        <w:rPr>
          <w:position w:val="6"/>
          <w:sz w:val="16"/>
        </w:rPr>
        <w:t>*</w:t>
      </w:r>
      <w:r w:rsidRPr="006640F4">
        <w:t xml:space="preserve">credit absorption tax, </w:t>
      </w:r>
      <w:r w:rsidR="006640F4" w:rsidRPr="006640F4">
        <w:rPr>
          <w:position w:val="6"/>
          <w:sz w:val="16"/>
        </w:rPr>
        <w:t>*</w:t>
      </w:r>
      <w:r w:rsidRPr="006640F4">
        <w:t>unitary tax or a withholding</w:t>
      </w:r>
      <w:r w:rsidR="00CB4341">
        <w:noBreakHyphen/>
      </w:r>
      <w:r w:rsidRPr="006640F4">
        <w:t xml:space="preserve">type tax)”, substitute “(except a tax covered by </w:t>
      </w:r>
      <w:r w:rsidR="006640F4" w:rsidRPr="006640F4">
        <w:t>subsection (</w:t>
      </w:r>
      <w:r w:rsidRPr="006640F4">
        <w:t>7))”.</w:t>
      </w:r>
    </w:p>
    <w:p w:rsidR="00FF086F" w:rsidRPr="006640F4" w:rsidRDefault="00FF086F" w:rsidP="006640F4">
      <w:pPr>
        <w:pStyle w:val="ItemHead"/>
      </w:pPr>
      <w:r w:rsidRPr="006640F4">
        <w:t>10  Paragraph 832</w:t>
      </w:r>
      <w:r w:rsidR="00CB4341">
        <w:noBreakHyphen/>
      </w:r>
      <w:r w:rsidRPr="006640F4">
        <w:t>130(6)(b)</w:t>
      </w:r>
    </w:p>
    <w:p w:rsidR="00FF086F" w:rsidRPr="006640F4" w:rsidRDefault="00FF086F" w:rsidP="006640F4">
      <w:pPr>
        <w:pStyle w:val="Item"/>
      </w:pPr>
      <w:r w:rsidRPr="006640F4">
        <w:t xml:space="preserve">Omit “(except </w:t>
      </w:r>
      <w:r w:rsidR="006640F4" w:rsidRPr="006640F4">
        <w:rPr>
          <w:position w:val="6"/>
          <w:sz w:val="16"/>
        </w:rPr>
        <w:t>*</w:t>
      </w:r>
      <w:r w:rsidRPr="006640F4">
        <w:t xml:space="preserve">credit absorption tax, </w:t>
      </w:r>
      <w:r w:rsidR="006640F4" w:rsidRPr="006640F4">
        <w:rPr>
          <w:position w:val="6"/>
          <w:sz w:val="16"/>
        </w:rPr>
        <w:t>*</w:t>
      </w:r>
      <w:r w:rsidRPr="006640F4">
        <w:t>unitary tax or a withholding</w:t>
      </w:r>
      <w:r w:rsidR="00CB4341">
        <w:noBreakHyphen/>
      </w:r>
      <w:r w:rsidRPr="006640F4">
        <w:t xml:space="preserve">type tax)”, substitute “(except a tax covered by </w:t>
      </w:r>
      <w:r w:rsidR="006640F4" w:rsidRPr="006640F4">
        <w:t>subsection (</w:t>
      </w:r>
      <w:r w:rsidRPr="006640F4">
        <w:t>7))”.</w:t>
      </w:r>
    </w:p>
    <w:p w:rsidR="00FF086F" w:rsidRPr="006640F4" w:rsidRDefault="00FF086F" w:rsidP="006640F4">
      <w:pPr>
        <w:pStyle w:val="ItemHead"/>
      </w:pPr>
      <w:r w:rsidRPr="006640F4">
        <w:t>11  At the end of section</w:t>
      </w:r>
      <w:r w:rsidR="006640F4" w:rsidRPr="006640F4">
        <w:t> </w:t>
      </w:r>
      <w:r w:rsidRPr="006640F4">
        <w:t>832</w:t>
      </w:r>
      <w:r w:rsidR="00CB4341">
        <w:noBreakHyphen/>
      </w:r>
      <w:r w:rsidRPr="006640F4">
        <w:t>130</w:t>
      </w:r>
    </w:p>
    <w:p w:rsidR="00FF086F" w:rsidRPr="006640F4" w:rsidRDefault="00FF086F" w:rsidP="006640F4">
      <w:pPr>
        <w:pStyle w:val="Item"/>
      </w:pPr>
      <w:r w:rsidRPr="006640F4">
        <w:t>Add:</w:t>
      </w:r>
    </w:p>
    <w:p w:rsidR="00FF086F" w:rsidRPr="006640F4" w:rsidRDefault="00FF086F" w:rsidP="006640F4">
      <w:pPr>
        <w:pStyle w:val="SubsectionHead"/>
      </w:pPr>
      <w:r w:rsidRPr="006640F4">
        <w:t>Certain foreign taxes disregarded in this Division</w:t>
      </w:r>
    </w:p>
    <w:p w:rsidR="00FF086F" w:rsidRPr="006640F4" w:rsidRDefault="00FF086F" w:rsidP="006640F4">
      <w:pPr>
        <w:pStyle w:val="subsection"/>
      </w:pPr>
      <w:r w:rsidRPr="006640F4">
        <w:tab/>
        <w:t>(7)</w:t>
      </w:r>
      <w:r w:rsidRPr="006640F4">
        <w:tab/>
        <w:t>This subsection covers each of the following:</w:t>
      </w:r>
    </w:p>
    <w:p w:rsidR="00FF086F" w:rsidRPr="006640F4" w:rsidRDefault="00FF086F" w:rsidP="006640F4">
      <w:pPr>
        <w:pStyle w:val="paragraph"/>
      </w:pPr>
      <w:r w:rsidRPr="006640F4">
        <w:tab/>
        <w:t>(a)</w:t>
      </w:r>
      <w:r w:rsidRPr="006640F4">
        <w:tab/>
      </w:r>
      <w:r w:rsidR="006640F4" w:rsidRPr="006640F4">
        <w:rPr>
          <w:position w:val="6"/>
          <w:sz w:val="16"/>
        </w:rPr>
        <w:t>*</w:t>
      </w:r>
      <w:r w:rsidRPr="006640F4">
        <w:t>credit absorption tax;</w:t>
      </w:r>
    </w:p>
    <w:p w:rsidR="00FF086F" w:rsidRPr="006640F4" w:rsidRDefault="00FF086F" w:rsidP="006640F4">
      <w:pPr>
        <w:pStyle w:val="paragraph"/>
      </w:pPr>
      <w:r w:rsidRPr="006640F4">
        <w:tab/>
        <w:t>(b)</w:t>
      </w:r>
      <w:r w:rsidRPr="006640F4">
        <w:tab/>
      </w:r>
      <w:r w:rsidR="006640F4" w:rsidRPr="006640F4">
        <w:rPr>
          <w:position w:val="6"/>
          <w:sz w:val="16"/>
        </w:rPr>
        <w:t>*</w:t>
      </w:r>
      <w:r w:rsidRPr="006640F4">
        <w:t>unitary tax;</w:t>
      </w:r>
    </w:p>
    <w:p w:rsidR="00FF086F" w:rsidRPr="006640F4" w:rsidRDefault="00FF086F" w:rsidP="006640F4">
      <w:pPr>
        <w:pStyle w:val="paragraph"/>
      </w:pPr>
      <w:r w:rsidRPr="006640F4">
        <w:tab/>
        <w:t>(c)</w:t>
      </w:r>
      <w:r w:rsidRPr="006640F4">
        <w:tab/>
        <w:t>withholding</w:t>
      </w:r>
      <w:r w:rsidR="00CB4341">
        <w:noBreakHyphen/>
      </w:r>
      <w:r w:rsidRPr="006640F4">
        <w:t>type tax;</w:t>
      </w:r>
    </w:p>
    <w:p w:rsidR="00FF086F" w:rsidRPr="006640F4" w:rsidRDefault="00FF086F" w:rsidP="006640F4">
      <w:pPr>
        <w:pStyle w:val="paragraph"/>
      </w:pPr>
      <w:r w:rsidRPr="006640F4">
        <w:tab/>
        <w:t>(d)</w:t>
      </w:r>
      <w:r w:rsidRPr="006640F4">
        <w:tab/>
        <w:t>municipal tax;</w:t>
      </w:r>
    </w:p>
    <w:p w:rsidR="00FF086F" w:rsidRPr="006640F4" w:rsidRDefault="00FF086F" w:rsidP="006640F4">
      <w:pPr>
        <w:pStyle w:val="paragraph"/>
      </w:pPr>
      <w:r w:rsidRPr="006640F4">
        <w:tab/>
        <w:t>(e)</w:t>
      </w:r>
      <w:r w:rsidRPr="006640F4">
        <w:tab/>
        <w:t>in the case of a federal foreign country—a State tax.</w:t>
      </w:r>
    </w:p>
    <w:p w:rsidR="00FF086F" w:rsidRPr="006640F4" w:rsidRDefault="00FF086F" w:rsidP="006640F4">
      <w:pPr>
        <w:pStyle w:val="notetext"/>
      </w:pPr>
      <w:r w:rsidRPr="006640F4">
        <w:t>Note:</w:t>
      </w:r>
      <w:r w:rsidRPr="006640F4">
        <w:tab/>
        <w:t xml:space="preserve">The definitions of </w:t>
      </w:r>
      <w:r w:rsidRPr="006640F4">
        <w:rPr>
          <w:b/>
          <w:i/>
        </w:rPr>
        <w:t>credit absorption tax</w:t>
      </w:r>
      <w:r w:rsidRPr="006640F4">
        <w:t xml:space="preserve"> and </w:t>
      </w:r>
      <w:r w:rsidRPr="006640F4">
        <w:rPr>
          <w:b/>
          <w:i/>
        </w:rPr>
        <w:t>unitary tax</w:t>
      </w:r>
      <w:r w:rsidRPr="006640F4">
        <w:t xml:space="preserve"> are in section</w:t>
      </w:r>
      <w:r w:rsidR="006640F4" w:rsidRPr="006640F4">
        <w:t> </w:t>
      </w:r>
      <w:r w:rsidRPr="006640F4">
        <w:t>770</w:t>
      </w:r>
      <w:r w:rsidR="00CB4341">
        <w:noBreakHyphen/>
      </w:r>
      <w:r w:rsidRPr="006640F4">
        <w:t>15.</w:t>
      </w:r>
    </w:p>
    <w:p w:rsidR="00FF086F" w:rsidRPr="006640F4" w:rsidRDefault="00FF086F" w:rsidP="006640F4">
      <w:pPr>
        <w:pStyle w:val="ItemHead"/>
      </w:pPr>
      <w:r w:rsidRPr="006640F4">
        <w:t>12  After subsection</w:t>
      </w:r>
      <w:r w:rsidR="006640F4" w:rsidRPr="006640F4">
        <w:t> </w:t>
      </w:r>
      <w:r w:rsidRPr="006640F4">
        <w:t>832</w:t>
      </w:r>
      <w:r w:rsidR="00CB4341">
        <w:noBreakHyphen/>
      </w:r>
      <w:r w:rsidRPr="006640F4">
        <w:t>205(1)</w:t>
      </w:r>
    </w:p>
    <w:p w:rsidR="00FF086F" w:rsidRPr="006640F4" w:rsidRDefault="00FF086F" w:rsidP="006640F4">
      <w:pPr>
        <w:pStyle w:val="Item"/>
      </w:pPr>
      <w:r w:rsidRPr="006640F4">
        <w:t>Insert:</w:t>
      </w:r>
    </w:p>
    <w:p w:rsidR="00FF086F" w:rsidRPr="006640F4" w:rsidRDefault="00FF086F" w:rsidP="006640F4">
      <w:pPr>
        <w:pStyle w:val="subsection"/>
      </w:pPr>
      <w:r w:rsidRPr="006640F4">
        <w:tab/>
        <w:t>(1A)</w:t>
      </w:r>
      <w:r w:rsidRPr="006640F4">
        <w:tab/>
        <w:t>If a trust is in a Division</w:t>
      </w:r>
      <w:r w:rsidR="006640F4" w:rsidRPr="006640F4">
        <w:t> </w:t>
      </w:r>
      <w:r w:rsidRPr="006640F4">
        <w:t xml:space="preserve">832 control group as a result of the operation of </w:t>
      </w:r>
      <w:r w:rsidR="006640F4" w:rsidRPr="006640F4">
        <w:t>subsection (</w:t>
      </w:r>
      <w:r w:rsidRPr="006640F4">
        <w:t xml:space="preserve">1), then the trustee of the trust is in the same </w:t>
      </w:r>
      <w:r w:rsidRPr="006640F4">
        <w:rPr>
          <w:b/>
          <w:i/>
        </w:rPr>
        <w:t>Division</w:t>
      </w:r>
      <w:r w:rsidR="006640F4" w:rsidRPr="006640F4">
        <w:rPr>
          <w:b/>
          <w:i/>
        </w:rPr>
        <w:t> </w:t>
      </w:r>
      <w:r w:rsidRPr="006640F4">
        <w:rPr>
          <w:b/>
          <w:i/>
        </w:rPr>
        <w:t>832 control group</w:t>
      </w:r>
      <w:r w:rsidRPr="006640F4">
        <w:t>.</w:t>
      </w:r>
    </w:p>
    <w:p w:rsidR="00FF086F" w:rsidRPr="006640F4" w:rsidRDefault="00FF086F" w:rsidP="006640F4">
      <w:pPr>
        <w:pStyle w:val="ItemHead"/>
      </w:pPr>
      <w:r w:rsidRPr="006640F4">
        <w:t>13  Paragraph 832</w:t>
      </w:r>
      <w:r w:rsidR="00CB4341">
        <w:noBreakHyphen/>
      </w:r>
      <w:r w:rsidRPr="006640F4">
        <w:t>235(2)(b)</w:t>
      </w:r>
    </w:p>
    <w:p w:rsidR="00FF086F" w:rsidRPr="006640F4" w:rsidRDefault="00FF086F" w:rsidP="006640F4">
      <w:pPr>
        <w:pStyle w:val="Item"/>
      </w:pPr>
      <w:r w:rsidRPr="006640F4">
        <w:t xml:space="preserve">Omit “(except </w:t>
      </w:r>
      <w:r w:rsidR="006640F4" w:rsidRPr="006640F4">
        <w:rPr>
          <w:position w:val="6"/>
          <w:sz w:val="16"/>
        </w:rPr>
        <w:t>*</w:t>
      </w:r>
      <w:r w:rsidRPr="006640F4">
        <w:t xml:space="preserve">credit absorption tax, </w:t>
      </w:r>
      <w:r w:rsidR="006640F4" w:rsidRPr="006640F4">
        <w:rPr>
          <w:position w:val="6"/>
          <w:sz w:val="16"/>
        </w:rPr>
        <w:t>*</w:t>
      </w:r>
      <w:r w:rsidRPr="006640F4">
        <w:t>unitary tax or a withholding</w:t>
      </w:r>
      <w:r w:rsidR="00CB4341">
        <w:noBreakHyphen/>
      </w:r>
      <w:r w:rsidRPr="006640F4">
        <w:t>type tax)”, substitute “(except a tax covered by subsection</w:t>
      </w:r>
      <w:r w:rsidR="006640F4" w:rsidRPr="006640F4">
        <w:t> </w:t>
      </w:r>
      <w:r w:rsidRPr="006640F4">
        <w:t>832</w:t>
      </w:r>
      <w:r w:rsidR="00CB4341">
        <w:noBreakHyphen/>
      </w:r>
      <w:r w:rsidRPr="006640F4">
        <w:t>130(7))”.</w:t>
      </w:r>
    </w:p>
    <w:p w:rsidR="00FF086F" w:rsidRPr="006640F4" w:rsidRDefault="00FF086F" w:rsidP="006640F4">
      <w:pPr>
        <w:pStyle w:val="ItemHead"/>
      </w:pPr>
      <w:r w:rsidRPr="006640F4">
        <w:t>14  Subsection</w:t>
      </w:r>
      <w:r w:rsidR="006640F4" w:rsidRPr="006640F4">
        <w:t> </w:t>
      </w:r>
      <w:r w:rsidRPr="006640F4">
        <w:t>832</w:t>
      </w:r>
      <w:r w:rsidR="00CB4341">
        <w:noBreakHyphen/>
      </w:r>
      <w:r w:rsidRPr="006640F4">
        <w:t>320(1) (note)</w:t>
      </w:r>
    </w:p>
    <w:p w:rsidR="00FF086F" w:rsidRPr="006640F4" w:rsidRDefault="00FF086F" w:rsidP="006640F4">
      <w:pPr>
        <w:pStyle w:val="Item"/>
      </w:pPr>
      <w:r w:rsidRPr="006640F4">
        <w:t>Before “identified”, insert “generally”.</w:t>
      </w:r>
    </w:p>
    <w:p w:rsidR="00FF086F" w:rsidRPr="006640F4" w:rsidRDefault="00FF086F" w:rsidP="006640F4">
      <w:pPr>
        <w:pStyle w:val="ItemHead"/>
      </w:pPr>
      <w:r w:rsidRPr="006640F4">
        <w:t>15  Subsection</w:t>
      </w:r>
      <w:r w:rsidR="006640F4" w:rsidRPr="006640F4">
        <w:t> </w:t>
      </w:r>
      <w:r w:rsidRPr="006640F4">
        <w:t>832</w:t>
      </w:r>
      <w:r w:rsidR="00CB4341">
        <w:noBreakHyphen/>
      </w:r>
      <w:r w:rsidRPr="006640F4">
        <w:t>325(1)</w:t>
      </w:r>
    </w:p>
    <w:p w:rsidR="00FF086F" w:rsidRPr="006640F4" w:rsidRDefault="00FF086F" w:rsidP="006640F4">
      <w:pPr>
        <w:pStyle w:val="Item"/>
      </w:pPr>
      <w:r w:rsidRPr="006640F4">
        <w:t xml:space="preserve">Repeal the </w:t>
      </w:r>
      <w:r w:rsidR="006640F4" w:rsidRPr="006640F4">
        <w:t>subsection (</w:t>
      </w:r>
      <w:r w:rsidRPr="006640F4">
        <w:t>not including the heading or notes), substitute:</w:t>
      </w:r>
    </w:p>
    <w:p w:rsidR="00FF086F" w:rsidRPr="006640F4" w:rsidRDefault="00FF086F" w:rsidP="006640F4">
      <w:pPr>
        <w:pStyle w:val="subsection"/>
      </w:pPr>
      <w:r w:rsidRPr="006640F4">
        <w:tab/>
        <w:t>(1)</w:t>
      </w:r>
      <w:r w:rsidRPr="006640F4">
        <w:tab/>
        <w:t xml:space="preserve">An entity is a </w:t>
      </w:r>
      <w:r w:rsidRPr="006640F4">
        <w:rPr>
          <w:b/>
          <w:i/>
        </w:rPr>
        <w:t>liable entity</w:t>
      </w:r>
      <w:r w:rsidRPr="006640F4">
        <w:t>, in a country, in respect of its income or profits if:</w:t>
      </w:r>
    </w:p>
    <w:p w:rsidR="00FF086F" w:rsidRPr="006640F4" w:rsidRDefault="00FF086F" w:rsidP="006640F4">
      <w:pPr>
        <w:pStyle w:val="paragraph"/>
      </w:pPr>
      <w:r w:rsidRPr="006640F4">
        <w:tab/>
        <w:t>(a)</w:t>
      </w:r>
      <w:r w:rsidRPr="006640F4">
        <w:tab/>
        <w:t>for Australia:</w:t>
      </w:r>
    </w:p>
    <w:p w:rsidR="00FF086F" w:rsidRPr="006640F4" w:rsidRDefault="00FF086F" w:rsidP="006640F4">
      <w:pPr>
        <w:pStyle w:val="paragraphsub"/>
      </w:pPr>
      <w:r w:rsidRPr="006640F4">
        <w:tab/>
        <w:t>(i)</w:t>
      </w:r>
      <w:r w:rsidRPr="006640F4">
        <w:tab/>
      </w:r>
      <w:r w:rsidR="006640F4" w:rsidRPr="006640F4">
        <w:rPr>
          <w:position w:val="6"/>
          <w:sz w:val="16"/>
        </w:rPr>
        <w:t>*</w:t>
      </w:r>
      <w:r w:rsidRPr="006640F4">
        <w:t>tax is imposed on the entity in respect of all or part of its income or profits for an income year; or</w:t>
      </w:r>
    </w:p>
    <w:p w:rsidR="00FF086F" w:rsidRPr="006640F4" w:rsidRDefault="00FF086F" w:rsidP="006640F4">
      <w:pPr>
        <w:pStyle w:val="paragraphsub"/>
      </w:pPr>
      <w:r w:rsidRPr="006640F4">
        <w:tab/>
        <w:t>(ii)</w:t>
      </w:r>
      <w:r w:rsidRPr="006640F4">
        <w:tab/>
        <w:t xml:space="preserve">the entity is a </w:t>
      </w:r>
      <w:r w:rsidR="006640F4" w:rsidRPr="006640F4">
        <w:rPr>
          <w:position w:val="6"/>
          <w:sz w:val="16"/>
        </w:rPr>
        <w:t>*</w:t>
      </w:r>
      <w:r w:rsidRPr="006640F4">
        <w:t>public trading trust (including a trust that makes a choice under section</w:t>
      </w:r>
      <w:r w:rsidR="006640F4" w:rsidRPr="006640F4">
        <w:t> </w:t>
      </w:r>
      <w:r w:rsidRPr="006640F4">
        <w:t>703</w:t>
      </w:r>
      <w:r w:rsidR="00CB4341">
        <w:noBreakHyphen/>
      </w:r>
      <w:r w:rsidRPr="006640F4">
        <w:t>50 (Choice to consolidate a consolidatable group)); or</w:t>
      </w:r>
    </w:p>
    <w:p w:rsidR="00FF086F" w:rsidRPr="006640F4" w:rsidRDefault="00FF086F" w:rsidP="006640F4">
      <w:pPr>
        <w:pStyle w:val="paragraphsub"/>
      </w:pPr>
      <w:r w:rsidRPr="006640F4">
        <w:tab/>
        <w:t>(iii)</w:t>
      </w:r>
      <w:r w:rsidRPr="006640F4">
        <w:tab/>
        <w:t>the entity is an entity to which Division</w:t>
      </w:r>
      <w:r w:rsidR="006640F4" w:rsidRPr="006640F4">
        <w:t> </w:t>
      </w:r>
      <w:r w:rsidRPr="006640F4">
        <w:t>295 (about superannuation entities) applies; and</w:t>
      </w:r>
    </w:p>
    <w:p w:rsidR="00FF086F" w:rsidRPr="006640F4" w:rsidRDefault="00FF086F" w:rsidP="006640F4">
      <w:pPr>
        <w:pStyle w:val="paragraph"/>
      </w:pPr>
      <w:r w:rsidRPr="006640F4">
        <w:tab/>
        <w:t>(b)</w:t>
      </w:r>
      <w:r w:rsidRPr="006640F4">
        <w:tab/>
        <w:t>for a foreign country—</w:t>
      </w:r>
      <w:r w:rsidR="006640F4" w:rsidRPr="006640F4">
        <w:rPr>
          <w:position w:val="6"/>
          <w:sz w:val="16"/>
        </w:rPr>
        <w:t>*</w:t>
      </w:r>
      <w:r w:rsidRPr="006640F4">
        <w:t>foreign income tax (except a tax covered by subsection</w:t>
      </w:r>
      <w:r w:rsidR="006640F4" w:rsidRPr="006640F4">
        <w:t> </w:t>
      </w:r>
      <w:r w:rsidRPr="006640F4">
        <w:t>832</w:t>
      </w:r>
      <w:r w:rsidR="00CB4341">
        <w:noBreakHyphen/>
      </w:r>
      <w:r w:rsidRPr="006640F4">
        <w:t>130(7)) is imposed under the law of the foreign country:</w:t>
      </w:r>
    </w:p>
    <w:p w:rsidR="00FF086F" w:rsidRPr="006640F4" w:rsidRDefault="00FF086F" w:rsidP="006640F4">
      <w:pPr>
        <w:pStyle w:val="paragraphsub"/>
      </w:pPr>
      <w:r w:rsidRPr="006640F4">
        <w:tab/>
        <w:t>(i)</w:t>
      </w:r>
      <w:r w:rsidRPr="006640F4">
        <w:tab/>
        <w:t xml:space="preserve">on the entity in respect of all or part of its income or profits for a </w:t>
      </w:r>
      <w:r w:rsidR="006640F4" w:rsidRPr="006640F4">
        <w:rPr>
          <w:position w:val="6"/>
          <w:sz w:val="16"/>
        </w:rPr>
        <w:t>*</w:t>
      </w:r>
      <w:r w:rsidRPr="006640F4">
        <w:t>foreign tax period; or</w:t>
      </w:r>
    </w:p>
    <w:p w:rsidR="00FF086F" w:rsidRPr="006640F4" w:rsidRDefault="00FF086F" w:rsidP="006640F4">
      <w:pPr>
        <w:pStyle w:val="paragraphsub"/>
      </w:pPr>
      <w:r w:rsidRPr="006640F4">
        <w:tab/>
        <w:t>(ii)</w:t>
      </w:r>
      <w:r w:rsidRPr="006640F4">
        <w:tab/>
        <w:t>on the income or profits of the entity in a way that corresponds to the way that foreign income tax is imposed under the law of that country on the income or profits of a company (regardless whether the foreign income tax is actually imposed on that entity, or another entity).</w:t>
      </w:r>
    </w:p>
    <w:p w:rsidR="00FF086F" w:rsidRPr="006640F4" w:rsidRDefault="00FF086F" w:rsidP="006640F4">
      <w:pPr>
        <w:pStyle w:val="ItemHead"/>
      </w:pPr>
      <w:r w:rsidRPr="006640F4">
        <w:t>16  Subsection</w:t>
      </w:r>
      <w:r w:rsidR="006640F4" w:rsidRPr="006640F4">
        <w:t> </w:t>
      </w:r>
      <w:r w:rsidRPr="006640F4">
        <w:t>832</w:t>
      </w:r>
      <w:r w:rsidR="00CB4341">
        <w:noBreakHyphen/>
      </w:r>
      <w:r w:rsidRPr="006640F4">
        <w:t>325(1) (note 1)</w:t>
      </w:r>
    </w:p>
    <w:p w:rsidR="00FF086F" w:rsidRPr="006640F4" w:rsidRDefault="00FF086F" w:rsidP="006640F4">
      <w:pPr>
        <w:pStyle w:val="Item"/>
      </w:pPr>
      <w:r w:rsidRPr="006640F4">
        <w:t>Before “identified”, insert “generally”.</w:t>
      </w:r>
    </w:p>
    <w:p w:rsidR="00FF086F" w:rsidRPr="006640F4" w:rsidRDefault="00FF086F" w:rsidP="006640F4">
      <w:pPr>
        <w:pStyle w:val="ItemHead"/>
      </w:pPr>
      <w:r w:rsidRPr="006640F4">
        <w:t>17  Subsection</w:t>
      </w:r>
      <w:r w:rsidR="006640F4" w:rsidRPr="006640F4">
        <w:t> </w:t>
      </w:r>
      <w:r w:rsidRPr="006640F4">
        <w:t>832</w:t>
      </w:r>
      <w:r w:rsidR="00CB4341">
        <w:noBreakHyphen/>
      </w:r>
      <w:r w:rsidRPr="006640F4">
        <w:t>325(1) (note 2)</w:t>
      </w:r>
    </w:p>
    <w:p w:rsidR="00FF086F" w:rsidRPr="006640F4" w:rsidRDefault="00FF086F" w:rsidP="006640F4">
      <w:pPr>
        <w:pStyle w:val="Item"/>
      </w:pPr>
      <w:r w:rsidRPr="006640F4">
        <w:t>Omit “a member of a consolidated group”, substitute “a subsidiary member of a consolidated group or MEC group”.</w:t>
      </w:r>
    </w:p>
    <w:p w:rsidR="00FF086F" w:rsidRPr="006640F4" w:rsidRDefault="00FF086F" w:rsidP="006640F4">
      <w:pPr>
        <w:pStyle w:val="ItemHead"/>
      </w:pPr>
      <w:r w:rsidRPr="006640F4">
        <w:t>18  Paragraph 832</w:t>
      </w:r>
      <w:r w:rsidR="00CB4341">
        <w:noBreakHyphen/>
      </w:r>
      <w:r w:rsidRPr="006640F4">
        <w:t>325(2)(b)</w:t>
      </w:r>
    </w:p>
    <w:p w:rsidR="00FF086F" w:rsidRPr="006640F4" w:rsidRDefault="00FF086F" w:rsidP="006640F4">
      <w:pPr>
        <w:pStyle w:val="Item"/>
      </w:pPr>
      <w:r w:rsidRPr="006640F4">
        <w:t xml:space="preserve">Omit “(except </w:t>
      </w:r>
      <w:r w:rsidR="006640F4" w:rsidRPr="006640F4">
        <w:rPr>
          <w:position w:val="6"/>
          <w:sz w:val="16"/>
        </w:rPr>
        <w:t>*</w:t>
      </w:r>
      <w:r w:rsidRPr="006640F4">
        <w:t xml:space="preserve">credit absorption tax, </w:t>
      </w:r>
      <w:r w:rsidR="006640F4" w:rsidRPr="006640F4">
        <w:rPr>
          <w:position w:val="6"/>
          <w:sz w:val="16"/>
        </w:rPr>
        <w:t>*</w:t>
      </w:r>
      <w:r w:rsidRPr="006640F4">
        <w:t>unitary tax or a withholding</w:t>
      </w:r>
      <w:r w:rsidR="00CB4341">
        <w:noBreakHyphen/>
      </w:r>
      <w:r w:rsidRPr="006640F4">
        <w:t>type tax)”, substitute “(except a tax covered by subsection</w:t>
      </w:r>
      <w:r w:rsidR="006640F4" w:rsidRPr="006640F4">
        <w:t> </w:t>
      </w:r>
      <w:r w:rsidRPr="006640F4">
        <w:t>832</w:t>
      </w:r>
      <w:r w:rsidR="00CB4341">
        <w:noBreakHyphen/>
      </w:r>
      <w:r w:rsidRPr="006640F4">
        <w:t>130(7))”.</w:t>
      </w:r>
    </w:p>
    <w:p w:rsidR="00FF086F" w:rsidRPr="006640F4" w:rsidRDefault="00FF086F" w:rsidP="006640F4">
      <w:pPr>
        <w:pStyle w:val="ItemHead"/>
      </w:pPr>
      <w:r w:rsidRPr="006640F4">
        <w:t>19  Subsection</w:t>
      </w:r>
      <w:r w:rsidR="006640F4" w:rsidRPr="006640F4">
        <w:t> </w:t>
      </w:r>
      <w:r w:rsidRPr="006640F4">
        <w:t>832</w:t>
      </w:r>
      <w:r w:rsidR="00CB4341">
        <w:noBreakHyphen/>
      </w:r>
      <w:r w:rsidRPr="006640F4">
        <w:t>325(2) (note 1)</w:t>
      </w:r>
    </w:p>
    <w:p w:rsidR="00FF086F" w:rsidRPr="006640F4" w:rsidRDefault="00FF086F" w:rsidP="006640F4">
      <w:pPr>
        <w:pStyle w:val="Item"/>
      </w:pPr>
      <w:r w:rsidRPr="006640F4">
        <w:t>Before “identified”, insert “generally”.</w:t>
      </w:r>
    </w:p>
    <w:p w:rsidR="00FF086F" w:rsidRPr="006640F4" w:rsidRDefault="00FF086F" w:rsidP="006640F4">
      <w:pPr>
        <w:pStyle w:val="ItemHead"/>
      </w:pPr>
      <w:r w:rsidRPr="006640F4">
        <w:t>20  After subsection</w:t>
      </w:r>
      <w:r w:rsidR="006640F4" w:rsidRPr="006640F4">
        <w:t> </w:t>
      </w:r>
      <w:r w:rsidRPr="006640F4">
        <w:t>832</w:t>
      </w:r>
      <w:r w:rsidR="00CB4341">
        <w:noBreakHyphen/>
      </w:r>
      <w:r w:rsidRPr="006640F4">
        <w:t>325(2)</w:t>
      </w:r>
    </w:p>
    <w:p w:rsidR="00FF086F" w:rsidRPr="006640F4" w:rsidRDefault="00FF086F" w:rsidP="006640F4">
      <w:pPr>
        <w:pStyle w:val="Item"/>
      </w:pPr>
      <w:r w:rsidRPr="006640F4">
        <w:t>Insert:</w:t>
      </w:r>
    </w:p>
    <w:p w:rsidR="00FF086F" w:rsidRPr="006640F4" w:rsidRDefault="00FF086F" w:rsidP="006640F4">
      <w:pPr>
        <w:pStyle w:val="subsection"/>
      </w:pPr>
      <w:r w:rsidRPr="006640F4">
        <w:tab/>
        <w:t>(2A)</w:t>
      </w:r>
      <w:r w:rsidRPr="006640F4">
        <w:tab/>
        <w:t xml:space="preserve">However, an entity is not a </w:t>
      </w:r>
      <w:r w:rsidRPr="006640F4">
        <w:rPr>
          <w:b/>
          <w:i/>
        </w:rPr>
        <w:t>liable entity</w:t>
      </w:r>
      <w:r w:rsidRPr="006640F4">
        <w:t xml:space="preserve"> in a country in respect of the income or profits of a test entity under </w:t>
      </w:r>
      <w:r w:rsidR="006640F4" w:rsidRPr="006640F4">
        <w:t>subsection (</w:t>
      </w:r>
      <w:r w:rsidRPr="006640F4">
        <w:t xml:space="preserve">2) if the test entity is the liable entity in that country in respect of the income or profits as a result of the operation of </w:t>
      </w:r>
      <w:r w:rsidR="006640F4" w:rsidRPr="006640F4">
        <w:t>subparagraph (</w:t>
      </w:r>
      <w:r w:rsidRPr="006640F4">
        <w:t>1)(a)(ii), (a)(iii) or (b)(ii).</w:t>
      </w:r>
    </w:p>
    <w:p w:rsidR="00FF086F" w:rsidRPr="006640F4" w:rsidRDefault="00FF086F" w:rsidP="006640F4">
      <w:pPr>
        <w:pStyle w:val="ItemHead"/>
      </w:pPr>
      <w:r w:rsidRPr="006640F4">
        <w:t>21  Subsection</w:t>
      </w:r>
      <w:r w:rsidR="006640F4" w:rsidRPr="006640F4">
        <w:t> </w:t>
      </w:r>
      <w:r w:rsidRPr="006640F4">
        <w:t>832</w:t>
      </w:r>
      <w:r w:rsidR="00CB4341">
        <w:noBreakHyphen/>
      </w:r>
      <w:r w:rsidRPr="006640F4">
        <w:t>410(1) (note)</w:t>
      </w:r>
    </w:p>
    <w:p w:rsidR="00FF086F" w:rsidRPr="006640F4" w:rsidRDefault="00FF086F" w:rsidP="006640F4">
      <w:pPr>
        <w:pStyle w:val="Item"/>
      </w:pPr>
      <w:r w:rsidRPr="006640F4">
        <w:t>Before “identified”, insert “generally”.</w:t>
      </w:r>
    </w:p>
    <w:p w:rsidR="00FF086F" w:rsidRPr="006640F4" w:rsidRDefault="00FF086F" w:rsidP="006640F4">
      <w:pPr>
        <w:pStyle w:val="ItemHead"/>
      </w:pPr>
      <w:r w:rsidRPr="006640F4">
        <w:t>22  Subparagraph 832</w:t>
      </w:r>
      <w:r w:rsidR="00CB4341">
        <w:noBreakHyphen/>
      </w:r>
      <w:r w:rsidRPr="006640F4">
        <w:t>410(2)(b)(ii)</w:t>
      </w:r>
    </w:p>
    <w:p w:rsidR="00FF086F" w:rsidRPr="006640F4" w:rsidRDefault="00FF086F" w:rsidP="006640F4">
      <w:pPr>
        <w:pStyle w:val="Item"/>
      </w:pPr>
      <w:r w:rsidRPr="006640F4">
        <w:t>After “</w:t>
      </w:r>
      <w:r w:rsidR="006640F4" w:rsidRPr="006640F4">
        <w:rPr>
          <w:position w:val="6"/>
          <w:sz w:val="16"/>
        </w:rPr>
        <w:t>*</w:t>
      </w:r>
      <w:r w:rsidRPr="006640F4">
        <w:t xml:space="preserve">consolidated group”, insert “or </w:t>
      </w:r>
      <w:r w:rsidR="006640F4" w:rsidRPr="006640F4">
        <w:rPr>
          <w:position w:val="6"/>
          <w:sz w:val="16"/>
        </w:rPr>
        <w:t>*</w:t>
      </w:r>
      <w:r w:rsidRPr="006640F4">
        <w:t>MEC group”.</w:t>
      </w:r>
    </w:p>
    <w:p w:rsidR="00FF086F" w:rsidRPr="006640F4" w:rsidRDefault="00FF086F" w:rsidP="006640F4">
      <w:pPr>
        <w:pStyle w:val="ItemHead"/>
      </w:pPr>
      <w:r w:rsidRPr="006640F4">
        <w:t>23  Paragraph 832</w:t>
      </w:r>
      <w:r w:rsidR="00CB4341">
        <w:noBreakHyphen/>
      </w:r>
      <w:r w:rsidRPr="006640F4">
        <w:t>480(4)(b)</w:t>
      </w:r>
    </w:p>
    <w:p w:rsidR="00FF086F" w:rsidRPr="006640F4" w:rsidRDefault="00FF086F" w:rsidP="006640F4">
      <w:pPr>
        <w:pStyle w:val="Item"/>
      </w:pPr>
      <w:r w:rsidRPr="006640F4">
        <w:t xml:space="preserve">Omit “(except </w:t>
      </w:r>
      <w:r w:rsidR="006640F4" w:rsidRPr="006640F4">
        <w:rPr>
          <w:position w:val="6"/>
          <w:sz w:val="16"/>
        </w:rPr>
        <w:t>*</w:t>
      </w:r>
      <w:r w:rsidRPr="006640F4">
        <w:t xml:space="preserve">credit absorption tax, </w:t>
      </w:r>
      <w:r w:rsidR="006640F4" w:rsidRPr="006640F4">
        <w:rPr>
          <w:position w:val="6"/>
          <w:sz w:val="16"/>
        </w:rPr>
        <w:t>*</w:t>
      </w:r>
      <w:r w:rsidRPr="006640F4">
        <w:t>unitary tax or a withholding</w:t>
      </w:r>
      <w:r w:rsidR="00CB4341">
        <w:noBreakHyphen/>
      </w:r>
      <w:r w:rsidRPr="006640F4">
        <w:t>type tax)”, substitute “(except a tax covered by subsection</w:t>
      </w:r>
      <w:r w:rsidR="006640F4" w:rsidRPr="006640F4">
        <w:t> </w:t>
      </w:r>
      <w:r w:rsidRPr="006640F4">
        <w:t>832</w:t>
      </w:r>
      <w:r w:rsidR="00CB4341">
        <w:noBreakHyphen/>
      </w:r>
      <w:r w:rsidRPr="006640F4">
        <w:t>130(7))”.</w:t>
      </w:r>
    </w:p>
    <w:p w:rsidR="00FF086F" w:rsidRPr="006640F4" w:rsidRDefault="00FF086F" w:rsidP="006640F4">
      <w:pPr>
        <w:pStyle w:val="ItemHead"/>
      </w:pPr>
      <w:r w:rsidRPr="006640F4">
        <w:t>24  Subparagraph 832</w:t>
      </w:r>
      <w:r w:rsidR="00CB4341">
        <w:noBreakHyphen/>
      </w:r>
      <w:r w:rsidRPr="006640F4">
        <w:t>485(4)(a)(ii)</w:t>
      </w:r>
    </w:p>
    <w:p w:rsidR="00FF086F" w:rsidRPr="006640F4" w:rsidRDefault="00FF086F" w:rsidP="006640F4">
      <w:pPr>
        <w:pStyle w:val="Item"/>
      </w:pPr>
      <w:r w:rsidRPr="006640F4">
        <w:t xml:space="preserve">Omit “(except </w:t>
      </w:r>
      <w:r w:rsidR="006640F4" w:rsidRPr="006640F4">
        <w:rPr>
          <w:position w:val="6"/>
          <w:sz w:val="16"/>
        </w:rPr>
        <w:t>*</w:t>
      </w:r>
      <w:r w:rsidRPr="006640F4">
        <w:t xml:space="preserve">credit absorption tax, </w:t>
      </w:r>
      <w:r w:rsidR="006640F4" w:rsidRPr="006640F4">
        <w:rPr>
          <w:position w:val="6"/>
          <w:sz w:val="16"/>
        </w:rPr>
        <w:t>*</w:t>
      </w:r>
      <w:r w:rsidRPr="006640F4">
        <w:t>unitary tax or a withholding</w:t>
      </w:r>
      <w:r w:rsidR="00CB4341">
        <w:noBreakHyphen/>
      </w:r>
      <w:r w:rsidRPr="006640F4">
        <w:t>type tax)”, substitute “(except a tax covered by subsection</w:t>
      </w:r>
      <w:r w:rsidR="006640F4" w:rsidRPr="006640F4">
        <w:t> </w:t>
      </w:r>
      <w:r w:rsidRPr="006640F4">
        <w:t>832</w:t>
      </w:r>
      <w:r w:rsidR="00CB4341">
        <w:noBreakHyphen/>
      </w:r>
      <w:r w:rsidRPr="006640F4">
        <w:t>130(7))”.</w:t>
      </w:r>
    </w:p>
    <w:p w:rsidR="00FF086F" w:rsidRPr="006640F4" w:rsidRDefault="00FF086F" w:rsidP="006640F4">
      <w:pPr>
        <w:pStyle w:val="ItemHead"/>
      </w:pPr>
      <w:r w:rsidRPr="006640F4">
        <w:t>25  Paragraph 832</w:t>
      </w:r>
      <w:r w:rsidR="00CB4341">
        <w:noBreakHyphen/>
      </w:r>
      <w:r w:rsidRPr="006640F4">
        <w:t>550(c)</w:t>
      </w:r>
    </w:p>
    <w:p w:rsidR="00FF086F" w:rsidRPr="006640F4" w:rsidRDefault="00FF086F" w:rsidP="006640F4">
      <w:pPr>
        <w:pStyle w:val="Item"/>
      </w:pPr>
      <w:r w:rsidRPr="006640F4">
        <w:t>Repeal the paragraph, substitute:</w:t>
      </w:r>
    </w:p>
    <w:p w:rsidR="00FF086F" w:rsidRPr="006640F4" w:rsidRDefault="00FF086F" w:rsidP="006640F4">
      <w:pPr>
        <w:pStyle w:val="paragraph"/>
      </w:pPr>
      <w:r w:rsidRPr="006640F4">
        <w:tab/>
        <w:t>(c)</w:t>
      </w:r>
      <w:r w:rsidRPr="006640F4">
        <w:tab/>
        <w:t>the entity:</w:t>
      </w:r>
    </w:p>
    <w:p w:rsidR="00FF086F" w:rsidRPr="006640F4" w:rsidRDefault="00FF086F" w:rsidP="006640F4">
      <w:pPr>
        <w:pStyle w:val="paragraphsub"/>
      </w:pPr>
      <w:r w:rsidRPr="006640F4">
        <w:tab/>
        <w:t>(i)</w:t>
      </w:r>
      <w:r w:rsidRPr="006640F4">
        <w:tab/>
        <w:t xml:space="preserve">is a </w:t>
      </w:r>
      <w:r w:rsidR="006640F4" w:rsidRPr="006640F4">
        <w:rPr>
          <w:position w:val="6"/>
          <w:sz w:val="16"/>
        </w:rPr>
        <w:t>*</w:t>
      </w:r>
      <w:r w:rsidRPr="006640F4">
        <w:t>liable entity in one deducting country (but not both); or</w:t>
      </w:r>
    </w:p>
    <w:p w:rsidR="00FF086F" w:rsidRPr="006640F4" w:rsidRDefault="00FF086F" w:rsidP="006640F4">
      <w:pPr>
        <w:pStyle w:val="paragraphsub"/>
      </w:pPr>
      <w:r w:rsidRPr="006640F4">
        <w:tab/>
        <w:t>(ii)</w:t>
      </w:r>
      <w:r w:rsidRPr="006640F4">
        <w:tab/>
        <w:t>satisfies the residency test in subsection</w:t>
      </w:r>
      <w:r w:rsidR="006640F4" w:rsidRPr="006640F4">
        <w:t> </w:t>
      </w:r>
      <w:r w:rsidRPr="006640F4">
        <w:t>832</w:t>
      </w:r>
      <w:r w:rsidR="00CB4341">
        <w:noBreakHyphen/>
      </w:r>
      <w:r w:rsidRPr="006640F4">
        <w:t>555(9) in both deducting countries, and is also a liable entity in both deducting countries; or</w:t>
      </w:r>
    </w:p>
    <w:p w:rsidR="00FF086F" w:rsidRPr="006640F4" w:rsidRDefault="00FF086F" w:rsidP="006640F4">
      <w:pPr>
        <w:pStyle w:val="paragraphsub"/>
      </w:pPr>
      <w:r w:rsidRPr="006640F4">
        <w:tab/>
        <w:t>(iii)</w:t>
      </w:r>
      <w:r w:rsidRPr="006640F4">
        <w:tab/>
        <w:t xml:space="preserve">is a </w:t>
      </w:r>
      <w:r w:rsidR="006640F4" w:rsidRPr="006640F4">
        <w:rPr>
          <w:position w:val="6"/>
          <w:sz w:val="16"/>
        </w:rPr>
        <w:t>*</w:t>
      </w:r>
      <w:r w:rsidRPr="006640F4">
        <w:t xml:space="preserve">member of a </w:t>
      </w:r>
      <w:r w:rsidR="006640F4" w:rsidRPr="006640F4">
        <w:rPr>
          <w:position w:val="6"/>
          <w:sz w:val="16"/>
        </w:rPr>
        <w:t>*</w:t>
      </w:r>
      <w:r w:rsidRPr="006640F4">
        <w:t xml:space="preserve">consolidated group or a </w:t>
      </w:r>
      <w:r w:rsidR="006640F4" w:rsidRPr="006640F4">
        <w:rPr>
          <w:position w:val="6"/>
          <w:sz w:val="16"/>
        </w:rPr>
        <w:t>*</w:t>
      </w:r>
      <w:r w:rsidRPr="006640F4">
        <w:t>MEC group.</w:t>
      </w:r>
    </w:p>
    <w:p w:rsidR="00FF086F" w:rsidRPr="006640F4" w:rsidRDefault="00FF086F" w:rsidP="006640F4">
      <w:pPr>
        <w:pStyle w:val="ItemHead"/>
      </w:pPr>
      <w:r w:rsidRPr="006640F4">
        <w:t>26  Subparagraph 832</w:t>
      </w:r>
      <w:r w:rsidR="00CB4341">
        <w:noBreakHyphen/>
      </w:r>
      <w:r w:rsidRPr="006640F4">
        <w:t>555(9)(b)(i)</w:t>
      </w:r>
    </w:p>
    <w:p w:rsidR="00FF086F" w:rsidRPr="006640F4" w:rsidRDefault="00FF086F" w:rsidP="006640F4">
      <w:pPr>
        <w:pStyle w:val="Item"/>
      </w:pPr>
      <w:r w:rsidRPr="006640F4">
        <w:t xml:space="preserve">Omit “(except </w:t>
      </w:r>
      <w:r w:rsidR="006640F4" w:rsidRPr="006640F4">
        <w:rPr>
          <w:position w:val="6"/>
          <w:sz w:val="16"/>
        </w:rPr>
        <w:t>*</w:t>
      </w:r>
      <w:r w:rsidRPr="006640F4">
        <w:t xml:space="preserve">credit absorption tax, </w:t>
      </w:r>
      <w:r w:rsidR="006640F4" w:rsidRPr="006640F4">
        <w:rPr>
          <w:position w:val="6"/>
          <w:sz w:val="16"/>
        </w:rPr>
        <w:t>*</w:t>
      </w:r>
      <w:r w:rsidRPr="006640F4">
        <w:t>unitary tax or a withholding</w:t>
      </w:r>
      <w:r w:rsidR="00CB4341">
        <w:noBreakHyphen/>
      </w:r>
      <w:r w:rsidRPr="006640F4">
        <w:t>type tax)”, substitute “(except a tax covered by subsection</w:t>
      </w:r>
      <w:r w:rsidR="006640F4" w:rsidRPr="006640F4">
        <w:t> </w:t>
      </w:r>
      <w:r w:rsidRPr="006640F4">
        <w:t>832</w:t>
      </w:r>
      <w:r w:rsidR="00CB4341">
        <w:noBreakHyphen/>
      </w:r>
      <w:r w:rsidRPr="006640F4">
        <w:t>130(7))”.</w:t>
      </w:r>
    </w:p>
    <w:p w:rsidR="00FF086F" w:rsidRPr="006640F4" w:rsidRDefault="00FF086F" w:rsidP="006640F4">
      <w:pPr>
        <w:pStyle w:val="ItemHead"/>
      </w:pPr>
      <w:r w:rsidRPr="006640F4">
        <w:t>27  Subparagraph 832</w:t>
      </w:r>
      <w:r w:rsidR="00CB4341">
        <w:noBreakHyphen/>
      </w:r>
      <w:r w:rsidRPr="006640F4">
        <w:t>555(9)(b)(ii)</w:t>
      </w:r>
    </w:p>
    <w:p w:rsidR="00FF086F" w:rsidRPr="006640F4" w:rsidRDefault="00FF086F" w:rsidP="006640F4">
      <w:pPr>
        <w:pStyle w:val="Item"/>
      </w:pPr>
      <w:r w:rsidRPr="006640F4">
        <w:t>After “the tax base”, insert “of the entity”.</w:t>
      </w:r>
    </w:p>
    <w:p w:rsidR="00FF086F" w:rsidRPr="006640F4" w:rsidRDefault="00FF086F" w:rsidP="006640F4">
      <w:pPr>
        <w:pStyle w:val="ItemHead"/>
      </w:pPr>
      <w:r w:rsidRPr="006640F4">
        <w:t>28  Subparagraph 832</w:t>
      </w:r>
      <w:r w:rsidR="00CB4341">
        <w:noBreakHyphen/>
      </w:r>
      <w:r w:rsidRPr="006640F4">
        <w:t>555(9)(b)(ii)</w:t>
      </w:r>
    </w:p>
    <w:p w:rsidR="00FF086F" w:rsidRPr="006640F4" w:rsidRDefault="00FF086F" w:rsidP="006640F4">
      <w:pPr>
        <w:pStyle w:val="Item"/>
      </w:pPr>
      <w:r w:rsidRPr="006640F4">
        <w:t>Omit “(except credit absorption tax, unitary tax or a withholding</w:t>
      </w:r>
      <w:r w:rsidR="00CB4341">
        <w:noBreakHyphen/>
      </w:r>
      <w:r w:rsidRPr="006640F4">
        <w:t>type tax)”, substitute “(except a tax covered by subsection</w:t>
      </w:r>
      <w:r w:rsidR="006640F4" w:rsidRPr="006640F4">
        <w:t> </w:t>
      </w:r>
      <w:r w:rsidRPr="006640F4">
        <w:t>832</w:t>
      </w:r>
      <w:r w:rsidR="00CB4341">
        <w:noBreakHyphen/>
      </w:r>
      <w:r w:rsidRPr="006640F4">
        <w:t>130(7))”.</w:t>
      </w:r>
    </w:p>
    <w:p w:rsidR="00FF086F" w:rsidRPr="006640F4" w:rsidRDefault="00FF086F" w:rsidP="006640F4">
      <w:pPr>
        <w:pStyle w:val="ItemHead"/>
      </w:pPr>
      <w:r w:rsidRPr="006640F4">
        <w:t>29  Paragraph 832</w:t>
      </w:r>
      <w:r w:rsidR="00CB4341">
        <w:noBreakHyphen/>
      </w:r>
      <w:r w:rsidRPr="006640F4">
        <w:t>625(4)(d)</w:t>
      </w:r>
    </w:p>
    <w:p w:rsidR="00FF086F" w:rsidRPr="006640F4" w:rsidRDefault="00FF086F" w:rsidP="006640F4">
      <w:pPr>
        <w:pStyle w:val="Item"/>
      </w:pPr>
      <w:r w:rsidRPr="006640F4">
        <w:t xml:space="preserve">Omit “(except </w:t>
      </w:r>
      <w:r w:rsidR="006640F4" w:rsidRPr="006640F4">
        <w:rPr>
          <w:position w:val="6"/>
          <w:sz w:val="16"/>
        </w:rPr>
        <w:t>*</w:t>
      </w:r>
      <w:r w:rsidRPr="006640F4">
        <w:t xml:space="preserve">credit absorption tax, </w:t>
      </w:r>
      <w:r w:rsidR="006640F4" w:rsidRPr="006640F4">
        <w:rPr>
          <w:position w:val="6"/>
          <w:sz w:val="16"/>
        </w:rPr>
        <w:t>*</w:t>
      </w:r>
      <w:r w:rsidRPr="006640F4">
        <w:t>unitary tax or a withholding</w:t>
      </w:r>
      <w:r w:rsidR="00CB4341">
        <w:noBreakHyphen/>
      </w:r>
      <w:r w:rsidRPr="006640F4">
        <w:t>type tax)”, substitute “(except a tax covered by subsection</w:t>
      </w:r>
      <w:r w:rsidR="006640F4" w:rsidRPr="006640F4">
        <w:t> </w:t>
      </w:r>
      <w:r w:rsidRPr="006640F4">
        <w:t>832</w:t>
      </w:r>
      <w:r w:rsidR="00CB4341">
        <w:noBreakHyphen/>
      </w:r>
      <w:r w:rsidRPr="006640F4">
        <w:t>130(7))”.</w:t>
      </w:r>
    </w:p>
    <w:p w:rsidR="00FF086F" w:rsidRPr="006640F4" w:rsidRDefault="00FF086F" w:rsidP="006640F4">
      <w:pPr>
        <w:pStyle w:val="ItemHead"/>
      </w:pPr>
      <w:r w:rsidRPr="006640F4">
        <w:t>30  After subsection</w:t>
      </w:r>
      <w:r w:rsidR="006640F4" w:rsidRPr="006640F4">
        <w:t> </w:t>
      </w:r>
      <w:r w:rsidRPr="006640F4">
        <w:t>832</w:t>
      </w:r>
      <w:r w:rsidR="00CB4341">
        <w:noBreakHyphen/>
      </w:r>
      <w:r w:rsidRPr="006640F4">
        <w:t>680(1)</w:t>
      </w:r>
    </w:p>
    <w:p w:rsidR="00FF086F" w:rsidRPr="006640F4" w:rsidRDefault="00FF086F" w:rsidP="006640F4">
      <w:pPr>
        <w:pStyle w:val="Item"/>
      </w:pPr>
      <w:r w:rsidRPr="006640F4">
        <w:t>Insert:</w:t>
      </w:r>
    </w:p>
    <w:p w:rsidR="00FF086F" w:rsidRPr="006640F4" w:rsidRDefault="00FF086F" w:rsidP="006640F4">
      <w:pPr>
        <w:pStyle w:val="subsection"/>
      </w:pPr>
      <w:r w:rsidRPr="006640F4">
        <w:tab/>
        <w:t>(1A)</w:t>
      </w:r>
      <w:r w:rsidRPr="006640F4">
        <w:tab/>
        <w:t xml:space="preserve">In determining for the purposes of </w:t>
      </w:r>
      <w:r w:rsidR="006640F4" w:rsidRPr="006640F4">
        <w:t>subsection (</w:t>
      </w:r>
      <w:r w:rsidRPr="006640F4">
        <w:t xml:space="preserve">1) whether an amount of income or profits is </w:t>
      </w:r>
      <w:r w:rsidR="006640F4" w:rsidRPr="006640F4">
        <w:rPr>
          <w:position w:val="6"/>
          <w:sz w:val="16"/>
        </w:rPr>
        <w:t>*</w:t>
      </w:r>
      <w:r w:rsidRPr="006640F4">
        <w:t>subject to Australian income tax, disregard subsection</w:t>
      </w:r>
      <w:r w:rsidR="006640F4" w:rsidRPr="006640F4">
        <w:t> </w:t>
      </w:r>
      <w:r w:rsidRPr="006640F4">
        <w:t>832</w:t>
      </w:r>
      <w:r w:rsidR="00CB4341">
        <w:noBreakHyphen/>
      </w:r>
      <w:r w:rsidRPr="006640F4">
        <w:t>125(2) (which is about when an amount included in the assessable income of a trust or partnership is subject to Australian income tax), so far as it applies in relation to assessable income from a foreign source.</w:t>
      </w:r>
    </w:p>
    <w:p w:rsidR="00FF086F" w:rsidRPr="006640F4" w:rsidRDefault="00FF086F" w:rsidP="006640F4">
      <w:pPr>
        <w:pStyle w:val="ItemHead"/>
      </w:pPr>
      <w:r w:rsidRPr="006640F4">
        <w:t>31  Paragraph 832</w:t>
      </w:r>
      <w:r w:rsidR="00CB4341">
        <w:noBreakHyphen/>
      </w:r>
      <w:r w:rsidRPr="006640F4">
        <w:t>680(2)(a)</w:t>
      </w:r>
    </w:p>
    <w:p w:rsidR="00FF086F" w:rsidRPr="006640F4" w:rsidRDefault="00FF086F" w:rsidP="006640F4">
      <w:pPr>
        <w:pStyle w:val="Item"/>
      </w:pPr>
      <w:r w:rsidRPr="006640F4">
        <w:t xml:space="preserve">After “this subsection”, insert “and </w:t>
      </w:r>
      <w:r w:rsidR="006640F4" w:rsidRPr="006640F4">
        <w:t>subsection (</w:t>
      </w:r>
      <w:r w:rsidRPr="006640F4">
        <w:t>1A)”.</w:t>
      </w:r>
    </w:p>
    <w:p w:rsidR="00FF086F" w:rsidRPr="006640F4" w:rsidRDefault="00FF086F" w:rsidP="006640F4">
      <w:pPr>
        <w:pStyle w:val="ItemHead"/>
      </w:pPr>
      <w:r w:rsidRPr="006640F4">
        <w:t>32  Paragraph 832</w:t>
      </w:r>
      <w:r w:rsidR="00CB4341">
        <w:noBreakHyphen/>
      </w:r>
      <w:r w:rsidRPr="006640F4">
        <w:t>680(2)(a)</w:t>
      </w:r>
    </w:p>
    <w:p w:rsidR="00FF086F" w:rsidRPr="006640F4" w:rsidRDefault="00FF086F" w:rsidP="006640F4">
      <w:pPr>
        <w:pStyle w:val="Item"/>
      </w:pPr>
      <w:r w:rsidRPr="006640F4">
        <w:t xml:space="preserve">Omit “an entity”, substitute “a </w:t>
      </w:r>
      <w:r w:rsidR="006640F4" w:rsidRPr="006640F4">
        <w:rPr>
          <w:position w:val="6"/>
          <w:sz w:val="16"/>
        </w:rPr>
        <w:t>*</w:t>
      </w:r>
      <w:r w:rsidRPr="006640F4">
        <w:t>corporate tax entity”.</w:t>
      </w:r>
    </w:p>
    <w:p w:rsidR="00FF086F" w:rsidRPr="006640F4" w:rsidRDefault="00FF086F" w:rsidP="006640F4">
      <w:pPr>
        <w:pStyle w:val="ItemHead"/>
      </w:pPr>
      <w:r w:rsidRPr="006640F4">
        <w:t>33  Paragraph 832</w:t>
      </w:r>
      <w:r w:rsidR="00CB4341">
        <w:noBreakHyphen/>
      </w:r>
      <w:r w:rsidRPr="006640F4">
        <w:t>680(2)(b)</w:t>
      </w:r>
    </w:p>
    <w:p w:rsidR="00FF086F" w:rsidRPr="006640F4" w:rsidRDefault="00FF086F" w:rsidP="006640F4">
      <w:pPr>
        <w:pStyle w:val="Item"/>
      </w:pPr>
      <w:r w:rsidRPr="006640F4">
        <w:t xml:space="preserve">Omit “(except </w:t>
      </w:r>
      <w:r w:rsidR="006640F4" w:rsidRPr="006640F4">
        <w:rPr>
          <w:position w:val="6"/>
          <w:sz w:val="16"/>
        </w:rPr>
        <w:t>*</w:t>
      </w:r>
      <w:r w:rsidRPr="006640F4">
        <w:t xml:space="preserve">credit absorption tax, </w:t>
      </w:r>
      <w:r w:rsidR="006640F4" w:rsidRPr="006640F4">
        <w:rPr>
          <w:position w:val="6"/>
          <w:sz w:val="16"/>
        </w:rPr>
        <w:t>*</w:t>
      </w:r>
      <w:r w:rsidRPr="006640F4">
        <w:t>unitary tax or a withholding</w:t>
      </w:r>
      <w:r w:rsidR="00CB4341">
        <w:noBreakHyphen/>
      </w:r>
      <w:r w:rsidRPr="006640F4">
        <w:t>type tax)”, substitute “(except a tax covered by subsection</w:t>
      </w:r>
      <w:r w:rsidR="006640F4" w:rsidRPr="006640F4">
        <w:t> </w:t>
      </w:r>
      <w:r w:rsidRPr="006640F4">
        <w:t>832</w:t>
      </w:r>
      <w:r w:rsidR="00CB4341">
        <w:noBreakHyphen/>
      </w:r>
      <w:r w:rsidRPr="006640F4">
        <w:t>130(7))”.</w:t>
      </w:r>
    </w:p>
    <w:p w:rsidR="00FF086F" w:rsidRPr="006640F4" w:rsidRDefault="00FF086F" w:rsidP="006640F4">
      <w:pPr>
        <w:pStyle w:val="ItemHead"/>
      </w:pPr>
      <w:r w:rsidRPr="006640F4">
        <w:t>34  Paragraph 832</w:t>
      </w:r>
      <w:r w:rsidR="00CB4341">
        <w:noBreakHyphen/>
      </w:r>
      <w:r w:rsidRPr="006640F4">
        <w:t>680(4)(d)</w:t>
      </w:r>
    </w:p>
    <w:p w:rsidR="00FF086F" w:rsidRPr="006640F4" w:rsidRDefault="00FF086F" w:rsidP="006640F4">
      <w:pPr>
        <w:pStyle w:val="Item"/>
      </w:pPr>
      <w:r w:rsidRPr="006640F4">
        <w:t>Omit “the funding income or profits were”, substitute “it is reasonable to conclude that the funding income or profits were”.</w:t>
      </w:r>
    </w:p>
    <w:p w:rsidR="00FF086F" w:rsidRPr="006640F4" w:rsidRDefault="00FF086F" w:rsidP="006640F4">
      <w:pPr>
        <w:pStyle w:val="ItemHead"/>
      </w:pPr>
      <w:r w:rsidRPr="006640F4">
        <w:t>35  After subsection</w:t>
      </w:r>
      <w:r w:rsidR="006640F4" w:rsidRPr="006640F4">
        <w:t> </w:t>
      </w:r>
      <w:r w:rsidRPr="006640F4">
        <w:t>832</w:t>
      </w:r>
      <w:r w:rsidR="00CB4341">
        <w:noBreakHyphen/>
      </w:r>
      <w:r w:rsidRPr="006640F4">
        <w:t>680(4)</w:t>
      </w:r>
    </w:p>
    <w:p w:rsidR="00FF086F" w:rsidRPr="006640F4" w:rsidRDefault="00FF086F" w:rsidP="006640F4">
      <w:pPr>
        <w:pStyle w:val="Item"/>
      </w:pPr>
      <w:r w:rsidRPr="006640F4">
        <w:t>Insert:</w:t>
      </w:r>
    </w:p>
    <w:p w:rsidR="00FF086F" w:rsidRPr="006640F4" w:rsidRDefault="00FF086F" w:rsidP="006640F4">
      <w:pPr>
        <w:pStyle w:val="subsection"/>
      </w:pPr>
      <w:r w:rsidRPr="006640F4">
        <w:tab/>
        <w:t>(4A)</w:t>
      </w:r>
      <w:r w:rsidRPr="006640F4">
        <w:tab/>
        <w:t xml:space="preserve">In determining whether </w:t>
      </w:r>
      <w:r w:rsidR="006640F4" w:rsidRPr="006640F4">
        <w:t>paragraph (</w:t>
      </w:r>
      <w:r w:rsidRPr="006640F4">
        <w:t xml:space="preserve">4)(d) is satisfied, have regard to any previous application of </w:t>
      </w:r>
      <w:r w:rsidR="006640F4" w:rsidRPr="006640F4">
        <w:t>subsection (</w:t>
      </w:r>
      <w:r w:rsidRPr="006640F4">
        <w:t>5).</w:t>
      </w:r>
    </w:p>
    <w:p w:rsidR="00FF086F" w:rsidRPr="006640F4" w:rsidRDefault="00FF086F" w:rsidP="006640F4">
      <w:pPr>
        <w:pStyle w:val="ItemHead"/>
      </w:pPr>
      <w:r w:rsidRPr="006640F4">
        <w:t>36  Subsection</w:t>
      </w:r>
      <w:r w:rsidR="006640F4" w:rsidRPr="006640F4">
        <w:t> </w:t>
      </w:r>
      <w:r w:rsidRPr="006640F4">
        <w:t>832</w:t>
      </w:r>
      <w:r w:rsidR="00CB4341">
        <w:noBreakHyphen/>
      </w:r>
      <w:r w:rsidRPr="006640F4">
        <w:t>680(6)</w:t>
      </w:r>
    </w:p>
    <w:p w:rsidR="00FF086F" w:rsidRPr="006640F4" w:rsidRDefault="00FF086F" w:rsidP="006640F4">
      <w:pPr>
        <w:pStyle w:val="Item"/>
      </w:pPr>
      <w:r w:rsidRPr="006640F4">
        <w:t>Repeal the subsection, substitute:</w:t>
      </w:r>
    </w:p>
    <w:p w:rsidR="00FF086F" w:rsidRPr="006640F4" w:rsidRDefault="00FF086F" w:rsidP="006640F4">
      <w:pPr>
        <w:pStyle w:val="subsection"/>
      </w:pPr>
      <w:r w:rsidRPr="006640F4">
        <w:tab/>
        <w:t>(6)</w:t>
      </w:r>
      <w:r w:rsidRPr="006640F4">
        <w:tab/>
        <w:t xml:space="preserve">Two or more entities (the </w:t>
      </w:r>
      <w:r w:rsidRPr="006640F4">
        <w:rPr>
          <w:b/>
          <w:i/>
        </w:rPr>
        <w:t>member entities</w:t>
      </w:r>
      <w:r w:rsidRPr="006640F4">
        <w:t xml:space="preserve">) are members of a group (a </w:t>
      </w:r>
      <w:r w:rsidRPr="006640F4">
        <w:rPr>
          <w:b/>
          <w:i/>
        </w:rPr>
        <w:t>dual inclusion income group</w:t>
      </w:r>
      <w:r w:rsidRPr="006640F4">
        <w:t>) in a country for the purposes of this Division if in that country:</w:t>
      </w:r>
    </w:p>
    <w:p w:rsidR="00FF086F" w:rsidRPr="006640F4" w:rsidRDefault="00FF086F" w:rsidP="006640F4">
      <w:pPr>
        <w:pStyle w:val="paragraph"/>
      </w:pPr>
      <w:r w:rsidRPr="006640F4">
        <w:tab/>
        <w:t>(a)</w:t>
      </w:r>
      <w:r w:rsidRPr="006640F4">
        <w:tab/>
        <w:t xml:space="preserve">the same entity or entities are </w:t>
      </w:r>
      <w:r w:rsidR="006640F4" w:rsidRPr="006640F4">
        <w:rPr>
          <w:position w:val="6"/>
          <w:sz w:val="16"/>
        </w:rPr>
        <w:t>*</w:t>
      </w:r>
      <w:r w:rsidRPr="006640F4">
        <w:t>liable entities in respect of the income or profits of each of the member entities; and</w:t>
      </w:r>
    </w:p>
    <w:p w:rsidR="00FF086F" w:rsidRPr="006640F4" w:rsidRDefault="00FF086F" w:rsidP="006640F4">
      <w:pPr>
        <w:pStyle w:val="paragraph"/>
      </w:pPr>
      <w:r w:rsidRPr="006640F4">
        <w:tab/>
        <w:t>(b)</w:t>
      </w:r>
      <w:r w:rsidRPr="006640F4">
        <w:tab/>
        <w:t>no other entity is a liable entity in respect of the income or profits of any of the member entities.</w:t>
      </w:r>
    </w:p>
    <w:p w:rsidR="00FF086F" w:rsidRPr="006640F4" w:rsidRDefault="00FF086F" w:rsidP="006640F4">
      <w:pPr>
        <w:pStyle w:val="notetext"/>
      </w:pPr>
      <w:r w:rsidRPr="006640F4">
        <w:t>Note:</w:t>
      </w:r>
      <w:r w:rsidRPr="006640F4">
        <w:tab/>
        <w:t>For example, entities that are members of a consolidated group or MEC group.</w:t>
      </w:r>
    </w:p>
    <w:p w:rsidR="00FF086F" w:rsidRPr="006640F4" w:rsidRDefault="00FF086F" w:rsidP="006640F4">
      <w:pPr>
        <w:pStyle w:val="ItemHead"/>
      </w:pPr>
      <w:r w:rsidRPr="006640F4">
        <w:t>37  At the end of section</w:t>
      </w:r>
      <w:r w:rsidR="006640F4" w:rsidRPr="006640F4">
        <w:t> </w:t>
      </w:r>
      <w:r w:rsidRPr="006640F4">
        <w:t>832</w:t>
      </w:r>
      <w:r w:rsidR="00CB4341">
        <w:noBreakHyphen/>
      </w:r>
      <w:r w:rsidRPr="006640F4">
        <w:t>680</w:t>
      </w:r>
    </w:p>
    <w:p w:rsidR="00FF086F" w:rsidRPr="006640F4" w:rsidRDefault="00FF086F" w:rsidP="006640F4">
      <w:pPr>
        <w:pStyle w:val="Item"/>
      </w:pPr>
      <w:r w:rsidRPr="006640F4">
        <w:t>Add:</w:t>
      </w:r>
    </w:p>
    <w:p w:rsidR="00FF086F" w:rsidRPr="006640F4" w:rsidRDefault="00FF086F" w:rsidP="006640F4">
      <w:pPr>
        <w:pStyle w:val="SubsectionHead"/>
      </w:pPr>
      <w:r w:rsidRPr="006640F4">
        <w:t>Interaction with other provisions</w:t>
      </w:r>
    </w:p>
    <w:p w:rsidR="00FF086F" w:rsidRPr="006640F4" w:rsidRDefault="00FF086F" w:rsidP="006640F4">
      <w:pPr>
        <w:pStyle w:val="subsection"/>
      </w:pPr>
      <w:r w:rsidRPr="006640F4">
        <w:tab/>
        <w:t>(9)</w:t>
      </w:r>
      <w:r w:rsidRPr="006640F4">
        <w:tab/>
        <w:t xml:space="preserve">To avoid doubt, if a provision of this section has the effect that an amount is treated for the purposes of </w:t>
      </w:r>
      <w:r w:rsidR="006640F4" w:rsidRPr="006640F4">
        <w:t>subsection (</w:t>
      </w:r>
      <w:r w:rsidRPr="006640F4">
        <w:t xml:space="preserve">1) as if it were </w:t>
      </w:r>
      <w:r w:rsidR="006640F4" w:rsidRPr="006640F4">
        <w:rPr>
          <w:position w:val="6"/>
          <w:sz w:val="16"/>
        </w:rPr>
        <w:t>*</w:t>
      </w:r>
      <w:r w:rsidRPr="006640F4">
        <w:t xml:space="preserve">subject to Australian income tax, or </w:t>
      </w:r>
      <w:r w:rsidR="006640F4" w:rsidRPr="006640F4">
        <w:rPr>
          <w:position w:val="6"/>
          <w:sz w:val="16"/>
        </w:rPr>
        <w:t>*</w:t>
      </w:r>
      <w:r w:rsidRPr="006640F4">
        <w:t>subject to foreign income tax, then that effect extends to another provision of this Act that refers to an amount that is (as the case requires):</w:t>
      </w:r>
    </w:p>
    <w:p w:rsidR="00FF086F" w:rsidRPr="006640F4" w:rsidRDefault="00FF086F" w:rsidP="006640F4">
      <w:pPr>
        <w:pStyle w:val="paragraph"/>
      </w:pPr>
      <w:r w:rsidRPr="006640F4">
        <w:tab/>
        <w:t>(a)</w:t>
      </w:r>
      <w:r w:rsidRPr="006640F4">
        <w:tab/>
        <w:t xml:space="preserve">subject to Australian income tax for the purposes of </w:t>
      </w:r>
      <w:r w:rsidR="006640F4" w:rsidRPr="006640F4">
        <w:t>subsection (</w:t>
      </w:r>
      <w:r w:rsidRPr="006640F4">
        <w:t>1) of this section; or</w:t>
      </w:r>
    </w:p>
    <w:p w:rsidR="00FF086F" w:rsidRPr="006640F4" w:rsidRDefault="00FF086F" w:rsidP="006640F4">
      <w:pPr>
        <w:pStyle w:val="paragraph"/>
      </w:pPr>
      <w:r w:rsidRPr="006640F4">
        <w:tab/>
        <w:t>(b)</w:t>
      </w:r>
      <w:r w:rsidRPr="006640F4">
        <w:tab/>
        <w:t xml:space="preserve">subject to foreign income tax for the purposes of </w:t>
      </w:r>
      <w:r w:rsidR="006640F4" w:rsidRPr="006640F4">
        <w:t>subsection (</w:t>
      </w:r>
      <w:r w:rsidRPr="006640F4">
        <w:t>1) of this section.</w:t>
      </w:r>
    </w:p>
    <w:p w:rsidR="00FF086F" w:rsidRPr="006640F4" w:rsidRDefault="00FF086F" w:rsidP="006640F4">
      <w:pPr>
        <w:pStyle w:val="notetext"/>
      </w:pPr>
      <w:r w:rsidRPr="006640F4">
        <w:t>Note:</w:t>
      </w:r>
      <w:r w:rsidRPr="006640F4">
        <w:tab/>
        <w:t xml:space="preserve">For example, an amount that would not be subject to Australian income tax for the purposes of </w:t>
      </w:r>
      <w:r w:rsidR="006640F4" w:rsidRPr="006640F4">
        <w:t>subsection (</w:t>
      </w:r>
      <w:r w:rsidRPr="006640F4">
        <w:t xml:space="preserve">1) apart from </w:t>
      </w:r>
      <w:r w:rsidR="006640F4" w:rsidRPr="006640F4">
        <w:t>subsection (</w:t>
      </w:r>
      <w:r w:rsidRPr="006640F4">
        <w:t>1A) satisfies paragraphs 832</w:t>
      </w:r>
      <w:r w:rsidR="00CB4341">
        <w:noBreakHyphen/>
      </w:r>
      <w:r w:rsidRPr="006640F4">
        <w:t>330(2)(b) and (3)(b) and subparagraph</w:t>
      </w:r>
      <w:r w:rsidR="006640F4" w:rsidRPr="006640F4">
        <w:t> </w:t>
      </w:r>
      <w:r w:rsidRPr="006640F4">
        <w:t>832</w:t>
      </w:r>
      <w:r w:rsidR="00CB4341">
        <w:noBreakHyphen/>
      </w:r>
      <w:r w:rsidRPr="006640F4">
        <w:t>335(1)(b)(ii).</w:t>
      </w:r>
    </w:p>
    <w:p w:rsidR="00FF086F" w:rsidRPr="006640F4" w:rsidRDefault="00FF086F" w:rsidP="006640F4">
      <w:pPr>
        <w:pStyle w:val="ItemHead"/>
      </w:pPr>
      <w:r w:rsidRPr="006640F4">
        <w:t>38  After subsection</w:t>
      </w:r>
      <w:r w:rsidR="006640F4" w:rsidRPr="006640F4">
        <w:t> </w:t>
      </w:r>
      <w:r w:rsidRPr="006640F4">
        <w:t>832</w:t>
      </w:r>
      <w:r w:rsidR="00CB4341">
        <w:noBreakHyphen/>
      </w:r>
      <w:r w:rsidRPr="006640F4">
        <w:t>725(1)</w:t>
      </w:r>
    </w:p>
    <w:p w:rsidR="00FF086F" w:rsidRPr="006640F4" w:rsidRDefault="00FF086F" w:rsidP="006640F4">
      <w:pPr>
        <w:pStyle w:val="Item"/>
      </w:pPr>
      <w:r w:rsidRPr="006640F4">
        <w:t>Insert:</w:t>
      </w:r>
    </w:p>
    <w:p w:rsidR="00FF086F" w:rsidRPr="006640F4" w:rsidRDefault="00FF086F" w:rsidP="006640F4">
      <w:pPr>
        <w:pStyle w:val="subsection"/>
      </w:pPr>
      <w:r w:rsidRPr="006640F4">
        <w:tab/>
        <w:t>(1A)</w:t>
      </w:r>
      <w:r w:rsidRPr="006640F4">
        <w:tab/>
        <w:t xml:space="preserve">For the purposes of </w:t>
      </w:r>
      <w:r w:rsidR="006640F4" w:rsidRPr="006640F4">
        <w:t>subsection (</w:t>
      </w:r>
      <w:r w:rsidRPr="006640F4">
        <w:t>1), disregard paragraphs 832</w:t>
      </w:r>
      <w:r w:rsidR="00CB4341">
        <w:noBreakHyphen/>
      </w:r>
      <w:r w:rsidRPr="006640F4">
        <w:t xml:space="preserve">130(7)(d) and (e) (exclusion of municipal and State taxes in working out what is </w:t>
      </w:r>
      <w:r w:rsidR="006640F4" w:rsidRPr="006640F4">
        <w:rPr>
          <w:position w:val="6"/>
          <w:sz w:val="16"/>
        </w:rPr>
        <w:t>*</w:t>
      </w:r>
      <w:r w:rsidRPr="006640F4">
        <w:t>subject to foreign income tax).</w:t>
      </w:r>
    </w:p>
    <w:p w:rsidR="00FF086F" w:rsidRPr="006640F4" w:rsidRDefault="00FF086F" w:rsidP="006640F4">
      <w:pPr>
        <w:pStyle w:val="ItemHead"/>
      </w:pPr>
      <w:r w:rsidRPr="006640F4">
        <w:t>39  Subsection</w:t>
      </w:r>
      <w:r w:rsidR="006640F4" w:rsidRPr="006640F4">
        <w:t> </w:t>
      </w:r>
      <w:r w:rsidRPr="006640F4">
        <w:t>995</w:t>
      </w:r>
      <w:r w:rsidR="00CB4341">
        <w:noBreakHyphen/>
      </w:r>
      <w:r w:rsidRPr="006640F4">
        <w:t>1(1) (</w:t>
      </w:r>
      <w:r w:rsidR="006640F4" w:rsidRPr="006640F4">
        <w:t>paragraph (</w:t>
      </w:r>
      <w:r w:rsidRPr="006640F4">
        <w:t xml:space="preserve">b) of the definition of </w:t>
      </w:r>
      <w:r w:rsidRPr="006640F4">
        <w:rPr>
          <w:i/>
        </w:rPr>
        <w:t>net income</w:t>
      </w:r>
      <w:r w:rsidRPr="006640F4">
        <w:t>)</w:t>
      </w:r>
    </w:p>
    <w:p w:rsidR="00FF086F" w:rsidRPr="006640F4" w:rsidRDefault="00FF086F" w:rsidP="006640F4">
      <w:pPr>
        <w:pStyle w:val="Item"/>
      </w:pPr>
      <w:r w:rsidRPr="006640F4">
        <w:t xml:space="preserve">After “of a trust”, insert “(other than a </w:t>
      </w:r>
      <w:r w:rsidR="006640F4" w:rsidRPr="006640F4">
        <w:rPr>
          <w:position w:val="6"/>
          <w:sz w:val="16"/>
        </w:rPr>
        <w:t>*</w:t>
      </w:r>
      <w:r w:rsidRPr="006640F4">
        <w:t xml:space="preserve">public trading trust or an </w:t>
      </w:r>
      <w:r w:rsidR="006640F4" w:rsidRPr="006640F4">
        <w:rPr>
          <w:position w:val="6"/>
          <w:sz w:val="16"/>
        </w:rPr>
        <w:t>*</w:t>
      </w:r>
      <w:r w:rsidRPr="006640F4">
        <w:t>AMIT)”.</w:t>
      </w:r>
    </w:p>
    <w:p w:rsidR="00FF086F" w:rsidRPr="006640F4" w:rsidRDefault="00FF086F" w:rsidP="006640F4">
      <w:pPr>
        <w:pStyle w:val="ItemHead"/>
      </w:pPr>
      <w:r w:rsidRPr="006640F4">
        <w:t>40  Subsection</w:t>
      </w:r>
      <w:r w:rsidR="006640F4" w:rsidRPr="006640F4">
        <w:t> </w:t>
      </w:r>
      <w:r w:rsidRPr="006640F4">
        <w:t>995</w:t>
      </w:r>
      <w:r w:rsidR="00CB4341">
        <w:noBreakHyphen/>
      </w:r>
      <w:r w:rsidRPr="006640F4">
        <w:t xml:space="preserve">1(1) (at the end of the definition of </w:t>
      </w:r>
      <w:r w:rsidRPr="006640F4">
        <w:rPr>
          <w:i/>
        </w:rPr>
        <w:t>net income</w:t>
      </w:r>
      <w:r w:rsidRPr="006640F4">
        <w:t>)</w:t>
      </w:r>
    </w:p>
    <w:p w:rsidR="00FF086F" w:rsidRPr="006640F4" w:rsidRDefault="00FF086F" w:rsidP="006640F4">
      <w:pPr>
        <w:pStyle w:val="Item"/>
      </w:pPr>
      <w:r w:rsidRPr="006640F4">
        <w:t>Add:</w:t>
      </w:r>
    </w:p>
    <w:p w:rsidR="00FF086F" w:rsidRPr="006640F4" w:rsidRDefault="00FF086F" w:rsidP="006640F4">
      <w:pPr>
        <w:pStyle w:val="paragraph"/>
      </w:pPr>
      <w:r w:rsidRPr="006640F4">
        <w:tab/>
        <w:t>; and (c)</w:t>
      </w:r>
      <w:r w:rsidRPr="006640F4">
        <w:tab/>
        <w:t>of a public trading trust—has the same meaning as in Division</w:t>
      </w:r>
      <w:r w:rsidR="006640F4" w:rsidRPr="006640F4">
        <w:t> </w:t>
      </w:r>
      <w:r w:rsidRPr="006640F4">
        <w:t>6C of Part</w:t>
      </w:r>
      <w:r w:rsidR="006640F4" w:rsidRPr="006640F4">
        <w:t> </w:t>
      </w:r>
      <w:r w:rsidRPr="006640F4">
        <w:t>III of that Act; and</w:t>
      </w:r>
    </w:p>
    <w:p w:rsidR="00FF086F" w:rsidRPr="006640F4" w:rsidRDefault="00FF086F" w:rsidP="006640F4">
      <w:pPr>
        <w:pStyle w:val="paragraph"/>
      </w:pPr>
      <w:r w:rsidRPr="006640F4">
        <w:tab/>
        <w:t>(d)</w:t>
      </w:r>
      <w:r w:rsidRPr="006640F4">
        <w:tab/>
        <w:t>of an AMIT—means the AMIT’s total assessable income, reduced by all deductions of the AMIT.</w:t>
      </w:r>
    </w:p>
    <w:p w:rsidR="00FF086F" w:rsidRPr="006640F4" w:rsidRDefault="00FF086F" w:rsidP="006640F4">
      <w:pPr>
        <w:pStyle w:val="Transitional"/>
      </w:pPr>
      <w:r w:rsidRPr="006640F4">
        <w:t>41  Application</w:t>
      </w:r>
    </w:p>
    <w:p w:rsidR="00FF086F" w:rsidRPr="006640F4" w:rsidRDefault="00FF086F" w:rsidP="006640F4">
      <w:pPr>
        <w:pStyle w:val="Item"/>
      </w:pPr>
      <w:r w:rsidRPr="006640F4">
        <w:t>The amendments made by this Part apply to assessments for income years starting on or after 1</w:t>
      </w:r>
      <w:r w:rsidR="006640F4" w:rsidRPr="006640F4">
        <w:t> </w:t>
      </w:r>
      <w:r w:rsidRPr="006640F4">
        <w:t>January 2019.</w:t>
      </w:r>
    </w:p>
    <w:p w:rsidR="00FF086F" w:rsidRPr="006640F4" w:rsidRDefault="00FF086F" w:rsidP="006640F4">
      <w:pPr>
        <w:pStyle w:val="ActHead7"/>
        <w:pageBreakBefore/>
      </w:pPr>
      <w:bookmarkStart w:id="11" w:name="_Toc50370725"/>
      <w:r w:rsidRPr="00826806">
        <w:rPr>
          <w:rStyle w:val="CharAmPartNo"/>
        </w:rPr>
        <w:t>Part</w:t>
      </w:r>
      <w:r w:rsidR="006640F4" w:rsidRPr="00826806">
        <w:rPr>
          <w:rStyle w:val="CharAmPartNo"/>
        </w:rPr>
        <w:t> </w:t>
      </w:r>
      <w:r w:rsidRPr="00826806">
        <w:rPr>
          <w:rStyle w:val="CharAmPartNo"/>
        </w:rPr>
        <w:t>2</w:t>
      </w:r>
      <w:r w:rsidRPr="006640F4">
        <w:t>—</w:t>
      </w:r>
      <w:r w:rsidRPr="00826806">
        <w:rPr>
          <w:rStyle w:val="CharAmPartText"/>
        </w:rPr>
        <w:t>Foreign hybrid mismatch rules</w:t>
      </w:r>
      <w:bookmarkEnd w:id="11"/>
    </w:p>
    <w:p w:rsidR="00FF086F" w:rsidRPr="00826806" w:rsidRDefault="00FF086F" w:rsidP="006640F4">
      <w:pPr>
        <w:pStyle w:val="ActHead9"/>
        <w:rPr>
          <w:i w:val="0"/>
        </w:rPr>
      </w:pPr>
      <w:bookmarkStart w:id="12" w:name="_Toc50370726"/>
      <w:r w:rsidRPr="006640F4">
        <w:t>Income Tax Assessment Act 1997</w:t>
      </w:r>
      <w:bookmarkEnd w:id="12"/>
    </w:p>
    <w:p w:rsidR="00FF086F" w:rsidRPr="006640F4" w:rsidRDefault="00FF086F" w:rsidP="006640F4">
      <w:pPr>
        <w:pStyle w:val="ItemHead"/>
      </w:pPr>
      <w:r w:rsidRPr="006640F4">
        <w:t>42  Subsection</w:t>
      </w:r>
      <w:r w:rsidR="006640F4" w:rsidRPr="006640F4">
        <w:t> </w:t>
      </w:r>
      <w:r w:rsidRPr="006640F4">
        <w:t>832</w:t>
      </w:r>
      <w:r w:rsidR="00CB4341">
        <w:noBreakHyphen/>
      </w:r>
      <w:r w:rsidRPr="006640F4">
        <w:t>185(2)</w:t>
      </w:r>
    </w:p>
    <w:p w:rsidR="00FF086F" w:rsidRPr="006640F4" w:rsidRDefault="00FF086F" w:rsidP="006640F4">
      <w:pPr>
        <w:pStyle w:val="Item"/>
      </w:pPr>
      <w:r w:rsidRPr="006640F4">
        <w:t xml:space="preserve">Omit all the words after “required”, substitute “unless, in the country in which the </w:t>
      </w:r>
      <w:r w:rsidR="006640F4" w:rsidRPr="006640F4">
        <w:rPr>
          <w:position w:val="6"/>
          <w:sz w:val="16"/>
        </w:rPr>
        <w:t>*</w:t>
      </w:r>
      <w:r w:rsidRPr="006640F4">
        <w:t xml:space="preserve">foreign income tax deduction arose, the mismatch is covered by </w:t>
      </w:r>
      <w:r w:rsidR="006640F4" w:rsidRPr="006640F4">
        <w:rPr>
          <w:position w:val="6"/>
          <w:sz w:val="16"/>
        </w:rPr>
        <w:t>*</w:t>
      </w:r>
      <w:r w:rsidRPr="006640F4">
        <w:t>foreign hybrid mismatch rules that correspond to this Subdivision, or by a law that has substantially the same effect as foreign hybrid mismatch rules that</w:t>
      </w:r>
      <w:r w:rsidR="0051017A" w:rsidRPr="006640F4">
        <w:t xml:space="preserve"> correspond to this Subdivision</w:t>
      </w:r>
      <w:r w:rsidRPr="006640F4">
        <w:t>”.</w:t>
      </w:r>
    </w:p>
    <w:p w:rsidR="00FF086F" w:rsidRPr="006640F4" w:rsidRDefault="00FF086F" w:rsidP="006640F4">
      <w:pPr>
        <w:pStyle w:val="ItemHead"/>
      </w:pPr>
      <w:r w:rsidRPr="006640F4">
        <w:t>43  Paragraph 832</w:t>
      </w:r>
      <w:r w:rsidR="00CB4341">
        <w:noBreakHyphen/>
      </w:r>
      <w:r w:rsidRPr="006640F4">
        <w:t>195(1)(c)</w:t>
      </w:r>
    </w:p>
    <w:p w:rsidR="00FF086F" w:rsidRPr="006640F4" w:rsidRDefault="00FF086F" w:rsidP="006640F4">
      <w:pPr>
        <w:pStyle w:val="Item"/>
      </w:pPr>
      <w:r w:rsidRPr="006640F4">
        <w:t>Repeal the paragraph, substitute:</w:t>
      </w:r>
    </w:p>
    <w:p w:rsidR="00FF086F" w:rsidRPr="006640F4" w:rsidRDefault="00FF086F" w:rsidP="006640F4">
      <w:pPr>
        <w:pStyle w:val="paragraph"/>
      </w:pPr>
      <w:r w:rsidRPr="006640F4">
        <w:tab/>
        <w:t>(c)</w:t>
      </w:r>
      <w:r w:rsidRPr="006640F4">
        <w:tab/>
        <w:t xml:space="preserve">the mismatch is not covered by </w:t>
      </w:r>
      <w:r w:rsidR="006640F4" w:rsidRPr="006640F4">
        <w:rPr>
          <w:position w:val="6"/>
          <w:sz w:val="16"/>
        </w:rPr>
        <w:t>*</w:t>
      </w:r>
      <w:r w:rsidRPr="006640F4">
        <w:t>foreign hybrid mismatch rules that correspond to this Subdivision, or by a law that has substantially the same effect as foreign hybrid mismatch rules that correspond to this Subdivision.</w:t>
      </w:r>
    </w:p>
    <w:p w:rsidR="00FF086F" w:rsidRPr="006640F4" w:rsidRDefault="00FF086F" w:rsidP="006640F4">
      <w:pPr>
        <w:pStyle w:val="ItemHead"/>
      </w:pPr>
      <w:r w:rsidRPr="006640F4">
        <w:t>44  Subsection</w:t>
      </w:r>
      <w:r w:rsidR="006640F4" w:rsidRPr="006640F4">
        <w:t> </w:t>
      </w:r>
      <w:r w:rsidRPr="006640F4">
        <w:t>832</w:t>
      </w:r>
      <w:r w:rsidR="00CB4341">
        <w:noBreakHyphen/>
      </w:r>
      <w:r w:rsidRPr="006640F4">
        <w:t>290(2)</w:t>
      </w:r>
    </w:p>
    <w:p w:rsidR="00FF086F" w:rsidRPr="006640F4" w:rsidRDefault="00FF086F" w:rsidP="006640F4">
      <w:pPr>
        <w:pStyle w:val="Item"/>
      </w:pPr>
      <w:r w:rsidRPr="006640F4">
        <w:t xml:space="preserve">Omit all the words after “required”, substitute “unless, in the country in which the </w:t>
      </w:r>
      <w:r w:rsidR="006640F4" w:rsidRPr="006640F4">
        <w:rPr>
          <w:position w:val="6"/>
          <w:sz w:val="16"/>
        </w:rPr>
        <w:t>*</w:t>
      </w:r>
      <w:r w:rsidRPr="006640F4">
        <w:t xml:space="preserve">foreign income tax deduction arose, the mismatch is covered by </w:t>
      </w:r>
      <w:r w:rsidR="006640F4" w:rsidRPr="006640F4">
        <w:rPr>
          <w:position w:val="6"/>
          <w:sz w:val="16"/>
        </w:rPr>
        <w:t>*</w:t>
      </w:r>
      <w:r w:rsidRPr="006640F4">
        <w:t>foreign hybrid mismatch rules that correspond to this Subdivision, or by a law that has substantially the same effect as foreign hybrid mismatch rules that correspond to this Subdivision”.</w:t>
      </w:r>
    </w:p>
    <w:p w:rsidR="00FF086F" w:rsidRPr="006640F4" w:rsidRDefault="00FF086F" w:rsidP="006640F4">
      <w:pPr>
        <w:pStyle w:val="ItemHead"/>
      </w:pPr>
      <w:r w:rsidRPr="006640F4">
        <w:t>45  Paragraph 832</w:t>
      </w:r>
      <w:r w:rsidR="00CB4341">
        <w:noBreakHyphen/>
      </w:r>
      <w:r w:rsidRPr="006640F4">
        <w:t>300(1)(c)</w:t>
      </w:r>
    </w:p>
    <w:p w:rsidR="00FF086F" w:rsidRPr="006640F4" w:rsidRDefault="00FF086F" w:rsidP="006640F4">
      <w:pPr>
        <w:pStyle w:val="Item"/>
      </w:pPr>
      <w:r w:rsidRPr="006640F4">
        <w:t>Repeal the paragraph, substitute:</w:t>
      </w:r>
    </w:p>
    <w:p w:rsidR="00FF086F" w:rsidRPr="006640F4" w:rsidRDefault="00FF086F" w:rsidP="006640F4">
      <w:pPr>
        <w:pStyle w:val="paragraph"/>
      </w:pPr>
      <w:r w:rsidRPr="006640F4">
        <w:tab/>
        <w:t>(c)</w:t>
      </w:r>
      <w:r w:rsidRPr="006640F4">
        <w:tab/>
        <w:t xml:space="preserve">the mismatch is not covered by </w:t>
      </w:r>
      <w:r w:rsidR="006640F4" w:rsidRPr="006640F4">
        <w:rPr>
          <w:position w:val="6"/>
          <w:sz w:val="16"/>
        </w:rPr>
        <w:t>*</w:t>
      </w:r>
      <w:r w:rsidRPr="006640F4">
        <w:t>foreign hybrid mismatch rules that correspond to this Subdivision, or by a law that has substantially the same effect as foreign hybrid mismatch rules that correspond to this Subdivision.</w:t>
      </w:r>
    </w:p>
    <w:p w:rsidR="00FF086F" w:rsidRPr="006640F4" w:rsidRDefault="00FF086F" w:rsidP="006640F4">
      <w:pPr>
        <w:pStyle w:val="ItemHead"/>
      </w:pPr>
      <w:r w:rsidRPr="006640F4">
        <w:t>46  At the end of paragraph</w:t>
      </w:r>
      <w:r w:rsidR="006640F4" w:rsidRPr="006640F4">
        <w:t> </w:t>
      </w:r>
      <w:r w:rsidRPr="006640F4">
        <w:t>832</w:t>
      </w:r>
      <w:r w:rsidR="00CB4341">
        <w:noBreakHyphen/>
      </w:r>
      <w:r w:rsidRPr="006640F4">
        <w:t>390(1)(b)</w:t>
      </w:r>
    </w:p>
    <w:p w:rsidR="00FF086F" w:rsidRPr="006640F4" w:rsidRDefault="00FF086F" w:rsidP="006640F4">
      <w:pPr>
        <w:pStyle w:val="Item"/>
      </w:pPr>
      <w:r w:rsidRPr="006640F4">
        <w:t>Add “that correspond to this Subdivision”.</w:t>
      </w:r>
    </w:p>
    <w:p w:rsidR="00FF086F" w:rsidRPr="006640F4" w:rsidRDefault="00FF086F" w:rsidP="006640F4">
      <w:pPr>
        <w:pStyle w:val="ItemHead"/>
      </w:pPr>
      <w:r w:rsidRPr="006640F4">
        <w:t>47  Paragraph 832</w:t>
      </w:r>
      <w:r w:rsidR="00CB4341">
        <w:noBreakHyphen/>
      </w:r>
      <w:r w:rsidRPr="006640F4">
        <w:t>465(1)(b)</w:t>
      </w:r>
    </w:p>
    <w:p w:rsidR="00FF086F" w:rsidRPr="006640F4" w:rsidRDefault="00FF086F" w:rsidP="006640F4">
      <w:pPr>
        <w:pStyle w:val="Item"/>
      </w:pPr>
      <w:r w:rsidRPr="006640F4">
        <w:t>Omit “rules”, substitute “rules that correspond to this Subdivision”.</w:t>
      </w:r>
    </w:p>
    <w:p w:rsidR="00FF086F" w:rsidRPr="006640F4" w:rsidRDefault="00FF086F" w:rsidP="006640F4">
      <w:pPr>
        <w:pStyle w:val="ItemHead"/>
      </w:pPr>
      <w:r w:rsidRPr="006640F4">
        <w:t>48  Paragraph 832</w:t>
      </w:r>
      <w:r w:rsidR="00CB4341">
        <w:noBreakHyphen/>
      </w:r>
      <w:r w:rsidRPr="006640F4">
        <w:t>535(2)(b)</w:t>
      </w:r>
    </w:p>
    <w:p w:rsidR="00FF086F" w:rsidRPr="006640F4" w:rsidRDefault="00FF086F" w:rsidP="006640F4">
      <w:pPr>
        <w:pStyle w:val="Item"/>
      </w:pPr>
      <w:r w:rsidRPr="006640F4">
        <w:t>Repeal the paragraph, substitute:</w:t>
      </w:r>
    </w:p>
    <w:p w:rsidR="00FF086F" w:rsidRPr="006640F4" w:rsidRDefault="00FF086F" w:rsidP="006640F4">
      <w:pPr>
        <w:pStyle w:val="paragraph"/>
      </w:pPr>
      <w:r w:rsidRPr="006640F4">
        <w:tab/>
        <w:t>(b)</w:t>
      </w:r>
      <w:r w:rsidRPr="006640F4">
        <w:tab/>
        <w:t xml:space="preserve">in the primary response country, the mismatch is covered by </w:t>
      </w:r>
      <w:r w:rsidR="006640F4" w:rsidRPr="006640F4">
        <w:rPr>
          <w:position w:val="6"/>
          <w:sz w:val="16"/>
        </w:rPr>
        <w:t>*</w:t>
      </w:r>
      <w:r w:rsidRPr="006640F4">
        <w:t>foreign hybrid mismatch rules that correspond to this Subdivision, or by a law that has substantially the same effect as foreign hybrid mismatch rules that correspond to this Subdivision.</w:t>
      </w:r>
    </w:p>
    <w:p w:rsidR="00FF086F" w:rsidRPr="006640F4" w:rsidRDefault="00FF086F" w:rsidP="006640F4">
      <w:pPr>
        <w:pStyle w:val="ItemHead"/>
      </w:pPr>
      <w:r w:rsidRPr="006640F4">
        <w:t>49  Paragraph 832</w:t>
      </w:r>
      <w:r w:rsidR="00CB4341">
        <w:noBreakHyphen/>
      </w:r>
      <w:r w:rsidRPr="006640F4">
        <w:t>540(1)(b)</w:t>
      </w:r>
    </w:p>
    <w:p w:rsidR="00FF086F" w:rsidRPr="006640F4" w:rsidRDefault="00FF086F" w:rsidP="006640F4">
      <w:pPr>
        <w:pStyle w:val="Item"/>
      </w:pPr>
      <w:r w:rsidRPr="006640F4">
        <w:t>Repeal the paragraph, substitute:</w:t>
      </w:r>
    </w:p>
    <w:p w:rsidR="00FF086F" w:rsidRPr="006640F4" w:rsidRDefault="00FF086F" w:rsidP="006640F4">
      <w:pPr>
        <w:pStyle w:val="paragraph"/>
      </w:pPr>
      <w:r w:rsidRPr="006640F4">
        <w:tab/>
        <w:t>(b)</w:t>
      </w:r>
      <w:r w:rsidRPr="006640F4">
        <w:tab/>
        <w:t xml:space="preserve">the mismatch is not covered by </w:t>
      </w:r>
      <w:r w:rsidR="006640F4" w:rsidRPr="006640F4">
        <w:rPr>
          <w:position w:val="6"/>
          <w:sz w:val="16"/>
        </w:rPr>
        <w:t>*</w:t>
      </w:r>
      <w:r w:rsidRPr="006640F4">
        <w:t>foreign hybrid mismatch rules that correspond to this Subdivision, or by a law that has substantially the same effect as foreign hybrid mismatch rules that correspond to this Subdivision, in any country in which a foreign income tax deduction arose.</w:t>
      </w:r>
    </w:p>
    <w:p w:rsidR="00FF086F" w:rsidRPr="006640F4" w:rsidRDefault="00FF086F" w:rsidP="006640F4">
      <w:pPr>
        <w:pStyle w:val="ItemHead"/>
      </w:pPr>
      <w:r w:rsidRPr="006640F4">
        <w:t>50  Subsection</w:t>
      </w:r>
      <w:r w:rsidR="006640F4" w:rsidRPr="006640F4">
        <w:t> </w:t>
      </w:r>
      <w:r w:rsidRPr="006640F4">
        <w:t>995</w:t>
      </w:r>
      <w:r w:rsidR="00CB4341">
        <w:noBreakHyphen/>
      </w:r>
      <w:r w:rsidRPr="006640F4">
        <w:t xml:space="preserve">1(1) (definition of </w:t>
      </w:r>
      <w:r w:rsidRPr="006640F4">
        <w:rPr>
          <w:i/>
        </w:rPr>
        <w:t>foreign hybrid mismatch rule</w:t>
      </w:r>
      <w:bookmarkStart w:id="13" w:name="BK_S4P12L16C14"/>
      <w:bookmarkEnd w:id="13"/>
      <w:r w:rsidRPr="006640F4">
        <w:rPr>
          <w:i/>
        </w:rPr>
        <w:t>s</w:t>
      </w:r>
      <w:r w:rsidRPr="006640F4">
        <w:t>)</w:t>
      </w:r>
    </w:p>
    <w:p w:rsidR="00FF086F" w:rsidRPr="006640F4" w:rsidRDefault="00FF086F" w:rsidP="006640F4">
      <w:pPr>
        <w:pStyle w:val="Item"/>
      </w:pPr>
      <w:r w:rsidRPr="006640F4">
        <w:t>Repeal the definition, substitute:</w:t>
      </w:r>
    </w:p>
    <w:p w:rsidR="00FF086F" w:rsidRPr="006640F4" w:rsidRDefault="00FF086F" w:rsidP="006640F4">
      <w:pPr>
        <w:pStyle w:val="Definition"/>
      </w:pPr>
      <w:r w:rsidRPr="006640F4">
        <w:rPr>
          <w:b/>
          <w:i/>
        </w:rPr>
        <w:t xml:space="preserve">foreign hybrid mismatch rules </w:t>
      </w:r>
      <w:r w:rsidRPr="006640F4">
        <w:t xml:space="preserve">means a </w:t>
      </w:r>
      <w:r w:rsidR="006640F4" w:rsidRPr="006640F4">
        <w:rPr>
          <w:position w:val="6"/>
          <w:sz w:val="16"/>
        </w:rPr>
        <w:t>*</w:t>
      </w:r>
      <w:r w:rsidRPr="006640F4">
        <w:t>foreign law corresponding to any of Subdivisions</w:t>
      </w:r>
      <w:r w:rsidR="006640F4" w:rsidRPr="006640F4">
        <w:t> </w:t>
      </w:r>
      <w:r w:rsidRPr="006640F4">
        <w:t>832</w:t>
      </w:r>
      <w:r w:rsidR="00CB4341">
        <w:noBreakHyphen/>
      </w:r>
      <w:r w:rsidRPr="006640F4">
        <w:t>C, 832</w:t>
      </w:r>
      <w:r w:rsidR="00CB4341">
        <w:noBreakHyphen/>
      </w:r>
      <w:r w:rsidRPr="006640F4">
        <w:t>D, 832</w:t>
      </w:r>
      <w:r w:rsidR="00CB4341">
        <w:noBreakHyphen/>
      </w:r>
      <w:r w:rsidRPr="006640F4">
        <w:t>E, 832</w:t>
      </w:r>
      <w:r w:rsidR="00CB4341">
        <w:noBreakHyphen/>
      </w:r>
      <w:r w:rsidRPr="006640F4">
        <w:t>F, 832</w:t>
      </w:r>
      <w:r w:rsidR="00CB4341">
        <w:noBreakHyphen/>
      </w:r>
      <w:r w:rsidRPr="006640F4">
        <w:t>G or 832</w:t>
      </w:r>
      <w:r w:rsidR="00CB4341">
        <w:noBreakHyphen/>
      </w:r>
      <w:r w:rsidRPr="006640F4">
        <w:t>H (which are about hybrid mismatches).</w:t>
      </w:r>
    </w:p>
    <w:p w:rsidR="00FF086F" w:rsidRPr="006640F4" w:rsidRDefault="00FF086F" w:rsidP="006640F4">
      <w:pPr>
        <w:pStyle w:val="Transitional"/>
      </w:pPr>
      <w:r w:rsidRPr="006640F4">
        <w:t>51  Application</w:t>
      </w:r>
    </w:p>
    <w:p w:rsidR="00FF086F" w:rsidRPr="006640F4" w:rsidRDefault="00FF086F" w:rsidP="006640F4">
      <w:pPr>
        <w:pStyle w:val="Item"/>
      </w:pPr>
      <w:r w:rsidRPr="006640F4">
        <w:t>The amendments made by this Part apply to assessments for income years starting on or after 1</w:t>
      </w:r>
      <w:r w:rsidR="006640F4" w:rsidRPr="006640F4">
        <w:t> </w:t>
      </w:r>
      <w:r w:rsidRPr="006640F4">
        <w:t>January 2020.</w:t>
      </w:r>
    </w:p>
    <w:p w:rsidR="00FF086F" w:rsidRPr="006640F4" w:rsidRDefault="00FF086F" w:rsidP="006640F4">
      <w:pPr>
        <w:pStyle w:val="ActHead7"/>
        <w:pageBreakBefore/>
      </w:pPr>
      <w:bookmarkStart w:id="14" w:name="_Toc50370727"/>
      <w:r w:rsidRPr="00826806">
        <w:rPr>
          <w:rStyle w:val="CharAmPartNo"/>
        </w:rPr>
        <w:t>Part</w:t>
      </w:r>
      <w:r w:rsidR="006640F4" w:rsidRPr="00826806">
        <w:rPr>
          <w:rStyle w:val="CharAmPartNo"/>
        </w:rPr>
        <w:t> </w:t>
      </w:r>
      <w:r w:rsidRPr="00826806">
        <w:rPr>
          <w:rStyle w:val="CharAmPartNo"/>
        </w:rPr>
        <w:t>3</w:t>
      </w:r>
      <w:r w:rsidRPr="006640F4">
        <w:t>—</w:t>
      </w:r>
      <w:r w:rsidRPr="00826806">
        <w:rPr>
          <w:rStyle w:val="CharAmPartText"/>
        </w:rPr>
        <w:t>Hybrid entities integrity rule</w:t>
      </w:r>
      <w:bookmarkEnd w:id="14"/>
    </w:p>
    <w:p w:rsidR="00FF086F" w:rsidRPr="00826806" w:rsidRDefault="00FF086F" w:rsidP="006640F4">
      <w:pPr>
        <w:pStyle w:val="ActHead9"/>
        <w:rPr>
          <w:i w:val="0"/>
        </w:rPr>
      </w:pPr>
      <w:bookmarkStart w:id="15" w:name="_Toc50370728"/>
      <w:r w:rsidRPr="006640F4">
        <w:t>Income Tax Assessment Act 1997</w:t>
      </w:r>
      <w:bookmarkEnd w:id="15"/>
    </w:p>
    <w:p w:rsidR="00FF086F" w:rsidRPr="006640F4" w:rsidRDefault="00FF086F" w:rsidP="006640F4">
      <w:pPr>
        <w:pStyle w:val="ItemHead"/>
      </w:pPr>
      <w:r w:rsidRPr="006640F4">
        <w:t>52  After subsection</w:t>
      </w:r>
      <w:r w:rsidR="006640F4" w:rsidRPr="006640F4">
        <w:t> </w:t>
      </w:r>
      <w:r w:rsidRPr="006640F4">
        <w:t>832</w:t>
      </w:r>
      <w:r w:rsidR="00CB4341">
        <w:noBreakHyphen/>
      </w:r>
      <w:r w:rsidRPr="006640F4">
        <w:t>240(2)</w:t>
      </w:r>
    </w:p>
    <w:p w:rsidR="00FF086F" w:rsidRPr="006640F4" w:rsidRDefault="00FF086F" w:rsidP="006640F4">
      <w:pPr>
        <w:pStyle w:val="Item"/>
      </w:pPr>
      <w:r w:rsidRPr="006640F4">
        <w:t>Insert:</w:t>
      </w:r>
    </w:p>
    <w:p w:rsidR="00FF086F" w:rsidRPr="006640F4" w:rsidRDefault="00FF086F" w:rsidP="006640F4">
      <w:pPr>
        <w:pStyle w:val="subsection"/>
      </w:pPr>
      <w:r w:rsidRPr="006640F4">
        <w:tab/>
        <w:t>(2A)</w:t>
      </w:r>
      <w:r w:rsidRPr="006640F4">
        <w:tab/>
      </w:r>
      <w:r w:rsidR="006640F4" w:rsidRPr="006640F4">
        <w:t>Subsection (</w:t>
      </w:r>
      <w:r w:rsidRPr="006640F4">
        <w:t>2) does not apply if, on the assumption that subsections</w:t>
      </w:r>
      <w:r w:rsidR="006640F4" w:rsidRPr="006640F4">
        <w:t> </w:t>
      </w:r>
      <w:r w:rsidRPr="006640F4">
        <w:t>832</w:t>
      </w:r>
      <w:r w:rsidR="00CB4341">
        <w:noBreakHyphen/>
      </w:r>
      <w:r w:rsidRPr="006640F4">
        <w:t>180(2) and 832</w:t>
      </w:r>
      <w:r w:rsidR="00CB4341">
        <w:noBreakHyphen/>
      </w:r>
      <w:r w:rsidRPr="006640F4">
        <w:t>725(6) were disregarded, no amount would have been allowable as a deduction in respect of the payment because of subsection</w:t>
      </w:r>
      <w:r w:rsidR="006640F4" w:rsidRPr="006640F4">
        <w:t> </w:t>
      </w:r>
      <w:r w:rsidRPr="006640F4">
        <w:t>832</w:t>
      </w:r>
      <w:r w:rsidR="00CB4341">
        <w:noBreakHyphen/>
      </w:r>
      <w:r w:rsidRPr="006640F4">
        <w:t>725(3).</w:t>
      </w:r>
    </w:p>
    <w:p w:rsidR="00FF086F" w:rsidRPr="006640F4" w:rsidRDefault="00FF086F" w:rsidP="006640F4">
      <w:pPr>
        <w:pStyle w:val="ItemHead"/>
      </w:pPr>
      <w:r w:rsidRPr="006640F4">
        <w:t>53  After subsection</w:t>
      </w:r>
      <w:r w:rsidR="006640F4" w:rsidRPr="006640F4">
        <w:t> </w:t>
      </w:r>
      <w:r w:rsidRPr="006640F4">
        <w:t>832</w:t>
      </w:r>
      <w:r w:rsidR="00CB4341">
        <w:noBreakHyphen/>
      </w:r>
      <w:r w:rsidRPr="006640F4">
        <w:t>565(2)</w:t>
      </w:r>
    </w:p>
    <w:p w:rsidR="00FF086F" w:rsidRPr="006640F4" w:rsidRDefault="00FF086F" w:rsidP="006640F4">
      <w:pPr>
        <w:pStyle w:val="Item"/>
      </w:pPr>
      <w:r w:rsidRPr="006640F4">
        <w:t>Insert:</w:t>
      </w:r>
    </w:p>
    <w:p w:rsidR="00FF086F" w:rsidRPr="006640F4" w:rsidRDefault="00FF086F" w:rsidP="006640F4">
      <w:pPr>
        <w:pStyle w:val="subsection"/>
      </w:pPr>
      <w:r w:rsidRPr="006640F4">
        <w:tab/>
        <w:t>(2A)</w:t>
      </w:r>
      <w:r w:rsidRPr="006640F4">
        <w:tab/>
      </w:r>
      <w:r w:rsidR="006640F4" w:rsidRPr="006640F4">
        <w:t>Subsection (</w:t>
      </w:r>
      <w:r w:rsidRPr="006640F4">
        <w:t>2) does not apply if:</w:t>
      </w:r>
    </w:p>
    <w:p w:rsidR="00FF086F" w:rsidRPr="006640F4" w:rsidRDefault="00FF086F" w:rsidP="006640F4">
      <w:pPr>
        <w:pStyle w:val="paragraph"/>
      </w:pPr>
      <w:r w:rsidRPr="006640F4">
        <w:tab/>
        <w:t>(a)</w:t>
      </w:r>
      <w:r w:rsidRPr="006640F4">
        <w:tab/>
        <w:t>the amount that was not allowable as a deduction under section</w:t>
      </w:r>
      <w:r w:rsidR="006640F4" w:rsidRPr="006640F4">
        <w:t> </w:t>
      </w:r>
      <w:r w:rsidRPr="006640F4">
        <w:t>832</w:t>
      </w:r>
      <w:r w:rsidR="00CB4341">
        <w:noBreakHyphen/>
      </w:r>
      <w:r w:rsidRPr="006640F4">
        <w:t>530 relates to a payment; and</w:t>
      </w:r>
    </w:p>
    <w:p w:rsidR="00FF086F" w:rsidRPr="006640F4" w:rsidRDefault="00FF086F" w:rsidP="006640F4">
      <w:pPr>
        <w:pStyle w:val="paragraph"/>
      </w:pPr>
      <w:r w:rsidRPr="006640F4">
        <w:tab/>
        <w:t>(b)</w:t>
      </w:r>
      <w:r w:rsidRPr="006640F4">
        <w:tab/>
        <w:t>on the assumption that subsection</w:t>
      </w:r>
      <w:r w:rsidR="006640F4" w:rsidRPr="006640F4">
        <w:t> </w:t>
      </w:r>
      <w:r w:rsidRPr="006640F4">
        <w:t>832</w:t>
      </w:r>
      <w:r w:rsidR="00CB4341">
        <w:noBreakHyphen/>
      </w:r>
      <w:r w:rsidRPr="006640F4">
        <w:t>530(2) were disregarded, no amount would have been allowable as a deduction in respect of the payment because of subsection</w:t>
      </w:r>
      <w:r w:rsidR="006640F4" w:rsidRPr="006640F4">
        <w:t> </w:t>
      </w:r>
      <w:r w:rsidRPr="006640F4">
        <w:t>832</w:t>
      </w:r>
      <w:r w:rsidR="00CB4341">
        <w:noBreakHyphen/>
      </w:r>
      <w:r w:rsidRPr="006640F4">
        <w:t>725(3).</w:t>
      </w:r>
    </w:p>
    <w:p w:rsidR="00FF086F" w:rsidRPr="006640F4" w:rsidRDefault="00FF086F" w:rsidP="006640F4">
      <w:pPr>
        <w:pStyle w:val="ItemHead"/>
      </w:pPr>
      <w:r w:rsidRPr="006640F4">
        <w:t>54  Section</w:t>
      </w:r>
      <w:r w:rsidR="006640F4" w:rsidRPr="006640F4">
        <w:t> </w:t>
      </w:r>
      <w:r w:rsidRPr="006640F4">
        <w:t>832</w:t>
      </w:r>
      <w:r w:rsidR="00CB4341">
        <w:noBreakHyphen/>
      </w:r>
      <w:r w:rsidRPr="006640F4">
        <w:t>720</w:t>
      </w:r>
    </w:p>
    <w:p w:rsidR="00FF086F" w:rsidRPr="006640F4" w:rsidRDefault="00FF086F" w:rsidP="006640F4">
      <w:pPr>
        <w:pStyle w:val="Item"/>
      </w:pPr>
      <w:r w:rsidRPr="006640F4">
        <w:t xml:space="preserve">Omit “an Australian deduction of an entity (the </w:t>
      </w:r>
      <w:r w:rsidRPr="006640F4">
        <w:rPr>
          <w:b/>
          <w:i/>
        </w:rPr>
        <w:t>paying entity</w:t>
      </w:r>
      <w:r w:rsidRPr="006640F4">
        <w:t xml:space="preserve">) for a payment of interest (or a payment of a similar character)”, substitute “an Australian deduction for a payment of interest (or a payment of a similar character) made by an entity (the </w:t>
      </w:r>
      <w:r w:rsidRPr="006640F4">
        <w:rPr>
          <w:b/>
          <w:i/>
        </w:rPr>
        <w:t>paying entity</w:t>
      </w:r>
      <w:r w:rsidRPr="006640F4">
        <w:t>)”.</w:t>
      </w:r>
    </w:p>
    <w:p w:rsidR="00FF086F" w:rsidRPr="006640F4" w:rsidRDefault="00FF086F" w:rsidP="006640F4">
      <w:pPr>
        <w:pStyle w:val="ItemHead"/>
      </w:pPr>
      <w:r w:rsidRPr="006640F4">
        <w:t>55  Section</w:t>
      </w:r>
      <w:r w:rsidR="006640F4" w:rsidRPr="006640F4">
        <w:t> </w:t>
      </w:r>
      <w:r w:rsidRPr="006640F4">
        <w:t>832</w:t>
      </w:r>
      <w:r w:rsidR="00CB4341">
        <w:noBreakHyphen/>
      </w:r>
      <w:r w:rsidRPr="006640F4">
        <w:t>720</w:t>
      </w:r>
    </w:p>
    <w:p w:rsidR="00FF086F" w:rsidRPr="006640F4" w:rsidRDefault="00FF086F" w:rsidP="006640F4">
      <w:pPr>
        <w:pStyle w:val="Item"/>
      </w:pPr>
      <w:r w:rsidRPr="006640F4">
        <w:t>Omit “a purpose of enabling a deduction to be obtained in respect of the payment, or”, substitute “a purpose of enabling a deduction to be obtained in respect of the payment, and”.</w:t>
      </w:r>
    </w:p>
    <w:p w:rsidR="00FF086F" w:rsidRPr="006640F4" w:rsidRDefault="00FF086F" w:rsidP="006640F4">
      <w:pPr>
        <w:pStyle w:val="ItemHead"/>
      </w:pPr>
      <w:r w:rsidRPr="006640F4">
        <w:t>56  Paragraph 832</w:t>
      </w:r>
      <w:r w:rsidR="00CB4341">
        <w:noBreakHyphen/>
      </w:r>
      <w:r w:rsidRPr="006640F4">
        <w:t>725(1)(e)</w:t>
      </w:r>
    </w:p>
    <w:p w:rsidR="00FF086F" w:rsidRPr="006640F4" w:rsidRDefault="00FF086F" w:rsidP="006640F4">
      <w:pPr>
        <w:pStyle w:val="Item"/>
      </w:pPr>
      <w:r w:rsidRPr="006640F4">
        <w:t>Omit “the paying entity”, substitute “an entity”.</w:t>
      </w:r>
    </w:p>
    <w:p w:rsidR="00FF086F" w:rsidRPr="006640F4" w:rsidRDefault="00FF086F" w:rsidP="006640F4">
      <w:pPr>
        <w:pStyle w:val="ItemHead"/>
      </w:pPr>
      <w:r w:rsidRPr="006640F4">
        <w:t>57  Subsection</w:t>
      </w:r>
      <w:r w:rsidR="006640F4" w:rsidRPr="006640F4">
        <w:t> </w:t>
      </w:r>
      <w:r w:rsidRPr="006640F4">
        <w:t>832</w:t>
      </w:r>
      <w:r w:rsidR="00CB4341">
        <w:noBreakHyphen/>
      </w:r>
      <w:r w:rsidRPr="006640F4">
        <w:t>725(3)</w:t>
      </w:r>
    </w:p>
    <w:p w:rsidR="00FF086F" w:rsidRPr="006640F4" w:rsidRDefault="00FF086F" w:rsidP="006640F4">
      <w:pPr>
        <w:pStyle w:val="Item"/>
      </w:pPr>
      <w:r w:rsidRPr="006640F4">
        <w:t>Repeal the subsection, substitute:</w:t>
      </w:r>
    </w:p>
    <w:p w:rsidR="00FF086F" w:rsidRPr="006640F4" w:rsidRDefault="00FF086F" w:rsidP="006640F4">
      <w:pPr>
        <w:pStyle w:val="subsection"/>
      </w:pPr>
      <w:r w:rsidRPr="006640F4">
        <w:tab/>
        <w:t>(3)</w:t>
      </w:r>
      <w:r w:rsidRPr="006640F4">
        <w:tab/>
        <w:t xml:space="preserve">The entity mentioned in </w:t>
      </w:r>
      <w:r w:rsidR="006640F4" w:rsidRPr="006640F4">
        <w:t>paragraph (</w:t>
      </w:r>
      <w:r w:rsidRPr="006640F4">
        <w:t>1)(e) is not entitled to the deduction mentioned in that paragraph.</w:t>
      </w:r>
    </w:p>
    <w:p w:rsidR="00FF086F" w:rsidRPr="006640F4" w:rsidRDefault="00FF086F" w:rsidP="006640F4">
      <w:pPr>
        <w:pStyle w:val="ItemHead"/>
      </w:pPr>
      <w:r w:rsidRPr="006640F4">
        <w:t>58  Subsection</w:t>
      </w:r>
      <w:r w:rsidR="006640F4" w:rsidRPr="006640F4">
        <w:t> </w:t>
      </w:r>
      <w:r w:rsidRPr="006640F4">
        <w:t>832</w:t>
      </w:r>
      <w:r w:rsidR="00CB4341">
        <w:noBreakHyphen/>
      </w:r>
      <w:r w:rsidRPr="006640F4">
        <w:t>725(6)</w:t>
      </w:r>
    </w:p>
    <w:p w:rsidR="00FF086F" w:rsidRPr="006640F4" w:rsidRDefault="00FF086F" w:rsidP="006640F4">
      <w:pPr>
        <w:pStyle w:val="Item"/>
      </w:pPr>
      <w:r w:rsidRPr="006640F4">
        <w:t xml:space="preserve">Omit “, a </w:t>
      </w:r>
      <w:r w:rsidR="006640F4" w:rsidRPr="006640F4">
        <w:rPr>
          <w:position w:val="6"/>
          <w:sz w:val="16"/>
        </w:rPr>
        <w:t>*</w:t>
      </w:r>
      <w:r w:rsidRPr="006640F4">
        <w:t>deducting hybrid mismatch”.</w:t>
      </w:r>
    </w:p>
    <w:p w:rsidR="00FF086F" w:rsidRPr="006640F4" w:rsidRDefault="00FF086F" w:rsidP="006640F4">
      <w:pPr>
        <w:pStyle w:val="ItemHead"/>
      </w:pPr>
      <w:r w:rsidRPr="006640F4">
        <w:t>59  At the end of section</w:t>
      </w:r>
      <w:r w:rsidR="006640F4" w:rsidRPr="006640F4">
        <w:t> </w:t>
      </w:r>
      <w:r w:rsidRPr="006640F4">
        <w:t>832</w:t>
      </w:r>
      <w:r w:rsidR="00CB4341">
        <w:noBreakHyphen/>
      </w:r>
      <w:r w:rsidRPr="006640F4">
        <w:t>725</w:t>
      </w:r>
    </w:p>
    <w:p w:rsidR="00FF086F" w:rsidRPr="006640F4" w:rsidRDefault="00FF086F" w:rsidP="006640F4">
      <w:pPr>
        <w:pStyle w:val="Item"/>
      </w:pPr>
      <w:r w:rsidRPr="006640F4">
        <w:t>Add:</w:t>
      </w:r>
    </w:p>
    <w:p w:rsidR="00FF086F" w:rsidRPr="006640F4" w:rsidRDefault="00FF086F" w:rsidP="006640F4">
      <w:pPr>
        <w:pStyle w:val="subsection"/>
      </w:pPr>
      <w:r w:rsidRPr="006640F4">
        <w:tab/>
        <w:t>(7)</w:t>
      </w:r>
      <w:r w:rsidRPr="006640F4">
        <w:tab/>
      </w:r>
      <w:r w:rsidR="006640F4" w:rsidRPr="006640F4">
        <w:t>Subsection (</w:t>
      </w:r>
      <w:r w:rsidRPr="006640F4">
        <w:t>3) does not apply to the extent that an amount to which the payment relates was not allowable as a deduction under subsection</w:t>
      </w:r>
      <w:r w:rsidR="006640F4" w:rsidRPr="006640F4">
        <w:t> </w:t>
      </w:r>
      <w:r w:rsidRPr="006640F4">
        <w:t>832</w:t>
      </w:r>
      <w:r w:rsidR="00CB4341">
        <w:noBreakHyphen/>
      </w:r>
      <w:r w:rsidRPr="006640F4">
        <w:t>530(2).</w:t>
      </w:r>
    </w:p>
    <w:p w:rsidR="00FF086F" w:rsidRPr="006640F4" w:rsidRDefault="00FF086F" w:rsidP="006640F4">
      <w:pPr>
        <w:pStyle w:val="Transitional"/>
      </w:pPr>
      <w:r w:rsidRPr="006640F4">
        <w:t>60  Application</w:t>
      </w:r>
    </w:p>
    <w:p w:rsidR="00FF086F" w:rsidRPr="006640F4" w:rsidRDefault="00FF086F" w:rsidP="006640F4">
      <w:pPr>
        <w:pStyle w:val="Item"/>
      </w:pPr>
      <w:r w:rsidRPr="006640F4">
        <w:t>The amendments made by this Part apply to assessments for income years starting on or after 2</w:t>
      </w:r>
      <w:r w:rsidR="006640F4" w:rsidRPr="006640F4">
        <w:t> </w:t>
      </w:r>
      <w:r w:rsidRPr="006640F4">
        <w:t>April 2019.</w:t>
      </w:r>
    </w:p>
    <w:p w:rsidR="00FF086F" w:rsidRPr="006640F4" w:rsidRDefault="00FF086F" w:rsidP="006640F4">
      <w:pPr>
        <w:pStyle w:val="ActHead7"/>
        <w:pageBreakBefore/>
      </w:pPr>
      <w:bookmarkStart w:id="16" w:name="_Toc50370729"/>
      <w:r w:rsidRPr="00826806">
        <w:rPr>
          <w:rStyle w:val="CharAmPartNo"/>
        </w:rPr>
        <w:t>Part</w:t>
      </w:r>
      <w:r w:rsidR="006640F4" w:rsidRPr="00826806">
        <w:rPr>
          <w:rStyle w:val="CharAmPartNo"/>
        </w:rPr>
        <w:t> </w:t>
      </w:r>
      <w:r w:rsidRPr="00826806">
        <w:rPr>
          <w:rStyle w:val="CharAmPartNo"/>
        </w:rPr>
        <w:t>4</w:t>
      </w:r>
      <w:r w:rsidRPr="006640F4">
        <w:t>—</w:t>
      </w:r>
      <w:r w:rsidRPr="00826806">
        <w:rPr>
          <w:rStyle w:val="CharAmPartText"/>
        </w:rPr>
        <w:t>Foreign income tax deductions for regulatory capital</w:t>
      </w:r>
      <w:bookmarkEnd w:id="16"/>
    </w:p>
    <w:p w:rsidR="00FF086F" w:rsidRPr="00826806" w:rsidRDefault="00FF086F" w:rsidP="006640F4">
      <w:pPr>
        <w:pStyle w:val="ActHead9"/>
        <w:rPr>
          <w:i w:val="0"/>
        </w:rPr>
      </w:pPr>
      <w:bookmarkStart w:id="17" w:name="_Toc50370730"/>
      <w:r w:rsidRPr="006640F4">
        <w:t>Income Tax Assessment Act 1997</w:t>
      </w:r>
      <w:bookmarkEnd w:id="17"/>
    </w:p>
    <w:p w:rsidR="00FF086F" w:rsidRPr="006640F4" w:rsidRDefault="00FF086F" w:rsidP="006640F4">
      <w:pPr>
        <w:pStyle w:val="ItemHead"/>
      </w:pPr>
      <w:r w:rsidRPr="006640F4">
        <w:t>61  Section</w:t>
      </w:r>
      <w:r w:rsidR="006640F4" w:rsidRPr="006640F4">
        <w:t> </w:t>
      </w:r>
      <w:r w:rsidRPr="006640F4">
        <w:t>10</w:t>
      </w:r>
      <w:r w:rsidR="00CB4341">
        <w:noBreakHyphen/>
      </w:r>
      <w:r w:rsidRPr="006640F4">
        <w:t>5 (after table item headed “foreign exchange”)</w:t>
      </w:r>
    </w:p>
    <w:p w:rsidR="00FF086F" w:rsidRPr="006640F4" w:rsidRDefault="00FF086F" w:rsidP="006640F4">
      <w:pPr>
        <w:pStyle w:val="Item"/>
      </w:pPr>
      <w:r w:rsidRPr="006640F4">
        <w:t>Insert:</w:t>
      </w:r>
    </w:p>
    <w:tbl>
      <w:tblPr>
        <w:tblW w:w="7202"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5222"/>
        <w:gridCol w:w="1980"/>
      </w:tblGrid>
      <w:tr w:rsidR="00FF086F" w:rsidRPr="006640F4" w:rsidTr="00EB6E69">
        <w:tc>
          <w:tcPr>
            <w:tcW w:w="5222" w:type="dxa"/>
            <w:tcBorders>
              <w:top w:val="nil"/>
              <w:bottom w:val="nil"/>
            </w:tcBorders>
            <w:shd w:val="clear" w:color="auto" w:fill="auto"/>
          </w:tcPr>
          <w:p w:rsidR="00FF086F" w:rsidRPr="006640F4" w:rsidRDefault="00FF086F" w:rsidP="006640F4">
            <w:pPr>
              <w:pStyle w:val="tableSub-heading"/>
              <w:tabs>
                <w:tab w:val="clear" w:pos="6124"/>
                <w:tab w:val="left" w:leader="dot" w:pos="5245"/>
              </w:tabs>
            </w:pPr>
            <w:r w:rsidRPr="006640F4">
              <w:t>foreign income tax deduction for franked distributions</w:t>
            </w:r>
          </w:p>
        </w:tc>
        <w:tc>
          <w:tcPr>
            <w:tcW w:w="1980" w:type="dxa"/>
            <w:tcBorders>
              <w:top w:val="nil"/>
              <w:bottom w:val="nil"/>
            </w:tcBorders>
            <w:shd w:val="clear" w:color="auto" w:fill="auto"/>
          </w:tcPr>
          <w:p w:rsidR="00FF086F" w:rsidRPr="006640F4" w:rsidRDefault="00FF086F" w:rsidP="006640F4">
            <w:pPr>
              <w:pStyle w:val="tableText0"/>
              <w:tabs>
                <w:tab w:val="left" w:leader="dot" w:pos="5245"/>
              </w:tabs>
              <w:spacing w:line="240" w:lineRule="auto"/>
              <w:rPr>
                <w:b/>
              </w:rPr>
            </w:pPr>
          </w:p>
        </w:tc>
      </w:tr>
      <w:tr w:rsidR="00FF086F" w:rsidRPr="006640F4" w:rsidTr="00EB6E69">
        <w:tc>
          <w:tcPr>
            <w:tcW w:w="5222" w:type="dxa"/>
            <w:tcBorders>
              <w:top w:val="nil"/>
              <w:bottom w:val="nil"/>
            </w:tcBorders>
            <w:shd w:val="clear" w:color="auto" w:fill="auto"/>
          </w:tcPr>
          <w:p w:rsidR="00FF086F" w:rsidRPr="006640F4" w:rsidRDefault="00FF086F" w:rsidP="006640F4">
            <w:pPr>
              <w:pStyle w:val="tableIndentText"/>
              <w:rPr>
                <w:rFonts w:ascii="Times New Roman" w:hAnsi="Times New Roman"/>
              </w:rPr>
            </w:pPr>
            <w:r w:rsidRPr="006640F4">
              <w:t>Additional Tier 1 capital exception</w:t>
            </w:r>
            <w:r w:rsidRPr="006640F4">
              <w:rPr>
                <w:rFonts w:ascii="Times New Roman" w:hAnsi="Times New Roman"/>
              </w:rPr>
              <w:tab/>
            </w:r>
          </w:p>
        </w:tc>
        <w:tc>
          <w:tcPr>
            <w:tcW w:w="1980" w:type="dxa"/>
            <w:tcBorders>
              <w:top w:val="nil"/>
              <w:bottom w:val="nil"/>
            </w:tcBorders>
            <w:shd w:val="clear" w:color="auto" w:fill="auto"/>
          </w:tcPr>
          <w:p w:rsidR="00FF086F" w:rsidRPr="006640F4" w:rsidRDefault="00FF086F" w:rsidP="006640F4">
            <w:pPr>
              <w:pStyle w:val="tableText0"/>
              <w:tabs>
                <w:tab w:val="left" w:leader="dot" w:pos="5245"/>
              </w:tabs>
              <w:spacing w:line="240" w:lineRule="auto"/>
            </w:pPr>
            <w:r w:rsidRPr="006640F4">
              <w:t>15</w:t>
            </w:r>
            <w:r w:rsidR="00CB4341">
              <w:noBreakHyphen/>
            </w:r>
            <w:r w:rsidRPr="006640F4">
              <w:t>80</w:t>
            </w:r>
          </w:p>
        </w:tc>
      </w:tr>
    </w:tbl>
    <w:p w:rsidR="00FF086F" w:rsidRPr="006640F4" w:rsidRDefault="00FF086F" w:rsidP="006640F4">
      <w:pPr>
        <w:pStyle w:val="ItemHead"/>
      </w:pPr>
      <w:r w:rsidRPr="006640F4">
        <w:t>62  At the end of Division</w:t>
      </w:r>
      <w:r w:rsidR="006640F4" w:rsidRPr="006640F4">
        <w:t> </w:t>
      </w:r>
      <w:r w:rsidRPr="006640F4">
        <w:t>15</w:t>
      </w:r>
    </w:p>
    <w:p w:rsidR="00FF086F" w:rsidRPr="006640F4" w:rsidRDefault="00FF086F" w:rsidP="006640F4">
      <w:pPr>
        <w:pStyle w:val="Item"/>
      </w:pPr>
      <w:r w:rsidRPr="006640F4">
        <w:t>Add:</w:t>
      </w:r>
    </w:p>
    <w:p w:rsidR="00FF086F" w:rsidRPr="006640F4" w:rsidRDefault="00FF086F" w:rsidP="006640F4">
      <w:pPr>
        <w:pStyle w:val="ActHead5"/>
      </w:pPr>
      <w:bookmarkStart w:id="18" w:name="_Toc50370731"/>
      <w:r w:rsidRPr="00826806">
        <w:rPr>
          <w:rStyle w:val="CharSectno"/>
        </w:rPr>
        <w:t>15</w:t>
      </w:r>
      <w:r w:rsidR="00CB4341" w:rsidRPr="00826806">
        <w:rPr>
          <w:rStyle w:val="CharSectno"/>
        </w:rPr>
        <w:noBreakHyphen/>
      </w:r>
      <w:r w:rsidRPr="00826806">
        <w:rPr>
          <w:rStyle w:val="CharSectno"/>
        </w:rPr>
        <w:t>80</w:t>
      </w:r>
      <w:r w:rsidRPr="006640F4">
        <w:t xml:space="preserve">  Franked distributions entitled to a foreign income tax deduction—Additional Tier 1 capital exception</w:t>
      </w:r>
      <w:bookmarkEnd w:id="18"/>
    </w:p>
    <w:p w:rsidR="00FF086F" w:rsidRPr="006640F4" w:rsidRDefault="00FF086F" w:rsidP="006640F4">
      <w:pPr>
        <w:pStyle w:val="subsection"/>
      </w:pPr>
      <w:r w:rsidRPr="006640F4">
        <w:tab/>
        <w:t>(1)</w:t>
      </w:r>
      <w:r w:rsidRPr="006640F4">
        <w:tab/>
        <w:t>If section</w:t>
      </w:r>
      <w:r w:rsidR="006640F4" w:rsidRPr="006640F4">
        <w:t> </w:t>
      </w:r>
      <w:r w:rsidRPr="006640F4">
        <w:t>207</w:t>
      </w:r>
      <w:r w:rsidR="00CB4341">
        <w:noBreakHyphen/>
      </w:r>
      <w:r w:rsidRPr="006640F4">
        <w:t>158 would, apart from subsection</w:t>
      </w:r>
      <w:r w:rsidR="006640F4" w:rsidRPr="006640F4">
        <w:t> </w:t>
      </w:r>
      <w:r w:rsidRPr="006640F4">
        <w:t>207</w:t>
      </w:r>
      <w:r w:rsidR="00CB4341">
        <w:noBreakHyphen/>
      </w:r>
      <w:r w:rsidRPr="006640F4">
        <w:t xml:space="preserve">158(2), apply to a </w:t>
      </w:r>
      <w:r w:rsidR="006640F4" w:rsidRPr="006640F4">
        <w:rPr>
          <w:position w:val="6"/>
          <w:sz w:val="16"/>
        </w:rPr>
        <w:t>*</w:t>
      </w:r>
      <w:r w:rsidRPr="006640F4">
        <w:t xml:space="preserve">franked distribution, then an amount equal to the </w:t>
      </w:r>
      <w:r w:rsidR="006640F4" w:rsidRPr="006640F4">
        <w:rPr>
          <w:position w:val="6"/>
          <w:sz w:val="16"/>
        </w:rPr>
        <w:t>*</w:t>
      </w:r>
      <w:r w:rsidRPr="006640F4">
        <w:t xml:space="preserve">foreign income tax deduction referred to in </w:t>
      </w:r>
      <w:r w:rsidR="006640F4" w:rsidRPr="006640F4">
        <w:t>subsection (</w:t>
      </w:r>
      <w:r w:rsidRPr="006640F4">
        <w:t xml:space="preserve">1) of that section is included in the assessable income of the entity that made the distribution for the income year mentioned in </w:t>
      </w:r>
      <w:r w:rsidR="006640F4" w:rsidRPr="006640F4">
        <w:t>subsection (</w:t>
      </w:r>
      <w:r w:rsidRPr="006640F4">
        <w:t>2) of this section.</w:t>
      </w:r>
    </w:p>
    <w:p w:rsidR="00FF086F" w:rsidRPr="006640F4" w:rsidRDefault="00FF086F" w:rsidP="006640F4">
      <w:pPr>
        <w:pStyle w:val="subsection"/>
      </w:pPr>
      <w:r w:rsidRPr="006640F4">
        <w:tab/>
        <w:t>(2)</w:t>
      </w:r>
      <w:r w:rsidRPr="006640F4">
        <w:tab/>
        <w:t>The income year is:</w:t>
      </w:r>
    </w:p>
    <w:p w:rsidR="00FF086F" w:rsidRPr="006640F4" w:rsidRDefault="00FF086F" w:rsidP="006640F4">
      <w:pPr>
        <w:pStyle w:val="paragraph"/>
      </w:pPr>
      <w:r w:rsidRPr="006640F4">
        <w:tab/>
        <w:t>(a)</w:t>
      </w:r>
      <w:r w:rsidRPr="006640F4">
        <w:tab/>
        <w:t xml:space="preserve">if the </w:t>
      </w:r>
      <w:r w:rsidR="006640F4" w:rsidRPr="006640F4">
        <w:rPr>
          <w:position w:val="6"/>
          <w:sz w:val="16"/>
        </w:rPr>
        <w:t>*</w:t>
      </w:r>
      <w:r w:rsidRPr="006640F4">
        <w:t xml:space="preserve">foreign tax period in which the </w:t>
      </w:r>
      <w:r w:rsidR="006640F4" w:rsidRPr="006640F4">
        <w:rPr>
          <w:position w:val="6"/>
          <w:sz w:val="16"/>
        </w:rPr>
        <w:t>*</w:t>
      </w:r>
      <w:r w:rsidRPr="006640F4">
        <w:t>foreign income tax deduction arises falls wholly within an income year of the entity—that income year; or</w:t>
      </w:r>
    </w:p>
    <w:p w:rsidR="00FF086F" w:rsidRPr="006640F4" w:rsidRDefault="00FF086F" w:rsidP="006640F4">
      <w:pPr>
        <w:pStyle w:val="paragraph"/>
      </w:pPr>
      <w:r w:rsidRPr="006640F4">
        <w:tab/>
        <w:t>(b)</w:t>
      </w:r>
      <w:r w:rsidRPr="006640F4">
        <w:tab/>
        <w:t>if the foreign tax period in which the foreign income tax deduction arises straddles 2 income years of the entity—the later of those income years.</w:t>
      </w:r>
    </w:p>
    <w:p w:rsidR="00FF086F" w:rsidRPr="006640F4" w:rsidRDefault="00FF086F" w:rsidP="006640F4">
      <w:pPr>
        <w:pStyle w:val="ItemHead"/>
      </w:pPr>
      <w:r w:rsidRPr="006640F4">
        <w:t>63  Section</w:t>
      </w:r>
      <w:r w:rsidR="006640F4" w:rsidRPr="006640F4">
        <w:t> </w:t>
      </w:r>
      <w:r w:rsidRPr="006640F4">
        <w:t>207</w:t>
      </w:r>
      <w:r w:rsidR="00CB4341">
        <w:noBreakHyphen/>
      </w:r>
      <w:r w:rsidRPr="006640F4">
        <w:t>158</w:t>
      </w:r>
    </w:p>
    <w:p w:rsidR="00FF086F" w:rsidRPr="006640F4" w:rsidRDefault="00FF086F" w:rsidP="006640F4">
      <w:pPr>
        <w:pStyle w:val="Item"/>
      </w:pPr>
      <w:r w:rsidRPr="006640F4">
        <w:t>Repeal the section, substitute:</w:t>
      </w:r>
    </w:p>
    <w:p w:rsidR="00FF086F" w:rsidRPr="006640F4" w:rsidRDefault="00FF086F" w:rsidP="006640F4">
      <w:pPr>
        <w:pStyle w:val="ActHead5"/>
      </w:pPr>
      <w:bookmarkStart w:id="19" w:name="_Toc50370732"/>
      <w:r w:rsidRPr="00826806">
        <w:rPr>
          <w:rStyle w:val="CharSectno"/>
        </w:rPr>
        <w:t>207</w:t>
      </w:r>
      <w:r w:rsidR="00CB4341" w:rsidRPr="00826806">
        <w:rPr>
          <w:rStyle w:val="CharSectno"/>
        </w:rPr>
        <w:noBreakHyphen/>
      </w:r>
      <w:r w:rsidRPr="00826806">
        <w:rPr>
          <w:rStyle w:val="CharSectno"/>
        </w:rPr>
        <w:t>158</w:t>
      </w:r>
      <w:r w:rsidRPr="006640F4">
        <w:t xml:space="preserve">  Distributions entitled to a foreign income tax deduction</w:t>
      </w:r>
      <w:bookmarkEnd w:id="19"/>
    </w:p>
    <w:p w:rsidR="00FF086F" w:rsidRPr="006640F4" w:rsidRDefault="00FF086F" w:rsidP="006640F4">
      <w:pPr>
        <w:pStyle w:val="subsection"/>
      </w:pPr>
      <w:r w:rsidRPr="006640F4">
        <w:tab/>
        <w:t>(1)</w:t>
      </w:r>
      <w:r w:rsidRPr="006640F4">
        <w:tab/>
        <w:t xml:space="preserve">This section applies to a </w:t>
      </w:r>
      <w:r w:rsidR="006640F4" w:rsidRPr="006640F4">
        <w:rPr>
          <w:position w:val="6"/>
          <w:sz w:val="16"/>
        </w:rPr>
        <w:t>*</w:t>
      </w:r>
      <w:r w:rsidRPr="006640F4">
        <w:t xml:space="preserve">franked distribution if all or part of the distribution gives rise to a </w:t>
      </w:r>
      <w:r w:rsidR="006640F4" w:rsidRPr="006640F4">
        <w:rPr>
          <w:position w:val="6"/>
          <w:sz w:val="16"/>
        </w:rPr>
        <w:t>*</w:t>
      </w:r>
      <w:r w:rsidRPr="006640F4">
        <w:t>foreign income tax deduction.</w:t>
      </w:r>
    </w:p>
    <w:p w:rsidR="00FF086F" w:rsidRPr="006640F4" w:rsidRDefault="00FF086F" w:rsidP="006640F4">
      <w:pPr>
        <w:pStyle w:val="SubsectionHead"/>
      </w:pPr>
      <w:r w:rsidRPr="006640F4">
        <w:t>Exception for distributions made under certain regulatory capital instruments</w:t>
      </w:r>
    </w:p>
    <w:p w:rsidR="00FF086F" w:rsidRPr="006640F4" w:rsidRDefault="00FF086F" w:rsidP="006640F4">
      <w:pPr>
        <w:pStyle w:val="subsection"/>
      </w:pPr>
      <w:r w:rsidRPr="006640F4">
        <w:tab/>
        <w:t>(2)</w:t>
      </w:r>
      <w:r w:rsidRPr="006640F4">
        <w:tab/>
        <w:t xml:space="preserve">However, this section does not apply to a distribution made in respect of an </w:t>
      </w:r>
      <w:r w:rsidR="006640F4" w:rsidRPr="006640F4">
        <w:rPr>
          <w:position w:val="6"/>
          <w:sz w:val="16"/>
        </w:rPr>
        <w:t>*</w:t>
      </w:r>
      <w:r w:rsidRPr="006640F4">
        <w:t>equity interest if the interest forms part of Additional Tier 1 capital for the purposes of:</w:t>
      </w:r>
    </w:p>
    <w:p w:rsidR="00FF086F" w:rsidRPr="006640F4" w:rsidRDefault="00FF086F" w:rsidP="006640F4">
      <w:pPr>
        <w:pStyle w:val="paragraph"/>
      </w:pPr>
      <w:r w:rsidRPr="006640F4">
        <w:tab/>
        <w:t>(a)</w:t>
      </w:r>
      <w:r w:rsidRPr="006640F4">
        <w:tab/>
        <w:t xml:space="preserve">applicable </w:t>
      </w:r>
      <w:r w:rsidR="006640F4" w:rsidRPr="006640F4">
        <w:rPr>
          <w:position w:val="6"/>
          <w:sz w:val="16"/>
        </w:rPr>
        <w:t>*</w:t>
      </w:r>
      <w:r w:rsidRPr="006640F4">
        <w:t>prudential standards; or</w:t>
      </w:r>
    </w:p>
    <w:p w:rsidR="00FF086F" w:rsidRPr="006640F4" w:rsidRDefault="00FF086F" w:rsidP="006640F4">
      <w:pPr>
        <w:pStyle w:val="paragraph"/>
      </w:pPr>
      <w:r w:rsidRPr="006640F4">
        <w:tab/>
        <w:t>(b)</w:t>
      </w:r>
      <w:r w:rsidRPr="006640F4">
        <w:tab/>
        <w:t xml:space="preserve">applicable prudential standards determined by </w:t>
      </w:r>
      <w:r w:rsidR="006640F4" w:rsidRPr="006640F4">
        <w:rPr>
          <w:position w:val="6"/>
          <w:sz w:val="16"/>
        </w:rPr>
        <w:t>*</w:t>
      </w:r>
      <w:r w:rsidRPr="006640F4">
        <w:t>APRA and in force under section</w:t>
      </w:r>
      <w:r w:rsidR="006640F4" w:rsidRPr="006640F4">
        <w:t> </w:t>
      </w:r>
      <w:r w:rsidRPr="006640F4">
        <w:t xml:space="preserve">32 of the </w:t>
      </w:r>
      <w:r w:rsidRPr="006640F4">
        <w:rPr>
          <w:i/>
        </w:rPr>
        <w:t>Insurance Act 1973</w:t>
      </w:r>
      <w:r w:rsidRPr="006640F4">
        <w:t>; or</w:t>
      </w:r>
    </w:p>
    <w:p w:rsidR="00FF086F" w:rsidRPr="006640F4" w:rsidRDefault="00FF086F" w:rsidP="006640F4">
      <w:pPr>
        <w:pStyle w:val="paragraph"/>
      </w:pPr>
      <w:r w:rsidRPr="006640F4">
        <w:tab/>
        <w:t>(c)</w:t>
      </w:r>
      <w:r w:rsidRPr="006640F4">
        <w:tab/>
        <w:t>applicable prudential standards determined by APRA and in force under section</w:t>
      </w:r>
      <w:r w:rsidR="006640F4" w:rsidRPr="006640F4">
        <w:t> </w:t>
      </w:r>
      <w:r w:rsidRPr="006640F4">
        <w:t xml:space="preserve">230A of the </w:t>
      </w:r>
      <w:r w:rsidRPr="006640F4">
        <w:rPr>
          <w:i/>
        </w:rPr>
        <w:t>Life Insurance Act 1995</w:t>
      </w:r>
      <w:r w:rsidRPr="006640F4">
        <w:t>.</w:t>
      </w:r>
    </w:p>
    <w:p w:rsidR="00FF086F" w:rsidRPr="006640F4" w:rsidRDefault="00FF086F" w:rsidP="006640F4">
      <w:pPr>
        <w:pStyle w:val="Transitional"/>
      </w:pPr>
      <w:r w:rsidRPr="006640F4">
        <w:t>64</w:t>
      </w:r>
      <w:r w:rsidR="00EF3BC3" w:rsidRPr="006640F4">
        <w:t xml:space="preserve">  Application</w:t>
      </w:r>
    </w:p>
    <w:p w:rsidR="00FF086F" w:rsidRPr="006640F4" w:rsidRDefault="00FF086F" w:rsidP="006640F4">
      <w:pPr>
        <w:pStyle w:val="Subitem"/>
      </w:pPr>
      <w:r w:rsidRPr="006640F4">
        <w:tab/>
        <w:t>The amendments made by this Part apply in relation to distributions made on or after 1</w:t>
      </w:r>
      <w:r w:rsidR="006640F4" w:rsidRPr="006640F4">
        <w:t> </w:t>
      </w:r>
      <w:r w:rsidRPr="006640F4">
        <w:t>January 2019.</w:t>
      </w:r>
    </w:p>
    <w:p w:rsidR="008F32F2" w:rsidRPr="006640F4" w:rsidRDefault="008F32F2" w:rsidP="006640F4">
      <w:pPr>
        <w:pStyle w:val="ActHead6"/>
        <w:pageBreakBefore/>
      </w:pPr>
      <w:bookmarkStart w:id="20" w:name="_Toc50370733"/>
      <w:r w:rsidRPr="00826806">
        <w:rPr>
          <w:rStyle w:val="CharAmSchNo"/>
        </w:rPr>
        <w:t>Schedule</w:t>
      </w:r>
      <w:r w:rsidR="006640F4" w:rsidRPr="00826806">
        <w:rPr>
          <w:rStyle w:val="CharAmSchNo"/>
        </w:rPr>
        <w:t> </w:t>
      </w:r>
      <w:r w:rsidRPr="00826806">
        <w:rPr>
          <w:rStyle w:val="CharAmSchNo"/>
        </w:rPr>
        <w:t>2</w:t>
      </w:r>
      <w:r w:rsidRPr="006640F4">
        <w:t>—</w:t>
      </w:r>
      <w:r w:rsidRPr="00826806">
        <w:rPr>
          <w:rStyle w:val="CharAmSchText"/>
        </w:rPr>
        <w:t>Single touch payroll reporting—child support information</w:t>
      </w:r>
      <w:bookmarkEnd w:id="20"/>
    </w:p>
    <w:p w:rsidR="00652F03" w:rsidRPr="00826806" w:rsidRDefault="00652F03" w:rsidP="006640F4">
      <w:pPr>
        <w:pStyle w:val="Header"/>
      </w:pPr>
      <w:r w:rsidRPr="00826806">
        <w:rPr>
          <w:rStyle w:val="CharAmPartNo"/>
        </w:rPr>
        <w:t xml:space="preserve"> </w:t>
      </w:r>
      <w:r w:rsidRPr="00826806">
        <w:rPr>
          <w:rStyle w:val="CharAmPartText"/>
        </w:rPr>
        <w:t xml:space="preserve"> </w:t>
      </w:r>
    </w:p>
    <w:p w:rsidR="00652F03" w:rsidRPr="00826806" w:rsidRDefault="00652F03" w:rsidP="006640F4">
      <w:pPr>
        <w:pStyle w:val="ActHead9"/>
        <w:rPr>
          <w:i w:val="0"/>
        </w:rPr>
      </w:pPr>
      <w:bookmarkStart w:id="21" w:name="_Toc50370734"/>
      <w:r w:rsidRPr="006640F4">
        <w:t>Child Support (Assessment) Act 1989</w:t>
      </w:r>
      <w:bookmarkEnd w:id="21"/>
    </w:p>
    <w:p w:rsidR="00652F03" w:rsidRPr="006640F4" w:rsidRDefault="00652F03" w:rsidP="006640F4">
      <w:pPr>
        <w:pStyle w:val="ItemHead"/>
      </w:pPr>
      <w:r w:rsidRPr="006640F4">
        <w:t>1  Subsection</w:t>
      </w:r>
      <w:r w:rsidR="006640F4" w:rsidRPr="006640F4">
        <w:t> </w:t>
      </w:r>
      <w:r w:rsidRPr="006640F4">
        <w:t>150D(1)</w:t>
      </w:r>
    </w:p>
    <w:p w:rsidR="00652F03" w:rsidRPr="006640F4" w:rsidRDefault="00652F03" w:rsidP="006640F4">
      <w:pPr>
        <w:pStyle w:val="Item"/>
      </w:pPr>
      <w:r w:rsidRPr="006640F4">
        <w:t>Repeal the subsection, substitute:</w:t>
      </w:r>
    </w:p>
    <w:p w:rsidR="00652F03" w:rsidRPr="006640F4" w:rsidRDefault="00652F03" w:rsidP="006640F4">
      <w:pPr>
        <w:pStyle w:val="subsection"/>
      </w:pPr>
      <w:r w:rsidRPr="006640F4">
        <w:tab/>
        <w:t>(1)</w:t>
      </w:r>
      <w:r w:rsidRPr="006640F4">
        <w:tab/>
        <w:t>The Registrar may require the Commissioner to provide the Registrar with information about people, including tax file numbers, being information that:</w:t>
      </w:r>
    </w:p>
    <w:p w:rsidR="00652F03" w:rsidRPr="006640F4" w:rsidRDefault="00652F03" w:rsidP="006640F4">
      <w:pPr>
        <w:pStyle w:val="paragraph"/>
      </w:pPr>
      <w:r w:rsidRPr="006640F4">
        <w:tab/>
        <w:t>(a)</w:t>
      </w:r>
      <w:r w:rsidRPr="006640F4">
        <w:tab/>
        <w:t>is in the possession of the Commissioner; or</w:t>
      </w:r>
    </w:p>
    <w:p w:rsidR="00652F03" w:rsidRPr="006640F4" w:rsidRDefault="00652F03" w:rsidP="006640F4">
      <w:pPr>
        <w:pStyle w:val="paragraph"/>
      </w:pPr>
      <w:r w:rsidRPr="006640F4">
        <w:tab/>
        <w:t>(b)</w:t>
      </w:r>
      <w:r w:rsidRPr="006640F4">
        <w:tab/>
        <w:t>may come into the possession of the Commissioner after the requirement is made (including information that comes into existence after the requirement is made).</w:t>
      </w:r>
    </w:p>
    <w:p w:rsidR="00652F03" w:rsidRPr="006640F4" w:rsidRDefault="00652F03" w:rsidP="006640F4">
      <w:pPr>
        <w:pStyle w:val="subsection2"/>
      </w:pPr>
      <w:r w:rsidRPr="006640F4">
        <w:t>The requirement may be of a standing nature.</w:t>
      </w:r>
    </w:p>
    <w:p w:rsidR="00652F03" w:rsidRPr="00826806" w:rsidRDefault="00652F03" w:rsidP="006640F4">
      <w:pPr>
        <w:pStyle w:val="ActHead9"/>
        <w:rPr>
          <w:i w:val="0"/>
        </w:rPr>
      </w:pPr>
      <w:bookmarkStart w:id="22" w:name="_Toc50370735"/>
      <w:r w:rsidRPr="006640F4">
        <w:t>Child Support (Registration and Collection) Act 1988</w:t>
      </w:r>
      <w:bookmarkEnd w:id="22"/>
    </w:p>
    <w:p w:rsidR="00652F03" w:rsidRPr="006640F4" w:rsidRDefault="00652F03" w:rsidP="006640F4">
      <w:pPr>
        <w:pStyle w:val="ItemHead"/>
      </w:pPr>
      <w:r w:rsidRPr="006640F4">
        <w:t>2  Subsection</w:t>
      </w:r>
      <w:r w:rsidR="006640F4" w:rsidRPr="006640F4">
        <w:t> </w:t>
      </w:r>
      <w:r w:rsidRPr="006640F4">
        <w:t>16C(1)</w:t>
      </w:r>
    </w:p>
    <w:p w:rsidR="00652F03" w:rsidRPr="006640F4" w:rsidRDefault="00652F03" w:rsidP="006640F4">
      <w:pPr>
        <w:pStyle w:val="Item"/>
      </w:pPr>
      <w:r w:rsidRPr="006640F4">
        <w:t>Repeal the subsection, substitute:</w:t>
      </w:r>
    </w:p>
    <w:p w:rsidR="00652F03" w:rsidRPr="006640F4" w:rsidRDefault="00652F03" w:rsidP="006640F4">
      <w:pPr>
        <w:pStyle w:val="subsection"/>
      </w:pPr>
      <w:r w:rsidRPr="006640F4">
        <w:tab/>
        <w:t>(1)</w:t>
      </w:r>
      <w:r w:rsidRPr="006640F4">
        <w:tab/>
        <w:t>The Registrar may require the Commissioner to provide the Registrar with information about people, including tax file numbers, being information that:</w:t>
      </w:r>
    </w:p>
    <w:p w:rsidR="00652F03" w:rsidRPr="006640F4" w:rsidRDefault="00652F03" w:rsidP="006640F4">
      <w:pPr>
        <w:pStyle w:val="paragraph"/>
      </w:pPr>
      <w:r w:rsidRPr="006640F4">
        <w:tab/>
        <w:t>(a)</w:t>
      </w:r>
      <w:r w:rsidRPr="006640F4">
        <w:tab/>
        <w:t>is in the possession of the Commissioner; or</w:t>
      </w:r>
    </w:p>
    <w:p w:rsidR="00652F03" w:rsidRPr="006640F4" w:rsidRDefault="00652F03" w:rsidP="006640F4">
      <w:pPr>
        <w:pStyle w:val="paragraph"/>
      </w:pPr>
      <w:r w:rsidRPr="006640F4">
        <w:tab/>
        <w:t>(b)</w:t>
      </w:r>
      <w:r w:rsidRPr="006640F4">
        <w:tab/>
        <w:t>may come into the possession of the Commissioner after the requirement is made (including information that comes into existence after the requirement is made).</w:t>
      </w:r>
    </w:p>
    <w:p w:rsidR="00652F03" w:rsidRPr="006640F4" w:rsidRDefault="00652F03" w:rsidP="006640F4">
      <w:pPr>
        <w:pStyle w:val="subsection2"/>
      </w:pPr>
      <w:r w:rsidRPr="006640F4">
        <w:t>The requirement may be of a standing nature.</w:t>
      </w:r>
    </w:p>
    <w:p w:rsidR="00652F03" w:rsidRPr="006640F4" w:rsidRDefault="00652F03" w:rsidP="006640F4">
      <w:pPr>
        <w:pStyle w:val="ItemHead"/>
      </w:pPr>
      <w:r w:rsidRPr="006640F4">
        <w:t>3  Subparagraph 42B(1)(a)(ii)</w:t>
      </w:r>
    </w:p>
    <w:p w:rsidR="00652F03" w:rsidRPr="006640F4" w:rsidRDefault="00652F03" w:rsidP="006640F4">
      <w:pPr>
        <w:pStyle w:val="Item"/>
      </w:pPr>
      <w:r w:rsidRPr="006640F4">
        <w:t>Omit “an”, substitute “a”.</w:t>
      </w:r>
    </w:p>
    <w:p w:rsidR="00652F03" w:rsidRPr="006640F4" w:rsidRDefault="00652F03" w:rsidP="006640F4">
      <w:pPr>
        <w:pStyle w:val="ItemHead"/>
      </w:pPr>
      <w:r w:rsidRPr="006640F4">
        <w:t>4  After subsection</w:t>
      </w:r>
      <w:r w:rsidR="006640F4" w:rsidRPr="006640F4">
        <w:t> </w:t>
      </w:r>
      <w:r w:rsidRPr="006640F4">
        <w:t>47(1A)</w:t>
      </w:r>
    </w:p>
    <w:p w:rsidR="00652F03" w:rsidRPr="006640F4" w:rsidRDefault="00652F03" w:rsidP="006640F4">
      <w:pPr>
        <w:pStyle w:val="Item"/>
      </w:pPr>
      <w:r w:rsidRPr="006640F4">
        <w:t>Insert:</w:t>
      </w:r>
    </w:p>
    <w:p w:rsidR="00652F03" w:rsidRPr="006640F4" w:rsidRDefault="00652F03" w:rsidP="006640F4">
      <w:pPr>
        <w:pStyle w:val="subsection"/>
        <w:rPr>
          <w:i/>
        </w:rPr>
      </w:pPr>
      <w:r w:rsidRPr="006640F4">
        <w:tab/>
        <w:t>(1B)</w:t>
      </w:r>
      <w:r w:rsidRPr="006640F4">
        <w:tab/>
        <w:t xml:space="preserve">An employer is not subject to a requirement under </w:t>
      </w:r>
      <w:r w:rsidR="006640F4" w:rsidRPr="006640F4">
        <w:t>paragraph (</w:t>
      </w:r>
      <w:r w:rsidRPr="006640F4">
        <w:t xml:space="preserve">1)(b) or </w:t>
      </w:r>
      <w:r w:rsidR="006640F4" w:rsidRPr="006640F4">
        <w:t>subsection (</w:t>
      </w:r>
      <w:r w:rsidRPr="006640F4">
        <w:t>1A) to give notice to the Registrar to the extent that the notice would relate to an amount, or a nil amount, that the employer has notified to the Commissioner under item</w:t>
      </w:r>
      <w:r w:rsidR="006640F4" w:rsidRPr="006640F4">
        <w:t> </w:t>
      </w:r>
      <w:r w:rsidRPr="006640F4">
        <w:t>1 or 2 of the table in subsection</w:t>
      </w:r>
      <w:r w:rsidR="006640F4" w:rsidRPr="006640F4">
        <w:t> </w:t>
      </w:r>
      <w:r w:rsidRPr="006640F4">
        <w:t>389</w:t>
      </w:r>
      <w:r w:rsidR="00CB4341">
        <w:noBreakHyphen/>
      </w:r>
      <w:r w:rsidRPr="006640F4">
        <w:t>30(1) in Schedule</w:t>
      </w:r>
      <w:r w:rsidR="006640F4" w:rsidRPr="006640F4">
        <w:t> </w:t>
      </w:r>
      <w:r w:rsidRPr="006640F4">
        <w:t xml:space="preserve">1 to the </w:t>
      </w:r>
      <w:r w:rsidRPr="006640F4">
        <w:rPr>
          <w:i/>
        </w:rPr>
        <w:t xml:space="preserve">Taxation Administration Act 1953 </w:t>
      </w:r>
      <w:r w:rsidRPr="006640F4">
        <w:t>(about voluntary reporting by employers)</w:t>
      </w:r>
      <w:r w:rsidRPr="006640F4">
        <w:rPr>
          <w:i/>
        </w:rPr>
        <w:t>.</w:t>
      </w:r>
    </w:p>
    <w:p w:rsidR="00652F03" w:rsidRPr="006640F4" w:rsidRDefault="00652F03" w:rsidP="006640F4">
      <w:pPr>
        <w:pStyle w:val="ItemHead"/>
      </w:pPr>
      <w:r w:rsidRPr="006640F4">
        <w:t>5  After subsection</w:t>
      </w:r>
      <w:r w:rsidR="006640F4" w:rsidRPr="006640F4">
        <w:t> </w:t>
      </w:r>
      <w:r w:rsidRPr="006640F4">
        <w:t>58(2)</w:t>
      </w:r>
    </w:p>
    <w:p w:rsidR="00652F03" w:rsidRPr="006640F4" w:rsidRDefault="00652F03" w:rsidP="006640F4">
      <w:pPr>
        <w:pStyle w:val="Item"/>
      </w:pPr>
      <w:r w:rsidRPr="006640F4">
        <w:t>Insert:</w:t>
      </w:r>
    </w:p>
    <w:p w:rsidR="00652F03" w:rsidRPr="006640F4" w:rsidRDefault="00652F03" w:rsidP="006640F4">
      <w:pPr>
        <w:pStyle w:val="subsection"/>
        <w:rPr>
          <w:i/>
        </w:rPr>
      </w:pPr>
      <w:r w:rsidRPr="006640F4">
        <w:tab/>
        <w:t>(2A)</w:t>
      </w:r>
      <w:r w:rsidRPr="006640F4">
        <w:tab/>
      </w:r>
      <w:r w:rsidR="006640F4" w:rsidRPr="006640F4">
        <w:t>Subsection (</w:t>
      </w:r>
      <w:r w:rsidRPr="006640F4">
        <w:t>1) does not apply if the information is notified to the Commissioner under subsection</w:t>
      </w:r>
      <w:r w:rsidR="006640F4" w:rsidRPr="006640F4">
        <w:t> </w:t>
      </w:r>
      <w:r w:rsidRPr="006640F4">
        <w:t>389</w:t>
      </w:r>
      <w:r w:rsidR="00CB4341">
        <w:noBreakHyphen/>
      </w:r>
      <w:r w:rsidRPr="006640F4">
        <w:t>30(1) in Schedule</w:t>
      </w:r>
      <w:r w:rsidR="006640F4" w:rsidRPr="006640F4">
        <w:t> </w:t>
      </w:r>
      <w:r w:rsidRPr="006640F4">
        <w:t xml:space="preserve">1 to the </w:t>
      </w:r>
      <w:r w:rsidRPr="006640F4">
        <w:rPr>
          <w:i/>
        </w:rPr>
        <w:t xml:space="preserve">Taxation Administration Act 1953 </w:t>
      </w:r>
      <w:r w:rsidRPr="006640F4">
        <w:t>(about voluntary reporting by employers)</w:t>
      </w:r>
      <w:r w:rsidRPr="006640F4">
        <w:rPr>
          <w:i/>
        </w:rPr>
        <w:t>.</w:t>
      </w:r>
    </w:p>
    <w:p w:rsidR="00652F03" w:rsidRPr="00826806" w:rsidRDefault="00652F03" w:rsidP="006640F4">
      <w:pPr>
        <w:pStyle w:val="ActHead9"/>
        <w:rPr>
          <w:i w:val="0"/>
        </w:rPr>
      </w:pPr>
      <w:bookmarkStart w:id="23" w:name="_Toc50370736"/>
      <w:r w:rsidRPr="006640F4">
        <w:t>Taxation Administration Act 1953</w:t>
      </w:r>
      <w:bookmarkEnd w:id="23"/>
    </w:p>
    <w:p w:rsidR="00652F03" w:rsidRPr="006640F4" w:rsidRDefault="00652F03" w:rsidP="006640F4">
      <w:pPr>
        <w:pStyle w:val="ItemHead"/>
      </w:pPr>
      <w:r w:rsidRPr="006640F4">
        <w:t>6  Section</w:t>
      </w:r>
      <w:r w:rsidR="006640F4" w:rsidRPr="006640F4">
        <w:t> </w:t>
      </w:r>
      <w:r w:rsidRPr="006640F4">
        <w:t>389</w:t>
      </w:r>
      <w:r w:rsidR="00CB4341">
        <w:noBreakHyphen/>
      </w:r>
      <w:r w:rsidRPr="006640F4">
        <w:t>1 in Schedule</w:t>
      </w:r>
      <w:r w:rsidR="006640F4" w:rsidRPr="006640F4">
        <w:t> </w:t>
      </w:r>
      <w:r w:rsidRPr="006640F4">
        <w:t>1</w:t>
      </w:r>
    </w:p>
    <w:p w:rsidR="00652F03" w:rsidRPr="006640F4" w:rsidRDefault="00652F03" w:rsidP="006640F4">
      <w:pPr>
        <w:pStyle w:val="Item"/>
      </w:pPr>
      <w:r w:rsidRPr="006640F4">
        <w:t>Repeal the section, substitute:</w:t>
      </w:r>
    </w:p>
    <w:p w:rsidR="00652F03" w:rsidRPr="006640F4" w:rsidRDefault="00652F03" w:rsidP="006640F4">
      <w:pPr>
        <w:pStyle w:val="ActHead5"/>
      </w:pPr>
      <w:bookmarkStart w:id="24" w:name="_Toc50370737"/>
      <w:r w:rsidRPr="00826806">
        <w:rPr>
          <w:rStyle w:val="CharSectno"/>
        </w:rPr>
        <w:t>389</w:t>
      </w:r>
      <w:r w:rsidR="00CB4341" w:rsidRPr="00826806">
        <w:rPr>
          <w:rStyle w:val="CharSectno"/>
        </w:rPr>
        <w:noBreakHyphen/>
      </w:r>
      <w:r w:rsidRPr="00826806">
        <w:rPr>
          <w:rStyle w:val="CharSectno"/>
        </w:rPr>
        <w:t>1</w:t>
      </w:r>
      <w:r w:rsidRPr="006640F4">
        <w:t xml:space="preserve">  What this Division is about</w:t>
      </w:r>
      <w:bookmarkEnd w:id="24"/>
    </w:p>
    <w:p w:rsidR="00652F03" w:rsidRPr="006640F4" w:rsidRDefault="00652F03" w:rsidP="006640F4">
      <w:pPr>
        <w:pStyle w:val="SOText"/>
      </w:pPr>
      <w:r w:rsidRPr="006640F4">
        <w:t>This Division establishes the “Single Touch Payroll” reporting framework.</w:t>
      </w:r>
    </w:p>
    <w:p w:rsidR="00652F03" w:rsidRPr="006640F4" w:rsidRDefault="00652F03" w:rsidP="006640F4">
      <w:pPr>
        <w:pStyle w:val="SOText"/>
      </w:pPr>
      <w:r w:rsidRPr="006640F4">
        <w:t>Employers must (unless they are exempt) notify the Commissioner of certain amounts that relate to payments in respect of their employees.</w:t>
      </w:r>
    </w:p>
    <w:p w:rsidR="00652F03" w:rsidRPr="006640F4" w:rsidRDefault="00652F03" w:rsidP="006640F4">
      <w:pPr>
        <w:pStyle w:val="SOText"/>
      </w:pPr>
      <w:r w:rsidRPr="006640F4">
        <w:t>Employers may notify the Commissioner of certain other amounts on a voluntary basis.</w:t>
      </w:r>
    </w:p>
    <w:p w:rsidR="00652F03" w:rsidRPr="006640F4" w:rsidRDefault="00652F03" w:rsidP="006640F4">
      <w:pPr>
        <w:pStyle w:val="SOText"/>
      </w:pPr>
      <w:r w:rsidRPr="006640F4">
        <w:t>In many cases, this Division has the effect of bringing forward the due date for notification or reporting under other provisions. Notifying under this Division may satisfy an employer’s obligations to notify or report under the other provisions.</w:t>
      </w:r>
    </w:p>
    <w:p w:rsidR="00652F03" w:rsidRPr="006640F4" w:rsidRDefault="00652F03" w:rsidP="006640F4">
      <w:pPr>
        <w:pStyle w:val="ItemHead"/>
      </w:pPr>
      <w:r w:rsidRPr="006640F4">
        <w:t>7  Section</w:t>
      </w:r>
      <w:r w:rsidR="006640F4" w:rsidRPr="006640F4">
        <w:t> </w:t>
      </w:r>
      <w:r w:rsidRPr="006640F4">
        <w:t>389</w:t>
      </w:r>
      <w:r w:rsidR="00CB4341">
        <w:noBreakHyphen/>
      </w:r>
      <w:r w:rsidRPr="006640F4">
        <w:t>15 in Schedule</w:t>
      </w:r>
      <w:r w:rsidR="006640F4" w:rsidRPr="006640F4">
        <w:t> </w:t>
      </w:r>
      <w:r w:rsidRPr="006640F4">
        <w:t>1 (heading)</w:t>
      </w:r>
    </w:p>
    <w:p w:rsidR="00652F03" w:rsidRPr="006640F4" w:rsidRDefault="00652F03" w:rsidP="006640F4">
      <w:pPr>
        <w:pStyle w:val="Item"/>
      </w:pPr>
      <w:r w:rsidRPr="006640F4">
        <w:t>Repeal the heading, substitute:</w:t>
      </w:r>
    </w:p>
    <w:p w:rsidR="00652F03" w:rsidRPr="006640F4" w:rsidRDefault="00652F03" w:rsidP="006640F4">
      <w:pPr>
        <w:pStyle w:val="ActHead5"/>
      </w:pPr>
      <w:bookmarkStart w:id="25" w:name="_Toc50370738"/>
      <w:r w:rsidRPr="00826806">
        <w:rPr>
          <w:rStyle w:val="CharSectno"/>
        </w:rPr>
        <w:t>389</w:t>
      </w:r>
      <w:r w:rsidR="00CB4341" w:rsidRPr="00826806">
        <w:rPr>
          <w:rStyle w:val="CharSectno"/>
        </w:rPr>
        <w:noBreakHyphen/>
      </w:r>
      <w:r w:rsidRPr="00826806">
        <w:rPr>
          <w:rStyle w:val="CharSectno"/>
        </w:rPr>
        <w:t>15</w:t>
      </w:r>
      <w:r w:rsidRPr="006640F4">
        <w:t xml:space="preserve">  Voluntary reporting by employers in relation to taxation laws</w:t>
      </w:r>
      <w:bookmarkEnd w:id="25"/>
    </w:p>
    <w:p w:rsidR="00652F03" w:rsidRPr="006640F4" w:rsidRDefault="00652F03" w:rsidP="006640F4">
      <w:pPr>
        <w:pStyle w:val="ItemHead"/>
      </w:pPr>
      <w:r w:rsidRPr="006640F4">
        <w:t>8  At the end of Division</w:t>
      </w:r>
      <w:r w:rsidR="006640F4" w:rsidRPr="006640F4">
        <w:t> </w:t>
      </w:r>
      <w:r w:rsidRPr="006640F4">
        <w:t>389 in Schedule</w:t>
      </w:r>
      <w:r w:rsidR="006640F4" w:rsidRPr="006640F4">
        <w:t> </w:t>
      </w:r>
      <w:r w:rsidRPr="006640F4">
        <w:t>1</w:t>
      </w:r>
    </w:p>
    <w:p w:rsidR="00652F03" w:rsidRPr="006640F4" w:rsidRDefault="00652F03" w:rsidP="006640F4">
      <w:pPr>
        <w:pStyle w:val="Item"/>
      </w:pPr>
      <w:r w:rsidRPr="006640F4">
        <w:t>Add:</w:t>
      </w:r>
    </w:p>
    <w:p w:rsidR="00652F03" w:rsidRPr="006640F4" w:rsidRDefault="00652F03" w:rsidP="006640F4">
      <w:pPr>
        <w:pStyle w:val="ActHead5"/>
      </w:pPr>
      <w:bookmarkStart w:id="26" w:name="_Toc50370739"/>
      <w:r w:rsidRPr="00826806">
        <w:rPr>
          <w:rStyle w:val="CharSectno"/>
        </w:rPr>
        <w:t>389</w:t>
      </w:r>
      <w:r w:rsidR="00CB4341" w:rsidRPr="00826806">
        <w:rPr>
          <w:rStyle w:val="CharSectno"/>
        </w:rPr>
        <w:noBreakHyphen/>
      </w:r>
      <w:r w:rsidRPr="00826806">
        <w:rPr>
          <w:rStyle w:val="CharSectno"/>
        </w:rPr>
        <w:t>30</w:t>
      </w:r>
      <w:r w:rsidRPr="006640F4">
        <w:t xml:space="preserve">  Voluntary reporting by employers in relation to child support laws</w:t>
      </w:r>
      <w:bookmarkEnd w:id="26"/>
    </w:p>
    <w:p w:rsidR="00652F03" w:rsidRPr="006640F4" w:rsidRDefault="00652F03" w:rsidP="006640F4">
      <w:pPr>
        <w:pStyle w:val="subsection"/>
      </w:pPr>
      <w:r w:rsidRPr="006640F4">
        <w:tab/>
        <w:t>(1)</w:t>
      </w:r>
      <w:r w:rsidRPr="006640F4">
        <w:tab/>
        <w:t>If there is an amount of a kind referred to in column 1 of an item of the following table, the entity referred to in that item may notify the Commissioner of the amount on or before the day referred to in column 2 of that item.</w:t>
      </w:r>
    </w:p>
    <w:p w:rsidR="00652F03" w:rsidRPr="006640F4" w:rsidRDefault="00652F03" w:rsidP="006640F4">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817"/>
        <w:gridCol w:w="2555"/>
      </w:tblGrid>
      <w:tr w:rsidR="00652F03" w:rsidRPr="006640F4" w:rsidTr="00EB6E69">
        <w:trPr>
          <w:tblHeader/>
        </w:trPr>
        <w:tc>
          <w:tcPr>
            <w:tcW w:w="7086" w:type="dxa"/>
            <w:gridSpan w:val="3"/>
            <w:tcBorders>
              <w:top w:val="single" w:sz="12" w:space="0" w:color="auto"/>
              <w:bottom w:val="single" w:sz="6" w:space="0" w:color="auto"/>
            </w:tcBorders>
            <w:shd w:val="clear" w:color="auto" w:fill="auto"/>
          </w:tcPr>
          <w:p w:rsidR="00652F03" w:rsidRPr="006640F4" w:rsidRDefault="00652F03" w:rsidP="006640F4">
            <w:pPr>
              <w:pStyle w:val="TableHeading"/>
              <w:keepLines/>
            </w:pPr>
            <w:r w:rsidRPr="006640F4">
              <w:t>Amounts that may be notified to the Commissioner</w:t>
            </w:r>
          </w:p>
        </w:tc>
      </w:tr>
      <w:tr w:rsidR="00652F03" w:rsidRPr="006640F4" w:rsidTr="00EB6E69">
        <w:trPr>
          <w:tblHeader/>
        </w:trPr>
        <w:tc>
          <w:tcPr>
            <w:tcW w:w="714" w:type="dxa"/>
            <w:tcBorders>
              <w:top w:val="single" w:sz="6" w:space="0" w:color="auto"/>
              <w:bottom w:val="single" w:sz="12" w:space="0" w:color="auto"/>
            </w:tcBorders>
            <w:shd w:val="clear" w:color="auto" w:fill="auto"/>
          </w:tcPr>
          <w:p w:rsidR="00652F03" w:rsidRPr="006640F4" w:rsidRDefault="00652F03" w:rsidP="006640F4">
            <w:pPr>
              <w:pStyle w:val="TableHeading"/>
              <w:keepLines/>
            </w:pPr>
            <w:r w:rsidRPr="006640F4">
              <w:t>Item</w:t>
            </w:r>
          </w:p>
        </w:tc>
        <w:tc>
          <w:tcPr>
            <w:tcW w:w="3817" w:type="dxa"/>
            <w:tcBorders>
              <w:top w:val="single" w:sz="6" w:space="0" w:color="auto"/>
              <w:bottom w:val="single" w:sz="12" w:space="0" w:color="auto"/>
            </w:tcBorders>
            <w:shd w:val="clear" w:color="auto" w:fill="auto"/>
          </w:tcPr>
          <w:p w:rsidR="00652F03" w:rsidRPr="006640F4" w:rsidRDefault="00652F03" w:rsidP="006640F4">
            <w:pPr>
              <w:pStyle w:val="TableHeading"/>
              <w:keepLines/>
            </w:pPr>
            <w:r w:rsidRPr="006640F4">
              <w:t>Column 1</w:t>
            </w:r>
          </w:p>
          <w:p w:rsidR="00652F03" w:rsidRPr="006640F4" w:rsidRDefault="00652F03" w:rsidP="006640F4">
            <w:pPr>
              <w:pStyle w:val="TableHeading"/>
              <w:keepLines/>
            </w:pPr>
            <w:r w:rsidRPr="006640F4">
              <w:t>This amount may be notified …</w:t>
            </w:r>
          </w:p>
        </w:tc>
        <w:tc>
          <w:tcPr>
            <w:tcW w:w="2555" w:type="dxa"/>
            <w:tcBorders>
              <w:top w:val="single" w:sz="6" w:space="0" w:color="auto"/>
              <w:bottom w:val="single" w:sz="12" w:space="0" w:color="auto"/>
            </w:tcBorders>
            <w:shd w:val="clear" w:color="auto" w:fill="auto"/>
          </w:tcPr>
          <w:p w:rsidR="00652F03" w:rsidRPr="006640F4" w:rsidRDefault="00652F03" w:rsidP="006640F4">
            <w:pPr>
              <w:pStyle w:val="TableHeading"/>
              <w:keepLines/>
            </w:pPr>
            <w:r w:rsidRPr="006640F4">
              <w:t>Column 2</w:t>
            </w:r>
          </w:p>
          <w:p w:rsidR="00652F03" w:rsidRPr="006640F4" w:rsidRDefault="00652F03" w:rsidP="006640F4">
            <w:pPr>
              <w:pStyle w:val="TableHeading"/>
              <w:keepLines/>
            </w:pPr>
            <w:r w:rsidRPr="006640F4">
              <w:t>… on or before this day</w:t>
            </w:r>
          </w:p>
        </w:tc>
      </w:tr>
      <w:tr w:rsidR="00652F03" w:rsidRPr="006640F4" w:rsidTr="00EB6E69">
        <w:tc>
          <w:tcPr>
            <w:tcW w:w="714" w:type="dxa"/>
            <w:tcBorders>
              <w:top w:val="single" w:sz="12" w:space="0" w:color="auto"/>
              <w:bottom w:val="single" w:sz="2" w:space="0" w:color="auto"/>
            </w:tcBorders>
            <w:shd w:val="clear" w:color="auto" w:fill="auto"/>
          </w:tcPr>
          <w:p w:rsidR="00652F03" w:rsidRPr="006640F4" w:rsidRDefault="00652F03" w:rsidP="006640F4">
            <w:pPr>
              <w:pStyle w:val="Tabletext"/>
              <w:keepNext/>
              <w:keepLines/>
            </w:pPr>
            <w:r w:rsidRPr="006640F4">
              <w:t>1</w:t>
            </w:r>
          </w:p>
        </w:tc>
        <w:tc>
          <w:tcPr>
            <w:tcW w:w="3817" w:type="dxa"/>
            <w:tcBorders>
              <w:top w:val="single" w:sz="12" w:space="0" w:color="auto"/>
              <w:bottom w:val="single" w:sz="2" w:space="0" w:color="auto"/>
            </w:tcBorders>
            <w:shd w:val="clear" w:color="auto" w:fill="auto"/>
          </w:tcPr>
          <w:p w:rsidR="00652F03" w:rsidRPr="006640F4" w:rsidRDefault="00652F03" w:rsidP="006640F4">
            <w:pPr>
              <w:pStyle w:val="Tabletext"/>
            </w:pPr>
            <w:r w:rsidRPr="006640F4">
              <w:t>An amount the entity deducted under Part</w:t>
            </w:r>
            <w:r w:rsidR="006640F4" w:rsidRPr="006640F4">
              <w:t> </w:t>
            </w:r>
            <w:r w:rsidRPr="006640F4">
              <w:t xml:space="preserve">IV of the </w:t>
            </w:r>
            <w:r w:rsidRPr="006640F4">
              <w:rPr>
                <w:i/>
              </w:rPr>
              <w:t>Child Support (Registration and Collection) Act 1988</w:t>
            </w:r>
            <w:r w:rsidRPr="006640F4">
              <w:t xml:space="preserve"> from salary or wages paid to an employee of the entity</w:t>
            </w:r>
          </w:p>
        </w:tc>
        <w:tc>
          <w:tcPr>
            <w:tcW w:w="2555" w:type="dxa"/>
            <w:tcBorders>
              <w:top w:val="single" w:sz="12" w:space="0" w:color="auto"/>
              <w:bottom w:val="single" w:sz="2" w:space="0" w:color="auto"/>
            </w:tcBorders>
            <w:shd w:val="clear" w:color="auto" w:fill="auto"/>
          </w:tcPr>
          <w:p w:rsidR="00652F03" w:rsidRPr="006640F4" w:rsidRDefault="00652F03" w:rsidP="006640F4">
            <w:pPr>
              <w:pStyle w:val="Tabletext"/>
            </w:pPr>
            <w:r w:rsidRPr="006640F4">
              <w:t>the day on which the deduction is made.</w:t>
            </w:r>
          </w:p>
        </w:tc>
      </w:tr>
      <w:tr w:rsidR="00652F03" w:rsidRPr="006640F4" w:rsidTr="00EB6E69">
        <w:tc>
          <w:tcPr>
            <w:tcW w:w="714" w:type="dxa"/>
            <w:tcBorders>
              <w:top w:val="single" w:sz="2" w:space="0" w:color="auto"/>
              <w:bottom w:val="single" w:sz="2" w:space="0" w:color="auto"/>
            </w:tcBorders>
            <w:shd w:val="clear" w:color="auto" w:fill="auto"/>
          </w:tcPr>
          <w:p w:rsidR="00652F03" w:rsidRPr="006640F4" w:rsidRDefault="00652F03" w:rsidP="006640F4">
            <w:pPr>
              <w:pStyle w:val="Tabletext"/>
            </w:pPr>
            <w:r w:rsidRPr="006640F4">
              <w:t>2</w:t>
            </w:r>
          </w:p>
        </w:tc>
        <w:tc>
          <w:tcPr>
            <w:tcW w:w="3817" w:type="dxa"/>
            <w:tcBorders>
              <w:top w:val="single" w:sz="2" w:space="0" w:color="auto"/>
              <w:bottom w:val="single" w:sz="2" w:space="0" w:color="auto"/>
            </w:tcBorders>
            <w:shd w:val="clear" w:color="auto" w:fill="auto"/>
          </w:tcPr>
          <w:p w:rsidR="00652F03" w:rsidRPr="006640F4" w:rsidRDefault="00652F03" w:rsidP="006640F4">
            <w:pPr>
              <w:pStyle w:val="Tabletext"/>
            </w:pPr>
            <w:r w:rsidRPr="006640F4">
              <w:t>A nil amount, if:</w:t>
            </w:r>
          </w:p>
          <w:p w:rsidR="00652F03" w:rsidRPr="006640F4" w:rsidRDefault="00652F03" w:rsidP="006640F4">
            <w:pPr>
              <w:pStyle w:val="Tablea"/>
            </w:pPr>
            <w:r w:rsidRPr="006640F4">
              <w:t>(a) a notice given to the entity under subsection</w:t>
            </w:r>
            <w:r w:rsidR="006640F4" w:rsidRPr="006640F4">
              <w:t> </w:t>
            </w:r>
            <w:r w:rsidRPr="006640F4">
              <w:t xml:space="preserve">45(1) of the </w:t>
            </w:r>
            <w:r w:rsidRPr="006640F4">
              <w:rPr>
                <w:i/>
              </w:rPr>
              <w:t>Child Support (Registration and Collection) Act 1988</w:t>
            </w:r>
            <w:r w:rsidRPr="006640F4">
              <w:t xml:space="preserve"> is in force on a day (the </w:t>
            </w:r>
            <w:r w:rsidRPr="006640F4">
              <w:rPr>
                <w:b/>
                <w:i/>
              </w:rPr>
              <w:t>reporting day</w:t>
            </w:r>
            <w:r w:rsidRPr="006640F4">
              <w:t>) in relation to a payer who is an employee of the entity; and</w:t>
            </w:r>
          </w:p>
          <w:p w:rsidR="00652F03" w:rsidRPr="006640F4" w:rsidRDefault="00652F03" w:rsidP="006640F4">
            <w:pPr>
              <w:pStyle w:val="Tablea"/>
            </w:pPr>
            <w:r w:rsidRPr="006640F4">
              <w:t>(b) either:</w:t>
            </w:r>
          </w:p>
          <w:p w:rsidR="00652F03" w:rsidRPr="006640F4" w:rsidRDefault="00652F03" w:rsidP="006640F4">
            <w:pPr>
              <w:pStyle w:val="Tablei"/>
            </w:pPr>
            <w:r w:rsidRPr="006640F4">
              <w:t>(i) the entity pays salary or wages to the employee on the reporting day but does not make a deduction under Part</w:t>
            </w:r>
            <w:r w:rsidR="006640F4" w:rsidRPr="006640F4">
              <w:t> </w:t>
            </w:r>
            <w:r w:rsidRPr="006640F4">
              <w:t>IV of that Act in relation to the employee and the payment; or</w:t>
            </w:r>
          </w:p>
          <w:p w:rsidR="00652F03" w:rsidRPr="006640F4" w:rsidRDefault="00652F03" w:rsidP="006640F4">
            <w:pPr>
              <w:pStyle w:val="Tablei"/>
            </w:pPr>
            <w:r w:rsidRPr="006640F4">
              <w:t>(ii) the reporting day is a day on which the entity would ordinarily pay salary or wages to the employee, but the entity does not do so because no salary or wages are payable</w:t>
            </w:r>
          </w:p>
        </w:tc>
        <w:tc>
          <w:tcPr>
            <w:tcW w:w="2555" w:type="dxa"/>
            <w:tcBorders>
              <w:top w:val="single" w:sz="2" w:space="0" w:color="auto"/>
              <w:bottom w:val="single" w:sz="2" w:space="0" w:color="auto"/>
            </w:tcBorders>
            <w:shd w:val="clear" w:color="auto" w:fill="auto"/>
          </w:tcPr>
          <w:p w:rsidR="00652F03" w:rsidRPr="006640F4" w:rsidRDefault="00652F03" w:rsidP="006640F4">
            <w:pPr>
              <w:pStyle w:val="Tabletext"/>
            </w:pPr>
            <w:r w:rsidRPr="006640F4">
              <w:t>the reporting day.</w:t>
            </w:r>
          </w:p>
        </w:tc>
      </w:tr>
      <w:tr w:rsidR="00652F03" w:rsidRPr="006640F4" w:rsidTr="00EB6E69">
        <w:trPr>
          <w:cantSplit/>
        </w:trPr>
        <w:tc>
          <w:tcPr>
            <w:tcW w:w="714" w:type="dxa"/>
            <w:tcBorders>
              <w:top w:val="single" w:sz="2" w:space="0" w:color="auto"/>
              <w:bottom w:val="single" w:sz="12" w:space="0" w:color="auto"/>
            </w:tcBorders>
            <w:shd w:val="clear" w:color="auto" w:fill="auto"/>
          </w:tcPr>
          <w:p w:rsidR="00652F03" w:rsidRPr="006640F4" w:rsidRDefault="00652F03" w:rsidP="006640F4">
            <w:pPr>
              <w:pStyle w:val="Tabletext"/>
            </w:pPr>
            <w:r w:rsidRPr="006640F4">
              <w:t>3</w:t>
            </w:r>
          </w:p>
        </w:tc>
        <w:tc>
          <w:tcPr>
            <w:tcW w:w="3817" w:type="dxa"/>
            <w:tcBorders>
              <w:top w:val="single" w:sz="2" w:space="0" w:color="auto"/>
              <w:bottom w:val="single" w:sz="12" w:space="0" w:color="auto"/>
            </w:tcBorders>
            <w:shd w:val="clear" w:color="auto" w:fill="auto"/>
          </w:tcPr>
          <w:p w:rsidR="00652F03" w:rsidRPr="006640F4" w:rsidRDefault="00652F03" w:rsidP="006640F4">
            <w:pPr>
              <w:pStyle w:val="Tabletext"/>
            </w:pPr>
            <w:r w:rsidRPr="006640F4">
              <w:t>An amount the entity paid to the Child Support Registrar if:</w:t>
            </w:r>
          </w:p>
          <w:p w:rsidR="00652F03" w:rsidRPr="006640F4" w:rsidRDefault="00652F03" w:rsidP="006640F4">
            <w:pPr>
              <w:pStyle w:val="Tablea"/>
            </w:pPr>
            <w:r w:rsidRPr="006640F4">
              <w:t>(a) the entity paid the amount in accordance with a notice given to the entity under section</w:t>
            </w:r>
            <w:r w:rsidR="006640F4" w:rsidRPr="006640F4">
              <w:t> </w:t>
            </w:r>
            <w:r w:rsidRPr="006640F4">
              <w:t xml:space="preserve">72A of the </w:t>
            </w:r>
            <w:r w:rsidRPr="006640F4">
              <w:rPr>
                <w:i/>
              </w:rPr>
              <w:t>Child Support (Registration and Collection) Act 1988</w:t>
            </w:r>
            <w:r w:rsidRPr="006640F4">
              <w:t>; and</w:t>
            </w:r>
          </w:p>
          <w:p w:rsidR="00652F03" w:rsidRPr="006640F4" w:rsidRDefault="00652F03" w:rsidP="006640F4">
            <w:pPr>
              <w:pStyle w:val="Tablea"/>
            </w:pPr>
            <w:r w:rsidRPr="006640F4">
              <w:t>(b) the entity is the employer of the relevant debtor referred to in that section</w:t>
            </w:r>
          </w:p>
        </w:tc>
        <w:tc>
          <w:tcPr>
            <w:tcW w:w="2555" w:type="dxa"/>
            <w:tcBorders>
              <w:top w:val="single" w:sz="2" w:space="0" w:color="auto"/>
              <w:bottom w:val="single" w:sz="12" w:space="0" w:color="auto"/>
            </w:tcBorders>
            <w:shd w:val="clear" w:color="auto" w:fill="auto"/>
          </w:tcPr>
          <w:p w:rsidR="00652F03" w:rsidRPr="006640F4" w:rsidRDefault="00652F03" w:rsidP="006640F4">
            <w:pPr>
              <w:pStyle w:val="Tabletext"/>
            </w:pPr>
            <w:r w:rsidRPr="006640F4">
              <w:t>the day on which the amount is paid.</w:t>
            </w:r>
          </w:p>
        </w:tc>
      </w:tr>
    </w:tbl>
    <w:p w:rsidR="00652F03" w:rsidRPr="006640F4" w:rsidRDefault="00652F03" w:rsidP="006640F4">
      <w:pPr>
        <w:pStyle w:val="notetext"/>
      </w:pPr>
      <w:r w:rsidRPr="006640F4">
        <w:t>Note:</w:t>
      </w:r>
      <w:r w:rsidRPr="006640F4">
        <w:tab/>
        <w:t>Voluntary reporting of an amount referred to in item</w:t>
      </w:r>
      <w:r w:rsidR="006640F4" w:rsidRPr="006640F4">
        <w:t> </w:t>
      </w:r>
      <w:r w:rsidRPr="006640F4">
        <w:t xml:space="preserve">1 or 2 of the table may affect the entity’s reporting requirements under the </w:t>
      </w:r>
      <w:r w:rsidRPr="006640F4">
        <w:rPr>
          <w:i/>
        </w:rPr>
        <w:t>Child Support (Registration and Collection) Act 1988</w:t>
      </w:r>
      <w:r w:rsidRPr="006640F4">
        <w:t>: see subsection</w:t>
      </w:r>
      <w:r w:rsidR="006640F4" w:rsidRPr="006640F4">
        <w:t> </w:t>
      </w:r>
      <w:r w:rsidRPr="006640F4">
        <w:t>47(1B) of that Act.</w:t>
      </w:r>
    </w:p>
    <w:p w:rsidR="00652F03" w:rsidRPr="006640F4" w:rsidRDefault="00652F03" w:rsidP="006640F4">
      <w:pPr>
        <w:pStyle w:val="subsection"/>
      </w:pPr>
      <w:r w:rsidRPr="006640F4">
        <w:tab/>
        <w:t>(2)</w:t>
      </w:r>
      <w:r w:rsidRPr="006640F4">
        <w:tab/>
        <w:t xml:space="preserve">The notification must be in the </w:t>
      </w:r>
      <w:r w:rsidR="006640F4" w:rsidRPr="006640F4">
        <w:rPr>
          <w:position w:val="6"/>
          <w:sz w:val="16"/>
        </w:rPr>
        <w:t>*</w:t>
      </w:r>
      <w:r w:rsidRPr="006640F4">
        <w:t>approved form.</w:t>
      </w:r>
    </w:p>
    <w:p w:rsidR="00652F03" w:rsidRPr="006640F4" w:rsidRDefault="00652F03" w:rsidP="006640F4">
      <w:pPr>
        <w:pStyle w:val="notetext"/>
      </w:pPr>
      <w:r w:rsidRPr="006640F4">
        <w:t>Note:</w:t>
      </w:r>
      <w:r w:rsidRPr="006640F4">
        <w:tab/>
        <w:t>The approved form may require information about other amounts, in addition to the amount to be notified: see paragraph</w:t>
      </w:r>
      <w:r w:rsidR="006640F4" w:rsidRPr="006640F4">
        <w:t> </w:t>
      </w:r>
      <w:r w:rsidRPr="006640F4">
        <w:t>388</w:t>
      </w:r>
      <w:r w:rsidR="00CB4341">
        <w:noBreakHyphen/>
      </w:r>
      <w:r w:rsidRPr="006640F4">
        <w:t>50(1)(c).</w:t>
      </w:r>
    </w:p>
    <w:p w:rsidR="00652F03" w:rsidRPr="006640F4" w:rsidRDefault="00652F03" w:rsidP="006640F4">
      <w:pPr>
        <w:pStyle w:val="subsection"/>
      </w:pPr>
      <w:r w:rsidRPr="006640F4">
        <w:tab/>
        <w:t>(3)</w:t>
      </w:r>
      <w:r w:rsidRPr="006640F4">
        <w:tab/>
        <w:t xml:space="preserve">A disclosure of personal information (within the meaning of the </w:t>
      </w:r>
      <w:r w:rsidRPr="006640F4">
        <w:rPr>
          <w:i/>
        </w:rPr>
        <w:t>Privacy Act 1988</w:t>
      </w:r>
      <w:r w:rsidRPr="006640F4">
        <w:t xml:space="preserve">) under </w:t>
      </w:r>
      <w:r w:rsidR="006640F4" w:rsidRPr="006640F4">
        <w:t>subsection (</w:t>
      </w:r>
      <w:r w:rsidRPr="006640F4">
        <w:t>1) is taken for the purposes of that Act to be authorised by this section.</w:t>
      </w:r>
    </w:p>
    <w:p w:rsidR="00652F03" w:rsidRPr="006640F4" w:rsidRDefault="00652F03" w:rsidP="006640F4">
      <w:pPr>
        <w:pStyle w:val="subsection"/>
      </w:pPr>
      <w:r w:rsidRPr="006640F4">
        <w:tab/>
        <w:t>(4)</w:t>
      </w:r>
      <w:r w:rsidRPr="006640F4">
        <w:tab/>
        <w:t xml:space="preserve">The following terms used in the table in </w:t>
      </w:r>
      <w:r w:rsidR="006640F4" w:rsidRPr="006640F4">
        <w:t>subsection (</w:t>
      </w:r>
      <w:r w:rsidRPr="006640F4">
        <w:t xml:space="preserve">1) have the same meaning as in the </w:t>
      </w:r>
      <w:r w:rsidRPr="006640F4">
        <w:rPr>
          <w:i/>
        </w:rPr>
        <w:t>Child Support (Registration and Collection) Act 1988</w:t>
      </w:r>
      <w:r w:rsidRPr="006640F4">
        <w:t>:</w:t>
      </w:r>
    </w:p>
    <w:p w:rsidR="00652F03" w:rsidRPr="006640F4" w:rsidRDefault="00652F03" w:rsidP="006640F4">
      <w:pPr>
        <w:pStyle w:val="paragraph"/>
      </w:pPr>
      <w:r w:rsidRPr="006640F4">
        <w:tab/>
        <w:t>(a)</w:t>
      </w:r>
      <w:r w:rsidRPr="006640F4">
        <w:tab/>
      </w:r>
      <w:r w:rsidRPr="006640F4">
        <w:rPr>
          <w:b/>
          <w:i/>
        </w:rPr>
        <w:t>employee</w:t>
      </w:r>
      <w:r w:rsidRPr="006640F4">
        <w:t xml:space="preserve"> (for this purpose, the term has the same meaning as it has when used in Part</w:t>
      </w:r>
      <w:r w:rsidR="006640F4" w:rsidRPr="006640F4">
        <w:t> </w:t>
      </w:r>
      <w:r w:rsidRPr="006640F4">
        <w:t>IV of that Act);</w:t>
      </w:r>
    </w:p>
    <w:p w:rsidR="00652F03" w:rsidRPr="006640F4" w:rsidRDefault="00652F03" w:rsidP="006640F4">
      <w:pPr>
        <w:pStyle w:val="paragraph"/>
      </w:pPr>
      <w:r w:rsidRPr="006640F4">
        <w:tab/>
        <w:t>(b)</w:t>
      </w:r>
      <w:r w:rsidRPr="006640F4">
        <w:tab/>
      </w:r>
      <w:r w:rsidRPr="006640F4">
        <w:rPr>
          <w:b/>
          <w:i/>
        </w:rPr>
        <w:t>employer</w:t>
      </w:r>
      <w:r w:rsidRPr="006640F4">
        <w:t>;</w:t>
      </w:r>
    </w:p>
    <w:p w:rsidR="00652F03" w:rsidRPr="006640F4" w:rsidRDefault="00652F03" w:rsidP="006640F4">
      <w:pPr>
        <w:pStyle w:val="paragraph"/>
      </w:pPr>
      <w:r w:rsidRPr="006640F4">
        <w:tab/>
        <w:t>(c)</w:t>
      </w:r>
      <w:r w:rsidRPr="006640F4">
        <w:tab/>
      </w:r>
      <w:r w:rsidRPr="006640F4">
        <w:rPr>
          <w:b/>
          <w:i/>
        </w:rPr>
        <w:t>payer</w:t>
      </w:r>
      <w:r w:rsidRPr="006640F4">
        <w:t>;</w:t>
      </w:r>
    </w:p>
    <w:p w:rsidR="00652F03" w:rsidRPr="006640F4" w:rsidRDefault="00652F03" w:rsidP="006640F4">
      <w:pPr>
        <w:pStyle w:val="paragraph"/>
      </w:pPr>
      <w:r w:rsidRPr="006640F4">
        <w:rPr>
          <w:b/>
          <w:i/>
        </w:rPr>
        <w:tab/>
      </w:r>
      <w:r w:rsidRPr="006640F4">
        <w:t>(d)</w:t>
      </w:r>
      <w:r w:rsidRPr="006640F4">
        <w:tab/>
      </w:r>
      <w:r w:rsidRPr="006640F4">
        <w:rPr>
          <w:b/>
          <w:i/>
        </w:rPr>
        <w:t>salary or wages</w:t>
      </w:r>
      <w:r w:rsidRPr="006640F4">
        <w:t>.</w:t>
      </w:r>
    </w:p>
    <w:p w:rsidR="00652F03" w:rsidRPr="006640F4" w:rsidRDefault="00652F03" w:rsidP="006640F4">
      <w:pPr>
        <w:pStyle w:val="Transitional"/>
      </w:pPr>
      <w:r w:rsidRPr="006640F4">
        <w:t>9  Application</w:t>
      </w:r>
    </w:p>
    <w:p w:rsidR="00652F03" w:rsidRPr="006640F4" w:rsidRDefault="00652F03" w:rsidP="006640F4">
      <w:pPr>
        <w:pStyle w:val="Subitem"/>
      </w:pPr>
      <w:r w:rsidRPr="006640F4">
        <w:t>(1)</w:t>
      </w:r>
      <w:r w:rsidRPr="006640F4">
        <w:tab/>
        <w:t>The amendments made by items</w:t>
      </w:r>
      <w:r w:rsidR="006640F4" w:rsidRPr="006640F4">
        <w:t> </w:t>
      </w:r>
      <w:r w:rsidRPr="006640F4">
        <w:t>1 and 2 of this Schedule apply in relation to a requirement made by the Registrar after the commencement of this Schedule.</w:t>
      </w:r>
    </w:p>
    <w:p w:rsidR="00652F03" w:rsidRPr="006640F4" w:rsidRDefault="00652F03" w:rsidP="006640F4">
      <w:pPr>
        <w:pStyle w:val="Subitem"/>
      </w:pPr>
      <w:r w:rsidRPr="006640F4">
        <w:t>(2)</w:t>
      </w:r>
      <w:r w:rsidRPr="006640F4">
        <w:tab/>
        <w:t>The amendments made by items</w:t>
      </w:r>
      <w:r w:rsidR="006640F4" w:rsidRPr="006640F4">
        <w:t> </w:t>
      </w:r>
      <w:r w:rsidRPr="006640F4">
        <w:t>3 to 8 of this Schedule apply in relation to an amount that an entity may notify to the Commissioner if the entitlement to notify arises on or after 1</w:t>
      </w:r>
      <w:r w:rsidR="006640F4" w:rsidRPr="006640F4">
        <w:t> </w:t>
      </w:r>
      <w:r w:rsidRPr="006640F4">
        <w:t>July 2020.</w:t>
      </w:r>
    </w:p>
    <w:p w:rsidR="008F32F2" w:rsidRPr="006640F4" w:rsidRDefault="008F32F2" w:rsidP="006640F4">
      <w:pPr>
        <w:pStyle w:val="ActHead6"/>
        <w:pageBreakBefore/>
      </w:pPr>
      <w:bookmarkStart w:id="27" w:name="_Toc50370740"/>
      <w:r w:rsidRPr="00826806">
        <w:rPr>
          <w:rStyle w:val="CharAmSchNo"/>
        </w:rPr>
        <w:t>Schedule</w:t>
      </w:r>
      <w:r w:rsidR="006640F4" w:rsidRPr="00826806">
        <w:rPr>
          <w:rStyle w:val="CharAmSchNo"/>
        </w:rPr>
        <w:t> </w:t>
      </w:r>
      <w:r w:rsidRPr="00826806">
        <w:rPr>
          <w:rStyle w:val="CharAmSchNo"/>
        </w:rPr>
        <w:t>3</w:t>
      </w:r>
      <w:r w:rsidRPr="006640F4">
        <w:t>—</w:t>
      </w:r>
      <w:r w:rsidRPr="00826806">
        <w:rPr>
          <w:rStyle w:val="CharAmSchText"/>
        </w:rPr>
        <w:t>Deductible gift recipient status for community sheds</w:t>
      </w:r>
      <w:bookmarkEnd w:id="27"/>
    </w:p>
    <w:p w:rsidR="00652F03" w:rsidRPr="00826806" w:rsidRDefault="00652F03" w:rsidP="006640F4">
      <w:pPr>
        <w:pStyle w:val="Header"/>
      </w:pPr>
      <w:r w:rsidRPr="00826806">
        <w:rPr>
          <w:rStyle w:val="CharAmPartNo"/>
        </w:rPr>
        <w:t xml:space="preserve"> </w:t>
      </w:r>
      <w:r w:rsidRPr="00826806">
        <w:rPr>
          <w:rStyle w:val="CharAmPartText"/>
        </w:rPr>
        <w:t xml:space="preserve"> </w:t>
      </w:r>
    </w:p>
    <w:p w:rsidR="00652F03" w:rsidRPr="00826806" w:rsidRDefault="00652F03" w:rsidP="006640F4">
      <w:pPr>
        <w:pStyle w:val="ActHead9"/>
        <w:rPr>
          <w:i w:val="0"/>
        </w:rPr>
      </w:pPr>
      <w:bookmarkStart w:id="28" w:name="_Toc50370741"/>
      <w:r w:rsidRPr="006640F4">
        <w:t>Income Tax Assessment Act 1997</w:t>
      </w:r>
      <w:bookmarkEnd w:id="28"/>
    </w:p>
    <w:p w:rsidR="00652F03" w:rsidRPr="006640F4" w:rsidRDefault="00652F03" w:rsidP="006640F4">
      <w:pPr>
        <w:pStyle w:val="ItemHead"/>
      </w:pPr>
      <w:r w:rsidRPr="006640F4">
        <w:t>1  In the appropriate position in subsection</w:t>
      </w:r>
      <w:r w:rsidR="006640F4" w:rsidRPr="006640F4">
        <w:t> </w:t>
      </w:r>
      <w:r w:rsidRPr="006640F4">
        <w:t>30</w:t>
      </w:r>
      <w:r w:rsidR="00CB4341">
        <w:noBreakHyphen/>
      </w:r>
      <w:r w:rsidRPr="006640F4">
        <w:t>20(1)</w:t>
      </w:r>
    </w:p>
    <w:p w:rsidR="00652F03" w:rsidRPr="006640F4" w:rsidRDefault="00652F03" w:rsidP="006640F4">
      <w:pPr>
        <w:pStyle w:val="Item"/>
      </w:pPr>
      <w:r w:rsidRPr="006640F4">
        <w:t>Insert:</w:t>
      </w:r>
    </w:p>
    <w:tbl>
      <w:tblPr>
        <w:tblW w:w="7314" w:type="dxa"/>
        <w:tblInd w:w="23" w:type="dxa"/>
        <w:tblLayout w:type="fixed"/>
        <w:tblLook w:val="0020" w:firstRow="1" w:lastRow="0" w:firstColumn="0" w:lastColumn="0" w:noHBand="0" w:noVBand="0"/>
      </w:tblPr>
      <w:tblGrid>
        <w:gridCol w:w="658"/>
        <w:gridCol w:w="2170"/>
        <w:gridCol w:w="3121"/>
        <w:gridCol w:w="1365"/>
      </w:tblGrid>
      <w:tr w:rsidR="00652F03" w:rsidRPr="006640F4" w:rsidTr="00EB6E69">
        <w:tc>
          <w:tcPr>
            <w:tcW w:w="658" w:type="dxa"/>
            <w:shd w:val="clear" w:color="auto" w:fill="auto"/>
          </w:tcPr>
          <w:p w:rsidR="00652F03" w:rsidRPr="006640F4" w:rsidRDefault="00652F03" w:rsidP="006640F4">
            <w:pPr>
              <w:pStyle w:val="Tabletext"/>
            </w:pPr>
            <w:r w:rsidRPr="006640F4">
              <w:t>1.1.9</w:t>
            </w:r>
          </w:p>
        </w:tc>
        <w:tc>
          <w:tcPr>
            <w:tcW w:w="2170" w:type="dxa"/>
            <w:shd w:val="clear" w:color="auto" w:fill="auto"/>
          </w:tcPr>
          <w:p w:rsidR="00652F03" w:rsidRPr="006640F4" w:rsidRDefault="00652F03" w:rsidP="006640F4">
            <w:pPr>
              <w:pStyle w:val="Tabletext"/>
            </w:pPr>
            <w:r w:rsidRPr="006640F4">
              <w:t xml:space="preserve">a </w:t>
            </w:r>
            <w:r w:rsidR="006640F4" w:rsidRPr="006640F4">
              <w:rPr>
                <w:position w:val="6"/>
                <w:sz w:val="16"/>
              </w:rPr>
              <w:t>*</w:t>
            </w:r>
            <w:r w:rsidRPr="006640F4">
              <w:t>community shed</w:t>
            </w:r>
          </w:p>
        </w:tc>
        <w:tc>
          <w:tcPr>
            <w:tcW w:w="3121" w:type="dxa"/>
            <w:shd w:val="clear" w:color="auto" w:fill="auto"/>
          </w:tcPr>
          <w:p w:rsidR="00652F03" w:rsidRPr="006640F4" w:rsidRDefault="00652F03" w:rsidP="006640F4">
            <w:pPr>
              <w:pStyle w:val="Tabletext"/>
              <w:keepNext/>
              <w:keepLines/>
            </w:pPr>
            <w:r w:rsidRPr="006640F4">
              <w:t xml:space="preserve">the community shed must be a </w:t>
            </w:r>
            <w:r w:rsidR="006640F4" w:rsidRPr="006640F4">
              <w:rPr>
                <w:position w:val="6"/>
                <w:sz w:val="16"/>
              </w:rPr>
              <w:t>*</w:t>
            </w:r>
            <w:r w:rsidRPr="006640F4">
              <w:t>registered charity</w:t>
            </w:r>
          </w:p>
        </w:tc>
        <w:tc>
          <w:tcPr>
            <w:tcW w:w="1365" w:type="dxa"/>
            <w:shd w:val="clear" w:color="auto" w:fill="auto"/>
          </w:tcPr>
          <w:p w:rsidR="00652F03" w:rsidRPr="006640F4" w:rsidRDefault="00652F03" w:rsidP="006640F4">
            <w:pPr>
              <w:pStyle w:val="Tabletext"/>
            </w:pPr>
            <w:r w:rsidRPr="006640F4">
              <w:t>none</w:t>
            </w:r>
          </w:p>
        </w:tc>
      </w:tr>
    </w:tbl>
    <w:p w:rsidR="00652F03" w:rsidRPr="006640F4" w:rsidRDefault="00652F03" w:rsidP="006640F4">
      <w:pPr>
        <w:pStyle w:val="ItemHead"/>
      </w:pPr>
      <w:r w:rsidRPr="006640F4">
        <w:t>2  Subsection</w:t>
      </w:r>
      <w:r w:rsidR="006640F4" w:rsidRPr="006640F4">
        <w:t> </w:t>
      </w:r>
      <w:r w:rsidRPr="006640F4">
        <w:t>30</w:t>
      </w:r>
      <w:r w:rsidR="00CB4341">
        <w:noBreakHyphen/>
      </w:r>
      <w:r w:rsidRPr="006640F4">
        <w:t>315(2) (after table item</w:t>
      </w:r>
      <w:r w:rsidR="006640F4" w:rsidRPr="006640F4">
        <w:t> </w:t>
      </w:r>
      <w:r w:rsidRPr="006640F4">
        <w:t>34AA)</w:t>
      </w:r>
    </w:p>
    <w:p w:rsidR="00652F03" w:rsidRPr="006640F4" w:rsidRDefault="00652F03" w:rsidP="006640F4">
      <w:pPr>
        <w:pStyle w:val="Item"/>
      </w:pPr>
      <w:r w:rsidRPr="006640F4">
        <w:t>Insert:</w:t>
      </w:r>
    </w:p>
    <w:tbl>
      <w:tblPr>
        <w:tblW w:w="7300" w:type="dxa"/>
        <w:tblInd w:w="38" w:type="dxa"/>
        <w:tblLayout w:type="fixed"/>
        <w:tblLook w:val="0000" w:firstRow="0" w:lastRow="0" w:firstColumn="0" w:lastColumn="0" w:noHBand="0" w:noVBand="0"/>
      </w:tblPr>
      <w:tblGrid>
        <w:gridCol w:w="1064"/>
        <w:gridCol w:w="3941"/>
        <w:gridCol w:w="2295"/>
      </w:tblGrid>
      <w:tr w:rsidR="00652F03" w:rsidRPr="006640F4" w:rsidTr="00EB6E69">
        <w:tc>
          <w:tcPr>
            <w:tcW w:w="1063" w:type="dxa"/>
            <w:shd w:val="clear" w:color="auto" w:fill="auto"/>
          </w:tcPr>
          <w:p w:rsidR="00652F03" w:rsidRPr="006640F4" w:rsidRDefault="00652F03" w:rsidP="006640F4">
            <w:pPr>
              <w:pStyle w:val="Tabletext"/>
            </w:pPr>
            <w:r w:rsidRPr="006640F4">
              <w:t>34AB</w:t>
            </w:r>
          </w:p>
        </w:tc>
        <w:tc>
          <w:tcPr>
            <w:tcW w:w="3937" w:type="dxa"/>
            <w:shd w:val="clear" w:color="auto" w:fill="auto"/>
          </w:tcPr>
          <w:p w:rsidR="00652F03" w:rsidRPr="006640F4" w:rsidRDefault="00652F03" w:rsidP="006640F4">
            <w:pPr>
              <w:pStyle w:val="Tabletext"/>
            </w:pPr>
            <w:r w:rsidRPr="006640F4">
              <w:t>Community sheds</w:t>
            </w:r>
          </w:p>
        </w:tc>
        <w:tc>
          <w:tcPr>
            <w:tcW w:w="2293" w:type="dxa"/>
            <w:shd w:val="clear" w:color="auto" w:fill="auto"/>
          </w:tcPr>
          <w:p w:rsidR="00652F03" w:rsidRPr="006640F4" w:rsidRDefault="00652F03" w:rsidP="006640F4">
            <w:pPr>
              <w:pStyle w:val="Tabletext"/>
            </w:pPr>
            <w:r w:rsidRPr="006640F4">
              <w:t>section</w:t>
            </w:r>
            <w:r w:rsidR="006640F4" w:rsidRPr="006640F4">
              <w:t> </w:t>
            </w:r>
            <w:r w:rsidRPr="006640F4">
              <w:t>30</w:t>
            </w:r>
            <w:r w:rsidR="00CB4341">
              <w:noBreakHyphen/>
            </w:r>
            <w:r w:rsidRPr="006640F4">
              <w:t>20</w:t>
            </w:r>
          </w:p>
        </w:tc>
      </w:tr>
    </w:tbl>
    <w:p w:rsidR="00652F03" w:rsidRPr="006640F4" w:rsidRDefault="00652F03" w:rsidP="006640F4">
      <w:pPr>
        <w:pStyle w:val="ItemHead"/>
      </w:pPr>
      <w:r w:rsidRPr="006640F4">
        <w:t>3  Subsection</w:t>
      </w:r>
      <w:r w:rsidR="006640F4" w:rsidRPr="006640F4">
        <w:t> </w:t>
      </w:r>
      <w:r w:rsidRPr="006640F4">
        <w:t>995</w:t>
      </w:r>
      <w:r w:rsidR="00CB4341">
        <w:noBreakHyphen/>
      </w:r>
      <w:r w:rsidRPr="006640F4">
        <w:t>1(1)</w:t>
      </w:r>
    </w:p>
    <w:p w:rsidR="00652F03" w:rsidRPr="006640F4" w:rsidRDefault="00652F03" w:rsidP="006640F4">
      <w:pPr>
        <w:pStyle w:val="Item"/>
      </w:pPr>
      <w:r w:rsidRPr="006640F4">
        <w:t>Insert:</w:t>
      </w:r>
    </w:p>
    <w:p w:rsidR="00652F03" w:rsidRPr="006640F4" w:rsidRDefault="00652F03" w:rsidP="006640F4">
      <w:pPr>
        <w:pStyle w:val="Definition"/>
      </w:pPr>
      <w:r w:rsidRPr="006640F4">
        <w:rPr>
          <w:b/>
          <w:i/>
        </w:rPr>
        <w:t>community shed</w:t>
      </w:r>
      <w:r w:rsidRPr="006640F4">
        <w:t xml:space="preserve"> means a public institution that satisfies all of the following requirements:</w:t>
      </w:r>
    </w:p>
    <w:p w:rsidR="00652F03" w:rsidRPr="006640F4" w:rsidRDefault="00652F03" w:rsidP="006640F4">
      <w:pPr>
        <w:pStyle w:val="paragraph"/>
      </w:pPr>
      <w:r w:rsidRPr="006640F4">
        <w:tab/>
        <w:t>(a)</w:t>
      </w:r>
      <w:r w:rsidRPr="006640F4">
        <w:tab/>
        <w:t>the institution’s dominant purposes are advancing mental health and preventing or relieving social isolation;</w:t>
      </w:r>
    </w:p>
    <w:p w:rsidR="00652F03" w:rsidRPr="006640F4" w:rsidRDefault="00652F03" w:rsidP="006640F4">
      <w:pPr>
        <w:pStyle w:val="paragraph"/>
      </w:pPr>
      <w:r w:rsidRPr="006640F4">
        <w:tab/>
        <w:t>(b)</w:t>
      </w:r>
      <w:r w:rsidRPr="006640F4">
        <w:tab/>
        <w:t>the institution seeks to achieve those purposes principally by providing a physical location where it supports individuals to undertake activities, or work on projects, in the company of others;</w:t>
      </w:r>
    </w:p>
    <w:p w:rsidR="00652F03" w:rsidRPr="006640F4" w:rsidRDefault="00652F03" w:rsidP="006640F4">
      <w:pPr>
        <w:pStyle w:val="paragraph"/>
      </w:pPr>
      <w:r w:rsidRPr="006640F4">
        <w:tab/>
        <w:t>(c)</w:t>
      </w:r>
      <w:r w:rsidRPr="006640F4">
        <w:tab/>
        <w:t>either:</w:t>
      </w:r>
    </w:p>
    <w:p w:rsidR="00652F03" w:rsidRPr="006640F4" w:rsidRDefault="00652F03" w:rsidP="006640F4">
      <w:pPr>
        <w:pStyle w:val="paragraphsub"/>
      </w:pPr>
      <w:r w:rsidRPr="006640F4">
        <w:tab/>
        <w:t>(i)</w:t>
      </w:r>
      <w:r w:rsidRPr="006640F4">
        <w:tab/>
        <w:t>there are no particular criteria for membership of the institution; or</w:t>
      </w:r>
    </w:p>
    <w:p w:rsidR="00652F03" w:rsidRPr="006640F4" w:rsidRDefault="00652F03" w:rsidP="006640F4">
      <w:pPr>
        <w:pStyle w:val="paragraphsub"/>
      </w:pPr>
      <w:r w:rsidRPr="006640F4">
        <w:tab/>
        <w:t>(ii)</w:t>
      </w:r>
      <w:r w:rsidRPr="006640F4">
        <w:tab/>
        <w:t xml:space="preserve">the criteria for membership of the institution relate only to an individual’s gender or Indigenous status (in that membership is, for cultural reasons, open only to </w:t>
      </w:r>
      <w:r w:rsidR="006640F4" w:rsidRPr="006640F4">
        <w:rPr>
          <w:position w:val="6"/>
          <w:sz w:val="16"/>
        </w:rPr>
        <w:t>*</w:t>
      </w:r>
      <w:r w:rsidRPr="006640F4">
        <w:t>Indigenous persons) or both.</w:t>
      </w:r>
    </w:p>
    <w:p w:rsidR="00652F03" w:rsidRPr="006640F4" w:rsidRDefault="00652F03" w:rsidP="006640F4">
      <w:pPr>
        <w:pStyle w:val="Transitional"/>
      </w:pPr>
      <w:r w:rsidRPr="006640F4">
        <w:t>4  Application</w:t>
      </w:r>
    </w:p>
    <w:p w:rsidR="00652F03" w:rsidRPr="006640F4" w:rsidRDefault="00652F03" w:rsidP="006640F4">
      <w:pPr>
        <w:pStyle w:val="Item"/>
      </w:pPr>
      <w:r w:rsidRPr="006640F4">
        <w:t>The amendments made by this Schedule apply in relation to gifts, and contributions, made on or after 1</w:t>
      </w:r>
      <w:r w:rsidR="006640F4" w:rsidRPr="006640F4">
        <w:t> </w:t>
      </w:r>
      <w:r w:rsidRPr="006640F4">
        <w:t>July 2020.</w:t>
      </w:r>
    </w:p>
    <w:p w:rsidR="008F32F2" w:rsidRPr="006640F4" w:rsidRDefault="008F32F2" w:rsidP="006640F4">
      <w:pPr>
        <w:pStyle w:val="ActHead6"/>
        <w:pageBreakBefore/>
      </w:pPr>
      <w:bookmarkStart w:id="29" w:name="_Toc50370742"/>
      <w:r w:rsidRPr="00826806">
        <w:rPr>
          <w:rStyle w:val="CharAmSchNo"/>
        </w:rPr>
        <w:t>Schedule</w:t>
      </w:r>
      <w:r w:rsidR="006640F4" w:rsidRPr="00826806">
        <w:rPr>
          <w:rStyle w:val="CharAmSchNo"/>
        </w:rPr>
        <w:t> </w:t>
      </w:r>
      <w:r w:rsidRPr="00826806">
        <w:rPr>
          <w:rStyle w:val="CharAmSchNo"/>
        </w:rPr>
        <w:t>4</w:t>
      </w:r>
      <w:r w:rsidRPr="006640F4">
        <w:t>—</w:t>
      </w:r>
      <w:r w:rsidRPr="00826806">
        <w:rPr>
          <w:rStyle w:val="CharAmSchText"/>
        </w:rPr>
        <w:t>Funding capital increases for the World Bank Group</w:t>
      </w:r>
      <w:bookmarkEnd w:id="29"/>
    </w:p>
    <w:p w:rsidR="003369B1" w:rsidRPr="00826806" w:rsidRDefault="003369B1" w:rsidP="006640F4">
      <w:pPr>
        <w:pStyle w:val="Header"/>
      </w:pPr>
      <w:r w:rsidRPr="00826806">
        <w:rPr>
          <w:rStyle w:val="CharAmPartNo"/>
        </w:rPr>
        <w:t xml:space="preserve"> </w:t>
      </w:r>
      <w:r w:rsidRPr="00826806">
        <w:rPr>
          <w:rStyle w:val="CharAmPartText"/>
        </w:rPr>
        <w:t xml:space="preserve"> </w:t>
      </w:r>
    </w:p>
    <w:p w:rsidR="003369B1" w:rsidRPr="00826806" w:rsidRDefault="003369B1" w:rsidP="006640F4">
      <w:pPr>
        <w:pStyle w:val="ActHead9"/>
        <w:rPr>
          <w:i w:val="0"/>
        </w:rPr>
      </w:pPr>
      <w:bookmarkStart w:id="30" w:name="_Toc50370743"/>
      <w:r w:rsidRPr="006640F4">
        <w:t>International Finance Corporation Act 1955</w:t>
      </w:r>
      <w:bookmarkEnd w:id="30"/>
    </w:p>
    <w:p w:rsidR="003369B1" w:rsidRPr="006640F4" w:rsidRDefault="003369B1" w:rsidP="006640F4">
      <w:pPr>
        <w:pStyle w:val="ItemHead"/>
      </w:pPr>
      <w:r w:rsidRPr="006640F4">
        <w:t>1  Section</w:t>
      </w:r>
      <w:r w:rsidR="006640F4" w:rsidRPr="006640F4">
        <w:t> </w:t>
      </w:r>
      <w:r w:rsidRPr="006640F4">
        <w:t xml:space="preserve">3 (definition of </w:t>
      </w:r>
      <w:r w:rsidRPr="006640F4">
        <w:rPr>
          <w:i/>
        </w:rPr>
        <w:t>the Agreement</w:t>
      </w:r>
      <w:r w:rsidRPr="006640F4">
        <w:t>)</w:t>
      </w:r>
    </w:p>
    <w:p w:rsidR="003369B1" w:rsidRPr="006640F4" w:rsidRDefault="003369B1" w:rsidP="006640F4">
      <w:pPr>
        <w:pStyle w:val="Item"/>
      </w:pPr>
      <w:r w:rsidRPr="006640F4">
        <w:t>Repeal the definition, substitute:</w:t>
      </w:r>
    </w:p>
    <w:p w:rsidR="003369B1" w:rsidRPr="006640F4" w:rsidRDefault="003369B1" w:rsidP="006640F4">
      <w:pPr>
        <w:pStyle w:val="Definition"/>
      </w:pPr>
      <w:r w:rsidRPr="006640F4">
        <w:rPr>
          <w:b/>
          <w:i/>
        </w:rPr>
        <w:t>the Agreement</w:t>
      </w:r>
      <w:r w:rsidRPr="006640F4">
        <w:t xml:space="preserve"> means the Articles of Agreement of the International Finance Corporation, done at Washington on 25</w:t>
      </w:r>
      <w:r w:rsidR="006640F4" w:rsidRPr="006640F4">
        <w:t> </w:t>
      </w:r>
      <w:r w:rsidRPr="006640F4">
        <w:t>May 1955, as amended:</w:t>
      </w:r>
    </w:p>
    <w:p w:rsidR="003369B1" w:rsidRPr="006640F4" w:rsidRDefault="003369B1" w:rsidP="006640F4">
      <w:pPr>
        <w:pStyle w:val="paragraph"/>
      </w:pPr>
      <w:r w:rsidRPr="006640F4">
        <w:tab/>
        <w:t>(a)</w:t>
      </w:r>
      <w:r w:rsidRPr="006640F4">
        <w:tab/>
        <w:t>in accordance with the following resolutions accepted in accordance with Article VII of those Articles:</w:t>
      </w:r>
    </w:p>
    <w:p w:rsidR="003369B1" w:rsidRPr="006640F4" w:rsidRDefault="003369B1" w:rsidP="006640F4">
      <w:pPr>
        <w:pStyle w:val="paragraphsub"/>
      </w:pPr>
      <w:r w:rsidRPr="006640F4">
        <w:tab/>
        <w:t>(i)</w:t>
      </w:r>
      <w:r w:rsidRPr="006640F4">
        <w:tab/>
        <w:t>the Amendment to [Article III of] the Articles of Agreement of the International Finance Corporation [IFC] of 25</w:t>
      </w:r>
      <w:r w:rsidR="006640F4" w:rsidRPr="006640F4">
        <w:t> </w:t>
      </w:r>
      <w:r w:rsidRPr="006640F4">
        <w:t>May 1955, done on 1</w:t>
      </w:r>
      <w:r w:rsidR="006640F4" w:rsidRPr="006640F4">
        <w:t> </w:t>
      </w:r>
      <w:r w:rsidRPr="006640F4">
        <w:t>September 1961;</w:t>
      </w:r>
    </w:p>
    <w:p w:rsidR="003369B1" w:rsidRPr="006640F4" w:rsidRDefault="003369B1" w:rsidP="006640F4">
      <w:pPr>
        <w:pStyle w:val="paragraphsub"/>
      </w:pPr>
      <w:r w:rsidRPr="006640F4">
        <w:tab/>
        <w:t>(ii)</w:t>
      </w:r>
      <w:r w:rsidRPr="006640F4">
        <w:tab/>
        <w:t>the Amendments to [Articles III and IV of] the Articles of Agreement of the International Finance Corporation [IFC] of 25</w:t>
      </w:r>
      <w:r w:rsidR="006640F4" w:rsidRPr="006640F4">
        <w:t> </w:t>
      </w:r>
      <w:r w:rsidRPr="006640F4">
        <w:t>May 1955, done on 25</w:t>
      </w:r>
      <w:r w:rsidR="006640F4" w:rsidRPr="006640F4">
        <w:t> </w:t>
      </w:r>
      <w:r w:rsidRPr="006640F4">
        <w:t>August 1965;</w:t>
      </w:r>
    </w:p>
    <w:p w:rsidR="003369B1" w:rsidRPr="006640F4" w:rsidRDefault="003369B1" w:rsidP="006640F4">
      <w:pPr>
        <w:pStyle w:val="paragraphsub"/>
      </w:pPr>
      <w:r w:rsidRPr="006640F4">
        <w:tab/>
        <w:t>(iii)</w:t>
      </w:r>
      <w:r w:rsidRPr="006640F4">
        <w:tab/>
        <w:t>the Amendments to Articles II and VII of the Articles of Agreement of the International Finance Corporation [IFC] of 25</w:t>
      </w:r>
      <w:r w:rsidR="006640F4" w:rsidRPr="006640F4">
        <w:t> </w:t>
      </w:r>
      <w:r w:rsidRPr="006640F4">
        <w:t>May 1955, done on 28</w:t>
      </w:r>
      <w:r w:rsidR="006640F4" w:rsidRPr="006640F4">
        <w:t> </w:t>
      </w:r>
      <w:r w:rsidRPr="006640F4">
        <w:t>December 1992;</w:t>
      </w:r>
    </w:p>
    <w:p w:rsidR="003369B1" w:rsidRPr="006640F4" w:rsidRDefault="003369B1" w:rsidP="006640F4">
      <w:pPr>
        <w:pStyle w:val="paragraphsub"/>
      </w:pPr>
      <w:r w:rsidRPr="006640F4">
        <w:tab/>
        <w:t>(iv)</w:t>
      </w:r>
      <w:r w:rsidRPr="006640F4">
        <w:tab/>
        <w:t>the Amendment to [Article IV of] the Articles of Agreement of the International Finance Corporation [IFC] of 25</w:t>
      </w:r>
      <w:r w:rsidR="006640F4" w:rsidRPr="006640F4">
        <w:t> </w:t>
      </w:r>
      <w:r w:rsidRPr="006640F4">
        <w:t>May 1955, done on 9</w:t>
      </w:r>
      <w:r w:rsidR="006640F4" w:rsidRPr="006640F4">
        <w:t> </w:t>
      </w:r>
      <w:r w:rsidRPr="006640F4">
        <w:t>March 2012; and</w:t>
      </w:r>
    </w:p>
    <w:p w:rsidR="003369B1" w:rsidRPr="006640F4" w:rsidRDefault="003369B1" w:rsidP="006640F4">
      <w:pPr>
        <w:pStyle w:val="paragraph"/>
      </w:pPr>
      <w:r w:rsidRPr="006640F4">
        <w:tab/>
        <w:t>(b)</w:t>
      </w:r>
      <w:r w:rsidRPr="006640F4">
        <w:tab/>
        <w:t>by any other amendment of those Articles that is notified under section</w:t>
      </w:r>
      <w:r w:rsidR="006640F4" w:rsidRPr="006640F4">
        <w:t> </w:t>
      </w:r>
      <w:r w:rsidRPr="006640F4">
        <w:t>5A.</w:t>
      </w:r>
    </w:p>
    <w:p w:rsidR="003369B1" w:rsidRPr="006640F4" w:rsidRDefault="003369B1" w:rsidP="006640F4">
      <w:pPr>
        <w:pStyle w:val="notetext"/>
      </w:pPr>
      <w:r w:rsidRPr="006640F4">
        <w:t>Note 1:</w:t>
      </w:r>
      <w:r w:rsidRPr="006640F4">
        <w:tab/>
        <w:t>The Agreement is in Australian Treaty Series 1956 No.</w:t>
      </w:r>
      <w:r w:rsidR="006640F4" w:rsidRPr="006640F4">
        <w:t> </w:t>
      </w:r>
      <w:r w:rsidRPr="006640F4">
        <w:t>14 ([1956] ATS 14) and could in 2020 be viewed in the Australian Treaties Library on the AustLII website (http://www.austlii.edu.au).</w:t>
      </w:r>
    </w:p>
    <w:p w:rsidR="003369B1" w:rsidRPr="006640F4" w:rsidRDefault="003369B1" w:rsidP="006640F4">
      <w:pPr>
        <w:pStyle w:val="notetext"/>
      </w:pPr>
      <w:r w:rsidRPr="006640F4">
        <w:t>Note 2:</w:t>
      </w:r>
      <w:r w:rsidRPr="006640F4">
        <w:tab/>
        <w:t>The Amendment to [Article III of] the Articles of Agreement of the International Finance Corporation [IFC] of 25</w:t>
      </w:r>
      <w:r w:rsidR="006640F4" w:rsidRPr="006640F4">
        <w:t> </w:t>
      </w:r>
      <w:r w:rsidRPr="006640F4">
        <w:t>May 1955 is in Australian Treaty Series 1961 No.</w:t>
      </w:r>
      <w:r w:rsidR="006640F4" w:rsidRPr="006640F4">
        <w:t> </w:t>
      </w:r>
      <w:r w:rsidRPr="006640F4">
        <w:t>26 ([1961] ATS 26) and could in 2020 be viewed in the Australian Treaties Library on the AustLII website (http://www.austlii.edu.au).</w:t>
      </w:r>
    </w:p>
    <w:p w:rsidR="003369B1" w:rsidRPr="006640F4" w:rsidRDefault="003369B1" w:rsidP="006640F4">
      <w:pPr>
        <w:pStyle w:val="notetext"/>
      </w:pPr>
      <w:r w:rsidRPr="006640F4">
        <w:t>Note 3:</w:t>
      </w:r>
      <w:r w:rsidRPr="006640F4">
        <w:tab/>
        <w:t>The Amendments to [Articles III and IV of] the Articles of Agreement of the International Finance Corporation [IFC] of 25</w:t>
      </w:r>
      <w:r w:rsidR="006640F4" w:rsidRPr="006640F4">
        <w:t> </w:t>
      </w:r>
      <w:r w:rsidRPr="006640F4">
        <w:t>May 1955 is in Australian Treaty Series 1965 No.</w:t>
      </w:r>
      <w:r w:rsidR="006640F4" w:rsidRPr="006640F4">
        <w:t> </w:t>
      </w:r>
      <w:r w:rsidRPr="006640F4">
        <w:t>25 ([1965] ATS 25) and could in 2020 be viewed in the Australian Treaties Library on the AustLII website (http://www.austlii.edu.au).</w:t>
      </w:r>
    </w:p>
    <w:p w:rsidR="003369B1" w:rsidRPr="006640F4" w:rsidRDefault="003369B1" w:rsidP="006640F4">
      <w:pPr>
        <w:pStyle w:val="notetext"/>
      </w:pPr>
      <w:r w:rsidRPr="006640F4">
        <w:t>Note 4:</w:t>
      </w:r>
      <w:r w:rsidRPr="006640F4">
        <w:tab/>
        <w:t>The Amendments to Articles II and VII of the Articles of Agreement of the International Finance Corporation [IFC] of 25</w:t>
      </w:r>
      <w:r w:rsidR="006640F4" w:rsidRPr="006640F4">
        <w:t> </w:t>
      </w:r>
      <w:r w:rsidRPr="006640F4">
        <w:t>May 1955 is in Australian Treaty Series 1993 No.</w:t>
      </w:r>
      <w:r w:rsidR="006640F4" w:rsidRPr="006640F4">
        <w:t> </w:t>
      </w:r>
      <w:r w:rsidRPr="006640F4">
        <w:t>47 ([1993] ATS 47) and could in 2020 be viewed in the Australian Treaties Library on the AustLII website (http://www.austlii.edu.au).</w:t>
      </w:r>
    </w:p>
    <w:p w:rsidR="003369B1" w:rsidRPr="006640F4" w:rsidRDefault="003369B1" w:rsidP="006640F4">
      <w:pPr>
        <w:pStyle w:val="notetext"/>
      </w:pPr>
      <w:r w:rsidRPr="006640F4">
        <w:t>Note 5:</w:t>
      </w:r>
      <w:r w:rsidRPr="006640F4">
        <w:tab/>
        <w:t>The Amendment to [Article IV of] the Articles of Agreement of the International Finance Corporation [IFC] of 25</w:t>
      </w:r>
      <w:r w:rsidR="006640F4" w:rsidRPr="006640F4">
        <w:t> </w:t>
      </w:r>
      <w:r w:rsidRPr="006640F4">
        <w:t>May 1955 is in Australian Treaty Series 2012 No.</w:t>
      </w:r>
      <w:r w:rsidR="006640F4" w:rsidRPr="006640F4">
        <w:t> </w:t>
      </w:r>
      <w:r w:rsidRPr="006640F4">
        <w:t>42 ([2012] ATS 42) and could in 2020 be viewed in the Australian Treaties Library on the AustLII website (http://www.austlii.edu.au).</w:t>
      </w:r>
    </w:p>
    <w:p w:rsidR="003369B1" w:rsidRPr="006640F4" w:rsidRDefault="003369B1" w:rsidP="006640F4">
      <w:pPr>
        <w:pStyle w:val="ItemHead"/>
      </w:pPr>
      <w:r w:rsidRPr="006640F4">
        <w:t>2  Section</w:t>
      </w:r>
      <w:r w:rsidR="006640F4" w:rsidRPr="006640F4">
        <w:t> </w:t>
      </w:r>
      <w:r w:rsidRPr="006640F4">
        <w:t>5</w:t>
      </w:r>
    </w:p>
    <w:p w:rsidR="003369B1" w:rsidRPr="006640F4" w:rsidRDefault="003369B1" w:rsidP="006640F4">
      <w:pPr>
        <w:pStyle w:val="Item"/>
      </w:pPr>
      <w:r w:rsidRPr="006640F4">
        <w:t>Repeal the section, substitute:</w:t>
      </w:r>
    </w:p>
    <w:p w:rsidR="003369B1" w:rsidRPr="006640F4" w:rsidRDefault="003369B1" w:rsidP="006640F4">
      <w:pPr>
        <w:pStyle w:val="ActHead5"/>
      </w:pPr>
      <w:bookmarkStart w:id="31" w:name="_Toc50370744"/>
      <w:r w:rsidRPr="00826806">
        <w:rPr>
          <w:rStyle w:val="CharSectno"/>
        </w:rPr>
        <w:t>5</w:t>
      </w:r>
      <w:r w:rsidRPr="006640F4">
        <w:t xml:space="preserve">  Subscription to capital stock</w:t>
      </w:r>
      <w:bookmarkEnd w:id="31"/>
    </w:p>
    <w:p w:rsidR="003369B1" w:rsidRPr="006640F4" w:rsidRDefault="003369B1" w:rsidP="006640F4">
      <w:pPr>
        <w:pStyle w:val="subsection"/>
      </w:pPr>
      <w:r w:rsidRPr="006640F4">
        <w:tab/>
      </w:r>
      <w:r w:rsidRPr="006640F4">
        <w:tab/>
        <w:t>The Consolidated Revenue Fund is appropriated for the purposes of payments by Australia in respect of obligations that Australia has to subscribe to shares in the International Finance Corporation in accordance with the Agreement.</w:t>
      </w:r>
    </w:p>
    <w:p w:rsidR="003369B1" w:rsidRPr="006640F4" w:rsidRDefault="003369B1" w:rsidP="006640F4">
      <w:pPr>
        <w:pStyle w:val="ActHead5"/>
      </w:pPr>
      <w:bookmarkStart w:id="32" w:name="_Toc50370745"/>
      <w:r w:rsidRPr="00826806">
        <w:rPr>
          <w:rStyle w:val="CharSectno"/>
        </w:rPr>
        <w:t>5A</w:t>
      </w:r>
      <w:r w:rsidRPr="006640F4">
        <w:t xml:space="preserve">  Notice of amendment of the Agreement</w:t>
      </w:r>
      <w:bookmarkEnd w:id="32"/>
    </w:p>
    <w:p w:rsidR="003369B1" w:rsidRPr="006640F4" w:rsidRDefault="003369B1" w:rsidP="006640F4">
      <w:pPr>
        <w:pStyle w:val="subsection"/>
      </w:pPr>
      <w:r w:rsidRPr="006640F4">
        <w:tab/>
        <w:t>(1)</w:t>
      </w:r>
      <w:r w:rsidRPr="006640F4">
        <w:tab/>
        <w:t>The Treasurer may, by legislative instrument, give notice of an amendment of the Agreement that has been accepted in accordance with Article VII of the Agreement.</w:t>
      </w:r>
    </w:p>
    <w:p w:rsidR="003369B1" w:rsidRPr="006640F4" w:rsidRDefault="003369B1" w:rsidP="006640F4">
      <w:pPr>
        <w:pStyle w:val="subsection"/>
      </w:pPr>
      <w:r w:rsidRPr="006640F4">
        <w:tab/>
        <w:t>(2)</w:t>
      </w:r>
      <w:r w:rsidRPr="006640F4">
        <w:tab/>
        <w:t xml:space="preserve">A legislative instrument under </w:t>
      </w:r>
      <w:r w:rsidR="006640F4" w:rsidRPr="006640F4">
        <w:t>subsection (</w:t>
      </w:r>
      <w:r w:rsidRPr="006640F4">
        <w:t>1) commences at the later of the following days or times:</w:t>
      </w:r>
    </w:p>
    <w:p w:rsidR="003369B1" w:rsidRPr="006640F4" w:rsidRDefault="003369B1" w:rsidP="006640F4">
      <w:pPr>
        <w:pStyle w:val="paragraph"/>
      </w:pPr>
      <w:r w:rsidRPr="006640F4">
        <w:tab/>
        <w:t>(a)</w:t>
      </w:r>
      <w:r w:rsidRPr="006640F4">
        <w:tab/>
        <w:t>the earliest day or time applicable under subsection</w:t>
      </w:r>
      <w:r w:rsidR="006640F4" w:rsidRPr="006640F4">
        <w:t> </w:t>
      </w:r>
      <w:r w:rsidRPr="006640F4">
        <w:t xml:space="preserve">12(1) of the </w:t>
      </w:r>
      <w:r w:rsidRPr="006640F4">
        <w:rPr>
          <w:i/>
        </w:rPr>
        <w:t>Legislation Act 2003</w:t>
      </w:r>
      <w:r w:rsidRPr="006640F4">
        <w:t>;</w:t>
      </w:r>
    </w:p>
    <w:p w:rsidR="003369B1" w:rsidRPr="006640F4" w:rsidRDefault="003369B1" w:rsidP="006640F4">
      <w:pPr>
        <w:pStyle w:val="paragraph"/>
      </w:pPr>
      <w:r w:rsidRPr="006640F4">
        <w:tab/>
        <w:t>(b)</w:t>
      </w:r>
      <w:r w:rsidRPr="006640F4">
        <w:tab/>
        <w:t>the start of the day immediately after the last day on which a resolution referred to in subsection</w:t>
      </w:r>
      <w:r w:rsidR="006640F4" w:rsidRPr="006640F4">
        <w:t> </w:t>
      </w:r>
      <w:r w:rsidRPr="006640F4">
        <w:t xml:space="preserve">42(1) of the </w:t>
      </w:r>
      <w:r w:rsidRPr="006640F4">
        <w:rPr>
          <w:i/>
        </w:rPr>
        <w:t>Legislation Act 2003</w:t>
      </w:r>
      <w:r w:rsidRPr="006640F4">
        <w:t xml:space="preserve"> disallowing the instrument could be passed.</w:t>
      </w:r>
    </w:p>
    <w:p w:rsidR="00623B07" w:rsidRPr="006640F4" w:rsidRDefault="00623B07" w:rsidP="006640F4">
      <w:pPr>
        <w:pStyle w:val="ActHead5"/>
      </w:pPr>
      <w:bookmarkStart w:id="33" w:name="_Toc50370746"/>
      <w:r w:rsidRPr="00826806">
        <w:rPr>
          <w:rStyle w:val="CharSectno"/>
        </w:rPr>
        <w:t>5B</w:t>
      </w:r>
      <w:r w:rsidRPr="006640F4">
        <w:t xml:space="preserve">  Further agreements to buy extra shares in the International Finance Corporation</w:t>
      </w:r>
      <w:bookmarkEnd w:id="33"/>
    </w:p>
    <w:p w:rsidR="00623B07" w:rsidRPr="006640F4" w:rsidRDefault="00623B07" w:rsidP="006640F4">
      <w:pPr>
        <w:pStyle w:val="subsection"/>
      </w:pPr>
      <w:r w:rsidRPr="006640F4">
        <w:tab/>
        <w:t>(1)</w:t>
      </w:r>
      <w:r w:rsidRPr="006640F4">
        <w:tab/>
        <w:t>The Minister may, on behalf of Australia, enter into one or more agreements with the International Finance Corporation that:</w:t>
      </w:r>
    </w:p>
    <w:p w:rsidR="00623B07" w:rsidRPr="006640F4" w:rsidRDefault="00623B07" w:rsidP="006640F4">
      <w:pPr>
        <w:pStyle w:val="paragraph"/>
      </w:pPr>
      <w:r w:rsidRPr="006640F4">
        <w:tab/>
        <w:t>(a)</w:t>
      </w:r>
      <w:r w:rsidRPr="006640F4">
        <w:tab/>
        <w:t>provide for Australia to buy additional shares of the capital stock of the International Finance Corporation; and</w:t>
      </w:r>
    </w:p>
    <w:p w:rsidR="00623B07" w:rsidRPr="006640F4" w:rsidRDefault="00623B07" w:rsidP="006640F4">
      <w:pPr>
        <w:pStyle w:val="paragraph"/>
      </w:pPr>
      <w:r w:rsidRPr="006640F4">
        <w:tab/>
        <w:t>(b)</w:t>
      </w:r>
      <w:r w:rsidRPr="006640F4">
        <w:tab/>
        <w:t>contain terms and conditions determined by the Minister.</w:t>
      </w:r>
    </w:p>
    <w:p w:rsidR="00623B07" w:rsidRPr="006640F4" w:rsidRDefault="00623B07" w:rsidP="006640F4">
      <w:pPr>
        <w:pStyle w:val="subsection"/>
      </w:pPr>
      <w:r w:rsidRPr="006640F4">
        <w:tab/>
        <w:t>(2)</w:t>
      </w:r>
      <w:r w:rsidRPr="006640F4">
        <w:tab/>
        <w:t xml:space="preserve">The Consolidated Revenue Fund is appropriated for the purposes of payments by Australia under an agreement referred to in </w:t>
      </w:r>
      <w:r w:rsidR="006640F4" w:rsidRPr="006640F4">
        <w:t>subsection (</w:t>
      </w:r>
      <w:r w:rsidRPr="006640F4">
        <w:t>1).</w:t>
      </w:r>
    </w:p>
    <w:p w:rsidR="003369B1" w:rsidRPr="006640F4" w:rsidRDefault="003369B1" w:rsidP="006640F4">
      <w:pPr>
        <w:pStyle w:val="ItemHead"/>
      </w:pPr>
      <w:r w:rsidRPr="006640F4">
        <w:t>3  The Schedules (heading)</w:t>
      </w:r>
    </w:p>
    <w:p w:rsidR="003369B1" w:rsidRPr="006640F4" w:rsidRDefault="003369B1" w:rsidP="006640F4">
      <w:pPr>
        <w:pStyle w:val="Item"/>
      </w:pPr>
      <w:r w:rsidRPr="006640F4">
        <w:t>Repeal the heading.</w:t>
      </w:r>
    </w:p>
    <w:p w:rsidR="003369B1" w:rsidRPr="006640F4" w:rsidRDefault="003369B1" w:rsidP="006640F4">
      <w:pPr>
        <w:pStyle w:val="ItemHead"/>
      </w:pPr>
      <w:r w:rsidRPr="006640F4">
        <w:t>4  First Schedule</w:t>
      </w:r>
    </w:p>
    <w:p w:rsidR="003369B1" w:rsidRPr="006640F4" w:rsidRDefault="003369B1" w:rsidP="006640F4">
      <w:pPr>
        <w:pStyle w:val="Item"/>
      </w:pPr>
      <w:r w:rsidRPr="006640F4">
        <w:t>Repeal the Schedule.</w:t>
      </w:r>
    </w:p>
    <w:p w:rsidR="003369B1" w:rsidRPr="006640F4" w:rsidRDefault="003369B1" w:rsidP="006640F4">
      <w:pPr>
        <w:pStyle w:val="ItemHead"/>
      </w:pPr>
      <w:r w:rsidRPr="006640F4">
        <w:t>5  Second Schedule</w:t>
      </w:r>
    </w:p>
    <w:p w:rsidR="003369B1" w:rsidRPr="006640F4" w:rsidRDefault="003369B1" w:rsidP="006640F4">
      <w:pPr>
        <w:pStyle w:val="Item"/>
      </w:pPr>
      <w:r w:rsidRPr="006640F4">
        <w:t>Repeal the Schedule.</w:t>
      </w:r>
    </w:p>
    <w:p w:rsidR="003369B1" w:rsidRPr="006640F4" w:rsidRDefault="003369B1" w:rsidP="006640F4">
      <w:pPr>
        <w:pStyle w:val="ItemHead"/>
      </w:pPr>
      <w:r w:rsidRPr="006640F4">
        <w:t>6  Third Schedule</w:t>
      </w:r>
    </w:p>
    <w:p w:rsidR="003369B1" w:rsidRPr="006640F4" w:rsidRDefault="003369B1" w:rsidP="006640F4">
      <w:pPr>
        <w:pStyle w:val="Item"/>
      </w:pPr>
      <w:r w:rsidRPr="006640F4">
        <w:t>Repeal the Schedule.</w:t>
      </w:r>
    </w:p>
    <w:p w:rsidR="003369B1" w:rsidRPr="006640F4" w:rsidRDefault="003369B1" w:rsidP="006640F4">
      <w:pPr>
        <w:pStyle w:val="ItemHead"/>
      </w:pPr>
      <w:r w:rsidRPr="006640F4">
        <w:t>7  Schedule</w:t>
      </w:r>
      <w:r w:rsidR="006640F4" w:rsidRPr="006640F4">
        <w:t> </w:t>
      </w:r>
      <w:r w:rsidRPr="006640F4">
        <w:t>4</w:t>
      </w:r>
    </w:p>
    <w:p w:rsidR="003369B1" w:rsidRPr="006640F4" w:rsidRDefault="003369B1" w:rsidP="006640F4">
      <w:pPr>
        <w:pStyle w:val="Item"/>
      </w:pPr>
      <w:r w:rsidRPr="006640F4">
        <w:t>Repeal the Schedule.</w:t>
      </w:r>
    </w:p>
    <w:p w:rsidR="003369B1" w:rsidRPr="00826806" w:rsidRDefault="003369B1" w:rsidP="006640F4">
      <w:pPr>
        <w:pStyle w:val="ActHead9"/>
        <w:rPr>
          <w:i w:val="0"/>
        </w:rPr>
      </w:pPr>
      <w:bookmarkStart w:id="34" w:name="_Toc50370747"/>
      <w:r w:rsidRPr="006640F4">
        <w:t>International Monetary Agreements Act 1947</w:t>
      </w:r>
      <w:bookmarkEnd w:id="34"/>
    </w:p>
    <w:p w:rsidR="003369B1" w:rsidRPr="006640F4" w:rsidRDefault="003369B1" w:rsidP="006640F4">
      <w:pPr>
        <w:pStyle w:val="ItemHead"/>
      </w:pPr>
      <w:r w:rsidRPr="006640F4">
        <w:t>8  Section</w:t>
      </w:r>
      <w:r w:rsidR="006640F4" w:rsidRPr="006640F4">
        <w:t> </w:t>
      </w:r>
      <w:r w:rsidRPr="006640F4">
        <w:t>9</w:t>
      </w:r>
    </w:p>
    <w:p w:rsidR="003369B1" w:rsidRPr="006640F4" w:rsidRDefault="003369B1" w:rsidP="006640F4">
      <w:pPr>
        <w:pStyle w:val="Item"/>
      </w:pPr>
      <w:r w:rsidRPr="006640F4">
        <w:t>Repeal the section, substitute:</w:t>
      </w:r>
    </w:p>
    <w:p w:rsidR="003369B1" w:rsidRPr="006640F4" w:rsidRDefault="003369B1" w:rsidP="006640F4">
      <w:pPr>
        <w:pStyle w:val="ActHead5"/>
      </w:pPr>
      <w:bookmarkStart w:id="35" w:name="_Toc50370748"/>
      <w:r w:rsidRPr="00826806">
        <w:rPr>
          <w:rStyle w:val="CharSectno"/>
        </w:rPr>
        <w:t>9</w:t>
      </w:r>
      <w:r w:rsidRPr="006640F4">
        <w:t xml:space="preserve">  Further agreements to buy extra shares in the Bank</w:t>
      </w:r>
      <w:bookmarkEnd w:id="35"/>
    </w:p>
    <w:p w:rsidR="003369B1" w:rsidRPr="006640F4" w:rsidRDefault="003369B1" w:rsidP="006640F4">
      <w:pPr>
        <w:pStyle w:val="subsection"/>
      </w:pPr>
      <w:r w:rsidRPr="006640F4">
        <w:tab/>
        <w:t>(1)</w:t>
      </w:r>
      <w:r w:rsidRPr="006640F4">
        <w:tab/>
        <w:t>The Minister may, on behalf of Australia, enter into one or more agreements with the Bank that:</w:t>
      </w:r>
    </w:p>
    <w:p w:rsidR="003369B1" w:rsidRPr="006640F4" w:rsidRDefault="003369B1" w:rsidP="006640F4">
      <w:pPr>
        <w:pStyle w:val="paragraph"/>
      </w:pPr>
      <w:r w:rsidRPr="006640F4">
        <w:tab/>
        <w:t>(a)</w:t>
      </w:r>
      <w:r w:rsidRPr="006640F4">
        <w:tab/>
        <w:t>provide for Australia to buy additional shares of the capital stock of the Bank; and</w:t>
      </w:r>
    </w:p>
    <w:p w:rsidR="003369B1" w:rsidRPr="006640F4" w:rsidRDefault="003369B1" w:rsidP="006640F4">
      <w:pPr>
        <w:pStyle w:val="paragraph"/>
      </w:pPr>
      <w:r w:rsidRPr="006640F4">
        <w:tab/>
        <w:t>(b)</w:t>
      </w:r>
      <w:r w:rsidRPr="006640F4">
        <w:tab/>
        <w:t>contain terms and conditions determined by the Minister.</w:t>
      </w:r>
    </w:p>
    <w:p w:rsidR="003369B1" w:rsidRPr="006640F4" w:rsidRDefault="003369B1" w:rsidP="006640F4">
      <w:pPr>
        <w:pStyle w:val="subsection"/>
      </w:pPr>
      <w:r w:rsidRPr="006640F4">
        <w:tab/>
        <w:t>(2)</w:t>
      </w:r>
      <w:r w:rsidRPr="006640F4">
        <w:tab/>
        <w:t xml:space="preserve">The Consolidated Revenue Fund is appropriated for the purposes of payments by Australia under an agreement referred to in </w:t>
      </w:r>
      <w:r w:rsidR="006640F4" w:rsidRPr="006640F4">
        <w:t>subsection (</w:t>
      </w:r>
      <w:r w:rsidRPr="006640F4">
        <w:t>1).</w:t>
      </w:r>
    </w:p>
    <w:p w:rsidR="008F32F2" w:rsidRPr="006640F4" w:rsidRDefault="008F32F2" w:rsidP="006640F4">
      <w:pPr>
        <w:pStyle w:val="ActHead6"/>
        <w:pageBreakBefore/>
      </w:pPr>
      <w:bookmarkStart w:id="36" w:name="_Toc50370749"/>
      <w:r w:rsidRPr="00826806">
        <w:rPr>
          <w:rStyle w:val="CharAmSchNo"/>
        </w:rPr>
        <w:t>Schedule</w:t>
      </w:r>
      <w:r w:rsidR="006640F4" w:rsidRPr="00826806">
        <w:rPr>
          <w:rStyle w:val="CharAmSchNo"/>
        </w:rPr>
        <w:t> </w:t>
      </w:r>
      <w:r w:rsidRPr="00826806">
        <w:rPr>
          <w:rStyle w:val="CharAmSchNo"/>
        </w:rPr>
        <w:t>5</w:t>
      </w:r>
      <w:r w:rsidRPr="006640F4">
        <w:t>—</w:t>
      </w:r>
      <w:r w:rsidRPr="00826806">
        <w:rPr>
          <w:rStyle w:val="CharAmSchText"/>
        </w:rPr>
        <w:t>Deductible gift recipients—new specific recipients</w:t>
      </w:r>
      <w:bookmarkEnd w:id="36"/>
    </w:p>
    <w:p w:rsidR="003369B1" w:rsidRPr="00826806" w:rsidRDefault="003369B1" w:rsidP="006640F4">
      <w:pPr>
        <w:pStyle w:val="Header"/>
      </w:pPr>
      <w:r w:rsidRPr="00826806">
        <w:rPr>
          <w:rStyle w:val="CharAmPartNo"/>
        </w:rPr>
        <w:t xml:space="preserve"> </w:t>
      </w:r>
      <w:r w:rsidRPr="00826806">
        <w:rPr>
          <w:rStyle w:val="CharAmPartText"/>
        </w:rPr>
        <w:t xml:space="preserve"> </w:t>
      </w:r>
    </w:p>
    <w:p w:rsidR="003369B1" w:rsidRPr="00826806" w:rsidRDefault="003369B1" w:rsidP="006640F4">
      <w:pPr>
        <w:pStyle w:val="ActHead9"/>
        <w:rPr>
          <w:i w:val="0"/>
        </w:rPr>
      </w:pPr>
      <w:bookmarkStart w:id="37" w:name="_Toc50370750"/>
      <w:r w:rsidRPr="006640F4">
        <w:t>Income Tax Assessment Act 1997</w:t>
      </w:r>
      <w:bookmarkEnd w:id="37"/>
    </w:p>
    <w:p w:rsidR="003369B1" w:rsidRPr="006640F4" w:rsidRDefault="003369B1" w:rsidP="006640F4">
      <w:pPr>
        <w:pStyle w:val="ItemHead"/>
        <w:rPr>
          <w:rFonts w:cs="Arial"/>
        </w:rPr>
      </w:pPr>
      <w:r w:rsidRPr="006640F4">
        <w:t>1  In the appropriate position in subsection</w:t>
      </w:r>
      <w:r w:rsidR="006640F4" w:rsidRPr="006640F4">
        <w:t> </w:t>
      </w:r>
      <w:r w:rsidRPr="006640F4">
        <w:t>30</w:t>
      </w:r>
      <w:r w:rsidR="00CB4341">
        <w:rPr>
          <w:rFonts w:cs="Arial"/>
        </w:rPr>
        <w:noBreakHyphen/>
      </w:r>
      <w:r w:rsidRPr="006640F4">
        <w:rPr>
          <w:rFonts w:cs="Arial"/>
        </w:rPr>
        <w:t>25(2)</w:t>
      </w:r>
    </w:p>
    <w:p w:rsidR="003369B1" w:rsidRPr="006640F4" w:rsidRDefault="003369B1" w:rsidP="006640F4">
      <w:pPr>
        <w:pStyle w:val="Item"/>
      </w:pPr>
      <w:r w:rsidRPr="006640F4">
        <w:t>Insert:</w:t>
      </w:r>
    </w:p>
    <w:tbl>
      <w:tblPr>
        <w:tblW w:w="731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54"/>
        <w:gridCol w:w="3766"/>
        <w:gridCol w:w="2687"/>
        <w:gridCol w:w="8"/>
      </w:tblGrid>
      <w:tr w:rsidR="003369B1" w:rsidRPr="006640F4" w:rsidTr="00EB6E69">
        <w:tc>
          <w:tcPr>
            <w:tcW w:w="854" w:type="dxa"/>
            <w:tcBorders>
              <w:top w:val="nil"/>
              <w:left w:val="nil"/>
              <w:bottom w:val="single" w:sz="2" w:space="0" w:color="auto"/>
              <w:right w:val="nil"/>
            </w:tcBorders>
            <w:shd w:val="clear" w:color="auto" w:fill="auto"/>
          </w:tcPr>
          <w:p w:rsidR="003369B1" w:rsidRPr="006640F4" w:rsidRDefault="003369B1" w:rsidP="006640F4">
            <w:pPr>
              <w:pStyle w:val="Tabletext"/>
            </w:pPr>
            <w:r w:rsidRPr="006640F4">
              <w:t>2.2.47</w:t>
            </w:r>
          </w:p>
        </w:tc>
        <w:tc>
          <w:tcPr>
            <w:tcW w:w="3766" w:type="dxa"/>
            <w:tcBorders>
              <w:top w:val="nil"/>
              <w:left w:val="nil"/>
              <w:bottom w:val="single" w:sz="2" w:space="0" w:color="auto"/>
              <w:right w:val="nil"/>
            </w:tcBorders>
            <w:shd w:val="clear" w:color="auto" w:fill="auto"/>
          </w:tcPr>
          <w:p w:rsidR="003369B1" w:rsidRPr="006640F4" w:rsidRDefault="003369B1" w:rsidP="006640F4">
            <w:pPr>
              <w:pStyle w:val="Tabletext"/>
            </w:pPr>
            <w:r w:rsidRPr="006640F4">
              <w:t>Governor Phillip International Scholarship Trust</w:t>
            </w:r>
          </w:p>
        </w:tc>
        <w:tc>
          <w:tcPr>
            <w:tcW w:w="2695" w:type="dxa"/>
            <w:gridSpan w:val="2"/>
            <w:tcBorders>
              <w:top w:val="nil"/>
              <w:left w:val="nil"/>
              <w:bottom w:val="single" w:sz="2" w:space="0" w:color="auto"/>
              <w:right w:val="nil"/>
            </w:tcBorders>
            <w:shd w:val="clear" w:color="auto" w:fill="auto"/>
          </w:tcPr>
          <w:p w:rsidR="003369B1" w:rsidRPr="006640F4" w:rsidRDefault="003369B1" w:rsidP="006640F4">
            <w:pPr>
              <w:pStyle w:val="Tabletext"/>
            </w:pPr>
            <w:r w:rsidRPr="006640F4">
              <w:t>the gift must be made after 30</w:t>
            </w:r>
            <w:r w:rsidR="006640F4" w:rsidRPr="006640F4">
              <w:t> </w:t>
            </w:r>
            <w:r w:rsidRPr="006640F4">
              <w:t>June 2018 and before 1</w:t>
            </w:r>
            <w:r w:rsidR="006640F4" w:rsidRPr="006640F4">
              <w:t> </w:t>
            </w:r>
            <w:r w:rsidRPr="006640F4">
              <w:t>July 2025</w:t>
            </w:r>
          </w:p>
        </w:tc>
      </w:tr>
      <w:tr w:rsidR="003369B1" w:rsidRPr="006640F4" w:rsidTr="00EB6E69">
        <w:tc>
          <w:tcPr>
            <w:tcW w:w="854" w:type="dxa"/>
            <w:tcBorders>
              <w:top w:val="single" w:sz="2" w:space="0" w:color="auto"/>
              <w:left w:val="nil"/>
              <w:bottom w:val="single" w:sz="2" w:space="0" w:color="auto"/>
              <w:right w:val="nil"/>
            </w:tcBorders>
            <w:shd w:val="clear" w:color="auto" w:fill="auto"/>
          </w:tcPr>
          <w:p w:rsidR="003369B1" w:rsidRPr="006640F4" w:rsidRDefault="003369B1" w:rsidP="006640F4">
            <w:pPr>
              <w:pStyle w:val="Tabletext"/>
            </w:pPr>
            <w:r w:rsidRPr="006640F4">
              <w:t>2.2.48</w:t>
            </w:r>
          </w:p>
        </w:tc>
        <w:tc>
          <w:tcPr>
            <w:tcW w:w="3766" w:type="dxa"/>
            <w:tcBorders>
              <w:top w:val="single" w:sz="2" w:space="0" w:color="auto"/>
              <w:left w:val="nil"/>
              <w:bottom w:val="single" w:sz="2" w:space="0" w:color="auto"/>
              <w:right w:val="nil"/>
            </w:tcBorders>
            <w:shd w:val="clear" w:color="auto" w:fill="auto"/>
          </w:tcPr>
          <w:p w:rsidR="003369B1" w:rsidRPr="006640F4" w:rsidRDefault="003369B1" w:rsidP="006640F4">
            <w:pPr>
              <w:pStyle w:val="Tabletext"/>
            </w:pPr>
            <w:r w:rsidRPr="006640F4">
              <w:t>High Resolves</w:t>
            </w:r>
          </w:p>
        </w:tc>
        <w:tc>
          <w:tcPr>
            <w:tcW w:w="2695" w:type="dxa"/>
            <w:gridSpan w:val="2"/>
            <w:tcBorders>
              <w:top w:val="single" w:sz="2" w:space="0" w:color="auto"/>
              <w:left w:val="nil"/>
              <w:bottom w:val="single" w:sz="2" w:space="0" w:color="auto"/>
              <w:right w:val="nil"/>
            </w:tcBorders>
            <w:shd w:val="clear" w:color="auto" w:fill="auto"/>
          </w:tcPr>
          <w:p w:rsidR="003369B1" w:rsidRPr="006640F4" w:rsidRDefault="003369B1" w:rsidP="006640F4">
            <w:pPr>
              <w:pStyle w:val="Tabletext"/>
            </w:pPr>
            <w:r w:rsidRPr="006640F4">
              <w:t>the gift must be made after 30</w:t>
            </w:r>
            <w:r w:rsidR="006640F4" w:rsidRPr="006640F4">
              <w:t> </w:t>
            </w:r>
            <w:r w:rsidRPr="006640F4">
              <w:t>June 2018 and before 1</w:t>
            </w:r>
            <w:r w:rsidR="006640F4" w:rsidRPr="006640F4">
              <w:t> </w:t>
            </w:r>
            <w:r w:rsidRPr="006640F4">
              <w:t>July 2025</w:t>
            </w:r>
          </w:p>
        </w:tc>
      </w:tr>
      <w:tr w:rsidR="003369B1" w:rsidRPr="006640F4" w:rsidTr="00EB6E69">
        <w:trPr>
          <w:gridAfter w:val="1"/>
          <w:wAfter w:w="8" w:type="dxa"/>
        </w:trPr>
        <w:tc>
          <w:tcPr>
            <w:tcW w:w="854" w:type="dxa"/>
            <w:tcBorders>
              <w:left w:val="nil"/>
              <w:bottom w:val="single" w:sz="2" w:space="0" w:color="auto"/>
              <w:right w:val="nil"/>
            </w:tcBorders>
            <w:shd w:val="clear" w:color="auto" w:fill="auto"/>
          </w:tcPr>
          <w:p w:rsidR="003369B1" w:rsidRPr="006640F4" w:rsidRDefault="003369B1" w:rsidP="006640F4">
            <w:pPr>
              <w:pStyle w:val="Tabletext"/>
            </w:pPr>
            <w:r w:rsidRPr="006640F4">
              <w:t>2.2.49</w:t>
            </w:r>
          </w:p>
        </w:tc>
        <w:tc>
          <w:tcPr>
            <w:tcW w:w="3766" w:type="dxa"/>
            <w:tcBorders>
              <w:left w:val="nil"/>
              <w:bottom w:val="single" w:sz="2" w:space="0" w:color="auto"/>
              <w:right w:val="nil"/>
            </w:tcBorders>
            <w:shd w:val="clear" w:color="auto" w:fill="auto"/>
          </w:tcPr>
          <w:p w:rsidR="003369B1" w:rsidRPr="006640F4" w:rsidRDefault="003369B1" w:rsidP="006640F4">
            <w:pPr>
              <w:pStyle w:val="Tabletext"/>
            </w:pPr>
            <w:r w:rsidRPr="006640F4">
              <w:t>Australian Academy of Law</w:t>
            </w:r>
          </w:p>
        </w:tc>
        <w:tc>
          <w:tcPr>
            <w:tcW w:w="2687" w:type="dxa"/>
            <w:tcBorders>
              <w:left w:val="nil"/>
              <w:bottom w:val="single" w:sz="2" w:space="0" w:color="auto"/>
              <w:right w:val="nil"/>
            </w:tcBorders>
            <w:shd w:val="clear" w:color="auto" w:fill="auto"/>
          </w:tcPr>
          <w:p w:rsidR="003369B1" w:rsidRPr="006640F4" w:rsidRDefault="003369B1" w:rsidP="006640F4">
            <w:pPr>
              <w:pStyle w:val="Tabletext"/>
            </w:pPr>
            <w:r w:rsidRPr="006640F4">
              <w:t>the gift must be made after 30</w:t>
            </w:r>
            <w:r w:rsidR="006640F4" w:rsidRPr="006640F4">
              <w:t> </w:t>
            </w:r>
            <w:r w:rsidRPr="006640F4">
              <w:t>June 2019 and before 1</w:t>
            </w:r>
            <w:r w:rsidR="006640F4" w:rsidRPr="006640F4">
              <w:t> </w:t>
            </w:r>
            <w:r w:rsidRPr="006640F4">
              <w:t>July 2025</w:t>
            </w:r>
          </w:p>
        </w:tc>
      </w:tr>
      <w:tr w:rsidR="003369B1" w:rsidRPr="006640F4" w:rsidTr="00EB6E69">
        <w:tc>
          <w:tcPr>
            <w:tcW w:w="854" w:type="dxa"/>
            <w:tcBorders>
              <w:left w:val="nil"/>
              <w:bottom w:val="nil"/>
              <w:right w:val="nil"/>
            </w:tcBorders>
            <w:shd w:val="clear" w:color="auto" w:fill="auto"/>
          </w:tcPr>
          <w:p w:rsidR="003369B1" w:rsidRPr="006640F4" w:rsidRDefault="003369B1" w:rsidP="006640F4">
            <w:pPr>
              <w:pStyle w:val="Tabletext"/>
            </w:pPr>
            <w:r w:rsidRPr="006640F4">
              <w:t>2.2.50</w:t>
            </w:r>
          </w:p>
        </w:tc>
        <w:tc>
          <w:tcPr>
            <w:tcW w:w="3766" w:type="dxa"/>
            <w:tcBorders>
              <w:left w:val="nil"/>
              <w:bottom w:val="nil"/>
              <w:right w:val="nil"/>
            </w:tcBorders>
            <w:shd w:val="clear" w:color="auto" w:fill="auto"/>
          </w:tcPr>
          <w:p w:rsidR="003369B1" w:rsidRPr="006640F4" w:rsidRDefault="003369B1" w:rsidP="006640F4">
            <w:pPr>
              <w:pStyle w:val="Tabletext"/>
            </w:pPr>
            <w:r w:rsidRPr="006640F4">
              <w:t>Superannuation Consumers’ Centre Ltd</w:t>
            </w:r>
          </w:p>
        </w:tc>
        <w:tc>
          <w:tcPr>
            <w:tcW w:w="2695" w:type="dxa"/>
            <w:gridSpan w:val="2"/>
            <w:tcBorders>
              <w:left w:val="nil"/>
              <w:bottom w:val="nil"/>
              <w:right w:val="nil"/>
            </w:tcBorders>
            <w:shd w:val="clear" w:color="auto" w:fill="auto"/>
          </w:tcPr>
          <w:p w:rsidR="003369B1" w:rsidRPr="006640F4" w:rsidRDefault="003369B1" w:rsidP="006640F4">
            <w:pPr>
              <w:pStyle w:val="Tabletext"/>
            </w:pPr>
            <w:r w:rsidRPr="006640F4">
              <w:t>the gift must be made after 30</w:t>
            </w:r>
            <w:r w:rsidR="006640F4" w:rsidRPr="006640F4">
              <w:t> </w:t>
            </w:r>
            <w:r w:rsidRPr="006640F4">
              <w:t>June 2019 and before 1</w:t>
            </w:r>
            <w:r w:rsidR="006640F4" w:rsidRPr="006640F4">
              <w:t> </w:t>
            </w:r>
            <w:r w:rsidRPr="006640F4">
              <w:t>July 2025</w:t>
            </w:r>
          </w:p>
        </w:tc>
      </w:tr>
    </w:tbl>
    <w:p w:rsidR="003369B1" w:rsidRPr="006640F4" w:rsidRDefault="003369B1" w:rsidP="006640F4">
      <w:pPr>
        <w:pStyle w:val="ItemHead"/>
      </w:pPr>
      <w:r w:rsidRPr="006640F4">
        <w:t>2  In the appropriate position in subsection</w:t>
      </w:r>
      <w:r w:rsidR="006640F4" w:rsidRPr="006640F4">
        <w:t> </w:t>
      </w:r>
      <w:r w:rsidRPr="006640F4">
        <w:t>30</w:t>
      </w:r>
      <w:r w:rsidR="00CB4341">
        <w:rPr>
          <w:rFonts w:cs="Arial"/>
        </w:rPr>
        <w:noBreakHyphen/>
      </w:r>
      <w:r w:rsidRPr="006640F4">
        <w:t>45(2)</w:t>
      </w:r>
    </w:p>
    <w:p w:rsidR="003369B1" w:rsidRPr="006640F4" w:rsidRDefault="003369B1" w:rsidP="006640F4">
      <w:pPr>
        <w:pStyle w:val="Item"/>
      </w:pPr>
      <w:r w:rsidRPr="006640F4">
        <w:t>Insert:</w:t>
      </w:r>
    </w:p>
    <w:tbl>
      <w:tblPr>
        <w:tblW w:w="7328" w:type="dxa"/>
        <w:tblInd w:w="9" w:type="dxa"/>
        <w:tblLayout w:type="fixed"/>
        <w:tblLook w:val="0020" w:firstRow="1" w:lastRow="0" w:firstColumn="0" w:lastColumn="0" w:noHBand="0" w:noVBand="0"/>
      </w:tblPr>
      <w:tblGrid>
        <w:gridCol w:w="827"/>
        <w:gridCol w:w="4260"/>
        <w:gridCol w:w="2241"/>
      </w:tblGrid>
      <w:tr w:rsidR="003369B1" w:rsidRPr="006640F4" w:rsidTr="00EB6E69">
        <w:tc>
          <w:tcPr>
            <w:tcW w:w="827" w:type="dxa"/>
            <w:shd w:val="clear" w:color="auto" w:fill="auto"/>
          </w:tcPr>
          <w:p w:rsidR="003369B1" w:rsidRPr="006640F4" w:rsidRDefault="003369B1" w:rsidP="006640F4">
            <w:pPr>
              <w:pStyle w:val="Tabletext"/>
            </w:pPr>
            <w:r w:rsidRPr="006640F4">
              <w:t>4.2.47</w:t>
            </w:r>
          </w:p>
        </w:tc>
        <w:tc>
          <w:tcPr>
            <w:tcW w:w="4260" w:type="dxa"/>
            <w:shd w:val="clear" w:color="auto" w:fill="auto"/>
          </w:tcPr>
          <w:p w:rsidR="003369B1" w:rsidRPr="006640F4" w:rsidRDefault="003369B1" w:rsidP="006640F4">
            <w:pPr>
              <w:pStyle w:val="Tabletext"/>
            </w:pPr>
            <w:r w:rsidRPr="006640F4">
              <w:t>Motherless Daughters Australia Limited</w:t>
            </w:r>
          </w:p>
        </w:tc>
        <w:tc>
          <w:tcPr>
            <w:tcW w:w="2241" w:type="dxa"/>
            <w:shd w:val="clear" w:color="auto" w:fill="auto"/>
          </w:tcPr>
          <w:p w:rsidR="003369B1" w:rsidRPr="006640F4" w:rsidRDefault="003369B1" w:rsidP="006640F4">
            <w:pPr>
              <w:pStyle w:val="Tabletext"/>
            </w:pPr>
            <w:r w:rsidRPr="006640F4">
              <w:t>the gift must be made after 30</w:t>
            </w:r>
            <w:r w:rsidR="006640F4" w:rsidRPr="006640F4">
              <w:t> </w:t>
            </w:r>
            <w:r w:rsidRPr="006640F4">
              <w:t>June 2019 and before 1</w:t>
            </w:r>
            <w:r w:rsidR="006640F4" w:rsidRPr="006640F4">
              <w:t> </w:t>
            </w:r>
            <w:r w:rsidRPr="006640F4">
              <w:t>July 2025</w:t>
            </w:r>
          </w:p>
        </w:tc>
      </w:tr>
    </w:tbl>
    <w:p w:rsidR="003369B1" w:rsidRPr="006640F4" w:rsidRDefault="003369B1" w:rsidP="006640F4">
      <w:pPr>
        <w:pStyle w:val="ItemHead"/>
        <w:rPr>
          <w:rFonts w:cs="Arial"/>
        </w:rPr>
      </w:pPr>
      <w:r w:rsidRPr="006640F4">
        <w:t>3  In the appropriate position in subsection</w:t>
      </w:r>
      <w:r w:rsidR="006640F4" w:rsidRPr="006640F4">
        <w:t> </w:t>
      </w:r>
      <w:r w:rsidRPr="006640F4">
        <w:t>30</w:t>
      </w:r>
      <w:r w:rsidR="00CB4341">
        <w:rPr>
          <w:rFonts w:cs="Arial"/>
        </w:rPr>
        <w:noBreakHyphen/>
      </w:r>
      <w:r w:rsidRPr="006640F4">
        <w:rPr>
          <w:rFonts w:cs="Arial"/>
        </w:rPr>
        <w:t>50(2)</w:t>
      </w:r>
    </w:p>
    <w:p w:rsidR="003369B1" w:rsidRPr="006640F4" w:rsidRDefault="003369B1" w:rsidP="006640F4">
      <w:pPr>
        <w:pStyle w:val="Item"/>
      </w:pPr>
      <w:r w:rsidRPr="006640F4">
        <w:t>Insert:</w:t>
      </w:r>
    </w:p>
    <w:tbl>
      <w:tblPr>
        <w:tblW w:w="7328" w:type="dxa"/>
        <w:tblInd w:w="9" w:type="dxa"/>
        <w:tblLayout w:type="fixed"/>
        <w:tblLook w:val="0020" w:firstRow="1" w:lastRow="0" w:firstColumn="0" w:lastColumn="0" w:noHBand="0" w:noVBand="0"/>
      </w:tblPr>
      <w:tblGrid>
        <w:gridCol w:w="827"/>
        <w:gridCol w:w="4260"/>
        <w:gridCol w:w="2241"/>
      </w:tblGrid>
      <w:tr w:rsidR="003369B1" w:rsidRPr="006640F4" w:rsidTr="00EB6E69">
        <w:tc>
          <w:tcPr>
            <w:tcW w:w="827" w:type="dxa"/>
            <w:shd w:val="clear" w:color="auto" w:fill="auto"/>
          </w:tcPr>
          <w:p w:rsidR="003369B1" w:rsidRPr="006640F4" w:rsidRDefault="003369B1" w:rsidP="006640F4">
            <w:pPr>
              <w:pStyle w:val="Tabletext"/>
            </w:pPr>
            <w:r w:rsidRPr="006640F4">
              <w:t>5.2.35</w:t>
            </w:r>
          </w:p>
        </w:tc>
        <w:tc>
          <w:tcPr>
            <w:tcW w:w="4260" w:type="dxa"/>
            <w:shd w:val="clear" w:color="auto" w:fill="auto"/>
          </w:tcPr>
          <w:p w:rsidR="003369B1" w:rsidRPr="006640F4" w:rsidRDefault="003369B1" w:rsidP="006640F4">
            <w:pPr>
              <w:pStyle w:val="Tabletext"/>
            </w:pPr>
            <w:r w:rsidRPr="006640F4">
              <w:t>The Headstone Project (Tas) Inc.</w:t>
            </w:r>
          </w:p>
        </w:tc>
        <w:tc>
          <w:tcPr>
            <w:tcW w:w="2241" w:type="dxa"/>
            <w:shd w:val="clear" w:color="auto" w:fill="auto"/>
          </w:tcPr>
          <w:p w:rsidR="003369B1" w:rsidRPr="006640F4" w:rsidRDefault="003369B1" w:rsidP="006640F4">
            <w:pPr>
              <w:pStyle w:val="Tabletext"/>
            </w:pPr>
            <w:r w:rsidRPr="006640F4">
              <w:t>the gift must be made after 30</w:t>
            </w:r>
            <w:r w:rsidR="006640F4" w:rsidRPr="006640F4">
              <w:t> </w:t>
            </w:r>
            <w:r w:rsidRPr="006640F4">
              <w:t>June 2019 and before 1</w:t>
            </w:r>
            <w:r w:rsidR="006640F4" w:rsidRPr="006640F4">
              <w:t> </w:t>
            </w:r>
            <w:r w:rsidRPr="006640F4">
              <w:t>July 2025</w:t>
            </w:r>
          </w:p>
        </w:tc>
      </w:tr>
    </w:tbl>
    <w:p w:rsidR="003369B1" w:rsidRPr="006640F4" w:rsidRDefault="003369B1" w:rsidP="006640F4">
      <w:pPr>
        <w:pStyle w:val="ItemHead"/>
        <w:rPr>
          <w:rFonts w:cs="Arial"/>
        </w:rPr>
      </w:pPr>
      <w:r w:rsidRPr="006640F4">
        <w:t>4  In the appropriate position in section</w:t>
      </w:r>
      <w:r w:rsidR="006640F4" w:rsidRPr="006640F4">
        <w:t> </w:t>
      </w:r>
      <w:r w:rsidRPr="006640F4">
        <w:t>30</w:t>
      </w:r>
      <w:r w:rsidR="00CB4341">
        <w:rPr>
          <w:rFonts w:cs="Arial"/>
        </w:rPr>
        <w:noBreakHyphen/>
      </w:r>
      <w:r w:rsidRPr="006640F4">
        <w:rPr>
          <w:rFonts w:cs="Arial"/>
        </w:rPr>
        <w:t>95</w:t>
      </w:r>
    </w:p>
    <w:p w:rsidR="003369B1" w:rsidRPr="006640F4" w:rsidRDefault="003369B1" w:rsidP="006640F4">
      <w:pPr>
        <w:pStyle w:val="Item"/>
      </w:pPr>
      <w:r w:rsidRPr="006640F4">
        <w:t>Insert:</w:t>
      </w:r>
    </w:p>
    <w:tbl>
      <w:tblPr>
        <w:tblW w:w="7328" w:type="dxa"/>
        <w:tblInd w:w="9" w:type="dxa"/>
        <w:tblLayout w:type="fixed"/>
        <w:tblLook w:val="0020" w:firstRow="1" w:lastRow="0" w:firstColumn="0" w:lastColumn="0" w:noHBand="0" w:noVBand="0"/>
      </w:tblPr>
      <w:tblGrid>
        <w:gridCol w:w="827"/>
        <w:gridCol w:w="4260"/>
        <w:gridCol w:w="2241"/>
      </w:tblGrid>
      <w:tr w:rsidR="003369B1" w:rsidRPr="006640F4" w:rsidTr="00EB6E69">
        <w:tc>
          <w:tcPr>
            <w:tcW w:w="827" w:type="dxa"/>
            <w:shd w:val="clear" w:color="auto" w:fill="auto"/>
          </w:tcPr>
          <w:p w:rsidR="003369B1" w:rsidRPr="006640F4" w:rsidRDefault="003369B1" w:rsidP="006640F4">
            <w:pPr>
              <w:pStyle w:val="Tabletext"/>
            </w:pPr>
            <w:r w:rsidRPr="006640F4">
              <w:t>11.2.13</w:t>
            </w:r>
          </w:p>
        </w:tc>
        <w:tc>
          <w:tcPr>
            <w:tcW w:w="4260" w:type="dxa"/>
            <w:shd w:val="clear" w:color="auto" w:fill="auto"/>
          </w:tcPr>
          <w:p w:rsidR="003369B1" w:rsidRPr="006640F4" w:rsidRDefault="003369B1" w:rsidP="006640F4">
            <w:pPr>
              <w:pStyle w:val="Tabletext"/>
            </w:pPr>
            <w:r w:rsidRPr="006640F4">
              <w:t>Foundation Broken Hill Limited</w:t>
            </w:r>
          </w:p>
        </w:tc>
        <w:tc>
          <w:tcPr>
            <w:tcW w:w="2241" w:type="dxa"/>
            <w:shd w:val="clear" w:color="auto" w:fill="auto"/>
          </w:tcPr>
          <w:p w:rsidR="003369B1" w:rsidRPr="006640F4" w:rsidRDefault="003369B1" w:rsidP="006640F4">
            <w:pPr>
              <w:pStyle w:val="Tabletext"/>
            </w:pPr>
            <w:r w:rsidRPr="006640F4">
              <w:t>the gift must be made after 30</w:t>
            </w:r>
            <w:r w:rsidR="006640F4" w:rsidRPr="006640F4">
              <w:t> </w:t>
            </w:r>
            <w:r w:rsidRPr="006640F4">
              <w:t>June 2019 and before 1</w:t>
            </w:r>
            <w:r w:rsidR="006640F4" w:rsidRPr="006640F4">
              <w:t> </w:t>
            </w:r>
            <w:r w:rsidRPr="006640F4">
              <w:t>July 2025</w:t>
            </w:r>
          </w:p>
        </w:tc>
      </w:tr>
    </w:tbl>
    <w:p w:rsidR="003369B1" w:rsidRPr="006640F4" w:rsidRDefault="003369B1" w:rsidP="006640F4">
      <w:pPr>
        <w:pStyle w:val="ItemHead"/>
        <w:rPr>
          <w:rFonts w:cs="Arial"/>
        </w:rPr>
      </w:pPr>
      <w:r w:rsidRPr="006640F4">
        <w:t>5  In the appropriate position in subsection</w:t>
      </w:r>
      <w:r w:rsidR="006640F4" w:rsidRPr="006640F4">
        <w:t> </w:t>
      </w:r>
      <w:r w:rsidRPr="006640F4">
        <w:t>30</w:t>
      </w:r>
      <w:r w:rsidR="00CB4341">
        <w:rPr>
          <w:rFonts w:cs="Arial"/>
        </w:rPr>
        <w:noBreakHyphen/>
      </w:r>
      <w:r w:rsidRPr="006640F4">
        <w:rPr>
          <w:rFonts w:cs="Arial"/>
        </w:rPr>
        <w:t>100(2)</w:t>
      </w:r>
    </w:p>
    <w:p w:rsidR="003369B1" w:rsidRPr="006640F4" w:rsidRDefault="003369B1" w:rsidP="006640F4">
      <w:pPr>
        <w:pStyle w:val="Item"/>
      </w:pPr>
      <w:r w:rsidRPr="006640F4">
        <w:t>Insert:</w:t>
      </w:r>
    </w:p>
    <w:tbl>
      <w:tblPr>
        <w:tblW w:w="7328" w:type="dxa"/>
        <w:tblInd w:w="9" w:type="dxa"/>
        <w:tblLayout w:type="fixed"/>
        <w:tblLook w:val="0020" w:firstRow="1" w:lastRow="0" w:firstColumn="0" w:lastColumn="0" w:noHBand="0" w:noVBand="0"/>
      </w:tblPr>
      <w:tblGrid>
        <w:gridCol w:w="827"/>
        <w:gridCol w:w="4260"/>
        <w:gridCol w:w="2241"/>
      </w:tblGrid>
      <w:tr w:rsidR="003369B1" w:rsidRPr="006640F4" w:rsidTr="00EB6E69">
        <w:tc>
          <w:tcPr>
            <w:tcW w:w="827" w:type="dxa"/>
            <w:shd w:val="clear" w:color="auto" w:fill="auto"/>
          </w:tcPr>
          <w:p w:rsidR="003369B1" w:rsidRPr="006640F4" w:rsidRDefault="003369B1" w:rsidP="006640F4">
            <w:pPr>
              <w:pStyle w:val="Tabletext"/>
            </w:pPr>
            <w:r w:rsidRPr="006640F4">
              <w:t>12.2.6</w:t>
            </w:r>
          </w:p>
        </w:tc>
        <w:tc>
          <w:tcPr>
            <w:tcW w:w="4260" w:type="dxa"/>
            <w:shd w:val="clear" w:color="auto" w:fill="auto"/>
          </w:tcPr>
          <w:p w:rsidR="003369B1" w:rsidRPr="006640F4" w:rsidRDefault="003369B1" w:rsidP="006640F4">
            <w:pPr>
              <w:pStyle w:val="Tabletext"/>
            </w:pPr>
            <w:r w:rsidRPr="006640F4">
              <w:t>C E W Bean Foundation</w:t>
            </w:r>
          </w:p>
        </w:tc>
        <w:tc>
          <w:tcPr>
            <w:tcW w:w="2241" w:type="dxa"/>
            <w:shd w:val="clear" w:color="auto" w:fill="auto"/>
          </w:tcPr>
          <w:p w:rsidR="003369B1" w:rsidRPr="006640F4" w:rsidRDefault="003369B1" w:rsidP="006640F4">
            <w:pPr>
              <w:pStyle w:val="Tabletext"/>
            </w:pPr>
            <w:r w:rsidRPr="006640F4">
              <w:t>the gift must be made after 30</w:t>
            </w:r>
            <w:r w:rsidR="006640F4" w:rsidRPr="006640F4">
              <w:t> </w:t>
            </w:r>
            <w:r w:rsidRPr="006640F4">
              <w:t>June 2018 and before 1</w:t>
            </w:r>
            <w:r w:rsidR="006640F4" w:rsidRPr="006640F4">
              <w:t> </w:t>
            </w:r>
            <w:r w:rsidRPr="006640F4">
              <w:t>July 2025</w:t>
            </w:r>
          </w:p>
        </w:tc>
      </w:tr>
    </w:tbl>
    <w:p w:rsidR="003369B1" w:rsidRPr="006640F4" w:rsidRDefault="003369B1" w:rsidP="006640F4">
      <w:pPr>
        <w:pStyle w:val="ItemHead"/>
        <w:rPr>
          <w:rFonts w:cs="Arial"/>
        </w:rPr>
      </w:pPr>
      <w:r w:rsidRPr="006640F4">
        <w:t>6  Section</w:t>
      </w:r>
      <w:r w:rsidR="006640F4" w:rsidRPr="006640F4">
        <w:t> </w:t>
      </w:r>
      <w:r w:rsidRPr="006640F4">
        <w:t>30</w:t>
      </w:r>
      <w:r w:rsidR="00CB4341">
        <w:rPr>
          <w:rFonts w:cs="Arial"/>
        </w:rPr>
        <w:noBreakHyphen/>
      </w:r>
      <w:r w:rsidRPr="006640F4">
        <w:rPr>
          <w:rFonts w:cs="Arial"/>
        </w:rPr>
        <w:t>315 (after table item</w:t>
      </w:r>
      <w:r w:rsidR="006640F4" w:rsidRPr="006640F4">
        <w:rPr>
          <w:rFonts w:cs="Arial"/>
        </w:rPr>
        <w:t> </w:t>
      </w:r>
      <w:r w:rsidRPr="006640F4">
        <w:rPr>
          <w:rFonts w:cs="Arial"/>
        </w:rPr>
        <w:t>9B)</w:t>
      </w:r>
    </w:p>
    <w:p w:rsidR="003369B1" w:rsidRPr="006640F4" w:rsidRDefault="003369B1" w:rsidP="006640F4">
      <w:pPr>
        <w:pStyle w:val="Item"/>
      </w:pPr>
      <w:r w:rsidRPr="006640F4">
        <w:t>Insert:</w:t>
      </w:r>
    </w:p>
    <w:tbl>
      <w:tblPr>
        <w:tblW w:w="7328" w:type="dxa"/>
        <w:tblInd w:w="9" w:type="dxa"/>
        <w:tblLayout w:type="fixed"/>
        <w:tblLook w:val="0020" w:firstRow="1" w:lastRow="0" w:firstColumn="0" w:lastColumn="0" w:noHBand="0" w:noVBand="0"/>
      </w:tblPr>
      <w:tblGrid>
        <w:gridCol w:w="827"/>
        <w:gridCol w:w="4260"/>
        <w:gridCol w:w="2241"/>
      </w:tblGrid>
      <w:tr w:rsidR="003369B1" w:rsidRPr="006640F4" w:rsidTr="00EB6E69">
        <w:tc>
          <w:tcPr>
            <w:tcW w:w="827" w:type="dxa"/>
            <w:shd w:val="clear" w:color="auto" w:fill="auto"/>
          </w:tcPr>
          <w:p w:rsidR="003369B1" w:rsidRPr="006640F4" w:rsidRDefault="003369B1" w:rsidP="006640F4">
            <w:pPr>
              <w:pStyle w:val="Tabletext"/>
            </w:pPr>
            <w:r w:rsidRPr="006640F4">
              <w:t>9C</w:t>
            </w:r>
          </w:p>
        </w:tc>
        <w:tc>
          <w:tcPr>
            <w:tcW w:w="4260" w:type="dxa"/>
            <w:shd w:val="clear" w:color="auto" w:fill="auto"/>
          </w:tcPr>
          <w:p w:rsidR="003369B1" w:rsidRPr="006640F4" w:rsidRDefault="003369B1" w:rsidP="006640F4">
            <w:pPr>
              <w:pStyle w:val="Tabletext"/>
            </w:pPr>
            <w:r w:rsidRPr="006640F4">
              <w:t>Australian Academy of Law</w:t>
            </w:r>
          </w:p>
        </w:tc>
        <w:tc>
          <w:tcPr>
            <w:tcW w:w="2241" w:type="dxa"/>
            <w:shd w:val="clear" w:color="auto" w:fill="auto"/>
          </w:tcPr>
          <w:p w:rsidR="003369B1" w:rsidRPr="006640F4" w:rsidRDefault="003369B1" w:rsidP="006640F4">
            <w:pPr>
              <w:pStyle w:val="Tabletext"/>
            </w:pPr>
            <w:r w:rsidRPr="006640F4">
              <w:t>item</w:t>
            </w:r>
            <w:r w:rsidR="006640F4" w:rsidRPr="006640F4">
              <w:t> </w:t>
            </w:r>
            <w:r w:rsidRPr="006640F4">
              <w:t>2.2.49</w:t>
            </w:r>
          </w:p>
        </w:tc>
      </w:tr>
    </w:tbl>
    <w:p w:rsidR="003369B1" w:rsidRPr="006640F4" w:rsidRDefault="003369B1" w:rsidP="006640F4">
      <w:pPr>
        <w:pStyle w:val="ItemHead"/>
        <w:rPr>
          <w:rFonts w:cs="Arial"/>
        </w:rPr>
      </w:pPr>
      <w:r w:rsidRPr="006640F4">
        <w:t>7  Section</w:t>
      </w:r>
      <w:r w:rsidR="006640F4" w:rsidRPr="006640F4">
        <w:t> </w:t>
      </w:r>
      <w:r w:rsidRPr="006640F4">
        <w:t>30</w:t>
      </w:r>
      <w:r w:rsidR="00CB4341">
        <w:rPr>
          <w:rFonts w:cs="Arial"/>
        </w:rPr>
        <w:noBreakHyphen/>
      </w:r>
      <w:r w:rsidRPr="006640F4">
        <w:rPr>
          <w:rFonts w:cs="Arial"/>
        </w:rPr>
        <w:t>315 (</w:t>
      </w:r>
      <w:r w:rsidR="00331800" w:rsidRPr="006640F4">
        <w:rPr>
          <w:rFonts w:cs="Arial"/>
        </w:rPr>
        <w:t xml:space="preserve">cell at </w:t>
      </w:r>
      <w:r w:rsidRPr="006640F4">
        <w:rPr>
          <w:rFonts w:cs="Arial"/>
        </w:rPr>
        <w:t>table item</w:t>
      </w:r>
      <w:r w:rsidR="006640F4" w:rsidRPr="006640F4">
        <w:rPr>
          <w:rFonts w:cs="Arial"/>
        </w:rPr>
        <w:t> </w:t>
      </w:r>
      <w:r w:rsidRPr="006640F4">
        <w:rPr>
          <w:rFonts w:cs="Arial"/>
        </w:rPr>
        <w:t>30AA, column headed “Provision”)</w:t>
      </w:r>
    </w:p>
    <w:p w:rsidR="003369B1" w:rsidRPr="006640F4" w:rsidRDefault="003369B1" w:rsidP="006640F4">
      <w:pPr>
        <w:pStyle w:val="Item"/>
      </w:pPr>
      <w:r w:rsidRPr="006640F4">
        <w:t>Repeal the cell, substitute:</w:t>
      </w:r>
    </w:p>
    <w:p w:rsidR="003369B1" w:rsidRPr="006640F4" w:rsidRDefault="003369B1" w:rsidP="006640F4">
      <w:pPr>
        <w:pStyle w:val="Tabletext"/>
        <w:ind w:left="709"/>
      </w:pPr>
      <w:r w:rsidRPr="006640F4">
        <w:t>items</w:t>
      </w:r>
      <w:r w:rsidR="006640F4" w:rsidRPr="006640F4">
        <w:t> </w:t>
      </w:r>
      <w:r w:rsidRPr="006640F4">
        <w:t>5.2.26 and 12.2.6</w:t>
      </w:r>
    </w:p>
    <w:p w:rsidR="003369B1" w:rsidRPr="006640F4" w:rsidRDefault="003369B1" w:rsidP="006640F4">
      <w:pPr>
        <w:pStyle w:val="ItemHead"/>
        <w:rPr>
          <w:rFonts w:cs="Arial"/>
        </w:rPr>
      </w:pPr>
      <w:r w:rsidRPr="006640F4">
        <w:t>8  Section</w:t>
      </w:r>
      <w:r w:rsidR="006640F4" w:rsidRPr="006640F4">
        <w:t> </w:t>
      </w:r>
      <w:r w:rsidRPr="006640F4">
        <w:t>30</w:t>
      </w:r>
      <w:r w:rsidR="00CB4341">
        <w:rPr>
          <w:rFonts w:cs="Arial"/>
        </w:rPr>
        <w:noBreakHyphen/>
      </w:r>
      <w:r w:rsidRPr="006640F4">
        <w:rPr>
          <w:rFonts w:cs="Arial"/>
        </w:rPr>
        <w:t>315 (after table item</w:t>
      </w:r>
      <w:r w:rsidR="006640F4" w:rsidRPr="006640F4">
        <w:rPr>
          <w:rFonts w:cs="Arial"/>
        </w:rPr>
        <w:t> </w:t>
      </w:r>
      <w:r w:rsidRPr="006640F4">
        <w:rPr>
          <w:rFonts w:cs="Arial"/>
        </w:rPr>
        <w:t>49C)</w:t>
      </w:r>
    </w:p>
    <w:p w:rsidR="003369B1" w:rsidRPr="006640F4" w:rsidRDefault="003369B1" w:rsidP="006640F4">
      <w:pPr>
        <w:pStyle w:val="Item"/>
      </w:pPr>
      <w:r w:rsidRPr="006640F4">
        <w:t>Insert:</w:t>
      </w:r>
    </w:p>
    <w:tbl>
      <w:tblPr>
        <w:tblW w:w="7328" w:type="dxa"/>
        <w:tblInd w:w="9" w:type="dxa"/>
        <w:tblLayout w:type="fixed"/>
        <w:tblLook w:val="0020" w:firstRow="1" w:lastRow="0" w:firstColumn="0" w:lastColumn="0" w:noHBand="0" w:noVBand="0"/>
      </w:tblPr>
      <w:tblGrid>
        <w:gridCol w:w="827"/>
        <w:gridCol w:w="4260"/>
        <w:gridCol w:w="2241"/>
      </w:tblGrid>
      <w:tr w:rsidR="003369B1" w:rsidRPr="006640F4" w:rsidTr="00EB6E69">
        <w:tc>
          <w:tcPr>
            <w:tcW w:w="827" w:type="dxa"/>
            <w:shd w:val="clear" w:color="auto" w:fill="auto"/>
          </w:tcPr>
          <w:p w:rsidR="003369B1" w:rsidRPr="006640F4" w:rsidRDefault="003369B1" w:rsidP="006640F4">
            <w:pPr>
              <w:pStyle w:val="Tabletext"/>
            </w:pPr>
            <w:r w:rsidRPr="006640F4">
              <w:t>49D</w:t>
            </w:r>
          </w:p>
        </w:tc>
        <w:tc>
          <w:tcPr>
            <w:tcW w:w="4260" w:type="dxa"/>
            <w:shd w:val="clear" w:color="auto" w:fill="auto"/>
          </w:tcPr>
          <w:p w:rsidR="003369B1" w:rsidRPr="006640F4" w:rsidRDefault="003369B1" w:rsidP="006640F4">
            <w:pPr>
              <w:pStyle w:val="Tabletext"/>
            </w:pPr>
            <w:r w:rsidRPr="006640F4">
              <w:t>Foundation Broken Hill Limited</w:t>
            </w:r>
          </w:p>
        </w:tc>
        <w:tc>
          <w:tcPr>
            <w:tcW w:w="2241" w:type="dxa"/>
            <w:shd w:val="clear" w:color="auto" w:fill="auto"/>
          </w:tcPr>
          <w:p w:rsidR="003369B1" w:rsidRPr="006640F4" w:rsidRDefault="003369B1" w:rsidP="006640F4">
            <w:pPr>
              <w:pStyle w:val="Tabletext"/>
            </w:pPr>
            <w:r w:rsidRPr="006640F4">
              <w:t>item</w:t>
            </w:r>
            <w:r w:rsidR="006640F4" w:rsidRPr="006640F4">
              <w:t> </w:t>
            </w:r>
            <w:r w:rsidRPr="006640F4">
              <w:t>11.2.13</w:t>
            </w:r>
          </w:p>
        </w:tc>
      </w:tr>
    </w:tbl>
    <w:p w:rsidR="003369B1" w:rsidRPr="006640F4" w:rsidRDefault="003369B1" w:rsidP="006640F4">
      <w:pPr>
        <w:pStyle w:val="ItemHead"/>
        <w:rPr>
          <w:rFonts w:cs="Arial"/>
        </w:rPr>
      </w:pPr>
      <w:r w:rsidRPr="006640F4">
        <w:t>9  Section</w:t>
      </w:r>
      <w:r w:rsidR="006640F4" w:rsidRPr="006640F4">
        <w:t> </w:t>
      </w:r>
      <w:r w:rsidRPr="006640F4">
        <w:t>30</w:t>
      </w:r>
      <w:r w:rsidR="00CB4341">
        <w:rPr>
          <w:rFonts w:cs="Arial"/>
        </w:rPr>
        <w:noBreakHyphen/>
      </w:r>
      <w:r w:rsidRPr="006640F4">
        <w:rPr>
          <w:rFonts w:cs="Arial"/>
        </w:rPr>
        <w:t>315 (after table item</w:t>
      </w:r>
      <w:r w:rsidR="006640F4" w:rsidRPr="006640F4">
        <w:rPr>
          <w:rFonts w:cs="Arial"/>
        </w:rPr>
        <w:t> </w:t>
      </w:r>
      <w:r w:rsidRPr="006640F4">
        <w:rPr>
          <w:rFonts w:cs="Arial"/>
        </w:rPr>
        <w:t>52)</w:t>
      </w:r>
    </w:p>
    <w:p w:rsidR="003369B1" w:rsidRPr="006640F4" w:rsidRDefault="003369B1" w:rsidP="006640F4">
      <w:pPr>
        <w:pStyle w:val="Item"/>
      </w:pPr>
      <w:r w:rsidRPr="006640F4">
        <w:t>Insert:</w:t>
      </w:r>
    </w:p>
    <w:tbl>
      <w:tblPr>
        <w:tblW w:w="7328" w:type="dxa"/>
        <w:tblInd w:w="9" w:type="dxa"/>
        <w:tblLayout w:type="fixed"/>
        <w:tblLook w:val="0020" w:firstRow="1" w:lastRow="0" w:firstColumn="0" w:lastColumn="0" w:noHBand="0" w:noVBand="0"/>
      </w:tblPr>
      <w:tblGrid>
        <w:gridCol w:w="827"/>
        <w:gridCol w:w="4260"/>
        <w:gridCol w:w="2241"/>
      </w:tblGrid>
      <w:tr w:rsidR="003369B1" w:rsidRPr="006640F4" w:rsidTr="00EB6E69">
        <w:tc>
          <w:tcPr>
            <w:tcW w:w="827" w:type="dxa"/>
            <w:shd w:val="clear" w:color="auto" w:fill="auto"/>
          </w:tcPr>
          <w:p w:rsidR="003369B1" w:rsidRPr="006640F4" w:rsidRDefault="003369B1" w:rsidP="006640F4">
            <w:pPr>
              <w:pStyle w:val="Tabletext"/>
            </w:pPr>
            <w:r w:rsidRPr="006640F4">
              <w:t>52AA</w:t>
            </w:r>
          </w:p>
        </w:tc>
        <w:tc>
          <w:tcPr>
            <w:tcW w:w="4260" w:type="dxa"/>
            <w:shd w:val="clear" w:color="auto" w:fill="auto"/>
          </w:tcPr>
          <w:p w:rsidR="003369B1" w:rsidRPr="006640F4" w:rsidRDefault="003369B1" w:rsidP="006640F4">
            <w:pPr>
              <w:pStyle w:val="Tabletext"/>
            </w:pPr>
            <w:r w:rsidRPr="006640F4">
              <w:t>Governor Phillip International Scholarship Trust</w:t>
            </w:r>
          </w:p>
        </w:tc>
        <w:tc>
          <w:tcPr>
            <w:tcW w:w="2241" w:type="dxa"/>
            <w:shd w:val="clear" w:color="auto" w:fill="auto"/>
          </w:tcPr>
          <w:p w:rsidR="003369B1" w:rsidRPr="006640F4" w:rsidRDefault="003369B1" w:rsidP="006640F4">
            <w:pPr>
              <w:pStyle w:val="Tabletext"/>
            </w:pPr>
            <w:r w:rsidRPr="006640F4">
              <w:t>item</w:t>
            </w:r>
            <w:r w:rsidR="006640F4" w:rsidRPr="006640F4">
              <w:t> </w:t>
            </w:r>
            <w:r w:rsidRPr="006640F4">
              <w:t>2.2.47</w:t>
            </w:r>
          </w:p>
        </w:tc>
      </w:tr>
    </w:tbl>
    <w:p w:rsidR="003369B1" w:rsidRPr="006640F4" w:rsidRDefault="003369B1" w:rsidP="006640F4">
      <w:pPr>
        <w:pStyle w:val="ItemHead"/>
        <w:rPr>
          <w:rFonts w:cs="Arial"/>
        </w:rPr>
      </w:pPr>
      <w:r w:rsidRPr="006640F4">
        <w:t>10  Section</w:t>
      </w:r>
      <w:r w:rsidR="006640F4" w:rsidRPr="006640F4">
        <w:t> </w:t>
      </w:r>
      <w:r w:rsidRPr="006640F4">
        <w:t>30</w:t>
      </w:r>
      <w:r w:rsidR="00CB4341">
        <w:rPr>
          <w:rFonts w:cs="Arial"/>
        </w:rPr>
        <w:noBreakHyphen/>
      </w:r>
      <w:r w:rsidRPr="006640F4">
        <w:rPr>
          <w:rFonts w:cs="Arial"/>
        </w:rPr>
        <w:t>315 (after table item</w:t>
      </w:r>
      <w:r w:rsidR="006640F4" w:rsidRPr="006640F4">
        <w:rPr>
          <w:rFonts w:cs="Arial"/>
        </w:rPr>
        <w:t> </w:t>
      </w:r>
      <w:r w:rsidRPr="006640F4">
        <w:rPr>
          <w:rFonts w:cs="Arial"/>
        </w:rPr>
        <w:t>53B)</w:t>
      </w:r>
    </w:p>
    <w:p w:rsidR="003369B1" w:rsidRPr="006640F4" w:rsidRDefault="003369B1" w:rsidP="006640F4">
      <w:pPr>
        <w:pStyle w:val="Item"/>
      </w:pPr>
      <w:r w:rsidRPr="006640F4">
        <w:t>Insert:</w:t>
      </w:r>
    </w:p>
    <w:tbl>
      <w:tblPr>
        <w:tblW w:w="7328" w:type="dxa"/>
        <w:tblInd w:w="9" w:type="dxa"/>
        <w:tblLayout w:type="fixed"/>
        <w:tblLook w:val="0020" w:firstRow="1" w:lastRow="0" w:firstColumn="0" w:lastColumn="0" w:noHBand="0" w:noVBand="0"/>
      </w:tblPr>
      <w:tblGrid>
        <w:gridCol w:w="827"/>
        <w:gridCol w:w="4260"/>
        <w:gridCol w:w="2241"/>
      </w:tblGrid>
      <w:tr w:rsidR="003369B1" w:rsidRPr="006640F4" w:rsidTr="00EB6E69">
        <w:tc>
          <w:tcPr>
            <w:tcW w:w="827" w:type="dxa"/>
            <w:shd w:val="clear" w:color="auto" w:fill="auto"/>
          </w:tcPr>
          <w:p w:rsidR="003369B1" w:rsidRPr="006640F4" w:rsidRDefault="003369B1" w:rsidP="006640F4">
            <w:pPr>
              <w:pStyle w:val="Tabletext"/>
            </w:pPr>
            <w:r w:rsidRPr="006640F4">
              <w:t>53C</w:t>
            </w:r>
          </w:p>
        </w:tc>
        <w:tc>
          <w:tcPr>
            <w:tcW w:w="4260" w:type="dxa"/>
            <w:shd w:val="clear" w:color="auto" w:fill="auto"/>
          </w:tcPr>
          <w:p w:rsidR="003369B1" w:rsidRPr="006640F4" w:rsidRDefault="003369B1" w:rsidP="006640F4">
            <w:pPr>
              <w:pStyle w:val="Tabletext"/>
            </w:pPr>
            <w:r w:rsidRPr="006640F4">
              <w:t>Headstone Project (Tas) Inc.</w:t>
            </w:r>
          </w:p>
        </w:tc>
        <w:tc>
          <w:tcPr>
            <w:tcW w:w="2241" w:type="dxa"/>
            <w:shd w:val="clear" w:color="auto" w:fill="auto"/>
          </w:tcPr>
          <w:p w:rsidR="003369B1" w:rsidRPr="006640F4" w:rsidRDefault="003369B1" w:rsidP="006640F4">
            <w:pPr>
              <w:pStyle w:val="Tabletext"/>
            </w:pPr>
            <w:r w:rsidRPr="006640F4">
              <w:t>item</w:t>
            </w:r>
            <w:r w:rsidR="006640F4" w:rsidRPr="006640F4">
              <w:t> </w:t>
            </w:r>
            <w:r w:rsidRPr="006640F4">
              <w:t>5.2.35</w:t>
            </w:r>
          </w:p>
        </w:tc>
      </w:tr>
    </w:tbl>
    <w:p w:rsidR="003369B1" w:rsidRPr="006640F4" w:rsidRDefault="003369B1" w:rsidP="006640F4">
      <w:pPr>
        <w:pStyle w:val="ItemHead"/>
        <w:rPr>
          <w:rFonts w:cs="Arial"/>
        </w:rPr>
      </w:pPr>
      <w:r w:rsidRPr="006640F4">
        <w:t>11  Section</w:t>
      </w:r>
      <w:r w:rsidR="006640F4" w:rsidRPr="006640F4">
        <w:t> </w:t>
      </w:r>
      <w:r w:rsidRPr="006640F4">
        <w:t>30</w:t>
      </w:r>
      <w:r w:rsidR="00CB4341">
        <w:rPr>
          <w:rFonts w:cs="Arial"/>
        </w:rPr>
        <w:noBreakHyphen/>
      </w:r>
      <w:r w:rsidRPr="006640F4">
        <w:rPr>
          <w:rFonts w:cs="Arial"/>
        </w:rPr>
        <w:t>315 (after table item</w:t>
      </w:r>
      <w:r w:rsidR="006640F4" w:rsidRPr="006640F4">
        <w:rPr>
          <w:rFonts w:cs="Arial"/>
        </w:rPr>
        <w:t> </w:t>
      </w:r>
      <w:r w:rsidRPr="006640F4">
        <w:rPr>
          <w:rFonts w:cs="Arial"/>
        </w:rPr>
        <w:t>56)</w:t>
      </w:r>
    </w:p>
    <w:p w:rsidR="003369B1" w:rsidRPr="006640F4" w:rsidRDefault="003369B1" w:rsidP="006640F4">
      <w:pPr>
        <w:pStyle w:val="Item"/>
      </w:pPr>
      <w:r w:rsidRPr="006640F4">
        <w:t>Insert:</w:t>
      </w:r>
    </w:p>
    <w:tbl>
      <w:tblPr>
        <w:tblW w:w="7328" w:type="dxa"/>
        <w:tblInd w:w="9" w:type="dxa"/>
        <w:tblLayout w:type="fixed"/>
        <w:tblLook w:val="0020" w:firstRow="1" w:lastRow="0" w:firstColumn="0" w:lastColumn="0" w:noHBand="0" w:noVBand="0"/>
      </w:tblPr>
      <w:tblGrid>
        <w:gridCol w:w="827"/>
        <w:gridCol w:w="4260"/>
        <w:gridCol w:w="2241"/>
      </w:tblGrid>
      <w:tr w:rsidR="003369B1" w:rsidRPr="006640F4" w:rsidTr="00EB6E69">
        <w:tc>
          <w:tcPr>
            <w:tcW w:w="827" w:type="dxa"/>
            <w:shd w:val="clear" w:color="auto" w:fill="auto"/>
          </w:tcPr>
          <w:p w:rsidR="003369B1" w:rsidRPr="006640F4" w:rsidRDefault="003369B1" w:rsidP="006640F4">
            <w:pPr>
              <w:pStyle w:val="Tabletext"/>
            </w:pPr>
            <w:r w:rsidRPr="006640F4">
              <w:t>56A</w:t>
            </w:r>
          </w:p>
        </w:tc>
        <w:tc>
          <w:tcPr>
            <w:tcW w:w="4260" w:type="dxa"/>
            <w:shd w:val="clear" w:color="auto" w:fill="auto"/>
          </w:tcPr>
          <w:p w:rsidR="003369B1" w:rsidRPr="006640F4" w:rsidRDefault="003369B1" w:rsidP="006640F4">
            <w:pPr>
              <w:pStyle w:val="Tabletext"/>
            </w:pPr>
            <w:r w:rsidRPr="006640F4">
              <w:t>High Resolves</w:t>
            </w:r>
          </w:p>
        </w:tc>
        <w:tc>
          <w:tcPr>
            <w:tcW w:w="2241" w:type="dxa"/>
            <w:shd w:val="clear" w:color="auto" w:fill="auto"/>
          </w:tcPr>
          <w:p w:rsidR="003369B1" w:rsidRPr="006640F4" w:rsidRDefault="003369B1" w:rsidP="006640F4">
            <w:pPr>
              <w:pStyle w:val="Tabletext"/>
            </w:pPr>
            <w:r w:rsidRPr="006640F4">
              <w:t>item</w:t>
            </w:r>
            <w:r w:rsidR="006640F4" w:rsidRPr="006640F4">
              <w:t> </w:t>
            </w:r>
            <w:r w:rsidRPr="006640F4">
              <w:t>2.2.48</w:t>
            </w:r>
          </w:p>
        </w:tc>
      </w:tr>
    </w:tbl>
    <w:p w:rsidR="003369B1" w:rsidRPr="006640F4" w:rsidRDefault="003369B1" w:rsidP="006640F4">
      <w:pPr>
        <w:pStyle w:val="ItemHead"/>
        <w:rPr>
          <w:rFonts w:cs="Arial"/>
        </w:rPr>
      </w:pPr>
      <w:r w:rsidRPr="006640F4">
        <w:t>12  Section</w:t>
      </w:r>
      <w:r w:rsidR="006640F4" w:rsidRPr="006640F4">
        <w:t> </w:t>
      </w:r>
      <w:r w:rsidRPr="006640F4">
        <w:t>30</w:t>
      </w:r>
      <w:r w:rsidR="00CB4341">
        <w:rPr>
          <w:rFonts w:cs="Arial"/>
        </w:rPr>
        <w:noBreakHyphen/>
      </w:r>
      <w:r w:rsidRPr="006640F4">
        <w:rPr>
          <w:rFonts w:cs="Arial"/>
        </w:rPr>
        <w:t>315 (after table item</w:t>
      </w:r>
      <w:r w:rsidR="006640F4" w:rsidRPr="006640F4">
        <w:rPr>
          <w:rFonts w:cs="Arial"/>
        </w:rPr>
        <w:t> </w:t>
      </w:r>
      <w:r w:rsidRPr="006640F4">
        <w:rPr>
          <w:rFonts w:cs="Arial"/>
        </w:rPr>
        <w:t>72B)</w:t>
      </w:r>
    </w:p>
    <w:p w:rsidR="003369B1" w:rsidRPr="006640F4" w:rsidRDefault="003369B1" w:rsidP="006640F4">
      <w:pPr>
        <w:pStyle w:val="Item"/>
      </w:pPr>
      <w:r w:rsidRPr="006640F4">
        <w:t>Insert:</w:t>
      </w:r>
    </w:p>
    <w:tbl>
      <w:tblPr>
        <w:tblW w:w="7328" w:type="dxa"/>
        <w:tblInd w:w="9" w:type="dxa"/>
        <w:tblLayout w:type="fixed"/>
        <w:tblLook w:val="0020" w:firstRow="1" w:lastRow="0" w:firstColumn="0" w:lastColumn="0" w:noHBand="0" w:noVBand="0"/>
      </w:tblPr>
      <w:tblGrid>
        <w:gridCol w:w="827"/>
        <w:gridCol w:w="4260"/>
        <w:gridCol w:w="2241"/>
      </w:tblGrid>
      <w:tr w:rsidR="003369B1" w:rsidRPr="006640F4" w:rsidTr="00EB6E69">
        <w:tc>
          <w:tcPr>
            <w:tcW w:w="827" w:type="dxa"/>
            <w:shd w:val="clear" w:color="auto" w:fill="auto"/>
          </w:tcPr>
          <w:p w:rsidR="003369B1" w:rsidRPr="006640F4" w:rsidRDefault="003369B1" w:rsidP="006640F4">
            <w:pPr>
              <w:pStyle w:val="Tabletext"/>
            </w:pPr>
            <w:r w:rsidRPr="006640F4">
              <w:t>72BA</w:t>
            </w:r>
          </w:p>
        </w:tc>
        <w:tc>
          <w:tcPr>
            <w:tcW w:w="4260" w:type="dxa"/>
            <w:shd w:val="clear" w:color="auto" w:fill="auto"/>
          </w:tcPr>
          <w:p w:rsidR="003369B1" w:rsidRPr="006640F4" w:rsidRDefault="003369B1" w:rsidP="006640F4">
            <w:pPr>
              <w:pStyle w:val="Tabletext"/>
            </w:pPr>
            <w:r w:rsidRPr="006640F4">
              <w:t>Motherless Daughters Australia Limited</w:t>
            </w:r>
          </w:p>
        </w:tc>
        <w:tc>
          <w:tcPr>
            <w:tcW w:w="2241" w:type="dxa"/>
            <w:shd w:val="clear" w:color="auto" w:fill="auto"/>
          </w:tcPr>
          <w:p w:rsidR="003369B1" w:rsidRPr="006640F4" w:rsidRDefault="003369B1" w:rsidP="006640F4">
            <w:pPr>
              <w:pStyle w:val="Tabletext"/>
            </w:pPr>
            <w:r w:rsidRPr="006640F4">
              <w:t>item</w:t>
            </w:r>
            <w:r w:rsidR="006640F4" w:rsidRPr="006640F4">
              <w:t> </w:t>
            </w:r>
            <w:r w:rsidRPr="006640F4">
              <w:t>4.2.47</w:t>
            </w:r>
          </w:p>
        </w:tc>
      </w:tr>
    </w:tbl>
    <w:p w:rsidR="003369B1" w:rsidRPr="006640F4" w:rsidRDefault="003369B1" w:rsidP="006640F4">
      <w:pPr>
        <w:pStyle w:val="ItemHead"/>
        <w:rPr>
          <w:rFonts w:cs="Arial"/>
        </w:rPr>
      </w:pPr>
      <w:r w:rsidRPr="006640F4">
        <w:t>13  Section</w:t>
      </w:r>
      <w:r w:rsidR="006640F4" w:rsidRPr="006640F4">
        <w:t> </w:t>
      </w:r>
      <w:r w:rsidRPr="006640F4">
        <w:t>30</w:t>
      </w:r>
      <w:r w:rsidR="00CB4341">
        <w:rPr>
          <w:rFonts w:cs="Arial"/>
        </w:rPr>
        <w:noBreakHyphen/>
      </w:r>
      <w:r w:rsidRPr="006640F4">
        <w:rPr>
          <w:rFonts w:cs="Arial"/>
        </w:rPr>
        <w:t>315 (after table item</w:t>
      </w:r>
      <w:r w:rsidR="006640F4" w:rsidRPr="006640F4">
        <w:rPr>
          <w:rFonts w:cs="Arial"/>
        </w:rPr>
        <w:t> </w:t>
      </w:r>
      <w:r w:rsidRPr="006640F4">
        <w:rPr>
          <w:rFonts w:cs="Arial"/>
        </w:rPr>
        <w:t>112AF)</w:t>
      </w:r>
    </w:p>
    <w:p w:rsidR="003369B1" w:rsidRPr="006640F4" w:rsidRDefault="003369B1" w:rsidP="006640F4">
      <w:pPr>
        <w:pStyle w:val="Item"/>
      </w:pPr>
      <w:r w:rsidRPr="006640F4">
        <w:t>Insert:</w:t>
      </w:r>
    </w:p>
    <w:tbl>
      <w:tblPr>
        <w:tblW w:w="7328" w:type="dxa"/>
        <w:tblInd w:w="9" w:type="dxa"/>
        <w:tblLayout w:type="fixed"/>
        <w:tblLook w:val="0020" w:firstRow="1" w:lastRow="0" w:firstColumn="0" w:lastColumn="0" w:noHBand="0" w:noVBand="0"/>
      </w:tblPr>
      <w:tblGrid>
        <w:gridCol w:w="827"/>
        <w:gridCol w:w="4260"/>
        <w:gridCol w:w="2241"/>
      </w:tblGrid>
      <w:tr w:rsidR="003369B1" w:rsidRPr="006640F4" w:rsidTr="00EB6E69">
        <w:tc>
          <w:tcPr>
            <w:tcW w:w="827" w:type="dxa"/>
            <w:shd w:val="clear" w:color="auto" w:fill="auto"/>
          </w:tcPr>
          <w:p w:rsidR="003369B1" w:rsidRPr="006640F4" w:rsidRDefault="003369B1" w:rsidP="006640F4">
            <w:pPr>
              <w:pStyle w:val="Tabletext"/>
            </w:pPr>
            <w:r w:rsidRPr="006640F4">
              <w:t>112AG</w:t>
            </w:r>
          </w:p>
        </w:tc>
        <w:tc>
          <w:tcPr>
            <w:tcW w:w="4260" w:type="dxa"/>
            <w:shd w:val="clear" w:color="auto" w:fill="auto"/>
          </w:tcPr>
          <w:p w:rsidR="003369B1" w:rsidRPr="006640F4" w:rsidRDefault="003369B1" w:rsidP="006640F4">
            <w:pPr>
              <w:pStyle w:val="Tabletext"/>
            </w:pPr>
            <w:r w:rsidRPr="006640F4">
              <w:t>Superannuation Consumers’ Centre Ltd</w:t>
            </w:r>
          </w:p>
        </w:tc>
        <w:tc>
          <w:tcPr>
            <w:tcW w:w="2241" w:type="dxa"/>
            <w:shd w:val="clear" w:color="auto" w:fill="auto"/>
          </w:tcPr>
          <w:p w:rsidR="003369B1" w:rsidRPr="006640F4" w:rsidRDefault="003369B1" w:rsidP="006640F4">
            <w:pPr>
              <w:pStyle w:val="Tabletext"/>
            </w:pPr>
            <w:r w:rsidRPr="006640F4">
              <w:t>item</w:t>
            </w:r>
            <w:r w:rsidR="006640F4" w:rsidRPr="006640F4">
              <w:t> </w:t>
            </w:r>
            <w:r w:rsidRPr="006640F4">
              <w:t>2.2.50</w:t>
            </w:r>
          </w:p>
        </w:tc>
      </w:tr>
    </w:tbl>
    <w:p w:rsidR="00137427" w:rsidRPr="00326B9F" w:rsidRDefault="00137427" w:rsidP="00326B9F">
      <w:pPr>
        <w:pStyle w:val="ActHead6"/>
        <w:pageBreakBefore/>
      </w:pPr>
      <w:bookmarkStart w:id="38" w:name="opcCurrentFind"/>
      <w:bookmarkStart w:id="39" w:name="_Toc50370751"/>
      <w:r w:rsidRPr="00826806">
        <w:rPr>
          <w:rStyle w:val="CharAmSchNo"/>
        </w:rPr>
        <w:t>Schedule 6</w:t>
      </w:r>
      <w:r w:rsidRPr="00326B9F">
        <w:t>—</w:t>
      </w:r>
      <w:r w:rsidRPr="00826806">
        <w:rPr>
          <w:rStyle w:val="CharAmSchText"/>
        </w:rPr>
        <w:t>Tax secrecy</w:t>
      </w:r>
      <w:bookmarkEnd w:id="39"/>
    </w:p>
    <w:bookmarkEnd w:id="38"/>
    <w:p w:rsidR="00137427" w:rsidRPr="00826806" w:rsidRDefault="00137427" w:rsidP="00137427">
      <w:pPr>
        <w:pStyle w:val="Header"/>
      </w:pPr>
      <w:r w:rsidRPr="00826806">
        <w:rPr>
          <w:rStyle w:val="CharAmPartNo"/>
        </w:rPr>
        <w:t xml:space="preserve"> </w:t>
      </w:r>
      <w:r w:rsidRPr="00826806">
        <w:rPr>
          <w:rStyle w:val="CharAmPartText"/>
        </w:rPr>
        <w:t xml:space="preserve"> </w:t>
      </w:r>
    </w:p>
    <w:p w:rsidR="00137427" w:rsidRPr="00826806" w:rsidRDefault="00137427" w:rsidP="00137427">
      <w:pPr>
        <w:pStyle w:val="ActHead9"/>
        <w:rPr>
          <w:i w:val="0"/>
        </w:rPr>
      </w:pPr>
      <w:bookmarkStart w:id="40" w:name="_Toc50370752"/>
      <w:r>
        <w:t>Taxation Administration Act 1953</w:t>
      </w:r>
      <w:bookmarkEnd w:id="40"/>
    </w:p>
    <w:p w:rsidR="00137427" w:rsidRDefault="00137427" w:rsidP="00137427">
      <w:pPr>
        <w:pStyle w:val="ItemHead"/>
      </w:pPr>
      <w:r>
        <w:t>1</w:t>
      </w:r>
      <w:r w:rsidRPr="00AE0123">
        <w:t xml:space="preserve">  Subsection 355</w:t>
      </w:r>
      <w:r w:rsidR="00CB4341">
        <w:noBreakHyphen/>
      </w:r>
      <w:r>
        <w:t>6</w:t>
      </w:r>
      <w:r w:rsidRPr="00AE0123">
        <w:t>5</w:t>
      </w:r>
      <w:r>
        <w:t>(8</w:t>
      </w:r>
      <w:r w:rsidRPr="00AE0123">
        <w:t>) in Schedule 1 (</w:t>
      </w:r>
      <w:r>
        <w:t>before table item 5A)</w:t>
      </w:r>
    </w:p>
    <w:p w:rsidR="00137427" w:rsidRDefault="00137427" w:rsidP="00137427">
      <w:pPr>
        <w:pStyle w:val="Item"/>
      </w:pPr>
      <w:r>
        <w:t>Insert:</w:t>
      </w:r>
    </w:p>
    <w:tbl>
      <w:tblPr>
        <w:tblW w:w="0" w:type="auto"/>
        <w:tblInd w:w="113" w:type="dxa"/>
        <w:tblLayout w:type="fixed"/>
        <w:tblCellMar>
          <w:left w:w="107" w:type="dxa"/>
          <w:right w:w="107" w:type="dxa"/>
        </w:tblCellMar>
        <w:tblLook w:val="0000" w:firstRow="0" w:lastRow="0" w:firstColumn="0" w:lastColumn="0" w:noHBand="0" w:noVBand="0"/>
      </w:tblPr>
      <w:tblGrid>
        <w:gridCol w:w="714"/>
        <w:gridCol w:w="2910"/>
        <w:gridCol w:w="3462"/>
      </w:tblGrid>
      <w:tr w:rsidR="00137427" w:rsidRPr="00763FC8" w:rsidTr="0044753A">
        <w:trPr>
          <w:cantSplit/>
        </w:trPr>
        <w:tc>
          <w:tcPr>
            <w:tcW w:w="714" w:type="dxa"/>
            <w:shd w:val="clear" w:color="auto" w:fill="auto"/>
          </w:tcPr>
          <w:p w:rsidR="00137427" w:rsidRPr="00691BED" w:rsidRDefault="00137427" w:rsidP="0044753A">
            <w:pPr>
              <w:pStyle w:val="Tabletext"/>
            </w:pPr>
            <w:r>
              <w:t>5AB</w:t>
            </w:r>
          </w:p>
        </w:tc>
        <w:tc>
          <w:tcPr>
            <w:tcW w:w="2910" w:type="dxa"/>
            <w:shd w:val="clear" w:color="auto" w:fill="auto"/>
          </w:tcPr>
          <w:p w:rsidR="00137427" w:rsidRPr="00691BED" w:rsidRDefault="00137427" w:rsidP="0044753A">
            <w:pPr>
              <w:pStyle w:val="Tablea"/>
            </w:pPr>
            <w:r w:rsidRPr="00691BED">
              <w:t xml:space="preserve">(a) </w:t>
            </w:r>
            <w:r w:rsidRPr="00252200">
              <w:t xml:space="preserve">the Fair Work </w:t>
            </w:r>
            <w:r>
              <w:t>Commission</w:t>
            </w:r>
            <w:r w:rsidRPr="00252200">
              <w:t xml:space="preserve"> (within the meaning of the </w:t>
            </w:r>
            <w:r w:rsidRPr="00252200">
              <w:rPr>
                <w:i/>
              </w:rPr>
              <w:t>Fair Work Act 2009</w:t>
            </w:r>
            <w:r w:rsidRPr="00252200">
              <w:t>)</w:t>
            </w:r>
            <w:r>
              <w:t>; or</w:t>
            </w:r>
          </w:p>
          <w:p w:rsidR="00137427" w:rsidRPr="00691BED" w:rsidRDefault="00137427" w:rsidP="0044753A">
            <w:pPr>
              <w:pStyle w:val="Tablea"/>
            </w:pPr>
            <w:r w:rsidRPr="00691BED">
              <w:t xml:space="preserve">(b) </w:t>
            </w:r>
            <w:r>
              <w:t>t</w:t>
            </w:r>
            <w:r w:rsidRPr="00252200">
              <w:t>he Fair Work Ombudsman (within the meaning of th</w:t>
            </w:r>
            <w:r>
              <w:t>at Act</w:t>
            </w:r>
            <w:r w:rsidRPr="00252200">
              <w:t>)</w:t>
            </w:r>
          </w:p>
        </w:tc>
        <w:tc>
          <w:tcPr>
            <w:tcW w:w="3462" w:type="dxa"/>
            <w:shd w:val="clear" w:color="auto" w:fill="auto"/>
          </w:tcPr>
          <w:p w:rsidR="00137427" w:rsidRPr="00691BED" w:rsidRDefault="00137427" w:rsidP="0044753A">
            <w:pPr>
              <w:pStyle w:val="Tablea"/>
            </w:pPr>
            <w:r w:rsidRPr="00691BED">
              <w:t xml:space="preserve">(a) is of information that </w:t>
            </w:r>
            <w:r>
              <w:t xml:space="preserve">relates to the jobkeeper scheme (within the meaning of the </w:t>
            </w:r>
            <w:r w:rsidRPr="008630DF">
              <w:rPr>
                <w:i/>
              </w:rPr>
              <w:t>Coronavirus Economic Response Package (Payments and Benefits) Rules 2020</w:t>
            </w:r>
            <w:r>
              <w:t>)</w:t>
            </w:r>
            <w:r w:rsidRPr="00691BED">
              <w:t>; and</w:t>
            </w:r>
          </w:p>
          <w:p w:rsidR="00137427" w:rsidRPr="00691BED" w:rsidRDefault="00137427" w:rsidP="0044753A">
            <w:pPr>
              <w:pStyle w:val="Tablea"/>
            </w:pPr>
            <w:r w:rsidRPr="00691BED">
              <w:t xml:space="preserve">(b) is for the purpose </w:t>
            </w:r>
            <w:r>
              <w:t xml:space="preserve">of administering the </w:t>
            </w:r>
            <w:r w:rsidRPr="00252200">
              <w:rPr>
                <w:i/>
              </w:rPr>
              <w:t>Fair Work Act 2009</w:t>
            </w:r>
            <w:r w:rsidRPr="00691BED">
              <w:t>.</w:t>
            </w:r>
          </w:p>
        </w:tc>
      </w:tr>
    </w:tbl>
    <w:p w:rsidR="00137427" w:rsidRDefault="00137427" w:rsidP="00137427">
      <w:pPr>
        <w:pStyle w:val="Transitional"/>
      </w:pPr>
      <w:r>
        <w:t>2</w:t>
      </w:r>
      <w:r w:rsidRPr="00AE0123">
        <w:t xml:space="preserve">  </w:t>
      </w:r>
      <w:r>
        <w:t>Application</w:t>
      </w:r>
    </w:p>
    <w:p w:rsidR="00137427" w:rsidRDefault="00137427" w:rsidP="00137427">
      <w:pPr>
        <w:pStyle w:val="Item"/>
      </w:pPr>
      <w:r>
        <w:t>The amendment m</w:t>
      </w:r>
      <w:r w:rsidRPr="00671991">
        <w:t>ade by</w:t>
      </w:r>
      <w:r>
        <w:t xml:space="preserve"> item 1 of</w:t>
      </w:r>
      <w:r w:rsidRPr="00671991">
        <w:t xml:space="preserve"> this Schedule applies in relation to records and disclosures of information made at or</w:t>
      </w:r>
      <w:r>
        <w:t xml:space="preserve"> after the commencement of that item</w:t>
      </w:r>
      <w:r w:rsidRPr="00671991">
        <w:t>, whether the information was obtained before, at or after the commencement of th</w:t>
      </w:r>
      <w:r>
        <w:t>at item</w:t>
      </w:r>
      <w:r w:rsidRPr="00671991">
        <w:t>.</w:t>
      </w:r>
    </w:p>
    <w:p w:rsidR="00137427" w:rsidRPr="006640F4" w:rsidRDefault="00137427" w:rsidP="006640F4">
      <w:pPr>
        <w:sectPr w:rsidR="00137427" w:rsidRPr="006640F4" w:rsidSect="002E36F5">
          <w:headerReference w:type="even" r:id="rId28"/>
          <w:headerReference w:type="default" r:id="rId29"/>
          <w:footerReference w:type="even" r:id="rId30"/>
          <w:footerReference w:type="default" r:id="rId31"/>
          <w:headerReference w:type="first" r:id="rId32"/>
          <w:footerReference w:type="first" r:id="rId33"/>
          <w:pgSz w:w="11907" w:h="16839" w:code="9"/>
          <w:pgMar w:top="1871" w:right="2409" w:bottom="4252" w:left="2409" w:header="720" w:footer="3402" w:gutter="0"/>
          <w:cols w:space="720"/>
          <w:docGrid w:linePitch="299"/>
        </w:sectPr>
      </w:pPr>
    </w:p>
    <w:p w:rsidR="008F32F2" w:rsidRPr="00752B99" w:rsidRDefault="008F32F2" w:rsidP="002E36F5">
      <w:bookmarkStart w:id="41" w:name="BK_S5P28L5C1"/>
      <w:bookmarkStart w:id="42" w:name="BK_S5P29L20C1"/>
      <w:bookmarkEnd w:id="41"/>
      <w:bookmarkEnd w:id="42"/>
    </w:p>
    <w:p w:rsidR="00937CF5" w:rsidRDefault="00937CF5" w:rsidP="00937CF5">
      <w:pPr>
        <w:pStyle w:val="AssentBk"/>
        <w:keepNext/>
      </w:pPr>
    </w:p>
    <w:p w:rsidR="00937CF5" w:rsidRDefault="00937CF5" w:rsidP="00937CF5">
      <w:pPr>
        <w:pStyle w:val="AssentBk"/>
        <w:keepNext/>
      </w:pPr>
    </w:p>
    <w:p w:rsidR="00937CF5" w:rsidRDefault="00937CF5" w:rsidP="00937CF5">
      <w:pPr>
        <w:pStyle w:val="2ndRd"/>
        <w:keepNext/>
        <w:pBdr>
          <w:top w:val="single" w:sz="2" w:space="1" w:color="auto"/>
        </w:pBdr>
      </w:pPr>
    </w:p>
    <w:p w:rsidR="00937CF5" w:rsidRDefault="00937CF5" w:rsidP="000C5962">
      <w:pPr>
        <w:pStyle w:val="2ndRd"/>
        <w:keepNext/>
        <w:spacing w:line="260" w:lineRule="atLeast"/>
        <w:rPr>
          <w:i/>
        </w:rPr>
      </w:pPr>
      <w:r>
        <w:t>[</w:t>
      </w:r>
      <w:r>
        <w:rPr>
          <w:i/>
        </w:rPr>
        <w:t>Minister’s second reading speech made in—</w:t>
      </w:r>
    </w:p>
    <w:p w:rsidR="00937CF5" w:rsidRDefault="00937CF5" w:rsidP="000C5962">
      <w:pPr>
        <w:pStyle w:val="2ndRd"/>
        <w:keepNext/>
        <w:spacing w:line="260" w:lineRule="atLeast"/>
        <w:rPr>
          <w:i/>
        </w:rPr>
      </w:pPr>
      <w:r>
        <w:rPr>
          <w:i/>
        </w:rPr>
        <w:t>House of Representatives on 13 May 2020</w:t>
      </w:r>
    </w:p>
    <w:p w:rsidR="00937CF5" w:rsidRDefault="00937CF5" w:rsidP="000C5962">
      <w:pPr>
        <w:pStyle w:val="2ndRd"/>
        <w:keepNext/>
        <w:spacing w:line="260" w:lineRule="atLeast"/>
        <w:rPr>
          <w:i/>
        </w:rPr>
      </w:pPr>
      <w:r>
        <w:rPr>
          <w:i/>
        </w:rPr>
        <w:t>Senate on 17 June 2020</w:t>
      </w:r>
      <w:r>
        <w:t>]</w:t>
      </w:r>
    </w:p>
    <w:p w:rsidR="00937CF5" w:rsidRDefault="00937CF5" w:rsidP="00937CF5">
      <w:pPr>
        <w:framePr w:hSpace="180" w:wrap="around" w:vAnchor="text" w:hAnchor="page" w:x="2349" w:y="3176"/>
      </w:pPr>
      <w:r>
        <w:t>(41/20)</w:t>
      </w:r>
    </w:p>
    <w:p w:rsidR="00937CF5" w:rsidRDefault="00937CF5"/>
    <w:sectPr w:rsidR="00937CF5" w:rsidSect="002E36F5">
      <w:headerReference w:type="even" r:id="rId34"/>
      <w:headerReference w:type="default" r:id="rId35"/>
      <w:footerReference w:type="even" r:id="rId36"/>
      <w:footerReference w:type="default" r:id="rId37"/>
      <w:headerReference w:type="first" r:id="rId38"/>
      <w:footerReference w:type="first" r:id="rId39"/>
      <w:type w:val="continuous"/>
      <w:pgSz w:w="11907" w:h="16839" w:code="9"/>
      <w:pgMar w:top="2381" w:right="2410" w:bottom="4253" w:left="2410" w:header="720" w:footer="340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36F" w:rsidRDefault="005D036F" w:rsidP="00715914">
      <w:pPr>
        <w:spacing w:line="240" w:lineRule="auto"/>
      </w:pPr>
      <w:r>
        <w:separator/>
      </w:r>
    </w:p>
  </w:endnote>
  <w:endnote w:type="continuationSeparator" w:id="0">
    <w:p w:rsidR="005D036F" w:rsidRDefault="005D036F"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embedRegular r:id="rId1" w:subsetted="1" w:fontKey="{06D19AA3-191A-4912-A2AB-B1C4745CC6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64" w:rsidRPr="005F1388" w:rsidRDefault="009C6964" w:rsidP="009C6964">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6F" w:rsidRDefault="005D036F" w:rsidP="006640F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D036F" w:rsidTr="00EB6E69">
      <w:tc>
        <w:tcPr>
          <w:tcW w:w="1247" w:type="dxa"/>
        </w:tcPr>
        <w:p w:rsidR="005D036F" w:rsidRDefault="005D036F" w:rsidP="00EB6E6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125EC">
            <w:rPr>
              <w:i/>
              <w:sz w:val="18"/>
            </w:rPr>
            <w:t>No. 79, 2020</w:t>
          </w:r>
          <w:r w:rsidRPr="00ED79B6">
            <w:rPr>
              <w:i/>
              <w:sz w:val="18"/>
            </w:rPr>
            <w:fldChar w:fldCharType="end"/>
          </w:r>
        </w:p>
      </w:tc>
      <w:tc>
        <w:tcPr>
          <w:tcW w:w="5387" w:type="dxa"/>
        </w:tcPr>
        <w:p w:rsidR="005D036F" w:rsidRDefault="005D036F" w:rsidP="00EB6E69">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125EC">
            <w:rPr>
              <w:i/>
              <w:sz w:val="18"/>
            </w:rPr>
            <w:t>Treasury Laws Amendment (2020 Measures No. 2) Act 2020</w:t>
          </w:r>
          <w:r w:rsidRPr="00ED79B6">
            <w:rPr>
              <w:i/>
              <w:sz w:val="18"/>
            </w:rPr>
            <w:fldChar w:fldCharType="end"/>
          </w:r>
        </w:p>
      </w:tc>
      <w:tc>
        <w:tcPr>
          <w:tcW w:w="669" w:type="dxa"/>
        </w:tcPr>
        <w:p w:rsidR="005D036F" w:rsidRDefault="005D036F" w:rsidP="00EB6E6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125EC">
            <w:rPr>
              <w:i/>
              <w:noProof/>
              <w:sz w:val="18"/>
            </w:rPr>
            <w:t>29</w:t>
          </w:r>
          <w:r w:rsidRPr="00ED79B6">
            <w:rPr>
              <w:i/>
              <w:sz w:val="18"/>
            </w:rPr>
            <w:fldChar w:fldCharType="end"/>
          </w:r>
        </w:p>
      </w:tc>
    </w:tr>
  </w:tbl>
  <w:p w:rsidR="005D036F" w:rsidRPr="00ED79B6" w:rsidRDefault="005D036F" w:rsidP="00E853EA">
    <w:pPr>
      <w:rPr>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6F" w:rsidRPr="00ED79B6" w:rsidRDefault="005D036F" w:rsidP="006640F4">
    <w:pPr>
      <w:pStyle w:val="Footer"/>
      <w:tabs>
        <w:tab w:val="clear" w:pos="4153"/>
        <w:tab w:val="clear" w:pos="8306"/>
        <w:tab w:val="center" w:pos="4150"/>
        <w:tab w:val="right" w:pos="8307"/>
      </w:tabs>
      <w:spacing w:before="12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6F" w:rsidRDefault="005D036F" w:rsidP="006640F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D036F" w:rsidTr="00EB6E69">
      <w:tc>
        <w:tcPr>
          <w:tcW w:w="646" w:type="dxa"/>
        </w:tcPr>
        <w:p w:rsidR="005D036F" w:rsidRDefault="005D036F" w:rsidP="00EB6E6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125EC">
            <w:rPr>
              <w:i/>
              <w:noProof/>
              <w:sz w:val="18"/>
            </w:rPr>
            <w:t>29</w:t>
          </w:r>
          <w:r w:rsidRPr="00ED79B6">
            <w:rPr>
              <w:i/>
              <w:sz w:val="18"/>
            </w:rPr>
            <w:fldChar w:fldCharType="end"/>
          </w:r>
        </w:p>
      </w:tc>
      <w:tc>
        <w:tcPr>
          <w:tcW w:w="5387" w:type="dxa"/>
        </w:tcPr>
        <w:p w:rsidR="005D036F" w:rsidRDefault="005D036F" w:rsidP="00EB6E69">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125EC">
            <w:rPr>
              <w:i/>
              <w:sz w:val="18"/>
            </w:rPr>
            <w:t>Treasury Laws Amendment (2020 Measures No. 2) Act 2020</w:t>
          </w:r>
          <w:r w:rsidRPr="00ED79B6">
            <w:rPr>
              <w:i/>
              <w:sz w:val="18"/>
            </w:rPr>
            <w:fldChar w:fldCharType="end"/>
          </w:r>
        </w:p>
      </w:tc>
      <w:tc>
        <w:tcPr>
          <w:tcW w:w="1270" w:type="dxa"/>
        </w:tcPr>
        <w:p w:rsidR="005D036F" w:rsidRDefault="005D036F" w:rsidP="00EB6E6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125EC">
            <w:rPr>
              <w:i/>
              <w:sz w:val="18"/>
            </w:rPr>
            <w:t>No. 79, 2020</w:t>
          </w:r>
          <w:r w:rsidRPr="00ED79B6">
            <w:rPr>
              <w:i/>
              <w:sz w:val="18"/>
            </w:rPr>
            <w:fldChar w:fldCharType="end"/>
          </w:r>
        </w:p>
      </w:tc>
    </w:tr>
  </w:tbl>
  <w:p w:rsidR="005D036F" w:rsidRDefault="005D036F" w:rsidP="00E853EA"/>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6F" w:rsidRDefault="005D036F" w:rsidP="006640F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D036F" w:rsidTr="00EB6E69">
      <w:tc>
        <w:tcPr>
          <w:tcW w:w="1247" w:type="dxa"/>
        </w:tcPr>
        <w:p w:rsidR="005D036F" w:rsidRDefault="005D036F" w:rsidP="00EB6E69">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125EC">
            <w:rPr>
              <w:i/>
              <w:sz w:val="18"/>
            </w:rPr>
            <w:t>No. 79, 2020</w:t>
          </w:r>
          <w:r w:rsidRPr="00ED79B6">
            <w:rPr>
              <w:i/>
              <w:sz w:val="18"/>
            </w:rPr>
            <w:fldChar w:fldCharType="end"/>
          </w:r>
        </w:p>
      </w:tc>
      <w:tc>
        <w:tcPr>
          <w:tcW w:w="5387" w:type="dxa"/>
        </w:tcPr>
        <w:p w:rsidR="005D036F" w:rsidRDefault="005D036F" w:rsidP="00EB6E69">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125EC">
            <w:rPr>
              <w:i/>
              <w:sz w:val="18"/>
            </w:rPr>
            <w:t>Treasury Laws Amendment (2020 Measures No. 2) Act 2020</w:t>
          </w:r>
          <w:r w:rsidRPr="00ED79B6">
            <w:rPr>
              <w:i/>
              <w:sz w:val="18"/>
            </w:rPr>
            <w:fldChar w:fldCharType="end"/>
          </w:r>
        </w:p>
      </w:tc>
      <w:tc>
        <w:tcPr>
          <w:tcW w:w="669" w:type="dxa"/>
        </w:tcPr>
        <w:p w:rsidR="005D036F" w:rsidRDefault="005D036F" w:rsidP="00EB6E69">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125EC">
            <w:rPr>
              <w:i/>
              <w:noProof/>
              <w:sz w:val="18"/>
            </w:rPr>
            <w:t>29</w:t>
          </w:r>
          <w:r w:rsidRPr="00ED79B6">
            <w:rPr>
              <w:i/>
              <w:sz w:val="18"/>
            </w:rPr>
            <w:fldChar w:fldCharType="end"/>
          </w:r>
        </w:p>
      </w:tc>
    </w:tr>
  </w:tbl>
  <w:p w:rsidR="005D036F" w:rsidRPr="00ED79B6" w:rsidRDefault="005D036F" w:rsidP="00E853EA">
    <w:pPr>
      <w:rPr>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6F" w:rsidRPr="00ED79B6" w:rsidRDefault="005D036F" w:rsidP="006640F4">
    <w:pPr>
      <w:pStyle w:val="Footer"/>
      <w:tabs>
        <w:tab w:val="clear" w:pos="4153"/>
        <w:tab w:val="clear" w:pos="8306"/>
        <w:tab w:val="center" w:pos="4150"/>
        <w:tab w:val="right" w:pos="8307"/>
      </w:tabs>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CF5" w:rsidRDefault="00937CF5" w:rsidP="00CD12A5">
    <w:pPr>
      <w:pStyle w:val="ScalePlusRef"/>
    </w:pPr>
    <w:r>
      <w:t>Note: An electronic version of this Act is available on the Federal Register of Legislation (</w:t>
    </w:r>
    <w:hyperlink r:id="rId1" w:history="1">
      <w:r>
        <w:t>https://www.legislation.gov.au/</w:t>
      </w:r>
    </w:hyperlink>
    <w:r>
      <w:t>)</w:t>
    </w:r>
  </w:p>
  <w:p w:rsidR="00937CF5" w:rsidRDefault="00937CF5" w:rsidP="00CD12A5"/>
  <w:p w:rsidR="009C6964" w:rsidRDefault="009C6964" w:rsidP="009C6964">
    <w:pPr>
      <w:pStyle w:val="Footer"/>
      <w:spacing w:before="120"/>
    </w:pPr>
  </w:p>
  <w:p w:rsidR="009C6964" w:rsidRPr="005F1388" w:rsidRDefault="009C6964" w:rsidP="009C6964">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64" w:rsidRPr="00ED79B6" w:rsidRDefault="009C6964" w:rsidP="009C6964">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64" w:rsidRDefault="009C6964" w:rsidP="009C696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C6964" w:rsidTr="000E4A0D">
      <w:tc>
        <w:tcPr>
          <w:tcW w:w="646" w:type="dxa"/>
        </w:tcPr>
        <w:p w:rsidR="009C6964" w:rsidRDefault="009C6964" w:rsidP="000E4A0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125EC">
            <w:rPr>
              <w:i/>
              <w:noProof/>
              <w:sz w:val="18"/>
            </w:rPr>
            <w:t>xxix</w:t>
          </w:r>
          <w:r w:rsidRPr="00ED79B6">
            <w:rPr>
              <w:i/>
              <w:sz w:val="18"/>
            </w:rPr>
            <w:fldChar w:fldCharType="end"/>
          </w:r>
        </w:p>
      </w:tc>
      <w:tc>
        <w:tcPr>
          <w:tcW w:w="5387" w:type="dxa"/>
        </w:tcPr>
        <w:p w:rsidR="009C6964" w:rsidRDefault="009C6964" w:rsidP="000E4A0D">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125EC">
            <w:rPr>
              <w:i/>
              <w:sz w:val="18"/>
            </w:rPr>
            <w:t>Treasury Laws Amendment (2020 Measures No. 2) Act 2020</w:t>
          </w:r>
          <w:r w:rsidRPr="00ED79B6">
            <w:rPr>
              <w:i/>
              <w:sz w:val="18"/>
            </w:rPr>
            <w:fldChar w:fldCharType="end"/>
          </w:r>
        </w:p>
      </w:tc>
      <w:tc>
        <w:tcPr>
          <w:tcW w:w="1270" w:type="dxa"/>
        </w:tcPr>
        <w:p w:rsidR="009C6964" w:rsidRDefault="009C6964" w:rsidP="000E4A0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125EC">
            <w:rPr>
              <w:i/>
              <w:sz w:val="18"/>
            </w:rPr>
            <w:t>No. 79, 2020</w:t>
          </w:r>
          <w:r w:rsidRPr="00ED79B6">
            <w:rPr>
              <w:i/>
              <w:sz w:val="18"/>
            </w:rPr>
            <w:fldChar w:fldCharType="end"/>
          </w:r>
        </w:p>
      </w:tc>
    </w:tr>
  </w:tbl>
  <w:p w:rsidR="009C6964" w:rsidRDefault="009C6964" w:rsidP="009C696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64" w:rsidRDefault="009C6964" w:rsidP="009C696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C6964" w:rsidTr="000E4A0D">
      <w:tc>
        <w:tcPr>
          <w:tcW w:w="1247" w:type="dxa"/>
        </w:tcPr>
        <w:p w:rsidR="009C6964" w:rsidRDefault="009C6964" w:rsidP="000E4A0D">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125EC">
            <w:rPr>
              <w:i/>
              <w:sz w:val="18"/>
            </w:rPr>
            <w:t>No. 79, 2020</w:t>
          </w:r>
          <w:r w:rsidRPr="00ED79B6">
            <w:rPr>
              <w:i/>
              <w:sz w:val="18"/>
            </w:rPr>
            <w:fldChar w:fldCharType="end"/>
          </w:r>
        </w:p>
      </w:tc>
      <w:tc>
        <w:tcPr>
          <w:tcW w:w="5387" w:type="dxa"/>
        </w:tcPr>
        <w:p w:rsidR="009C6964" w:rsidRDefault="009C6964" w:rsidP="000E4A0D">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125EC">
            <w:rPr>
              <w:i/>
              <w:sz w:val="18"/>
            </w:rPr>
            <w:t>Treasury Laws Amendment (2020 Measures No. 2) Act 2020</w:t>
          </w:r>
          <w:r w:rsidRPr="00ED79B6">
            <w:rPr>
              <w:i/>
              <w:sz w:val="18"/>
            </w:rPr>
            <w:fldChar w:fldCharType="end"/>
          </w:r>
        </w:p>
      </w:tc>
      <w:tc>
        <w:tcPr>
          <w:tcW w:w="669" w:type="dxa"/>
        </w:tcPr>
        <w:p w:rsidR="009C6964" w:rsidRDefault="009C6964" w:rsidP="000E4A0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125EC">
            <w:rPr>
              <w:i/>
              <w:noProof/>
              <w:sz w:val="18"/>
            </w:rPr>
            <w:t>i</w:t>
          </w:r>
          <w:r w:rsidRPr="00ED79B6">
            <w:rPr>
              <w:i/>
              <w:sz w:val="18"/>
            </w:rPr>
            <w:fldChar w:fldCharType="end"/>
          </w:r>
        </w:p>
      </w:tc>
    </w:tr>
  </w:tbl>
  <w:p w:rsidR="009C6964" w:rsidRPr="00ED79B6" w:rsidRDefault="009C6964" w:rsidP="009C6964">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64" w:rsidRPr="00A961C4" w:rsidRDefault="009C6964" w:rsidP="009C6964">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9C6964" w:rsidTr="00826806">
      <w:tc>
        <w:tcPr>
          <w:tcW w:w="646" w:type="dxa"/>
        </w:tcPr>
        <w:p w:rsidR="009C6964" w:rsidRDefault="009C6964" w:rsidP="000E4A0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125EC">
            <w:rPr>
              <w:i/>
              <w:noProof/>
              <w:sz w:val="18"/>
            </w:rPr>
            <w:t>2</w:t>
          </w:r>
          <w:r w:rsidRPr="007A1328">
            <w:rPr>
              <w:i/>
              <w:sz w:val="18"/>
            </w:rPr>
            <w:fldChar w:fldCharType="end"/>
          </w:r>
        </w:p>
      </w:tc>
      <w:tc>
        <w:tcPr>
          <w:tcW w:w="5387" w:type="dxa"/>
        </w:tcPr>
        <w:p w:rsidR="009C6964" w:rsidRDefault="009C6964" w:rsidP="000E4A0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125EC">
            <w:rPr>
              <w:i/>
              <w:sz w:val="18"/>
            </w:rPr>
            <w:t>Treasury Laws Amendment (2020 Measures No. 2) Act 2020</w:t>
          </w:r>
          <w:r w:rsidRPr="007A1328">
            <w:rPr>
              <w:i/>
              <w:sz w:val="18"/>
            </w:rPr>
            <w:fldChar w:fldCharType="end"/>
          </w:r>
        </w:p>
      </w:tc>
      <w:tc>
        <w:tcPr>
          <w:tcW w:w="1270" w:type="dxa"/>
        </w:tcPr>
        <w:p w:rsidR="009C6964" w:rsidRDefault="009C6964" w:rsidP="000E4A0D">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125EC">
            <w:rPr>
              <w:i/>
              <w:sz w:val="18"/>
            </w:rPr>
            <w:t>No. 79, 2020</w:t>
          </w:r>
          <w:r w:rsidRPr="007A1328">
            <w:rPr>
              <w:i/>
              <w:sz w:val="18"/>
            </w:rPr>
            <w:fldChar w:fldCharType="end"/>
          </w:r>
        </w:p>
      </w:tc>
    </w:tr>
  </w:tbl>
  <w:p w:rsidR="009C6964" w:rsidRPr="00A961C4" w:rsidRDefault="009C6964" w:rsidP="009C6964">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64" w:rsidRPr="00A961C4" w:rsidRDefault="009C6964" w:rsidP="009C696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9C6964" w:rsidTr="00826806">
      <w:tc>
        <w:tcPr>
          <w:tcW w:w="1247" w:type="dxa"/>
        </w:tcPr>
        <w:p w:rsidR="009C6964" w:rsidRDefault="009C6964" w:rsidP="000E4A0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125EC">
            <w:rPr>
              <w:i/>
              <w:sz w:val="18"/>
            </w:rPr>
            <w:t>No. 79, 2020</w:t>
          </w:r>
          <w:r w:rsidRPr="007A1328">
            <w:rPr>
              <w:i/>
              <w:sz w:val="18"/>
            </w:rPr>
            <w:fldChar w:fldCharType="end"/>
          </w:r>
        </w:p>
      </w:tc>
      <w:tc>
        <w:tcPr>
          <w:tcW w:w="5387" w:type="dxa"/>
        </w:tcPr>
        <w:p w:rsidR="009C6964" w:rsidRDefault="009C6964" w:rsidP="000E4A0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125EC">
            <w:rPr>
              <w:i/>
              <w:sz w:val="18"/>
            </w:rPr>
            <w:t>Treasury Laws Amendment (2020 Measures No. 2) Act 2020</w:t>
          </w:r>
          <w:r w:rsidRPr="007A1328">
            <w:rPr>
              <w:i/>
              <w:sz w:val="18"/>
            </w:rPr>
            <w:fldChar w:fldCharType="end"/>
          </w:r>
        </w:p>
      </w:tc>
      <w:tc>
        <w:tcPr>
          <w:tcW w:w="669" w:type="dxa"/>
        </w:tcPr>
        <w:p w:rsidR="009C6964" w:rsidRDefault="009C6964" w:rsidP="000E4A0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125EC">
            <w:rPr>
              <w:i/>
              <w:noProof/>
              <w:sz w:val="18"/>
            </w:rPr>
            <w:t>29</w:t>
          </w:r>
          <w:r w:rsidRPr="007A1328">
            <w:rPr>
              <w:i/>
              <w:sz w:val="18"/>
            </w:rPr>
            <w:fldChar w:fldCharType="end"/>
          </w:r>
        </w:p>
      </w:tc>
    </w:tr>
  </w:tbl>
  <w:p w:rsidR="009C6964" w:rsidRPr="00055B5C" w:rsidRDefault="009C6964" w:rsidP="009C696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64" w:rsidRPr="00A961C4" w:rsidRDefault="009C6964" w:rsidP="009C696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9C6964" w:rsidTr="00826806">
      <w:tc>
        <w:tcPr>
          <w:tcW w:w="1247" w:type="dxa"/>
        </w:tcPr>
        <w:p w:rsidR="009C6964" w:rsidRDefault="009C6964" w:rsidP="000E4A0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1125EC">
            <w:rPr>
              <w:i/>
              <w:sz w:val="18"/>
            </w:rPr>
            <w:t>No. 79, 2020</w:t>
          </w:r>
          <w:r w:rsidRPr="007A1328">
            <w:rPr>
              <w:i/>
              <w:sz w:val="18"/>
            </w:rPr>
            <w:fldChar w:fldCharType="end"/>
          </w:r>
        </w:p>
      </w:tc>
      <w:tc>
        <w:tcPr>
          <w:tcW w:w="5387" w:type="dxa"/>
        </w:tcPr>
        <w:p w:rsidR="009C6964" w:rsidRDefault="009C6964" w:rsidP="000E4A0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1125EC">
            <w:rPr>
              <w:i/>
              <w:sz w:val="18"/>
            </w:rPr>
            <w:t>Treasury Laws Amendment (2020 Measures No. 2) Act 2020</w:t>
          </w:r>
          <w:r w:rsidRPr="007A1328">
            <w:rPr>
              <w:i/>
              <w:sz w:val="18"/>
            </w:rPr>
            <w:fldChar w:fldCharType="end"/>
          </w:r>
        </w:p>
      </w:tc>
      <w:tc>
        <w:tcPr>
          <w:tcW w:w="669" w:type="dxa"/>
        </w:tcPr>
        <w:p w:rsidR="009C6964" w:rsidRDefault="009C6964" w:rsidP="000E4A0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1125EC">
            <w:rPr>
              <w:i/>
              <w:noProof/>
              <w:sz w:val="18"/>
            </w:rPr>
            <w:t>1</w:t>
          </w:r>
          <w:r w:rsidRPr="007A1328">
            <w:rPr>
              <w:i/>
              <w:sz w:val="18"/>
            </w:rPr>
            <w:fldChar w:fldCharType="end"/>
          </w:r>
        </w:p>
      </w:tc>
    </w:tr>
  </w:tbl>
  <w:p w:rsidR="009C6964" w:rsidRPr="00A961C4" w:rsidRDefault="009C6964" w:rsidP="009C6964">
    <w:pPr>
      <w:jc w:val="right"/>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6F" w:rsidRDefault="005D036F" w:rsidP="006640F4">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D036F" w:rsidTr="00EB6E69">
      <w:tc>
        <w:tcPr>
          <w:tcW w:w="646" w:type="dxa"/>
        </w:tcPr>
        <w:p w:rsidR="005D036F" w:rsidRDefault="005D036F" w:rsidP="00EB6E69">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125EC">
            <w:rPr>
              <w:i/>
              <w:noProof/>
              <w:sz w:val="18"/>
            </w:rPr>
            <w:t>28</w:t>
          </w:r>
          <w:r w:rsidRPr="00ED79B6">
            <w:rPr>
              <w:i/>
              <w:sz w:val="18"/>
            </w:rPr>
            <w:fldChar w:fldCharType="end"/>
          </w:r>
        </w:p>
      </w:tc>
      <w:tc>
        <w:tcPr>
          <w:tcW w:w="5387" w:type="dxa"/>
        </w:tcPr>
        <w:p w:rsidR="005D036F" w:rsidRDefault="005D036F" w:rsidP="00EB6E69">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1125EC">
            <w:rPr>
              <w:i/>
              <w:sz w:val="18"/>
            </w:rPr>
            <w:t>Treasury Laws Amendment (2020 Measures No. 2) Act 2020</w:t>
          </w:r>
          <w:r w:rsidRPr="00ED79B6">
            <w:rPr>
              <w:i/>
              <w:sz w:val="18"/>
            </w:rPr>
            <w:fldChar w:fldCharType="end"/>
          </w:r>
        </w:p>
      </w:tc>
      <w:tc>
        <w:tcPr>
          <w:tcW w:w="1270" w:type="dxa"/>
        </w:tcPr>
        <w:p w:rsidR="005D036F" w:rsidRDefault="005D036F" w:rsidP="00EB6E69">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1125EC">
            <w:rPr>
              <w:i/>
              <w:sz w:val="18"/>
            </w:rPr>
            <w:t>No. 79, 2020</w:t>
          </w:r>
          <w:r w:rsidRPr="00ED79B6">
            <w:rPr>
              <w:i/>
              <w:sz w:val="18"/>
            </w:rPr>
            <w:fldChar w:fldCharType="end"/>
          </w:r>
        </w:p>
      </w:tc>
    </w:tr>
  </w:tbl>
  <w:p w:rsidR="005D036F" w:rsidRDefault="005D036F" w:rsidP="00E853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36F" w:rsidRDefault="005D036F" w:rsidP="00715914">
      <w:pPr>
        <w:spacing w:line="240" w:lineRule="auto"/>
      </w:pPr>
      <w:r>
        <w:separator/>
      </w:r>
    </w:p>
  </w:footnote>
  <w:footnote w:type="continuationSeparator" w:id="0">
    <w:p w:rsidR="005D036F" w:rsidRDefault="005D036F"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64" w:rsidRPr="005F1388" w:rsidRDefault="009C6964" w:rsidP="009C6964">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6F" w:rsidRPr="00A961C4" w:rsidRDefault="005D036F" w:rsidP="008F32F2">
    <w:pPr>
      <w:rPr>
        <w:b/>
        <w:sz w:val="20"/>
      </w:rPr>
    </w:pPr>
    <w:r>
      <w:rPr>
        <w:b/>
        <w:sz w:val="20"/>
      </w:rPr>
      <w:fldChar w:fldCharType="begin"/>
    </w:r>
    <w:r>
      <w:rPr>
        <w:b/>
        <w:sz w:val="20"/>
      </w:rPr>
      <w:instrText xml:space="preserve"> STYLEREF CharAmSchNo </w:instrText>
    </w:r>
    <w:r w:rsidR="001125EC">
      <w:rPr>
        <w:b/>
        <w:sz w:val="20"/>
      </w:rPr>
      <w:fldChar w:fldCharType="separate"/>
    </w:r>
    <w:r w:rsidR="001125EC">
      <w:rPr>
        <w:b/>
        <w:noProof/>
        <w:sz w:val="20"/>
      </w:rPr>
      <w:t>Schedule 5</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1125EC">
      <w:rPr>
        <w:sz w:val="20"/>
      </w:rPr>
      <w:fldChar w:fldCharType="separate"/>
    </w:r>
    <w:r w:rsidR="001125EC">
      <w:rPr>
        <w:noProof/>
        <w:sz w:val="20"/>
      </w:rPr>
      <w:t>Deductible gift recipients—new specific recipients</w:t>
    </w:r>
    <w:r>
      <w:rPr>
        <w:sz w:val="20"/>
      </w:rPr>
      <w:fldChar w:fldCharType="end"/>
    </w:r>
  </w:p>
  <w:p w:rsidR="005D036F" w:rsidRPr="00A961C4" w:rsidRDefault="005D036F" w:rsidP="008F32F2">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5D036F" w:rsidRPr="00A961C4" w:rsidRDefault="005D036F" w:rsidP="008F32F2">
    <w:pPr>
      <w:pBdr>
        <w:bottom w:val="single" w:sz="6" w:space="1" w:color="auto"/>
      </w:pBdr>
      <w:spacing w:after="12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6F" w:rsidRPr="00A961C4" w:rsidRDefault="005D036F" w:rsidP="008F32F2">
    <w:pPr>
      <w:jc w:val="right"/>
      <w:rPr>
        <w:sz w:val="20"/>
      </w:rPr>
    </w:pPr>
    <w:r w:rsidRPr="00A961C4">
      <w:rPr>
        <w:sz w:val="20"/>
      </w:rPr>
      <w:fldChar w:fldCharType="begin"/>
    </w:r>
    <w:r w:rsidRPr="00A961C4">
      <w:rPr>
        <w:sz w:val="20"/>
      </w:rPr>
      <w:instrText xml:space="preserve"> STYLEREF CharAmSchText </w:instrText>
    </w:r>
    <w:r w:rsidR="001125EC">
      <w:rPr>
        <w:sz w:val="20"/>
      </w:rPr>
      <w:fldChar w:fldCharType="separate"/>
    </w:r>
    <w:r w:rsidR="001125EC">
      <w:rPr>
        <w:noProof/>
        <w:sz w:val="20"/>
      </w:rPr>
      <w:t>Tax secrecy</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1125EC">
      <w:rPr>
        <w:b/>
        <w:sz w:val="20"/>
      </w:rPr>
      <w:fldChar w:fldCharType="separate"/>
    </w:r>
    <w:r w:rsidR="001125EC">
      <w:rPr>
        <w:b/>
        <w:noProof/>
        <w:sz w:val="20"/>
      </w:rPr>
      <w:t>Schedule 6</w:t>
    </w:r>
    <w:r>
      <w:rPr>
        <w:b/>
        <w:sz w:val="20"/>
      </w:rPr>
      <w:fldChar w:fldCharType="end"/>
    </w:r>
  </w:p>
  <w:p w:rsidR="005D036F" w:rsidRPr="00A961C4" w:rsidRDefault="005D036F" w:rsidP="008F32F2">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5D036F" w:rsidRPr="00A961C4" w:rsidRDefault="005D036F" w:rsidP="008F32F2">
    <w:pPr>
      <w:pBdr>
        <w:bottom w:val="single" w:sz="6" w:space="1" w:color="auto"/>
      </w:pBdr>
      <w:spacing w:after="120"/>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6F" w:rsidRDefault="005D036F"/>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6F" w:rsidRDefault="005D036F"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1125EC">
      <w:rPr>
        <w:bCs/>
        <w:noProof/>
        <w:sz w:val="20"/>
        <w:lang w:val="en-US"/>
      </w:rPr>
      <w:t>Error! No text of specified style in document.</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1125EC">
      <w:rPr>
        <w:b/>
        <w:bCs/>
        <w:noProof/>
        <w:sz w:val="20"/>
        <w:lang w:val="en-US"/>
      </w:rPr>
      <w:t>Error! No text of specified style in document.</w:t>
    </w:r>
    <w:r>
      <w:rPr>
        <w:sz w:val="20"/>
      </w:rPr>
      <w:fldChar w:fldCharType="end"/>
    </w:r>
  </w:p>
  <w:p w:rsidR="005D036F" w:rsidRDefault="005D036F"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1125EC">
      <w:rPr>
        <w:bCs/>
        <w:noProof/>
        <w:sz w:val="20"/>
        <w:lang w:val="en-US"/>
      </w:rPr>
      <w:t>Error! No text of specified style in document.</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1125EC">
      <w:rPr>
        <w:b/>
        <w:bCs/>
        <w:noProof/>
        <w:sz w:val="20"/>
        <w:lang w:val="en-US"/>
      </w:rPr>
      <w:t>Error! No text of specified style in document.</w:t>
    </w:r>
    <w:r>
      <w:rPr>
        <w:sz w:val="20"/>
      </w:rPr>
      <w:fldChar w:fldCharType="end"/>
    </w:r>
  </w:p>
  <w:p w:rsidR="005D036F" w:rsidRPr="007A1328" w:rsidRDefault="005D036F" w:rsidP="00715914">
    <w:pPr>
      <w:rPr>
        <w:sz w:val="20"/>
      </w:rPr>
    </w:pPr>
    <w:r>
      <w:rPr>
        <w:b/>
        <w:sz w:val="20"/>
      </w:rPr>
      <w:fldChar w:fldCharType="begin"/>
    </w:r>
    <w:r>
      <w:rPr>
        <w:b/>
        <w:sz w:val="20"/>
      </w:rPr>
      <w:instrText xml:space="preserve"> STYLEREF CharDivNo </w:instrText>
    </w:r>
    <w:r>
      <w:rPr>
        <w:b/>
        <w:sz w:val="20"/>
      </w:rPr>
      <w:fldChar w:fldCharType="separate"/>
    </w:r>
    <w:r w:rsidR="001125EC">
      <w:rPr>
        <w:bCs/>
        <w:noProof/>
        <w:sz w:val="20"/>
        <w:lang w:val="en-US"/>
      </w:rPr>
      <w:t>Error! No text of specified style in document.</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sidR="001125EC">
      <w:rPr>
        <w:b/>
        <w:bCs/>
        <w:noProof/>
        <w:sz w:val="20"/>
        <w:lang w:val="en-US"/>
      </w:rPr>
      <w:t>Error! No text of specified style in document.</w:t>
    </w:r>
    <w:r>
      <w:rPr>
        <w:sz w:val="20"/>
      </w:rPr>
      <w:fldChar w:fldCharType="end"/>
    </w:r>
  </w:p>
  <w:p w:rsidR="005D036F" w:rsidRPr="007A1328" w:rsidRDefault="005D036F" w:rsidP="00715914">
    <w:pPr>
      <w:rPr>
        <w:b/>
        <w:sz w:val="24"/>
      </w:rPr>
    </w:pPr>
  </w:p>
  <w:p w:rsidR="005D036F" w:rsidRPr="007A1328" w:rsidRDefault="005D036F" w:rsidP="008F32F2">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125EC">
      <w:rPr>
        <w:noProof/>
        <w:sz w:val="24"/>
      </w:rPr>
      <w:t>9</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6F" w:rsidRPr="007A1328" w:rsidRDefault="005D036F"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1125EC">
      <w:rPr>
        <w:b/>
        <w:bCs/>
        <w:noProof/>
        <w:sz w:val="20"/>
        <w:lang w:val="en-US"/>
      </w:rPr>
      <w:t>Error! No text of specified style in document.</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1125EC">
      <w:rPr>
        <w:bCs/>
        <w:noProof/>
        <w:sz w:val="20"/>
        <w:lang w:val="en-US"/>
      </w:rPr>
      <w:t>Error! No text of specified style in document.</w:t>
    </w:r>
    <w:r>
      <w:rPr>
        <w:b/>
        <w:sz w:val="20"/>
      </w:rPr>
      <w:fldChar w:fldCharType="end"/>
    </w:r>
  </w:p>
  <w:p w:rsidR="005D036F" w:rsidRPr="007A1328" w:rsidRDefault="005D036F"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1125EC">
      <w:rPr>
        <w:b/>
        <w:bCs/>
        <w:noProof/>
        <w:sz w:val="20"/>
        <w:lang w:val="en-US"/>
      </w:rPr>
      <w:t>Error! No text of specified style in document.</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1125EC">
      <w:rPr>
        <w:bCs/>
        <w:noProof/>
        <w:sz w:val="20"/>
        <w:lang w:val="en-US"/>
      </w:rPr>
      <w:t>Error! No text of specified style in document.</w:t>
    </w:r>
    <w:r>
      <w:rPr>
        <w:b/>
        <w:sz w:val="20"/>
      </w:rPr>
      <w:fldChar w:fldCharType="end"/>
    </w:r>
  </w:p>
  <w:p w:rsidR="005D036F" w:rsidRPr="007A1328" w:rsidRDefault="005D036F"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separate"/>
    </w:r>
    <w:r w:rsidR="001125EC">
      <w:rPr>
        <w:b/>
        <w:bCs/>
        <w:noProof/>
        <w:sz w:val="20"/>
        <w:lang w:val="en-US"/>
      </w:rPr>
      <w:t>Error! No text of specified style in document.</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sidR="001125EC">
      <w:rPr>
        <w:bCs/>
        <w:noProof/>
        <w:sz w:val="20"/>
        <w:lang w:val="en-US"/>
      </w:rPr>
      <w:t>Error! No text of specified style in document.</w:t>
    </w:r>
    <w:r>
      <w:rPr>
        <w:b/>
        <w:sz w:val="20"/>
      </w:rPr>
      <w:fldChar w:fldCharType="end"/>
    </w:r>
  </w:p>
  <w:p w:rsidR="005D036F" w:rsidRPr="007A1328" w:rsidRDefault="005D036F" w:rsidP="00715914">
    <w:pPr>
      <w:jc w:val="right"/>
      <w:rPr>
        <w:b/>
        <w:sz w:val="24"/>
      </w:rPr>
    </w:pPr>
  </w:p>
  <w:p w:rsidR="005D036F" w:rsidRPr="007A1328" w:rsidRDefault="005D036F" w:rsidP="008F32F2">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1125EC">
      <w:rPr>
        <w:noProof/>
        <w:sz w:val="24"/>
      </w:rPr>
      <w:t>9</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36F" w:rsidRPr="007A1328" w:rsidRDefault="005D036F"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64" w:rsidRPr="005F1388" w:rsidRDefault="009C6964" w:rsidP="009C6964">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64" w:rsidRPr="005F1388" w:rsidRDefault="009C6964" w:rsidP="009C696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64" w:rsidRPr="00ED79B6" w:rsidRDefault="009C6964" w:rsidP="009C6964">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64" w:rsidRPr="00ED79B6" w:rsidRDefault="009C6964" w:rsidP="009C6964">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64" w:rsidRPr="00ED79B6" w:rsidRDefault="009C6964" w:rsidP="009C696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64" w:rsidRPr="00A961C4" w:rsidRDefault="009C6964" w:rsidP="009C6964">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9C6964" w:rsidRPr="00A961C4" w:rsidRDefault="009C6964" w:rsidP="009C6964">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9C6964" w:rsidRPr="00A961C4" w:rsidRDefault="009C6964" w:rsidP="009C6964">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64" w:rsidRPr="00A961C4" w:rsidRDefault="009C6964" w:rsidP="009C6964">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9C6964" w:rsidRPr="00A961C4" w:rsidRDefault="009C6964" w:rsidP="009C6964">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9C6964" w:rsidRPr="00A961C4" w:rsidRDefault="009C6964" w:rsidP="009C6964">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64" w:rsidRPr="00A961C4" w:rsidRDefault="009C6964" w:rsidP="009C69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263"/>
    <w:rsid w:val="000136AF"/>
    <w:rsid w:val="00014458"/>
    <w:rsid w:val="0003377B"/>
    <w:rsid w:val="000436F9"/>
    <w:rsid w:val="00052671"/>
    <w:rsid w:val="000614BF"/>
    <w:rsid w:val="00087D46"/>
    <w:rsid w:val="000A556A"/>
    <w:rsid w:val="000A57A8"/>
    <w:rsid w:val="000D05EF"/>
    <w:rsid w:val="000D0EB7"/>
    <w:rsid w:val="000E2261"/>
    <w:rsid w:val="000E3F92"/>
    <w:rsid w:val="000F21C1"/>
    <w:rsid w:val="0010745C"/>
    <w:rsid w:val="001125EC"/>
    <w:rsid w:val="00113E04"/>
    <w:rsid w:val="00115CC6"/>
    <w:rsid w:val="00122FE1"/>
    <w:rsid w:val="0013072E"/>
    <w:rsid w:val="00135F20"/>
    <w:rsid w:val="00137427"/>
    <w:rsid w:val="001464BD"/>
    <w:rsid w:val="00166C2F"/>
    <w:rsid w:val="001671E9"/>
    <w:rsid w:val="001939E1"/>
    <w:rsid w:val="00195382"/>
    <w:rsid w:val="001A45D5"/>
    <w:rsid w:val="001B782B"/>
    <w:rsid w:val="001C4495"/>
    <w:rsid w:val="001C69C4"/>
    <w:rsid w:val="001D11E9"/>
    <w:rsid w:val="001D37EF"/>
    <w:rsid w:val="001E3590"/>
    <w:rsid w:val="001E7407"/>
    <w:rsid w:val="001E7F6E"/>
    <w:rsid w:val="001F5D5E"/>
    <w:rsid w:val="001F6219"/>
    <w:rsid w:val="002065DA"/>
    <w:rsid w:val="00211A78"/>
    <w:rsid w:val="00212DDD"/>
    <w:rsid w:val="0024010F"/>
    <w:rsid w:val="00240749"/>
    <w:rsid w:val="002564A4"/>
    <w:rsid w:val="00257D74"/>
    <w:rsid w:val="00277EAE"/>
    <w:rsid w:val="00291276"/>
    <w:rsid w:val="00297ECB"/>
    <w:rsid w:val="002A61AC"/>
    <w:rsid w:val="002D043A"/>
    <w:rsid w:val="002D1446"/>
    <w:rsid w:val="002D6224"/>
    <w:rsid w:val="002D7CE3"/>
    <w:rsid w:val="002E36F5"/>
    <w:rsid w:val="003213F0"/>
    <w:rsid w:val="00324BDF"/>
    <w:rsid w:val="0032591D"/>
    <w:rsid w:val="00326B9F"/>
    <w:rsid w:val="003304A9"/>
    <w:rsid w:val="00331800"/>
    <w:rsid w:val="003369B1"/>
    <w:rsid w:val="00340F07"/>
    <w:rsid w:val="003415D3"/>
    <w:rsid w:val="0034382B"/>
    <w:rsid w:val="00352B0F"/>
    <w:rsid w:val="00355469"/>
    <w:rsid w:val="00356B3D"/>
    <w:rsid w:val="00360459"/>
    <w:rsid w:val="00364EFF"/>
    <w:rsid w:val="00374B0A"/>
    <w:rsid w:val="003D0BFE"/>
    <w:rsid w:val="003D5700"/>
    <w:rsid w:val="003D5C9F"/>
    <w:rsid w:val="00410A84"/>
    <w:rsid w:val="004116CD"/>
    <w:rsid w:val="00417EB9"/>
    <w:rsid w:val="00423263"/>
    <w:rsid w:val="00424CA9"/>
    <w:rsid w:val="00431911"/>
    <w:rsid w:val="00431A1F"/>
    <w:rsid w:val="0044291A"/>
    <w:rsid w:val="004511D0"/>
    <w:rsid w:val="00463EC0"/>
    <w:rsid w:val="00477FB9"/>
    <w:rsid w:val="00481861"/>
    <w:rsid w:val="0048585C"/>
    <w:rsid w:val="00496F97"/>
    <w:rsid w:val="004B38C1"/>
    <w:rsid w:val="004E7BEC"/>
    <w:rsid w:val="00502192"/>
    <w:rsid w:val="0051017A"/>
    <w:rsid w:val="00516B8D"/>
    <w:rsid w:val="005248BE"/>
    <w:rsid w:val="00537FBC"/>
    <w:rsid w:val="00544776"/>
    <w:rsid w:val="00580B11"/>
    <w:rsid w:val="00584811"/>
    <w:rsid w:val="00593AA6"/>
    <w:rsid w:val="00594161"/>
    <w:rsid w:val="00594749"/>
    <w:rsid w:val="005A0E72"/>
    <w:rsid w:val="005A6928"/>
    <w:rsid w:val="005B19EB"/>
    <w:rsid w:val="005B4067"/>
    <w:rsid w:val="005B5803"/>
    <w:rsid w:val="005C3F41"/>
    <w:rsid w:val="005D036F"/>
    <w:rsid w:val="005D2D0C"/>
    <w:rsid w:val="005D3471"/>
    <w:rsid w:val="005D4663"/>
    <w:rsid w:val="005D7042"/>
    <w:rsid w:val="005D74DB"/>
    <w:rsid w:val="005F0A35"/>
    <w:rsid w:val="00600219"/>
    <w:rsid w:val="00601309"/>
    <w:rsid w:val="00602388"/>
    <w:rsid w:val="00616C57"/>
    <w:rsid w:val="00623B07"/>
    <w:rsid w:val="00652F03"/>
    <w:rsid w:val="006640F4"/>
    <w:rsid w:val="00677CC2"/>
    <w:rsid w:val="006905DE"/>
    <w:rsid w:val="0069207B"/>
    <w:rsid w:val="0069210F"/>
    <w:rsid w:val="006B058E"/>
    <w:rsid w:val="006B6E88"/>
    <w:rsid w:val="006C2748"/>
    <w:rsid w:val="006C41FA"/>
    <w:rsid w:val="006C7F8C"/>
    <w:rsid w:val="006F318F"/>
    <w:rsid w:val="006F6D10"/>
    <w:rsid w:val="00700B2C"/>
    <w:rsid w:val="00713084"/>
    <w:rsid w:val="00715914"/>
    <w:rsid w:val="00731E00"/>
    <w:rsid w:val="007440B7"/>
    <w:rsid w:val="00746C1A"/>
    <w:rsid w:val="00752B99"/>
    <w:rsid w:val="007715C9"/>
    <w:rsid w:val="00774EDD"/>
    <w:rsid w:val="007757EC"/>
    <w:rsid w:val="007924FC"/>
    <w:rsid w:val="007B75F4"/>
    <w:rsid w:val="00800CBF"/>
    <w:rsid w:val="00826806"/>
    <w:rsid w:val="00837372"/>
    <w:rsid w:val="008422C3"/>
    <w:rsid w:val="0084395C"/>
    <w:rsid w:val="0085473A"/>
    <w:rsid w:val="00856A31"/>
    <w:rsid w:val="008754D0"/>
    <w:rsid w:val="00881B8F"/>
    <w:rsid w:val="00890F01"/>
    <w:rsid w:val="0089107B"/>
    <w:rsid w:val="00892DD3"/>
    <w:rsid w:val="00896473"/>
    <w:rsid w:val="008A27FC"/>
    <w:rsid w:val="008C6AA5"/>
    <w:rsid w:val="008C7DEA"/>
    <w:rsid w:val="008D0EE0"/>
    <w:rsid w:val="008D165D"/>
    <w:rsid w:val="008D2DF7"/>
    <w:rsid w:val="008E2D27"/>
    <w:rsid w:val="008F32F2"/>
    <w:rsid w:val="008F54E7"/>
    <w:rsid w:val="00903422"/>
    <w:rsid w:val="00904A28"/>
    <w:rsid w:val="00913EEB"/>
    <w:rsid w:val="009213B7"/>
    <w:rsid w:val="009265BF"/>
    <w:rsid w:val="00932377"/>
    <w:rsid w:val="00937CF5"/>
    <w:rsid w:val="00940885"/>
    <w:rsid w:val="00947D5A"/>
    <w:rsid w:val="009522F9"/>
    <w:rsid w:val="009532A5"/>
    <w:rsid w:val="009851AC"/>
    <w:rsid w:val="009868E9"/>
    <w:rsid w:val="00990ED3"/>
    <w:rsid w:val="009C6470"/>
    <w:rsid w:val="009C6964"/>
    <w:rsid w:val="009D006B"/>
    <w:rsid w:val="009F374D"/>
    <w:rsid w:val="00A03DF4"/>
    <w:rsid w:val="00A15C98"/>
    <w:rsid w:val="00A22C98"/>
    <w:rsid w:val="00A231E2"/>
    <w:rsid w:val="00A24426"/>
    <w:rsid w:val="00A55C4C"/>
    <w:rsid w:val="00A64912"/>
    <w:rsid w:val="00A70A74"/>
    <w:rsid w:val="00A7266E"/>
    <w:rsid w:val="00A81C46"/>
    <w:rsid w:val="00A930F1"/>
    <w:rsid w:val="00AB393E"/>
    <w:rsid w:val="00AC0791"/>
    <w:rsid w:val="00AC4BB2"/>
    <w:rsid w:val="00AC719E"/>
    <w:rsid w:val="00AC78EE"/>
    <w:rsid w:val="00AD5641"/>
    <w:rsid w:val="00AE1506"/>
    <w:rsid w:val="00AE5CA2"/>
    <w:rsid w:val="00AF06CF"/>
    <w:rsid w:val="00AF3C21"/>
    <w:rsid w:val="00B20224"/>
    <w:rsid w:val="00B33B3C"/>
    <w:rsid w:val="00B63834"/>
    <w:rsid w:val="00B646E3"/>
    <w:rsid w:val="00B716AB"/>
    <w:rsid w:val="00B80199"/>
    <w:rsid w:val="00B86188"/>
    <w:rsid w:val="00B93F3D"/>
    <w:rsid w:val="00B9706F"/>
    <w:rsid w:val="00BA220B"/>
    <w:rsid w:val="00BE719A"/>
    <w:rsid w:val="00BE720A"/>
    <w:rsid w:val="00BF6BCB"/>
    <w:rsid w:val="00C122FF"/>
    <w:rsid w:val="00C25299"/>
    <w:rsid w:val="00C42BF8"/>
    <w:rsid w:val="00C50043"/>
    <w:rsid w:val="00C5509A"/>
    <w:rsid w:val="00C74FD3"/>
    <w:rsid w:val="00C7573B"/>
    <w:rsid w:val="00CB4341"/>
    <w:rsid w:val="00CF0BB2"/>
    <w:rsid w:val="00CF3EE8"/>
    <w:rsid w:val="00D13141"/>
    <w:rsid w:val="00D13441"/>
    <w:rsid w:val="00D256F3"/>
    <w:rsid w:val="00D473B5"/>
    <w:rsid w:val="00D70DFB"/>
    <w:rsid w:val="00D71585"/>
    <w:rsid w:val="00D74249"/>
    <w:rsid w:val="00D766DF"/>
    <w:rsid w:val="00D8280A"/>
    <w:rsid w:val="00DA6185"/>
    <w:rsid w:val="00DB550A"/>
    <w:rsid w:val="00DC1296"/>
    <w:rsid w:val="00DC4F88"/>
    <w:rsid w:val="00DD51EA"/>
    <w:rsid w:val="00DF2145"/>
    <w:rsid w:val="00E05704"/>
    <w:rsid w:val="00E10FD9"/>
    <w:rsid w:val="00E118B9"/>
    <w:rsid w:val="00E159D1"/>
    <w:rsid w:val="00E17108"/>
    <w:rsid w:val="00E2430D"/>
    <w:rsid w:val="00E30FCA"/>
    <w:rsid w:val="00E338EF"/>
    <w:rsid w:val="00E4644C"/>
    <w:rsid w:val="00E46EFE"/>
    <w:rsid w:val="00E74DC7"/>
    <w:rsid w:val="00E75AEA"/>
    <w:rsid w:val="00E80F5E"/>
    <w:rsid w:val="00E853EA"/>
    <w:rsid w:val="00E87BDF"/>
    <w:rsid w:val="00E94D5E"/>
    <w:rsid w:val="00EA7100"/>
    <w:rsid w:val="00EB1780"/>
    <w:rsid w:val="00EB6E69"/>
    <w:rsid w:val="00EB7AC1"/>
    <w:rsid w:val="00EC3721"/>
    <w:rsid w:val="00EC4ECE"/>
    <w:rsid w:val="00EF2E3A"/>
    <w:rsid w:val="00EF3BC3"/>
    <w:rsid w:val="00F0228A"/>
    <w:rsid w:val="00F072A7"/>
    <w:rsid w:val="00F078DC"/>
    <w:rsid w:val="00F12083"/>
    <w:rsid w:val="00F156A1"/>
    <w:rsid w:val="00F22285"/>
    <w:rsid w:val="00F3299C"/>
    <w:rsid w:val="00F52330"/>
    <w:rsid w:val="00F660D3"/>
    <w:rsid w:val="00F71650"/>
    <w:rsid w:val="00F73BD6"/>
    <w:rsid w:val="00F83989"/>
    <w:rsid w:val="00F91403"/>
    <w:rsid w:val="00F93C42"/>
    <w:rsid w:val="00F95A47"/>
    <w:rsid w:val="00FB34C8"/>
    <w:rsid w:val="00FB40BA"/>
    <w:rsid w:val="00FC0700"/>
    <w:rsid w:val="00FC6E0E"/>
    <w:rsid w:val="00FD53C3"/>
    <w:rsid w:val="00FE6714"/>
    <w:rsid w:val="00FF00F1"/>
    <w:rsid w:val="00FF086F"/>
    <w:rsid w:val="00FF2D9B"/>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6806"/>
    <w:pPr>
      <w:spacing w:line="260" w:lineRule="atLeast"/>
    </w:pPr>
    <w:rPr>
      <w:sz w:val="22"/>
    </w:rPr>
  </w:style>
  <w:style w:type="paragraph" w:styleId="Heading1">
    <w:name w:val="heading 1"/>
    <w:basedOn w:val="Normal"/>
    <w:next w:val="Normal"/>
    <w:link w:val="Heading1Char"/>
    <w:uiPriority w:val="9"/>
    <w:qFormat/>
    <w:rsid w:val="00AC07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C07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C07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079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07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C079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079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079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C079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26806"/>
  </w:style>
  <w:style w:type="paragraph" w:customStyle="1" w:styleId="OPCParaBase">
    <w:name w:val="OPCParaBase"/>
    <w:qFormat/>
    <w:rsid w:val="00826806"/>
    <w:pPr>
      <w:spacing w:line="260" w:lineRule="atLeast"/>
    </w:pPr>
    <w:rPr>
      <w:rFonts w:eastAsia="Times New Roman" w:cs="Times New Roman"/>
      <w:sz w:val="22"/>
      <w:lang w:eastAsia="en-AU"/>
    </w:rPr>
  </w:style>
  <w:style w:type="paragraph" w:customStyle="1" w:styleId="ShortT">
    <w:name w:val="ShortT"/>
    <w:basedOn w:val="OPCParaBase"/>
    <w:next w:val="Normal"/>
    <w:qFormat/>
    <w:rsid w:val="00826806"/>
    <w:pPr>
      <w:spacing w:line="240" w:lineRule="auto"/>
    </w:pPr>
    <w:rPr>
      <w:b/>
      <w:sz w:val="40"/>
    </w:rPr>
  </w:style>
  <w:style w:type="paragraph" w:customStyle="1" w:styleId="ActHead1">
    <w:name w:val="ActHead 1"/>
    <w:aliases w:val="c"/>
    <w:basedOn w:val="OPCParaBase"/>
    <w:next w:val="Normal"/>
    <w:qFormat/>
    <w:rsid w:val="0082680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2680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2680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2680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2680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2680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2680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2680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2680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26806"/>
  </w:style>
  <w:style w:type="paragraph" w:customStyle="1" w:styleId="Blocks">
    <w:name w:val="Blocks"/>
    <w:aliases w:val="bb"/>
    <w:basedOn w:val="OPCParaBase"/>
    <w:qFormat/>
    <w:rsid w:val="00826806"/>
    <w:pPr>
      <w:spacing w:line="240" w:lineRule="auto"/>
    </w:pPr>
    <w:rPr>
      <w:sz w:val="24"/>
    </w:rPr>
  </w:style>
  <w:style w:type="paragraph" w:customStyle="1" w:styleId="BoxText">
    <w:name w:val="BoxText"/>
    <w:aliases w:val="bt"/>
    <w:basedOn w:val="OPCParaBase"/>
    <w:qFormat/>
    <w:rsid w:val="0082680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26806"/>
    <w:rPr>
      <w:b/>
    </w:rPr>
  </w:style>
  <w:style w:type="paragraph" w:customStyle="1" w:styleId="BoxHeadItalic">
    <w:name w:val="BoxHeadItalic"/>
    <w:aliases w:val="bhi"/>
    <w:basedOn w:val="BoxText"/>
    <w:next w:val="BoxStep"/>
    <w:qFormat/>
    <w:rsid w:val="00826806"/>
    <w:rPr>
      <w:i/>
    </w:rPr>
  </w:style>
  <w:style w:type="paragraph" w:customStyle="1" w:styleId="BoxList">
    <w:name w:val="BoxList"/>
    <w:aliases w:val="bl"/>
    <w:basedOn w:val="BoxText"/>
    <w:qFormat/>
    <w:rsid w:val="00826806"/>
    <w:pPr>
      <w:ind w:left="1559" w:hanging="425"/>
    </w:pPr>
  </w:style>
  <w:style w:type="paragraph" w:customStyle="1" w:styleId="BoxNote">
    <w:name w:val="BoxNote"/>
    <w:aliases w:val="bn"/>
    <w:basedOn w:val="BoxText"/>
    <w:qFormat/>
    <w:rsid w:val="00826806"/>
    <w:pPr>
      <w:tabs>
        <w:tab w:val="left" w:pos="1985"/>
      </w:tabs>
      <w:spacing w:before="122" w:line="198" w:lineRule="exact"/>
      <w:ind w:left="2948" w:hanging="1814"/>
    </w:pPr>
    <w:rPr>
      <w:sz w:val="18"/>
    </w:rPr>
  </w:style>
  <w:style w:type="paragraph" w:customStyle="1" w:styleId="BoxPara">
    <w:name w:val="BoxPara"/>
    <w:aliases w:val="bp"/>
    <w:basedOn w:val="BoxText"/>
    <w:qFormat/>
    <w:rsid w:val="00826806"/>
    <w:pPr>
      <w:tabs>
        <w:tab w:val="right" w:pos="2268"/>
      </w:tabs>
      <w:ind w:left="2552" w:hanging="1418"/>
    </w:pPr>
  </w:style>
  <w:style w:type="paragraph" w:customStyle="1" w:styleId="BoxStep">
    <w:name w:val="BoxStep"/>
    <w:aliases w:val="bs"/>
    <w:basedOn w:val="BoxText"/>
    <w:qFormat/>
    <w:rsid w:val="00826806"/>
    <w:pPr>
      <w:ind w:left="1985" w:hanging="851"/>
    </w:pPr>
  </w:style>
  <w:style w:type="character" w:customStyle="1" w:styleId="CharAmPartNo">
    <w:name w:val="CharAmPartNo"/>
    <w:basedOn w:val="OPCCharBase"/>
    <w:qFormat/>
    <w:rsid w:val="00826806"/>
  </w:style>
  <w:style w:type="character" w:customStyle="1" w:styleId="CharAmPartText">
    <w:name w:val="CharAmPartText"/>
    <w:basedOn w:val="OPCCharBase"/>
    <w:qFormat/>
    <w:rsid w:val="00826806"/>
  </w:style>
  <w:style w:type="character" w:customStyle="1" w:styleId="CharAmSchNo">
    <w:name w:val="CharAmSchNo"/>
    <w:basedOn w:val="OPCCharBase"/>
    <w:qFormat/>
    <w:rsid w:val="00826806"/>
  </w:style>
  <w:style w:type="character" w:customStyle="1" w:styleId="CharAmSchText">
    <w:name w:val="CharAmSchText"/>
    <w:basedOn w:val="OPCCharBase"/>
    <w:qFormat/>
    <w:rsid w:val="00826806"/>
  </w:style>
  <w:style w:type="character" w:customStyle="1" w:styleId="CharBoldItalic">
    <w:name w:val="CharBoldItalic"/>
    <w:basedOn w:val="OPCCharBase"/>
    <w:uiPriority w:val="1"/>
    <w:qFormat/>
    <w:rsid w:val="00826806"/>
    <w:rPr>
      <w:b/>
      <w:i/>
    </w:rPr>
  </w:style>
  <w:style w:type="character" w:customStyle="1" w:styleId="CharChapNo">
    <w:name w:val="CharChapNo"/>
    <w:basedOn w:val="OPCCharBase"/>
    <w:uiPriority w:val="1"/>
    <w:qFormat/>
    <w:rsid w:val="00826806"/>
  </w:style>
  <w:style w:type="character" w:customStyle="1" w:styleId="CharChapText">
    <w:name w:val="CharChapText"/>
    <w:basedOn w:val="OPCCharBase"/>
    <w:uiPriority w:val="1"/>
    <w:qFormat/>
    <w:rsid w:val="00826806"/>
  </w:style>
  <w:style w:type="character" w:customStyle="1" w:styleId="CharDivNo">
    <w:name w:val="CharDivNo"/>
    <w:basedOn w:val="OPCCharBase"/>
    <w:uiPriority w:val="1"/>
    <w:qFormat/>
    <w:rsid w:val="00826806"/>
  </w:style>
  <w:style w:type="character" w:customStyle="1" w:styleId="CharDivText">
    <w:name w:val="CharDivText"/>
    <w:basedOn w:val="OPCCharBase"/>
    <w:uiPriority w:val="1"/>
    <w:qFormat/>
    <w:rsid w:val="00826806"/>
  </w:style>
  <w:style w:type="character" w:customStyle="1" w:styleId="CharItalic">
    <w:name w:val="CharItalic"/>
    <w:basedOn w:val="OPCCharBase"/>
    <w:uiPriority w:val="1"/>
    <w:qFormat/>
    <w:rsid w:val="00826806"/>
    <w:rPr>
      <w:i/>
    </w:rPr>
  </w:style>
  <w:style w:type="character" w:customStyle="1" w:styleId="CharPartNo">
    <w:name w:val="CharPartNo"/>
    <w:basedOn w:val="OPCCharBase"/>
    <w:uiPriority w:val="1"/>
    <w:qFormat/>
    <w:rsid w:val="00826806"/>
  </w:style>
  <w:style w:type="character" w:customStyle="1" w:styleId="CharPartText">
    <w:name w:val="CharPartText"/>
    <w:basedOn w:val="OPCCharBase"/>
    <w:uiPriority w:val="1"/>
    <w:qFormat/>
    <w:rsid w:val="00826806"/>
  </w:style>
  <w:style w:type="character" w:customStyle="1" w:styleId="CharSectno">
    <w:name w:val="CharSectno"/>
    <w:basedOn w:val="OPCCharBase"/>
    <w:qFormat/>
    <w:rsid w:val="00826806"/>
  </w:style>
  <w:style w:type="character" w:customStyle="1" w:styleId="CharSubdNo">
    <w:name w:val="CharSubdNo"/>
    <w:basedOn w:val="OPCCharBase"/>
    <w:uiPriority w:val="1"/>
    <w:qFormat/>
    <w:rsid w:val="00826806"/>
  </w:style>
  <w:style w:type="character" w:customStyle="1" w:styleId="CharSubdText">
    <w:name w:val="CharSubdText"/>
    <w:basedOn w:val="OPCCharBase"/>
    <w:uiPriority w:val="1"/>
    <w:qFormat/>
    <w:rsid w:val="00826806"/>
  </w:style>
  <w:style w:type="paragraph" w:customStyle="1" w:styleId="CTA--">
    <w:name w:val="CTA --"/>
    <w:basedOn w:val="OPCParaBase"/>
    <w:next w:val="Normal"/>
    <w:rsid w:val="00826806"/>
    <w:pPr>
      <w:spacing w:before="60" w:line="240" w:lineRule="atLeast"/>
      <w:ind w:left="142" w:hanging="142"/>
    </w:pPr>
    <w:rPr>
      <w:sz w:val="20"/>
    </w:rPr>
  </w:style>
  <w:style w:type="paragraph" w:customStyle="1" w:styleId="CTA-">
    <w:name w:val="CTA -"/>
    <w:basedOn w:val="OPCParaBase"/>
    <w:rsid w:val="00826806"/>
    <w:pPr>
      <w:spacing w:before="60" w:line="240" w:lineRule="atLeast"/>
      <w:ind w:left="85" w:hanging="85"/>
    </w:pPr>
    <w:rPr>
      <w:sz w:val="20"/>
    </w:rPr>
  </w:style>
  <w:style w:type="paragraph" w:customStyle="1" w:styleId="CTA---">
    <w:name w:val="CTA ---"/>
    <w:basedOn w:val="OPCParaBase"/>
    <w:next w:val="Normal"/>
    <w:rsid w:val="00826806"/>
    <w:pPr>
      <w:spacing w:before="60" w:line="240" w:lineRule="atLeast"/>
      <w:ind w:left="198" w:hanging="198"/>
    </w:pPr>
    <w:rPr>
      <w:sz w:val="20"/>
    </w:rPr>
  </w:style>
  <w:style w:type="paragraph" w:customStyle="1" w:styleId="CTA----">
    <w:name w:val="CTA ----"/>
    <w:basedOn w:val="OPCParaBase"/>
    <w:next w:val="Normal"/>
    <w:rsid w:val="00826806"/>
    <w:pPr>
      <w:spacing w:before="60" w:line="240" w:lineRule="atLeast"/>
      <w:ind w:left="255" w:hanging="255"/>
    </w:pPr>
    <w:rPr>
      <w:sz w:val="20"/>
    </w:rPr>
  </w:style>
  <w:style w:type="paragraph" w:customStyle="1" w:styleId="CTA1a">
    <w:name w:val="CTA 1(a)"/>
    <w:basedOn w:val="OPCParaBase"/>
    <w:rsid w:val="00826806"/>
    <w:pPr>
      <w:tabs>
        <w:tab w:val="right" w:pos="414"/>
      </w:tabs>
      <w:spacing w:before="40" w:line="240" w:lineRule="atLeast"/>
      <w:ind w:left="675" w:hanging="675"/>
    </w:pPr>
    <w:rPr>
      <w:sz w:val="20"/>
    </w:rPr>
  </w:style>
  <w:style w:type="paragraph" w:customStyle="1" w:styleId="CTA1ai">
    <w:name w:val="CTA 1(a)(i)"/>
    <w:basedOn w:val="OPCParaBase"/>
    <w:rsid w:val="00826806"/>
    <w:pPr>
      <w:tabs>
        <w:tab w:val="right" w:pos="1004"/>
      </w:tabs>
      <w:spacing w:before="40" w:line="240" w:lineRule="atLeast"/>
      <w:ind w:left="1253" w:hanging="1253"/>
    </w:pPr>
    <w:rPr>
      <w:sz w:val="20"/>
    </w:rPr>
  </w:style>
  <w:style w:type="paragraph" w:customStyle="1" w:styleId="CTA2a">
    <w:name w:val="CTA 2(a)"/>
    <w:basedOn w:val="OPCParaBase"/>
    <w:rsid w:val="00826806"/>
    <w:pPr>
      <w:tabs>
        <w:tab w:val="right" w:pos="482"/>
      </w:tabs>
      <w:spacing w:before="40" w:line="240" w:lineRule="atLeast"/>
      <w:ind w:left="748" w:hanging="748"/>
    </w:pPr>
    <w:rPr>
      <w:sz w:val="20"/>
    </w:rPr>
  </w:style>
  <w:style w:type="paragraph" w:customStyle="1" w:styleId="CTA2ai">
    <w:name w:val="CTA 2(a)(i)"/>
    <w:basedOn w:val="OPCParaBase"/>
    <w:rsid w:val="00826806"/>
    <w:pPr>
      <w:tabs>
        <w:tab w:val="right" w:pos="1089"/>
      </w:tabs>
      <w:spacing w:before="40" w:line="240" w:lineRule="atLeast"/>
      <w:ind w:left="1327" w:hanging="1327"/>
    </w:pPr>
    <w:rPr>
      <w:sz w:val="20"/>
    </w:rPr>
  </w:style>
  <w:style w:type="paragraph" w:customStyle="1" w:styleId="CTA3a">
    <w:name w:val="CTA 3(a)"/>
    <w:basedOn w:val="OPCParaBase"/>
    <w:rsid w:val="00826806"/>
    <w:pPr>
      <w:tabs>
        <w:tab w:val="right" w:pos="556"/>
      </w:tabs>
      <w:spacing w:before="40" w:line="240" w:lineRule="atLeast"/>
      <w:ind w:left="805" w:hanging="805"/>
    </w:pPr>
    <w:rPr>
      <w:sz w:val="20"/>
    </w:rPr>
  </w:style>
  <w:style w:type="paragraph" w:customStyle="1" w:styleId="CTA3ai">
    <w:name w:val="CTA 3(a)(i)"/>
    <w:basedOn w:val="OPCParaBase"/>
    <w:rsid w:val="00826806"/>
    <w:pPr>
      <w:tabs>
        <w:tab w:val="right" w:pos="1140"/>
      </w:tabs>
      <w:spacing w:before="40" w:line="240" w:lineRule="atLeast"/>
      <w:ind w:left="1361" w:hanging="1361"/>
    </w:pPr>
    <w:rPr>
      <w:sz w:val="20"/>
    </w:rPr>
  </w:style>
  <w:style w:type="paragraph" w:customStyle="1" w:styleId="CTA4a">
    <w:name w:val="CTA 4(a)"/>
    <w:basedOn w:val="OPCParaBase"/>
    <w:rsid w:val="00826806"/>
    <w:pPr>
      <w:tabs>
        <w:tab w:val="right" w:pos="624"/>
      </w:tabs>
      <w:spacing w:before="40" w:line="240" w:lineRule="atLeast"/>
      <w:ind w:left="873" w:hanging="873"/>
    </w:pPr>
    <w:rPr>
      <w:sz w:val="20"/>
    </w:rPr>
  </w:style>
  <w:style w:type="paragraph" w:customStyle="1" w:styleId="CTA4ai">
    <w:name w:val="CTA 4(a)(i)"/>
    <w:basedOn w:val="OPCParaBase"/>
    <w:rsid w:val="00826806"/>
    <w:pPr>
      <w:tabs>
        <w:tab w:val="right" w:pos="1213"/>
      </w:tabs>
      <w:spacing w:before="40" w:line="240" w:lineRule="atLeast"/>
      <w:ind w:left="1452" w:hanging="1452"/>
    </w:pPr>
    <w:rPr>
      <w:sz w:val="20"/>
    </w:rPr>
  </w:style>
  <w:style w:type="paragraph" w:customStyle="1" w:styleId="CTACAPS">
    <w:name w:val="CTA CAPS"/>
    <w:basedOn w:val="OPCParaBase"/>
    <w:rsid w:val="00826806"/>
    <w:pPr>
      <w:spacing w:before="60" w:line="240" w:lineRule="atLeast"/>
    </w:pPr>
    <w:rPr>
      <w:sz w:val="20"/>
    </w:rPr>
  </w:style>
  <w:style w:type="paragraph" w:customStyle="1" w:styleId="CTAright">
    <w:name w:val="CTA right"/>
    <w:basedOn w:val="OPCParaBase"/>
    <w:rsid w:val="00826806"/>
    <w:pPr>
      <w:spacing w:before="60" w:line="240" w:lineRule="auto"/>
      <w:jc w:val="right"/>
    </w:pPr>
    <w:rPr>
      <w:sz w:val="20"/>
    </w:rPr>
  </w:style>
  <w:style w:type="paragraph" w:customStyle="1" w:styleId="subsection">
    <w:name w:val="subsection"/>
    <w:aliases w:val="ss"/>
    <w:basedOn w:val="OPCParaBase"/>
    <w:link w:val="subsectionChar"/>
    <w:rsid w:val="0082680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826806"/>
    <w:pPr>
      <w:spacing w:before="180" w:line="240" w:lineRule="auto"/>
      <w:ind w:left="1134"/>
    </w:pPr>
  </w:style>
  <w:style w:type="paragraph" w:customStyle="1" w:styleId="Formula">
    <w:name w:val="Formula"/>
    <w:basedOn w:val="OPCParaBase"/>
    <w:rsid w:val="00826806"/>
    <w:pPr>
      <w:spacing w:line="240" w:lineRule="auto"/>
      <w:ind w:left="1134"/>
    </w:pPr>
    <w:rPr>
      <w:sz w:val="20"/>
    </w:rPr>
  </w:style>
  <w:style w:type="paragraph" w:styleId="Header">
    <w:name w:val="header"/>
    <w:basedOn w:val="OPCParaBase"/>
    <w:link w:val="HeaderChar"/>
    <w:unhideWhenUsed/>
    <w:rsid w:val="0082680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26806"/>
    <w:rPr>
      <w:rFonts w:eastAsia="Times New Roman" w:cs="Times New Roman"/>
      <w:sz w:val="16"/>
      <w:lang w:eastAsia="en-AU"/>
    </w:rPr>
  </w:style>
  <w:style w:type="paragraph" w:customStyle="1" w:styleId="House">
    <w:name w:val="House"/>
    <w:basedOn w:val="OPCParaBase"/>
    <w:rsid w:val="00826806"/>
    <w:pPr>
      <w:spacing w:line="240" w:lineRule="auto"/>
    </w:pPr>
    <w:rPr>
      <w:sz w:val="28"/>
    </w:rPr>
  </w:style>
  <w:style w:type="paragraph" w:customStyle="1" w:styleId="Item">
    <w:name w:val="Item"/>
    <w:aliases w:val="i"/>
    <w:basedOn w:val="OPCParaBase"/>
    <w:next w:val="ItemHead"/>
    <w:link w:val="ItemChar"/>
    <w:rsid w:val="00826806"/>
    <w:pPr>
      <w:keepLines/>
      <w:spacing w:before="80" w:line="240" w:lineRule="auto"/>
      <w:ind w:left="709"/>
    </w:pPr>
  </w:style>
  <w:style w:type="paragraph" w:customStyle="1" w:styleId="ItemHead">
    <w:name w:val="ItemHead"/>
    <w:aliases w:val="ih"/>
    <w:basedOn w:val="OPCParaBase"/>
    <w:next w:val="Item"/>
    <w:link w:val="ItemHeadChar"/>
    <w:rsid w:val="0082680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26806"/>
    <w:pPr>
      <w:spacing w:line="240" w:lineRule="auto"/>
    </w:pPr>
    <w:rPr>
      <w:b/>
      <w:sz w:val="32"/>
    </w:rPr>
  </w:style>
  <w:style w:type="paragraph" w:customStyle="1" w:styleId="notedraft">
    <w:name w:val="note(draft)"/>
    <w:aliases w:val="nd"/>
    <w:basedOn w:val="OPCParaBase"/>
    <w:rsid w:val="00826806"/>
    <w:pPr>
      <w:spacing w:before="240" w:line="240" w:lineRule="auto"/>
      <w:ind w:left="284" w:hanging="284"/>
    </w:pPr>
    <w:rPr>
      <w:i/>
      <w:sz w:val="24"/>
    </w:rPr>
  </w:style>
  <w:style w:type="paragraph" w:customStyle="1" w:styleId="notemargin">
    <w:name w:val="note(margin)"/>
    <w:aliases w:val="nm"/>
    <w:basedOn w:val="OPCParaBase"/>
    <w:rsid w:val="00826806"/>
    <w:pPr>
      <w:tabs>
        <w:tab w:val="left" w:pos="709"/>
      </w:tabs>
      <w:spacing w:before="122" w:line="198" w:lineRule="exact"/>
      <w:ind w:left="709" w:hanging="709"/>
    </w:pPr>
    <w:rPr>
      <w:sz w:val="18"/>
    </w:rPr>
  </w:style>
  <w:style w:type="paragraph" w:customStyle="1" w:styleId="noteToPara">
    <w:name w:val="noteToPara"/>
    <w:aliases w:val="ntp"/>
    <w:basedOn w:val="OPCParaBase"/>
    <w:rsid w:val="00826806"/>
    <w:pPr>
      <w:spacing w:before="122" w:line="198" w:lineRule="exact"/>
      <w:ind w:left="2353" w:hanging="709"/>
    </w:pPr>
    <w:rPr>
      <w:sz w:val="18"/>
    </w:rPr>
  </w:style>
  <w:style w:type="paragraph" w:customStyle="1" w:styleId="noteParlAmend">
    <w:name w:val="note(ParlAmend)"/>
    <w:aliases w:val="npp"/>
    <w:basedOn w:val="OPCParaBase"/>
    <w:next w:val="ParlAmend"/>
    <w:rsid w:val="00826806"/>
    <w:pPr>
      <w:spacing w:line="240" w:lineRule="auto"/>
      <w:jc w:val="right"/>
    </w:pPr>
    <w:rPr>
      <w:rFonts w:ascii="Arial" w:hAnsi="Arial"/>
      <w:b/>
      <w:i/>
    </w:rPr>
  </w:style>
  <w:style w:type="paragraph" w:customStyle="1" w:styleId="Page1">
    <w:name w:val="Page1"/>
    <w:basedOn w:val="OPCParaBase"/>
    <w:rsid w:val="00826806"/>
    <w:pPr>
      <w:spacing w:before="5600" w:line="240" w:lineRule="auto"/>
    </w:pPr>
    <w:rPr>
      <w:b/>
      <w:sz w:val="32"/>
    </w:rPr>
  </w:style>
  <w:style w:type="paragraph" w:customStyle="1" w:styleId="PageBreak">
    <w:name w:val="PageBreak"/>
    <w:aliases w:val="pb"/>
    <w:basedOn w:val="OPCParaBase"/>
    <w:rsid w:val="00826806"/>
    <w:pPr>
      <w:spacing w:line="240" w:lineRule="auto"/>
    </w:pPr>
    <w:rPr>
      <w:sz w:val="20"/>
    </w:rPr>
  </w:style>
  <w:style w:type="paragraph" w:customStyle="1" w:styleId="paragraphsub">
    <w:name w:val="paragraph(sub)"/>
    <w:aliases w:val="aa"/>
    <w:basedOn w:val="OPCParaBase"/>
    <w:rsid w:val="00826806"/>
    <w:pPr>
      <w:tabs>
        <w:tab w:val="right" w:pos="1985"/>
      </w:tabs>
      <w:spacing w:before="40" w:line="240" w:lineRule="auto"/>
      <w:ind w:left="2098" w:hanging="2098"/>
    </w:pPr>
  </w:style>
  <w:style w:type="paragraph" w:customStyle="1" w:styleId="paragraphsub-sub">
    <w:name w:val="paragraph(sub-sub)"/>
    <w:aliases w:val="aaa"/>
    <w:basedOn w:val="OPCParaBase"/>
    <w:rsid w:val="00826806"/>
    <w:pPr>
      <w:tabs>
        <w:tab w:val="right" w:pos="2722"/>
      </w:tabs>
      <w:spacing w:before="40" w:line="240" w:lineRule="auto"/>
      <w:ind w:left="2835" w:hanging="2835"/>
    </w:pPr>
  </w:style>
  <w:style w:type="paragraph" w:customStyle="1" w:styleId="paragraph">
    <w:name w:val="paragraph"/>
    <w:aliases w:val="a"/>
    <w:basedOn w:val="OPCParaBase"/>
    <w:link w:val="paragraphChar"/>
    <w:rsid w:val="00826806"/>
    <w:pPr>
      <w:tabs>
        <w:tab w:val="right" w:pos="1531"/>
      </w:tabs>
      <w:spacing w:before="40" w:line="240" w:lineRule="auto"/>
      <w:ind w:left="1644" w:hanging="1644"/>
    </w:pPr>
  </w:style>
  <w:style w:type="paragraph" w:customStyle="1" w:styleId="ParlAmend">
    <w:name w:val="ParlAmend"/>
    <w:aliases w:val="pp"/>
    <w:basedOn w:val="OPCParaBase"/>
    <w:rsid w:val="00826806"/>
    <w:pPr>
      <w:spacing w:before="240" w:line="240" w:lineRule="atLeast"/>
      <w:ind w:hanging="567"/>
    </w:pPr>
    <w:rPr>
      <w:sz w:val="24"/>
    </w:rPr>
  </w:style>
  <w:style w:type="paragraph" w:customStyle="1" w:styleId="Penalty">
    <w:name w:val="Penalty"/>
    <w:basedOn w:val="OPCParaBase"/>
    <w:rsid w:val="00826806"/>
    <w:pPr>
      <w:tabs>
        <w:tab w:val="left" w:pos="2977"/>
      </w:tabs>
      <w:spacing w:before="180" w:line="240" w:lineRule="auto"/>
      <w:ind w:left="1985" w:hanging="851"/>
    </w:pPr>
  </w:style>
  <w:style w:type="paragraph" w:customStyle="1" w:styleId="Portfolio">
    <w:name w:val="Portfolio"/>
    <w:basedOn w:val="OPCParaBase"/>
    <w:rsid w:val="00826806"/>
    <w:pPr>
      <w:spacing w:line="240" w:lineRule="auto"/>
    </w:pPr>
    <w:rPr>
      <w:i/>
      <w:sz w:val="20"/>
    </w:rPr>
  </w:style>
  <w:style w:type="paragraph" w:customStyle="1" w:styleId="Preamble">
    <w:name w:val="Preamble"/>
    <w:basedOn w:val="OPCParaBase"/>
    <w:next w:val="Normal"/>
    <w:rsid w:val="0082680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26806"/>
    <w:pPr>
      <w:spacing w:line="240" w:lineRule="auto"/>
    </w:pPr>
    <w:rPr>
      <w:i/>
      <w:sz w:val="20"/>
    </w:rPr>
  </w:style>
  <w:style w:type="paragraph" w:customStyle="1" w:styleId="Session">
    <w:name w:val="Session"/>
    <w:basedOn w:val="OPCParaBase"/>
    <w:rsid w:val="00826806"/>
    <w:pPr>
      <w:spacing w:line="240" w:lineRule="auto"/>
    </w:pPr>
    <w:rPr>
      <w:sz w:val="28"/>
    </w:rPr>
  </w:style>
  <w:style w:type="paragraph" w:customStyle="1" w:styleId="Sponsor">
    <w:name w:val="Sponsor"/>
    <w:basedOn w:val="OPCParaBase"/>
    <w:rsid w:val="00826806"/>
    <w:pPr>
      <w:spacing w:line="240" w:lineRule="auto"/>
    </w:pPr>
    <w:rPr>
      <w:i/>
    </w:rPr>
  </w:style>
  <w:style w:type="paragraph" w:customStyle="1" w:styleId="Subitem">
    <w:name w:val="Subitem"/>
    <w:aliases w:val="iss"/>
    <w:basedOn w:val="OPCParaBase"/>
    <w:rsid w:val="00826806"/>
    <w:pPr>
      <w:spacing w:before="180" w:line="240" w:lineRule="auto"/>
      <w:ind w:left="709" w:hanging="709"/>
    </w:pPr>
  </w:style>
  <w:style w:type="paragraph" w:customStyle="1" w:styleId="SubitemHead">
    <w:name w:val="SubitemHead"/>
    <w:aliases w:val="issh"/>
    <w:basedOn w:val="OPCParaBase"/>
    <w:rsid w:val="0082680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26806"/>
    <w:pPr>
      <w:spacing w:before="40" w:line="240" w:lineRule="auto"/>
      <w:ind w:left="1134"/>
    </w:pPr>
  </w:style>
  <w:style w:type="paragraph" w:customStyle="1" w:styleId="SubsectionHead">
    <w:name w:val="SubsectionHead"/>
    <w:aliases w:val="ssh"/>
    <w:basedOn w:val="OPCParaBase"/>
    <w:next w:val="subsection"/>
    <w:rsid w:val="00826806"/>
    <w:pPr>
      <w:keepNext/>
      <w:keepLines/>
      <w:spacing w:before="240" w:line="240" w:lineRule="auto"/>
      <w:ind w:left="1134"/>
    </w:pPr>
    <w:rPr>
      <w:i/>
    </w:rPr>
  </w:style>
  <w:style w:type="paragraph" w:customStyle="1" w:styleId="Tablea">
    <w:name w:val="Table(a)"/>
    <w:aliases w:val="ta"/>
    <w:basedOn w:val="OPCParaBase"/>
    <w:rsid w:val="00826806"/>
    <w:pPr>
      <w:spacing w:before="60" w:line="240" w:lineRule="auto"/>
      <w:ind w:left="284" w:hanging="284"/>
    </w:pPr>
    <w:rPr>
      <w:sz w:val="20"/>
    </w:rPr>
  </w:style>
  <w:style w:type="paragraph" w:customStyle="1" w:styleId="TableAA">
    <w:name w:val="Table(AA)"/>
    <w:aliases w:val="taaa"/>
    <w:basedOn w:val="OPCParaBase"/>
    <w:rsid w:val="0082680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2680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26806"/>
    <w:pPr>
      <w:spacing w:before="60" w:line="240" w:lineRule="atLeast"/>
    </w:pPr>
    <w:rPr>
      <w:sz w:val="20"/>
    </w:rPr>
  </w:style>
  <w:style w:type="paragraph" w:customStyle="1" w:styleId="TLPBoxTextnote">
    <w:name w:val="TLPBoxText(note"/>
    <w:aliases w:val="right)"/>
    <w:basedOn w:val="OPCParaBase"/>
    <w:rsid w:val="0082680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2680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26806"/>
    <w:pPr>
      <w:spacing w:before="122" w:line="198" w:lineRule="exact"/>
      <w:ind w:left="1985" w:hanging="851"/>
      <w:jc w:val="right"/>
    </w:pPr>
    <w:rPr>
      <w:sz w:val="18"/>
    </w:rPr>
  </w:style>
  <w:style w:type="paragraph" w:customStyle="1" w:styleId="TLPTableBullet">
    <w:name w:val="TLPTableBullet"/>
    <w:aliases w:val="ttb"/>
    <w:basedOn w:val="OPCParaBase"/>
    <w:rsid w:val="00826806"/>
    <w:pPr>
      <w:spacing w:line="240" w:lineRule="exact"/>
      <w:ind w:left="284" w:hanging="284"/>
    </w:pPr>
    <w:rPr>
      <w:sz w:val="20"/>
    </w:rPr>
  </w:style>
  <w:style w:type="paragraph" w:styleId="TOC1">
    <w:name w:val="toc 1"/>
    <w:basedOn w:val="OPCParaBase"/>
    <w:next w:val="Normal"/>
    <w:uiPriority w:val="39"/>
    <w:semiHidden/>
    <w:unhideWhenUsed/>
    <w:rsid w:val="0082680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2680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2680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2680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26806"/>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82680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2680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2680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2680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26806"/>
    <w:pPr>
      <w:keepLines/>
      <w:spacing w:before="240" w:after="120" w:line="240" w:lineRule="auto"/>
      <w:ind w:left="794"/>
    </w:pPr>
    <w:rPr>
      <w:b/>
      <w:kern w:val="28"/>
      <w:sz w:val="20"/>
    </w:rPr>
  </w:style>
  <w:style w:type="paragraph" w:customStyle="1" w:styleId="TofSectsHeading">
    <w:name w:val="TofSects(Heading)"/>
    <w:basedOn w:val="OPCParaBase"/>
    <w:rsid w:val="00826806"/>
    <w:pPr>
      <w:spacing w:before="240" w:after="120" w:line="240" w:lineRule="auto"/>
    </w:pPr>
    <w:rPr>
      <w:b/>
      <w:sz w:val="24"/>
    </w:rPr>
  </w:style>
  <w:style w:type="paragraph" w:customStyle="1" w:styleId="TofSectsSection">
    <w:name w:val="TofSects(Section)"/>
    <w:basedOn w:val="OPCParaBase"/>
    <w:rsid w:val="00826806"/>
    <w:pPr>
      <w:keepLines/>
      <w:spacing w:before="40" w:line="240" w:lineRule="auto"/>
      <w:ind w:left="1588" w:hanging="794"/>
    </w:pPr>
    <w:rPr>
      <w:kern w:val="28"/>
      <w:sz w:val="18"/>
    </w:rPr>
  </w:style>
  <w:style w:type="paragraph" w:customStyle="1" w:styleId="TofSectsSubdiv">
    <w:name w:val="TofSects(Subdiv)"/>
    <w:basedOn w:val="OPCParaBase"/>
    <w:rsid w:val="00826806"/>
    <w:pPr>
      <w:keepLines/>
      <w:spacing w:before="80" w:line="240" w:lineRule="auto"/>
      <w:ind w:left="1588" w:hanging="794"/>
    </w:pPr>
    <w:rPr>
      <w:kern w:val="28"/>
    </w:rPr>
  </w:style>
  <w:style w:type="paragraph" w:customStyle="1" w:styleId="WRStyle">
    <w:name w:val="WR Style"/>
    <w:aliases w:val="WR"/>
    <w:basedOn w:val="OPCParaBase"/>
    <w:rsid w:val="00826806"/>
    <w:pPr>
      <w:spacing w:before="240" w:line="240" w:lineRule="auto"/>
      <w:ind w:left="284" w:hanging="284"/>
    </w:pPr>
    <w:rPr>
      <w:b/>
      <w:i/>
      <w:kern w:val="28"/>
      <w:sz w:val="24"/>
    </w:rPr>
  </w:style>
  <w:style w:type="paragraph" w:customStyle="1" w:styleId="notepara">
    <w:name w:val="note(para)"/>
    <w:aliases w:val="na"/>
    <w:basedOn w:val="OPCParaBase"/>
    <w:rsid w:val="00826806"/>
    <w:pPr>
      <w:spacing w:before="40" w:line="198" w:lineRule="exact"/>
      <w:ind w:left="2354" w:hanging="369"/>
    </w:pPr>
    <w:rPr>
      <w:sz w:val="18"/>
    </w:rPr>
  </w:style>
  <w:style w:type="paragraph" w:styleId="Footer">
    <w:name w:val="footer"/>
    <w:link w:val="FooterChar"/>
    <w:rsid w:val="0082680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26806"/>
    <w:rPr>
      <w:rFonts w:eastAsia="Times New Roman" w:cs="Times New Roman"/>
      <w:sz w:val="22"/>
      <w:szCs w:val="24"/>
      <w:lang w:eastAsia="en-AU"/>
    </w:rPr>
  </w:style>
  <w:style w:type="character" w:styleId="LineNumber">
    <w:name w:val="line number"/>
    <w:basedOn w:val="OPCCharBase"/>
    <w:uiPriority w:val="99"/>
    <w:semiHidden/>
    <w:unhideWhenUsed/>
    <w:rsid w:val="00826806"/>
    <w:rPr>
      <w:sz w:val="16"/>
    </w:rPr>
  </w:style>
  <w:style w:type="table" w:customStyle="1" w:styleId="CFlag">
    <w:name w:val="CFlag"/>
    <w:basedOn w:val="TableNormal"/>
    <w:uiPriority w:val="99"/>
    <w:rsid w:val="00826806"/>
    <w:rPr>
      <w:rFonts w:eastAsia="Times New Roman" w:cs="Times New Roman"/>
      <w:lang w:eastAsia="en-AU"/>
    </w:rPr>
    <w:tblPr/>
  </w:style>
  <w:style w:type="paragraph" w:customStyle="1" w:styleId="SignCoverPageEnd">
    <w:name w:val="SignCoverPageEnd"/>
    <w:basedOn w:val="OPCParaBase"/>
    <w:next w:val="Normal"/>
    <w:rsid w:val="0082680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26806"/>
    <w:pPr>
      <w:pBdr>
        <w:top w:val="single" w:sz="4" w:space="1" w:color="auto"/>
      </w:pBdr>
      <w:spacing w:before="360"/>
      <w:ind w:right="397"/>
      <w:jc w:val="both"/>
    </w:pPr>
  </w:style>
  <w:style w:type="paragraph" w:customStyle="1" w:styleId="ENotesText">
    <w:name w:val="ENotesText"/>
    <w:aliases w:val="Ent"/>
    <w:basedOn w:val="OPCParaBase"/>
    <w:next w:val="Normal"/>
    <w:rsid w:val="00826806"/>
    <w:pPr>
      <w:spacing w:before="120"/>
    </w:pPr>
  </w:style>
  <w:style w:type="paragraph" w:customStyle="1" w:styleId="Paragraphsub-sub-sub">
    <w:name w:val="Paragraph(sub-sub-sub)"/>
    <w:aliases w:val="aaaa"/>
    <w:basedOn w:val="OPCParaBase"/>
    <w:rsid w:val="0082680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2680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2680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2680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2680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26806"/>
    <w:pPr>
      <w:spacing w:before="60" w:line="240" w:lineRule="auto"/>
    </w:pPr>
    <w:rPr>
      <w:rFonts w:cs="Arial"/>
      <w:sz w:val="20"/>
      <w:szCs w:val="22"/>
    </w:rPr>
  </w:style>
  <w:style w:type="paragraph" w:customStyle="1" w:styleId="TableHeading">
    <w:name w:val="TableHeading"/>
    <w:aliases w:val="th"/>
    <w:basedOn w:val="OPCParaBase"/>
    <w:next w:val="Tabletext"/>
    <w:rsid w:val="00826806"/>
    <w:pPr>
      <w:keepNext/>
      <w:spacing w:before="60" w:line="240" w:lineRule="atLeast"/>
    </w:pPr>
    <w:rPr>
      <w:b/>
      <w:sz w:val="20"/>
    </w:rPr>
  </w:style>
  <w:style w:type="paragraph" w:customStyle="1" w:styleId="NoteToSubpara">
    <w:name w:val="NoteToSubpara"/>
    <w:aliases w:val="nts"/>
    <w:basedOn w:val="OPCParaBase"/>
    <w:rsid w:val="00826806"/>
    <w:pPr>
      <w:spacing w:before="40" w:line="198" w:lineRule="exact"/>
      <w:ind w:left="2835" w:hanging="709"/>
    </w:pPr>
    <w:rPr>
      <w:sz w:val="18"/>
    </w:rPr>
  </w:style>
  <w:style w:type="paragraph" w:customStyle="1" w:styleId="ENoteTableHeading">
    <w:name w:val="ENoteTableHeading"/>
    <w:aliases w:val="enth"/>
    <w:basedOn w:val="OPCParaBase"/>
    <w:rsid w:val="00826806"/>
    <w:pPr>
      <w:keepNext/>
      <w:spacing w:before="60" w:line="240" w:lineRule="atLeast"/>
    </w:pPr>
    <w:rPr>
      <w:rFonts w:ascii="Arial" w:hAnsi="Arial"/>
      <w:b/>
      <w:sz w:val="16"/>
    </w:rPr>
  </w:style>
  <w:style w:type="paragraph" w:customStyle="1" w:styleId="ENoteTableText">
    <w:name w:val="ENoteTableText"/>
    <w:aliases w:val="entt"/>
    <w:basedOn w:val="OPCParaBase"/>
    <w:rsid w:val="00826806"/>
    <w:pPr>
      <w:spacing w:before="60" w:line="240" w:lineRule="atLeast"/>
    </w:pPr>
    <w:rPr>
      <w:sz w:val="16"/>
    </w:rPr>
  </w:style>
  <w:style w:type="paragraph" w:customStyle="1" w:styleId="ENoteTTi">
    <w:name w:val="ENoteTTi"/>
    <w:aliases w:val="entti"/>
    <w:basedOn w:val="OPCParaBase"/>
    <w:rsid w:val="00826806"/>
    <w:pPr>
      <w:keepNext/>
      <w:spacing w:before="60" w:line="240" w:lineRule="atLeast"/>
      <w:ind w:left="170"/>
    </w:pPr>
    <w:rPr>
      <w:sz w:val="16"/>
    </w:rPr>
  </w:style>
  <w:style w:type="paragraph" w:customStyle="1" w:styleId="ENoteTTIndentHeading">
    <w:name w:val="ENoteTTIndentHeading"/>
    <w:aliases w:val="enTTHi"/>
    <w:basedOn w:val="OPCParaBase"/>
    <w:rsid w:val="00826806"/>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826806"/>
    <w:pPr>
      <w:spacing w:before="120"/>
      <w:outlineLvl w:val="1"/>
    </w:pPr>
    <w:rPr>
      <w:b/>
      <w:sz w:val="28"/>
      <w:szCs w:val="28"/>
    </w:rPr>
  </w:style>
  <w:style w:type="paragraph" w:customStyle="1" w:styleId="ENotesHeading2">
    <w:name w:val="ENotesHeading 2"/>
    <w:aliases w:val="Enh2"/>
    <w:basedOn w:val="OPCParaBase"/>
    <w:next w:val="Normal"/>
    <w:rsid w:val="00826806"/>
    <w:pPr>
      <w:spacing w:before="120" w:after="120"/>
      <w:outlineLvl w:val="2"/>
    </w:pPr>
    <w:rPr>
      <w:b/>
      <w:sz w:val="24"/>
      <w:szCs w:val="28"/>
    </w:rPr>
  </w:style>
  <w:style w:type="paragraph" w:customStyle="1" w:styleId="MadeunderText">
    <w:name w:val="MadeunderText"/>
    <w:basedOn w:val="OPCParaBase"/>
    <w:next w:val="Normal"/>
    <w:rsid w:val="00826806"/>
    <w:pPr>
      <w:spacing w:before="240"/>
    </w:pPr>
    <w:rPr>
      <w:sz w:val="24"/>
      <w:szCs w:val="24"/>
    </w:rPr>
  </w:style>
  <w:style w:type="paragraph" w:customStyle="1" w:styleId="ENotesHeading3">
    <w:name w:val="ENotesHeading 3"/>
    <w:aliases w:val="Enh3"/>
    <w:basedOn w:val="OPCParaBase"/>
    <w:next w:val="Normal"/>
    <w:rsid w:val="00826806"/>
    <w:pPr>
      <w:keepNext/>
      <w:spacing w:before="120" w:line="240" w:lineRule="auto"/>
      <w:outlineLvl w:val="4"/>
    </w:pPr>
    <w:rPr>
      <w:b/>
      <w:szCs w:val="24"/>
    </w:rPr>
  </w:style>
  <w:style w:type="character" w:customStyle="1" w:styleId="CharSubPartNoCASA">
    <w:name w:val="CharSubPartNo(CASA)"/>
    <w:basedOn w:val="OPCCharBase"/>
    <w:uiPriority w:val="1"/>
    <w:rsid w:val="00826806"/>
  </w:style>
  <w:style w:type="character" w:customStyle="1" w:styleId="CharSubPartTextCASA">
    <w:name w:val="CharSubPartText(CASA)"/>
    <w:basedOn w:val="OPCCharBase"/>
    <w:uiPriority w:val="1"/>
    <w:rsid w:val="00826806"/>
  </w:style>
  <w:style w:type="paragraph" w:customStyle="1" w:styleId="SubPartCASA">
    <w:name w:val="SubPart(CASA)"/>
    <w:aliases w:val="csp"/>
    <w:basedOn w:val="OPCParaBase"/>
    <w:next w:val="ActHead3"/>
    <w:rsid w:val="00826806"/>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826806"/>
    <w:pPr>
      <w:keepNext/>
      <w:spacing w:before="60" w:line="240" w:lineRule="atLeast"/>
      <w:ind w:left="340"/>
    </w:pPr>
    <w:rPr>
      <w:b/>
      <w:sz w:val="16"/>
    </w:rPr>
  </w:style>
  <w:style w:type="paragraph" w:customStyle="1" w:styleId="ENoteTTiSub">
    <w:name w:val="ENoteTTiSub"/>
    <w:aliases w:val="enttis"/>
    <w:basedOn w:val="OPCParaBase"/>
    <w:rsid w:val="00826806"/>
    <w:pPr>
      <w:keepNext/>
      <w:spacing w:before="60" w:line="240" w:lineRule="atLeast"/>
      <w:ind w:left="340"/>
    </w:pPr>
    <w:rPr>
      <w:sz w:val="16"/>
    </w:rPr>
  </w:style>
  <w:style w:type="paragraph" w:customStyle="1" w:styleId="SubDivisionMigration">
    <w:name w:val="SubDivisionMigration"/>
    <w:aliases w:val="sdm"/>
    <w:basedOn w:val="OPCParaBase"/>
    <w:rsid w:val="0082680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26806"/>
    <w:pPr>
      <w:keepNext/>
      <w:keepLines/>
      <w:spacing w:before="240" w:line="240" w:lineRule="auto"/>
      <w:ind w:left="1134" w:hanging="1134"/>
    </w:pPr>
    <w:rPr>
      <w:b/>
      <w:sz w:val="28"/>
    </w:rPr>
  </w:style>
  <w:style w:type="table" w:styleId="TableGrid">
    <w:name w:val="Table Grid"/>
    <w:basedOn w:val="TableNormal"/>
    <w:uiPriority w:val="59"/>
    <w:rsid w:val="00826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26806"/>
    <w:pPr>
      <w:spacing w:before="122" w:line="240" w:lineRule="auto"/>
      <w:ind w:left="1985" w:hanging="851"/>
    </w:pPr>
    <w:rPr>
      <w:sz w:val="18"/>
    </w:rPr>
  </w:style>
  <w:style w:type="paragraph" w:customStyle="1" w:styleId="FreeForm">
    <w:name w:val="FreeForm"/>
    <w:rsid w:val="00746C1A"/>
    <w:rPr>
      <w:rFonts w:ascii="Arial" w:hAnsi="Arial"/>
      <w:sz w:val="22"/>
    </w:rPr>
  </w:style>
  <w:style w:type="paragraph" w:customStyle="1" w:styleId="SOText">
    <w:name w:val="SO Text"/>
    <w:aliases w:val="sot"/>
    <w:link w:val="SOTextChar"/>
    <w:rsid w:val="0082680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26806"/>
    <w:rPr>
      <w:sz w:val="22"/>
    </w:rPr>
  </w:style>
  <w:style w:type="paragraph" w:customStyle="1" w:styleId="SOTextNote">
    <w:name w:val="SO TextNote"/>
    <w:aliases w:val="sont"/>
    <w:basedOn w:val="SOText"/>
    <w:qFormat/>
    <w:rsid w:val="00826806"/>
    <w:pPr>
      <w:spacing w:before="122" w:line="198" w:lineRule="exact"/>
      <w:ind w:left="1843" w:hanging="709"/>
    </w:pPr>
    <w:rPr>
      <w:sz w:val="18"/>
    </w:rPr>
  </w:style>
  <w:style w:type="paragraph" w:customStyle="1" w:styleId="SOPara">
    <w:name w:val="SO Para"/>
    <w:aliases w:val="soa"/>
    <w:basedOn w:val="SOText"/>
    <w:link w:val="SOParaChar"/>
    <w:qFormat/>
    <w:rsid w:val="00826806"/>
    <w:pPr>
      <w:tabs>
        <w:tab w:val="right" w:pos="1786"/>
      </w:tabs>
      <w:spacing w:before="40"/>
      <w:ind w:left="2070" w:hanging="936"/>
    </w:pPr>
  </w:style>
  <w:style w:type="character" w:customStyle="1" w:styleId="SOParaChar">
    <w:name w:val="SO Para Char"/>
    <w:aliases w:val="soa Char"/>
    <w:basedOn w:val="DefaultParagraphFont"/>
    <w:link w:val="SOPara"/>
    <w:rsid w:val="00826806"/>
    <w:rPr>
      <w:sz w:val="22"/>
    </w:rPr>
  </w:style>
  <w:style w:type="paragraph" w:customStyle="1" w:styleId="SOBullet">
    <w:name w:val="SO Bullet"/>
    <w:aliases w:val="sotb"/>
    <w:basedOn w:val="SOText"/>
    <w:link w:val="SOBulletChar"/>
    <w:qFormat/>
    <w:rsid w:val="00826806"/>
    <w:pPr>
      <w:ind w:left="1559" w:hanging="425"/>
    </w:pPr>
  </w:style>
  <w:style w:type="character" w:customStyle="1" w:styleId="SOBulletChar">
    <w:name w:val="SO Bullet Char"/>
    <w:aliases w:val="sotb Char"/>
    <w:basedOn w:val="DefaultParagraphFont"/>
    <w:link w:val="SOBullet"/>
    <w:rsid w:val="00826806"/>
    <w:rPr>
      <w:sz w:val="22"/>
    </w:rPr>
  </w:style>
  <w:style w:type="paragraph" w:customStyle="1" w:styleId="SOBulletNote">
    <w:name w:val="SO BulletNote"/>
    <w:aliases w:val="sonb"/>
    <w:basedOn w:val="SOTextNote"/>
    <w:link w:val="SOBulletNoteChar"/>
    <w:qFormat/>
    <w:rsid w:val="00826806"/>
    <w:pPr>
      <w:tabs>
        <w:tab w:val="left" w:pos="1560"/>
      </w:tabs>
      <w:ind w:left="2268" w:hanging="1134"/>
    </w:pPr>
  </w:style>
  <w:style w:type="character" w:customStyle="1" w:styleId="SOBulletNoteChar">
    <w:name w:val="SO BulletNote Char"/>
    <w:aliases w:val="sonb Char"/>
    <w:basedOn w:val="DefaultParagraphFont"/>
    <w:link w:val="SOBulletNote"/>
    <w:rsid w:val="00826806"/>
    <w:rPr>
      <w:sz w:val="18"/>
    </w:rPr>
  </w:style>
  <w:style w:type="paragraph" w:customStyle="1" w:styleId="FileName">
    <w:name w:val="FileName"/>
    <w:basedOn w:val="Normal"/>
    <w:rsid w:val="00826806"/>
  </w:style>
  <w:style w:type="paragraph" w:customStyle="1" w:styleId="SOHeadBold">
    <w:name w:val="SO HeadBold"/>
    <w:aliases w:val="sohb"/>
    <w:basedOn w:val="SOText"/>
    <w:next w:val="SOText"/>
    <w:link w:val="SOHeadBoldChar"/>
    <w:qFormat/>
    <w:rsid w:val="00826806"/>
    <w:rPr>
      <w:b/>
    </w:rPr>
  </w:style>
  <w:style w:type="character" w:customStyle="1" w:styleId="SOHeadBoldChar">
    <w:name w:val="SO HeadBold Char"/>
    <w:aliases w:val="sohb Char"/>
    <w:basedOn w:val="DefaultParagraphFont"/>
    <w:link w:val="SOHeadBold"/>
    <w:rsid w:val="00826806"/>
    <w:rPr>
      <w:b/>
      <w:sz w:val="22"/>
    </w:rPr>
  </w:style>
  <w:style w:type="paragraph" w:customStyle="1" w:styleId="SOHeadItalic">
    <w:name w:val="SO HeadItalic"/>
    <w:aliases w:val="sohi"/>
    <w:basedOn w:val="SOText"/>
    <w:next w:val="SOText"/>
    <w:link w:val="SOHeadItalicChar"/>
    <w:qFormat/>
    <w:rsid w:val="00826806"/>
    <w:rPr>
      <w:i/>
    </w:rPr>
  </w:style>
  <w:style w:type="character" w:customStyle="1" w:styleId="SOHeadItalicChar">
    <w:name w:val="SO HeadItalic Char"/>
    <w:aliases w:val="sohi Char"/>
    <w:basedOn w:val="DefaultParagraphFont"/>
    <w:link w:val="SOHeadItalic"/>
    <w:rsid w:val="00826806"/>
    <w:rPr>
      <w:i/>
      <w:sz w:val="22"/>
    </w:rPr>
  </w:style>
  <w:style w:type="paragraph" w:customStyle="1" w:styleId="SOText2">
    <w:name w:val="SO Text2"/>
    <w:aliases w:val="sot2"/>
    <w:basedOn w:val="Normal"/>
    <w:next w:val="SOText"/>
    <w:link w:val="SOText2Char"/>
    <w:rsid w:val="0082680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26806"/>
    <w:rPr>
      <w:sz w:val="22"/>
    </w:rPr>
  </w:style>
  <w:style w:type="paragraph" w:customStyle="1" w:styleId="ETAsubitem">
    <w:name w:val="ETA(subitem)"/>
    <w:basedOn w:val="OPCParaBase"/>
    <w:rsid w:val="00826806"/>
    <w:pPr>
      <w:tabs>
        <w:tab w:val="right" w:pos="340"/>
      </w:tabs>
      <w:spacing w:before="60" w:line="240" w:lineRule="auto"/>
      <w:ind w:left="454" w:hanging="454"/>
    </w:pPr>
    <w:rPr>
      <w:sz w:val="20"/>
    </w:rPr>
  </w:style>
  <w:style w:type="paragraph" w:customStyle="1" w:styleId="ETApara">
    <w:name w:val="ETA(para)"/>
    <w:basedOn w:val="OPCParaBase"/>
    <w:rsid w:val="00826806"/>
    <w:pPr>
      <w:tabs>
        <w:tab w:val="right" w:pos="754"/>
      </w:tabs>
      <w:spacing w:before="60" w:line="240" w:lineRule="auto"/>
      <w:ind w:left="828" w:hanging="828"/>
    </w:pPr>
    <w:rPr>
      <w:sz w:val="20"/>
    </w:rPr>
  </w:style>
  <w:style w:type="paragraph" w:customStyle="1" w:styleId="ETAsubpara">
    <w:name w:val="ETA(subpara)"/>
    <w:basedOn w:val="OPCParaBase"/>
    <w:rsid w:val="00826806"/>
    <w:pPr>
      <w:tabs>
        <w:tab w:val="right" w:pos="1083"/>
      </w:tabs>
      <w:spacing w:before="60" w:line="240" w:lineRule="auto"/>
      <w:ind w:left="1191" w:hanging="1191"/>
    </w:pPr>
    <w:rPr>
      <w:sz w:val="20"/>
    </w:rPr>
  </w:style>
  <w:style w:type="paragraph" w:customStyle="1" w:styleId="ETAsub-subpara">
    <w:name w:val="ETA(sub-subpara)"/>
    <w:basedOn w:val="OPCParaBase"/>
    <w:rsid w:val="0082680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826806"/>
    <w:rPr>
      <w:b/>
      <w:sz w:val="28"/>
      <w:szCs w:val="28"/>
    </w:rPr>
  </w:style>
  <w:style w:type="paragraph" w:customStyle="1" w:styleId="NotesHeading2">
    <w:name w:val="NotesHeading 2"/>
    <w:basedOn w:val="OPCParaBase"/>
    <w:next w:val="Normal"/>
    <w:rsid w:val="00826806"/>
    <w:rPr>
      <w:b/>
      <w:sz w:val="28"/>
      <w:szCs w:val="28"/>
    </w:rPr>
  </w:style>
  <w:style w:type="paragraph" w:customStyle="1" w:styleId="Transitional">
    <w:name w:val="Transitional"/>
    <w:aliases w:val="tr"/>
    <w:basedOn w:val="ItemHead"/>
    <w:next w:val="Item"/>
    <w:rsid w:val="00826806"/>
  </w:style>
  <w:style w:type="character" w:customStyle="1" w:styleId="Heading1Char">
    <w:name w:val="Heading 1 Char"/>
    <w:basedOn w:val="DefaultParagraphFont"/>
    <w:link w:val="Heading1"/>
    <w:uiPriority w:val="9"/>
    <w:rsid w:val="00AC07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C07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C079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C079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C079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AC079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C079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C079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0791"/>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135F20"/>
    <w:rPr>
      <w:rFonts w:eastAsia="Times New Roman" w:cs="Times New Roman"/>
      <w:sz w:val="22"/>
      <w:lang w:eastAsia="en-AU"/>
    </w:rPr>
  </w:style>
  <w:style w:type="character" w:customStyle="1" w:styleId="paragraphChar">
    <w:name w:val="paragraph Char"/>
    <w:aliases w:val="a Char"/>
    <w:link w:val="paragraph"/>
    <w:rsid w:val="00135F20"/>
    <w:rPr>
      <w:rFonts w:eastAsia="Times New Roman" w:cs="Times New Roman"/>
      <w:sz w:val="22"/>
      <w:lang w:eastAsia="en-AU"/>
    </w:rPr>
  </w:style>
  <w:style w:type="character" w:customStyle="1" w:styleId="ActHead5Char">
    <w:name w:val="ActHead 5 Char"/>
    <w:aliases w:val="s Char"/>
    <w:link w:val="ActHead5"/>
    <w:rsid w:val="00135F20"/>
    <w:rPr>
      <w:rFonts w:eastAsia="Times New Roman" w:cs="Times New Roman"/>
      <w:b/>
      <w:kern w:val="28"/>
      <w:sz w:val="24"/>
      <w:lang w:eastAsia="en-AU"/>
    </w:rPr>
  </w:style>
  <w:style w:type="character" w:customStyle="1" w:styleId="notetextChar">
    <w:name w:val="note(text) Char"/>
    <w:aliases w:val="n Char"/>
    <w:link w:val="notetext"/>
    <w:rsid w:val="00135F20"/>
    <w:rPr>
      <w:rFonts w:eastAsia="Times New Roman" w:cs="Times New Roman"/>
      <w:sz w:val="18"/>
      <w:lang w:eastAsia="en-AU"/>
    </w:rPr>
  </w:style>
  <w:style w:type="character" w:customStyle="1" w:styleId="ItemHeadChar">
    <w:name w:val="ItemHead Char"/>
    <w:aliases w:val="ih Char"/>
    <w:basedOn w:val="DefaultParagraphFont"/>
    <w:link w:val="ItemHead"/>
    <w:rsid w:val="00135F20"/>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135F20"/>
    <w:rPr>
      <w:rFonts w:eastAsia="Times New Roman" w:cs="Times New Roman"/>
      <w:sz w:val="22"/>
      <w:lang w:eastAsia="en-AU"/>
    </w:rPr>
  </w:style>
  <w:style w:type="paragraph" w:customStyle="1" w:styleId="tableSub-heading">
    <w:name w:val="table.Sub-heading"/>
    <w:basedOn w:val="Normal"/>
    <w:rsid w:val="00135F20"/>
    <w:pPr>
      <w:keepNext/>
      <w:tabs>
        <w:tab w:val="left" w:leader="dot" w:pos="6124"/>
      </w:tabs>
      <w:spacing w:before="24" w:after="24" w:line="240" w:lineRule="auto"/>
    </w:pPr>
    <w:rPr>
      <w:rFonts w:eastAsia="Calibri" w:cs="Times New Roman"/>
      <w:b/>
      <w:sz w:val="20"/>
    </w:rPr>
  </w:style>
  <w:style w:type="paragraph" w:customStyle="1" w:styleId="tableText0">
    <w:name w:val="table.Text"/>
    <w:basedOn w:val="Normal"/>
    <w:rsid w:val="00135F20"/>
    <w:pPr>
      <w:spacing w:before="24" w:after="24"/>
    </w:pPr>
    <w:rPr>
      <w:rFonts w:eastAsia="Calibri" w:cs="Times New Roman"/>
      <w:sz w:val="20"/>
    </w:rPr>
  </w:style>
  <w:style w:type="paragraph" w:customStyle="1" w:styleId="tableIndentText">
    <w:name w:val="table.Indent.Text"/>
    <w:rsid w:val="00135F20"/>
    <w:pPr>
      <w:tabs>
        <w:tab w:val="left" w:leader="dot" w:pos="5245"/>
      </w:tabs>
      <w:spacing w:before="24" w:after="24"/>
      <w:ind w:left="851" w:hanging="284"/>
    </w:pPr>
    <w:rPr>
      <w:rFonts w:ascii="Times" w:eastAsia="Times New Roman" w:hAnsi="Times" w:cs="Times New Roman"/>
    </w:rPr>
  </w:style>
  <w:style w:type="character" w:customStyle="1" w:styleId="DefinitionChar">
    <w:name w:val="Definition Char"/>
    <w:aliases w:val="dd Char"/>
    <w:link w:val="Definition"/>
    <w:rsid w:val="00135F20"/>
    <w:rPr>
      <w:rFonts w:eastAsia="Times New Roman" w:cs="Times New Roman"/>
      <w:sz w:val="22"/>
      <w:lang w:eastAsia="en-AU"/>
    </w:rPr>
  </w:style>
  <w:style w:type="character" w:styleId="Hyperlink">
    <w:name w:val="Hyperlink"/>
    <w:basedOn w:val="DefaultParagraphFont"/>
    <w:uiPriority w:val="99"/>
    <w:semiHidden/>
    <w:unhideWhenUsed/>
    <w:rsid w:val="006B058E"/>
    <w:rPr>
      <w:color w:val="0000FF" w:themeColor="hyperlink"/>
      <w:u w:val="single"/>
    </w:rPr>
  </w:style>
  <w:style w:type="character" w:styleId="FollowedHyperlink">
    <w:name w:val="FollowedHyperlink"/>
    <w:basedOn w:val="DefaultParagraphFont"/>
    <w:uiPriority w:val="99"/>
    <w:semiHidden/>
    <w:unhideWhenUsed/>
    <w:rsid w:val="006B058E"/>
    <w:rPr>
      <w:color w:val="0000FF" w:themeColor="hyperlink"/>
      <w:u w:val="single"/>
    </w:rPr>
  </w:style>
  <w:style w:type="paragraph" w:customStyle="1" w:styleId="ShortTP1">
    <w:name w:val="ShortTP1"/>
    <w:basedOn w:val="ShortT"/>
    <w:link w:val="ShortTP1Char"/>
    <w:rsid w:val="002E36F5"/>
    <w:pPr>
      <w:spacing w:before="800"/>
    </w:pPr>
  </w:style>
  <w:style w:type="character" w:customStyle="1" w:styleId="ShortTP1Char">
    <w:name w:val="ShortTP1 Char"/>
    <w:basedOn w:val="DefaultParagraphFont"/>
    <w:link w:val="ShortTP1"/>
    <w:rsid w:val="002E36F5"/>
    <w:rPr>
      <w:rFonts w:eastAsia="Times New Roman" w:cs="Times New Roman"/>
      <w:b/>
      <w:sz w:val="40"/>
      <w:lang w:eastAsia="en-AU"/>
    </w:rPr>
  </w:style>
  <w:style w:type="paragraph" w:customStyle="1" w:styleId="ActNoP1">
    <w:name w:val="ActNoP1"/>
    <w:basedOn w:val="Actno"/>
    <w:link w:val="ActNoP1Char"/>
    <w:rsid w:val="002E36F5"/>
    <w:pPr>
      <w:spacing w:before="800"/>
    </w:pPr>
    <w:rPr>
      <w:sz w:val="28"/>
    </w:rPr>
  </w:style>
  <w:style w:type="character" w:customStyle="1" w:styleId="ActNoP1Char">
    <w:name w:val="ActNoP1 Char"/>
    <w:basedOn w:val="DefaultParagraphFont"/>
    <w:link w:val="ActNoP1"/>
    <w:rsid w:val="002E36F5"/>
    <w:rPr>
      <w:rFonts w:eastAsia="Times New Roman" w:cs="Times New Roman"/>
      <w:b/>
      <w:sz w:val="28"/>
      <w:lang w:eastAsia="en-AU"/>
    </w:rPr>
  </w:style>
  <w:style w:type="paragraph" w:customStyle="1" w:styleId="AssentBk">
    <w:name w:val="AssentBk"/>
    <w:basedOn w:val="Normal"/>
    <w:rsid w:val="002E36F5"/>
    <w:pPr>
      <w:spacing w:line="240" w:lineRule="auto"/>
    </w:pPr>
    <w:rPr>
      <w:rFonts w:eastAsia="Times New Roman" w:cs="Times New Roman"/>
      <w:sz w:val="20"/>
      <w:lang w:eastAsia="en-AU"/>
    </w:rPr>
  </w:style>
  <w:style w:type="paragraph" w:customStyle="1" w:styleId="AssentDt">
    <w:name w:val="AssentDt"/>
    <w:basedOn w:val="Normal"/>
    <w:rsid w:val="00937CF5"/>
    <w:pPr>
      <w:spacing w:line="240" w:lineRule="auto"/>
    </w:pPr>
    <w:rPr>
      <w:rFonts w:eastAsia="Times New Roman" w:cs="Times New Roman"/>
      <w:sz w:val="20"/>
      <w:lang w:eastAsia="en-AU"/>
    </w:rPr>
  </w:style>
  <w:style w:type="paragraph" w:customStyle="1" w:styleId="2ndRd">
    <w:name w:val="2ndRd"/>
    <w:basedOn w:val="Normal"/>
    <w:rsid w:val="00937CF5"/>
    <w:pPr>
      <w:spacing w:line="240" w:lineRule="auto"/>
    </w:pPr>
    <w:rPr>
      <w:rFonts w:eastAsia="Times New Roman" w:cs="Times New Roman"/>
      <w:sz w:val="20"/>
      <w:lang w:eastAsia="en-AU"/>
    </w:rPr>
  </w:style>
  <w:style w:type="paragraph" w:customStyle="1" w:styleId="ScalePlusRef">
    <w:name w:val="ScalePlusRef"/>
    <w:basedOn w:val="Normal"/>
    <w:rsid w:val="00937CF5"/>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26806"/>
    <w:pPr>
      <w:spacing w:line="260" w:lineRule="atLeast"/>
    </w:pPr>
    <w:rPr>
      <w:sz w:val="22"/>
    </w:rPr>
  </w:style>
  <w:style w:type="paragraph" w:styleId="Heading1">
    <w:name w:val="heading 1"/>
    <w:basedOn w:val="Normal"/>
    <w:next w:val="Normal"/>
    <w:link w:val="Heading1Char"/>
    <w:uiPriority w:val="9"/>
    <w:qFormat/>
    <w:rsid w:val="00AC07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C07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C07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079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07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AC079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079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079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C079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26806"/>
  </w:style>
  <w:style w:type="paragraph" w:customStyle="1" w:styleId="OPCParaBase">
    <w:name w:val="OPCParaBase"/>
    <w:qFormat/>
    <w:rsid w:val="00826806"/>
    <w:pPr>
      <w:spacing w:line="260" w:lineRule="atLeast"/>
    </w:pPr>
    <w:rPr>
      <w:rFonts w:eastAsia="Times New Roman" w:cs="Times New Roman"/>
      <w:sz w:val="22"/>
      <w:lang w:eastAsia="en-AU"/>
    </w:rPr>
  </w:style>
  <w:style w:type="paragraph" w:customStyle="1" w:styleId="ShortT">
    <w:name w:val="ShortT"/>
    <w:basedOn w:val="OPCParaBase"/>
    <w:next w:val="Normal"/>
    <w:qFormat/>
    <w:rsid w:val="00826806"/>
    <w:pPr>
      <w:spacing w:line="240" w:lineRule="auto"/>
    </w:pPr>
    <w:rPr>
      <w:b/>
      <w:sz w:val="40"/>
    </w:rPr>
  </w:style>
  <w:style w:type="paragraph" w:customStyle="1" w:styleId="ActHead1">
    <w:name w:val="ActHead 1"/>
    <w:aliases w:val="c"/>
    <w:basedOn w:val="OPCParaBase"/>
    <w:next w:val="Normal"/>
    <w:qFormat/>
    <w:rsid w:val="0082680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2680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2680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2680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2680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2680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2680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2680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2680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26806"/>
  </w:style>
  <w:style w:type="paragraph" w:customStyle="1" w:styleId="Blocks">
    <w:name w:val="Blocks"/>
    <w:aliases w:val="bb"/>
    <w:basedOn w:val="OPCParaBase"/>
    <w:qFormat/>
    <w:rsid w:val="00826806"/>
    <w:pPr>
      <w:spacing w:line="240" w:lineRule="auto"/>
    </w:pPr>
    <w:rPr>
      <w:sz w:val="24"/>
    </w:rPr>
  </w:style>
  <w:style w:type="paragraph" w:customStyle="1" w:styleId="BoxText">
    <w:name w:val="BoxText"/>
    <w:aliases w:val="bt"/>
    <w:basedOn w:val="OPCParaBase"/>
    <w:qFormat/>
    <w:rsid w:val="0082680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26806"/>
    <w:rPr>
      <w:b/>
    </w:rPr>
  </w:style>
  <w:style w:type="paragraph" w:customStyle="1" w:styleId="BoxHeadItalic">
    <w:name w:val="BoxHeadItalic"/>
    <w:aliases w:val="bhi"/>
    <w:basedOn w:val="BoxText"/>
    <w:next w:val="BoxStep"/>
    <w:qFormat/>
    <w:rsid w:val="00826806"/>
    <w:rPr>
      <w:i/>
    </w:rPr>
  </w:style>
  <w:style w:type="paragraph" w:customStyle="1" w:styleId="BoxList">
    <w:name w:val="BoxList"/>
    <w:aliases w:val="bl"/>
    <w:basedOn w:val="BoxText"/>
    <w:qFormat/>
    <w:rsid w:val="00826806"/>
    <w:pPr>
      <w:ind w:left="1559" w:hanging="425"/>
    </w:pPr>
  </w:style>
  <w:style w:type="paragraph" w:customStyle="1" w:styleId="BoxNote">
    <w:name w:val="BoxNote"/>
    <w:aliases w:val="bn"/>
    <w:basedOn w:val="BoxText"/>
    <w:qFormat/>
    <w:rsid w:val="00826806"/>
    <w:pPr>
      <w:tabs>
        <w:tab w:val="left" w:pos="1985"/>
      </w:tabs>
      <w:spacing w:before="122" w:line="198" w:lineRule="exact"/>
      <w:ind w:left="2948" w:hanging="1814"/>
    </w:pPr>
    <w:rPr>
      <w:sz w:val="18"/>
    </w:rPr>
  </w:style>
  <w:style w:type="paragraph" w:customStyle="1" w:styleId="BoxPara">
    <w:name w:val="BoxPara"/>
    <w:aliases w:val="bp"/>
    <w:basedOn w:val="BoxText"/>
    <w:qFormat/>
    <w:rsid w:val="00826806"/>
    <w:pPr>
      <w:tabs>
        <w:tab w:val="right" w:pos="2268"/>
      </w:tabs>
      <w:ind w:left="2552" w:hanging="1418"/>
    </w:pPr>
  </w:style>
  <w:style w:type="paragraph" w:customStyle="1" w:styleId="BoxStep">
    <w:name w:val="BoxStep"/>
    <w:aliases w:val="bs"/>
    <w:basedOn w:val="BoxText"/>
    <w:qFormat/>
    <w:rsid w:val="00826806"/>
    <w:pPr>
      <w:ind w:left="1985" w:hanging="851"/>
    </w:pPr>
  </w:style>
  <w:style w:type="character" w:customStyle="1" w:styleId="CharAmPartNo">
    <w:name w:val="CharAmPartNo"/>
    <w:basedOn w:val="OPCCharBase"/>
    <w:qFormat/>
    <w:rsid w:val="00826806"/>
  </w:style>
  <w:style w:type="character" w:customStyle="1" w:styleId="CharAmPartText">
    <w:name w:val="CharAmPartText"/>
    <w:basedOn w:val="OPCCharBase"/>
    <w:qFormat/>
    <w:rsid w:val="00826806"/>
  </w:style>
  <w:style w:type="character" w:customStyle="1" w:styleId="CharAmSchNo">
    <w:name w:val="CharAmSchNo"/>
    <w:basedOn w:val="OPCCharBase"/>
    <w:qFormat/>
    <w:rsid w:val="00826806"/>
  </w:style>
  <w:style w:type="character" w:customStyle="1" w:styleId="CharAmSchText">
    <w:name w:val="CharAmSchText"/>
    <w:basedOn w:val="OPCCharBase"/>
    <w:qFormat/>
    <w:rsid w:val="00826806"/>
  </w:style>
  <w:style w:type="character" w:customStyle="1" w:styleId="CharBoldItalic">
    <w:name w:val="CharBoldItalic"/>
    <w:basedOn w:val="OPCCharBase"/>
    <w:uiPriority w:val="1"/>
    <w:qFormat/>
    <w:rsid w:val="00826806"/>
    <w:rPr>
      <w:b/>
      <w:i/>
    </w:rPr>
  </w:style>
  <w:style w:type="character" w:customStyle="1" w:styleId="CharChapNo">
    <w:name w:val="CharChapNo"/>
    <w:basedOn w:val="OPCCharBase"/>
    <w:uiPriority w:val="1"/>
    <w:qFormat/>
    <w:rsid w:val="00826806"/>
  </w:style>
  <w:style w:type="character" w:customStyle="1" w:styleId="CharChapText">
    <w:name w:val="CharChapText"/>
    <w:basedOn w:val="OPCCharBase"/>
    <w:uiPriority w:val="1"/>
    <w:qFormat/>
    <w:rsid w:val="00826806"/>
  </w:style>
  <w:style w:type="character" w:customStyle="1" w:styleId="CharDivNo">
    <w:name w:val="CharDivNo"/>
    <w:basedOn w:val="OPCCharBase"/>
    <w:uiPriority w:val="1"/>
    <w:qFormat/>
    <w:rsid w:val="00826806"/>
  </w:style>
  <w:style w:type="character" w:customStyle="1" w:styleId="CharDivText">
    <w:name w:val="CharDivText"/>
    <w:basedOn w:val="OPCCharBase"/>
    <w:uiPriority w:val="1"/>
    <w:qFormat/>
    <w:rsid w:val="00826806"/>
  </w:style>
  <w:style w:type="character" w:customStyle="1" w:styleId="CharItalic">
    <w:name w:val="CharItalic"/>
    <w:basedOn w:val="OPCCharBase"/>
    <w:uiPriority w:val="1"/>
    <w:qFormat/>
    <w:rsid w:val="00826806"/>
    <w:rPr>
      <w:i/>
    </w:rPr>
  </w:style>
  <w:style w:type="character" w:customStyle="1" w:styleId="CharPartNo">
    <w:name w:val="CharPartNo"/>
    <w:basedOn w:val="OPCCharBase"/>
    <w:uiPriority w:val="1"/>
    <w:qFormat/>
    <w:rsid w:val="00826806"/>
  </w:style>
  <w:style w:type="character" w:customStyle="1" w:styleId="CharPartText">
    <w:name w:val="CharPartText"/>
    <w:basedOn w:val="OPCCharBase"/>
    <w:uiPriority w:val="1"/>
    <w:qFormat/>
    <w:rsid w:val="00826806"/>
  </w:style>
  <w:style w:type="character" w:customStyle="1" w:styleId="CharSectno">
    <w:name w:val="CharSectno"/>
    <w:basedOn w:val="OPCCharBase"/>
    <w:qFormat/>
    <w:rsid w:val="00826806"/>
  </w:style>
  <w:style w:type="character" w:customStyle="1" w:styleId="CharSubdNo">
    <w:name w:val="CharSubdNo"/>
    <w:basedOn w:val="OPCCharBase"/>
    <w:uiPriority w:val="1"/>
    <w:qFormat/>
    <w:rsid w:val="00826806"/>
  </w:style>
  <w:style w:type="character" w:customStyle="1" w:styleId="CharSubdText">
    <w:name w:val="CharSubdText"/>
    <w:basedOn w:val="OPCCharBase"/>
    <w:uiPriority w:val="1"/>
    <w:qFormat/>
    <w:rsid w:val="00826806"/>
  </w:style>
  <w:style w:type="paragraph" w:customStyle="1" w:styleId="CTA--">
    <w:name w:val="CTA --"/>
    <w:basedOn w:val="OPCParaBase"/>
    <w:next w:val="Normal"/>
    <w:rsid w:val="00826806"/>
    <w:pPr>
      <w:spacing w:before="60" w:line="240" w:lineRule="atLeast"/>
      <w:ind w:left="142" w:hanging="142"/>
    </w:pPr>
    <w:rPr>
      <w:sz w:val="20"/>
    </w:rPr>
  </w:style>
  <w:style w:type="paragraph" w:customStyle="1" w:styleId="CTA-">
    <w:name w:val="CTA -"/>
    <w:basedOn w:val="OPCParaBase"/>
    <w:rsid w:val="00826806"/>
    <w:pPr>
      <w:spacing w:before="60" w:line="240" w:lineRule="atLeast"/>
      <w:ind w:left="85" w:hanging="85"/>
    </w:pPr>
    <w:rPr>
      <w:sz w:val="20"/>
    </w:rPr>
  </w:style>
  <w:style w:type="paragraph" w:customStyle="1" w:styleId="CTA---">
    <w:name w:val="CTA ---"/>
    <w:basedOn w:val="OPCParaBase"/>
    <w:next w:val="Normal"/>
    <w:rsid w:val="00826806"/>
    <w:pPr>
      <w:spacing w:before="60" w:line="240" w:lineRule="atLeast"/>
      <w:ind w:left="198" w:hanging="198"/>
    </w:pPr>
    <w:rPr>
      <w:sz w:val="20"/>
    </w:rPr>
  </w:style>
  <w:style w:type="paragraph" w:customStyle="1" w:styleId="CTA----">
    <w:name w:val="CTA ----"/>
    <w:basedOn w:val="OPCParaBase"/>
    <w:next w:val="Normal"/>
    <w:rsid w:val="00826806"/>
    <w:pPr>
      <w:spacing w:before="60" w:line="240" w:lineRule="atLeast"/>
      <w:ind w:left="255" w:hanging="255"/>
    </w:pPr>
    <w:rPr>
      <w:sz w:val="20"/>
    </w:rPr>
  </w:style>
  <w:style w:type="paragraph" w:customStyle="1" w:styleId="CTA1a">
    <w:name w:val="CTA 1(a)"/>
    <w:basedOn w:val="OPCParaBase"/>
    <w:rsid w:val="00826806"/>
    <w:pPr>
      <w:tabs>
        <w:tab w:val="right" w:pos="414"/>
      </w:tabs>
      <w:spacing w:before="40" w:line="240" w:lineRule="atLeast"/>
      <w:ind w:left="675" w:hanging="675"/>
    </w:pPr>
    <w:rPr>
      <w:sz w:val="20"/>
    </w:rPr>
  </w:style>
  <w:style w:type="paragraph" w:customStyle="1" w:styleId="CTA1ai">
    <w:name w:val="CTA 1(a)(i)"/>
    <w:basedOn w:val="OPCParaBase"/>
    <w:rsid w:val="00826806"/>
    <w:pPr>
      <w:tabs>
        <w:tab w:val="right" w:pos="1004"/>
      </w:tabs>
      <w:spacing w:before="40" w:line="240" w:lineRule="atLeast"/>
      <w:ind w:left="1253" w:hanging="1253"/>
    </w:pPr>
    <w:rPr>
      <w:sz w:val="20"/>
    </w:rPr>
  </w:style>
  <w:style w:type="paragraph" w:customStyle="1" w:styleId="CTA2a">
    <w:name w:val="CTA 2(a)"/>
    <w:basedOn w:val="OPCParaBase"/>
    <w:rsid w:val="00826806"/>
    <w:pPr>
      <w:tabs>
        <w:tab w:val="right" w:pos="482"/>
      </w:tabs>
      <w:spacing w:before="40" w:line="240" w:lineRule="atLeast"/>
      <w:ind w:left="748" w:hanging="748"/>
    </w:pPr>
    <w:rPr>
      <w:sz w:val="20"/>
    </w:rPr>
  </w:style>
  <w:style w:type="paragraph" w:customStyle="1" w:styleId="CTA2ai">
    <w:name w:val="CTA 2(a)(i)"/>
    <w:basedOn w:val="OPCParaBase"/>
    <w:rsid w:val="00826806"/>
    <w:pPr>
      <w:tabs>
        <w:tab w:val="right" w:pos="1089"/>
      </w:tabs>
      <w:spacing w:before="40" w:line="240" w:lineRule="atLeast"/>
      <w:ind w:left="1327" w:hanging="1327"/>
    </w:pPr>
    <w:rPr>
      <w:sz w:val="20"/>
    </w:rPr>
  </w:style>
  <w:style w:type="paragraph" w:customStyle="1" w:styleId="CTA3a">
    <w:name w:val="CTA 3(a)"/>
    <w:basedOn w:val="OPCParaBase"/>
    <w:rsid w:val="00826806"/>
    <w:pPr>
      <w:tabs>
        <w:tab w:val="right" w:pos="556"/>
      </w:tabs>
      <w:spacing w:before="40" w:line="240" w:lineRule="atLeast"/>
      <w:ind w:left="805" w:hanging="805"/>
    </w:pPr>
    <w:rPr>
      <w:sz w:val="20"/>
    </w:rPr>
  </w:style>
  <w:style w:type="paragraph" w:customStyle="1" w:styleId="CTA3ai">
    <w:name w:val="CTA 3(a)(i)"/>
    <w:basedOn w:val="OPCParaBase"/>
    <w:rsid w:val="00826806"/>
    <w:pPr>
      <w:tabs>
        <w:tab w:val="right" w:pos="1140"/>
      </w:tabs>
      <w:spacing w:before="40" w:line="240" w:lineRule="atLeast"/>
      <w:ind w:left="1361" w:hanging="1361"/>
    </w:pPr>
    <w:rPr>
      <w:sz w:val="20"/>
    </w:rPr>
  </w:style>
  <w:style w:type="paragraph" w:customStyle="1" w:styleId="CTA4a">
    <w:name w:val="CTA 4(a)"/>
    <w:basedOn w:val="OPCParaBase"/>
    <w:rsid w:val="00826806"/>
    <w:pPr>
      <w:tabs>
        <w:tab w:val="right" w:pos="624"/>
      </w:tabs>
      <w:spacing w:before="40" w:line="240" w:lineRule="atLeast"/>
      <w:ind w:left="873" w:hanging="873"/>
    </w:pPr>
    <w:rPr>
      <w:sz w:val="20"/>
    </w:rPr>
  </w:style>
  <w:style w:type="paragraph" w:customStyle="1" w:styleId="CTA4ai">
    <w:name w:val="CTA 4(a)(i)"/>
    <w:basedOn w:val="OPCParaBase"/>
    <w:rsid w:val="00826806"/>
    <w:pPr>
      <w:tabs>
        <w:tab w:val="right" w:pos="1213"/>
      </w:tabs>
      <w:spacing w:before="40" w:line="240" w:lineRule="atLeast"/>
      <w:ind w:left="1452" w:hanging="1452"/>
    </w:pPr>
    <w:rPr>
      <w:sz w:val="20"/>
    </w:rPr>
  </w:style>
  <w:style w:type="paragraph" w:customStyle="1" w:styleId="CTACAPS">
    <w:name w:val="CTA CAPS"/>
    <w:basedOn w:val="OPCParaBase"/>
    <w:rsid w:val="00826806"/>
    <w:pPr>
      <w:spacing w:before="60" w:line="240" w:lineRule="atLeast"/>
    </w:pPr>
    <w:rPr>
      <w:sz w:val="20"/>
    </w:rPr>
  </w:style>
  <w:style w:type="paragraph" w:customStyle="1" w:styleId="CTAright">
    <w:name w:val="CTA right"/>
    <w:basedOn w:val="OPCParaBase"/>
    <w:rsid w:val="00826806"/>
    <w:pPr>
      <w:spacing w:before="60" w:line="240" w:lineRule="auto"/>
      <w:jc w:val="right"/>
    </w:pPr>
    <w:rPr>
      <w:sz w:val="20"/>
    </w:rPr>
  </w:style>
  <w:style w:type="paragraph" w:customStyle="1" w:styleId="subsection">
    <w:name w:val="subsection"/>
    <w:aliases w:val="ss"/>
    <w:basedOn w:val="OPCParaBase"/>
    <w:link w:val="subsectionChar"/>
    <w:rsid w:val="00826806"/>
    <w:pPr>
      <w:tabs>
        <w:tab w:val="right" w:pos="1021"/>
      </w:tabs>
      <w:spacing w:before="180" w:line="240" w:lineRule="auto"/>
      <w:ind w:left="1134" w:hanging="1134"/>
    </w:pPr>
  </w:style>
  <w:style w:type="paragraph" w:customStyle="1" w:styleId="Definition">
    <w:name w:val="Definition"/>
    <w:aliases w:val="dd"/>
    <w:basedOn w:val="OPCParaBase"/>
    <w:link w:val="DefinitionChar"/>
    <w:rsid w:val="00826806"/>
    <w:pPr>
      <w:spacing w:before="180" w:line="240" w:lineRule="auto"/>
      <w:ind w:left="1134"/>
    </w:pPr>
  </w:style>
  <w:style w:type="paragraph" w:customStyle="1" w:styleId="Formula">
    <w:name w:val="Formula"/>
    <w:basedOn w:val="OPCParaBase"/>
    <w:rsid w:val="00826806"/>
    <w:pPr>
      <w:spacing w:line="240" w:lineRule="auto"/>
      <w:ind w:left="1134"/>
    </w:pPr>
    <w:rPr>
      <w:sz w:val="20"/>
    </w:rPr>
  </w:style>
  <w:style w:type="paragraph" w:styleId="Header">
    <w:name w:val="header"/>
    <w:basedOn w:val="OPCParaBase"/>
    <w:link w:val="HeaderChar"/>
    <w:unhideWhenUsed/>
    <w:rsid w:val="0082680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26806"/>
    <w:rPr>
      <w:rFonts w:eastAsia="Times New Roman" w:cs="Times New Roman"/>
      <w:sz w:val="16"/>
      <w:lang w:eastAsia="en-AU"/>
    </w:rPr>
  </w:style>
  <w:style w:type="paragraph" w:customStyle="1" w:styleId="House">
    <w:name w:val="House"/>
    <w:basedOn w:val="OPCParaBase"/>
    <w:rsid w:val="00826806"/>
    <w:pPr>
      <w:spacing w:line="240" w:lineRule="auto"/>
    </w:pPr>
    <w:rPr>
      <w:sz w:val="28"/>
    </w:rPr>
  </w:style>
  <w:style w:type="paragraph" w:customStyle="1" w:styleId="Item">
    <w:name w:val="Item"/>
    <w:aliases w:val="i"/>
    <w:basedOn w:val="OPCParaBase"/>
    <w:next w:val="ItemHead"/>
    <w:link w:val="ItemChar"/>
    <w:rsid w:val="00826806"/>
    <w:pPr>
      <w:keepLines/>
      <w:spacing w:before="80" w:line="240" w:lineRule="auto"/>
      <w:ind w:left="709"/>
    </w:pPr>
  </w:style>
  <w:style w:type="paragraph" w:customStyle="1" w:styleId="ItemHead">
    <w:name w:val="ItemHead"/>
    <w:aliases w:val="ih"/>
    <w:basedOn w:val="OPCParaBase"/>
    <w:next w:val="Item"/>
    <w:link w:val="ItemHeadChar"/>
    <w:rsid w:val="0082680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26806"/>
    <w:pPr>
      <w:spacing w:line="240" w:lineRule="auto"/>
    </w:pPr>
    <w:rPr>
      <w:b/>
      <w:sz w:val="32"/>
    </w:rPr>
  </w:style>
  <w:style w:type="paragraph" w:customStyle="1" w:styleId="notedraft">
    <w:name w:val="note(draft)"/>
    <w:aliases w:val="nd"/>
    <w:basedOn w:val="OPCParaBase"/>
    <w:rsid w:val="00826806"/>
    <w:pPr>
      <w:spacing w:before="240" w:line="240" w:lineRule="auto"/>
      <w:ind w:left="284" w:hanging="284"/>
    </w:pPr>
    <w:rPr>
      <w:i/>
      <w:sz w:val="24"/>
    </w:rPr>
  </w:style>
  <w:style w:type="paragraph" w:customStyle="1" w:styleId="notemargin">
    <w:name w:val="note(margin)"/>
    <w:aliases w:val="nm"/>
    <w:basedOn w:val="OPCParaBase"/>
    <w:rsid w:val="00826806"/>
    <w:pPr>
      <w:tabs>
        <w:tab w:val="left" w:pos="709"/>
      </w:tabs>
      <w:spacing w:before="122" w:line="198" w:lineRule="exact"/>
      <w:ind w:left="709" w:hanging="709"/>
    </w:pPr>
    <w:rPr>
      <w:sz w:val="18"/>
    </w:rPr>
  </w:style>
  <w:style w:type="paragraph" w:customStyle="1" w:styleId="noteToPara">
    <w:name w:val="noteToPara"/>
    <w:aliases w:val="ntp"/>
    <w:basedOn w:val="OPCParaBase"/>
    <w:rsid w:val="00826806"/>
    <w:pPr>
      <w:spacing w:before="122" w:line="198" w:lineRule="exact"/>
      <w:ind w:left="2353" w:hanging="709"/>
    </w:pPr>
    <w:rPr>
      <w:sz w:val="18"/>
    </w:rPr>
  </w:style>
  <w:style w:type="paragraph" w:customStyle="1" w:styleId="noteParlAmend">
    <w:name w:val="note(ParlAmend)"/>
    <w:aliases w:val="npp"/>
    <w:basedOn w:val="OPCParaBase"/>
    <w:next w:val="ParlAmend"/>
    <w:rsid w:val="00826806"/>
    <w:pPr>
      <w:spacing w:line="240" w:lineRule="auto"/>
      <w:jc w:val="right"/>
    </w:pPr>
    <w:rPr>
      <w:rFonts w:ascii="Arial" w:hAnsi="Arial"/>
      <w:b/>
      <w:i/>
    </w:rPr>
  </w:style>
  <w:style w:type="paragraph" w:customStyle="1" w:styleId="Page1">
    <w:name w:val="Page1"/>
    <w:basedOn w:val="OPCParaBase"/>
    <w:rsid w:val="00826806"/>
    <w:pPr>
      <w:spacing w:before="5600" w:line="240" w:lineRule="auto"/>
    </w:pPr>
    <w:rPr>
      <w:b/>
      <w:sz w:val="32"/>
    </w:rPr>
  </w:style>
  <w:style w:type="paragraph" w:customStyle="1" w:styleId="PageBreak">
    <w:name w:val="PageBreak"/>
    <w:aliases w:val="pb"/>
    <w:basedOn w:val="OPCParaBase"/>
    <w:rsid w:val="00826806"/>
    <w:pPr>
      <w:spacing w:line="240" w:lineRule="auto"/>
    </w:pPr>
    <w:rPr>
      <w:sz w:val="20"/>
    </w:rPr>
  </w:style>
  <w:style w:type="paragraph" w:customStyle="1" w:styleId="paragraphsub">
    <w:name w:val="paragraph(sub)"/>
    <w:aliases w:val="aa"/>
    <w:basedOn w:val="OPCParaBase"/>
    <w:rsid w:val="00826806"/>
    <w:pPr>
      <w:tabs>
        <w:tab w:val="right" w:pos="1985"/>
      </w:tabs>
      <w:spacing w:before="40" w:line="240" w:lineRule="auto"/>
      <w:ind w:left="2098" w:hanging="2098"/>
    </w:pPr>
  </w:style>
  <w:style w:type="paragraph" w:customStyle="1" w:styleId="paragraphsub-sub">
    <w:name w:val="paragraph(sub-sub)"/>
    <w:aliases w:val="aaa"/>
    <w:basedOn w:val="OPCParaBase"/>
    <w:rsid w:val="00826806"/>
    <w:pPr>
      <w:tabs>
        <w:tab w:val="right" w:pos="2722"/>
      </w:tabs>
      <w:spacing w:before="40" w:line="240" w:lineRule="auto"/>
      <w:ind w:left="2835" w:hanging="2835"/>
    </w:pPr>
  </w:style>
  <w:style w:type="paragraph" w:customStyle="1" w:styleId="paragraph">
    <w:name w:val="paragraph"/>
    <w:aliases w:val="a"/>
    <w:basedOn w:val="OPCParaBase"/>
    <w:link w:val="paragraphChar"/>
    <w:rsid w:val="00826806"/>
    <w:pPr>
      <w:tabs>
        <w:tab w:val="right" w:pos="1531"/>
      </w:tabs>
      <w:spacing w:before="40" w:line="240" w:lineRule="auto"/>
      <w:ind w:left="1644" w:hanging="1644"/>
    </w:pPr>
  </w:style>
  <w:style w:type="paragraph" w:customStyle="1" w:styleId="ParlAmend">
    <w:name w:val="ParlAmend"/>
    <w:aliases w:val="pp"/>
    <w:basedOn w:val="OPCParaBase"/>
    <w:rsid w:val="00826806"/>
    <w:pPr>
      <w:spacing w:before="240" w:line="240" w:lineRule="atLeast"/>
      <w:ind w:hanging="567"/>
    </w:pPr>
    <w:rPr>
      <w:sz w:val="24"/>
    </w:rPr>
  </w:style>
  <w:style w:type="paragraph" w:customStyle="1" w:styleId="Penalty">
    <w:name w:val="Penalty"/>
    <w:basedOn w:val="OPCParaBase"/>
    <w:rsid w:val="00826806"/>
    <w:pPr>
      <w:tabs>
        <w:tab w:val="left" w:pos="2977"/>
      </w:tabs>
      <w:spacing w:before="180" w:line="240" w:lineRule="auto"/>
      <w:ind w:left="1985" w:hanging="851"/>
    </w:pPr>
  </w:style>
  <w:style w:type="paragraph" w:customStyle="1" w:styleId="Portfolio">
    <w:name w:val="Portfolio"/>
    <w:basedOn w:val="OPCParaBase"/>
    <w:rsid w:val="00826806"/>
    <w:pPr>
      <w:spacing w:line="240" w:lineRule="auto"/>
    </w:pPr>
    <w:rPr>
      <w:i/>
      <w:sz w:val="20"/>
    </w:rPr>
  </w:style>
  <w:style w:type="paragraph" w:customStyle="1" w:styleId="Preamble">
    <w:name w:val="Preamble"/>
    <w:basedOn w:val="OPCParaBase"/>
    <w:next w:val="Normal"/>
    <w:rsid w:val="0082680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26806"/>
    <w:pPr>
      <w:spacing w:line="240" w:lineRule="auto"/>
    </w:pPr>
    <w:rPr>
      <w:i/>
      <w:sz w:val="20"/>
    </w:rPr>
  </w:style>
  <w:style w:type="paragraph" w:customStyle="1" w:styleId="Session">
    <w:name w:val="Session"/>
    <w:basedOn w:val="OPCParaBase"/>
    <w:rsid w:val="00826806"/>
    <w:pPr>
      <w:spacing w:line="240" w:lineRule="auto"/>
    </w:pPr>
    <w:rPr>
      <w:sz w:val="28"/>
    </w:rPr>
  </w:style>
  <w:style w:type="paragraph" w:customStyle="1" w:styleId="Sponsor">
    <w:name w:val="Sponsor"/>
    <w:basedOn w:val="OPCParaBase"/>
    <w:rsid w:val="00826806"/>
    <w:pPr>
      <w:spacing w:line="240" w:lineRule="auto"/>
    </w:pPr>
    <w:rPr>
      <w:i/>
    </w:rPr>
  </w:style>
  <w:style w:type="paragraph" w:customStyle="1" w:styleId="Subitem">
    <w:name w:val="Subitem"/>
    <w:aliases w:val="iss"/>
    <w:basedOn w:val="OPCParaBase"/>
    <w:rsid w:val="00826806"/>
    <w:pPr>
      <w:spacing w:before="180" w:line="240" w:lineRule="auto"/>
      <w:ind w:left="709" w:hanging="709"/>
    </w:pPr>
  </w:style>
  <w:style w:type="paragraph" w:customStyle="1" w:styleId="SubitemHead">
    <w:name w:val="SubitemHead"/>
    <w:aliases w:val="issh"/>
    <w:basedOn w:val="OPCParaBase"/>
    <w:rsid w:val="0082680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26806"/>
    <w:pPr>
      <w:spacing w:before="40" w:line="240" w:lineRule="auto"/>
      <w:ind w:left="1134"/>
    </w:pPr>
  </w:style>
  <w:style w:type="paragraph" w:customStyle="1" w:styleId="SubsectionHead">
    <w:name w:val="SubsectionHead"/>
    <w:aliases w:val="ssh"/>
    <w:basedOn w:val="OPCParaBase"/>
    <w:next w:val="subsection"/>
    <w:rsid w:val="00826806"/>
    <w:pPr>
      <w:keepNext/>
      <w:keepLines/>
      <w:spacing w:before="240" w:line="240" w:lineRule="auto"/>
      <w:ind w:left="1134"/>
    </w:pPr>
    <w:rPr>
      <w:i/>
    </w:rPr>
  </w:style>
  <w:style w:type="paragraph" w:customStyle="1" w:styleId="Tablea">
    <w:name w:val="Table(a)"/>
    <w:aliases w:val="ta"/>
    <w:basedOn w:val="OPCParaBase"/>
    <w:rsid w:val="00826806"/>
    <w:pPr>
      <w:spacing w:before="60" w:line="240" w:lineRule="auto"/>
      <w:ind w:left="284" w:hanging="284"/>
    </w:pPr>
    <w:rPr>
      <w:sz w:val="20"/>
    </w:rPr>
  </w:style>
  <w:style w:type="paragraph" w:customStyle="1" w:styleId="TableAA">
    <w:name w:val="Table(AA)"/>
    <w:aliases w:val="taaa"/>
    <w:basedOn w:val="OPCParaBase"/>
    <w:rsid w:val="0082680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2680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26806"/>
    <w:pPr>
      <w:spacing w:before="60" w:line="240" w:lineRule="atLeast"/>
    </w:pPr>
    <w:rPr>
      <w:sz w:val="20"/>
    </w:rPr>
  </w:style>
  <w:style w:type="paragraph" w:customStyle="1" w:styleId="TLPBoxTextnote">
    <w:name w:val="TLPBoxText(note"/>
    <w:aliases w:val="right)"/>
    <w:basedOn w:val="OPCParaBase"/>
    <w:rsid w:val="0082680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2680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26806"/>
    <w:pPr>
      <w:spacing w:before="122" w:line="198" w:lineRule="exact"/>
      <w:ind w:left="1985" w:hanging="851"/>
      <w:jc w:val="right"/>
    </w:pPr>
    <w:rPr>
      <w:sz w:val="18"/>
    </w:rPr>
  </w:style>
  <w:style w:type="paragraph" w:customStyle="1" w:styleId="TLPTableBullet">
    <w:name w:val="TLPTableBullet"/>
    <w:aliases w:val="ttb"/>
    <w:basedOn w:val="OPCParaBase"/>
    <w:rsid w:val="00826806"/>
    <w:pPr>
      <w:spacing w:line="240" w:lineRule="exact"/>
      <w:ind w:left="284" w:hanging="284"/>
    </w:pPr>
    <w:rPr>
      <w:sz w:val="20"/>
    </w:rPr>
  </w:style>
  <w:style w:type="paragraph" w:styleId="TOC1">
    <w:name w:val="toc 1"/>
    <w:basedOn w:val="OPCParaBase"/>
    <w:next w:val="Normal"/>
    <w:uiPriority w:val="39"/>
    <w:semiHidden/>
    <w:unhideWhenUsed/>
    <w:rsid w:val="0082680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2680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82680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2680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26806"/>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82680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2680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82680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2680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26806"/>
    <w:pPr>
      <w:keepLines/>
      <w:spacing w:before="240" w:after="120" w:line="240" w:lineRule="auto"/>
      <w:ind w:left="794"/>
    </w:pPr>
    <w:rPr>
      <w:b/>
      <w:kern w:val="28"/>
      <w:sz w:val="20"/>
    </w:rPr>
  </w:style>
  <w:style w:type="paragraph" w:customStyle="1" w:styleId="TofSectsHeading">
    <w:name w:val="TofSects(Heading)"/>
    <w:basedOn w:val="OPCParaBase"/>
    <w:rsid w:val="00826806"/>
    <w:pPr>
      <w:spacing w:before="240" w:after="120" w:line="240" w:lineRule="auto"/>
    </w:pPr>
    <w:rPr>
      <w:b/>
      <w:sz w:val="24"/>
    </w:rPr>
  </w:style>
  <w:style w:type="paragraph" w:customStyle="1" w:styleId="TofSectsSection">
    <w:name w:val="TofSects(Section)"/>
    <w:basedOn w:val="OPCParaBase"/>
    <w:rsid w:val="00826806"/>
    <w:pPr>
      <w:keepLines/>
      <w:spacing w:before="40" w:line="240" w:lineRule="auto"/>
      <w:ind w:left="1588" w:hanging="794"/>
    </w:pPr>
    <w:rPr>
      <w:kern w:val="28"/>
      <w:sz w:val="18"/>
    </w:rPr>
  </w:style>
  <w:style w:type="paragraph" w:customStyle="1" w:styleId="TofSectsSubdiv">
    <w:name w:val="TofSects(Subdiv)"/>
    <w:basedOn w:val="OPCParaBase"/>
    <w:rsid w:val="00826806"/>
    <w:pPr>
      <w:keepLines/>
      <w:spacing w:before="80" w:line="240" w:lineRule="auto"/>
      <w:ind w:left="1588" w:hanging="794"/>
    </w:pPr>
    <w:rPr>
      <w:kern w:val="28"/>
    </w:rPr>
  </w:style>
  <w:style w:type="paragraph" w:customStyle="1" w:styleId="WRStyle">
    <w:name w:val="WR Style"/>
    <w:aliases w:val="WR"/>
    <w:basedOn w:val="OPCParaBase"/>
    <w:rsid w:val="00826806"/>
    <w:pPr>
      <w:spacing w:before="240" w:line="240" w:lineRule="auto"/>
      <w:ind w:left="284" w:hanging="284"/>
    </w:pPr>
    <w:rPr>
      <w:b/>
      <w:i/>
      <w:kern w:val="28"/>
      <w:sz w:val="24"/>
    </w:rPr>
  </w:style>
  <w:style w:type="paragraph" w:customStyle="1" w:styleId="notepara">
    <w:name w:val="note(para)"/>
    <w:aliases w:val="na"/>
    <w:basedOn w:val="OPCParaBase"/>
    <w:rsid w:val="00826806"/>
    <w:pPr>
      <w:spacing w:before="40" w:line="198" w:lineRule="exact"/>
      <w:ind w:left="2354" w:hanging="369"/>
    </w:pPr>
    <w:rPr>
      <w:sz w:val="18"/>
    </w:rPr>
  </w:style>
  <w:style w:type="paragraph" w:styleId="Footer">
    <w:name w:val="footer"/>
    <w:link w:val="FooterChar"/>
    <w:rsid w:val="0082680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26806"/>
    <w:rPr>
      <w:rFonts w:eastAsia="Times New Roman" w:cs="Times New Roman"/>
      <w:sz w:val="22"/>
      <w:szCs w:val="24"/>
      <w:lang w:eastAsia="en-AU"/>
    </w:rPr>
  </w:style>
  <w:style w:type="character" w:styleId="LineNumber">
    <w:name w:val="line number"/>
    <w:basedOn w:val="OPCCharBase"/>
    <w:uiPriority w:val="99"/>
    <w:semiHidden/>
    <w:unhideWhenUsed/>
    <w:rsid w:val="00826806"/>
    <w:rPr>
      <w:sz w:val="16"/>
    </w:rPr>
  </w:style>
  <w:style w:type="table" w:customStyle="1" w:styleId="CFlag">
    <w:name w:val="CFlag"/>
    <w:basedOn w:val="TableNormal"/>
    <w:uiPriority w:val="99"/>
    <w:rsid w:val="00826806"/>
    <w:rPr>
      <w:rFonts w:eastAsia="Times New Roman" w:cs="Times New Roman"/>
      <w:lang w:eastAsia="en-AU"/>
    </w:rPr>
    <w:tblPr/>
  </w:style>
  <w:style w:type="paragraph" w:customStyle="1" w:styleId="SignCoverPageEnd">
    <w:name w:val="SignCoverPageEnd"/>
    <w:basedOn w:val="OPCParaBase"/>
    <w:next w:val="Normal"/>
    <w:rsid w:val="0082680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26806"/>
    <w:pPr>
      <w:pBdr>
        <w:top w:val="single" w:sz="4" w:space="1" w:color="auto"/>
      </w:pBdr>
      <w:spacing w:before="360"/>
      <w:ind w:right="397"/>
      <w:jc w:val="both"/>
    </w:pPr>
  </w:style>
  <w:style w:type="paragraph" w:customStyle="1" w:styleId="ENotesText">
    <w:name w:val="ENotesText"/>
    <w:aliases w:val="Ent"/>
    <w:basedOn w:val="OPCParaBase"/>
    <w:next w:val="Normal"/>
    <w:rsid w:val="00826806"/>
    <w:pPr>
      <w:spacing w:before="120"/>
    </w:pPr>
  </w:style>
  <w:style w:type="paragraph" w:customStyle="1" w:styleId="Paragraphsub-sub-sub">
    <w:name w:val="Paragraph(sub-sub-sub)"/>
    <w:aliases w:val="aaaa"/>
    <w:basedOn w:val="OPCParaBase"/>
    <w:rsid w:val="0082680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2680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2680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2680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26806"/>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826806"/>
    <w:pPr>
      <w:spacing w:before="60" w:line="240" w:lineRule="auto"/>
    </w:pPr>
    <w:rPr>
      <w:rFonts w:cs="Arial"/>
      <w:sz w:val="20"/>
      <w:szCs w:val="22"/>
    </w:rPr>
  </w:style>
  <w:style w:type="paragraph" w:customStyle="1" w:styleId="TableHeading">
    <w:name w:val="TableHeading"/>
    <w:aliases w:val="th"/>
    <w:basedOn w:val="OPCParaBase"/>
    <w:next w:val="Tabletext"/>
    <w:rsid w:val="00826806"/>
    <w:pPr>
      <w:keepNext/>
      <w:spacing w:before="60" w:line="240" w:lineRule="atLeast"/>
    </w:pPr>
    <w:rPr>
      <w:b/>
      <w:sz w:val="20"/>
    </w:rPr>
  </w:style>
  <w:style w:type="paragraph" w:customStyle="1" w:styleId="NoteToSubpara">
    <w:name w:val="NoteToSubpara"/>
    <w:aliases w:val="nts"/>
    <w:basedOn w:val="OPCParaBase"/>
    <w:rsid w:val="00826806"/>
    <w:pPr>
      <w:spacing w:before="40" w:line="198" w:lineRule="exact"/>
      <w:ind w:left="2835" w:hanging="709"/>
    </w:pPr>
    <w:rPr>
      <w:sz w:val="18"/>
    </w:rPr>
  </w:style>
  <w:style w:type="paragraph" w:customStyle="1" w:styleId="ENoteTableHeading">
    <w:name w:val="ENoteTableHeading"/>
    <w:aliases w:val="enth"/>
    <w:basedOn w:val="OPCParaBase"/>
    <w:rsid w:val="00826806"/>
    <w:pPr>
      <w:keepNext/>
      <w:spacing w:before="60" w:line="240" w:lineRule="atLeast"/>
    </w:pPr>
    <w:rPr>
      <w:rFonts w:ascii="Arial" w:hAnsi="Arial"/>
      <w:b/>
      <w:sz w:val="16"/>
    </w:rPr>
  </w:style>
  <w:style w:type="paragraph" w:customStyle="1" w:styleId="ENoteTableText">
    <w:name w:val="ENoteTableText"/>
    <w:aliases w:val="entt"/>
    <w:basedOn w:val="OPCParaBase"/>
    <w:rsid w:val="00826806"/>
    <w:pPr>
      <w:spacing w:before="60" w:line="240" w:lineRule="atLeast"/>
    </w:pPr>
    <w:rPr>
      <w:sz w:val="16"/>
    </w:rPr>
  </w:style>
  <w:style w:type="paragraph" w:customStyle="1" w:styleId="ENoteTTi">
    <w:name w:val="ENoteTTi"/>
    <w:aliases w:val="entti"/>
    <w:basedOn w:val="OPCParaBase"/>
    <w:rsid w:val="00826806"/>
    <w:pPr>
      <w:keepNext/>
      <w:spacing w:before="60" w:line="240" w:lineRule="atLeast"/>
      <w:ind w:left="170"/>
    </w:pPr>
    <w:rPr>
      <w:sz w:val="16"/>
    </w:rPr>
  </w:style>
  <w:style w:type="paragraph" w:customStyle="1" w:styleId="ENoteTTIndentHeading">
    <w:name w:val="ENoteTTIndentHeading"/>
    <w:aliases w:val="enTTHi"/>
    <w:basedOn w:val="OPCParaBase"/>
    <w:rsid w:val="00826806"/>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826806"/>
    <w:pPr>
      <w:spacing w:before="120"/>
      <w:outlineLvl w:val="1"/>
    </w:pPr>
    <w:rPr>
      <w:b/>
      <w:sz w:val="28"/>
      <w:szCs w:val="28"/>
    </w:rPr>
  </w:style>
  <w:style w:type="paragraph" w:customStyle="1" w:styleId="ENotesHeading2">
    <w:name w:val="ENotesHeading 2"/>
    <w:aliases w:val="Enh2"/>
    <w:basedOn w:val="OPCParaBase"/>
    <w:next w:val="Normal"/>
    <w:rsid w:val="00826806"/>
    <w:pPr>
      <w:spacing w:before="120" w:after="120"/>
      <w:outlineLvl w:val="2"/>
    </w:pPr>
    <w:rPr>
      <w:b/>
      <w:sz w:val="24"/>
      <w:szCs w:val="28"/>
    </w:rPr>
  </w:style>
  <w:style w:type="paragraph" w:customStyle="1" w:styleId="MadeunderText">
    <w:name w:val="MadeunderText"/>
    <w:basedOn w:val="OPCParaBase"/>
    <w:next w:val="Normal"/>
    <w:rsid w:val="00826806"/>
    <w:pPr>
      <w:spacing w:before="240"/>
    </w:pPr>
    <w:rPr>
      <w:sz w:val="24"/>
      <w:szCs w:val="24"/>
    </w:rPr>
  </w:style>
  <w:style w:type="paragraph" w:customStyle="1" w:styleId="ENotesHeading3">
    <w:name w:val="ENotesHeading 3"/>
    <w:aliases w:val="Enh3"/>
    <w:basedOn w:val="OPCParaBase"/>
    <w:next w:val="Normal"/>
    <w:rsid w:val="00826806"/>
    <w:pPr>
      <w:keepNext/>
      <w:spacing w:before="120" w:line="240" w:lineRule="auto"/>
      <w:outlineLvl w:val="4"/>
    </w:pPr>
    <w:rPr>
      <w:b/>
      <w:szCs w:val="24"/>
    </w:rPr>
  </w:style>
  <w:style w:type="character" w:customStyle="1" w:styleId="CharSubPartNoCASA">
    <w:name w:val="CharSubPartNo(CASA)"/>
    <w:basedOn w:val="OPCCharBase"/>
    <w:uiPriority w:val="1"/>
    <w:rsid w:val="00826806"/>
  </w:style>
  <w:style w:type="character" w:customStyle="1" w:styleId="CharSubPartTextCASA">
    <w:name w:val="CharSubPartText(CASA)"/>
    <w:basedOn w:val="OPCCharBase"/>
    <w:uiPriority w:val="1"/>
    <w:rsid w:val="00826806"/>
  </w:style>
  <w:style w:type="paragraph" w:customStyle="1" w:styleId="SubPartCASA">
    <w:name w:val="SubPart(CASA)"/>
    <w:aliases w:val="csp"/>
    <w:basedOn w:val="OPCParaBase"/>
    <w:next w:val="ActHead3"/>
    <w:rsid w:val="00826806"/>
    <w:pPr>
      <w:keepNext/>
      <w:keepLines/>
      <w:spacing w:before="280"/>
      <w:ind w:left="1134" w:hanging="1134"/>
      <w:outlineLvl w:val="1"/>
    </w:pPr>
    <w:rPr>
      <w:b/>
      <w:kern w:val="28"/>
      <w:sz w:val="32"/>
    </w:rPr>
  </w:style>
  <w:style w:type="paragraph" w:customStyle="1" w:styleId="ENoteTTIndentHeadingSub">
    <w:name w:val="ENoteTTIndentHeadingSub"/>
    <w:aliases w:val="enTTHis"/>
    <w:basedOn w:val="OPCParaBase"/>
    <w:rsid w:val="00826806"/>
    <w:pPr>
      <w:keepNext/>
      <w:spacing w:before="60" w:line="240" w:lineRule="atLeast"/>
      <w:ind w:left="340"/>
    </w:pPr>
    <w:rPr>
      <w:b/>
      <w:sz w:val="16"/>
    </w:rPr>
  </w:style>
  <w:style w:type="paragraph" w:customStyle="1" w:styleId="ENoteTTiSub">
    <w:name w:val="ENoteTTiSub"/>
    <w:aliases w:val="enttis"/>
    <w:basedOn w:val="OPCParaBase"/>
    <w:rsid w:val="00826806"/>
    <w:pPr>
      <w:keepNext/>
      <w:spacing w:before="60" w:line="240" w:lineRule="atLeast"/>
      <w:ind w:left="340"/>
    </w:pPr>
    <w:rPr>
      <w:sz w:val="16"/>
    </w:rPr>
  </w:style>
  <w:style w:type="paragraph" w:customStyle="1" w:styleId="SubDivisionMigration">
    <w:name w:val="SubDivisionMigration"/>
    <w:aliases w:val="sdm"/>
    <w:basedOn w:val="OPCParaBase"/>
    <w:rsid w:val="0082680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26806"/>
    <w:pPr>
      <w:keepNext/>
      <w:keepLines/>
      <w:spacing w:before="240" w:line="240" w:lineRule="auto"/>
      <w:ind w:left="1134" w:hanging="1134"/>
    </w:pPr>
    <w:rPr>
      <w:b/>
      <w:sz w:val="28"/>
    </w:rPr>
  </w:style>
  <w:style w:type="table" w:styleId="TableGrid">
    <w:name w:val="Table Grid"/>
    <w:basedOn w:val="TableNormal"/>
    <w:uiPriority w:val="59"/>
    <w:rsid w:val="00826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26806"/>
    <w:pPr>
      <w:spacing w:before="122" w:line="240" w:lineRule="auto"/>
      <w:ind w:left="1985" w:hanging="851"/>
    </w:pPr>
    <w:rPr>
      <w:sz w:val="18"/>
    </w:rPr>
  </w:style>
  <w:style w:type="paragraph" w:customStyle="1" w:styleId="FreeForm">
    <w:name w:val="FreeForm"/>
    <w:rsid w:val="00746C1A"/>
    <w:rPr>
      <w:rFonts w:ascii="Arial" w:hAnsi="Arial"/>
      <w:sz w:val="22"/>
    </w:rPr>
  </w:style>
  <w:style w:type="paragraph" w:customStyle="1" w:styleId="SOText">
    <w:name w:val="SO Text"/>
    <w:aliases w:val="sot"/>
    <w:link w:val="SOTextChar"/>
    <w:rsid w:val="0082680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26806"/>
    <w:rPr>
      <w:sz w:val="22"/>
    </w:rPr>
  </w:style>
  <w:style w:type="paragraph" w:customStyle="1" w:styleId="SOTextNote">
    <w:name w:val="SO TextNote"/>
    <w:aliases w:val="sont"/>
    <w:basedOn w:val="SOText"/>
    <w:qFormat/>
    <w:rsid w:val="00826806"/>
    <w:pPr>
      <w:spacing w:before="122" w:line="198" w:lineRule="exact"/>
      <w:ind w:left="1843" w:hanging="709"/>
    </w:pPr>
    <w:rPr>
      <w:sz w:val="18"/>
    </w:rPr>
  </w:style>
  <w:style w:type="paragraph" w:customStyle="1" w:styleId="SOPara">
    <w:name w:val="SO Para"/>
    <w:aliases w:val="soa"/>
    <w:basedOn w:val="SOText"/>
    <w:link w:val="SOParaChar"/>
    <w:qFormat/>
    <w:rsid w:val="00826806"/>
    <w:pPr>
      <w:tabs>
        <w:tab w:val="right" w:pos="1786"/>
      </w:tabs>
      <w:spacing w:before="40"/>
      <w:ind w:left="2070" w:hanging="936"/>
    </w:pPr>
  </w:style>
  <w:style w:type="character" w:customStyle="1" w:styleId="SOParaChar">
    <w:name w:val="SO Para Char"/>
    <w:aliases w:val="soa Char"/>
    <w:basedOn w:val="DefaultParagraphFont"/>
    <w:link w:val="SOPara"/>
    <w:rsid w:val="00826806"/>
    <w:rPr>
      <w:sz w:val="22"/>
    </w:rPr>
  </w:style>
  <w:style w:type="paragraph" w:customStyle="1" w:styleId="SOBullet">
    <w:name w:val="SO Bullet"/>
    <w:aliases w:val="sotb"/>
    <w:basedOn w:val="SOText"/>
    <w:link w:val="SOBulletChar"/>
    <w:qFormat/>
    <w:rsid w:val="00826806"/>
    <w:pPr>
      <w:ind w:left="1559" w:hanging="425"/>
    </w:pPr>
  </w:style>
  <w:style w:type="character" w:customStyle="1" w:styleId="SOBulletChar">
    <w:name w:val="SO Bullet Char"/>
    <w:aliases w:val="sotb Char"/>
    <w:basedOn w:val="DefaultParagraphFont"/>
    <w:link w:val="SOBullet"/>
    <w:rsid w:val="00826806"/>
    <w:rPr>
      <w:sz w:val="22"/>
    </w:rPr>
  </w:style>
  <w:style w:type="paragraph" w:customStyle="1" w:styleId="SOBulletNote">
    <w:name w:val="SO BulletNote"/>
    <w:aliases w:val="sonb"/>
    <w:basedOn w:val="SOTextNote"/>
    <w:link w:val="SOBulletNoteChar"/>
    <w:qFormat/>
    <w:rsid w:val="00826806"/>
    <w:pPr>
      <w:tabs>
        <w:tab w:val="left" w:pos="1560"/>
      </w:tabs>
      <w:ind w:left="2268" w:hanging="1134"/>
    </w:pPr>
  </w:style>
  <w:style w:type="character" w:customStyle="1" w:styleId="SOBulletNoteChar">
    <w:name w:val="SO BulletNote Char"/>
    <w:aliases w:val="sonb Char"/>
    <w:basedOn w:val="DefaultParagraphFont"/>
    <w:link w:val="SOBulletNote"/>
    <w:rsid w:val="00826806"/>
    <w:rPr>
      <w:sz w:val="18"/>
    </w:rPr>
  </w:style>
  <w:style w:type="paragraph" w:customStyle="1" w:styleId="FileName">
    <w:name w:val="FileName"/>
    <w:basedOn w:val="Normal"/>
    <w:rsid w:val="00826806"/>
  </w:style>
  <w:style w:type="paragraph" w:customStyle="1" w:styleId="SOHeadBold">
    <w:name w:val="SO HeadBold"/>
    <w:aliases w:val="sohb"/>
    <w:basedOn w:val="SOText"/>
    <w:next w:val="SOText"/>
    <w:link w:val="SOHeadBoldChar"/>
    <w:qFormat/>
    <w:rsid w:val="00826806"/>
    <w:rPr>
      <w:b/>
    </w:rPr>
  </w:style>
  <w:style w:type="character" w:customStyle="1" w:styleId="SOHeadBoldChar">
    <w:name w:val="SO HeadBold Char"/>
    <w:aliases w:val="sohb Char"/>
    <w:basedOn w:val="DefaultParagraphFont"/>
    <w:link w:val="SOHeadBold"/>
    <w:rsid w:val="00826806"/>
    <w:rPr>
      <w:b/>
      <w:sz w:val="22"/>
    </w:rPr>
  </w:style>
  <w:style w:type="paragraph" w:customStyle="1" w:styleId="SOHeadItalic">
    <w:name w:val="SO HeadItalic"/>
    <w:aliases w:val="sohi"/>
    <w:basedOn w:val="SOText"/>
    <w:next w:val="SOText"/>
    <w:link w:val="SOHeadItalicChar"/>
    <w:qFormat/>
    <w:rsid w:val="00826806"/>
    <w:rPr>
      <w:i/>
    </w:rPr>
  </w:style>
  <w:style w:type="character" w:customStyle="1" w:styleId="SOHeadItalicChar">
    <w:name w:val="SO HeadItalic Char"/>
    <w:aliases w:val="sohi Char"/>
    <w:basedOn w:val="DefaultParagraphFont"/>
    <w:link w:val="SOHeadItalic"/>
    <w:rsid w:val="00826806"/>
    <w:rPr>
      <w:i/>
      <w:sz w:val="22"/>
    </w:rPr>
  </w:style>
  <w:style w:type="paragraph" w:customStyle="1" w:styleId="SOText2">
    <w:name w:val="SO Text2"/>
    <w:aliases w:val="sot2"/>
    <w:basedOn w:val="Normal"/>
    <w:next w:val="SOText"/>
    <w:link w:val="SOText2Char"/>
    <w:rsid w:val="0082680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26806"/>
    <w:rPr>
      <w:sz w:val="22"/>
    </w:rPr>
  </w:style>
  <w:style w:type="paragraph" w:customStyle="1" w:styleId="ETAsubitem">
    <w:name w:val="ETA(subitem)"/>
    <w:basedOn w:val="OPCParaBase"/>
    <w:rsid w:val="00826806"/>
    <w:pPr>
      <w:tabs>
        <w:tab w:val="right" w:pos="340"/>
      </w:tabs>
      <w:spacing w:before="60" w:line="240" w:lineRule="auto"/>
      <w:ind w:left="454" w:hanging="454"/>
    </w:pPr>
    <w:rPr>
      <w:sz w:val="20"/>
    </w:rPr>
  </w:style>
  <w:style w:type="paragraph" w:customStyle="1" w:styleId="ETApara">
    <w:name w:val="ETA(para)"/>
    <w:basedOn w:val="OPCParaBase"/>
    <w:rsid w:val="00826806"/>
    <w:pPr>
      <w:tabs>
        <w:tab w:val="right" w:pos="754"/>
      </w:tabs>
      <w:spacing w:before="60" w:line="240" w:lineRule="auto"/>
      <w:ind w:left="828" w:hanging="828"/>
    </w:pPr>
    <w:rPr>
      <w:sz w:val="20"/>
    </w:rPr>
  </w:style>
  <w:style w:type="paragraph" w:customStyle="1" w:styleId="ETAsubpara">
    <w:name w:val="ETA(subpara)"/>
    <w:basedOn w:val="OPCParaBase"/>
    <w:rsid w:val="00826806"/>
    <w:pPr>
      <w:tabs>
        <w:tab w:val="right" w:pos="1083"/>
      </w:tabs>
      <w:spacing w:before="60" w:line="240" w:lineRule="auto"/>
      <w:ind w:left="1191" w:hanging="1191"/>
    </w:pPr>
    <w:rPr>
      <w:sz w:val="20"/>
    </w:rPr>
  </w:style>
  <w:style w:type="paragraph" w:customStyle="1" w:styleId="ETAsub-subpara">
    <w:name w:val="ETA(sub-subpara)"/>
    <w:basedOn w:val="OPCParaBase"/>
    <w:rsid w:val="00826806"/>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826806"/>
    <w:rPr>
      <w:b/>
      <w:sz w:val="28"/>
      <w:szCs w:val="28"/>
    </w:rPr>
  </w:style>
  <w:style w:type="paragraph" w:customStyle="1" w:styleId="NotesHeading2">
    <w:name w:val="NotesHeading 2"/>
    <w:basedOn w:val="OPCParaBase"/>
    <w:next w:val="Normal"/>
    <w:rsid w:val="00826806"/>
    <w:rPr>
      <w:b/>
      <w:sz w:val="28"/>
      <w:szCs w:val="28"/>
    </w:rPr>
  </w:style>
  <w:style w:type="paragraph" w:customStyle="1" w:styleId="Transitional">
    <w:name w:val="Transitional"/>
    <w:aliases w:val="tr"/>
    <w:basedOn w:val="ItemHead"/>
    <w:next w:val="Item"/>
    <w:rsid w:val="00826806"/>
  </w:style>
  <w:style w:type="character" w:customStyle="1" w:styleId="Heading1Char">
    <w:name w:val="Heading 1 Char"/>
    <w:basedOn w:val="DefaultParagraphFont"/>
    <w:link w:val="Heading1"/>
    <w:uiPriority w:val="9"/>
    <w:rsid w:val="00AC07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C07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C079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C079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C079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AC079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C079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C079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0791"/>
    <w:rPr>
      <w:rFonts w:asciiTheme="majorHAnsi" w:eastAsiaTheme="majorEastAsia" w:hAnsiTheme="majorHAnsi" w:cstheme="majorBidi"/>
      <w:i/>
      <w:iCs/>
      <w:color w:val="404040" w:themeColor="text1" w:themeTint="BF"/>
    </w:rPr>
  </w:style>
  <w:style w:type="character" w:customStyle="1" w:styleId="subsectionChar">
    <w:name w:val="subsection Char"/>
    <w:aliases w:val="ss Char"/>
    <w:basedOn w:val="DefaultParagraphFont"/>
    <w:link w:val="subsection"/>
    <w:locked/>
    <w:rsid w:val="00135F20"/>
    <w:rPr>
      <w:rFonts w:eastAsia="Times New Roman" w:cs="Times New Roman"/>
      <w:sz w:val="22"/>
      <w:lang w:eastAsia="en-AU"/>
    </w:rPr>
  </w:style>
  <w:style w:type="character" w:customStyle="1" w:styleId="paragraphChar">
    <w:name w:val="paragraph Char"/>
    <w:aliases w:val="a Char"/>
    <w:link w:val="paragraph"/>
    <w:rsid w:val="00135F20"/>
    <w:rPr>
      <w:rFonts w:eastAsia="Times New Roman" w:cs="Times New Roman"/>
      <w:sz w:val="22"/>
      <w:lang w:eastAsia="en-AU"/>
    </w:rPr>
  </w:style>
  <w:style w:type="character" w:customStyle="1" w:styleId="ActHead5Char">
    <w:name w:val="ActHead 5 Char"/>
    <w:aliases w:val="s Char"/>
    <w:link w:val="ActHead5"/>
    <w:rsid w:val="00135F20"/>
    <w:rPr>
      <w:rFonts w:eastAsia="Times New Roman" w:cs="Times New Roman"/>
      <w:b/>
      <w:kern w:val="28"/>
      <w:sz w:val="24"/>
      <w:lang w:eastAsia="en-AU"/>
    </w:rPr>
  </w:style>
  <w:style w:type="character" w:customStyle="1" w:styleId="notetextChar">
    <w:name w:val="note(text) Char"/>
    <w:aliases w:val="n Char"/>
    <w:link w:val="notetext"/>
    <w:rsid w:val="00135F20"/>
    <w:rPr>
      <w:rFonts w:eastAsia="Times New Roman" w:cs="Times New Roman"/>
      <w:sz w:val="18"/>
      <w:lang w:eastAsia="en-AU"/>
    </w:rPr>
  </w:style>
  <w:style w:type="character" w:customStyle="1" w:styleId="ItemHeadChar">
    <w:name w:val="ItemHead Char"/>
    <w:aliases w:val="ih Char"/>
    <w:basedOn w:val="DefaultParagraphFont"/>
    <w:link w:val="ItemHead"/>
    <w:rsid w:val="00135F20"/>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rsid w:val="00135F20"/>
    <w:rPr>
      <w:rFonts w:eastAsia="Times New Roman" w:cs="Times New Roman"/>
      <w:sz w:val="22"/>
      <w:lang w:eastAsia="en-AU"/>
    </w:rPr>
  </w:style>
  <w:style w:type="paragraph" w:customStyle="1" w:styleId="tableSub-heading">
    <w:name w:val="table.Sub-heading"/>
    <w:basedOn w:val="Normal"/>
    <w:rsid w:val="00135F20"/>
    <w:pPr>
      <w:keepNext/>
      <w:tabs>
        <w:tab w:val="left" w:leader="dot" w:pos="6124"/>
      </w:tabs>
      <w:spacing w:before="24" w:after="24" w:line="240" w:lineRule="auto"/>
    </w:pPr>
    <w:rPr>
      <w:rFonts w:eastAsia="Calibri" w:cs="Times New Roman"/>
      <w:b/>
      <w:sz w:val="20"/>
    </w:rPr>
  </w:style>
  <w:style w:type="paragraph" w:customStyle="1" w:styleId="tableText0">
    <w:name w:val="table.Text"/>
    <w:basedOn w:val="Normal"/>
    <w:rsid w:val="00135F20"/>
    <w:pPr>
      <w:spacing w:before="24" w:after="24"/>
    </w:pPr>
    <w:rPr>
      <w:rFonts w:eastAsia="Calibri" w:cs="Times New Roman"/>
      <w:sz w:val="20"/>
    </w:rPr>
  </w:style>
  <w:style w:type="paragraph" w:customStyle="1" w:styleId="tableIndentText">
    <w:name w:val="table.Indent.Text"/>
    <w:rsid w:val="00135F20"/>
    <w:pPr>
      <w:tabs>
        <w:tab w:val="left" w:leader="dot" w:pos="5245"/>
      </w:tabs>
      <w:spacing w:before="24" w:after="24"/>
      <w:ind w:left="851" w:hanging="284"/>
    </w:pPr>
    <w:rPr>
      <w:rFonts w:ascii="Times" w:eastAsia="Times New Roman" w:hAnsi="Times" w:cs="Times New Roman"/>
    </w:rPr>
  </w:style>
  <w:style w:type="character" w:customStyle="1" w:styleId="DefinitionChar">
    <w:name w:val="Definition Char"/>
    <w:aliases w:val="dd Char"/>
    <w:link w:val="Definition"/>
    <w:rsid w:val="00135F20"/>
    <w:rPr>
      <w:rFonts w:eastAsia="Times New Roman" w:cs="Times New Roman"/>
      <w:sz w:val="22"/>
      <w:lang w:eastAsia="en-AU"/>
    </w:rPr>
  </w:style>
  <w:style w:type="character" w:styleId="Hyperlink">
    <w:name w:val="Hyperlink"/>
    <w:basedOn w:val="DefaultParagraphFont"/>
    <w:uiPriority w:val="99"/>
    <w:semiHidden/>
    <w:unhideWhenUsed/>
    <w:rsid w:val="006B058E"/>
    <w:rPr>
      <w:color w:val="0000FF" w:themeColor="hyperlink"/>
      <w:u w:val="single"/>
    </w:rPr>
  </w:style>
  <w:style w:type="character" w:styleId="FollowedHyperlink">
    <w:name w:val="FollowedHyperlink"/>
    <w:basedOn w:val="DefaultParagraphFont"/>
    <w:uiPriority w:val="99"/>
    <w:semiHidden/>
    <w:unhideWhenUsed/>
    <w:rsid w:val="006B058E"/>
    <w:rPr>
      <w:color w:val="0000FF" w:themeColor="hyperlink"/>
      <w:u w:val="single"/>
    </w:rPr>
  </w:style>
  <w:style w:type="paragraph" w:customStyle="1" w:styleId="ShortTP1">
    <w:name w:val="ShortTP1"/>
    <w:basedOn w:val="ShortT"/>
    <w:link w:val="ShortTP1Char"/>
    <w:rsid w:val="002E36F5"/>
    <w:pPr>
      <w:spacing w:before="800"/>
    </w:pPr>
  </w:style>
  <w:style w:type="character" w:customStyle="1" w:styleId="ShortTP1Char">
    <w:name w:val="ShortTP1 Char"/>
    <w:basedOn w:val="DefaultParagraphFont"/>
    <w:link w:val="ShortTP1"/>
    <w:rsid w:val="002E36F5"/>
    <w:rPr>
      <w:rFonts w:eastAsia="Times New Roman" w:cs="Times New Roman"/>
      <w:b/>
      <w:sz w:val="40"/>
      <w:lang w:eastAsia="en-AU"/>
    </w:rPr>
  </w:style>
  <w:style w:type="paragraph" w:customStyle="1" w:styleId="ActNoP1">
    <w:name w:val="ActNoP1"/>
    <w:basedOn w:val="Actno"/>
    <w:link w:val="ActNoP1Char"/>
    <w:rsid w:val="002E36F5"/>
    <w:pPr>
      <w:spacing w:before="800"/>
    </w:pPr>
    <w:rPr>
      <w:sz w:val="28"/>
    </w:rPr>
  </w:style>
  <w:style w:type="character" w:customStyle="1" w:styleId="ActNoP1Char">
    <w:name w:val="ActNoP1 Char"/>
    <w:basedOn w:val="DefaultParagraphFont"/>
    <w:link w:val="ActNoP1"/>
    <w:rsid w:val="002E36F5"/>
    <w:rPr>
      <w:rFonts w:eastAsia="Times New Roman" w:cs="Times New Roman"/>
      <w:b/>
      <w:sz w:val="28"/>
      <w:lang w:eastAsia="en-AU"/>
    </w:rPr>
  </w:style>
  <w:style w:type="paragraph" w:customStyle="1" w:styleId="AssentBk">
    <w:name w:val="AssentBk"/>
    <w:basedOn w:val="Normal"/>
    <w:rsid w:val="002E36F5"/>
    <w:pPr>
      <w:spacing w:line="240" w:lineRule="auto"/>
    </w:pPr>
    <w:rPr>
      <w:rFonts w:eastAsia="Times New Roman" w:cs="Times New Roman"/>
      <w:sz w:val="20"/>
      <w:lang w:eastAsia="en-AU"/>
    </w:rPr>
  </w:style>
  <w:style w:type="paragraph" w:customStyle="1" w:styleId="AssentDt">
    <w:name w:val="AssentDt"/>
    <w:basedOn w:val="Normal"/>
    <w:rsid w:val="00937CF5"/>
    <w:pPr>
      <w:spacing w:line="240" w:lineRule="auto"/>
    </w:pPr>
    <w:rPr>
      <w:rFonts w:eastAsia="Times New Roman" w:cs="Times New Roman"/>
      <w:sz w:val="20"/>
      <w:lang w:eastAsia="en-AU"/>
    </w:rPr>
  </w:style>
  <w:style w:type="paragraph" w:customStyle="1" w:styleId="2ndRd">
    <w:name w:val="2ndRd"/>
    <w:basedOn w:val="Normal"/>
    <w:rsid w:val="00937CF5"/>
    <w:pPr>
      <w:spacing w:line="240" w:lineRule="auto"/>
    </w:pPr>
    <w:rPr>
      <w:rFonts w:eastAsia="Times New Roman" w:cs="Times New Roman"/>
      <w:sz w:val="20"/>
      <w:lang w:eastAsia="en-AU"/>
    </w:rPr>
  </w:style>
  <w:style w:type="paragraph" w:customStyle="1" w:styleId="ScalePlusRef">
    <w:name w:val="ScalePlusRef"/>
    <w:basedOn w:val="Normal"/>
    <w:rsid w:val="00937CF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4.xml"/><Relationship Id="rId3" Type="http://schemas.microsoft.com/office/2007/relationships/stylesWithEffects" Target="stylesWithEffects.xml"/><Relationship Id="rId21" Type="http://schemas.openxmlformats.org/officeDocument/2006/relationships/oleObject" Target="embeddings/oleObject2.bin"/><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33</Pages>
  <Words>5674</Words>
  <Characters>30506</Characters>
  <Application>Microsoft Office Word</Application>
  <DocSecurity>0</DocSecurity>
  <PresentationFormat/>
  <Lines>254</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36108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2020-03-11T05:01:00Z</cp:lastPrinted>
  <dcterms:created xsi:type="dcterms:W3CDTF">2020-09-07T01:23:00Z</dcterms:created>
  <dcterms:modified xsi:type="dcterms:W3CDTF">2020-09-07T01:38:00Z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Treasury Laws Amendment (2020 Measures No. 2) Act 2020</vt:lpwstr>
  </property>
  <property fmtid="{D5CDD505-2E9C-101B-9397-08002B2CF9AE}" pid="3" name="Class">
    <vt:lpwstr>BILL</vt:lpwstr>
  </property>
  <property fmtid="{D5CDD505-2E9C-101B-9397-08002B2CF9AE}" pid="4" name="Type">
    <vt:lpwstr>BILL</vt:lpwstr>
  </property>
  <property fmtid="{D5CDD505-2E9C-101B-9397-08002B2CF9AE}" pid="5" name="DocType">
    <vt:lpwstr>AMD</vt:lpwstr>
  </property>
  <property fmtid="{D5CDD505-2E9C-101B-9397-08002B2CF9AE}" pid="6" name="Header">
    <vt:lpwstr>Section</vt:lpwstr>
  </property>
  <property fmtid="{D5CDD505-2E9C-101B-9397-08002B2CF9AE}" pid="7" name="ID">
    <vt:lpwstr>OPC7377</vt:lpwstr>
  </property>
  <property fmtid="{D5CDD505-2E9C-101B-9397-08002B2CF9AE}" pid="8" name="ActNo">
    <vt:lpwstr>No. 79, 2020</vt:lpwstr>
  </property>
  <property fmtid="{D5CDD505-2E9C-101B-9397-08002B2CF9AE}" pid="9" name="Classification">
    <vt:lpwstr> </vt:lpwstr>
  </property>
  <property fmtid="{D5CDD505-2E9C-101B-9397-08002B2CF9AE}" pid="10" name="DLM">
    <vt:lpwstr> </vt:lpwstr>
  </property>
  <property fmtid="{D5CDD505-2E9C-101B-9397-08002B2CF9AE}" pid="11" name="DoNotAsk">
    <vt:lpwstr>0</vt:lpwstr>
  </property>
  <property fmtid="{D5CDD505-2E9C-101B-9397-08002B2CF9AE}" pid="12" name="ChangedTitle">
    <vt:lpwstr/>
  </property>
</Properties>
</file>