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B97" w:rsidRDefault="00115B97">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25pt;height:80.25pt" o:ole="" fillcolor="window">
            <v:imagedata r:id="rId8" o:title=""/>
          </v:shape>
          <o:OLEObject Type="Embed" ProgID="Word.Picture.8" ShapeID="_x0000_i1026" DrawAspect="Content" ObjectID="_1644643801" r:id="rId9"/>
        </w:object>
      </w:r>
    </w:p>
    <w:p w:rsidR="00115B97" w:rsidRDefault="00115B97"/>
    <w:p w:rsidR="00115B97" w:rsidRDefault="00115B97" w:rsidP="00115B97">
      <w:pPr>
        <w:spacing w:line="240" w:lineRule="auto"/>
      </w:pPr>
    </w:p>
    <w:p w:rsidR="00115B97" w:rsidRDefault="00115B97" w:rsidP="00115B97"/>
    <w:p w:rsidR="00115B97" w:rsidRDefault="00115B97" w:rsidP="00115B97"/>
    <w:p w:rsidR="00115B97" w:rsidRDefault="00115B97" w:rsidP="00115B97"/>
    <w:p w:rsidR="00115B97" w:rsidRDefault="00115B97" w:rsidP="00115B97"/>
    <w:p w:rsidR="00803482" w:rsidRPr="00BB38D6" w:rsidRDefault="002E3A01" w:rsidP="00803482">
      <w:pPr>
        <w:pStyle w:val="ShortT"/>
      </w:pPr>
      <w:r w:rsidRPr="00BB38D6">
        <w:t>Treasury</w:t>
      </w:r>
      <w:r w:rsidR="00936EC6" w:rsidRPr="00BB38D6">
        <w:t xml:space="preserve"> Laws Amendment (2018</w:t>
      </w:r>
      <w:r w:rsidR="00803482" w:rsidRPr="00BB38D6">
        <w:t xml:space="preserve"> Measures No.</w:t>
      </w:r>
      <w:r w:rsidR="00BB38D6" w:rsidRPr="00BB38D6">
        <w:t> </w:t>
      </w:r>
      <w:r w:rsidR="00803482" w:rsidRPr="00BB38D6">
        <w:t xml:space="preserve">2) </w:t>
      </w:r>
      <w:r w:rsidR="00115B97">
        <w:t>Act</w:t>
      </w:r>
      <w:bookmarkStart w:id="0" w:name="_GoBack"/>
      <w:bookmarkEnd w:id="0"/>
      <w:r w:rsidR="00803482" w:rsidRPr="00BB38D6">
        <w:t xml:space="preserve"> </w:t>
      </w:r>
      <w:r w:rsidR="00627DB4">
        <w:t>2020</w:t>
      </w:r>
    </w:p>
    <w:p w:rsidR="00803482" w:rsidRPr="00BB38D6" w:rsidRDefault="00803482" w:rsidP="00803482"/>
    <w:p w:rsidR="00803482" w:rsidRPr="00BB38D6" w:rsidRDefault="00803482" w:rsidP="00115B97">
      <w:pPr>
        <w:pStyle w:val="Actno"/>
        <w:spacing w:before="400"/>
      </w:pPr>
      <w:r w:rsidRPr="00BB38D6">
        <w:t>No.</w:t>
      </w:r>
      <w:r w:rsidR="0033031D">
        <w:t xml:space="preserve"> 8</w:t>
      </w:r>
      <w:r w:rsidRPr="00BB38D6">
        <w:t xml:space="preserve">, </w:t>
      </w:r>
      <w:r w:rsidR="00627DB4">
        <w:t>2020</w:t>
      </w:r>
    </w:p>
    <w:p w:rsidR="00803482" w:rsidRPr="00BB38D6" w:rsidRDefault="00803482" w:rsidP="00803482"/>
    <w:p w:rsidR="00115B97" w:rsidRDefault="00115B97" w:rsidP="00115B97"/>
    <w:p w:rsidR="00115B97" w:rsidRDefault="00115B97" w:rsidP="00115B97"/>
    <w:p w:rsidR="00115B97" w:rsidRDefault="00115B97" w:rsidP="00115B97"/>
    <w:p w:rsidR="00115B97" w:rsidRDefault="00115B97" w:rsidP="00115B97"/>
    <w:p w:rsidR="00803482" w:rsidRPr="00BB38D6" w:rsidRDefault="00115B97" w:rsidP="00803482">
      <w:pPr>
        <w:pStyle w:val="LongT"/>
      </w:pPr>
      <w:r>
        <w:t>An Act</w:t>
      </w:r>
      <w:r w:rsidR="00803482" w:rsidRPr="00BB38D6">
        <w:t xml:space="preserve"> to amend the law relating to corporations, consumer credit and taxation, and for related purposes</w:t>
      </w:r>
    </w:p>
    <w:p w:rsidR="00803482" w:rsidRPr="00BB38D6" w:rsidRDefault="00803482" w:rsidP="00803482">
      <w:pPr>
        <w:pStyle w:val="Header"/>
        <w:tabs>
          <w:tab w:val="clear" w:pos="4150"/>
          <w:tab w:val="clear" w:pos="8307"/>
        </w:tabs>
      </w:pPr>
      <w:r w:rsidRPr="00BB38D6">
        <w:rPr>
          <w:rStyle w:val="CharAmSchNo"/>
        </w:rPr>
        <w:t xml:space="preserve"> </w:t>
      </w:r>
      <w:r w:rsidRPr="00BB38D6">
        <w:rPr>
          <w:rStyle w:val="CharAmSchText"/>
        </w:rPr>
        <w:t xml:space="preserve"> </w:t>
      </w:r>
    </w:p>
    <w:p w:rsidR="00803482" w:rsidRPr="00BB38D6" w:rsidRDefault="00803482" w:rsidP="00803482">
      <w:pPr>
        <w:pStyle w:val="Header"/>
        <w:tabs>
          <w:tab w:val="clear" w:pos="4150"/>
          <w:tab w:val="clear" w:pos="8307"/>
        </w:tabs>
      </w:pPr>
      <w:r w:rsidRPr="00BB38D6">
        <w:rPr>
          <w:rStyle w:val="CharAmPartNo"/>
        </w:rPr>
        <w:t xml:space="preserve"> </w:t>
      </w:r>
      <w:r w:rsidRPr="00BB38D6">
        <w:rPr>
          <w:rStyle w:val="CharAmPartText"/>
        </w:rPr>
        <w:t xml:space="preserve"> </w:t>
      </w:r>
    </w:p>
    <w:p w:rsidR="00803482" w:rsidRPr="00BB38D6" w:rsidRDefault="00803482" w:rsidP="00803482">
      <w:pPr>
        <w:sectPr w:rsidR="00803482" w:rsidRPr="00BB38D6" w:rsidSect="00115B97">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803482" w:rsidRPr="00BB38D6" w:rsidRDefault="00803482" w:rsidP="00803482">
      <w:pPr>
        <w:rPr>
          <w:sz w:val="36"/>
        </w:rPr>
      </w:pPr>
      <w:r w:rsidRPr="00BB38D6">
        <w:rPr>
          <w:sz w:val="36"/>
        </w:rPr>
        <w:lastRenderedPageBreak/>
        <w:t>Contents</w:t>
      </w:r>
    </w:p>
    <w:p w:rsidR="0039778E" w:rsidRDefault="0039778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39778E">
        <w:rPr>
          <w:noProof/>
        </w:rPr>
        <w:tab/>
      </w:r>
      <w:r w:rsidRPr="0039778E">
        <w:rPr>
          <w:noProof/>
        </w:rPr>
        <w:fldChar w:fldCharType="begin"/>
      </w:r>
      <w:r w:rsidRPr="0039778E">
        <w:rPr>
          <w:noProof/>
        </w:rPr>
        <w:instrText xml:space="preserve"> PAGEREF _Toc34030878 \h </w:instrText>
      </w:r>
      <w:r w:rsidRPr="0039778E">
        <w:rPr>
          <w:noProof/>
        </w:rPr>
      </w:r>
      <w:r w:rsidRPr="0039778E">
        <w:rPr>
          <w:noProof/>
        </w:rPr>
        <w:fldChar w:fldCharType="separate"/>
      </w:r>
      <w:r w:rsidR="005404A0">
        <w:rPr>
          <w:noProof/>
        </w:rPr>
        <w:t>1</w:t>
      </w:r>
      <w:r w:rsidRPr="0039778E">
        <w:rPr>
          <w:noProof/>
        </w:rPr>
        <w:fldChar w:fldCharType="end"/>
      </w:r>
    </w:p>
    <w:p w:rsidR="0039778E" w:rsidRDefault="0039778E">
      <w:pPr>
        <w:pStyle w:val="TOC5"/>
        <w:rPr>
          <w:rFonts w:asciiTheme="minorHAnsi" w:eastAsiaTheme="minorEastAsia" w:hAnsiTheme="minorHAnsi" w:cstheme="minorBidi"/>
          <w:noProof/>
          <w:kern w:val="0"/>
          <w:sz w:val="22"/>
          <w:szCs w:val="22"/>
        </w:rPr>
      </w:pPr>
      <w:r>
        <w:rPr>
          <w:noProof/>
        </w:rPr>
        <w:t>2</w:t>
      </w:r>
      <w:r>
        <w:rPr>
          <w:noProof/>
        </w:rPr>
        <w:tab/>
        <w:t>Commencement</w:t>
      </w:r>
      <w:r w:rsidRPr="0039778E">
        <w:rPr>
          <w:noProof/>
        </w:rPr>
        <w:tab/>
      </w:r>
      <w:r w:rsidRPr="0039778E">
        <w:rPr>
          <w:noProof/>
        </w:rPr>
        <w:fldChar w:fldCharType="begin"/>
      </w:r>
      <w:r w:rsidRPr="0039778E">
        <w:rPr>
          <w:noProof/>
        </w:rPr>
        <w:instrText xml:space="preserve"> PAGEREF _Toc34030879 \h </w:instrText>
      </w:r>
      <w:r w:rsidRPr="0039778E">
        <w:rPr>
          <w:noProof/>
        </w:rPr>
      </w:r>
      <w:r w:rsidRPr="0039778E">
        <w:rPr>
          <w:noProof/>
        </w:rPr>
        <w:fldChar w:fldCharType="separate"/>
      </w:r>
      <w:r w:rsidR="005404A0">
        <w:rPr>
          <w:noProof/>
        </w:rPr>
        <w:t>2</w:t>
      </w:r>
      <w:r w:rsidRPr="0039778E">
        <w:rPr>
          <w:noProof/>
        </w:rPr>
        <w:fldChar w:fldCharType="end"/>
      </w:r>
    </w:p>
    <w:p w:rsidR="0039778E" w:rsidRDefault="0039778E">
      <w:pPr>
        <w:pStyle w:val="TOC5"/>
        <w:rPr>
          <w:rFonts w:asciiTheme="minorHAnsi" w:eastAsiaTheme="minorEastAsia" w:hAnsiTheme="minorHAnsi" w:cstheme="minorBidi"/>
          <w:noProof/>
          <w:kern w:val="0"/>
          <w:sz w:val="22"/>
          <w:szCs w:val="22"/>
        </w:rPr>
      </w:pPr>
      <w:r>
        <w:rPr>
          <w:noProof/>
        </w:rPr>
        <w:t>3</w:t>
      </w:r>
      <w:r>
        <w:rPr>
          <w:noProof/>
        </w:rPr>
        <w:tab/>
        <w:t>Schedules</w:t>
      </w:r>
      <w:r w:rsidRPr="0039778E">
        <w:rPr>
          <w:noProof/>
        </w:rPr>
        <w:tab/>
      </w:r>
      <w:r w:rsidRPr="0039778E">
        <w:rPr>
          <w:noProof/>
        </w:rPr>
        <w:fldChar w:fldCharType="begin"/>
      </w:r>
      <w:r w:rsidRPr="0039778E">
        <w:rPr>
          <w:noProof/>
        </w:rPr>
        <w:instrText xml:space="preserve"> PAGEREF _Toc34030880 \h </w:instrText>
      </w:r>
      <w:r w:rsidRPr="0039778E">
        <w:rPr>
          <w:noProof/>
        </w:rPr>
      </w:r>
      <w:r w:rsidRPr="0039778E">
        <w:rPr>
          <w:noProof/>
        </w:rPr>
        <w:fldChar w:fldCharType="separate"/>
      </w:r>
      <w:r w:rsidR="005404A0">
        <w:rPr>
          <w:noProof/>
        </w:rPr>
        <w:t>2</w:t>
      </w:r>
      <w:r w:rsidRPr="0039778E">
        <w:rPr>
          <w:noProof/>
        </w:rPr>
        <w:fldChar w:fldCharType="end"/>
      </w:r>
    </w:p>
    <w:p w:rsidR="0039778E" w:rsidRDefault="0039778E">
      <w:pPr>
        <w:pStyle w:val="TOC5"/>
        <w:rPr>
          <w:rFonts w:asciiTheme="minorHAnsi" w:eastAsiaTheme="minorEastAsia" w:hAnsiTheme="minorHAnsi" w:cstheme="minorBidi"/>
          <w:noProof/>
          <w:kern w:val="0"/>
          <w:sz w:val="22"/>
          <w:szCs w:val="22"/>
        </w:rPr>
      </w:pPr>
      <w:r>
        <w:rPr>
          <w:noProof/>
        </w:rPr>
        <w:t>4</w:t>
      </w:r>
      <w:r>
        <w:rPr>
          <w:noProof/>
        </w:rPr>
        <w:tab/>
        <w:t>Independent review of operation of Schedule 1</w:t>
      </w:r>
      <w:r w:rsidRPr="0039778E">
        <w:rPr>
          <w:noProof/>
        </w:rPr>
        <w:tab/>
      </w:r>
      <w:r w:rsidRPr="0039778E">
        <w:rPr>
          <w:noProof/>
        </w:rPr>
        <w:fldChar w:fldCharType="begin"/>
      </w:r>
      <w:r w:rsidRPr="0039778E">
        <w:rPr>
          <w:noProof/>
        </w:rPr>
        <w:instrText xml:space="preserve"> PAGEREF _Toc34030881 \h </w:instrText>
      </w:r>
      <w:r w:rsidRPr="0039778E">
        <w:rPr>
          <w:noProof/>
        </w:rPr>
      </w:r>
      <w:r w:rsidRPr="0039778E">
        <w:rPr>
          <w:noProof/>
        </w:rPr>
        <w:fldChar w:fldCharType="separate"/>
      </w:r>
      <w:r w:rsidR="005404A0">
        <w:rPr>
          <w:noProof/>
        </w:rPr>
        <w:t>2</w:t>
      </w:r>
      <w:r w:rsidRPr="0039778E">
        <w:rPr>
          <w:noProof/>
        </w:rPr>
        <w:fldChar w:fldCharType="end"/>
      </w:r>
    </w:p>
    <w:p w:rsidR="0039778E" w:rsidRDefault="0039778E">
      <w:pPr>
        <w:pStyle w:val="TOC6"/>
        <w:rPr>
          <w:rFonts w:asciiTheme="minorHAnsi" w:eastAsiaTheme="minorEastAsia" w:hAnsiTheme="minorHAnsi" w:cstheme="minorBidi"/>
          <w:b w:val="0"/>
          <w:noProof/>
          <w:kern w:val="0"/>
          <w:sz w:val="22"/>
          <w:szCs w:val="22"/>
        </w:rPr>
      </w:pPr>
      <w:r>
        <w:rPr>
          <w:noProof/>
        </w:rPr>
        <w:t>Schedule 1—</w:t>
      </w:r>
      <w:r w:rsidRPr="00DD6F93">
        <w:rPr>
          <w:rFonts w:eastAsiaTheme="minorHAnsi"/>
          <w:noProof/>
        </w:rPr>
        <w:t>FinTech Sandbox Regulatory Licensing Exemptions</w:t>
      </w:r>
      <w:r w:rsidRPr="0039778E">
        <w:rPr>
          <w:b w:val="0"/>
          <w:noProof/>
          <w:sz w:val="18"/>
        </w:rPr>
        <w:tab/>
      </w:r>
      <w:r w:rsidRPr="0039778E">
        <w:rPr>
          <w:b w:val="0"/>
          <w:noProof/>
          <w:sz w:val="18"/>
        </w:rPr>
        <w:fldChar w:fldCharType="begin"/>
      </w:r>
      <w:r w:rsidRPr="0039778E">
        <w:rPr>
          <w:b w:val="0"/>
          <w:noProof/>
          <w:sz w:val="18"/>
        </w:rPr>
        <w:instrText xml:space="preserve"> PAGEREF _Toc34030882 \h </w:instrText>
      </w:r>
      <w:r w:rsidRPr="0039778E">
        <w:rPr>
          <w:b w:val="0"/>
          <w:noProof/>
          <w:sz w:val="18"/>
        </w:rPr>
      </w:r>
      <w:r w:rsidRPr="0039778E">
        <w:rPr>
          <w:b w:val="0"/>
          <w:noProof/>
          <w:sz w:val="18"/>
        </w:rPr>
        <w:fldChar w:fldCharType="separate"/>
      </w:r>
      <w:r w:rsidR="005404A0">
        <w:rPr>
          <w:b w:val="0"/>
          <w:noProof/>
          <w:sz w:val="18"/>
        </w:rPr>
        <w:t>4</w:t>
      </w:r>
      <w:r w:rsidRPr="0039778E">
        <w:rPr>
          <w:b w:val="0"/>
          <w:noProof/>
          <w:sz w:val="18"/>
        </w:rPr>
        <w:fldChar w:fldCharType="end"/>
      </w:r>
    </w:p>
    <w:p w:rsidR="0039778E" w:rsidRDefault="0039778E">
      <w:pPr>
        <w:pStyle w:val="TOC7"/>
        <w:rPr>
          <w:rFonts w:asciiTheme="minorHAnsi" w:eastAsiaTheme="minorEastAsia" w:hAnsiTheme="minorHAnsi" w:cstheme="minorBidi"/>
          <w:noProof/>
          <w:kern w:val="0"/>
          <w:sz w:val="22"/>
          <w:szCs w:val="22"/>
        </w:rPr>
      </w:pPr>
      <w:r>
        <w:rPr>
          <w:noProof/>
        </w:rPr>
        <w:t>Part 1—Amendment of the Corporations Act 2001</w:t>
      </w:r>
      <w:r w:rsidRPr="0039778E">
        <w:rPr>
          <w:noProof/>
          <w:sz w:val="18"/>
        </w:rPr>
        <w:tab/>
      </w:r>
      <w:r w:rsidRPr="0039778E">
        <w:rPr>
          <w:noProof/>
          <w:sz w:val="18"/>
        </w:rPr>
        <w:fldChar w:fldCharType="begin"/>
      </w:r>
      <w:r w:rsidRPr="0039778E">
        <w:rPr>
          <w:noProof/>
          <w:sz w:val="18"/>
        </w:rPr>
        <w:instrText xml:space="preserve"> PAGEREF _Toc34030883 \h </w:instrText>
      </w:r>
      <w:r w:rsidRPr="0039778E">
        <w:rPr>
          <w:noProof/>
          <w:sz w:val="18"/>
        </w:rPr>
      </w:r>
      <w:r w:rsidRPr="0039778E">
        <w:rPr>
          <w:noProof/>
          <w:sz w:val="18"/>
        </w:rPr>
        <w:fldChar w:fldCharType="separate"/>
      </w:r>
      <w:r w:rsidR="005404A0">
        <w:rPr>
          <w:noProof/>
          <w:sz w:val="18"/>
        </w:rPr>
        <w:t>4</w:t>
      </w:r>
      <w:r w:rsidRPr="0039778E">
        <w:rPr>
          <w:noProof/>
          <w:sz w:val="18"/>
        </w:rPr>
        <w:fldChar w:fldCharType="end"/>
      </w:r>
    </w:p>
    <w:p w:rsidR="0039778E" w:rsidRDefault="0039778E">
      <w:pPr>
        <w:pStyle w:val="TOC9"/>
        <w:rPr>
          <w:rFonts w:asciiTheme="minorHAnsi" w:eastAsiaTheme="minorEastAsia" w:hAnsiTheme="minorHAnsi" w:cstheme="minorBidi"/>
          <w:i w:val="0"/>
          <w:noProof/>
          <w:kern w:val="0"/>
          <w:sz w:val="22"/>
          <w:szCs w:val="22"/>
        </w:rPr>
      </w:pPr>
      <w:r>
        <w:rPr>
          <w:noProof/>
        </w:rPr>
        <w:t>Corporations Act 2001</w:t>
      </w:r>
      <w:r w:rsidRPr="0039778E">
        <w:rPr>
          <w:i w:val="0"/>
          <w:noProof/>
          <w:sz w:val="18"/>
        </w:rPr>
        <w:tab/>
      </w:r>
      <w:r w:rsidRPr="0039778E">
        <w:rPr>
          <w:i w:val="0"/>
          <w:noProof/>
          <w:sz w:val="18"/>
        </w:rPr>
        <w:fldChar w:fldCharType="begin"/>
      </w:r>
      <w:r w:rsidRPr="0039778E">
        <w:rPr>
          <w:i w:val="0"/>
          <w:noProof/>
          <w:sz w:val="18"/>
        </w:rPr>
        <w:instrText xml:space="preserve"> PAGEREF _Toc34030884 \h </w:instrText>
      </w:r>
      <w:r w:rsidRPr="0039778E">
        <w:rPr>
          <w:i w:val="0"/>
          <w:noProof/>
          <w:sz w:val="18"/>
        </w:rPr>
      </w:r>
      <w:r w:rsidRPr="0039778E">
        <w:rPr>
          <w:i w:val="0"/>
          <w:noProof/>
          <w:sz w:val="18"/>
        </w:rPr>
        <w:fldChar w:fldCharType="separate"/>
      </w:r>
      <w:r w:rsidR="005404A0">
        <w:rPr>
          <w:i w:val="0"/>
          <w:noProof/>
          <w:sz w:val="18"/>
        </w:rPr>
        <w:t>4</w:t>
      </w:r>
      <w:r w:rsidRPr="0039778E">
        <w:rPr>
          <w:i w:val="0"/>
          <w:noProof/>
          <w:sz w:val="18"/>
        </w:rPr>
        <w:fldChar w:fldCharType="end"/>
      </w:r>
    </w:p>
    <w:p w:rsidR="0039778E" w:rsidRDefault="0039778E">
      <w:pPr>
        <w:pStyle w:val="TOC7"/>
        <w:rPr>
          <w:rFonts w:asciiTheme="minorHAnsi" w:eastAsiaTheme="minorEastAsia" w:hAnsiTheme="minorHAnsi" w:cstheme="minorBidi"/>
          <w:noProof/>
          <w:kern w:val="0"/>
          <w:sz w:val="22"/>
          <w:szCs w:val="22"/>
        </w:rPr>
      </w:pPr>
      <w:r>
        <w:rPr>
          <w:noProof/>
        </w:rPr>
        <w:t>Part 2—Amendment of the National Consumer Credit Protection Act 2009</w:t>
      </w:r>
      <w:r w:rsidRPr="0039778E">
        <w:rPr>
          <w:noProof/>
          <w:sz w:val="18"/>
        </w:rPr>
        <w:tab/>
      </w:r>
      <w:r w:rsidRPr="0039778E">
        <w:rPr>
          <w:noProof/>
          <w:sz w:val="18"/>
        </w:rPr>
        <w:fldChar w:fldCharType="begin"/>
      </w:r>
      <w:r w:rsidRPr="0039778E">
        <w:rPr>
          <w:noProof/>
          <w:sz w:val="18"/>
        </w:rPr>
        <w:instrText xml:space="preserve"> PAGEREF _Toc34030885 \h </w:instrText>
      </w:r>
      <w:r w:rsidRPr="0039778E">
        <w:rPr>
          <w:noProof/>
          <w:sz w:val="18"/>
        </w:rPr>
      </w:r>
      <w:r w:rsidRPr="0039778E">
        <w:rPr>
          <w:noProof/>
          <w:sz w:val="18"/>
        </w:rPr>
        <w:fldChar w:fldCharType="separate"/>
      </w:r>
      <w:r w:rsidR="005404A0">
        <w:rPr>
          <w:noProof/>
          <w:sz w:val="18"/>
        </w:rPr>
        <w:t>5</w:t>
      </w:r>
      <w:r w:rsidRPr="0039778E">
        <w:rPr>
          <w:noProof/>
          <w:sz w:val="18"/>
        </w:rPr>
        <w:fldChar w:fldCharType="end"/>
      </w:r>
    </w:p>
    <w:p w:rsidR="0039778E" w:rsidRDefault="0039778E">
      <w:pPr>
        <w:pStyle w:val="TOC9"/>
        <w:rPr>
          <w:rFonts w:asciiTheme="minorHAnsi" w:eastAsiaTheme="minorEastAsia" w:hAnsiTheme="minorHAnsi" w:cstheme="minorBidi"/>
          <w:i w:val="0"/>
          <w:noProof/>
          <w:kern w:val="0"/>
          <w:sz w:val="22"/>
          <w:szCs w:val="22"/>
        </w:rPr>
      </w:pPr>
      <w:r>
        <w:rPr>
          <w:noProof/>
        </w:rPr>
        <w:t>National Consumer Credit Protection Act 2009</w:t>
      </w:r>
      <w:r w:rsidRPr="0039778E">
        <w:rPr>
          <w:i w:val="0"/>
          <w:noProof/>
          <w:sz w:val="18"/>
        </w:rPr>
        <w:tab/>
      </w:r>
      <w:r w:rsidRPr="0039778E">
        <w:rPr>
          <w:i w:val="0"/>
          <w:noProof/>
          <w:sz w:val="18"/>
        </w:rPr>
        <w:fldChar w:fldCharType="begin"/>
      </w:r>
      <w:r w:rsidRPr="0039778E">
        <w:rPr>
          <w:i w:val="0"/>
          <w:noProof/>
          <w:sz w:val="18"/>
        </w:rPr>
        <w:instrText xml:space="preserve"> PAGEREF _Toc34030886 \h </w:instrText>
      </w:r>
      <w:r w:rsidRPr="0039778E">
        <w:rPr>
          <w:i w:val="0"/>
          <w:noProof/>
          <w:sz w:val="18"/>
        </w:rPr>
      </w:r>
      <w:r w:rsidRPr="0039778E">
        <w:rPr>
          <w:i w:val="0"/>
          <w:noProof/>
          <w:sz w:val="18"/>
        </w:rPr>
        <w:fldChar w:fldCharType="separate"/>
      </w:r>
      <w:r w:rsidR="005404A0">
        <w:rPr>
          <w:i w:val="0"/>
          <w:noProof/>
          <w:sz w:val="18"/>
        </w:rPr>
        <w:t>5</w:t>
      </w:r>
      <w:r w:rsidRPr="0039778E">
        <w:rPr>
          <w:i w:val="0"/>
          <w:noProof/>
          <w:sz w:val="18"/>
        </w:rPr>
        <w:fldChar w:fldCharType="end"/>
      </w:r>
    </w:p>
    <w:p w:rsidR="0039778E" w:rsidRDefault="0039778E">
      <w:pPr>
        <w:pStyle w:val="TOC6"/>
        <w:rPr>
          <w:rFonts w:asciiTheme="minorHAnsi" w:eastAsiaTheme="minorEastAsia" w:hAnsiTheme="minorHAnsi" w:cstheme="minorBidi"/>
          <w:b w:val="0"/>
          <w:noProof/>
          <w:kern w:val="0"/>
          <w:sz w:val="22"/>
          <w:szCs w:val="22"/>
        </w:rPr>
      </w:pPr>
      <w:r>
        <w:rPr>
          <w:noProof/>
        </w:rPr>
        <w:t>Schedule 2—Innovation measures</w:t>
      </w:r>
      <w:r w:rsidRPr="0039778E">
        <w:rPr>
          <w:b w:val="0"/>
          <w:noProof/>
          <w:sz w:val="18"/>
        </w:rPr>
        <w:tab/>
      </w:r>
      <w:r w:rsidRPr="0039778E">
        <w:rPr>
          <w:b w:val="0"/>
          <w:noProof/>
          <w:sz w:val="18"/>
        </w:rPr>
        <w:fldChar w:fldCharType="begin"/>
      </w:r>
      <w:r w:rsidRPr="0039778E">
        <w:rPr>
          <w:b w:val="0"/>
          <w:noProof/>
          <w:sz w:val="18"/>
        </w:rPr>
        <w:instrText xml:space="preserve"> PAGEREF _Toc34030887 \h </w:instrText>
      </w:r>
      <w:r w:rsidRPr="0039778E">
        <w:rPr>
          <w:b w:val="0"/>
          <w:noProof/>
          <w:sz w:val="18"/>
        </w:rPr>
      </w:r>
      <w:r w:rsidRPr="0039778E">
        <w:rPr>
          <w:b w:val="0"/>
          <w:noProof/>
          <w:sz w:val="18"/>
        </w:rPr>
        <w:fldChar w:fldCharType="separate"/>
      </w:r>
      <w:r w:rsidR="005404A0">
        <w:rPr>
          <w:b w:val="0"/>
          <w:noProof/>
          <w:sz w:val="18"/>
        </w:rPr>
        <w:t>6</w:t>
      </w:r>
      <w:r w:rsidRPr="0039778E">
        <w:rPr>
          <w:b w:val="0"/>
          <w:noProof/>
          <w:sz w:val="18"/>
        </w:rPr>
        <w:fldChar w:fldCharType="end"/>
      </w:r>
    </w:p>
    <w:p w:rsidR="0039778E" w:rsidRDefault="0039778E">
      <w:pPr>
        <w:pStyle w:val="TOC7"/>
        <w:rPr>
          <w:rFonts w:asciiTheme="minorHAnsi" w:eastAsiaTheme="minorEastAsia" w:hAnsiTheme="minorHAnsi" w:cstheme="minorBidi"/>
          <w:noProof/>
          <w:kern w:val="0"/>
          <w:sz w:val="22"/>
          <w:szCs w:val="22"/>
        </w:rPr>
      </w:pPr>
      <w:r>
        <w:rPr>
          <w:noProof/>
        </w:rPr>
        <w:t>Part 1—Venture capital investments</w:t>
      </w:r>
      <w:r w:rsidRPr="0039778E">
        <w:rPr>
          <w:noProof/>
          <w:sz w:val="18"/>
        </w:rPr>
        <w:tab/>
      </w:r>
      <w:r w:rsidRPr="0039778E">
        <w:rPr>
          <w:noProof/>
          <w:sz w:val="18"/>
        </w:rPr>
        <w:fldChar w:fldCharType="begin"/>
      </w:r>
      <w:r w:rsidRPr="0039778E">
        <w:rPr>
          <w:noProof/>
          <w:sz w:val="18"/>
        </w:rPr>
        <w:instrText xml:space="preserve"> PAGEREF _Toc34030888 \h </w:instrText>
      </w:r>
      <w:r w:rsidRPr="0039778E">
        <w:rPr>
          <w:noProof/>
          <w:sz w:val="18"/>
        </w:rPr>
      </w:r>
      <w:r w:rsidRPr="0039778E">
        <w:rPr>
          <w:noProof/>
          <w:sz w:val="18"/>
        </w:rPr>
        <w:fldChar w:fldCharType="separate"/>
      </w:r>
      <w:r w:rsidR="005404A0">
        <w:rPr>
          <w:noProof/>
          <w:sz w:val="18"/>
        </w:rPr>
        <w:t>6</w:t>
      </w:r>
      <w:r w:rsidRPr="0039778E">
        <w:rPr>
          <w:noProof/>
          <w:sz w:val="18"/>
        </w:rPr>
        <w:fldChar w:fldCharType="end"/>
      </w:r>
    </w:p>
    <w:p w:rsidR="0039778E" w:rsidRDefault="0039778E">
      <w:pPr>
        <w:pStyle w:val="TOC9"/>
        <w:rPr>
          <w:rFonts w:asciiTheme="minorHAnsi" w:eastAsiaTheme="minorEastAsia" w:hAnsiTheme="minorHAnsi" w:cstheme="minorBidi"/>
          <w:i w:val="0"/>
          <w:noProof/>
          <w:kern w:val="0"/>
          <w:sz w:val="22"/>
          <w:szCs w:val="22"/>
        </w:rPr>
      </w:pPr>
      <w:r>
        <w:rPr>
          <w:noProof/>
        </w:rPr>
        <w:t>Income Tax Assessment Act 1997</w:t>
      </w:r>
      <w:r w:rsidRPr="0039778E">
        <w:rPr>
          <w:i w:val="0"/>
          <w:noProof/>
          <w:sz w:val="18"/>
        </w:rPr>
        <w:tab/>
      </w:r>
      <w:r w:rsidRPr="0039778E">
        <w:rPr>
          <w:i w:val="0"/>
          <w:noProof/>
          <w:sz w:val="18"/>
        </w:rPr>
        <w:fldChar w:fldCharType="begin"/>
      </w:r>
      <w:r w:rsidRPr="0039778E">
        <w:rPr>
          <w:i w:val="0"/>
          <w:noProof/>
          <w:sz w:val="18"/>
        </w:rPr>
        <w:instrText xml:space="preserve"> PAGEREF _Toc34030889 \h </w:instrText>
      </w:r>
      <w:r w:rsidRPr="0039778E">
        <w:rPr>
          <w:i w:val="0"/>
          <w:noProof/>
          <w:sz w:val="18"/>
        </w:rPr>
      </w:r>
      <w:r w:rsidRPr="0039778E">
        <w:rPr>
          <w:i w:val="0"/>
          <w:noProof/>
          <w:sz w:val="18"/>
        </w:rPr>
        <w:fldChar w:fldCharType="separate"/>
      </w:r>
      <w:r w:rsidR="005404A0">
        <w:rPr>
          <w:i w:val="0"/>
          <w:noProof/>
          <w:sz w:val="18"/>
        </w:rPr>
        <w:t>6</w:t>
      </w:r>
      <w:r w:rsidRPr="0039778E">
        <w:rPr>
          <w:i w:val="0"/>
          <w:noProof/>
          <w:sz w:val="18"/>
        </w:rPr>
        <w:fldChar w:fldCharType="end"/>
      </w:r>
    </w:p>
    <w:p w:rsidR="0039778E" w:rsidRDefault="0039778E">
      <w:pPr>
        <w:pStyle w:val="TOC7"/>
        <w:rPr>
          <w:rFonts w:asciiTheme="minorHAnsi" w:eastAsiaTheme="minorEastAsia" w:hAnsiTheme="minorHAnsi" w:cstheme="minorBidi"/>
          <w:noProof/>
          <w:kern w:val="0"/>
          <w:sz w:val="22"/>
          <w:szCs w:val="22"/>
        </w:rPr>
      </w:pPr>
      <w:r>
        <w:rPr>
          <w:noProof/>
        </w:rPr>
        <w:t>Part 2—Early stage investor tax offsets</w:t>
      </w:r>
      <w:r w:rsidRPr="0039778E">
        <w:rPr>
          <w:noProof/>
          <w:sz w:val="18"/>
        </w:rPr>
        <w:tab/>
      </w:r>
      <w:r w:rsidRPr="0039778E">
        <w:rPr>
          <w:noProof/>
          <w:sz w:val="18"/>
        </w:rPr>
        <w:fldChar w:fldCharType="begin"/>
      </w:r>
      <w:r w:rsidRPr="0039778E">
        <w:rPr>
          <w:noProof/>
          <w:sz w:val="18"/>
        </w:rPr>
        <w:instrText xml:space="preserve"> PAGEREF _Toc34030890 \h </w:instrText>
      </w:r>
      <w:r w:rsidRPr="0039778E">
        <w:rPr>
          <w:noProof/>
          <w:sz w:val="18"/>
        </w:rPr>
      </w:r>
      <w:r w:rsidRPr="0039778E">
        <w:rPr>
          <w:noProof/>
          <w:sz w:val="18"/>
        </w:rPr>
        <w:fldChar w:fldCharType="separate"/>
      </w:r>
      <w:r w:rsidR="005404A0">
        <w:rPr>
          <w:noProof/>
          <w:sz w:val="18"/>
        </w:rPr>
        <w:t>7</w:t>
      </w:r>
      <w:r w:rsidRPr="0039778E">
        <w:rPr>
          <w:noProof/>
          <w:sz w:val="18"/>
        </w:rPr>
        <w:fldChar w:fldCharType="end"/>
      </w:r>
    </w:p>
    <w:p w:rsidR="0039778E" w:rsidRDefault="0039778E">
      <w:pPr>
        <w:pStyle w:val="TOC9"/>
        <w:rPr>
          <w:rFonts w:asciiTheme="minorHAnsi" w:eastAsiaTheme="minorEastAsia" w:hAnsiTheme="minorHAnsi" w:cstheme="minorBidi"/>
          <w:i w:val="0"/>
          <w:noProof/>
          <w:kern w:val="0"/>
          <w:sz w:val="22"/>
          <w:szCs w:val="22"/>
        </w:rPr>
      </w:pPr>
      <w:r>
        <w:rPr>
          <w:noProof/>
        </w:rPr>
        <w:t>Income Tax Assessment Act 1997</w:t>
      </w:r>
      <w:r w:rsidRPr="0039778E">
        <w:rPr>
          <w:i w:val="0"/>
          <w:noProof/>
          <w:sz w:val="18"/>
        </w:rPr>
        <w:tab/>
      </w:r>
      <w:r w:rsidRPr="0039778E">
        <w:rPr>
          <w:i w:val="0"/>
          <w:noProof/>
          <w:sz w:val="18"/>
        </w:rPr>
        <w:fldChar w:fldCharType="begin"/>
      </w:r>
      <w:r w:rsidRPr="0039778E">
        <w:rPr>
          <w:i w:val="0"/>
          <w:noProof/>
          <w:sz w:val="18"/>
        </w:rPr>
        <w:instrText xml:space="preserve"> PAGEREF _Toc34030891 \h </w:instrText>
      </w:r>
      <w:r w:rsidRPr="0039778E">
        <w:rPr>
          <w:i w:val="0"/>
          <w:noProof/>
          <w:sz w:val="18"/>
        </w:rPr>
      </w:r>
      <w:r w:rsidRPr="0039778E">
        <w:rPr>
          <w:i w:val="0"/>
          <w:noProof/>
          <w:sz w:val="18"/>
        </w:rPr>
        <w:fldChar w:fldCharType="separate"/>
      </w:r>
      <w:r w:rsidR="005404A0">
        <w:rPr>
          <w:i w:val="0"/>
          <w:noProof/>
          <w:sz w:val="18"/>
        </w:rPr>
        <w:t>7</w:t>
      </w:r>
      <w:r w:rsidRPr="0039778E">
        <w:rPr>
          <w:i w:val="0"/>
          <w:noProof/>
          <w:sz w:val="18"/>
        </w:rPr>
        <w:fldChar w:fldCharType="end"/>
      </w:r>
    </w:p>
    <w:p w:rsidR="0039778E" w:rsidRDefault="0039778E">
      <w:pPr>
        <w:pStyle w:val="TOC7"/>
        <w:rPr>
          <w:rFonts w:asciiTheme="minorHAnsi" w:eastAsiaTheme="minorEastAsia" w:hAnsiTheme="minorHAnsi" w:cstheme="minorBidi"/>
          <w:noProof/>
          <w:kern w:val="0"/>
          <w:sz w:val="22"/>
          <w:szCs w:val="22"/>
        </w:rPr>
      </w:pPr>
      <w:r>
        <w:rPr>
          <w:noProof/>
        </w:rPr>
        <w:t>Part 3—Managed investment trusts</w:t>
      </w:r>
      <w:r w:rsidRPr="0039778E">
        <w:rPr>
          <w:noProof/>
          <w:sz w:val="18"/>
        </w:rPr>
        <w:tab/>
      </w:r>
      <w:r w:rsidRPr="0039778E">
        <w:rPr>
          <w:noProof/>
          <w:sz w:val="18"/>
        </w:rPr>
        <w:fldChar w:fldCharType="begin"/>
      </w:r>
      <w:r w:rsidRPr="0039778E">
        <w:rPr>
          <w:noProof/>
          <w:sz w:val="18"/>
        </w:rPr>
        <w:instrText xml:space="preserve"> PAGEREF _Toc34030892 \h </w:instrText>
      </w:r>
      <w:r w:rsidRPr="0039778E">
        <w:rPr>
          <w:noProof/>
          <w:sz w:val="18"/>
        </w:rPr>
      </w:r>
      <w:r w:rsidRPr="0039778E">
        <w:rPr>
          <w:noProof/>
          <w:sz w:val="18"/>
        </w:rPr>
        <w:fldChar w:fldCharType="separate"/>
      </w:r>
      <w:r w:rsidR="005404A0">
        <w:rPr>
          <w:noProof/>
          <w:sz w:val="18"/>
        </w:rPr>
        <w:t>10</w:t>
      </w:r>
      <w:r w:rsidRPr="0039778E">
        <w:rPr>
          <w:noProof/>
          <w:sz w:val="18"/>
        </w:rPr>
        <w:fldChar w:fldCharType="end"/>
      </w:r>
    </w:p>
    <w:p w:rsidR="0039778E" w:rsidRDefault="0039778E">
      <w:pPr>
        <w:pStyle w:val="TOC9"/>
        <w:rPr>
          <w:rFonts w:asciiTheme="minorHAnsi" w:eastAsiaTheme="minorEastAsia" w:hAnsiTheme="minorHAnsi" w:cstheme="minorBidi"/>
          <w:i w:val="0"/>
          <w:noProof/>
          <w:kern w:val="0"/>
          <w:sz w:val="22"/>
          <w:szCs w:val="22"/>
        </w:rPr>
      </w:pPr>
      <w:r>
        <w:rPr>
          <w:noProof/>
        </w:rPr>
        <w:t>Income Tax Assessment Act 1997</w:t>
      </w:r>
      <w:r w:rsidRPr="0039778E">
        <w:rPr>
          <w:i w:val="0"/>
          <w:noProof/>
          <w:sz w:val="18"/>
        </w:rPr>
        <w:tab/>
      </w:r>
      <w:r w:rsidRPr="0039778E">
        <w:rPr>
          <w:i w:val="0"/>
          <w:noProof/>
          <w:sz w:val="18"/>
        </w:rPr>
        <w:fldChar w:fldCharType="begin"/>
      </w:r>
      <w:r w:rsidRPr="0039778E">
        <w:rPr>
          <w:i w:val="0"/>
          <w:noProof/>
          <w:sz w:val="18"/>
        </w:rPr>
        <w:instrText xml:space="preserve"> PAGEREF _Toc34030893 \h </w:instrText>
      </w:r>
      <w:r w:rsidRPr="0039778E">
        <w:rPr>
          <w:i w:val="0"/>
          <w:noProof/>
          <w:sz w:val="18"/>
        </w:rPr>
      </w:r>
      <w:r w:rsidRPr="0039778E">
        <w:rPr>
          <w:i w:val="0"/>
          <w:noProof/>
          <w:sz w:val="18"/>
        </w:rPr>
        <w:fldChar w:fldCharType="separate"/>
      </w:r>
      <w:r w:rsidR="005404A0">
        <w:rPr>
          <w:i w:val="0"/>
          <w:noProof/>
          <w:sz w:val="18"/>
        </w:rPr>
        <w:t>10</w:t>
      </w:r>
      <w:r w:rsidRPr="0039778E">
        <w:rPr>
          <w:i w:val="0"/>
          <w:noProof/>
          <w:sz w:val="18"/>
        </w:rPr>
        <w:fldChar w:fldCharType="end"/>
      </w:r>
    </w:p>
    <w:p w:rsidR="0039778E" w:rsidRDefault="0039778E">
      <w:pPr>
        <w:pStyle w:val="TOC7"/>
        <w:rPr>
          <w:rFonts w:asciiTheme="minorHAnsi" w:eastAsiaTheme="minorEastAsia" w:hAnsiTheme="minorHAnsi" w:cstheme="minorBidi"/>
          <w:noProof/>
          <w:kern w:val="0"/>
          <w:sz w:val="22"/>
          <w:szCs w:val="22"/>
        </w:rPr>
      </w:pPr>
      <w:r>
        <w:rPr>
          <w:noProof/>
        </w:rPr>
        <w:t>Part 4—Public trading trusts</w:t>
      </w:r>
      <w:r w:rsidRPr="0039778E">
        <w:rPr>
          <w:noProof/>
          <w:sz w:val="18"/>
        </w:rPr>
        <w:tab/>
      </w:r>
      <w:r w:rsidRPr="0039778E">
        <w:rPr>
          <w:noProof/>
          <w:sz w:val="18"/>
        </w:rPr>
        <w:fldChar w:fldCharType="begin"/>
      </w:r>
      <w:r w:rsidRPr="0039778E">
        <w:rPr>
          <w:noProof/>
          <w:sz w:val="18"/>
        </w:rPr>
        <w:instrText xml:space="preserve"> PAGEREF _Toc34030894 \h </w:instrText>
      </w:r>
      <w:r w:rsidRPr="0039778E">
        <w:rPr>
          <w:noProof/>
          <w:sz w:val="18"/>
        </w:rPr>
      </w:r>
      <w:r w:rsidRPr="0039778E">
        <w:rPr>
          <w:noProof/>
          <w:sz w:val="18"/>
        </w:rPr>
        <w:fldChar w:fldCharType="separate"/>
      </w:r>
      <w:r w:rsidR="005404A0">
        <w:rPr>
          <w:noProof/>
          <w:sz w:val="18"/>
        </w:rPr>
        <w:t>11</w:t>
      </w:r>
      <w:r w:rsidRPr="0039778E">
        <w:rPr>
          <w:noProof/>
          <w:sz w:val="18"/>
        </w:rPr>
        <w:fldChar w:fldCharType="end"/>
      </w:r>
    </w:p>
    <w:p w:rsidR="0039778E" w:rsidRDefault="0039778E">
      <w:pPr>
        <w:pStyle w:val="TOC9"/>
        <w:rPr>
          <w:rFonts w:asciiTheme="minorHAnsi" w:eastAsiaTheme="minorEastAsia" w:hAnsiTheme="minorHAnsi" w:cstheme="minorBidi"/>
          <w:i w:val="0"/>
          <w:noProof/>
          <w:kern w:val="0"/>
          <w:sz w:val="22"/>
          <w:szCs w:val="22"/>
        </w:rPr>
      </w:pPr>
      <w:r>
        <w:rPr>
          <w:noProof/>
        </w:rPr>
        <w:t>Income Tax Assessment Act 1936</w:t>
      </w:r>
      <w:r w:rsidRPr="0039778E">
        <w:rPr>
          <w:i w:val="0"/>
          <w:noProof/>
          <w:sz w:val="18"/>
        </w:rPr>
        <w:tab/>
      </w:r>
      <w:r w:rsidRPr="0039778E">
        <w:rPr>
          <w:i w:val="0"/>
          <w:noProof/>
          <w:sz w:val="18"/>
        </w:rPr>
        <w:fldChar w:fldCharType="begin"/>
      </w:r>
      <w:r w:rsidRPr="0039778E">
        <w:rPr>
          <w:i w:val="0"/>
          <w:noProof/>
          <w:sz w:val="18"/>
        </w:rPr>
        <w:instrText xml:space="preserve"> PAGEREF _Toc34030895 \h </w:instrText>
      </w:r>
      <w:r w:rsidRPr="0039778E">
        <w:rPr>
          <w:i w:val="0"/>
          <w:noProof/>
          <w:sz w:val="18"/>
        </w:rPr>
      </w:r>
      <w:r w:rsidRPr="0039778E">
        <w:rPr>
          <w:i w:val="0"/>
          <w:noProof/>
          <w:sz w:val="18"/>
        </w:rPr>
        <w:fldChar w:fldCharType="separate"/>
      </w:r>
      <w:r w:rsidR="005404A0">
        <w:rPr>
          <w:i w:val="0"/>
          <w:noProof/>
          <w:sz w:val="18"/>
        </w:rPr>
        <w:t>11</w:t>
      </w:r>
      <w:r w:rsidRPr="0039778E">
        <w:rPr>
          <w:i w:val="0"/>
          <w:noProof/>
          <w:sz w:val="18"/>
        </w:rPr>
        <w:fldChar w:fldCharType="end"/>
      </w:r>
    </w:p>
    <w:p w:rsidR="00803482" w:rsidRPr="00BB38D6" w:rsidRDefault="0039778E" w:rsidP="00803482">
      <w:r>
        <w:fldChar w:fldCharType="end"/>
      </w:r>
    </w:p>
    <w:p w:rsidR="00803482" w:rsidRPr="00BB38D6" w:rsidRDefault="00803482" w:rsidP="00803482">
      <w:pPr>
        <w:sectPr w:rsidR="00803482" w:rsidRPr="00BB38D6" w:rsidSect="00115B97">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115B97" w:rsidRDefault="00115B97">
      <w:r>
        <w:object w:dxaOrig="2146" w:dyaOrig="1561">
          <v:shape id="_x0000_i1027" type="#_x0000_t75" alt="Commonwealth Coat of Arms of Australia" style="width:110.25pt;height:80.25pt" o:ole="" fillcolor="window">
            <v:imagedata r:id="rId8" o:title=""/>
          </v:shape>
          <o:OLEObject Type="Embed" ProgID="Word.Picture.8" ShapeID="_x0000_i1027" DrawAspect="Content" ObjectID="_1644643802" r:id="rId21"/>
        </w:object>
      </w:r>
    </w:p>
    <w:p w:rsidR="00115B97" w:rsidRDefault="00115B97"/>
    <w:p w:rsidR="00115B97" w:rsidRDefault="00115B97" w:rsidP="00115B97">
      <w:pPr>
        <w:spacing w:line="240" w:lineRule="auto"/>
      </w:pPr>
    </w:p>
    <w:p w:rsidR="00115B97" w:rsidRDefault="005404A0" w:rsidP="00115B97">
      <w:pPr>
        <w:pStyle w:val="ShortTP1"/>
      </w:pPr>
      <w:r>
        <w:fldChar w:fldCharType="begin"/>
      </w:r>
      <w:r>
        <w:instrText xml:space="preserve"> STYLEREF ShortT </w:instrText>
      </w:r>
      <w:r>
        <w:fldChar w:fldCharType="separate"/>
      </w:r>
      <w:r>
        <w:rPr>
          <w:noProof/>
        </w:rPr>
        <w:t>Treasury Laws Amendment (2018 Measures No. 2) Act 2020</w:t>
      </w:r>
      <w:r>
        <w:rPr>
          <w:noProof/>
        </w:rPr>
        <w:fldChar w:fldCharType="end"/>
      </w:r>
    </w:p>
    <w:p w:rsidR="00115B97" w:rsidRDefault="005404A0" w:rsidP="00115B97">
      <w:pPr>
        <w:pStyle w:val="ActNoP1"/>
      </w:pPr>
      <w:r>
        <w:fldChar w:fldCharType="begin"/>
      </w:r>
      <w:r>
        <w:instrText xml:space="preserve"> STYLEREF Actno </w:instrText>
      </w:r>
      <w:r>
        <w:fldChar w:fldCharType="separate"/>
      </w:r>
      <w:r>
        <w:rPr>
          <w:noProof/>
        </w:rPr>
        <w:t>No. 8, 2020</w:t>
      </w:r>
      <w:r>
        <w:rPr>
          <w:noProof/>
        </w:rPr>
        <w:fldChar w:fldCharType="end"/>
      </w:r>
    </w:p>
    <w:p w:rsidR="00115B97" w:rsidRPr="009A0728" w:rsidRDefault="00115B97" w:rsidP="009A0728">
      <w:pPr>
        <w:pBdr>
          <w:bottom w:val="single" w:sz="6" w:space="0" w:color="auto"/>
        </w:pBdr>
        <w:spacing w:before="400" w:line="240" w:lineRule="auto"/>
        <w:rPr>
          <w:rFonts w:eastAsia="Times New Roman"/>
          <w:b/>
          <w:sz w:val="28"/>
        </w:rPr>
      </w:pPr>
    </w:p>
    <w:p w:rsidR="00115B97" w:rsidRPr="009A0728" w:rsidRDefault="00115B97" w:rsidP="009A0728">
      <w:pPr>
        <w:spacing w:line="40" w:lineRule="exact"/>
        <w:rPr>
          <w:rFonts w:eastAsia="Calibri"/>
          <w:b/>
          <w:sz w:val="28"/>
        </w:rPr>
      </w:pPr>
    </w:p>
    <w:p w:rsidR="00115B97" w:rsidRPr="009A0728" w:rsidRDefault="00115B97" w:rsidP="009A0728">
      <w:pPr>
        <w:pBdr>
          <w:top w:val="single" w:sz="12" w:space="0" w:color="auto"/>
        </w:pBdr>
        <w:spacing w:line="240" w:lineRule="auto"/>
        <w:rPr>
          <w:rFonts w:eastAsia="Times New Roman"/>
          <w:b/>
          <w:sz w:val="28"/>
        </w:rPr>
      </w:pPr>
    </w:p>
    <w:p w:rsidR="00803482" w:rsidRPr="00BB38D6" w:rsidRDefault="00115B97" w:rsidP="00BB38D6">
      <w:pPr>
        <w:pStyle w:val="Page1"/>
      </w:pPr>
      <w:r>
        <w:t>An Act</w:t>
      </w:r>
      <w:r w:rsidR="00BB38D6" w:rsidRPr="00BB38D6">
        <w:t xml:space="preserve"> to amend the law relating to corporations, consumer credit and taxation, and for related purposes</w:t>
      </w:r>
    </w:p>
    <w:p w:rsidR="0033031D" w:rsidRDefault="0033031D" w:rsidP="000C5962">
      <w:pPr>
        <w:pStyle w:val="AssentDt"/>
        <w:spacing w:before="240"/>
        <w:rPr>
          <w:sz w:val="24"/>
        </w:rPr>
      </w:pPr>
      <w:r>
        <w:rPr>
          <w:sz w:val="24"/>
        </w:rPr>
        <w:t>[</w:t>
      </w:r>
      <w:r>
        <w:rPr>
          <w:i/>
          <w:sz w:val="24"/>
        </w:rPr>
        <w:t>Assented to 26 February 2020</w:t>
      </w:r>
      <w:r>
        <w:rPr>
          <w:sz w:val="24"/>
        </w:rPr>
        <w:t>]</w:t>
      </w:r>
    </w:p>
    <w:p w:rsidR="00803482" w:rsidRPr="00BB38D6" w:rsidRDefault="00803482" w:rsidP="00BB38D6">
      <w:pPr>
        <w:spacing w:before="240" w:line="240" w:lineRule="auto"/>
        <w:rPr>
          <w:sz w:val="32"/>
        </w:rPr>
      </w:pPr>
      <w:r w:rsidRPr="00BB38D6">
        <w:rPr>
          <w:sz w:val="32"/>
        </w:rPr>
        <w:t>The Parliament of Australia enacts:</w:t>
      </w:r>
    </w:p>
    <w:p w:rsidR="00803482" w:rsidRPr="00BB38D6" w:rsidRDefault="00803482" w:rsidP="00BB38D6">
      <w:pPr>
        <w:pStyle w:val="ActHead5"/>
      </w:pPr>
      <w:bookmarkStart w:id="1" w:name="_Toc34030878"/>
      <w:r w:rsidRPr="00BB38D6">
        <w:rPr>
          <w:rStyle w:val="CharSectno"/>
        </w:rPr>
        <w:t>1</w:t>
      </w:r>
      <w:r w:rsidRPr="00BB38D6">
        <w:t xml:space="preserve">  Short title</w:t>
      </w:r>
      <w:bookmarkEnd w:id="1"/>
    </w:p>
    <w:p w:rsidR="00803482" w:rsidRPr="00BB38D6" w:rsidRDefault="00803482" w:rsidP="00BB38D6">
      <w:pPr>
        <w:pStyle w:val="subsection"/>
      </w:pPr>
      <w:r w:rsidRPr="00BB38D6">
        <w:tab/>
      </w:r>
      <w:r w:rsidRPr="00BB38D6">
        <w:tab/>
        <w:t xml:space="preserve">This Act is the </w:t>
      </w:r>
      <w:r w:rsidR="002E3A01" w:rsidRPr="00BB38D6">
        <w:rPr>
          <w:i/>
        </w:rPr>
        <w:t>Treasury</w:t>
      </w:r>
      <w:r w:rsidR="00936EC6" w:rsidRPr="00BB38D6">
        <w:rPr>
          <w:i/>
        </w:rPr>
        <w:t xml:space="preserve"> Laws Amendment (2018</w:t>
      </w:r>
      <w:r w:rsidR="002E3A01" w:rsidRPr="00BB38D6">
        <w:rPr>
          <w:i/>
        </w:rPr>
        <w:t xml:space="preserve"> Measures No</w:t>
      </w:r>
      <w:r w:rsidRPr="00BB38D6">
        <w:rPr>
          <w:i/>
        </w:rPr>
        <w:t>.</w:t>
      </w:r>
      <w:r w:rsidR="00BB38D6" w:rsidRPr="00BB38D6">
        <w:rPr>
          <w:i/>
        </w:rPr>
        <w:t> </w:t>
      </w:r>
      <w:r w:rsidRPr="00BB38D6">
        <w:rPr>
          <w:i/>
        </w:rPr>
        <w:t>2)</w:t>
      </w:r>
      <w:r w:rsidRPr="00BB38D6">
        <w:t xml:space="preserve"> </w:t>
      </w:r>
      <w:r w:rsidR="002E3A01" w:rsidRPr="00BB38D6">
        <w:rPr>
          <w:i/>
        </w:rPr>
        <w:t>Act 20</w:t>
      </w:r>
      <w:r w:rsidR="00627DB4">
        <w:rPr>
          <w:i/>
        </w:rPr>
        <w:t>20</w:t>
      </w:r>
      <w:r w:rsidRPr="00BB38D6">
        <w:t>.</w:t>
      </w:r>
    </w:p>
    <w:p w:rsidR="00803482" w:rsidRPr="00BB38D6" w:rsidRDefault="00803482" w:rsidP="00BB38D6">
      <w:pPr>
        <w:pStyle w:val="ActHead5"/>
      </w:pPr>
      <w:bookmarkStart w:id="2" w:name="_Toc34030879"/>
      <w:r w:rsidRPr="00BB38D6">
        <w:rPr>
          <w:rStyle w:val="CharSectno"/>
        </w:rPr>
        <w:t>2</w:t>
      </w:r>
      <w:r w:rsidRPr="00BB38D6">
        <w:t xml:space="preserve">  Commencement</w:t>
      </w:r>
      <w:bookmarkEnd w:id="2"/>
    </w:p>
    <w:p w:rsidR="00803482" w:rsidRPr="00BB38D6" w:rsidRDefault="00803482" w:rsidP="00BB38D6">
      <w:pPr>
        <w:pStyle w:val="subsection"/>
      </w:pPr>
      <w:r w:rsidRPr="00BB38D6">
        <w:tab/>
        <w:t>(1)</w:t>
      </w:r>
      <w:r w:rsidRPr="00BB38D6">
        <w:tab/>
        <w:t>Each provision of this Act specified in column 1 of the table commences, or is taken to have commenced, in accordance with column 2 of the table. Any other statement in column 2 has effect according to its terms.</w:t>
      </w:r>
    </w:p>
    <w:p w:rsidR="00803482" w:rsidRPr="00BB38D6" w:rsidRDefault="00803482" w:rsidP="00BB38D6">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803482" w:rsidRPr="00BB38D6" w:rsidTr="00EF2555">
        <w:trPr>
          <w:tblHeader/>
        </w:trPr>
        <w:tc>
          <w:tcPr>
            <w:tcW w:w="7111" w:type="dxa"/>
            <w:gridSpan w:val="3"/>
            <w:tcBorders>
              <w:top w:val="single" w:sz="12" w:space="0" w:color="auto"/>
              <w:bottom w:val="single" w:sz="6" w:space="0" w:color="auto"/>
            </w:tcBorders>
            <w:shd w:val="clear" w:color="auto" w:fill="auto"/>
          </w:tcPr>
          <w:p w:rsidR="00803482" w:rsidRPr="00BB38D6" w:rsidRDefault="00803482" w:rsidP="00BB38D6">
            <w:pPr>
              <w:pStyle w:val="TableHeading"/>
            </w:pPr>
            <w:r w:rsidRPr="00BB38D6">
              <w:t>Commencement information</w:t>
            </w:r>
          </w:p>
        </w:tc>
      </w:tr>
      <w:tr w:rsidR="00803482" w:rsidRPr="00BB38D6" w:rsidTr="00EF2555">
        <w:trPr>
          <w:tblHeader/>
        </w:trPr>
        <w:tc>
          <w:tcPr>
            <w:tcW w:w="1701" w:type="dxa"/>
            <w:tcBorders>
              <w:top w:val="single" w:sz="6" w:space="0" w:color="auto"/>
              <w:bottom w:val="single" w:sz="6" w:space="0" w:color="auto"/>
            </w:tcBorders>
            <w:shd w:val="clear" w:color="auto" w:fill="auto"/>
          </w:tcPr>
          <w:p w:rsidR="00803482" w:rsidRPr="00BB38D6" w:rsidRDefault="00803482" w:rsidP="00BB38D6">
            <w:pPr>
              <w:pStyle w:val="TableHeading"/>
            </w:pPr>
            <w:r w:rsidRPr="00BB38D6">
              <w:t>Column 1</w:t>
            </w:r>
          </w:p>
        </w:tc>
        <w:tc>
          <w:tcPr>
            <w:tcW w:w="3828" w:type="dxa"/>
            <w:tcBorders>
              <w:top w:val="single" w:sz="6" w:space="0" w:color="auto"/>
              <w:bottom w:val="single" w:sz="6" w:space="0" w:color="auto"/>
            </w:tcBorders>
            <w:shd w:val="clear" w:color="auto" w:fill="auto"/>
          </w:tcPr>
          <w:p w:rsidR="00803482" w:rsidRPr="00BB38D6" w:rsidRDefault="00803482" w:rsidP="00BB38D6">
            <w:pPr>
              <w:pStyle w:val="TableHeading"/>
            </w:pPr>
            <w:r w:rsidRPr="00BB38D6">
              <w:t>Column 2</w:t>
            </w:r>
          </w:p>
        </w:tc>
        <w:tc>
          <w:tcPr>
            <w:tcW w:w="1582" w:type="dxa"/>
            <w:tcBorders>
              <w:top w:val="single" w:sz="6" w:space="0" w:color="auto"/>
              <w:bottom w:val="single" w:sz="6" w:space="0" w:color="auto"/>
            </w:tcBorders>
            <w:shd w:val="clear" w:color="auto" w:fill="auto"/>
          </w:tcPr>
          <w:p w:rsidR="00803482" w:rsidRPr="00BB38D6" w:rsidRDefault="00803482" w:rsidP="00BB38D6">
            <w:pPr>
              <w:pStyle w:val="TableHeading"/>
            </w:pPr>
            <w:r w:rsidRPr="00BB38D6">
              <w:t>Column 3</w:t>
            </w:r>
          </w:p>
        </w:tc>
      </w:tr>
      <w:tr w:rsidR="00803482" w:rsidRPr="00BB38D6" w:rsidTr="00EF2555">
        <w:trPr>
          <w:tblHeader/>
        </w:trPr>
        <w:tc>
          <w:tcPr>
            <w:tcW w:w="1701" w:type="dxa"/>
            <w:tcBorders>
              <w:top w:val="single" w:sz="6" w:space="0" w:color="auto"/>
              <w:bottom w:val="single" w:sz="12" w:space="0" w:color="auto"/>
            </w:tcBorders>
            <w:shd w:val="clear" w:color="auto" w:fill="auto"/>
          </w:tcPr>
          <w:p w:rsidR="00803482" w:rsidRPr="00BB38D6" w:rsidRDefault="00803482" w:rsidP="00BB38D6">
            <w:pPr>
              <w:pStyle w:val="TableHeading"/>
            </w:pPr>
            <w:r w:rsidRPr="00BB38D6">
              <w:t>Provisions</w:t>
            </w:r>
          </w:p>
        </w:tc>
        <w:tc>
          <w:tcPr>
            <w:tcW w:w="3828" w:type="dxa"/>
            <w:tcBorders>
              <w:top w:val="single" w:sz="6" w:space="0" w:color="auto"/>
              <w:bottom w:val="single" w:sz="12" w:space="0" w:color="auto"/>
            </w:tcBorders>
            <w:shd w:val="clear" w:color="auto" w:fill="auto"/>
          </w:tcPr>
          <w:p w:rsidR="00803482" w:rsidRPr="00BB38D6" w:rsidRDefault="00803482" w:rsidP="00BB38D6">
            <w:pPr>
              <w:pStyle w:val="TableHeading"/>
            </w:pPr>
            <w:r w:rsidRPr="00BB38D6">
              <w:t>Commencement</w:t>
            </w:r>
          </w:p>
        </w:tc>
        <w:tc>
          <w:tcPr>
            <w:tcW w:w="1582" w:type="dxa"/>
            <w:tcBorders>
              <w:top w:val="single" w:sz="6" w:space="0" w:color="auto"/>
              <w:bottom w:val="single" w:sz="12" w:space="0" w:color="auto"/>
            </w:tcBorders>
            <w:shd w:val="clear" w:color="auto" w:fill="auto"/>
          </w:tcPr>
          <w:p w:rsidR="00803482" w:rsidRPr="00BB38D6" w:rsidRDefault="00803482" w:rsidP="00BB38D6">
            <w:pPr>
              <w:pStyle w:val="TableHeading"/>
            </w:pPr>
            <w:r w:rsidRPr="00BB38D6">
              <w:t>Date/Details</w:t>
            </w:r>
          </w:p>
        </w:tc>
      </w:tr>
      <w:tr w:rsidR="00803482" w:rsidRPr="00BB38D6" w:rsidTr="00EF2555">
        <w:tc>
          <w:tcPr>
            <w:tcW w:w="1701" w:type="dxa"/>
            <w:tcBorders>
              <w:top w:val="single" w:sz="12" w:space="0" w:color="auto"/>
            </w:tcBorders>
            <w:shd w:val="clear" w:color="auto" w:fill="auto"/>
          </w:tcPr>
          <w:p w:rsidR="00803482" w:rsidRPr="00BB38D6" w:rsidRDefault="00803482" w:rsidP="00BB38D6">
            <w:pPr>
              <w:pStyle w:val="Tabletext"/>
            </w:pPr>
            <w:r w:rsidRPr="00BB38D6">
              <w:t>1.  Sections</w:t>
            </w:r>
            <w:r w:rsidR="00BB38D6" w:rsidRPr="00BB38D6">
              <w:t> </w:t>
            </w:r>
            <w:r w:rsidR="00410EB5" w:rsidRPr="00BB38D6">
              <w:t>1 to 4</w:t>
            </w:r>
            <w:r w:rsidRPr="00BB38D6">
              <w:t xml:space="preserve"> and anything in this Act not elsewhere covered by this table</w:t>
            </w:r>
          </w:p>
        </w:tc>
        <w:tc>
          <w:tcPr>
            <w:tcW w:w="3828" w:type="dxa"/>
            <w:tcBorders>
              <w:top w:val="single" w:sz="12" w:space="0" w:color="auto"/>
            </w:tcBorders>
            <w:shd w:val="clear" w:color="auto" w:fill="auto"/>
          </w:tcPr>
          <w:p w:rsidR="00803482" w:rsidRPr="00BB38D6" w:rsidRDefault="00803482" w:rsidP="00BB38D6">
            <w:pPr>
              <w:pStyle w:val="Tabletext"/>
            </w:pPr>
            <w:r w:rsidRPr="00BB38D6">
              <w:t>The day this Act receives the Royal Assent.</w:t>
            </w:r>
          </w:p>
        </w:tc>
        <w:tc>
          <w:tcPr>
            <w:tcW w:w="1582" w:type="dxa"/>
            <w:tcBorders>
              <w:top w:val="single" w:sz="12" w:space="0" w:color="auto"/>
            </w:tcBorders>
            <w:shd w:val="clear" w:color="auto" w:fill="auto"/>
          </w:tcPr>
          <w:p w:rsidR="00803482" w:rsidRPr="00BB38D6" w:rsidRDefault="00EA6155" w:rsidP="00BB38D6">
            <w:pPr>
              <w:pStyle w:val="Tabletext"/>
            </w:pPr>
            <w:r>
              <w:t>26 February 2020</w:t>
            </w:r>
          </w:p>
        </w:tc>
      </w:tr>
      <w:tr w:rsidR="00803482" w:rsidRPr="00BB38D6" w:rsidTr="00EF2555">
        <w:tc>
          <w:tcPr>
            <w:tcW w:w="1701" w:type="dxa"/>
            <w:tcBorders>
              <w:bottom w:val="single" w:sz="2" w:space="0" w:color="auto"/>
            </w:tcBorders>
            <w:shd w:val="clear" w:color="auto" w:fill="auto"/>
          </w:tcPr>
          <w:p w:rsidR="00803482" w:rsidRPr="00BB38D6" w:rsidRDefault="00803482" w:rsidP="00BB38D6">
            <w:pPr>
              <w:pStyle w:val="Tabletext"/>
            </w:pPr>
            <w:r w:rsidRPr="00BB38D6">
              <w:t>2.  Schedule</w:t>
            </w:r>
            <w:r w:rsidR="00BB38D6" w:rsidRPr="00BB38D6">
              <w:t> </w:t>
            </w:r>
            <w:r w:rsidRPr="00BB38D6">
              <w:t>1</w:t>
            </w:r>
          </w:p>
        </w:tc>
        <w:tc>
          <w:tcPr>
            <w:tcW w:w="3828" w:type="dxa"/>
            <w:tcBorders>
              <w:bottom w:val="single" w:sz="2" w:space="0" w:color="auto"/>
            </w:tcBorders>
            <w:shd w:val="clear" w:color="auto" w:fill="auto"/>
          </w:tcPr>
          <w:p w:rsidR="00803482" w:rsidRPr="00BB38D6" w:rsidRDefault="00803482" w:rsidP="00BB38D6">
            <w:pPr>
              <w:pStyle w:val="Tabletext"/>
            </w:pPr>
            <w:r w:rsidRPr="00BB38D6">
              <w:t>The day after this Act receives the Royal Assent.</w:t>
            </w:r>
          </w:p>
        </w:tc>
        <w:tc>
          <w:tcPr>
            <w:tcW w:w="1582" w:type="dxa"/>
            <w:tcBorders>
              <w:bottom w:val="single" w:sz="2" w:space="0" w:color="auto"/>
            </w:tcBorders>
            <w:shd w:val="clear" w:color="auto" w:fill="auto"/>
          </w:tcPr>
          <w:p w:rsidR="00803482" w:rsidRPr="00BB38D6" w:rsidRDefault="00EA6155" w:rsidP="00BB38D6">
            <w:pPr>
              <w:pStyle w:val="Tabletext"/>
            </w:pPr>
            <w:r>
              <w:t>27 February 2020</w:t>
            </w:r>
          </w:p>
        </w:tc>
      </w:tr>
      <w:tr w:rsidR="00803482" w:rsidRPr="00BB38D6" w:rsidTr="00EF2555">
        <w:tc>
          <w:tcPr>
            <w:tcW w:w="1701" w:type="dxa"/>
            <w:tcBorders>
              <w:top w:val="single" w:sz="2" w:space="0" w:color="auto"/>
              <w:bottom w:val="single" w:sz="12" w:space="0" w:color="auto"/>
            </w:tcBorders>
            <w:shd w:val="clear" w:color="auto" w:fill="auto"/>
          </w:tcPr>
          <w:p w:rsidR="00803482" w:rsidRPr="00BB38D6" w:rsidRDefault="00803482" w:rsidP="00BB38D6">
            <w:pPr>
              <w:pStyle w:val="Tabletext"/>
            </w:pPr>
            <w:r w:rsidRPr="00BB38D6">
              <w:t>3.  Schedule</w:t>
            </w:r>
            <w:r w:rsidR="00BB38D6" w:rsidRPr="00BB38D6">
              <w:t> </w:t>
            </w:r>
            <w:r w:rsidRPr="00BB38D6">
              <w:t>2</w:t>
            </w:r>
          </w:p>
        </w:tc>
        <w:tc>
          <w:tcPr>
            <w:tcW w:w="3828" w:type="dxa"/>
            <w:tcBorders>
              <w:top w:val="single" w:sz="2" w:space="0" w:color="auto"/>
              <w:bottom w:val="single" w:sz="12" w:space="0" w:color="auto"/>
            </w:tcBorders>
            <w:shd w:val="clear" w:color="auto" w:fill="auto"/>
          </w:tcPr>
          <w:p w:rsidR="00803482" w:rsidRPr="00BB38D6" w:rsidRDefault="00803482" w:rsidP="00BB38D6">
            <w:pPr>
              <w:pStyle w:val="Tabletext"/>
            </w:pPr>
            <w:r w:rsidRPr="00BB38D6">
              <w:t>The first 1</w:t>
            </w:r>
            <w:r w:rsidR="00BB38D6" w:rsidRPr="00BB38D6">
              <w:t> </w:t>
            </w:r>
            <w:r w:rsidRPr="00BB38D6">
              <w:t>January, 1</w:t>
            </w:r>
            <w:r w:rsidR="00BB38D6" w:rsidRPr="00BB38D6">
              <w:t> </w:t>
            </w:r>
            <w:r w:rsidRPr="00BB38D6">
              <w:t>April, 1</w:t>
            </w:r>
            <w:r w:rsidR="00BB38D6" w:rsidRPr="00BB38D6">
              <w:t> </w:t>
            </w:r>
            <w:r w:rsidRPr="00BB38D6">
              <w:t>July or 1</w:t>
            </w:r>
            <w:r w:rsidR="00BB38D6" w:rsidRPr="00BB38D6">
              <w:t> </w:t>
            </w:r>
            <w:r w:rsidRPr="00BB38D6">
              <w:t>October to occur after the day this Act receives the Royal Assent.</w:t>
            </w:r>
          </w:p>
        </w:tc>
        <w:tc>
          <w:tcPr>
            <w:tcW w:w="1582" w:type="dxa"/>
            <w:tcBorders>
              <w:top w:val="single" w:sz="2" w:space="0" w:color="auto"/>
              <w:bottom w:val="single" w:sz="12" w:space="0" w:color="auto"/>
            </w:tcBorders>
            <w:shd w:val="clear" w:color="auto" w:fill="auto"/>
          </w:tcPr>
          <w:p w:rsidR="00803482" w:rsidRPr="00BB38D6" w:rsidRDefault="00EA6155" w:rsidP="00BB38D6">
            <w:pPr>
              <w:pStyle w:val="Tabletext"/>
            </w:pPr>
            <w:r>
              <w:t>1 April 2020</w:t>
            </w:r>
          </w:p>
        </w:tc>
      </w:tr>
    </w:tbl>
    <w:p w:rsidR="00803482" w:rsidRPr="00BB38D6" w:rsidRDefault="00803482" w:rsidP="00BB38D6">
      <w:pPr>
        <w:pStyle w:val="notetext"/>
      </w:pPr>
      <w:r w:rsidRPr="00BB38D6">
        <w:t>Note:</w:t>
      </w:r>
      <w:r w:rsidRPr="00BB38D6">
        <w:tab/>
        <w:t>This table relates only to the provisions of this Act as originally enacted. It will not be amended to deal with any later amendments of this Act.</w:t>
      </w:r>
    </w:p>
    <w:p w:rsidR="00803482" w:rsidRPr="00BB38D6" w:rsidRDefault="00803482" w:rsidP="00BB38D6">
      <w:pPr>
        <w:pStyle w:val="subsection"/>
      </w:pPr>
      <w:r w:rsidRPr="00BB38D6">
        <w:tab/>
        <w:t>(2)</w:t>
      </w:r>
      <w:r w:rsidRPr="00BB38D6">
        <w:tab/>
        <w:t>Any information in column 3 of the table is not part of this Act. Information may be inserted in this column, or information in it may be edited, in any published version of this Act.</w:t>
      </w:r>
    </w:p>
    <w:p w:rsidR="00803482" w:rsidRPr="00BB38D6" w:rsidRDefault="00803482" w:rsidP="00BB38D6">
      <w:pPr>
        <w:pStyle w:val="ActHead5"/>
      </w:pPr>
      <w:bookmarkStart w:id="3" w:name="_Toc34030880"/>
      <w:r w:rsidRPr="00BB38D6">
        <w:rPr>
          <w:rStyle w:val="CharSectno"/>
        </w:rPr>
        <w:t>3</w:t>
      </w:r>
      <w:r w:rsidRPr="00BB38D6">
        <w:t xml:space="preserve">  Schedules</w:t>
      </w:r>
      <w:bookmarkEnd w:id="3"/>
    </w:p>
    <w:p w:rsidR="00803482" w:rsidRPr="00BB38D6" w:rsidRDefault="00803482" w:rsidP="00BB38D6">
      <w:pPr>
        <w:pStyle w:val="subsection"/>
      </w:pPr>
      <w:r w:rsidRPr="00BB38D6">
        <w:tab/>
      </w:r>
      <w:r w:rsidRPr="00BB38D6">
        <w:tab/>
        <w:t>Legislation that is specified in a Schedule to this Act is amended or repealed as set out in the applicable items in the Schedule concerned, and any other item in a Schedule to this Act has effect according to its terms.</w:t>
      </w:r>
    </w:p>
    <w:p w:rsidR="004E6843" w:rsidRPr="00BB38D6" w:rsidRDefault="004E6843" w:rsidP="00BB38D6">
      <w:pPr>
        <w:pStyle w:val="ActHead5"/>
      </w:pPr>
      <w:bookmarkStart w:id="4" w:name="_Toc34030881"/>
      <w:r w:rsidRPr="00BB38D6">
        <w:rPr>
          <w:rStyle w:val="CharSectno"/>
        </w:rPr>
        <w:t>4</w:t>
      </w:r>
      <w:r w:rsidRPr="00BB38D6">
        <w:t xml:space="preserve">  Independent review of operation of Schedule</w:t>
      </w:r>
      <w:r w:rsidR="00BB38D6" w:rsidRPr="00BB38D6">
        <w:t> </w:t>
      </w:r>
      <w:r w:rsidRPr="00BB38D6">
        <w:t>1</w:t>
      </w:r>
      <w:bookmarkEnd w:id="4"/>
    </w:p>
    <w:p w:rsidR="004E6843" w:rsidRPr="00BB38D6" w:rsidRDefault="004E6843" w:rsidP="00BB38D6">
      <w:pPr>
        <w:pStyle w:val="subsection"/>
      </w:pPr>
      <w:r w:rsidRPr="00BB38D6">
        <w:tab/>
        <w:t>(1)</w:t>
      </w:r>
      <w:r w:rsidRPr="00BB38D6">
        <w:tab/>
        <w:t>The Minister must cause an independent review to be conducted of the operation of the amendments made by Schedule</w:t>
      </w:r>
      <w:r w:rsidR="00BB38D6" w:rsidRPr="00BB38D6">
        <w:t> </w:t>
      </w:r>
      <w:r w:rsidRPr="00BB38D6">
        <w:t>1 to this Act.</w:t>
      </w:r>
    </w:p>
    <w:p w:rsidR="004E6843" w:rsidRPr="00BB38D6" w:rsidRDefault="004E6843" w:rsidP="00BB38D6">
      <w:pPr>
        <w:pStyle w:val="subsection"/>
      </w:pPr>
      <w:r w:rsidRPr="00BB38D6">
        <w:tab/>
        <w:t>(2)</w:t>
      </w:r>
      <w:r w:rsidRPr="00BB38D6">
        <w:tab/>
        <w:t>The review must:</w:t>
      </w:r>
    </w:p>
    <w:p w:rsidR="004E6843" w:rsidRPr="00BB38D6" w:rsidRDefault="004E6843" w:rsidP="00BB38D6">
      <w:pPr>
        <w:pStyle w:val="paragraph"/>
      </w:pPr>
      <w:r w:rsidRPr="00BB38D6">
        <w:tab/>
        <w:t>(a)</w:t>
      </w:r>
      <w:r w:rsidRPr="00BB38D6">
        <w:tab/>
        <w:t>start as soon as practicable after the end of 12 months after the commencement of the first regulations made for the purposes of section</w:t>
      </w:r>
      <w:r w:rsidR="00BB38D6" w:rsidRPr="00BB38D6">
        <w:t> </w:t>
      </w:r>
      <w:r w:rsidRPr="00BB38D6">
        <w:t xml:space="preserve">926B of the </w:t>
      </w:r>
      <w:r w:rsidRPr="00BB38D6">
        <w:rPr>
          <w:i/>
        </w:rPr>
        <w:t>Corporations Act 2001</w:t>
      </w:r>
      <w:r w:rsidRPr="00BB38D6">
        <w:t xml:space="preserve"> that exempt a person or class of persons from subsection</w:t>
      </w:r>
      <w:r w:rsidR="00BB38D6" w:rsidRPr="00BB38D6">
        <w:t> </w:t>
      </w:r>
      <w:r w:rsidRPr="00BB38D6">
        <w:t>911A(1) of that Act to enable testing of particular financial services; and</w:t>
      </w:r>
    </w:p>
    <w:p w:rsidR="004E6843" w:rsidRPr="00BB38D6" w:rsidRDefault="004E6843" w:rsidP="00BB38D6">
      <w:pPr>
        <w:pStyle w:val="paragraph"/>
      </w:pPr>
      <w:r w:rsidRPr="00BB38D6">
        <w:tab/>
        <w:t>(b)</w:t>
      </w:r>
      <w:r w:rsidRPr="00BB38D6">
        <w:tab/>
        <w:t>be completed within 6 months.</w:t>
      </w:r>
    </w:p>
    <w:p w:rsidR="004E6843" w:rsidRPr="00BB38D6" w:rsidRDefault="004E6843" w:rsidP="00BB38D6">
      <w:pPr>
        <w:pStyle w:val="subsection"/>
      </w:pPr>
      <w:r w:rsidRPr="00BB38D6">
        <w:tab/>
        <w:t>(3)</w:t>
      </w:r>
      <w:r w:rsidRPr="00BB38D6">
        <w:tab/>
        <w:t>The persons who conduct the review must give the Minister a written report of the review.</w:t>
      </w:r>
    </w:p>
    <w:p w:rsidR="004E6843" w:rsidRPr="00BB38D6" w:rsidRDefault="004E6843" w:rsidP="00BB38D6">
      <w:pPr>
        <w:pStyle w:val="subsection"/>
      </w:pPr>
      <w:r w:rsidRPr="00BB38D6">
        <w:tab/>
        <w:t>(4)</w:t>
      </w:r>
      <w:r w:rsidRPr="00BB38D6">
        <w:tab/>
        <w:t>The Minister must cause copies of the report to be tabled in each House of the Parliament within 15 sitting days of that House after the report is given to the Minister.</w:t>
      </w:r>
    </w:p>
    <w:p w:rsidR="00803482" w:rsidRPr="00BB38D6" w:rsidRDefault="00803482" w:rsidP="00BB38D6">
      <w:pPr>
        <w:pStyle w:val="ActHead6"/>
        <w:pageBreakBefore/>
      </w:pPr>
      <w:bookmarkStart w:id="5" w:name="opcAmSched"/>
      <w:bookmarkStart w:id="6" w:name="_Toc34030882"/>
      <w:r w:rsidRPr="00BB38D6">
        <w:rPr>
          <w:rStyle w:val="CharAmSchNo"/>
        </w:rPr>
        <w:t>Schedule</w:t>
      </w:r>
      <w:r w:rsidR="00BB38D6" w:rsidRPr="00BB38D6">
        <w:rPr>
          <w:rStyle w:val="CharAmSchNo"/>
        </w:rPr>
        <w:t> </w:t>
      </w:r>
      <w:r w:rsidRPr="00BB38D6">
        <w:rPr>
          <w:rStyle w:val="CharAmSchNo"/>
        </w:rPr>
        <w:t>1</w:t>
      </w:r>
      <w:r w:rsidRPr="00BB38D6">
        <w:t>—</w:t>
      </w:r>
      <w:proofErr w:type="spellStart"/>
      <w:r w:rsidRPr="00BB38D6">
        <w:rPr>
          <w:rStyle w:val="CharAmSchText"/>
          <w:rFonts w:eastAsiaTheme="minorHAnsi"/>
        </w:rPr>
        <w:t>FinTech</w:t>
      </w:r>
      <w:proofErr w:type="spellEnd"/>
      <w:r w:rsidRPr="00BB38D6">
        <w:rPr>
          <w:rStyle w:val="CharAmSchText"/>
          <w:rFonts w:eastAsiaTheme="minorHAnsi"/>
        </w:rPr>
        <w:t xml:space="preserve"> Sandbox Regulatory Licensing Exemptions</w:t>
      </w:r>
      <w:bookmarkEnd w:id="6"/>
    </w:p>
    <w:p w:rsidR="00803482" w:rsidRPr="00BB38D6" w:rsidRDefault="00803482" w:rsidP="00BB38D6">
      <w:pPr>
        <w:pStyle w:val="ActHead7"/>
      </w:pPr>
      <w:bookmarkStart w:id="7" w:name="_Toc34030883"/>
      <w:bookmarkEnd w:id="5"/>
      <w:r w:rsidRPr="00BB38D6">
        <w:rPr>
          <w:rStyle w:val="CharAmPartNo"/>
        </w:rPr>
        <w:t>Part</w:t>
      </w:r>
      <w:r w:rsidR="00BB38D6" w:rsidRPr="00BB38D6">
        <w:rPr>
          <w:rStyle w:val="CharAmPartNo"/>
        </w:rPr>
        <w:t> </w:t>
      </w:r>
      <w:r w:rsidRPr="00BB38D6">
        <w:rPr>
          <w:rStyle w:val="CharAmPartNo"/>
        </w:rPr>
        <w:t>1</w:t>
      </w:r>
      <w:r w:rsidRPr="00BB38D6">
        <w:t>—</w:t>
      </w:r>
      <w:r w:rsidRPr="00BB38D6">
        <w:rPr>
          <w:rStyle w:val="CharAmPartText"/>
        </w:rPr>
        <w:t>Amendment of the Corporations Act 2001</w:t>
      </w:r>
      <w:bookmarkEnd w:id="7"/>
    </w:p>
    <w:p w:rsidR="00803482" w:rsidRPr="00BB38D6" w:rsidRDefault="00803482" w:rsidP="00BB38D6">
      <w:pPr>
        <w:pStyle w:val="ActHead9"/>
        <w:rPr>
          <w:i w:val="0"/>
        </w:rPr>
      </w:pPr>
      <w:bookmarkStart w:id="8" w:name="_Toc34030884"/>
      <w:r w:rsidRPr="00BB38D6">
        <w:t>Corporations Act 2001</w:t>
      </w:r>
      <w:bookmarkEnd w:id="8"/>
    </w:p>
    <w:p w:rsidR="00803482" w:rsidRPr="00BB38D6" w:rsidRDefault="00803482" w:rsidP="00BB38D6">
      <w:pPr>
        <w:pStyle w:val="ItemHead"/>
      </w:pPr>
      <w:r w:rsidRPr="00BB38D6">
        <w:t>1  Paragraph 911B(1)(e)</w:t>
      </w:r>
    </w:p>
    <w:p w:rsidR="00803482" w:rsidRPr="00BB38D6" w:rsidRDefault="00803482" w:rsidP="00BB38D6">
      <w:pPr>
        <w:pStyle w:val="Item"/>
      </w:pPr>
      <w:r w:rsidRPr="00BB38D6">
        <w:t>Repeal the paragraph, substitute:</w:t>
      </w:r>
    </w:p>
    <w:p w:rsidR="00803482" w:rsidRPr="00BB38D6" w:rsidRDefault="00803482" w:rsidP="00BB38D6">
      <w:pPr>
        <w:pStyle w:val="paragraph"/>
      </w:pPr>
      <w:r w:rsidRPr="00BB38D6">
        <w:tab/>
        <w:t>(e)</w:t>
      </w:r>
      <w:r w:rsidRPr="00BB38D6">
        <w:tab/>
        <w:t>if the principal (rather than the provider) provided the service, the principal would not need an Australian financial services licence because the provision of the service would be exempt under:</w:t>
      </w:r>
    </w:p>
    <w:p w:rsidR="00803482" w:rsidRPr="00BB38D6" w:rsidRDefault="00803482" w:rsidP="00BB38D6">
      <w:pPr>
        <w:pStyle w:val="paragraphsub"/>
      </w:pPr>
      <w:r w:rsidRPr="00BB38D6">
        <w:tab/>
        <w:t>(</w:t>
      </w:r>
      <w:proofErr w:type="spellStart"/>
      <w:r w:rsidRPr="00BB38D6">
        <w:t>i</w:t>
      </w:r>
      <w:proofErr w:type="spellEnd"/>
      <w:r w:rsidRPr="00BB38D6">
        <w:t>)</w:t>
      </w:r>
      <w:r w:rsidRPr="00BB38D6">
        <w:tab/>
        <w:t>subsection</w:t>
      </w:r>
      <w:r w:rsidR="00BB38D6" w:rsidRPr="00BB38D6">
        <w:t> </w:t>
      </w:r>
      <w:r w:rsidRPr="00BB38D6">
        <w:t>911A(2); or</w:t>
      </w:r>
    </w:p>
    <w:p w:rsidR="00803482" w:rsidRPr="00BB38D6" w:rsidRDefault="00803482" w:rsidP="00BB38D6">
      <w:pPr>
        <w:pStyle w:val="paragraphsub"/>
      </w:pPr>
      <w:r w:rsidRPr="00BB38D6">
        <w:tab/>
        <w:t>(ii)</w:t>
      </w:r>
      <w:r w:rsidRPr="00BB38D6">
        <w:tab/>
        <w:t>regulations made for the purposes of subsection</w:t>
      </w:r>
      <w:r w:rsidR="00BB38D6" w:rsidRPr="00BB38D6">
        <w:t> </w:t>
      </w:r>
      <w:r w:rsidRPr="00BB38D6">
        <w:t>926B(1).</w:t>
      </w:r>
    </w:p>
    <w:p w:rsidR="00803482" w:rsidRPr="00BB38D6" w:rsidRDefault="00803482" w:rsidP="00BB38D6">
      <w:pPr>
        <w:pStyle w:val="ItemHead"/>
      </w:pPr>
      <w:r w:rsidRPr="00BB38D6">
        <w:t>2  At the end of section</w:t>
      </w:r>
      <w:r w:rsidR="00BB38D6" w:rsidRPr="00BB38D6">
        <w:t> </w:t>
      </w:r>
      <w:r w:rsidRPr="00BB38D6">
        <w:t>926B</w:t>
      </w:r>
    </w:p>
    <w:p w:rsidR="00803482" w:rsidRPr="00BB38D6" w:rsidRDefault="00803482" w:rsidP="00BB38D6">
      <w:pPr>
        <w:pStyle w:val="Item"/>
      </w:pPr>
      <w:r w:rsidRPr="00BB38D6">
        <w:t>Add:</w:t>
      </w:r>
    </w:p>
    <w:p w:rsidR="00803482" w:rsidRPr="00BB38D6" w:rsidRDefault="00803482" w:rsidP="00BB38D6">
      <w:pPr>
        <w:pStyle w:val="subsection"/>
      </w:pPr>
      <w:r w:rsidRPr="00BB38D6">
        <w:tab/>
        <w:t>(3)</w:t>
      </w:r>
      <w:r w:rsidRPr="00BB38D6">
        <w:tab/>
        <w:t>An exemption that:</w:t>
      </w:r>
    </w:p>
    <w:p w:rsidR="00803482" w:rsidRPr="00BB38D6" w:rsidRDefault="00803482" w:rsidP="00BB38D6">
      <w:pPr>
        <w:pStyle w:val="paragraph"/>
      </w:pPr>
      <w:r w:rsidRPr="00BB38D6">
        <w:tab/>
        <w:t>(a)</w:t>
      </w:r>
      <w:r w:rsidRPr="00BB38D6">
        <w:tab/>
        <w:t xml:space="preserve">is made for the purposes of </w:t>
      </w:r>
      <w:r w:rsidR="00BB38D6" w:rsidRPr="00BB38D6">
        <w:t>paragraph (</w:t>
      </w:r>
      <w:r w:rsidRPr="00BB38D6">
        <w:t>1)(a); and</w:t>
      </w:r>
    </w:p>
    <w:p w:rsidR="00803482" w:rsidRPr="00BB38D6" w:rsidRDefault="00803482" w:rsidP="00BB38D6">
      <w:pPr>
        <w:pStyle w:val="paragraph"/>
      </w:pPr>
      <w:r w:rsidRPr="00BB38D6">
        <w:tab/>
        <w:t>(b)</w:t>
      </w:r>
      <w:r w:rsidRPr="00BB38D6">
        <w:tab/>
        <w:t>exempts a person or class of persons from subsection</w:t>
      </w:r>
      <w:r w:rsidR="00BB38D6" w:rsidRPr="00BB38D6">
        <w:t> </w:t>
      </w:r>
      <w:r w:rsidRPr="00BB38D6">
        <w:t>911A(1) to enable testing of particular financial services;</w:t>
      </w:r>
    </w:p>
    <w:p w:rsidR="00803482" w:rsidRPr="00BB38D6" w:rsidRDefault="00803482" w:rsidP="00BB38D6">
      <w:pPr>
        <w:pStyle w:val="subsection2"/>
      </w:pPr>
      <w:r w:rsidRPr="00BB38D6">
        <w:t>may apply unconditionally or subject to specified conditions.</w:t>
      </w:r>
    </w:p>
    <w:p w:rsidR="00803482" w:rsidRPr="00BB38D6" w:rsidRDefault="00803482" w:rsidP="00BB38D6">
      <w:pPr>
        <w:pStyle w:val="subsection"/>
      </w:pPr>
      <w:r w:rsidRPr="00BB38D6">
        <w:tab/>
        <w:t>(4)</w:t>
      </w:r>
      <w:r w:rsidRPr="00BB38D6">
        <w:tab/>
        <w:t>A person to whom a condition specified in an exemption applies must comply with the condition. The Court may order the person to comply with the condition in a specified way. Only ASIC may apply to the Court for the order.</w:t>
      </w:r>
    </w:p>
    <w:p w:rsidR="00803482" w:rsidRPr="00BB38D6" w:rsidRDefault="00803482" w:rsidP="00BB38D6">
      <w:pPr>
        <w:pStyle w:val="subsection"/>
      </w:pPr>
      <w:r w:rsidRPr="00BB38D6">
        <w:tab/>
        <w:t>(5)</w:t>
      </w:r>
      <w:r w:rsidRPr="00BB38D6">
        <w:tab/>
        <w:t xml:space="preserve">An exemption described in </w:t>
      </w:r>
      <w:r w:rsidR="00BB38D6" w:rsidRPr="00BB38D6">
        <w:t>subsection (</w:t>
      </w:r>
      <w:r w:rsidRPr="00BB38D6">
        <w:t>3) may empower ASIC to make decisions relating to how the exemption starts or ceases to apply to a person or class of persons.</w:t>
      </w:r>
    </w:p>
    <w:p w:rsidR="00803482" w:rsidRPr="00BB38D6" w:rsidRDefault="00803482" w:rsidP="00BB38D6">
      <w:pPr>
        <w:pStyle w:val="ActHead7"/>
      </w:pPr>
      <w:bookmarkStart w:id="9" w:name="_Toc34030885"/>
      <w:r w:rsidRPr="00BB38D6">
        <w:rPr>
          <w:rStyle w:val="CharAmPartNo"/>
        </w:rPr>
        <w:t>Part</w:t>
      </w:r>
      <w:r w:rsidR="00BB38D6" w:rsidRPr="00BB38D6">
        <w:rPr>
          <w:rStyle w:val="CharAmPartNo"/>
        </w:rPr>
        <w:t> </w:t>
      </w:r>
      <w:r w:rsidRPr="00BB38D6">
        <w:rPr>
          <w:rStyle w:val="CharAmPartNo"/>
        </w:rPr>
        <w:t>2</w:t>
      </w:r>
      <w:r w:rsidRPr="00BB38D6">
        <w:t>—</w:t>
      </w:r>
      <w:r w:rsidRPr="00BB38D6">
        <w:rPr>
          <w:rStyle w:val="CharAmPartText"/>
        </w:rPr>
        <w:t>Amendment of the National Consumer Credit Protection Act 2009</w:t>
      </w:r>
      <w:bookmarkEnd w:id="9"/>
    </w:p>
    <w:p w:rsidR="00803482" w:rsidRPr="00BB38D6" w:rsidRDefault="00803482" w:rsidP="00BB38D6">
      <w:pPr>
        <w:pStyle w:val="ActHead9"/>
        <w:rPr>
          <w:i w:val="0"/>
        </w:rPr>
      </w:pPr>
      <w:bookmarkStart w:id="10" w:name="_Toc34030886"/>
      <w:r w:rsidRPr="00BB38D6">
        <w:t>National Consumer Credit Protection Act 2009</w:t>
      </w:r>
      <w:bookmarkEnd w:id="10"/>
    </w:p>
    <w:p w:rsidR="00803482" w:rsidRPr="00BB38D6" w:rsidRDefault="00803482" w:rsidP="00BB38D6">
      <w:pPr>
        <w:pStyle w:val="ItemHead"/>
      </w:pPr>
      <w:r w:rsidRPr="00BB38D6">
        <w:t>3  Paragraph 29(4)(d)</w:t>
      </w:r>
    </w:p>
    <w:p w:rsidR="00803482" w:rsidRPr="00BB38D6" w:rsidRDefault="00803482" w:rsidP="00BB38D6">
      <w:pPr>
        <w:pStyle w:val="Item"/>
      </w:pPr>
      <w:r w:rsidRPr="00BB38D6">
        <w:t>Omit “110(a)”, substitute “110(1)(a)”.</w:t>
      </w:r>
    </w:p>
    <w:p w:rsidR="00803482" w:rsidRPr="00BB38D6" w:rsidRDefault="00803482" w:rsidP="00BB38D6">
      <w:pPr>
        <w:pStyle w:val="ItemHead"/>
      </w:pPr>
      <w:r w:rsidRPr="00BB38D6">
        <w:t>4  Section</w:t>
      </w:r>
      <w:r w:rsidR="00BB38D6" w:rsidRPr="00BB38D6">
        <w:t> </w:t>
      </w:r>
      <w:r w:rsidRPr="00BB38D6">
        <w:t>110</w:t>
      </w:r>
    </w:p>
    <w:p w:rsidR="00803482" w:rsidRPr="00BB38D6" w:rsidRDefault="00803482" w:rsidP="00BB38D6">
      <w:pPr>
        <w:pStyle w:val="Item"/>
      </w:pPr>
      <w:r w:rsidRPr="00BB38D6">
        <w:t>Before “The”, insert “(1)”.</w:t>
      </w:r>
    </w:p>
    <w:p w:rsidR="00803482" w:rsidRPr="00BB38D6" w:rsidRDefault="00803482" w:rsidP="00BB38D6">
      <w:pPr>
        <w:pStyle w:val="ItemHead"/>
      </w:pPr>
      <w:r w:rsidRPr="00BB38D6">
        <w:t>5  At the end of section</w:t>
      </w:r>
      <w:r w:rsidR="00BB38D6" w:rsidRPr="00BB38D6">
        <w:t> </w:t>
      </w:r>
      <w:r w:rsidRPr="00BB38D6">
        <w:t>110</w:t>
      </w:r>
    </w:p>
    <w:p w:rsidR="00803482" w:rsidRPr="00BB38D6" w:rsidRDefault="00803482" w:rsidP="00BB38D6">
      <w:pPr>
        <w:pStyle w:val="Item"/>
      </w:pPr>
      <w:r w:rsidRPr="00BB38D6">
        <w:t>Add:</w:t>
      </w:r>
    </w:p>
    <w:p w:rsidR="00803482" w:rsidRPr="00BB38D6" w:rsidRDefault="00803482" w:rsidP="00BB38D6">
      <w:pPr>
        <w:pStyle w:val="subsection"/>
      </w:pPr>
      <w:r w:rsidRPr="00BB38D6">
        <w:tab/>
        <w:t>(2)</w:t>
      </w:r>
      <w:r w:rsidRPr="00BB38D6">
        <w:tab/>
        <w:t>An exemption that:</w:t>
      </w:r>
    </w:p>
    <w:p w:rsidR="00803482" w:rsidRPr="00BB38D6" w:rsidRDefault="00803482" w:rsidP="00BB38D6">
      <w:pPr>
        <w:pStyle w:val="paragraph"/>
      </w:pPr>
      <w:r w:rsidRPr="00BB38D6">
        <w:tab/>
        <w:t>(a)</w:t>
      </w:r>
      <w:r w:rsidRPr="00BB38D6">
        <w:tab/>
        <w:t xml:space="preserve">is made for the purposes of </w:t>
      </w:r>
      <w:r w:rsidR="00BB38D6" w:rsidRPr="00BB38D6">
        <w:t>paragraph (</w:t>
      </w:r>
      <w:r w:rsidRPr="00BB38D6">
        <w:t>1)(a); and</w:t>
      </w:r>
    </w:p>
    <w:p w:rsidR="00803482" w:rsidRPr="00BB38D6" w:rsidRDefault="00803482" w:rsidP="00BB38D6">
      <w:pPr>
        <w:pStyle w:val="paragraph"/>
      </w:pPr>
      <w:r w:rsidRPr="00BB38D6">
        <w:tab/>
        <w:t>(b)</w:t>
      </w:r>
      <w:r w:rsidRPr="00BB38D6">
        <w:tab/>
        <w:t>exempts a person or class of persons from subsection</w:t>
      </w:r>
      <w:r w:rsidR="00BB38D6" w:rsidRPr="00BB38D6">
        <w:t> </w:t>
      </w:r>
      <w:r w:rsidRPr="00BB38D6">
        <w:t>29(1) to enable testing of particular credit activities;</w:t>
      </w:r>
    </w:p>
    <w:p w:rsidR="00803482" w:rsidRPr="00BB38D6" w:rsidRDefault="00803482" w:rsidP="00BB38D6">
      <w:pPr>
        <w:pStyle w:val="subsection2"/>
      </w:pPr>
      <w:r w:rsidRPr="00BB38D6">
        <w:t>may apply unconditionally or subject to specified conditions.</w:t>
      </w:r>
    </w:p>
    <w:p w:rsidR="00803482" w:rsidRPr="00BB38D6" w:rsidRDefault="00803482" w:rsidP="00BB38D6">
      <w:pPr>
        <w:pStyle w:val="subsection"/>
      </w:pPr>
      <w:r w:rsidRPr="00BB38D6">
        <w:tab/>
        <w:t>(3)</w:t>
      </w:r>
      <w:r w:rsidRPr="00BB38D6">
        <w:tab/>
        <w:t>A person to whom a condition specified in an exemption applies must comply with the condition. The Court may order the person to comply with the condition in a specified way. Only ASIC may apply to the Court for the order.</w:t>
      </w:r>
    </w:p>
    <w:p w:rsidR="00803482" w:rsidRPr="00BB38D6" w:rsidRDefault="00803482" w:rsidP="00BB38D6">
      <w:pPr>
        <w:pStyle w:val="subsection"/>
      </w:pPr>
      <w:r w:rsidRPr="00BB38D6">
        <w:tab/>
        <w:t>(4)</w:t>
      </w:r>
      <w:r w:rsidRPr="00BB38D6">
        <w:tab/>
        <w:t xml:space="preserve">An exemption described in </w:t>
      </w:r>
      <w:r w:rsidR="00BB38D6" w:rsidRPr="00BB38D6">
        <w:t>subsection (</w:t>
      </w:r>
      <w:r w:rsidRPr="00BB38D6">
        <w:t>2) may empower ASIC to make decisions relating to how the exemption starts or ceases to apply to a person or class of persons.</w:t>
      </w:r>
    </w:p>
    <w:p w:rsidR="00803482" w:rsidRPr="00BB38D6" w:rsidRDefault="00803482" w:rsidP="00BB38D6">
      <w:pPr>
        <w:pStyle w:val="ItemHead"/>
      </w:pPr>
      <w:r w:rsidRPr="00BB38D6">
        <w:t>6  Subsection</w:t>
      </w:r>
      <w:r w:rsidR="00BB38D6" w:rsidRPr="00BB38D6">
        <w:t> </w:t>
      </w:r>
      <w:r w:rsidRPr="00BB38D6">
        <w:t>160C(2)</w:t>
      </w:r>
    </w:p>
    <w:p w:rsidR="00803482" w:rsidRPr="00BB38D6" w:rsidRDefault="00803482" w:rsidP="00BB38D6">
      <w:pPr>
        <w:pStyle w:val="Item"/>
      </w:pPr>
      <w:r w:rsidRPr="00BB38D6">
        <w:t>Omit “110(a)”, substitute “110(1)(a)”.</w:t>
      </w:r>
    </w:p>
    <w:p w:rsidR="00803482" w:rsidRPr="00BB38D6" w:rsidRDefault="00803482" w:rsidP="00BB38D6">
      <w:pPr>
        <w:pStyle w:val="ItemHead"/>
      </w:pPr>
      <w:r w:rsidRPr="00BB38D6">
        <w:t>7  Paragraph 160C(3)(c)</w:t>
      </w:r>
    </w:p>
    <w:p w:rsidR="00803482" w:rsidRPr="00BB38D6" w:rsidRDefault="00803482" w:rsidP="00BB38D6">
      <w:pPr>
        <w:pStyle w:val="Item"/>
      </w:pPr>
      <w:r w:rsidRPr="00BB38D6">
        <w:t>Omit “110(a)”, substitute “110(1)(a)”.</w:t>
      </w:r>
    </w:p>
    <w:p w:rsidR="00803482" w:rsidRPr="00BB38D6" w:rsidRDefault="00803482" w:rsidP="00BB38D6">
      <w:pPr>
        <w:pStyle w:val="ActHead6"/>
        <w:pageBreakBefore/>
      </w:pPr>
      <w:bookmarkStart w:id="11" w:name="opcCurrentFind"/>
      <w:bookmarkStart w:id="12" w:name="_Toc34030887"/>
      <w:r w:rsidRPr="00BB38D6">
        <w:rPr>
          <w:rStyle w:val="CharAmSchNo"/>
        </w:rPr>
        <w:t>Schedule</w:t>
      </w:r>
      <w:r w:rsidR="00BB38D6" w:rsidRPr="00BB38D6">
        <w:rPr>
          <w:rStyle w:val="CharAmSchNo"/>
        </w:rPr>
        <w:t> </w:t>
      </w:r>
      <w:r w:rsidRPr="00BB38D6">
        <w:rPr>
          <w:rStyle w:val="CharAmSchNo"/>
        </w:rPr>
        <w:t>2</w:t>
      </w:r>
      <w:r w:rsidRPr="00BB38D6">
        <w:t>—</w:t>
      </w:r>
      <w:r w:rsidRPr="00BB38D6">
        <w:rPr>
          <w:rStyle w:val="CharAmSchText"/>
        </w:rPr>
        <w:t>Innovation measures</w:t>
      </w:r>
      <w:bookmarkEnd w:id="12"/>
    </w:p>
    <w:p w:rsidR="00803482" w:rsidRPr="00BB38D6" w:rsidRDefault="00803482" w:rsidP="00BB38D6">
      <w:pPr>
        <w:pStyle w:val="ActHead7"/>
      </w:pPr>
      <w:bookmarkStart w:id="13" w:name="_Toc34030888"/>
      <w:bookmarkEnd w:id="11"/>
      <w:r w:rsidRPr="00BB38D6">
        <w:rPr>
          <w:rStyle w:val="CharAmPartNo"/>
        </w:rPr>
        <w:t>Part</w:t>
      </w:r>
      <w:r w:rsidR="00BB38D6" w:rsidRPr="00BB38D6">
        <w:rPr>
          <w:rStyle w:val="CharAmPartNo"/>
        </w:rPr>
        <w:t> </w:t>
      </w:r>
      <w:r w:rsidRPr="00BB38D6">
        <w:rPr>
          <w:rStyle w:val="CharAmPartNo"/>
        </w:rPr>
        <w:t>1</w:t>
      </w:r>
      <w:r w:rsidRPr="00BB38D6">
        <w:t>—</w:t>
      </w:r>
      <w:r w:rsidRPr="00BB38D6">
        <w:rPr>
          <w:rStyle w:val="CharAmPartText"/>
        </w:rPr>
        <w:t>Venture capital investments</w:t>
      </w:r>
      <w:bookmarkEnd w:id="13"/>
    </w:p>
    <w:p w:rsidR="00803482" w:rsidRPr="00BB38D6" w:rsidRDefault="00803482" w:rsidP="00BB38D6">
      <w:pPr>
        <w:pStyle w:val="ActHead9"/>
        <w:rPr>
          <w:i w:val="0"/>
        </w:rPr>
      </w:pPr>
      <w:bookmarkStart w:id="14" w:name="_Toc34030889"/>
      <w:r w:rsidRPr="00BB38D6">
        <w:t>Income Tax Assessment Act 1997</w:t>
      </w:r>
      <w:bookmarkEnd w:id="14"/>
    </w:p>
    <w:p w:rsidR="00803482" w:rsidRPr="00BB38D6" w:rsidRDefault="00803482" w:rsidP="00BB38D6">
      <w:pPr>
        <w:pStyle w:val="ItemHead"/>
      </w:pPr>
      <w:r w:rsidRPr="00BB38D6">
        <w:t>1  Subsection</w:t>
      </w:r>
      <w:r w:rsidR="00BB38D6" w:rsidRPr="00BB38D6">
        <w:t> </w:t>
      </w:r>
      <w:r w:rsidRPr="00BB38D6">
        <w:t>118</w:t>
      </w:r>
      <w:r w:rsidR="00C338C9">
        <w:noBreakHyphen/>
      </w:r>
      <w:r w:rsidRPr="00BB38D6">
        <w:t xml:space="preserve">408(2) (at the end of the definition of </w:t>
      </w:r>
      <w:r w:rsidRPr="00BB38D6">
        <w:rPr>
          <w:i/>
        </w:rPr>
        <w:t>valuation year capital gain</w:t>
      </w:r>
      <w:r w:rsidRPr="00BB38D6">
        <w:t>)</w:t>
      </w:r>
    </w:p>
    <w:p w:rsidR="00803482" w:rsidRPr="00BB38D6" w:rsidRDefault="00803482" w:rsidP="00BB38D6">
      <w:pPr>
        <w:pStyle w:val="Item"/>
      </w:pPr>
      <w:r w:rsidRPr="00BB38D6">
        <w:t>Add:</w:t>
      </w:r>
    </w:p>
    <w:p w:rsidR="00803482" w:rsidRPr="00BB38D6" w:rsidRDefault="00803482" w:rsidP="00BB38D6">
      <w:pPr>
        <w:pStyle w:val="subsection2"/>
      </w:pPr>
      <w:r w:rsidRPr="00BB38D6">
        <w:t xml:space="preserve">Work out the capital gain based on what the </w:t>
      </w:r>
      <w:r w:rsidR="00BB38D6" w:rsidRPr="00BB38D6">
        <w:rPr>
          <w:position w:val="6"/>
          <w:sz w:val="16"/>
        </w:rPr>
        <w:t>*</w:t>
      </w:r>
      <w:r w:rsidRPr="00BB38D6">
        <w:t>capital proceeds would have been, and on other matters relating to the amount of the gain being determined on a reasonable basis, if the CGT event resulting in the gain had happened at the end of that period.</w:t>
      </w:r>
    </w:p>
    <w:p w:rsidR="00803482" w:rsidRPr="00BB38D6" w:rsidRDefault="00803482" w:rsidP="00BB38D6">
      <w:pPr>
        <w:pStyle w:val="ItemHead"/>
      </w:pPr>
      <w:r w:rsidRPr="00BB38D6">
        <w:t>2  Subparagraph 118</w:t>
      </w:r>
      <w:r w:rsidR="00C338C9">
        <w:noBreakHyphen/>
      </w:r>
      <w:r w:rsidRPr="00BB38D6">
        <w:t>428(1)(c)(ii)</w:t>
      </w:r>
    </w:p>
    <w:p w:rsidR="00803482" w:rsidRPr="00BB38D6" w:rsidRDefault="00803482" w:rsidP="00BB38D6">
      <w:pPr>
        <w:pStyle w:val="Item"/>
      </w:pPr>
      <w:r w:rsidRPr="00BB38D6">
        <w:t>After “other”, insert “pre</w:t>
      </w:r>
      <w:r w:rsidR="00C338C9">
        <w:noBreakHyphen/>
      </w:r>
      <w:r w:rsidRPr="00BB38D6">
        <w:t>owned”.</w:t>
      </w:r>
    </w:p>
    <w:p w:rsidR="00803482" w:rsidRPr="00BB38D6" w:rsidRDefault="00803482" w:rsidP="00BB38D6">
      <w:pPr>
        <w:pStyle w:val="Transitional"/>
      </w:pPr>
      <w:r w:rsidRPr="00BB38D6">
        <w:t>3  Application of amendments</w:t>
      </w:r>
    </w:p>
    <w:p w:rsidR="00803482" w:rsidRPr="00BB38D6" w:rsidRDefault="00803482" w:rsidP="00BB38D6">
      <w:pPr>
        <w:pStyle w:val="Subitem"/>
      </w:pPr>
      <w:r w:rsidRPr="00BB38D6">
        <w:t>(1)</w:t>
      </w:r>
      <w:r w:rsidRPr="00BB38D6">
        <w:tab/>
        <w:t>The amendment made by item</w:t>
      </w:r>
      <w:r w:rsidR="00BB38D6" w:rsidRPr="00BB38D6">
        <w:t> </w:t>
      </w:r>
      <w:r w:rsidRPr="00BB38D6">
        <w:t>1 of this Part applies in relation to CGT events happening on or after 1</w:t>
      </w:r>
      <w:r w:rsidR="00BB38D6" w:rsidRPr="00BB38D6">
        <w:t> </w:t>
      </w:r>
      <w:r w:rsidRPr="00BB38D6">
        <w:t>July 2018.</w:t>
      </w:r>
    </w:p>
    <w:p w:rsidR="00803482" w:rsidRPr="00BB38D6" w:rsidRDefault="00803482" w:rsidP="00BB38D6">
      <w:pPr>
        <w:pStyle w:val="Subitem"/>
      </w:pPr>
      <w:r w:rsidRPr="00BB38D6">
        <w:t>(2)</w:t>
      </w:r>
      <w:r w:rsidRPr="00BB38D6">
        <w:tab/>
        <w:t>The amendment made by item</w:t>
      </w:r>
      <w:r w:rsidR="00BB38D6" w:rsidRPr="00BB38D6">
        <w:t> </w:t>
      </w:r>
      <w:r w:rsidRPr="00BB38D6">
        <w:t>2 of this Part applies in relation to investments made on or after 1</w:t>
      </w:r>
      <w:r w:rsidR="00BB38D6" w:rsidRPr="00BB38D6">
        <w:t> </w:t>
      </w:r>
      <w:r w:rsidRPr="00BB38D6">
        <w:t>July 2018.</w:t>
      </w:r>
    </w:p>
    <w:p w:rsidR="00803482" w:rsidRPr="00BB38D6" w:rsidRDefault="00803482" w:rsidP="00BB38D6">
      <w:pPr>
        <w:pStyle w:val="ActHead7"/>
        <w:pageBreakBefore/>
      </w:pPr>
      <w:bookmarkStart w:id="15" w:name="f_Check_Lines_above"/>
      <w:bookmarkStart w:id="16" w:name="_Toc34030890"/>
      <w:bookmarkEnd w:id="15"/>
      <w:r w:rsidRPr="00BB38D6">
        <w:rPr>
          <w:rStyle w:val="CharAmPartNo"/>
        </w:rPr>
        <w:t>Part</w:t>
      </w:r>
      <w:r w:rsidR="00BB38D6" w:rsidRPr="00BB38D6">
        <w:rPr>
          <w:rStyle w:val="CharAmPartNo"/>
        </w:rPr>
        <w:t> </w:t>
      </w:r>
      <w:r w:rsidRPr="00BB38D6">
        <w:rPr>
          <w:rStyle w:val="CharAmPartNo"/>
        </w:rPr>
        <w:t>2</w:t>
      </w:r>
      <w:r w:rsidRPr="00BB38D6">
        <w:t>—</w:t>
      </w:r>
      <w:r w:rsidRPr="00BB38D6">
        <w:rPr>
          <w:rStyle w:val="CharAmPartText"/>
        </w:rPr>
        <w:t>Early stage investor tax offsets</w:t>
      </w:r>
      <w:bookmarkEnd w:id="16"/>
    </w:p>
    <w:p w:rsidR="00803482" w:rsidRPr="00BB38D6" w:rsidRDefault="00803482" w:rsidP="00BB38D6">
      <w:pPr>
        <w:pStyle w:val="ActHead9"/>
        <w:rPr>
          <w:i w:val="0"/>
        </w:rPr>
      </w:pPr>
      <w:bookmarkStart w:id="17" w:name="_Toc34030891"/>
      <w:r w:rsidRPr="00BB38D6">
        <w:t>Income Tax Assessment Act 1997</w:t>
      </w:r>
      <w:bookmarkEnd w:id="17"/>
    </w:p>
    <w:p w:rsidR="00803482" w:rsidRPr="00BB38D6" w:rsidRDefault="00803482" w:rsidP="00BB38D6">
      <w:pPr>
        <w:pStyle w:val="ItemHead"/>
        <w:rPr>
          <w:rFonts w:eastAsiaTheme="minorHAnsi"/>
          <w:szCs w:val="24"/>
        </w:rPr>
      </w:pPr>
      <w:r w:rsidRPr="00BB38D6">
        <w:rPr>
          <w:rFonts w:eastAsiaTheme="minorHAnsi"/>
        </w:rPr>
        <w:t>4  Subsection</w:t>
      </w:r>
      <w:r w:rsidR="00BB38D6" w:rsidRPr="00BB38D6">
        <w:rPr>
          <w:rFonts w:eastAsiaTheme="minorHAnsi"/>
        </w:rPr>
        <w:t> </w:t>
      </w:r>
      <w:r w:rsidRPr="00BB38D6">
        <w:rPr>
          <w:rFonts w:eastAsiaTheme="minorHAnsi"/>
        </w:rPr>
        <w:t>61</w:t>
      </w:r>
      <w:r w:rsidR="00C338C9">
        <w:rPr>
          <w:rFonts w:eastAsiaTheme="minorHAnsi"/>
        </w:rPr>
        <w:noBreakHyphen/>
      </w:r>
      <w:r w:rsidRPr="00BB38D6">
        <w:rPr>
          <w:rFonts w:eastAsiaTheme="minorHAnsi"/>
        </w:rPr>
        <w:t>770(3)</w:t>
      </w:r>
    </w:p>
    <w:p w:rsidR="00803482" w:rsidRPr="00BB38D6" w:rsidRDefault="00803482" w:rsidP="00BB38D6">
      <w:pPr>
        <w:pStyle w:val="Item"/>
        <w:rPr>
          <w:rFonts w:eastAsiaTheme="minorHAnsi"/>
          <w:szCs w:val="22"/>
        </w:rPr>
      </w:pPr>
      <w:r w:rsidRPr="00BB38D6">
        <w:rPr>
          <w:rFonts w:eastAsiaTheme="minorHAnsi"/>
          <w:szCs w:val="22"/>
        </w:rPr>
        <w:t>Repeal the subsection, substitute:</w:t>
      </w:r>
    </w:p>
    <w:p w:rsidR="00803482" w:rsidRPr="00BB38D6" w:rsidRDefault="00803482" w:rsidP="00BB38D6">
      <w:pPr>
        <w:pStyle w:val="subsection"/>
        <w:rPr>
          <w:rFonts w:eastAsiaTheme="minorHAnsi"/>
        </w:rPr>
      </w:pPr>
      <w:r w:rsidRPr="00BB38D6">
        <w:rPr>
          <w:rFonts w:eastAsiaTheme="minorHAnsi"/>
        </w:rPr>
        <w:tab/>
        <w:t>(3)</w:t>
      </w:r>
      <w:r w:rsidRPr="00BB38D6">
        <w:rPr>
          <w:rFonts w:eastAsiaTheme="minorHAnsi"/>
        </w:rPr>
        <w:tab/>
        <w:t xml:space="preserve">If, under the terms and conditions under which the trust or partnership operates, the </w:t>
      </w:r>
      <w:r w:rsidR="00BB38D6" w:rsidRPr="00BB38D6">
        <w:rPr>
          <w:rFonts w:eastAsiaTheme="minorHAnsi"/>
          <w:position w:val="6"/>
          <w:sz w:val="16"/>
        </w:rPr>
        <w:t>*</w:t>
      </w:r>
      <w:r w:rsidRPr="00BB38D6">
        <w:rPr>
          <w:rFonts w:eastAsiaTheme="minorHAnsi"/>
        </w:rPr>
        <w:t xml:space="preserve">member would be entitled to a fixed proportion of any </w:t>
      </w:r>
      <w:r w:rsidR="00BB38D6" w:rsidRPr="00BB38D6">
        <w:rPr>
          <w:rFonts w:eastAsiaTheme="minorHAnsi"/>
          <w:position w:val="6"/>
          <w:sz w:val="16"/>
        </w:rPr>
        <w:t>*</w:t>
      </w:r>
      <w:r w:rsidRPr="00BB38D6">
        <w:rPr>
          <w:rFonts w:eastAsiaTheme="minorHAnsi"/>
        </w:rPr>
        <w:t xml:space="preserve">capital gain from a </w:t>
      </w:r>
      <w:r w:rsidR="00BB38D6" w:rsidRPr="00BB38D6">
        <w:rPr>
          <w:rFonts w:eastAsiaTheme="minorHAnsi"/>
          <w:position w:val="6"/>
          <w:sz w:val="16"/>
        </w:rPr>
        <w:t>*</w:t>
      </w:r>
      <w:r w:rsidRPr="00BB38D6">
        <w:rPr>
          <w:rFonts w:eastAsiaTheme="minorHAnsi"/>
        </w:rPr>
        <w:t>disposal:</w:t>
      </w:r>
    </w:p>
    <w:p w:rsidR="00803482" w:rsidRPr="00BB38D6" w:rsidRDefault="00803482" w:rsidP="00BB38D6">
      <w:pPr>
        <w:pStyle w:val="paragraph"/>
        <w:rPr>
          <w:rFonts w:eastAsiaTheme="minorHAnsi"/>
          <w:szCs w:val="22"/>
        </w:rPr>
      </w:pPr>
      <w:r w:rsidRPr="00BB38D6">
        <w:rPr>
          <w:rFonts w:eastAsiaTheme="minorHAnsi"/>
        </w:rPr>
        <w:tab/>
        <w:t>(a)</w:t>
      </w:r>
      <w:r w:rsidRPr="00BB38D6">
        <w:rPr>
          <w:rFonts w:eastAsiaTheme="minorHAnsi"/>
        </w:rPr>
        <w:tab/>
      </w:r>
      <w:r w:rsidRPr="00BB38D6">
        <w:rPr>
          <w:rFonts w:eastAsiaTheme="minorHAnsi"/>
          <w:szCs w:val="22"/>
        </w:rPr>
        <w:t>relating to the trust or partnership; and</w:t>
      </w:r>
    </w:p>
    <w:p w:rsidR="00803482" w:rsidRPr="00BB38D6" w:rsidRDefault="00803482" w:rsidP="00BB38D6">
      <w:pPr>
        <w:pStyle w:val="paragraph"/>
        <w:rPr>
          <w:rFonts w:eastAsiaTheme="minorHAnsi"/>
          <w:szCs w:val="22"/>
        </w:rPr>
      </w:pPr>
      <w:r w:rsidRPr="00BB38D6">
        <w:rPr>
          <w:rFonts w:eastAsiaTheme="minorHAnsi"/>
          <w:szCs w:val="22"/>
        </w:rPr>
        <w:tab/>
        <w:t>(b)</w:t>
      </w:r>
      <w:r w:rsidRPr="00BB38D6">
        <w:rPr>
          <w:rFonts w:eastAsiaTheme="minorHAnsi"/>
          <w:szCs w:val="22"/>
        </w:rPr>
        <w:tab/>
        <w:t>of investments made as a result of the contributions that gave rise to the notional tax offset; and</w:t>
      </w:r>
    </w:p>
    <w:p w:rsidR="00803482" w:rsidRPr="00BB38D6" w:rsidRDefault="00803482" w:rsidP="00BB38D6">
      <w:pPr>
        <w:pStyle w:val="paragraph"/>
        <w:rPr>
          <w:rFonts w:eastAsiaTheme="minorHAnsi"/>
        </w:rPr>
      </w:pPr>
      <w:r w:rsidRPr="00BB38D6">
        <w:rPr>
          <w:rFonts w:eastAsiaTheme="minorHAnsi"/>
          <w:szCs w:val="22"/>
        </w:rPr>
        <w:tab/>
        <w:t>(c)</w:t>
      </w:r>
      <w:r w:rsidRPr="00BB38D6">
        <w:rPr>
          <w:rFonts w:eastAsiaTheme="minorHAnsi"/>
          <w:szCs w:val="22"/>
        </w:rPr>
        <w:tab/>
        <w:t>happening at the end of the income year to which the notional tax offset relates;</w:t>
      </w:r>
    </w:p>
    <w:p w:rsidR="00803482" w:rsidRPr="00BB38D6" w:rsidRDefault="00803482" w:rsidP="00BB38D6">
      <w:pPr>
        <w:pStyle w:val="subsection2"/>
        <w:rPr>
          <w:rFonts w:eastAsiaTheme="minorHAnsi"/>
        </w:rPr>
      </w:pPr>
      <w:r w:rsidRPr="00BB38D6">
        <w:rPr>
          <w:rFonts w:eastAsiaTheme="minorHAnsi"/>
        </w:rPr>
        <w:t xml:space="preserve">the percentage determined under </w:t>
      </w:r>
      <w:r w:rsidR="00BB38D6" w:rsidRPr="00BB38D6">
        <w:rPr>
          <w:rFonts w:eastAsiaTheme="minorHAnsi"/>
        </w:rPr>
        <w:t>subsection (</w:t>
      </w:r>
      <w:r w:rsidRPr="00BB38D6">
        <w:rPr>
          <w:rFonts w:eastAsiaTheme="minorHAnsi"/>
        </w:rPr>
        <w:t>2) must be equivalent to that fixed proportion, and a determination of any other percentage has no effect.</w:t>
      </w:r>
    </w:p>
    <w:p w:rsidR="00803482" w:rsidRPr="00BB38D6" w:rsidRDefault="00803482" w:rsidP="00BB38D6">
      <w:pPr>
        <w:pStyle w:val="ItemHead"/>
      </w:pPr>
      <w:r w:rsidRPr="00BB38D6">
        <w:t>5  After subparagraph</w:t>
      </w:r>
      <w:r w:rsidR="00BB38D6" w:rsidRPr="00BB38D6">
        <w:t> </w:t>
      </w:r>
      <w:r w:rsidRPr="00BB38D6">
        <w:t>360</w:t>
      </w:r>
      <w:r w:rsidR="00C338C9">
        <w:noBreakHyphen/>
      </w:r>
      <w:r w:rsidRPr="00BB38D6">
        <w:t>15(1)(a)(</w:t>
      </w:r>
      <w:proofErr w:type="spellStart"/>
      <w:r w:rsidRPr="00BB38D6">
        <w:t>i</w:t>
      </w:r>
      <w:proofErr w:type="spellEnd"/>
      <w:r w:rsidRPr="00BB38D6">
        <w:t>)</w:t>
      </w:r>
    </w:p>
    <w:p w:rsidR="00803482" w:rsidRPr="00BB38D6" w:rsidRDefault="00803482" w:rsidP="00BB38D6">
      <w:pPr>
        <w:pStyle w:val="Item"/>
      </w:pPr>
      <w:r w:rsidRPr="00BB38D6">
        <w:t>Insert:</w:t>
      </w:r>
    </w:p>
    <w:p w:rsidR="00803482" w:rsidRPr="00BB38D6" w:rsidRDefault="00803482" w:rsidP="00BB38D6">
      <w:pPr>
        <w:pStyle w:val="paragraphsub"/>
      </w:pPr>
      <w:r w:rsidRPr="00BB38D6">
        <w:tab/>
        <w:t>(</w:t>
      </w:r>
      <w:proofErr w:type="spellStart"/>
      <w:r w:rsidRPr="00BB38D6">
        <w:t>ia</w:t>
      </w:r>
      <w:proofErr w:type="spellEnd"/>
      <w:r w:rsidRPr="00BB38D6">
        <w:t>)</w:t>
      </w:r>
      <w:r w:rsidRPr="00BB38D6">
        <w:tab/>
        <w:t xml:space="preserve">an </w:t>
      </w:r>
      <w:r w:rsidR="00BB38D6" w:rsidRPr="00BB38D6">
        <w:rPr>
          <w:position w:val="6"/>
          <w:sz w:val="16"/>
        </w:rPr>
        <w:t>*</w:t>
      </w:r>
      <w:proofErr w:type="spellStart"/>
      <w:r w:rsidRPr="00BB38D6">
        <w:t>ESVCLP</w:t>
      </w:r>
      <w:proofErr w:type="spellEnd"/>
      <w:r w:rsidRPr="00BB38D6">
        <w:t>;</w:t>
      </w:r>
    </w:p>
    <w:p w:rsidR="00803482" w:rsidRPr="00BB38D6" w:rsidRDefault="00803482" w:rsidP="00BB38D6">
      <w:pPr>
        <w:pStyle w:val="ItemHead"/>
      </w:pPr>
      <w:r w:rsidRPr="00BB38D6">
        <w:t>6  Paragraph 360</w:t>
      </w:r>
      <w:r w:rsidR="00C338C9">
        <w:noBreakHyphen/>
      </w:r>
      <w:r w:rsidRPr="00BB38D6">
        <w:t>15(1)(f)</w:t>
      </w:r>
    </w:p>
    <w:p w:rsidR="00803482" w:rsidRPr="00BB38D6" w:rsidRDefault="00803482" w:rsidP="00BB38D6">
      <w:pPr>
        <w:pStyle w:val="Item"/>
      </w:pPr>
      <w:r w:rsidRPr="00BB38D6">
        <w:t>Repeal the paragraph, substitute:</w:t>
      </w:r>
    </w:p>
    <w:p w:rsidR="00803482" w:rsidRPr="00BB38D6" w:rsidRDefault="00803482" w:rsidP="00BB38D6">
      <w:pPr>
        <w:pStyle w:val="paragraph"/>
      </w:pPr>
      <w:r w:rsidRPr="00BB38D6">
        <w:tab/>
        <w:t>(f)</w:t>
      </w:r>
      <w:r w:rsidRPr="00BB38D6">
        <w:tab/>
        <w:t xml:space="preserve">immediately after the issue of those shares, you do not hold equity interests in the company, or in an entity </w:t>
      </w:r>
      <w:r w:rsidR="00BB38D6" w:rsidRPr="00BB38D6">
        <w:rPr>
          <w:position w:val="6"/>
          <w:sz w:val="16"/>
        </w:rPr>
        <w:t>*</w:t>
      </w:r>
      <w:r w:rsidRPr="00BB38D6">
        <w:t>connected with the company, that carry the right to:</w:t>
      </w:r>
    </w:p>
    <w:p w:rsidR="00803482" w:rsidRPr="00BB38D6" w:rsidRDefault="00803482" w:rsidP="00BB38D6">
      <w:pPr>
        <w:pStyle w:val="paragraphsub"/>
      </w:pPr>
      <w:r w:rsidRPr="00BB38D6">
        <w:tab/>
        <w:t>(</w:t>
      </w:r>
      <w:proofErr w:type="spellStart"/>
      <w:r w:rsidRPr="00BB38D6">
        <w:t>i</w:t>
      </w:r>
      <w:proofErr w:type="spellEnd"/>
      <w:r w:rsidRPr="00BB38D6">
        <w:t>)</w:t>
      </w:r>
      <w:r w:rsidRPr="00BB38D6">
        <w:tab/>
        <w:t>receive more than 30% of any distribution of income by the company or the entity; or</w:t>
      </w:r>
    </w:p>
    <w:p w:rsidR="00803482" w:rsidRPr="00BB38D6" w:rsidRDefault="00803482" w:rsidP="00BB38D6">
      <w:pPr>
        <w:pStyle w:val="paragraphsub"/>
      </w:pPr>
      <w:r w:rsidRPr="00BB38D6">
        <w:tab/>
        <w:t>(ii)</w:t>
      </w:r>
      <w:r w:rsidRPr="00BB38D6">
        <w:tab/>
        <w:t>receive more than 30% of any distribution of capital by the company or the entity; or</w:t>
      </w:r>
    </w:p>
    <w:p w:rsidR="00803482" w:rsidRPr="00BB38D6" w:rsidRDefault="00803482" w:rsidP="00BB38D6">
      <w:pPr>
        <w:pStyle w:val="paragraphsub"/>
      </w:pPr>
      <w:r w:rsidRPr="00BB38D6">
        <w:tab/>
        <w:t>(iii)</w:t>
      </w:r>
      <w:r w:rsidRPr="00BB38D6">
        <w:tab/>
        <w:t>exercise, or control the exercise of, more than 30% of the total voting power in the company or the entity.</w:t>
      </w:r>
    </w:p>
    <w:p w:rsidR="00803482" w:rsidRPr="00BB38D6" w:rsidRDefault="00803482" w:rsidP="00BB38D6">
      <w:pPr>
        <w:pStyle w:val="ItemHead"/>
      </w:pPr>
      <w:r w:rsidRPr="00BB38D6">
        <w:t>7  Subsection</w:t>
      </w:r>
      <w:r w:rsidR="00BB38D6" w:rsidRPr="00BB38D6">
        <w:t> </w:t>
      </w:r>
      <w:r w:rsidRPr="00BB38D6">
        <w:t>360</w:t>
      </w:r>
      <w:r w:rsidR="00C338C9">
        <w:noBreakHyphen/>
      </w:r>
      <w:r w:rsidRPr="00BB38D6">
        <w:t>15(2)</w:t>
      </w:r>
    </w:p>
    <w:p w:rsidR="00803482" w:rsidRPr="00BB38D6" w:rsidRDefault="00803482" w:rsidP="00BB38D6">
      <w:pPr>
        <w:pStyle w:val="Item"/>
      </w:pPr>
      <w:r w:rsidRPr="00BB38D6">
        <w:t>Repeal the subsection, substitute:</w:t>
      </w:r>
    </w:p>
    <w:p w:rsidR="00803482" w:rsidRPr="00BB38D6" w:rsidRDefault="00803482" w:rsidP="00BB38D6">
      <w:pPr>
        <w:pStyle w:val="SubsectionHead"/>
      </w:pPr>
      <w:r w:rsidRPr="00BB38D6">
        <w:t>Members of trusts or partnerships</w:t>
      </w:r>
    </w:p>
    <w:p w:rsidR="00803482" w:rsidRPr="00BB38D6" w:rsidRDefault="00803482" w:rsidP="00BB38D6">
      <w:pPr>
        <w:pStyle w:val="subsection"/>
      </w:pPr>
      <w:r w:rsidRPr="00BB38D6">
        <w:tab/>
        <w:t>(2)</w:t>
      </w:r>
      <w:r w:rsidRPr="00BB38D6">
        <w:tab/>
        <w:t xml:space="preserve">A </w:t>
      </w:r>
      <w:r w:rsidR="00BB38D6" w:rsidRPr="00BB38D6">
        <w:rPr>
          <w:position w:val="6"/>
          <w:sz w:val="16"/>
        </w:rPr>
        <w:t>*</w:t>
      </w:r>
      <w:r w:rsidRPr="00BB38D6">
        <w:t xml:space="preserve">member of a trust or partnership (other than a partnership that is an </w:t>
      </w:r>
      <w:r w:rsidR="00BB38D6" w:rsidRPr="00BB38D6">
        <w:rPr>
          <w:position w:val="6"/>
          <w:sz w:val="16"/>
        </w:rPr>
        <w:t>*</w:t>
      </w:r>
      <w:r w:rsidRPr="00BB38D6">
        <w:t xml:space="preserve">ESVCLP) at the end of an income year is entitled to a </w:t>
      </w:r>
      <w:r w:rsidR="00BB38D6" w:rsidRPr="00BB38D6">
        <w:rPr>
          <w:position w:val="6"/>
          <w:sz w:val="16"/>
        </w:rPr>
        <w:t>*</w:t>
      </w:r>
      <w:r w:rsidRPr="00BB38D6">
        <w:t>tax offset for the income year if:</w:t>
      </w:r>
    </w:p>
    <w:p w:rsidR="00803482" w:rsidRPr="00BB38D6" w:rsidRDefault="00803482" w:rsidP="00BB38D6">
      <w:pPr>
        <w:pStyle w:val="paragraph"/>
      </w:pPr>
      <w:r w:rsidRPr="00BB38D6">
        <w:tab/>
        <w:t>(a)</w:t>
      </w:r>
      <w:r w:rsidRPr="00BB38D6">
        <w:tab/>
        <w:t>the trust or partnership would be entitled to a tax offset, under this section, for the income year if the trust or partnership were an individual; and</w:t>
      </w:r>
    </w:p>
    <w:p w:rsidR="00803482" w:rsidRPr="00BB38D6" w:rsidRDefault="00803482" w:rsidP="00BB38D6">
      <w:pPr>
        <w:pStyle w:val="paragraph"/>
      </w:pPr>
      <w:r w:rsidRPr="00BB38D6">
        <w:tab/>
        <w:t>(b)</w:t>
      </w:r>
      <w:r w:rsidRPr="00BB38D6">
        <w:tab/>
        <w:t xml:space="preserve">the member is not a </w:t>
      </w:r>
      <w:r w:rsidR="00BB38D6" w:rsidRPr="00BB38D6">
        <w:rPr>
          <w:position w:val="6"/>
          <w:sz w:val="16"/>
        </w:rPr>
        <w:t>*</w:t>
      </w:r>
      <w:r w:rsidRPr="00BB38D6">
        <w:t xml:space="preserve">widely held company or a </w:t>
      </w:r>
      <w:r w:rsidR="00BB38D6" w:rsidRPr="00BB38D6">
        <w:rPr>
          <w:position w:val="6"/>
          <w:sz w:val="16"/>
        </w:rPr>
        <w:t>*</w:t>
      </w:r>
      <w:r w:rsidRPr="00BB38D6">
        <w:t>100% subsidiary of a widely held company.</w:t>
      </w:r>
    </w:p>
    <w:p w:rsidR="00803482" w:rsidRPr="00BB38D6" w:rsidRDefault="00803482" w:rsidP="00BB38D6">
      <w:pPr>
        <w:pStyle w:val="ItemHead"/>
      </w:pPr>
      <w:r w:rsidRPr="00BB38D6">
        <w:t>8  Subsection</w:t>
      </w:r>
      <w:r w:rsidR="00BB38D6" w:rsidRPr="00BB38D6">
        <w:t> </w:t>
      </w:r>
      <w:r w:rsidRPr="00BB38D6">
        <w:t>360</w:t>
      </w:r>
      <w:r w:rsidR="00C338C9">
        <w:noBreakHyphen/>
      </w:r>
      <w:r w:rsidRPr="00BB38D6">
        <w:t>25(1)</w:t>
      </w:r>
    </w:p>
    <w:p w:rsidR="00803482" w:rsidRPr="00BB38D6" w:rsidRDefault="00803482" w:rsidP="00BB38D6">
      <w:pPr>
        <w:pStyle w:val="Item"/>
      </w:pPr>
      <w:r w:rsidRPr="00BB38D6">
        <w:t>Repeal the subsection, substitute:</w:t>
      </w:r>
    </w:p>
    <w:p w:rsidR="00803482" w:rsidRPr="00BB38D6" w:rsidRDefault="00803482" w:rsidP="00BB38D6">
      <w:pPr>
        <w:pStyle w:val="subsection"/>
      </w:pPr>
      <w:r w:rsidRPr="00BB38D6">
        <w:tab/>
        <w:t>(1)</w:t>
      </w:r>
      <w:r w:rsidRPr="00BB38D6">
        <w:tab/>
        <w:t>If subsection</w:t>
      </w:r>
      <w:r w:rsidR="00BB38D6" w:rsidRPr="00BB38D6">
        <w:t> </w:t>
      </w:r>
      <w:r w:rsidRPr="00BB38D6">
        <w:t>360</w:t>
      </w:r>
      <w:r w:rsidR="00C338C9">
        <w:noBreakHyphen/>
      </w:r>
      <w:r w:rsidRPr="00BB38D6">
        <w:t xml:space="preserve">15(1) applies, the amount of your </w:t>
      </w:r>
      <w:r w:rsidR="00BB38D6" w:rsidRPr="00BB38D6">
        <w:rPr>
          <w:position w:val="6"/>
          <w:sz w:val="16"/>
        </w:rPr>
        <w:t>*</w:t>
      </w:r>
      <w:r w:rsidRPr="00BB38D6">
        <w:t>tax offset is 20% of the sum of the following:</w:t>
      </w:r>
    </w:p>
    <w:p w:rsidR="00803482" w:rsidRPr="00BB38D6" w:rsidRDefault="00803482" w:rsidP="00BB38D6">
      <w:pPr>
        <w:pStyle w:val="paragraph"/>
      </w:pPr>
      <w:r w:rsidRPr="00BB38D6">
        <w:tab/>
        <w:t>(a)</w:t>
      </w:r>
      <w:r w:rsidRPr="00BB38D6">
        <w:tab/>
        <w:t>an amount equal to any money received, or entitled to be received, by the company referred to in paragraph</w:t>
      </w:r>
      <w:r w:rsidR="00BB38D6" w:rsidRPr="00BB38D6">
        <w:t> </w:t>
      </w:r>
      <w:r w:rsidRPr="00BB38D6">
        <w:t>360</w:t>
      </w:r>
      <w:r w:rsidR="00C338C9">
        <w:noBreakHyphen/>
      </w:r>
      <w:r w:rsidRPr="00BB38D6">
        <w:t xml:space="preserve">15(1)(b) for the issue to you of the </w:t>
      </w:r>
      <w:r w:rsidR="00BB38D6" w:rsidRPr="00BB38D6">
        <w:rPr>
          <w:position w:val="6"/>
          <w:sz w:val="16"/>
        </w:rPr>
        <w:t>*</w:t>
      </w:r>
      <w:r w:rsidRPr="00BB38D6">
        <w:t>shares as described in that paragraph;</w:t>
      </w:r>
    </w:p>
    <w:p w:rsidR="00803482" w:rsidRPr="00BB38D6" w:rsidRDefault="00803482" w:rsidP="00BB38D6">
      <w:pPr>
        <w:pStyle w:val="paragraph"/>
      </w:pPr>
      <w:r w:rsidRPr="00BB38D6">
        <w:tab/>
        <w:t xml:space="preserve">(b) </w:t>
      </w:r>
      <w:r w:rsidRPr="00BB38D6">
        <w:tab/>
        <w:t xml:space="preserve">an amount equal to the </w:t>
      </w:r>
      <w:r w:rsidR="00BB38D6" w:rsidRPr="00BB38D6">
        <w:rPr>
          <w:position w:val="6"/>
          <w:sz w:val="16"/>
        </w:rPr>
        <w:t>*</w:t>
      </w:r>
      <w:r w:rsidRPr="00BB38D6">
        <w:t xml:space="preserve">market value of any </w:t>
      </w:r>
      <w:r w:rsidR="00BB38D6" w:rsidRPr="00BB38D6">
        <w:rPr>
          <w:position w:val="6"/>
          <w:sz w:val="16"/>
        </w:rPr>
        <w:t>*</w:t>
      </w:r>
      <w:r w:rsidRPr="00BB38D6">
        <w:t>non</w:t>
      </w:r>
      <w:r w:rsidR="00C338C9">
        <w:noBreakHyphen/>
      </w:r>
      <w:r w:rsidRPr="00BB38D6">
        <w:t>cash benefit received, or entitled to be received, by the company referred to in paragraph</w:t>
      </w:r>
      <w:r w:rsidR="00BB38D6" w:rsidRPr="00BB38D6">
        <w:t> </w:t>
      </w:r>
      <w:r w:rsidRPr="00BB38D6">
        <w:t>360</w:t>
      </w:r>
      <w:r w:rsidR="00C338C9">
        <w:noBreakHyphen/>
      </w:r>
      <w:r w:rsidRPr="00BB38D6">
        <w:t>15(1)(b) for the issue to you of the shares as described in that paragraph, as at the time the shares were issued to you.</w:t>
      </w:r>
    </w:p>
    <w:p w:rsidR="00803482" w:rsidRPr="00BB38D6" w:rsidRDefault="00803482" w:rsidP="00BB38D6">
      <w:pPr>
        <w:pStyle w:val="ItemHead"/>
      </w:pPr>
      <w:r w:rsidRPr="00BB38D6">
        <w:t>9  After subsection</w:t>
      </w:r>
      <w:r w:rsidR="00BB38D6" w:rsidRPr="00BB38D6">
        <w:t> </w:t>
      </w:r>
      <w:r w:rsidRPr="00BB38D6">
        <w:t>360</w:t>
      </w:r>
      <w:r w:rsidR="00C338C9">
        <w:noBreakHyphen/>
      </w:r>
      <w:r w:rsidRPr="00BB38D6">
        <w:t>30(1)</w:t>
      </w:r>
    </w:p>
    <w:p w:rsidR="00803482" w:rsidRPr="00BB38D6" w:rsidRDefault="00803482" w:rsidP="00BB38D6">
      <w:pPr>
        <w:pStyle w:val="Item"/>
      </w:pPr>
      <w:r w:rsidRPr="00BB38D6">
        <w:t>Insert:</w:t>
      </w:r>
    </w:p>
    <w:p w:rsidR="00803482" w:rsidRPr="00BB38D6" w:rsidRDefault="00803482" w:rsidP="00BB38D6">
      <w:pPr>
        <w:pStyle w:val="subsection"/>
      </w:pPr>
      <w:r w:rsidRPr="00BB38D6">
        <w:tab/>
        <w:t>(1A)</w:t>
      </w:r>
      <w:r w:rsidRPr="00BB38D6">
        <w:tab/>
        <w:t xml:space="preserve">However, reduce the amount worked out under </w:t>
      </w:r>
      <w:r w:rsidR="00BB38D6" w:rsidRPr="00BB38D6">
        <w:t>subsection (</w:t>
      </w:r>
      <w:r w:rsidRPr="00BB38D6">
        <w:t>1) to the extent necessary to ensure that the sum of the following does not exceed $200,000:</w:t>
      </w:r>
    </w:p>
    <w:p w:rsidR="00803482" w:rsidRPr="00BB38D6" w:rsidRDefault="00803482" w:rsidP="00BB38D6">
      <w:pPr>
        <w:pStyle w:val="paragraph"/>
      </w:pPr>
      <w:r w:rsidRPr="00BB38D6">
        <w:tab/>
        <w:t>(a)</w:t>
      </w:r>
      <w:r w:rsidRPr="00BB38D6">
        <w:tab/>
        <w:t xml:space="preserve">the sum of the </w:t>
      </w:r>
      <w:r w:rsidR="00BB38D6" w:rsidRPr="00BB38D6">
        <w:rPr>
          <w:position w:val="6"/>
          <w:sz w:val="16"/>
        </w:rPr>
        <w:t>*</w:t>
      </w:r>
      <w:r w:rsidRPr="00BB38D6">
        <w:t xml:space="preserve">tax offsets under this Subdivision for the income year for which the member and the member’s </w:t>
      </w:r>
      <w:r w:rsidR="00BB38D6" w:rsidRPr="00BB38D6">
        <w:rPr>
          <w:position w:val="6"/>
          <w:sz w:val="16"/>
        </w:rPr>
        <w:t>*</w:t>
      </w:r>
      <w:r w:rsidRPr="00BB38D6">
        <w:t>affiliates (if any) are entitled;</w:t>
      </w:r>
    </w:p>
    <w:p w:rsidR="00803482" w:rsidRPr="00BB38D6" w:rsidRDefault="00803482" w:rsidP="00BB38D6">
      <w:pPr>
        <w:pStyle w:val="paragraph"/>
      </w:pPr>
      <w:r w:rsidRPr="00BB38D6">
        <w:tab/>
        <w:t>(b)</w:t>
      </w:r>
      <w:r w:rsidRPr="00BB38D6">
        <w:tab/>
        <w:t>the sum of the tax offsets under this Subdivision that the member and the member’s affiliates (if any) carry forward to the income year.</w:t>
      </w:r>
    </w:p>
    <w:p w:rsidR="00803482" w:rsidRPr="00BB38D6" w:rsidRDefault="00803482" w:rsidP="00BB38D6">
      <w:pPr>
        <w:pStyle w:val="ItemHead"/>
      </w:pPr>
      <w:r w:rsidRPr="00BB38D6">
        <w:t>10  Subsection</w:t>
      </w:r>
      <w:r w:rsidR="00BB38D6" w:rsidRPr="00BB38D6">
        <w:t> </w:t>
      </w:r>
      <w:r w:rsidRPr="00BB38D6">
        <w:t>360</w:t>
      </w:r>
      <w:r w:rsidR="00C338C9">
        <w:noBreakHyphen/>
      </w:r>
      <w:r w:rsidRPr="00BB38D6">
        <w:t>30(3)</w:t>
      </w:r>
    </w:p>
    <w:p w:rsidR="00803482" w:rsidRPr="00BB38D6" w:rsidRDefault="00803482" w:rsidP="00BB38D6">
      <w:pPr>
        <w:pStyle w:val="Item"/>
      </w:pPr>
      <w:r w:rsidRPr="00BB38D6">
        <w:t>Repeal the subsection, substitute:</w:t>
      </w:r>
    </w:p>
    <w:p w:rsidR="00803482" w:rsidRPr="00BB38D6" w:rsidRDefault="00803482" w:rsidP="00BB38D6">
      <w:pPr>
        <w:pStyle w:val="subsection"/>
      </w:pPr>
      <w:r w:rsidRPr="00BB38D6">
        <w:tab/>
        <w:t>(3)</w:t>
      </w:r>
      <w:r w:rsidRPr="00BB38D6">
        <w:tab/>
        <w:t>If, u</w:t>
      </w:r>
      <w:r w:rsidRPr="00BB38D6">
        <w:rPr>
          <w:lang w:eastAsia="en-US"/>
        </w:rPr>
        <w:t xml:space="preserve">nder the terms and conditions under which the trust or partnership operates, the </w:t>
      </w:r>
      <w:r w:rsidR="00BB38D6" w:rsidRPr="00BB38D6">
        <w:rPr>
          <w:position w:val="6"/>
          <w:sz w:val="16"/>
          <w:lang w:eastAsia="en-US"/>
        </w:rPr>
        <w:t>*</w:t>
      </w:r>
      <w:r w:rsidRPr="00BB38D6">
        <w:rPr>
          <w:lang w:eastAsia="en-US"/>
        </w:rPr>
        <w:t>member would be entitled</w:t>
      </w:r>
      <w:r w:rsidRPr="00BB38D6">
        <w:t xml:space="preserve"> to a fixed proportion of any </w:t>
      </w:r>
      <w:r w:rsidR="00BB38D6" w:rsidRPr="00BB38D6">
        <w:rPr>
          <w:position w:val="6"/>
          <w:sz w:val="16"/>
        </w:rPr>
        <w:t>*</w:t>
      </w:r>
      <w:r w:rsidRPr="00BB38D6">
        <w:t xml:space="preserve">capital gain from a </w:t>
      </w:r>
      <w:r w:rsidR="00BB38D6" w:rsidRPr="00BB38D6">
        <w:rPr>
          <w:position w:val="6"/>
          <w:sz w:val="16"/>
        </w:rPr>
        <w:t>*</w:t>
      </w:r>
      <w:r w:rsidRPr="00BB38D6">
        <w:t>disposal:</w:t>
      </w:r>
    </w:p>
    <w:p w:rsidR="00803482" w:rsidRPr="00BB38D6" w:rsidRDefault="00803482" w:rsidP="00BB38D6">
      <w:pPr>
        <w:pStyle w:val="paragraph"/>
        <w:rPr>
          <w:rFonts w:eastAsiaTheme="minorHAnsi"/>
        </w:rPr>
      </w:pPr>
      <w:r w:rsidRPr="00BB38D6">
        <w:tab/>
        <w:t>(a)</w:t>
      </w:r>
      <w:r w:rsidRPr="00BB38D6">
        <w:tab/>
        <w:t>re</w:t>
      </w:r>
      <w:r w:rsidRPr="00BB38D6">
        <w:rPr>
          <w:rFonts w:eastAsiaTheme="minorHAnsi"/>
        </w:rPr>
        <w:t>lating to the trust or partnership; and</w:t>
      </w:r>
    </w:p>
    <w:p w:rsidR="00803482" w:rsidRPr="00BB38D6" w:rsidRDefault="00803482" w:rsidP="00BB38D6">
      <w:pPr>
        <w:pStyle w:val="paragraph"/>
        <w:rPr>
          <w:rFonts w:eastAsiaTheme="minorHAnsi"/>
        </w:rPr>
      </w:pPr>
      <w:r w:rsidRPr="00BB38D6">
        <w:rPr>
          <w:rFonts w:eastAsiaTheme="minorHAnsi"/>
        </w:rPr>
        <w:tab/>
        <w:t>(b)</w:t>
      </w:r>
      <w:r w:rsidRPr="00BB38D6">
        <w:rPr>
          <w:rFonts w:eastAsiaTheme="minorHAnsi"/>
        </w:rPr>
        <w:tab/>
        <w:t xml:space="preserve">of the </w:t>
      </w:r>
      <w:r w:rsidR="00BB38D6" w:rsidRPr="00BB38D6">
        <w:rPr>
          <w:rFonts w:eastAsiaTheme="minorHAnsi"/>
          <w:position w:val="6"/>
          <w:sz w:val="16"/>
        </w:rPr>
        <w:t>*</w:t>
      </w:r>
      <w:r w:rsidRPr="00BB38D6">
        <w:rPr>
          <w:rFonts w:eastAsiaTheme="minorHAnsi"/>
        </w:rPr>
        <w:t>shares that gave rise to the notional tax offset; and</w:t>
      </w:r>
    </w:p>
    <w:p w:rsidR="00803482" w:rsidRPr="00BB38D6" w:rsidRDefault="00803482" w:rsidP="00BB38D6">
      <w:pPr>
        <w:pStyle w:val="paragraph"/>
        <w:rPr>
          <w:rFonts w:eastAsiaTheme="minorHAnsi"/>
        </w:rPr>
      </w:pPr>
      <w:r w:rsidRPr="00BB38D6">
        <w:rPr>
          <w:rFonts w:eastAsiaTheme="minorHAnsi"/>
        </w:rPr>
        <w:tab/>
        <w:t>(c)</w:t>
      </w:r>
      <w:r w:rsidRPr="00BB38D6">
        <w:rPr>
          <w:rFonts w:eastAsiaTheme="minorHAnsi"/>
        </w:rPr>
        <w:tab/>
        <w:t>happening at the end of the income year to which the notional tax offset relates;</w:t>
      </w:r>
    </w:p>
    <w:p w:rsidR="00803482" w:rsidRPr="00BB38D6" w:rsidRDefault="00803482" w:rsidP="00BB38D6">
      <w:pPr>
        <w:pStyle w:val="subsection2"/>
        <w:rPr>
          <w:rFonts w:eastAsiaTheme="minorHAnsi"/>
        </w:rPr>
      </w:pPr>
      <w:r w:rsidRPr="00BB38D6">
        <w:rPr>
          <w:rFonts w:eastAsiaTheme="minorHAnsi"/>
        </w:rPr>
        <w:t xml:space="preserve">the percentage determined under </w:t>
      </w:r>
      <w:r w:rsidR="00BB38D6" w:rsidRPr="00BB38D6">
        <w:rPr>
          <w:rFonts w:eastAsiaTheme="minorHAnsi"/>
        </w:rPr>
        <w:t>subsection (</w:t>
      </w:r>
      <w:r w:rsidRPr="00BB38D6">
        <w:rPr>
          <w:rFonts w:eastAsiaTheme="minorHAnsi"/>
        </w:rPr>
        <w:t>2) must be equivalent to that fixed proportion, and a determination of any other percentage has no effect.</w:t>
      </w:r>
    </w:p>
    <w:p w:rsidR="00803482" w:rsidRPr="00BB38D6" w:rsidRDefault="00803482" w:rsidP="00BB38D6">
      <w:pPr>
        <w:pStyle w:val="ItemHead"/>
        <w:rPr>
          <w:rFonts w:eastAsiaTheme="minorHAnsi"/>
        </w:rPr>
      </w:pPr>
      <w:r w:rsidRPr="00BB38D6">
        <w:rPr>
          <w:rFonts w:eastAsiaTheme="minorHAnsi"/>
        </w:rPr>
        <w:t>11  Paragraph 360</w:t>
      </w:r>
      <w:r w:rsidR="00C338C9">
        <w:rPr>
          <w:rFonts w:eastAsiaTheme="minorHAnsi"/>
        </w:rPr>
        <w:noBreakHyphen/>
      </w:r>
      <w:r w:rsidRPr="00BB38D6">
        <w:rPr>
          <w:rFonts w:eastAsiaTheme="minorHAnsi"/>
        </w:rPr>
        <w:t>35(b)</w:t>
      </w:r>
    </w:p>
    <w:p w:rsidR="00803482" w:rsidRPr="00BB38D6" w:rsidRDefault="00803482" w:rsidP="00BB38D6">
      <w:pPr>
        <w:pStyle w:val="Item"/>
        <w:rPr>
          <w:rFonts w:eastAsiaTheme="minorHAnsi"/>
        </w:rPr>
      </w:pPr>
      <w:r w:rsidRPr="00BB38D6">
        <w:rPr>
          <w:rFonts w:eastAsiaTheme="minorHAnsi"/>
        </w:rPr>
        <w:t>Omit all the words after “the sum of”, substitute “the amounts worked out under section</w:t>
      </w:r>
      <w:r w:rsidR="00BB38D6" w:rsidRPr="00BB38D6">
        <w:rPr>
          <w:rFonts w:eastAsiaTheme="minorHAnsi"/>
        </w:rPr>
        <w:t> </w:t>
      </w:r>
      <w:r w:rsidRPr="00BB38D6">
        <w:rPr>
          <w:rFonts w:eastAsiaTheme="minorHAnsi"/>
        </w:rPr>
        <w:t>360</w:t>
      </w:r>
      <w:r w:rsidR="00C338C9">
        <w:rPr>
          <w:rFonts w:eastAsiaTheme="minorHAnsi"/>
        </w:rPr>
        <w:noBreakHyphen/>
      </w:r>
      <w:r w:rsidRPr="00BB38D6">
        <w:rPr>
          <w:rFonts w:eastAsiaTheme="minorHAnsi"/>
        </w:rPr>
        <w:t>30 (disregarding any reductions under subsection</w:t>
      </w:r>
      <w:r w:rsidR="00BB38D6" w:rsidRPr="00BB38D6">
        <w:rPr>
          <w:rFonts w:eastAsiaTheme="minorHAnsi"/>
        </w:rPr>
        <w:t> </w:t>
      </w:r>
      <w:r w:rsidRPr="00BB38D6">
        <w:rPr>
          <w:rFonts w:eastAsiaTheme="minorHAnsi"/>
        </w:rPr>
        <w:t>360</w:t>
      </w:r>
      <w:r w:rsidR="00C338C9">
        <w:rPr>
          <w:rFonts w:eastAsiaTheme="minorHAnsi"/>
        </w:rPr>
        <w:noBreakHyphen/>
      </w:r>
      <w:r w:rsidRPr="00BB38D6">
        <w:rPr>
          <w:rFonts w:eastAsiaTheme="minorHAnsi"/>
        </w:rPr>
        <w:t>30(1A)) for those tax offsets”.</w:t>
      </w:r>
    </w:p>
    <w:p w:rsidR="00803482" w:rsidRPr="00BB38D6" w:rsidRDefault="00803482" w:rsidP="00BB38D6">
      <w:pPr>
        <w:pStyle w:val="ItemHead"/>
      </w:pPr>
      <w:r w:rsidRPr="00BB38D6">
        <w:t>12  Subparagraph 360</w:t>
      </w:r>
      <w:r w:rsidR="00C338C9">
        <w:noBreakHyphen/>
      </w:r>
      <w:r w:rsidRPr="00BB38D6">
        <w:t>40(1)(a)(ii)</w:t>
      </w:r>
    </w:p>
    <w:p w:rsidR="00803482" w:rsidRPr="00BB38D6" w:rsidRDefault="00803482" w:rsidP="00BB38D6">
      <w:pPr>
        <w:pStyle w:val="Item"/>
      </w:pPr>
      <w:r w:rsidRPr="00BB38D6">
        <w:t>After “those income years”, insert “before the current year”.</w:t>
      </w:r>
    </w:p>
    <w:p w:rsidR="00803482" w:rsidRPr="00BB38D6" w:rsidRDefault="00803482" w:rsidP="00BB38D6">
      <w:pPr>
        <w:pStyle w:val="ItemHead"/>
      </w:pPr>
      <w:r w:rsidRPr="00BB38D6">
        <w:t>13  At the end of subsection</w:t>
      </w:r>
      <w:r w:rsidR="00BB38D6" w:rsidRPr="00BB38D6">
        <w:t> </w:t>
      </w:r>
      <w:r w:rsidRPr="00BB38D6">
        <w:t>360</w:t>
      </w:r>
      <w:r w:rsidR="00C338C9">
        <w:noBreakHyphen/>
      </w:r>
      <w:r w:rsidRPr="00BB38D6">
        <w:t>40(1)</w:t>
      </w:r>
    </w:p>
    <w:p w:rsidR="00803482" w:rsidRPr="00BB38D6" w:rsidRDefault="00803482" w:rsidP="00BB38D6">
      <w:pPr>
        <w:pStyle w:val="Item"/>
      </w:pPr>
      <w:r w:rsidRPr="00BB38D6">
        <w:t>Add:</w:t>
      </w:r>
    </w:p>
    <w:p w:rsidR="00803482" w:rsidRPr="00BB38D6" w:rsidRDefault="00803482" w:rsidP="00BB38D6">
      <w:pPr>
        <w:pStyle w:val="paragraph"/>
      </w:pPr>
      <w:r w:rsidRPr="00BB38D6">
        <w:tab/>
        <w:t>; and (f)</w:t>
      </w:r>
      <w:r w:rsidRPr="00BB38D6">
        <w:tab/>
        <w:t xml:space="preserve">at the test time, the company is not a foreign company (within the meaning of the </w:t>
      </w:r>
      <w:r w:rsidRPr="00BB38D6">
        <w:rPr>
          <w:i/>
        </w:rPr>
        <w:t>Corporations Act 2001</w:t>
      </w:r>
      <w:r w:rsidRPr="00BB38D6">
        <w:t>).</w:t>
      </w:r>
    </w:p>
    <w:p w:rsidR="00803482" w:rsidRPr="00BB38D6" w:rsidRDefault="00803482" w:rsidP="00BB38D6">
      <w:pPr>
        <w:pStyle w:val="notetext"/>
      </w:pPr>
      <w:r w:rsidRPr="00BB38D6">
        <w:t>Note:</w:t>
      </w:r>
      <w:r w:rsidRPr="00BB38D6">
        <w:tab/>
        <w:t xml:space="preserve">For the purposes of </w:t>
      </w:r>
      <w:r w:rsidR="00BB38D6" w:rsidRPr="00BB38D6">
        <w:t>paragraph (</w:t>
      </w:r>
      <w:r w:rsidRPr="00BB38D6">
        <w:t>e), one way a company can demonstrate something is by engaging the services of another entity.</w:t>
      </w:r>
    </w:p>
    <w:p w:rsidR="00803482" w:rsidRPr="00BB38D6" w:rsidRDefault="00803482" w:rsidP="00BB38D6">
      <w:pPr>
        <w:pStyle w:val="Transitional"/>
      </w:pPr>
      <w:r w:rsidRPr="00BB38D6">
        <w:t>14  Application of amendments</w:t>
      </w:r>
    </w:p>
    <w:p w:rsidR="00803482" w:rsidRPr="00BB38D6" w:rsidRDefault="00803482" w:rsidP="00BB38D6">
      <w:pPr>
        <w:pStyle w:val="Item"/>
      </w:pPr>
      <w:r w:rsidRPr="00BB38D6">
        <w:t>The amendments made by this Part apply in relation to income years commencing on or after 1</w:t>
      </w:r>
      <w:r w:rsidR="00BB38D6" w:rsidRPr="00BB38D6">
        <w:t> </w:t>
      </w:r>
      <w:r w:rsidRPr="00BB38D6">
        <w:t>July 2018.</w:t>
      </w:r>
    </w:p>
    <w:p w:rsidR="00803482" w:rsidRPr="00BB38D6" w:rsidRDefault="00803482" w:rsidP="00BB38D6">
      <w:pPr>
        <w:pStyle w:val="ActHead7"/>
        <w:pageBreakBefore/>
      </w:pPr>
      <w:bookmarkStart w:id="18" w:name="_Toc34030892"/>
      <w:r w:rsidRPr="00BB38D6">
        <w:rPr>
          <w:rStyle w:val="CharAmPartNo"/>
        </w:rPr>
        <w:t>Part</w:t>
      </w:r>
      <w:r w:rsidR="00BB38D6" w:rsidRPr="00BB38D6">
        <w:rPr>
          <w:rStyle w:val="CharAmPartNo"/>
        </w:rPr>
        <w:t> </w:t>
      </w:r>
      <w:r w:rsidRPr="00BB38D6">
        <w:rPr>
          <w:rStyle w:val="CharAmPartNo"/>
        </w:rPr>
        <w:t>3</w:t>
      </w:r>
      <w:r w:rsidRPr="00BB38D6">
        <w:t>—</w:t>
      </w:r>
      <w:r w:rsidRPr="00BB38D6">
        <w:rPr>
          <w:rStyle w:val="CharAmPartText"/>
        </w:rPr>
        <w:t>Managed investment trusts</w:t>
      </w:r>
      <w:bookmarkEnd w:id="18"/>
    </w:p>
    <w:p w:rsidR="00803482" w:rsidRPr="00BB38D6" w:rsidRDefault="00803482" w:rsidP="00BB38D6">
      <w:pPr>
        <w:pStyle w:val="ActHead9"/>
        <w:rPr>
          <w:i w:val="0"/>
        </w:rPr>
      </w:pPr>
      <w:bookmarkStart w:id="19" w:name="_Toc34030893"/>
      <w:r w:rsidRPr="00BB38D6">
        <w:t>Income Tax Assessment Act 1997</w:t>
      </w:r>
      <w:bookmarkEnd w:id="19"/>
    </w:p>
    <w:p w:rsidR="00803482" w:rsidRPr="00BB38D6" w:rsidRDefault="00803482" w:rsidP="00BB38D6">
      <w:pPr>
        <w:pStyle w:val="ItemHead"/>
      </w:pPr>
      <w:r w:rsidRPr="00BB38D6">
        <w:t>15  Subsection</w:t>
      </w:r>
      <w:r w:rsidR="00BB38D6" w:rsidRPr="00BB38D6">
        <w:t> </w:t>
      </w:r>
      <w:r w:rsidRPr="00BB38D6">
        <w:t>275</w:t>
      </w:r>
      <w:r w:rsidR="00C338C9">
        <w:noBreakHyphen/>
      </w:r>
      <w:r w:rsidRPr="00BB38D6">
        <w:t>10(4A)</w:t>
      </w:r>
    </w:p>
    <w:p w:rsidR="00803482" w:rsidRPr="00BB38D6" w:rsidRDefault="00803482" w:rsidP="00BB38D6">
      <w:pPr>
        <w:pStyle w:val="Item"/>
      </w:pPr>
      <w:r w:rsidRPr="00BB38D6">
        <w:t xml:space="preserve">Omit “a </w:t>
      </w:r>
      <w:r w:rsidR="00BB38D6" w:rsidRPr="00BB38D6">
        <w:rPr>
          <w:position w:val="6"/>
          <w:sz w:val="16"/>
        </w:rPr>
        <w:t>*</w:t>
      </w:r>
      <w:r w:rsidRPr="00BB38D6">
        <w:t xml:space="preserve">VCLP or an </w:t>
      </w:r>
      <w:r w:rsidR="00BB38D6" w:rsidRPr="00BB38D6">
        <w:rPr>
          <w:position w:val="6"/>
          <w:sz w:val="16"/>
        </w:rPr>
        <w:t>*</w:t>
      </w:r>
      <w:r w:rsidRPr="00BB38D6">
        <w:t xml:space="preserve">ESVCLP”, substitute “an </w:t>
      </w:r>
      <w:r w:rsidR="00BB38D6" w:rsidRPr="00BB38D6">
        <w:rPr>
          <w:position w:val="6"/>
          <w:sz w:val="16"/>
        </w:rPr>
        <w:t>*</w:t>
      </w:r>
      <w:r w:rsidRPr="00BB38D6">
        <w:t xml:space="preserve">AFOF, an </w:t>
      </w:r>
      <w:r w:rsidR="00BB38D6" w:rsidRPr="00BB38D6">
        <w:rPr>
          <w:position w:val="6"/>
          <w:sz w:val="16"/>
        </w:rPr>
        <w:t>*</w:t>
      </w:r>
      <w:r w:rsidRPr="00BB38D6">
        <w:t xml:space="preserve">ESVCLP or a </w:t>
      </w:r>
      <w:r w:rsidR="00BB38D6" w:rsidRPr="00BB38D6">
        <w:rPr>
          <w:position w:val="6"/>
          <w:sz w:val="16"/>
        </w:rPr>
        <w:t>*</w:t>
      </w:r>
      <w:r w:rsidRPr="00BB38D6">
        <w:t>VCLP”.</w:t>
      </w:r>
    </w:p>
    <w:p w:rsidR="00803482" w:rsidRPr="00BB38D6" w:rsidRDefault="00803482" w:rsidP="00BB38D6">
      <w:pPr>
        <w:pStyle w:val="ItemHead"/>
      </w:pPr>
      <w:r w:rsidRPr="00BB38D6">
        <w:t>16  Paragraph 275</w:t>
      </w:r>
      <w:r w:rsidR="00C338C9">
        <w:noBreakHyphen/>
      </w:r>
      <w:r w:rsidRPr="00BB38D6">
        <w:t>10(4A)(a)</w:t>
      </w:r>
    </w:p>
    <w:p w:rsidR="00803482" w:rsidRPr="00BB38D6" w:rsidRDefault="00803482" w:rsidP="00BB38D6">
      <w:pPr>
        <w:pStyle w:val="Item"/>
      </w:pPr>
      <w:r w:rsidRPr="00BB38D6">
        <w:t>Omit “VCLP or ESVCLP”, substitute “AFOF, ESVCLP or VCLP”.</w:t>
      </w:r>
    </w:p>
    <w:p w:rsidR="00803482" w:rsidRPr="00BB38D6" w:rsidRDefault="00803482" w:rsidP="00BB38D6">
      <w:pPr>
        <w:pStyle w:val="Transitional"/>
      </w:pPr>
      <w:r w:rsidRPr="00BB38D6">
        <w:t>17  Application of amendments</w:t>
      </w:r>
    </w:p>
    <w:p w:rsidR="00803482" w:rsidRPr="00BB38D6" w:rsidRDefault="00803482" w:rsidP="00BB38D6">
      <w:pPr>
        <w:pStyle w:val="Item"/>
      </w:pPr>
      <w:r w:rsidRPr="00BB38D6">
        <w:t>The amendments made by this Part apply in relation to income years commencing on or after 1</w:t>
      </w:r>
      <w:r w:rsidR="00BB38D6" w:rsidRPr="00BB38D6">
        <w:t> </w:t>
      </w:r>
      <w:r w:rsidRPr="00BB38D6">
        <w:t>July 2018.</w:t>
      </w:r>
    </w:p>
    <w:p w:rsidR="00803482" w:rsidRPr="00BB38D6" w:rsidRDefault="00803482" w:rsidP="00BB38D6">
      <w:pPr>
        <w:pStyle w:val="ActHead7"/>
        <w:pageBreakBefore/>
      </w:pPr>
      <w:bookmarkStart w:id="20" w:name="_Toc34030894"/>
      <w:r w:rsidRPr="00BB38D6">
        <w:rPr>
          <w:rStyle w:val="CharAmPartNo"/>
        </w:rPr>
        <w:t>Part</w:t>
      </w:r>
      <w:r w:rsidR="00BB38D6" w:rsidRPr="00BB38D6">
        <w:rPr>
          <w:rStyle w:val="CharAmPartNo"/>
        </w:rPr>
        <w:t> </w:t>
      </w:r>
      <w:r w:rsidRPr="00BB38D6">
        <w:rPr>
          <w:rStyle w:val="CharAmPartNo"/>
        </w:rPr>
        <w:t>4</w:t>
      </w:r>
      <w:r w:rsidRPr="00BB38D6">
        <w:t>—</w:t>
      </w:r>
      <w:r w:rsidRPr="00BB38D6">
        <w:rPr>
          <w:rStyle w:val="CharAmPartText"/>
        </w:rPr>
        <w:t>Public trading trusts</w:t>
      </w:r>
      <w:bookmarkEnd w:id="20"/>
    </w:p>
    <w:p w:rsidR="00803482" w:rsidRPr="00BB38D6" w:rsidRDefault="00803482" w:rsidP="00BB38D6">
      <w:pPr>
        <w:pStyle w:val="ActHead9"/>
        <w:rPr>
          <w:i w:val="0"/>
        </w:rPr>
      </w:pPr>
      <w:bookmarkStart w:id="21" w:name="_Toc34030895"/>
      <w:r w:rsidRPr="00BB38D6">
        <w:t>Income Tax Assessment Act 1936</w:t>
      </w:r>
      <w:bookmarkEnd w:id="21"/>
    </w:p>
    <w:p w:rsidR="00803482" w:rsidRPr="00BB38D6" w:rsidRDefault="00803482" w:rsidP="00BB38D6">
      <w:pPr>
        <w:pStyle w:val="ItemHead"/>
      </w:pPr>
      <w:r w:rsidRPr="00BB38D6">
        <w:t>18  At the end of section</w:t>
      </w:r>
      <w:r w:rsidR="00BB38D6" w:rsidRPr="00BB38D6">
        <w:t> </w:t>
      </w:r>
      <w:r w:rsidRPr="00BB38D6">
        <w:t>102R</w:t>
      </w:r>
    </w:p>
    <w:p w:rsidR="00803482" w:rsidRPr="00BB38D6" w:rsidRDefault="00803482" w:rsidP="00BB38D6">
      <w:pPr>
        <w:pStyle w:val="Item"/>
      </w:pPr>
      <w:r w:rsidRPr="00BB38D6">
        <w:t>Add:</w:t>
      </w:r>
    </w:p>
    <w:p w:rsidR="00803482" w:rsidRPr="00BB38D6" w:rsidRDefault="00803482" w:rsidP="00BB38D6">
      <w:pPr>
        <w:pStyle w:val="subsection"/>
      </w:pPr>
      <w:r w:rsidRPr="00BB38D6">
        <w:tab/>
        <w:t>(5)</w:t>
      </w:r>
      <w:r w:rsidRPr="00BB38D6">
        <w:tab/>
        <w:t>In determining whether a unit trust is a public trading trust under this section, disregard any interest that the trust has that is disregarded under subsection</w:t>
      </w:r>
      <w:r w:rsidR="00BB38D6" w:rsidRPr="00BB38D6">
        <w:t> </w:t>
      </w:r>
      <w:r w:rsidRPr="00BB38D6">
        <w:t>275</w:t>
      </w:r>
      <w:r w:rsidR="00C338C9">
        <w:noBreakHyphen/>
      </w:r>
      <w:r w:rsidRPr="00BB38D6">
        <w:t xml:space="preserve">10(4A) of the </w:t>
      </w:r>
      <w:r w:rsidRPr="00BB38D6">
        <w:rPr>
          <w:i/>
        </w:rPr>
        <w:t>Income Tax Assessment Act 1997</w:t>
      </w:r>
      <w:r w:rsidRPr="00BB38D6">
        <w:t>.</w:t>
      </w:r>
    </w:p>
    <w:p w:rsidR="00803482" w:rsidRPr="00BB38D6" w:rsidRDefault="00803482" w:rsidP="00BB38D6">
      <w:pPr>
        <w:pStyle w:val="Transitional"/>
      </w:pPr>
      <w:r w:rsidRPr="00BB38D6">
        <w:t>19  Application of amendment</w:t>
      </w:r>
    </w:p>
    <w:p w:rsidR="00C338C9" w:rsidRDefault="00803482" w:rsidP="00BB38D6">
      <w:pPr>
        <w:pStyle w:val="Item"/>
      </w:pPr>
      <w:r w:rsidRPr="00BB38D6">
        <w:t>The amendment made by this Part applies in relation to years of income commencing on or after 1</w:t>
      </w:r>
      <w:r w:rsidR="00BB38D6" w:rsidRPr="00BB38D6">
        <w:t> </w:t>
      </w:r>
      <w:r w:rsidRPr="00BB38D6">
        <w:t>July 2016.</w:t>
      </w:r>
    </w:p>
    <w:p w:rsidR="00115B97" w:rsidRDefault="00115B97" w:rsidP="0033031D"/>
    <w:p w:rsidR="0033031D" w:rsidRDefault="0033031D" w:rsidP="0033031D">
      <w:pPr>
        <w:pStyle w:val="AssentBk"/>
        <w:keepNext/>
      </w:pPr>
    </w:p>
    <w:p w:rsidR="0033031D" w:rsidRDefault="0033031D" w:rsidP="0033031D">
      <w:pPr>
        <w:pStyle w:val="AssentBk"/>
        <w:keepNext/>
      </w:pPr>
    </w:p>
    <w:p w:rsidR="0033031D" w:rsidRDefault="0033031D" w:rsidP="0033031D">
      <w:pPr>
        <w:pStyle w:val="2ndRd"/>
        <w:keepNext/>
        <w:pBdr>
          <w:top w:val="single" w:sz="2" w:space="1" w:color="auto"/>
        </w:pBdr>
      </w:pPr>
    </w:p>
    <w:p w:rsidR="0033031D" w:rsidRDefault="0033031D" w:rsidP="000C5962">
      <w:pPr>
        <w:pStyle w:val="2ndRd"/>
        <w:keepNext/>
        <w:spacing w:line="260" w:lineRule="atLeast"/>
        <w:rPr>
          <w:i/>
        </w:rPr>
      </w:pPr>
      <w:r>
        <w:t>[</w:t>
      </w:r>
      <w:r>
        <w:rPr>
          <w:i/>
        </w:rPr>
        <w:t>Minister’s second reading speech made in—</w:t>
      </w:r>
    </w:p>
    <w:p w:rsidR="0033031D" w:rsidRDefault="0033031D" w:rsidP="000C5962">
      <w:pPr>
        <w:pStyle w:val="2ndRd"/>
        <w:keepNext/>
        <w:spacing w:line="260" w:lineRule="atLeast"/>
        <w:rPr>
          <w:i/>
        </w:rPr>
      </w:pPr>
      <w:r>
        <w:rPr>
          <w:i/>
        </w:rPr>
        <w:t>House of Representatives on 4 July 2019</w:t>
      </w:r>
    </w:p>
    <w:p w:rsidR="0033031D" w:rsidRDefault="0033031D" w:rsidP="000C5962">
      <w:pPr>
        <w:pStyle w:val="2ndRd"/>
        <w:keepNext/>
        <w:spacing w:line="260" w:lineRule="atLeast"/>
        <w:rPr>
          <w:i/>
        </w:rPr>
      </w:pPr>
      <w:r>
        <w:rPr>
          <w:i/>
        </w:rPr>
        <w:t>Senate on 17 October 2019</w:t>
      </w:r>
      <w:r>
        <w:t>]</w:t>
      </w:r>
    </w:p>
    <w:p w:rsidR="0033031D" w:rsidRDefault="0033031D" w:rsidP="000C5962"/>
    <w:p w:rsidR="00115B97" w:rsidRPr="0033031D" w:rsidRDefault="0033031D" w:rsidP="0033031D">
      <w:pPr>
        <w:framePr w:hSpace="180" w:wrap="around" w:vAnchor="text" w:hAnchor="page" w:x="2410" w:y="4121"/>
      </w:pPr>
      <w:r>
        <w:t>(99/19)</w:t>
      </w:r>
    </w:p>
    <w:p w:rsidR="0033031D" w:rsidRDefault="0033031D"/>
    <w:sectPr w:rsidR="0033031D" w:rsidSect="00115B97">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555" w:rsidRDefault="00EF2555" w:rsidP="0048364F">
      <w:pPr>
        <w:spacing w:line="240" w:lineRule="auto"/>
      </w:pPr>
      <w:r>
        <w:separator/>
      </w:r>
    </w:p>
  </w:endnote>
  <w:endnote w:type="continuationSeparator" w:id="0">
    <w:p w:rsidR="00EF2555" w:rsidRDefault="00EF255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55" w:rsidRPr="005F1388" w:rsidRDefault="00EF2555" w:rsidP="00BB38D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31D" w:rsidRDefault="0033031D" w:rsidP="00CD12A5">
    <w:pPr>
      <w:pStyle w:val="ScalePlusRef"/>
    </w:pPr>
    <w:r>
      <w:t>Note: An electronic version of this Act is available on the Federal Register of Legislation (</w:t>
    </w:r>
    <w:hyperlink r:id="rId1" w:history="1">
      <w:r>
        <w:t>https://www.legislation.gov.au/</w:t>
      </w:r>
    </w:hyperlink>
    <w:r>
      <w:t>)</w:t>
    </w:r>
  </w:p>
  <w:p w:rsidR="0033031D" w:rsidRDefault="0033031D" w:rsidP="00CD12A5"/>
  <w:p w:rsidR="00EF2555" w:rsidRDefault="00EF2555" w:rsidP="00BB38D6">
    <w:pPr>
      <w:pStyle w:val="Footer"/>
      <w:spacing w:before="120"/>
    </w:pPr>
  </w:p>
  <w:p w:rsidR="00EF2555" w:rsidRPr="005F1388" w:rsidRDefault="00EF2555"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55" w:rsidRPr="00ED79B6" w:rsidRDefault="00EF2555" w:rsidP="00BB38D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55" w:rsidRDefault="00EF2555" w:rsidP="00BB38D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F2555" w:rsidTr="00EF2555">
      <w:tc>
        <w:tcPr>
          <w:tcW w:w="646" w:type="dxa"/>
        </w:tcPr>
        <w:p w:rsidR="00EF2555" w:rsidRDefault="00EF2555" w:rsidP="00EF255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404A0">
            <w:rPr>
              <w:i/>
              <w:noProof/>
              <w:sz w:val="18"/>
            </w:rPr>
            <w:t>xi</w:t>
          </w:r>
          <w:r w:rsidRPr="00ED79B6">
            <w:rPr>
              <w:i/>
              <w:sz w:val="18"/>
            </w:rPr>
            <w:fldChar w:fldCharType="end"/>
          </w:r>
        </w:p>
      </w:tc>
      <w:tc>
        <w:tcPr>
          <w:tcW w:w="5387" w:type="dxa"/>
        </w:tcPr>
        <w:p w:rsidR="00EF2555" w:rsidRDefault="00EF2555" w:rsidP="00EF2555">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404A0">
            <w:rPr>
              <w:i/>
              <w:sz w:val="18"/>
            </w:rPr>
            <w:t>Treasury Laws Amendment (2018 Measures No. 2) Act 2020</w:t>
          </w:r>
          <w:r w:rsidRPr="00ED79B6">
            <w:rPr>
              <w:i/>
              <w:sz w:val="18"/>
            </w:rPr>
            <w:fldChar w:fldCharType="end"/>
          </w:r>
        </w:p>
      </w:tc>
      <w:tc>
        <w:tcPr>
          <w:tcW w:w="1270" w:type="dxa"/>
        </w:tcPr>
        <w:p w:rsidR="00EF2555" w:rsidRDefault="00EF2555" w:rsidP="00EF2555">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404A0">
            <w:rPr>
              <w:i/>
              <w:sz w:val="18"/>
            </w:rPr>
            <w:t>No. 8, 2020</w:t>
          </w:r>
          <w:r w:rsidRPr="00ED79B6">
            <w:rPr>
              <w:i/>
              <w:sz w:val="18"/>
            </w:rPr>
            <w:fldChar w:fldCharType="end"/>
          </w:r>
        </w:p>
      </w:tc>
    </w:tr>
  </w:tbl>
  <w:p w:rsidR="00EF2555" w:rsidRDefault="00EF255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55" w:rsidRDefault="00EF2555" w:rsidP="00BB38D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F2555" w:rsidTr="00EF2555">
      <w:tc>
        <w:tcPr>
          <w:tcW w:w="1247" w:type="dxa"/>
        </w:tcPr>
        <w:p w:rsidR="00EF2555" w:rsidRDefault="00EF2555" w:rsidP="00EF2555">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404A0">
            <w:rPr>
              <w:i/>
              <w:sz w:val="18"/>
            </w:rPr>
            <w:t>No. 8, 2020</w:t>
          </w:r>
          <w:r w:rsidRPr="00ED79B6">
            <w:rPr>
              <w:i/>
              <w:sz w:val="18"/>
            </w:rPr>
            <w:fldChar w:fldCharType="end"/>
          </w:r>
        </w:p>
      </w:tc>
      <w:tc>
        <w:tcPr>
          <w:tcW w:w="5387" w:type="dxa"/>
        </w:tcPr>
        <w:p w:rsidR="00EF2555" w:rsidRDefault="00EF2555" w:rsidP="00EF2555">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404A0">
            <w:rPr>
              <w:i/>
              <w:sz w:val="18"/>
            </w:rPr>
            <w:t>Treasury Laws Amendment (2018 Measures No. 2) Act 2020</w:t>
          </w:r>
          <w:r w:rsidRPr="00ED79B6">
            <w:rPr>
              <w:i/>
              <w:sz w:val="18"/>
            </w:rPr>
            <w:fldChar w:fldCharType="end"/>
          </w:r>
        </w:p>
      </w:tc>
      <w:tc>
        <w:tcPr>
          <w:tcW w:w="669" w:type="dxa"/>
        </w:tcPr>
        <w:p w:rsidR="00EF2555" w:rsidRDefault="00EF2555" w:rsidP="00EF255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404A0">
            <w:rPr>
              <w:i/>
              <w:noProof/>
              <w:sz w:val="18"/>
            </w:rPr>
            <w:t>i</w:t>
          </w:r>
          <w:r w:rsidRPr="00ED79B6">
            <w:rPr>
              <w:i/>
              <w:sz w:val="18"/>
            </w:rPr>
            <w:fldChar w:fldCharType="end"/>
          </w:r>
        </w:p>
      </w:tc>
    </w:tr>
  </w:tbl>
  <w:p w:rsidR="00EF2555" w:rsidRPr="00ED79B6" w:rsidRDefault="00EF2555"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55" w:rsidRPr="00A961C4" w:rsidRDefault="00EF2555" w:rsidP="00BB38D6">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F2555" w:rsidTr="00BB38D6">
      <w:tc>
        <w:tcPr>
          <w:tcW w:w="646" w:type="dxa"/>
        </w:tcPr>
        <w:p w:rsidR="00EF2555" w:rsidRDefault="00EF2555" w:rsidP="00EF255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404A0">
            <w:rPr>
              <w:i/>
              <w:noProof/>
              <w:sz w:val="18"/>
            </w:rPr>
            <w:t>10</w:t>
          </w:r>
          <w:r w:rsidRPr="007A1328">
            <w:rPr>
              <w:i/>
              <w:sz w:val="18"/>
            </w:rPr>
            <w:fldChar w:fldCharType="end"/>
          </w:r>
        </w:p>
      </w:tc>
      <w:tc>
        <w:tcPr>
          <w:tcW w:w="5387" w:type="dxa"/>
        </w:tcPr>
        <w:p w:rsidR="00EF2555" w:rsidRDefault="00EF2555" w:rsidP="00EF255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404A0">
            <w:rPr>
              <w:i/>
              <w:sz w:val="18"/>
            </w:rPr>
            <w:t>Treasury Laws Amendment (2018 Measures No. 2) Act 2020</w:t>
          </w:r>
          <w:r w:rsidRPr="007A1328">
            <w:rPr>
              <w:i/>
              <w:sz w:val="18"/>
            </w:rPr>
            <w:fldChar w:fldCharType="end"/>
          </w:r>
        </w:p>
      </w:tc>
      <w:tc>
        <w:tcPr>
          <w:tcW w:w="1270" w:type="dxa"/>
        </w:tcPr>
        <w:p w:rsidR="00EF2555" w:rsidRDefault="00EF2555" w:rsidP="00EF2555">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404A0">
            <w:rPr>
              <w:i/>
              <w:sz w:val="18"/>
            </w:rPr>
            <w:t>No. 8, 2020</w:t>
          </w:r>
          <w:r w:rsidRPr="007A1328">
            <w:rPr>
              <w:i/>
              <w:sz w:val="18"/>
            </w:rPr>
            <w:fldChar w:fldCharType="end"/>
          </w:r>
        </w:p>
      </w:tc>
    </w:tr>
  </w:tbl>
  <w:p w:rsidR="00EF2555" w:rsidRPr="00A961C4" w:rsidRDefault="00EF2555"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55" w:rsidRPr="00A961C4" w:rsidRDefault="00EF2555" w:rsidP="00BB38D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F2555" w:rsidTr="00BB38D6">
      <w:tc>
        <w:tcPr>
          <w:tcW w:w="1247" w:type="dxa"/>
        </w:tcPr>
        <w:p w:rsidR="00EF2555" w:rsidRDefault="00EF2555" w:rsidP="00EF255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404A0">
            <w:rPr>
              <w:i/>
              <w:sz w:val="18"/>
            </w:rPr>
            <w:t>No. 8, 2020</w:t>
          </w:r>
          <w:r w:rsidRPr="007A1328">
            <w:rPr>
              <w:i/>
              <w:sz w:val="18"/>
            </w:rPr>
            <w:fldChar w:fldCharType="end"/>
          </w:r>
        </w:p>
      </w:tc>
      <w:tc>
        <w:tcPr>
          <w:tcW w:w="5387" w:type="dxa"/>
        </w:tcPr>
        <w:p w:rsidR="00EF2555" w:rsidRDefault="00EF2555" w:rsidP="00EF255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404A0">
            <w:rPr>
              <w:i/>
              <w:sz w:val="18"/>
            </w:rPr>
            <w:t>Treasury Laws Amendment (2018 Measures No. 2) Act 2020</w:t>
          </w:r>
          <w:r w:rsidRPr="007A1328">
            <w:rPr>
              <w:i/>
              <w:sz w:val="18"/>
            </w:rPr>
            <w:fldChar w:fldCharType="end"/>
          </w:r>
        </w:p>
      </w:tc>
      <w:tc>
        <w:tcPr>
          <w:tcW w:w="669" w:type="dxa"/>
        </w:tcPr>
        <w:p w:rsidR="00EF2555" w:rsidRDefault="00EF2555" w:rsidP="00EF255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404A0">
            <w:rPr>
              <w:i/>
              <w:noProof/>
              <w:sz w:val="18"/>
            </w:rPr>
            <w:t>11</w:t>
          </w:r>
          <w:r w:rsidRPr="007A1328">
            <w:rPr>
              <w:i/>
              <w:sz w:val="18"/>
            </w:rPr>
            <w:fldChar w:fldCharType="end"/>
          </w:r>
        </w:p>
      </w:tc>
    </w:tr>
  </w:tbl>
  <w:p w:rsidR="00EF2555" w:rsidRPr="00055B5C" w:rsidRDefault="00EF2555"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55" w:rsidRPr="00A961C4" w:rsidRDefault="00EF2555" w:rsidP="00BB38D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F2555" w:rsidTr="00BB38D6">
      <w:tc>
        <w:tcPr>
          <w:tcW w:w="1247" w:type="dxa"/>
        </w:tcPr>
        <w:p w:rsidR="00EF2555" w:rsidRDefault="00EF2555" w:rsidP="00EF255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404A0">
            <w:rPr>
              <w:i/>
              <w:sz w:val="18"/>
            </w:rPr>
            <w:t>No. 8, 2020</w:t>
          </w:r>
          <w:r w:rsidRPr="007A1328">
            <w:rPr>
              <w:i/>
              <w:sz w:val="18"/>
            </w:rPr>
            <w:fldChar w:fldCharType="end"/>
          </w:r>
        </w:p>
      </w:tc>
      <w:tc>
        <w:tcPr>
          <w:tcW w:w="5387" w:type="dxa"/>
        </w:tcPr>
        <w:p w:rsidR="00EF2555" w:rsidRDefault="00EF2555" w:rsidP="00EF255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404A0">
            <w:rPr>
              <w:i/>
              <w:sz w:val="18"/>
            </w:rPr>
            <w:t>Treasury Laws Amendment (2018 Measures No. 2) Act 2020</w:t>
          </w:r>
          <w:r w:rsidRPr="007A1328">
            <w:rPr>
              <w:i/>
              <w:sz w:val="18"/>
            </w:rPr>
            <w:fldChar w:fldCharType="end"/>
          </w:r>
        </w:p>
      </w:tc>
      <w:tc>
        <w:tcPr>
          <w:tcW w:w="669" w:type="dxa"/>
        </w:tcPr>
        <w:p w:rsidR="00EF2555" w:rsidRDefault="00EF2555" w:rsidP="00EF255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404A0">
            <w:rPr>
              <w:i/>
              <w:noProof/>
              <w:sz w:val="18"/>
            </w:rPr>
            <w:t>1</w:t>
          </w:r>
          <w:r w:rsidRPr="007A1328">
            <w:rPr>
              <w:i/>
              <w:sz w:val="18"/>
            </w:rPr>
            <w:fldChar w:fldCharType="end"/>
          </w:r>
        </w:p>
      </w:tc>
    </w:tr>
  </w:tbl>
  <w:p w:rsidR="00EF2555" w:rsidRPr="00A961C4" w:rsidRDefault="00EF2555"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555" w:rsidRDefault="00EF2555" w:rsidP="0048364F">
      <w:pPr>
        <w:spacing w:line="240" w:lineRule="auto"/>
      </w:pPr>
      <w:r>
        <w:separator/>
      </w:r>
    </w:p>
  </w:footnote>
  <w:footnote w:type="continuationSeparator" w:id="0">
    <w:p w:rsidR="00EF2555" w:rsidRDefault="00EF255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55" w:rsidRPr="005F1388" w:rsidRDefault="00EF2555"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55" w:rsidRPr="005F1388" w:rsidRDefault="00EF2555"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55" w:rsidRPr="005F1388" w:rsidRDefault="00EF2555"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55" w:rsidRPr="00ED79B6" w:rsidRDefault="00EF2555"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55" w:rsidRPr="00ED79B6" w:rsidRDefault="00EF2555"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55" w:rsidRPr="00ED79B6" w:rsidRDefault="00EF2555"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55" w:rsidRPr="00A961C4" w:rsidRDefault="00EF2555" w:rsidP="0048364F">
    <w:pPr>
      <w:rPr>
        <w:b/>
        <w:sz w:val="20"/>
      </w:rPr>
    </w:pPr>
    <w:r>
      <w:rPr>
        <w:b/>
        <w:sz w:val="20"/>
      </w:rPr>
      <w:fldChar w:fldCharType="begin"/>
    </w:r>
    <w:r>
      <w:rPr>
        <w:b/>
        <w:sz w:val="20"/>
      </w:rPr>
      <w:instrText xml:space="preserve"> STYLEREF CharAmSchNo </w:instrText>
    </w:r>
    <w:r w:rsidR="005404A0">
      <w:rPr>
        <w:b/>
        <w:sz w:val="20"/>
      </w:rPr>
      <w:fldChar w:fldCharType="separate"/>
    </w:r>
    <w:r w:rsidR="005404A0">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5404A0">
      <w:rPr>
        <w:sz w:val="20"/>
      </w:rPr>
      <w:fldChar w:fldCharType="separate"/>
    </w:r>
    <w:r w:rsidR="005404A0">
      <w:rPr>
        <w:noProof/>
        <w:sz w:val="20"/>
      </w:rPr>
      <w:t>Innovation measures</w:t>
    </w:r>
    <w:r>
      <w:rPr>
        <w:sz w:val="20"/>
      </w:rPr>
      <w:fldChar w:fldCharType="end"/>
    </w:r>
  </w:p>
  <w:p w:rsidR="00EF2555" w:rsidRPr="00A961C4" w:rsidRDefault="00EF2555" w:rsidP="0048364F">
    <w:pPr>
      <w:rPr>
        <w:b/>
        <w:sz w:val="20"/>
      </w:rPr>
    </w:pPr>
    <w:r>
      <w:rPr>
        <w:b/>
        <w:sz w:val="20"/>
      </w:rPr>
      <w:fldChar w:fldCharType="begin"/>
    </w:r>
    <w:r>
      <w:rPr>
        <w:b/>
        <w:sz w:val="20"/>
      </w:rPr>
      <w:instrText xml:space="preserve"> STYLEREF CharAmPartNo </w:instrText>
    </w:r>
    <w:r w:rsidR="005404A0">
      <w:rPr>
        <w:b/>
        <w:sz w:val="20"/>
      </w:rPr>
      <w:fldChar w:fldCharType="separate"/>
    </w:r>
    <w:r w:rsidR="005404A0">
      <w:rPr>
        <w:b/>
        <w:noProof/>
        <w:sz w:val="20"/>
      </w:rPr>
      <w:t>Part 3</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5404A0">
      <w:rPr>
        <w:sz w:val="20"/>
      </w:rPr>
      <w:fldChar w:fldCharType="separate"/>
    </w:r>
    <w:r w:rsidR="005404A0">
      <w:rPr>
        <w:noProof/>
        <w:sz w:val="20"/>
      </w:rPr>
      <w:t>Managed investment trusts</w:t>
    </w:r>
    <w:r>
      <w:rPr>
        <w:sz w:val="20"/>
      </w:rPr>
      <w:fldChar w:fldCharType="end"/>
    </w:r>
  </w:p>
  <w:p w:rsidR="00EF2555" w:rsidRPr="00A961C4" w:rsidRDefault="00EF2555"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55" w:rsidRPr="00A961C4" w:rsidRDefault="00EF2555" w:rsidP="0048364F">
    <w:pPr>
      <w:jc w:val="right"/>
      <w:rPr>
        <w:sz w:val="20"/>
      </w:rPr>
    </w:pPr>
    <w:r w:rsidRPr="00A961C4">
      <w:rPr>
        <w:sz w:val="20"/>
      </w:rPr>
      <w:fldChar w:fldCharType="begin"/>
    </w:r>
    <w:r w:rsidRPr="00A961C4">
      <w:rPr>
        <w:sz w:val="20"/>
      </w:rPr>
      <w:instrText xml:space="preserve"> STYLEREF CharAmSchText </w:instrText>
    </w:r>
    <w:r w:rsidR="005404A0">
      <w:rPr>
        <w:sz w:val="20"/>
      </w:rPr>
      <w:fldChar w:fldCharType="separate"/>
    </w:r>
    <w:r w:rsidR="005404A0">
      <w:rPr>
        <w:noProof/>
        <w:sz w:val="20"/>
      </w:rPr>
      <w:t>Innovation measures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5404A0">
      <w:rPr>
        <w:b/>
        <w:sz w:val="20"/>
      </w:rPr>
      <w:fldChar w:fldCharType="separate"/>
    </w:r>
    <w:r w:rsidR="005404A0">
      <w:rPr>
        <w:b/>
        <w:noProof/>
        <w:sz w:val="20"/>
      </w:rPr>
      <w:t>Schedule 2</w:t>
    </w:r>
    <w:r>
      <w:rPr>
        <w:b/>
        <w:sz w:val="20"/>
      </w:rPr>
      <w:fldChar w:fldCharType="end"/>
    </w:r>
  </w:p>
  <w:p w:rsidR="00EF2555" w:rsidRPr="00A961C4" w:rsidRDefault="00EF2555" w:rsidP="0048364F">
    <w:pPr>
      <w:jc w:val="right"/>
      <w:rPr>
        <w:b/>
        <w:sz w:val="20"/>
      </w:rPr>
    </w:pPr>
    <w:r w:rsidRPr="00A961C4">
      <w:rPr>
        <w:sz w:val="20"/>
      </w:rPr>
      <w:fldChar w:fldCharType="begin"/>
    </w:r>
    <w:r w:rsidRPr="00A961C4">
      <w:rPr>
        <w:sz w:val="20"/>
      </w:rPr>
      <w:instrText xml:space="preserve"> STYLEREF CharAmPartText </w:instrText>
    </w:r>
    <w:r w:rsidR="005404A0">
      <w:rPr>
        <w:sz w:val="20"/>
      </w:rPr>
      <w:fldChar w:fldCharType="separate"/>
    </w:r>
    <w:r w:rsidR="005404A0">
      <w:rPr>
        <w:noProof/>
        <w:sz w:val="20"/>
      </w:rPr>
      <w:t>Public trading trusts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5404A0">
      <w:rPr>
        <w:b/>
        <w:sz w:val="20"/>
      </w:rPr>
      <w:fldChar w:fldCharType="separate"/>
    </w:r>
    <w:r w:rsidR="005404A0">
      <w:rPr>
        <w:b/>
        <w:noProof/>
        <w:sz w:val="20"/>
      </w:rPr>
      <w:t>Part 4</w:t>
    </w:r>
    <w:r w:rsidRPr="00A961C4">
      <w:rPr>
        <w:b/>
        <w:sz w:val="20"/>
      </w:rPr>
      <w:fldChar w:fldCharType="end"/>
    </w:r>
  </w:p>
  <w:p w:rsidR="00EF2555" w:rsidRPr="00A961C4" w:rsidRDefault="00EF2555"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55" w:rsidRPr="00A961C4" w:rsidRDefault="00EF2555"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482"/>
    <w:rsid w:val="000113BC"/>
    <w:rsid w:val="000136AF"/>
    <w:rsid w:val="000417C9"/>
    <w:rsid w:val="00055B5C"/>
    <w:rsid w:val="00056391"/>
    <w:rsid w:val="00060FF9"/>
    <w:rsid w:val="000614BF"/>
    <w:rsid w:val="000B1FD2"/>
    <w:rsid w:val="000D05EF"/>
    <w:rsid w:val="000D35EA"/>
    <w:rsid w:val="000F21C1"/>
    <w:rsid w:val="00101D90"/>
    <w:rsid w:val="0010745C"/>
    <w:rsid w:val="00113BD1"/>
    <w:rsid w:val="00115B97"/>
    <w:rsid w:val="00122206"/>
    <w:rsid w:val="0015646E"/>
    <w:rsid w:val="001643C9"/>
    <w:rsid w:val="00165568"/>
    <w:rsid w:val="00166C2F"/>
    <w:rsid w:val="001716C9"/>
    <w:rsid w:val="00173363"/>
    <w:rsid w:val="00173B94"/>
    <w:rsid w:val="001854B4"/>
    <w:rsid w:val="001939E1"/>
    <w:rsid w:val="00195382"/>
    <w:rsid w:val="001A3658"/>
    <w:rsid w:val="001A759A"/>
    <w:rsid w:val="001B2770"/>
    <w:rsid w:val="001B5A29"/>
    <w:rsid w:val="001B7A5D"/>
    <w:rsid w:val="001C2418"/>
    <w:rsid w:val="001C69C4"/>
    <w:rsid w:val="001E3590"/>
    <w:rsid w:val="001E7407"/>
    <w:rsid w:val="00201D27"/>
    <w:rsid w:val="00202618"/>
    <w:rsid w:val="00240749"/>
    <w:rsid w:val="00263820"/>
    <w:rsid w:val="00275197"/>
    <w:rsid w:val="00293B89"/>
    <w:rsid w:val="00295C6F"/>
    <w:rsid w:val="00297ECB"/>
    <w:rsid w:val="002B5A30"/>
    <w:rsid w:val="002D043A"/>
    <w:rsid w:val="002D395A"/>
    <w:rsid w:val="002E3A01"/>
    <w:rsid w:val="00313129"/>
    <w:rsid w:val="0033031D"/>
    <w:rsid w:val="003415D3"/>
    <w:rsid w:val="00350417"/>
    <w:rsid w:val="00352B0F"/>
    <w:rsid w:val="00373874"/>
    <w:rsid w:val="00375C6C"/>
    <w:rsid w:val="0039778E"/>
    <w:rsid w:val="003A7B3C"/>
    <w:rsid w:val="003B4E3D"/>
    <w:rsid w:val="003C5F2B"/>
    <w:rsid w:val="003D0BFE"/>
    <w:rsid w:val="003D5700"/>
    <w:rsid w:val="003E0E9E"/>
    <w:rsid w:val="00405579"/>
    <w:rsid w:val="00410B8E"/>
    <w:rsid w:val="00410EB5"/>
    <w:rsid w:val="004116CD"/>
    <w:rsid w:val="004211B7"/>
    <w:rsid w:val="00421FC1"/>
    <w:rsid w:val="004229C7"/>
    <w:rsid w:val="00424CA9"/>
    <w:rsid w:val="00436785"/>
    <w:rsid w:val="00436BD5"/>
    <w:rsid w:val="00437E4B"/>
    <w:rsid w:val="0044291A"/>
    <w:rsid w:val="0045211C"/>
    <w:rsid w:val="0048196B"/>
    <w:rsid w:val="0048364F"/>
    <w:rsid w:val="00486D05"/>
    <w:rsid w:val="00496F97"/>
    <w:rsid w:val="004C7C8C"/>
    <w:rsid w:val="004E2A4A"/>
    <w:rsid w:val="004E6843"/>
    <w:rsid w:val="004F0D23"/>
    <w:rsid w:val="004F1FAC"/>
    <w:rsid w:val="00516B8D"/>
    <w:rsid w:val="00537FBC"/>
    <w:rsid w:val="005404A0"/>
    <w:rsid w:val="00543469"/>
    <w:rsid w:val="00551B54"/>
    <w:rsid w:val="00584811"/>
    <w:rsid w:val="00593AA6"/>
    <w:rsid w:val="00594161"/>
    <w:rsid w:val="00594749"/>
    <w:rsid w:val="005A0D92"/>
    <w:rsid w:val="005B4067"/>
    <w:rsid w:val="005C3F41"/>
    <w:rsid w:val="005E152A"/>
    <w:rsid w:val="005E782B"/>
    <w:rsid w:val="00600219"/>
    <w:rsid w:val="00627DB4"/>
    <w:rsid w:val="00641DE5"/>
    <w:rsid w:val="00644E4A"/>
    <w:rsid w:val="00656F0C"/>
    <w:rsid w:val="00677CC2"/>
    <w:rsid w:val="00681F92"/>
    <w:rsid w:val="006842C2"/>
    <w:rsid w:val="00685F42"/>
    <w:rsid w:val="0069207B"/>
    <w:rsid w:val="006A4B23"/>
    <w:rsid w:val="006C2874"/>
    <w:rsid w:val="006C7F8C"/>
    <w:rsid w:val="006D380D"/>
    <w:rsid w:val="006E0135"/>
    <w:rsid w:val="006E303A"/>
    <w:rsid w:val="006F7E19"/>
    <w:rsid w:val="00700B2C"/>
    <w:rsid w:val="00712D8D"/>
    <w:rsid w:val="00713084"/>
    <w:rsid w:val="00714B26"/>
    <w:rsid w:val="007257D6"/>
    <w:rsid w:val="00731E00"/>
    <w:rsid w:val="007440B7"/>
    <w:rsid w:val="007634AD"/>
    <w:rsid w:val="007715C9"/>
    <w:rsid w:val="00774EDD"/>
    <w:rsid w:val="007757EC"/>
    <w:rsid w:val="00790D8F"/>
    <w:rsid w:val="007B30AA"/>
    <w:rsid w:val="007E7D4A"/>
    <w:rsid w:val="007F47A9"/>
    <w:rsid w:val="007F70B4"/>
    <w:rsid w:val="008006CC"/>
    <w:rsid w:val="00803482"/>
    <w:rsid w:val="00807F18"/>
    <w:rsid w:val="00831E8D"/>
    <w:rsid w:val="008536C1"/>
    <w:rsid w:val="00856A31"/>
    <w:rsid w:val="00857D6B"/>
    <w:rsid w:val="008722E0"/>
    <w:rsid w:val="008754D0"/>
    <w:rsid w:val="00877D48"/>
    <w:rsid w:val="00883781"/>
    <w:rsid w:val="00885570"/>
    <w:rsid w:val="00893958"/>
    <w:rsid w:val="008A2E77"/>
    <w:rsid w:val="008C6F6F"/>
    <w:rsid w:val="008D0EE0"/>
    <w:rsid w:val="008D3E94"/>
    <w:rsid w:val="008F4F1C"/>
    <w:rsid w:val="008F77C4"/>
    <w:rsid w:val="009103F3"/>
    <w:rsid w:val="00924D40"/>
    <w:rsid w:val="00932377"/>
    <w:rsid w:val="00936EC6"/>
    <w:rsid w:val="00967042"/>
    <w:rsid w:val="00980704"/>
    <w:rsid w:val="0098255A"/>
    <w:rsid w:val="009845BE"/>
    <w:rsid w:val="009969C9"/>
    <w:rsid w:val="009F7BD0"/>
    <w:rsid w:val="00A048FF"/>
    <w:rsid w:val="00A10775"/>
    <w:rsid w:val="00A231E2"/>
    <w:rsid w:val="00A335C9"/>
    <w:rsid w:val="00A36C48"/>
    <w:rsid w:val="00A36D65"/>
    <w:rsid w:val="00A41E0B"/>
    <w:rsid w:val="00A55631"/>
    <w:rsid w:val="00A64912"/>
    <w:rsid w:val="00A70A74"/>
    <w:rsid w:val="00A95115"/>
    <w:rsid w:val="00AA3795"/>
    <w:rsid w:val="00AC1E75"/>
    <w:rsid w:val="00AD5641"/>
    <w:rsid w:val="00AE1088"/>
    <w:rsid w:val="00AF1BA4"/>
    <w:rsid w:val="00B032D8"/>
    <w:rsid w:val="00B33B3C"/>
    <w:rsid w:val="00B6382D"/>
    <w:rsid w:val="00BA5026"/>
    <w:rsid w:val="00BB38D6"/>
    <w:rsid w:val="00BB40BF"/>
    <w:rsid w:val="00BC0CD1"/>
    <w:rsid w:val="00BE719A"/>
    <w:rsid w:val="00BE720A"/>
    <w:rsid w:val="00BF0461"/>
    <w:rsid w:val="00BF4944"/>
    <w:rsid w:val="00BF56D4"/>
    <w:rsid w:val="00C04409"/>
    <w:rsid w:val="00C067E5"/>
    <w:rsid w:val="00C164CA"/>
    <w:rsid w:val="00C176CF"/>
    <w:rsid w:val="00C338C9"/>
    <w:rsid w:val="00C42BF8"/>
    <w:rsid w:val="00C460AE"/>
    <w:rsid w:val="00C50043"/>
    <w:rsid w:val="00C54E84"/>
    <w:rsid w:val="00C7573B"/>
    <w:rsid w:val="00C76CF3"/>
    <w:rsid w:val="00CD4866"/>
    <w:rsid w:val="00CE1E31"/>
    <w:rsid w:val="00CF0BB2"/>
    <w:rsid w:val="00D00EAA"/>
    <w:rsid w:val="00D13441"/>
    <w:rsid w:val="00D23221"/>
    <w:rsid w:val="00D243A3"/>
    <w:rsid w:val="00D477C3"/>
    <w:rsid w:val="00D52EFE"/>
    <w:rsid w:val="00D63EF6"/>
    <w:rsid w:val="00D70DFB"/>
    <w:rsid w:val="00D71EEB"/>
    <w:rsid w:val="00D73029"/>
    <w:rsid w:val="00D766DF"/>
    <w:rsid w:val="00D85CAC"/>
    <w:rsid w:val="00DE2002"/>
    <w:rsid w:val="00DF7AE9"/>
    <w:rsid w:val="00E05704"/>
    <w:rsid w:val="00E05822"/>
    <w:rsid w:val="00E24D66"/>
    <w:rsid w:val="00E31E06"/>
    <w:rsid w:val="00E462FB"/>
    <w:rsid w:val="00E54292"/>
    <w:rsid w:val="00E74DC7"/>
    <w:rsid w:val="00E8343F"/>
    <w:rsid w:val="00E87699"/>
    <w:rsid w:val="00E900AF"/>
    <w:rsid w:val="00E947C6"/>
    <w:rsid w:val="00EA6155"/>
    <w:rsid w:val="00EB7379"/>
    <w:rsid w:val="00EC202D"/>
    <w:rsid w:val="00EC3041"/>
    <w:rsid w:val="00ED492F"/>
    <w:rsid w:val="00EE3E36"/>
    <w:rsid w:val="00EF2555"/>
    <w:rsid w:val="00EF2E3A"/>
    <w:rsid w:val="00F047E2"/>
    <w:rsid w:val="00F078DC"/>
    <w:rsid w:val="00F13E86"/>
    <w:rsid w:val="00F17B00"/>
    <w:rsid w:val="00F677A9"/>
    <w:rsid w:val="00F842F6"/>
    <w:rsid w:val="00F84CF5"/>
    <w:rsid w:val="00F92D35"/>
    <w:rsid w:val="00FA420B"/>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38D6"/>
    <w:pPr>
      <w:spacing w:line="260" w:lineRule="atLeast"/>
    </w:pPr>
    <w:rPr>
      <w:sz w:val="22"/>
    </w:rPr>
  </w:style>
  <w:style w:type="paragraph" w:styleId="Heading1">
    <w:name w:val="heading 1"/>
    <w:basedOn w:val="Normal"/>
    <w:next w:val="Normal"/>
    <w:link w:val="Heading1Char"/>
    <w:uiPriority w:val="9"/>
    <w:qFormat/>
    <w:rsid w:val="00115B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15B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15B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15B9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15B9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15B9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15B9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15B9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15B9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B38D6"/>
  </w:style>
  <w:style w:type="paragraph" w:customStyle="1" w:styleId="OPCParaBase">
    <w:name w:val="OPCParaBase"/>
    <w:link w:val="OPCParaBaseChar"/>
    <w:qFormat/>
    <w:rsid w:val="00BB38D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BB38D6"/>
    <w:pPr>
      <w:spacing w:line="240" w:lineRule="auto"/>
    </w:pPr>
    <w:rPr>
      <w:b/>
      <w:sz w:val="40"/>
    </w:rPr>
  </w:style>
  <w:style w:type="paragraph" w:customStyle="1" w:styleId="ActHead1">
    <w:name w:val="ActHead 1"/>
    <w:aliases w:val="c"/>
    <w:basedOn w:val="OPCParaBase"/>
    <w:next w:val="Normal"/>
    <w:qFormat/>
    <w:rsid w:val="00BB38D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B38D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B38D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B38D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B38D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B38D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B38D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B38D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B38D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BB38D6"/>
  </w:style>
  <w:style w:type="paragraph" w:customStyle="1" w:styleId="Blocks">
    <w:name w:val="Blocks"/>
    <w:aliases w:val="bb"/>
    <w:basedOn w:val="OPCParaBase"/>
    <w:qFormat/>
    <w:rsid w:val="00BB38D6"/>
    <w:pPr>
      <w:spacing w:line="240" w:lineRule="auto"/>
    </w:pPr>
    <w:rPr>
      <w:sz w:val="24"/>
    </w:rPr>
  </w:style>
  <w:style w:type="paragraph" w:customStyle="1" w:styleId="BoxText">
    <w:name w:val="BoxText"/>
    <w:aliases w:val="bt"/>
    <w:basedOn w:val="OPCParaBase"/>
    <w:qFormat/>
    <w:rsid w:val="00BB38D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B38D6"/>
    <w:rPr>
      <w:b/>
    </w:rPr>
  </w:style>
  <w:style w:type="paragraph" w:customStyle="1" w:styleId="BoxHeadItalic">
    <w:name w:val="BoxHeadItalic"/>
    <w:aliases w:val="bhi"/>
    <w:basedOn w:val="BoxText"/>
    <w:next w:val="BoxStep"/>
    <w:qFormat/>
    <w:rsid w:val="00BB38D6"/>
    <w:rPr>
      <w:i/>
    </w:rPr>
  </w:style>
  <w:style w:type="paragraph" w:customStyle="1" w:styleId="BoxList">
    <w:name w:val="BoxList"/>
    <w:aliases w:val="bl"/>
    <w:basedOn w:val="BoxText"/>
    <w:qFormat/>
    <w:rsid w:val="00BB38D6"/>
    <w:pPr>
      <w:ind w:left="1559" w:hanging="425"/>
    </w:pPr>
  </w:style>
  <w:style w:type="paragraph" w:customStyle="1" w:styleId="BoxNote">
    <w:name w:val="BoxNote"/>
    <w:aliases w:val="bn"/>
    <w:basedOn w:val="BoxText"/>
    <w:qFormat/>
    <w:rsid w:val="00BB38D6"/>
    <w:pPr>
      <w:tabs>
        <w:tab w:val="left" w:pos="1985"/>
      </w:tabs>
      <w:spacing w:before="122" w:line="198" w:lineRule="exact"/>
      <w:ind w:left="2948" w:hanging="1814"/>
    </w:pPr>
    <w:rPr>
      <w:sz w:val="18"/>
    </w:rPr>
  </w:style>
  <w:style w:type="paragraph" w:customStyle="1" w:styleId="BoxPara">
    <w:name w:val="BoxPara"/>
    <w:aliases w:val="bp"/>
    <w:basedOn w:val="BoxText"/>
    <w:qFormat/>
    <w:rsid w:val="00BB38D6"/>
    <w:pPr>
      <w:tabs>
        <w:tab w:val="right" w:pos="2268"/>
      </w:tabs>
      <w:ind w:left="2552" w:hanging="1418"/>
    </w:pPr>
  </w:style>
  <w:style w:type="paragraph" w:customStyle="1" w:styleId="BoxStep">
    <w:name w:val="BoxStep"/>
    <w:aliases w:val="bs"/>
    <w:basedOn w:val="BoxText"/>
    <w:qFormat/>
    <w:rsid w:val="00BB38D6"/>
    <w:pPr>
      <w:ind w:left="1985" w:hanging="851"/>
    </w:pPr>
  </w:style>
  <w:style w:type="character" w:customStyle="1" w:styleId="CharAmPartNo">
    <w:name w:val="CharAmPartNo"/>
    <w:basedOn w:val="OPCCharBase"/>
    <w:qFormat/>
    <w:rsid w:val="00BB38D6"/>
  </w:style>
  <w:style w:type="character" w:customStyle="1" w:styleId="CharAmPartText">
    <w:name w:val="CharAmPartText"/>
    <w:basedOn w:val="OPCCharBase"/>
    <w:qFormat/>
    <w:rsid w:val="00BB38D6"/>
  </w:style>
  <w:style w:type="character" w:customStyle="1" w:styleId="CharAmSchNo">
    <w:name w:val="CharAmSchNo"/>
    <w:basedOn w:val="OPCCharBase"/>
    <w:qFormat/>
    <w:rsid w:val="00BB38D6"/>
  </w:style>
  <w:style w:type="character" w:customStyle="1" w:styleId="CharAmSchText">
    <w:name w:val="CharAmSchText"/>
    <w:basedOn w:val="OPCCharBase"/>
    <w:qFormat/>
    <w:rsid w:val="00BB38D6"/>
  </w:style>
  <w:style w:type="character" w:customStyle="1" w:styleId="CharBoldItalic">
    <w:name w:val="CharBoldItalic"/>
    <w:basedOn w:val="OPCCharBase"/>
    <w:uiPriority w:val="1"/>
    <w:qFormat/>
    <w:rsid w:val="00BB38D6"/>
    <w:rPr>
      <w:b/>
      <w:i/>
    </w:rPr>
  </w:style>
  <w:style w:type="character" w:customStyle="1" w:styleId="CharChapNo">
    <w:name w:val="CharChapNo"/>
    <w:basedOn w:val="OPCCharBase"/>
    <w:uiPriority w:val="1"/>
    <w:qFormat/>
    <w:rsid w:val="00BB38D6"/>
  </w:style>
  <w:style w:type="character" w:customStyle="1" w:styleId="CharChapText">
    <w:name w:val="CharChapText"/>
    <w:basedOn w:val="OPCCharBase"/>
    <w:uiPriority w:val="1"/>
    <w:qFormat/>
    <w:rsid w:val="00BB38D6"/>
  </w:style>
  <w:style w:type="character" w:customStyle="1" w:styleId="CharDivNo">
    <w:name w:val="CharDivNo"/>
    <w:basedOn w:val="OPCCharBase"/>
    <w:uiPriority w:val="1"/>
    <w:qFormat/>
    <w:rsid w:val="00BB38D6"/>
  </w:style>
  <w:style w:type="character" w:customStyle="1" w:styleId="CharDivText">
    <w:name w:val="CharDivText"/>
    <w:basedOn w:val="OPCCharBase"/>
    <w:uiPriority w:val="1"/>
    <w:qFormat/>
    <w:rsid w:val="00BB38D6"/>
  </w:style>
  <w:style w:type="character" w:customStyle="1" w:styleId="CharItalic">
    <w:name w:val="CharItalic"/>
    <w:basedOn w:val="OPCCharBase"/>
    <w:uiPriority w:val="1"/>
    <w:qFormat/>
    <w:rsid w:val="00BB38D6"/>
    <w:rPr>
      <w:i/>
    </w:rPr>
  </w:style>
  <w:style w:type="character" w:customStyle="1" w:styleId="CharPartNo">
    <w:name w:val="CharPartNo"/>
    <w:basedOn w:val="OPCCharBase"/>
    <w:uiPriority w:val="1"/>
    <w:qFormat/>
    <w:rsid w:val="00BB38D6"/>
  </w:style>
  <w:style w:type="character" w:customStyle="1" w:styleId="CharPartText">
    <w:name w:val="CharPartText"/>
    <w:basedOn w:val="OPCCharBase"/>
    <w:uiPriority w:val="1"/>
    <w:qFormat/>
    <w:rsid w:val="00BB38D6"/>
  </w:style>
  <w:style w:type="character" w:customStyle="1" w:styleId="CharSectno">
    <w:name w:val="CharSectno"/>
    <w:basedOn w:val="OPCCharBase"/>
    <w:qFormat/>
    <w:rsid w:val="00BB38D6"/>
  </w:style>
  <w:style w:type="character" w:customStyle="1" w:styleId="CharSubdNo">
    <w:name w:val="CharSubdNo"/>
    <w:basedOn w:val="OPCCharBase"/>
    <w:uiPriority w:val="1"/>
    <w:qFormat/>
    <w:rsid w:val="00BB38D6"/>
  </w:style>
  <w:style w:type="character" w:customStyle="1" w:styleId="CharSubdText">
    <w:name w:val="CharSubdText"/>
    <w:basedOn w:val="OPCCharBase"/>
    <w:uiPriority w:val="1"/>
    <w:qFormat/>
    <w:rsid w:val="00BB38D6"/>
  </w:style>
  <w:style w:type="paragraph" w:customStyle="1" w:styleId="CTA--">
    <w:name w:val="CTA --"/>
    <w:basedOn w:val="OPCParaBase"/>
    <w:next w:val="Normal"/>
    <w:rsid w:val="00BB38D6"/>
    <w:pPr>
      <w:spacing w:before="60" w:line="240" w:lineRule="atLeast"/>
      <w:ind w:left="142" w:hanging="142"/>
    </w:pPr>
    <w:rPr>
      <w:sz w:val="20"/>
    </w:rPr>
  </w:style>
  <w:style w:type="paragraph" w:customStyle="1" w:styleId="CTA-">
    <w:name w:val="CTA -"/>
    <w:basedOn w:val="OPCParaBase"/>
    <w:rsid w:val="00BB38D6"/>
    <w:pPr>
      <w:spacing w:before="60" w:line="240" w:lineRule="atLeast"/>
      <w:ind w:left="85" w:hanging="85"/>
    </w:pPr>
    <w:rPr>
      <w:sz w:val="20"/>
    </w:rPr>
  </w:style>
  <w:style w:type="paragraph" w:customStyle="1" w:styleId="CTA---">
    <w:name w:val="CTA ---"/>
    <w:basedOn w:val="OPCParaBase"/>
    <w:next w:val="Normal"/>
    <w:rsid w:val="00BB38D6"/>
    <w:pPr>
      <w:spacing w:before="60" w:line="240" w:lineRule="atLeast"/>
      <w:ind w:left="198" w:hanging="198"/>
    </w:pPr>
    <w:rPr>
      <w:sz w:val="20"/>
    </w:rPr>
  </w:style>
  <w:style w:type="paragraph" w:customStyle="1" w:styleId="CTA----">
    <w:name w:val="CTA ----"/>
    <w:basedOn w:val="OPCParaBase"/>
    <w:next w:val="Normal"/>
    <w:rsid w:val="00BB38D6"/>
    <w:pPr>
      <w:spacing w:before="60" w:line="240" w:lineRule="atLeast"/>
      <w:ind w:left="255" w:hanging="255"/>
    </w:pPr>
    <w:rPr>
      <w:sz w:val="20"/>
    </w:rPr>
  </w:style>
  <w:style w:type="paragraph" w:customStyle="1" w:styleId="CTA1a">
    <w:name w:val="CTA 1(a)"/>
    <w:basedOn w:val="OPCParaBase"/>
    <w:rsid w:val="00BB38D6"/>
    <w:pPr>
      <w:tabs>
        <w:tab w:val="right" w:pos="414"/>
      </w:tabs>
      <w:spacing w:before="40" w:line="240" w:lineRule="atLeast"/>
      <w:ind w:left="675" w:hanging="675"/>
    </w:pPr>
    <w:rPr>
      <w:sz w:val="20"/>
    </w:rPr>
  </w:style>
  <w:style w:type="paragraph" w:customStyle="1" w:styleId="CTA1ai">
    <w:name w:val="CTA 1(a)(i)"/>
    <w:basedOn w:val="OPCParaBase"/>
    <w:rsid w:val="00BB38D6"/>
    <w:pPr>
      <w:tabs>
        <w:tab w:val="right" w:pos="1004"/>
      </w:tabs>
      <w:spacing w:before="40" w:line="240" w:lineRule="atLeast"/>
      <w:ind w:left="1253" w:hanging="1253"/>
    </w:pPr>
    <w:rPr>
      <w:sz w:val="20"/>
    </w:rPr>
  </w:style>
  <w:style w:type="paragraph" w:customStyle="1" w:styleId="CTA2a">
    <w:name w:val="CTA 2(a)"/>
    <w:basedOn w:val="OPCParaBase"/>
    <w:rsid w:val="00BB38D6"/>
    <w:pPr>
      <w:tabs>
        <w:tab w:val="right" w:pos="482"/>
      </w:tabs>
      <w:spacing w:before="40" w:line="240" w:lineRule="atLeast"/>
      <w:ind w:left="748" w:hanging="748"/>
    </w:pPr>
    <w:rPr>
      <w:sz w:val="20"/>
    </w:rPr>
  </w:style>
  <w:style w:type="paragraph" w:customStyle="1" w:styleId="CTA2ai">
    <w:name w:val="CTA 2(a)(i)"/>
    <w:basedOn w:val="OPCParaBase"/>
    <w:rsid w:val="00BB38D6"/>
    <w:pPr>
      <w:tabs>
        <w:tab w:val="right" w:pos="1089"/>
      </w:tabs>
      <w:spacing w:before="40" w:line="240" w:lineRule="atLeast"/>
      <w:ind w:left="1327" w:hanging="1327"/>
    </w:pPr>
    <w:rPr>
      <w:sz w:val="20"/>
    </w:rPr>
  </w:style>
  <w:style w:type="paragraph" w:customStyle="1" w:styleId="CTA3a">
    <w:name w:val="CTA 3(a)"/>
    <w:basedOn w:val="OPCParaBase"/>
    <w:rsid w:val="00BB38D6"/>
    <w:pPr>
      <w:tabs>
        <w:tab w:val="right" w:pos="556"/>
      </w:tabs>
      <w:spacing w:before="40" w:line="240" w:lineRule="atLeast"/>
      <w:ind w:left="805" w:hanging="805"/>
    </w:pPr>
    <w:rPr>
      <w:sz w:val="20"/>
    </w:rPr>
  </w:style>
  <w:style w:type="paragraph" w:customStyle="1" w:styleId="CTA3ai">
    <w:name w:val="CTA 3(a)(i)"/>
    <w:basedOn w:val="OPCParaBase"/>
    <w:rsid w:val="00BB38D6"/>
    <w:pPr>
      <w:tabs>
        <w:tab w:val="right" w:pos="1140"/>
      </w:tabs>
      <w:spacing w:before="40" w:line="240" w:lineRule="atLeast"/>
      <w:ind w:left="1361" w:hanging="1361"/>
    </w:pPr>
    <w:rPr>
      <w:sz w:val="20"/>
    </w:rPr>
  </w:style>
  <w:style w:type="paragraph" w:customStyle="1" w:styleId="CTA4a">
    <w:name w:val="CTA 4(a)"/>
    <w:basedOn w:val="OPCParaBase"/>
    <w:rsid w:val="00BB38D6"/>
    <w:pPr>
      <w:tabs>
        <w:tab w:val="right" w:pos="624"/>
      </w:tabs>
      <w:spacing w:before="40" w:line="240" w:lineRule="atLeast"/>
      <w:ind w:left="873" w:hanging="873"/>
    </w:pPr>
    <w:rPr>
      <w:sz w:val="20"/>
    </w:rPr>
  </w:style>
  <w:style w:type="paragraph" w:customStyle="1" w:styleId="CTA4ai">
    <w:name w:val="CTA 4(a)(i)"/>
    <w:basedOn w:val="OPCParaBase"/>
    <w:rsid w:val="00BB38D6"/>
    <w:pPr>
      <w:tabs>
        <w:tab w:val="right" w:pos="1213"/>
      </w:tabs>
      <w:spacing w:before="40" w:line="240" w:lineRule="atLeast"/>
      <w:ind w:left="1452" w:hanging="1452"/>
    </w:pPr>
    <w:rPr>
      <w:sz w:val="20"/>
    </w:rPr>
  </w:style>
  <w:style w:type="paragraph" w:customStyle="1" w:styleId="CTACAPS">
    <w:name w:val="CTA CAPS"/>
    <w:basedOn w:val="OPCParaBase"/>
    <w:rsid w:val="00BB38D6"/>
    <w:pPr>
      <w:spacing w:before="60" w:line="240" w:lineRule="atLeast"/>
    </w:pPr>
    <w:rPr>
      <w:sz w:val="20"/>
    </w:rPr>
  </w:style>
  <w:style w:type="paragraph" w:customStyle="1" w:styleId="CTAright">
    <w:name w:val="CTA right"/>
    <w:basedOn w:val="OPCParaBase"/>
    <w:rsid w:val="00BB38D6"/>
    <w:pPr>
      <w:spacing w:before="60" w:line="240" w:lineRule="auto"/>
      <w:jc w:val="right"/>
    </w:pPr>
    <w:rPr>
      <w:sz w:val="20"/>
    </w:rPr>
  </w:style>
  <w:style w:type="paragraph" w:customStyle="1" w:styleId="subsection">
    <w:name w:val="subsection"/>
    <w:aliases w:val="ss"/>
    <w:basedOn w:val="OPCParaBase"/>
    <w:link w:val="subsectionChar"/>
    <w:rsid w:val="00BB38D6"/>
    <w:pPr>
      <w:tabs>
        <w:tab w:val="right" w:pos="1021"/>
      </w:tabs>
      <w:spacing w:before="180" w:line="240" w:lineRule="auto"/>
      <w:ind w:left="1134" w:hanging="1134"/>
    </w:pPr>
  </w:style>
  <w:style w:type="paragraph" w:customStyle="1" w:styleId="Definition">
    <w:name w:val="Definition"/>
    <w:aliases w:val="dd"/>
    <w:basedOn w:val="OPCParaBase"/>
    <w:rsid w:val="00BB38D6"/>
    <w:pPr>
      <w:spacing w:before="180" w:line="240" w:lineRule="auto"/>
      <w:ind w:left="1134"/>
    </w:pPr>
  </w:style>
  <w:style w:type="paragraph" w:customStyle="1" w:styleId="ETAsubitem">
    <w:name w:val="ETA(subitem)"/>
    <w:basedOn w:val="OPCParaBase"/>
    <w:rsid w:val="00BB38D6"/>
    <w:pPr>
      <w:tabs>
        <w:tab w:val="right" w:pos="340"/>
      </w:tabs>
      <w:spacing w:before="60" w:line="240" w:lineRule="auto"/>
      <w:ind w:left="454" w:hanging="454"/>
    </w:pPr>
    <w:rPr>
      <w:sz w:val="20"/>
    </w:rPr>
  </w:style>
  <w:style w:type="paragraph" w:customStyle="1" w:styleId="ETApara">
    <w:name w:val="ETA(para)"/>
    <w:basedOn w:val="OPCParaBase"/>
    <w:rsid w:val="00BB38D6"/>
    <w:pPr>
      <w:tabs>
        <w:tab w:val="right" w:pos="754"/>
      </w:tabs>
      <w:spacing w:before="60" w:line="240" w:lineRule="auto"/>
      <w:ind w:left="828" w:hanging="828"/>
    </w:pPr>
    <w:rPr>
      <w:sz w:val="20"/>
    </w:rPr>
  </w:style>
  <w:style w:type="paragraph" w:customStyle="1" w:styleId="ETAsubpara">
    <w:name w:val="ETA(subpara)"/>
    <w:basedOn w:val="OPCParaBase"/>
    <w:rsid w:val="00BB38D6"/>
    <w:pPr>
      <w:tabs>
        <w:tab w:val="right" w:pos="1083"/>
      </w:tabs>
      <w:spacing w:before="60" w:line="240" w:lineRule="auto"/>
      <w:ind w:left="1191" w:hanging="1191"/>
    </w:pPr>
    <w:rPr>
      <w:sz w:val="20"/>
    </w:rPr>
  </w:style>
  <w:style w:type="paragraph" w:customStyle="1" w:styleId="ETAsub-subpara">
    <w:name w:val="ETA(sub-subpara)"/>
    <w:basedOn w:val="OPCParaBase"/>
    <w:rsid w:val="00BB38D6"/>
    <w:pPr>
      <w:tabs>
        <w:tab w:val="right" w:pos="1412"/>
      </w:tabs>
      <w:spacing w:before="60" w:line="240" w:lineRule="auto"/>
      <w:ind w:left="1525" w:hanging="1525"/>
    </w:pPr>
    <w:rPr>
      <w:sz w:val="20"/>
    </w:rPr>
  </w:style>
  <w:style w:type="paragraph" w:customStyle="1" w:styleId="Formula">
    <w:name w:val="Formula"/>
    <w:basedOn w:val="OPCParaBase"/>
    <w:rsid w:val="00BB38D6"/>
    <w:pPr>
      <w:spacing w:line="240" w:lineRule="auto"/>
      <w:ind w:left="1134"/>
    </w:pPr>
    <w:rPr>
      <w:sz w:val="20"/>
    </w:rPr>
  </w:style>
  <w:style w:type="paragraph" w:styleId="Header">
    <w:name w:val="header"/>
    <w:basedOn w:val="OPCParaBase"/>
    <w:link w:val="HeaderChar"/>
    <w:unhideWhenUsed/>
    <w:rsid w:val="00BB38D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B38D6"/>
    <w:rPr>
      <w:rFonts w:eastAsia="Times New Roman" w:cs="Times New Roman"/>
      <w:sz w:val="16"/>
      <w:lang w:eastAsia="en-AU"/>
    </w:rPr>
  </w:style>
  <w:style w:type="paragraph" w:customStyle="1" w:styleId="House">
    <w:name w:val="House"/>
    <w:basedOn w:val="OPCParaBase"/>
    <w:rsid w:val="00BB38D6"/>
    <w:pPr>
      <w:spacing w:line="240" w:lineRule="auto"/>
    </w:pPr>
    <w:rPr>
      <w:sz w:val="28"/>
    </w:rPr>
  </w:style>
  <w:style w:type="paragraph" w:customStyle="1" w:styleId="Item">
    <w:name w:val="Item"/>
    <w:aliases w:val="i"/>
    <w:basedOn w:val="OPCParaBase"/>
    <w:next w:val="ItemHead"/>
    <w:link w:val="ItemChar"/>
    <w:rsid w:val="00BB38D6"/>
    <w:pPr>
      <w:keepLines/>
      <w:spacing w:before="80" w:line="240" w:lineRule="auto"/>
      <w:ind w:left="709"/>
    </w:pPr>
  </w:style>
  <w:style w:type="paragraph" w:customStyle="1" w:styleId="ItemHead">
    <w:name w:val="ItemHead"/>
    <w:aliases w:val="ih"/>
    <w:basedOn w:val="OPCParaBase"/>
    <w:next w:val="Item"/>
    <w:link w:val="ItemHeadChar"/>
    <w:rsid w:val="00BB38D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B38D6"/>
    <w:pPr>
      <w:spacing w:line="240" w:lineRule="auto"/>
    </w:pPr>
    <w:rPr>
      <w:b/>
      <w:sz w:val="32"/>
    </w:rPr>
  </w:style>
  <w:style w:type="paragraph" w:customStyle="1" w:styleId="notedraft">
    <w:name w:val="note(draft)"/>
    <w:aliases w:val="nd"/>
    <w:basedOn w:val="OPCParaBase"/>
    <w:rsid w:val="00BB38D6"/>
    <w:pPr>
      <w:spacing w:before="240" w:line="240" w:lineRule="auto"/>
      <w:ind w:left="284" w:hanging="284"/>
    </w:pPr>
    <w:rPr>
      <w:i/>
      <w:sz w:val="24"/>
    </w:rPr>
  </w:style>
  <w:style w:type="paragraph" w:customStyle="1" w:styleId="notemargin">
    <w:name w:val="note(margin)"/>
    <w:aliases w:val="nm"/>
    <w:basedOn w:val="OPCParaBase"/>
    <w:rsid w:val="00BB38D6"/>
    <w:pPr>
      <w:tabs>
        <w:tab w:val="left" w:pos="709"/>
      </w:tabs>
      <w:spacing w:before="122" w:line="198" w:lineRule="exact"/>
      <w:ind w:left="709" w:hanging="709"/>
    </w:pPr>
    <w:rPr>
      <w:sz w:val="18"/>
    </w:rPr>
  </w:style>
  <w:style w:type="paragraph" w:customStyle="1" w:styleId="noteToPara">
    <w:name w:val="noteToPara"/>
    <w:aliases w:val="ntp"/>
    <w:basedOn w:val="OPCParaBase"/>
    <w:rsid w:val="00BB38D6"/>
    <w:pPr>
      <w:spacing w:before="122" w:line="198" w:lineRule="exact"/>
      <w:ind w:left="2353" w:hanging="709"/>
    </w:pPr>
    <w:rPr>
      <w:sz w:val="18"/>
    </w:rPr>
  </w:style>
  <w:style w:type="paragraph" w:customStyle="1" w:styleId="noteParlAmend">
    <w:name w:val="note(ParlAmend)"/>
    <w:aliases w:val="npp"/>
    <w:basedOn w:val="OPCParaBase"/>
    <w:next w:val="ParlAmend"/>
    <w:rsid w:val="00BB38D6"/>
    <w:pPr>
      <w:spacing w:line="240" w:lineRule="auto"/>
      <w:jc w:val="right"/>
    </w:pPr>
    <w:rPr>
      <w:rFonts w:ascii="Arial" w:hAnsi="Arial"/>
      <w:b/>
      <w:i/>
    </w:rPr>
  </w:style>
  <w:style w:type="paragraph" w:customStyle="1" w:styleId="Page1">
    <w:name w:val="Page1"/>
    <w:basedOn w:val="OPCParaBase"/>
    <w:rsid w:val="00BB38D6"/>
    <w:pPr>
      <w:spacing w:before="400" w:line="240" w:lineRule="auto"/>
    </w:pPr>
    <w:rPr>
      <w:b/>
      <w:sz w:val="32"/>
    </w:rPr>
  </w:style>
  <w:style w:type="paragraph" w:customStyle="1" w:styleId="PageBreak">
    <w:name w:val="PageBreak"/>
    <w:aliases w:val="pb"/>
    <w:basedOn w:val="OPCParaBase"/>
    <w:rsid w:val="00BB38D6"/>
    <w:pPr>
      <w:spacing w:line="240" w:lineRule="auto"/>
    </w:pPr>
    <w:rPr>
      <w:sz w:val="20"/>
    </w:rPr>
  </w:style>
  <w:style w:type="paragraph" w:customStyle="1" w:styleId="paragraphsub">
    <w:name w:val="paragraph(sub)"/>
    <w:aliases w:val="aa"/>
    <w:basedOn w:val="OPCParaBase"/>
    <w:rsid w:val="00BB38D6"/>
    <w:pPr>
      <w:tabs>
        <w:tab w:val="right" w:pos="1985"/>
      </w:tabs>
      <w:spacing w:before="40" w:line="240" w:lineRule="auto"/>
      <w:ind w:left="2098" w:hanging="2098"/>
    </w:pPr>
  </w:style>
  <w:style w:type="paragraph" w:customStyle="1" w:styleId="paragraphsub-sub">
    <w:name w:val="paragraph(sub-sub)"/>
    <w:aliases w:val="aaa"/>
    <w:basedOn w:val="OPCParaBase"/>
    <w:rsid w:val="00BB38D6"/>
    <w:pPr>
      <w:tabs>
        <w:tab w:val="right" w:pos="2722"/>
      </w:tabs>
      <w:spacing w:before="40" w:line="240" w:lineRule="auto"/>
      <w:ind w:left="2835" w:hanging="2835"/>
    </w:pPr>
  </w:style>
  <w:style w:type="paragraph" w:customStyle="1" w:styleId="paragraph">
    <w:name w:val="paragraph"/>
    <w:aliases w:val="a"/>
    <w:basedOn w:val="OPCParaBase"/>
    <w:link w:val="paragraphChar"/>
    <w:rsid w:val="00BB38D6"/>
    <w:pPr>
      <w:tabs>
        <w:tab w:val="right" w:pos="1531"/>
      </w:tabs>
      <w:spacing w:before="40" w:line="240" w:lineRule="auto"/>
      <w:ind w:left="1644" w:hanging="1644"/>
    </w:pPr>
  </w:style>
  <w:style w:type="paragraph" w:customStyle="1" w:styleId="ParlAmend">
    <w:name w:val="ParlAmend"/>
    <w:aliases w:val="pp"/>
    <w:basedOn w:val="OPCParaBase"/>
    <w:rsid w:val="00BB38D6"/>
    <w:pPr>
      <w:spacing w:before="240" w:line="240" w:lineRule="atLeast"/>
      <w:ind w:hanging="567"/>
    </w:pPr>
    <w:rPr>
      <w:sz w:val="24"/>
    </w:rPr>
  </w:style>
  <w:style w:type="paragraph" w:customStyle="1" w:styleId="Penalty">
    <w:name w:val="Penalty"/>
    <w:basedOn w:val="OPCParaBase"/>
    <w:rsid w:val="00BB38D6"/>
    <w:pPr>
      <w:tabs>
        <w:tab w:val="left" w:pos="2977"/>
      </w:tabs>
      <w:spacing w:before="180" w:line="240" w:lineRule="auto"/>
      <w:ind w:left="1985" w:hanging="851"/>
    </w:pPr>
  </w:style>
  <w:style w:type="paragraph" w:customStyle="1" w:styleId="Portfolio">
    <w:name w:val="Portfolio"/>
    <w:basedOn w:val="OPCParaBase"/>
    <w:rsid w:val="00BB38D6"/>
    <w:pPr>
      <w:spacing w:line="240" w:lineRule="auto"/>
    </w:pPr>
    <w:rPr>
      <w:i/>
      <w:sz w:val="20"/>
    </w:rPr>
  </w:style>
  <w:style w:type="paragraph" w:customStyle="1" w:styleId="Preamble">
    <w:name w:val="Preamble"/>
    <w:basedOn w:val="OPCParaBase"/>
    <w:next w:val="Normal"/>
    <w:rsid w:val="00BB38D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B38D6"/>
    <w:pPr>
      <w:spacing w:line="240" w:lineRule="auto"/>
    </w:pPr>
    <w:rPr>
      <w:i/>
      <w:sz w:val="20"/>
    </w:rPr>
  </w:style>
  <w:style w:type="paragraph" w:customStyle="1" w:styleId="Session">
    <w:name w:val="Session"/>
    <w:basedOn w:val="OPCParaBase"/>
    <w:rsid w:val="00BB38D6"/>
    <w:pPr>
      <w:spacing w:line="240" w:lineRule="auto"/>
    </w:pPr>
    <w:rPr>
      <w:sz w:val="28"/>
    </w:rPr>
  </w:style>
  <w:style w:type="paragraph" w:customStyle="1" w:styleId="Sponsor">
    <w:name w:val="Sponsor"/>
    <w:basedOn w:val="OPCParaBase"/>
    <w:rsid w:val="00BB38D6"/>
    <w:pPr>
      <w:spacing w:line="240" w:lineRule="auto"/>
    </w:pPr>
    <w:rPr>
      <w:i/>
    </w:rPr>
  </w:style>
  <w:style w:type="paragraph" w:customStyle="1" w:styleId="Subitem">
    <w:name w:val="Subitem"/>
    <w:aliases w:val="iss"/>
    <w:basedOn w:val="OPCParaBase"/>
    <w:rsid w:val="00BB38D6"/>
    <w:pPr>
      <w:spacing w:before="180" w:line="240" w:lineRule="auto"/>
      <w:ind w:left="709" w:hanging="709"/>
    </w:pPr>
  </w:style>
  <w:style w:type="paragraph" w:customStyle="1" w:styleId="SubitemHead">
    <w:name w:val="SubitemHead"/>
    <w:aliases w:val="issh"/>
    <w:basedOn w:val="OPCParaBase"/>
    <w:rsid w:val="00BB38D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B38D6"/>
    <w:pPr>
      <w:spacing w:before="40" w:line="240" w:lineRule="auto"/>
      <w:ind w:left="1134"/>
    </w:pPr>
  </w:style>
  <w:style w:type="paragraph" w:customStyle="1" w:styleId="SubsectionHead">
    <w:name w:val="SubsectionHead"/>
    <w:aliases w:val="ssh"/>
    <w:basedOn w:val="OPCParaBase"/>
    <w:next w:val="subsection"/>
    <w:rsid w:val="00BB38D6"/>
    <w:pPr>
      <w:keepNext/>
      <w:keepLines/>
      <w:spacing w:before="240" w:line="240" w:lineRule="auto"/>
      <w:ind w:left="1134"/>
    </w:pPr>
    <w:rPr>
      <w:i/>
    </w:rPr>
  </w:style>
  <w:style w:type="paragraph" w:customStyle="1" w:styleId="Tablea">
    <w:name w:val="Table(a)"/>
    <w:aliases w:val="ta"/>
    <w:basedOn w:val="OPCParaBase"/>
    <w:rsid w:val="00BB38D6"/>
    <w:pPr>
      <w:spacing w:before="60" w:line="240" w:lineRule="auto"/>
      <w:ind w:left="284" w:hanging="284"/>
    </w:pPr>
    <w:rPr>
      <w:sz w:val="20"/>
    </w:rPr>
  </w:style>
  <w:style w:type="paragraph" w:customStyle="1" w:styleId="TableAA">
    <w:name w:val="Table(AA)"/>
    <w:aliases w:val="taaa"/>
    <w:basedOn w:val="OPCParaBase"/>
    <w:rsid w:val="00BB38D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B38D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B38D6"/>
    <w:pPr>
      <w:spacing w:before="60" w:line="240" w:lineRule="atLeast"/>
    </w:pPr>
    <w:rPr>
      <w:sz w:val="20"/>
    </w:rPr>
  </w:style>
  <w:style w:type="paragraph" w:customStyle="1" w:styleId="TLPBoxTextnote">
    <w:name w:val="TLPBoxText(note"/>
    <w:aliases w:val="right)"/>
    <w:basedOn w:val="OPCParaBase"/>
    <w:rsid w:val="00BB38D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B38D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B38D6"/>
    <w:pPr>
      <w:spacing w:before="122" w:line="198" w:lineRule="exact"/>
      <w:ind w:left="1985" w:hanging="851"/>
      <w:jc w:val="right"/>
    </w:pPr>
    <w:rPr>
      <w:sz w:val="18"/>
    </w:rPr>
  </w:style>
  <w:style w:type="paragraph" w:customStyle="1" w:styleId="TLPTableBullet">
    <w:name w:val="TLPTableBullet"/>
    <w:aliases w:val="ttb"/>
    <w:basedOn w:val="OPCParaBase"/>
    <w:rsid w:val="00BB38D6"/>
    <w:pPr>
      <w:spacing w:line="240" w:lineRule="exact"/>
      <w:ind w:left="284" w:hanging="284"/>
    </w:pPr>
    <w:rPr>
      <w:sz w:val="20"/>
    </w:rPr>
  </w:style>
  <w:style w:type="paragraph" w:styleId="TOC1">
    <w:name w:val="toc 1"/>
    <w:basedOn w:val="OPCParaBase"/>
    <w:next w:val="Normal"/>
    <w:uiPriority w:val="39"/>
    <w:semiHidden/>
    <w:unhideWhenUsed/>
    <w:rsid w:val="00BB38D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BB38D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BB38D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BB38D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B38D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B38D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B38D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B38D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B38D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B38D6"/>
    <w:pPr>
      <w:keepLines/>
      <w:spacing w:before="240" w:after="120" w:line="240" w:lineRule="auto"/>
      <w:ind w:left="794"/>
    </w:pPr>
    <w:rPr>
      <w:b/>
      <w:kern w:val="28"/>
      <w:sz w:val="20"/>
    </w:rPr>
  </w:style>
  <w:style w:type="paragraph" w:customStyle="1" w:styleId="TofSectsHeading">
    <w:name w:val="TofSects(Heading)"/>
    <w:basedOn w:val="OPCParaBase"/>
    <w:rsid w:val="00BB38D6"/>
    <w:pPr>
      <w:spacing w:before="240" w:after="120" w:line="240" w:lineRule="auto"/>
    </w:pPr>
    <w:rPr>
      <w:b/>
      <w:sz w:val="24"/>
    </w:rPr>
  </w:style>
  <w:style w:type="paragraph" w:customStyle="1" w:styleId="TofSectsSection">
    <w:name w:val="TofSects(Section)"/>
    <w:basedOn w:val="OPCParaBase"/>
    <w:rsid w:val="00BB38D6"/>
    <w:pPr>
      <w:keepLines/>
      <w:spacing w:before="40" w:line="240" w:lineRule="auto"/>
      <w:ind w:left="1588" w:hanging="794"/>
    </w:pPr>
    <w:rPr>
      <w:kern w:val="28"/>
      <w:sz w:val="18"/>
    </w:rPr>
  </w:style>
  <w:style w:type="paragraph" w:customStyle="1" w:styleId="TofSectsSubdiv">
    <w:name w:val="TofSects(Subdiv)"/>
    <w:basedOn w:val="OPCParaBase"/>
    <w:rsid w:val="00BB38D6"/>
    <w:pPr>
      <w:keepLines/>
      <w:spacing w:before="80" w:line="240" w:lineRule="auto"/>
      <w:ind w:left="1588" w:hanging="794"/>
    </w:pPr>
    <w:rPr>
      <w:kern w:val="28"/>
    </w:rPr>
  </w:style>
  <w:style w:type="paragraph" w:customStyle="1" w:styleId="WRStyle">
    <w:name w:val="WR Style"/>
    <w:aliases w:val="WR"/>
    <w:basedOn w:val="OPCParaBase"/>
    <w:rsid w:val="00BB38D6"/>
    <w:pPr>
      <w:spacing w:before="240" w:line="240" w:lineRule="auto"/>
      <w:ind w:left="284" w:hanging="284"/>
    </w:pPr>
    <w:rPr>
      <w:b/>
      <w:i/>
      <w:kern w:val="28"/>
      <w:sz w:val="24"/>
    </w:rPr>
  </w:style>
  <w:style w:type="paragraph" w:customStyle="1" w:styleId="notepara">
    <w:name w:val="note(para)"/>
    <w:aliases w:val="na"/>
    <w:basedOn w:val="OPCParaBase"/>
    <w:rsid w:val="00BB38D6"/>
    <w:pPr>
      <w:spacing w:before="40" w:line="198" w:lineRule="exact"/>
      <w:ind w:left="2354" w:hanging="369"/>
    </w:pPr>
    <w:rPr>
      <w:sz w:val="18"/>
    </w:rPr>
  </w:style>
  <w:style w:type="paragraph" w:styleId="Footer">
    <w:name w:val="footer"/>
    <w:link w:val="FooterChar"/>
    <w:rsid w:val="00BB38D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B38D6"/>
    <w:rPr>
      <w:rFonts w:eastAsia="Times New Roman" w:cs="Times New Roman"/>
      <w:sz w:val="22"/>
      <w:szCs w:val="24"/>
      <w:lang w:eastAsia="en-AU"/>
    </w:rPr>
  </w:style>
  <w:style w:type="character" w:styleId="LineNumber">
    <w:name w:val="line number"/>
    <w:basedOn w:val="OPCCharBase"/>
    <w:uiPriority w:val="99"/>
    <w:semiHidden/>
    <w:unhideWhenUsed/>
    <w:rsid w:val="00BB38D6"/>
    <w:rPr>
      <w:sz w:val="16"/>
    </w:rPr>
  </w:style>
  <w:style w:type="table" w:customStyle="1" w:styleId="CFlag">
    <w:name w:val="CFlag"/>
    <w:basedOn w:val="TableNormal"/>
    <w:uiPriority w:val="99"/>
    <w:rsid w:val="00BB38D6"/>
    <w:rPr>
      <w:rFonts w:eastAsia="Times New Roman" w:cs="Times New Roman"/>
      <w:lang w:eastAsia="en-AU"/>
    </w:rPr>
    <w:tblPr/>
  </w:style>
  <w:style w:type="paragraph" w:customStyle="1" w:styleId="NotesHeading1">
    <w:name w:val="NotesHeading 1"/>
    <w:basedOn w:val="OPCParaBase"/>
    <w:next w:val="Normal"/>
    <w:rsid w:val="00BB38D6"/>
    <w:rPr>
      <w:b/>
      <w:sz w:val="28"/>
      <w:szCs w:val="28"/>
    </w:rPr>
  </w:style>
  <w:style w:type="paragraph" w:customStyle="1" w:styleId="NotesHeading2">
    <w:name w:val="NotesHeading 2"/>
    <w:basedOn w:val="OPCParaBase"/>
    <w:next w:val="Normal"/>
    <w:rsid w:val="00BB38D6"/>
    <w:rPr>
      <w:b/>
      <w:sz w:val="28"/>
      <w:szCs w:val="28"/>
    </w:rPr>
  </w:style>
  <w:style w:type="paragraph" w:customStyle="1" w:styleId="SignCoverPageEnd">
    <w:name w:val="SignCoverPageEnd"/>
    <w:basedOn w:val="OPCParaBase"/>
    <w:next w:val="Normal"/>
    <w:rsid w:val="00BB38D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B38D6"/>
    <w:pPr>
      <w:pBdr>
        <w:top w:val="single" w:sz="4" w:space="1" w:color="auto"/>
      </w:pBdr>
      <w:spacing w:before="360"/>
      <w:ind w:right="397"/>
      <w:jc w:val="both"/>
    </w:pPr>
  </w:style>
  <w:style w:type="paragraph" w:customStyle="1" w:styleId="Paragraphsub-sub-sub">
    <w:name w:val="Paragraph(sub-sub-sub)"/>
    <w:aliases w:val="aaaa"/>
    <w:basedOn w:val="OPCParaBase"/>
    <w:rsid w:val="00BB38D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B38D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B38D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B38D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B38D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BB38D6"/>
    <w:pPr>
      <w:spacing w:before="120"/>
    </w:pPr>
  </w:style>
  <w:style w:type="paragraph" w:customStyle="1" w:styleId="TableTextEndNotes">
    <w:name w:val="TableTextEndNotes"/>
    <w:aliases w:val="Tten"/>
    <w:basedOn w:val="Normal"/>
    <w:rsid w:val="00BB38D6"/>
    <w:pPr>
      <w:spacing w:before="60" w:line="240" w:lineRule="auto"/>
    </w:pPr>
    <w:rPr>
      <w:rFonts w:cs="Arial"/>
      <w:sz w:val="20"/>
      <w:szCs w:val="22"/>
    </w:rPr>
  </w:style>
  <w:style w:type="paragraph" w:customStyle="1" w:styleId="TableHeading">
    <w:name w:val="TableHeading"/>
    <w:aliases w:val="th"/>
    <w:basedOn w:val="OPCParaBase"/>
    <w:next w:val="Tabletext"/>
    <w:rsid w:val="00BB38D6"/>
    <w:pPr>
      <w:keepNext/>
      <w:spacing w:before="60" w:line="240" w:lineRule="atLeast"/>
    </w:pPr>
    <w:rPr>
      <w:b/>
      <w:sz w:val="20"/>
    </w:rPr>
  </w:style>
  <w:style w:type="paragraph" w:customStyle="1" w:styleId="NoteToSubpara">
    <w:name w:val="NoteToSubpara"/>
    <w:aliases w:val="nts"/>
    <w:basedOn w:val="OPCParaBase"/>
    <w:rsid w:val="00BB38D6"/>
    <w:pPr>
      <w:spacing w:before="40" w:line="198" w:lineRule="exact"/>
      <w:ind w:left="2835" w:hanging="709"/>
    </w:pPr>
    <w:rPr>
      <w:sz w:val="18"/>
    </w:rPr>
  </w:style>
  <w:style w:type="paragraph" w:customStyle="1" w:styleId="ENoteTableHeading">
    <w:name w:val="ENoteTableHeading"/>
    <w:aliases w:val="enth"/>
    <w:basedOn w:val="OPCParaBase"/>
    <w:rsid w:val="00BB38D6"/>
    <w:pPr>
      <w:keepNext/>
      <w:spacing w:before="60" w:line="240" w:lineRule="atLeast"/>
    </w:pPr>
    <w:rPr>
      <w:rFonts w:ascii="Arial" w:hAnsi="Arial"/>
      <w:b/>
      <w:sz w:val="16"/>
    </w:rPr>
  </w:style>
  <w:style w:type="paragraph" w:customStyle="1" w:styleId="ENoteTTi">
    <w:name w:val="ENoteTTi"/>
    <w:aliases w:val="entti"/>
    <w:basedOn w:val="OPCParaBase"/>
    <w:rsid w:val="00BB38D6"/>
    <w:pPr>
      <w:keepNext/>
      <w:spacing w:before="60" w:line="240" w:lineRule="atLeast"/>
      <w:ind w:left="170"/>
    </w:pPr>
    <w:rPr>
      <w:sz w:val="16"/>
    </w:rPr>
  </w:style>
  <w:style w:type="paragraph" w:customStyle="1" w:styleId="ENotesHeading1">
    <w:name w:val="ENotesHeading 1"/>
    <w:aliases w:val="Enh1"/>
    <w:basedOn w:val="OPCParaBase"/>
    <w:next w:val="Normal"/>
    <w:rsid w:val="00BB38D6"/>
    <w:pPr>
      <w:spacing w:before="120"/>
      <w:outlineLvl w:val="1"/>
    </w:pPr>
    <w:rPr>
      <w:b/>
      <w:sz w:val="28"/>
      <w:szCs w:val="28"/>
    </w:rPr>
  </w:style>
  <w:style w:type="paragraph" w:customStyle="1" w:styleId="ENotesHeading2">
    <w:name w:val="ENotesHeading 2"/>
    <w:aliases w:val="Enh2"/>
    <w:basedOn w:val="OPCParaBase"/>
    <w:next w:val="Normal"/>
    <w:rsid w:val="00BB38D6"/>
    <w:pPr>
      <w:spacing w:before="120" w:after="120"/>
      <w:outlineLvl w:val="2"/>
    </w:pPr>
    <w:rPr>
      <w:b/>
      <w:sz w:val="24"/>
      <w:szCs w:val="28"/>
    </w:rPr>
  </w:style>
  <w:style w:type="paragraph" w:customStyle="1" w:styleId="ENoteTTIndentHeading">
    <w:name w:val="ENoteTTIndentHeading"/>
    <w:aliases w:val="enTTHi"/>
    <w:basedOn w:val="OPCParaBase"/>
    <w:rsid w:val="00BB38D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B38D6"/>
    <w:pPr>
      <w:spacing w:before="60" w:line="240" w:lineRule="atLeast"/>
    </w:pPr>
    <w:rPr>
      <w:sz w:val="16"/>
    </w:rPr>
  </w:style>
  <w:style w:type="paragraph" w:customStyle="1" w:styleId="MadeunderText">
    <w:name w:val="MadeunderText"/>
    <w:basedOn w:val="OPCParaBase"/>
    <w:next w:val="Normal"/>
    <w:rsid w:val="00BB38D6"/>
    <w:pPr>
      <w:spacing w:before="240"/>
    </w:pPr>
    <w:rPr>
      <w:sz w:val="24"/>
      <w:szCs w:val="24"/>
    </w:rPr>
  </w:style>
  <w:style w:type="paragraph" w:customStyle="1" w:styleId="ENotesHeading3">
    <w:name w:val="ENotesHeading 3"/>
    <w:aliases w:val="Enh3"/>
    <w:basedOn w:val="OPCParaBase"/>
    <w:next w:val="Normal"/>
    <w:rsid w:val="00BB38D6"/>
    <w:pPr>
      <w:keepNext/>
      <w:spacing w:before="120" w:line="240" w:lineRule="auto"/>
      <w:outlineLvl w:val="4"/>
    </w:pPr>
    <w:rPr>
      <w:b/>
      <w:szCs w:val="24"/>
    </w:rPr>
  </w:style>
  <w:style w:type="paragraph" w:customStyle="1" w:styleId="SubPartCASA">
    <w:name w:val="SubPart(CASA)"/>
    <w:aliases w:val="csp"/>
    <w:basedOn w:val="OPCParaBase"/>
    <w:next w:val="ActHead3"/>
    <w:rsid w:val="00BB38D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B38D6"/>
  </w:style>
  <w:style w:type="character" w:customStyle="1" w:styleId="CharSubPartNoCASA">
    <w:name w:val="CharSubPartNo(CASA)"/>
    <w:basedOn w:val="OPCCharBase"/>
    <w:uiPriority w:val="1"/>
    <w:rsid w:val="00BB38D6"/>
  </w:style>
  <w:style w:type="paragraph" w:customStyle="1" w:styleId="ENoteTTIndentHeadingSub">
    <w:name w:val="ENoteTTIndentHeadingSub"/>
    <w:aliases w:val="enTTHis"/>
    <w:basedOn w:val="OPCParaBase"/>
    <w:rsid w:val="00BB38D6"/>
    <w:pPr>
      <w:keepNext/>
      <w:spacing w:before="60" w:line="240" w:lineRule="atLeast"/>
      <w:ind w:left="340"/>
    </w:pPr>
    <w:rPr>
      <w:b/>
      <w:sz w:val="16"/>
    </w:rPr>
  </w:style>
  <w:style w:type="paragraph" w:customStyle="1" w:styleId="ENoteTTiSub">
    <w:name w:val="ENoteTTiSub"/>
    <w:aliases w:val="enttis"/>
    <w:basedOn w:val="OPCParaBase"/>
    <w:rsid w:val="00BB38D6"/>
    <w:pPr>
      <w:keepNext/>
      <w:spacing w:before="60" w:line="240" w:lineRule="atLeast"/>
      <w:ind w:left="340"/>
    </w:pPr>
    <w:rPr>
      <w:sz w:val="16"/>
    </w:rPr>
  </w:style>
  <w:style w:type="paragraph" w:customStyle="1" w:styleId="SubDivisionMigration">
    <w:name w:val="SubDivisionMigration"/>
    <w:aliases w:val="sdm"/>
    <w:basedOn w:val="OPCParaBase"/>
    <w:rsid w:val="00BB38D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B38D6"/>
    <w:pPr>
      <w:keepNext/>
      <w:keepLines/>
      <w:spacing w:before="240" w:line="240" w:lineRule="auto"/>
      <w:ind w:left="1134" w:hanging="1134"/>
    </w:pPr>
    <w:rPr>
      <w:b/>
      <w:sz w:val="28"/>
    </w:rPr>
  </w:style>
  <w:style w:type="table" w:styleId="TableGrid">
    <w:name w:val="Table Grid"/>
    <w:basedOn w:val="TableNormal"/>
    <w:uiPriority w:val="59"/>
    <w:rsid w:val="00BB3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BB38D6"/>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BB38D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B38D6"/>
    <w:rPr>
      <w:sz w:val="22"/>
    </w:rPr>
  </w:style>
  <w:style w:type="paragraph" w:customStyle="1" w:styleId="SOTextNote">
    <w:name w:val="SO TextNote"/>
    <w:aliases w:val="sont"/>
    <w:basedOn w:val="SOText"/>
    <w:qFormat/>
    <w:rsid w:val="00BB38D6"/>
    <w:pPr>
      <w:spacing w:before="122" w:line="198" w:lineRule="exact"/>
      <w:ind w:left="1843" w:hanging="709"/>
    </w:pPr>
    <w:rPr>
      <w:sz w:val="18"/>
    </w:rPr>
  </w:style>
  <w:style w:type="paragraph" w:customStyle="1" w:styleId="SOPara">
    <w:name w:val="SO Para"/>
    <w:aliases w:val="soa"/>
    <w:basedOn w:val="SOText"/>
    <w:link w:val="SOParaChar"/>
    <w:qFormat/>
    <w:rsid w:val="00BB38D6"/>
    <w:pPr>
      <w:tabs>
        <w:tab w:val="right" w:pos="1786"/>
      </w:tabs>
      <w:spacing w:before="40"/>
      <w:ind w:left="2070" w:hanging="936"/>
    </w:pPr>
  </w:style>
  <w:style w:type="character" w:customStyle="1" w:styleId="SOParaChar">
    <w:name w:val="SO Para Char"/>
    <w:aliases w:val="soa Char"/>
    <w:basedOn w:val="DefaultParagraphFont"/>
    <w:link w:val="SOPara"/>
    <w:rsid w:val="00BB38D6"/>
    <w:rPr>
      <w:sz w:val="22"/>
    </w:rPr>
  </w:style>
  <w:style w:type="paragraph" w:customStyle="1" w:styleId="FileName">
    <w:name w:val="FileName"/>
    <w:basedOn w:val="Normal"/>
    <w:rsid w:val="00BB38D6"/>
  </w:style>
  <w:style w:type="paragraph" w:customStyle="1" w:styleId="SOHeadBold">
    <w:name w:val="SO HeadBold"/>
    <w:aliases w:val="sohb"/>
    <w:basedOn w:val="SOText"/>
    <w:next w:val="SOText"/>
    <w:link w:val="SOHeadBoldChar"/>
    <w:qFormat/>
    <w:rsid w:val="00BB38D6"/>
    <w:rPr>
      <w:b/>
    </w:rPr>
  </w:style>
  <w:style w:type="character" w:customStyle="1" w:styleId="SOHeadBoldChar">
    <w:name w:val="SO HeadBold Char"/>
    <w:aliases w:val="sohb Char"/>
    <w:basedOn w:val="DefaultParagraphFont"/>
    <w:link w:val="SOHeadBold"/>
    <w:rsid w:val="00BB38D6"/>
    <w:rPr>
      <w:b/>
      <w:sz w:val="22"/>
    </w:rPr>
  </w:style>
  <w:style w:type="paragraph" w:customStyle="1" w:styleId="SOHeadItalic">
    <w:name w:val="SO HeadItalic"/>
    <w:aliases w:val="sohi"/>
    <w:basedOn w:val="SOText"/>
    <w:next w:val="SOText"/>
    <w:link w:val="SOHeadItalicChar"/>
    <w:qFormat/>
    <w:rsid w:val="00BB38D6"/>
    <w:rPr>
      <w:i/>
    </w:rPr>
  </w:style>
  <w:style w:type="character" w:customStyle="1" w:styleId="SOHeadItalicChar">
    <w:name w:val="SO HeadItalic Char"/>
    <w:aliases w:val="sohi Char"/>
    <w:basedOn w:val="DefaultParagraphFont"/>
    <w:link w:val="SOHeadItalic"/>
    <w:rsid w:val="00BB38D6"/>
    <w:rPr>
      <w:i/>
      <w:sz w:val="22"/>
    </w:rPr>
  </w:style>
  <w:style w:type="paragraph" w:customStyle="1" w:styleId="SOBullet">
    <w:name w:val="SO Bullet"/>
    <w:aliases w:val="sotb"/>
    <w:basedOn w:val="SOText"/>
    <w:link w:val="SOBulletChar"/>
    <w:qFormat/>
    <w:rsid w:val="00BB38D6"/>
    <w:pPr>
      <w:ind w:left="1559" w:hanging="425"/>
    </w:pPr>
  </w:style>
  <w:style w:type="character" w:customStyle="1" w:styleId="SOBulletChar">
    <w:name w:val="SO Bullet Char"/>
    <w:aliases w:val="sotb Char"/>
    <w:basedOn w:val="DefaultParagraphFont"/>
    <w:link w:val="SOBullet"/>
    <w:rsid w:val="00BB38D6"/>
    <w:rPr>
      <w:sz w:val="22"/>
    </w:rPr>
  </w:style>
  <w:style w:type="paragraph" w:customStyle="1" w:styleId="SOBulletNote">
    <w:name w:val="SO BulletNote"/>
    <w:aliases w:val="sonb"/>
    <w:basedOn w:val="SOTextNote"/>
    <w:link w:val="SOBulletNoteChar"/>
    <w:qFormat/>
    <w:rsid w:val="00BB38D6"/>
    <w:pPr>
      <w:tabs>
        <w:tab w:val="left" w:pos="1560"/>
      </w:tabs>
      <w:ind w:left="2268" w:hanging="1134"/>
    </w:pPr>
  </w:style>
  <w:style w:type="character" w:customStyle="1" w:styleId="SOBulletNoteChar">
    <w:name w:val="SO BulletNote Char"/>
    <w:aliases w:val="sonb Char"/>
    <w:basedOn w:val="DefaultParagraphFont"/>
    <w:link w:val="SOBulletNote"/>
    <w:rsid w:val="00BB38D6"/>
    <w:rPr>
      <w:sz w:val="18"/>
    </w:rPr>
  </w:style>
  <w:style w:type="paragraph" w:customStyle="1" w:styleId="SOText2">
    <w:name w:val="SO Text2"/>
    <w:aliases w:val="sot2"/>
    <w:basedOn w:val="Normal"/>
    <w:next w:val="SOText"/>
    <w:link w:val="SOText2Char"/>
    <w:rsid w:val="00BB38D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B38D6"/>
    <w:rPr>
      <w:sz w:val="22"/>
    </w:rPr>
  </w:style>
  <w:style w:type="paragraph" w:customStyle="1" w:styleId="Transitional">
    <w:name w:val="Transitional"/>
    <w:aliases w:val="tr"/>
    <w:basedOn w:val="ItemHead"/>
    <w:next w:val="Item"/>
    <w:rsid w:val="00BB38D6"/>
  </w:style>
  <w:style w:type="character" w:customStyle="1" w:styleId="subsectionChar">
    <w:name w:val="subsection Char"/>
    <w:aliases w:val="ss Char"/>
    <w:link w:val="subsection"/>
    <w:rsid w:val="00803482"/>
    <w:rPr>
      <w:rFonts w:eastAsia="Times New Roman" w:cs="Times New Roman"/>
      <w:sz w:val="22"/>
      <w:lang w:eastAsia="en-AU"/>
    </w:rPr>
  </w:style>
  <w:style w:type="character" w:customStyle="1" w:styleId="paragraphChar">
    <w:name w:val="paragraph Char"/>
    <w:aliases w:val="a Char"/>
    <w:link w:val="paragraph"/>
    <w:rsid w:val="00803482"/>
    <w:rPr>
      <w:rFonts w:eastAsia="Times New Roman" w:cs="Times New Roman"/>
      <w:sz w:val="22"/>
      <w:lang w:eastAsia="en-AU"/>
    </w:rPr>
  </w:style>
  <w:style w:type="character" w:customStyle="1" w:styleId="ItemHeadChar">
    <w:name w:val="ItemHead Char"/>
    <w:aliases w:val="ih Char"/>
    <w:basedOn w:val="DefaultParagraphFont"/>
    <w:link w:val="ItemHead"/>
    <w:locked/>
    <w:rsid w:val="00803482"/>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locked/>
    <w:rsid w:val="00803482"/>
    <w:rPr>
      <w:rFonts w:eastAsia="Times New Roman" w:cs="Times New Roman"/>
      <w:sz w:val="22"/>
      <w:lang w:eastAsia="en-AU"/>
    </w:rPr>
  </w:style>
  <w:style w:type="paragraph" w:styleId="BalloonText">
    <w:name w:val="Balloon Text"/>
    <w:basedOn w:val="Normal"/>
    <w:link w:val="BalloonTextChar"/>
    <w:uiPriority w:val="99"/>
    <w:semiHidden/>
    <w:unhideWhenUsed/>
    <w:rsid w:val="00A36D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D65"/>
    <w:rPr>
      <w:rFonts w:ascii="Tahoma" w:hAnsi="Tahoma" w:cs="Tahoma"/>
      <w:sz w:val="16"/>
      <w:szCs w:val="16"/>
    </w:rPr>
  </w:style>
  <w:style w:type="character" w:styleId="Hyperlink">
    <w:name w:val="Hyperlink"/>
    <w:basedOn w:val="DefaultParagraphFont"/>
    <w:uiPriority w:val="99"/>
    <w:semiHidden/>
    <w:unhideWhenUsed/>
    <w:rsid w:val="00627DB4"/>
    <w:rPr>
      <w:color w:val="0000FF" w:themeColor="hyperlink"/>
      <w:u w:val="single"/>
    </w:rPr>
  </w:style>
  <w:style w:type="character" w:styleId="FollowedHyperlink">
    <w:name w:val="FollowedHyperlink"/>
    <w:basedOn w:val="DefaultParagraphFont"/>
    <w:uiPriority w:val="99"/>
    <w:semiHidden/>
    <w:unhideWhenUsed/>
    <w:rsid w:val="00627DB4"/>
    <w:rPr>
      <w:color w:val="0000FF" w:themeColor="hyperlink"/>
      <w:u w:val="single"/>
    </w:rPr>
  </w:style>
  <w:style w:type="character" w:customStyle="1" w:styleId="Heading1Char">
    <w:name w:val="Heading 1 Char"/>
    <w:basedOn w:val="DefaultParagraphFont"/>
    <w:link w:val="Heading1"/>
    <w:uiPriority w:val="9"/>
    <w:rsid w:val="00115B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15B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15B9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15B9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15B9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15B9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15B9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15B9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15B97"/>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115B97"/>
    <w:pPr>
      <w:spacing w:before="800"/>
    </w:pPr>
  </w:style>
  <w:style w:type="character" w:customStyle="1" w:styleId="OPCParaBaseChar">
    <w:name w:val="OPCParaBase Char"/>
    <w:basedOn w:val="DefaultParagraphFont"/>
    <w:link w:val="OPCParaBase"/>
    <w:rsid w:val="00115B97"/>
    <w:rPr>
      <w:rFonts w:eastAsia="Times New Roman" w:cs="Times New Roman"/>
      <w:sz w:val="22"/>
      <w:lang w:eastAsia="en-AU"/>
    </w:rPr>
  </w:style>
  <w:style w:type="character" w:customStyle="1" w:styleId="ShortTChar">
    <w:name w:val="ShortT Char"/>
    <w:basedOn w:val="OPCParaBaseChar"/>
    <w:link w:val="ShortT"/>
    <w:rsid w:val="00115B97"/>
    <w:rPr>
      <w:rFonts w:eastAsia="Times New Roman" w:cs="Times New Roman"/>
      <w:b/>
      <w:sz w:val="40"/>
      <w:lang w:eastAsia="en-AU"/>
    </w:rPr>
  </w:style>
  <w:style w:type="character" w:customStyle="1" w:styleId="ShortTP1Char">
    <w:name w:val="ShortTP1 Char"/>
    <w:basedOn w:val="ShortTChar"/>
    <w:link w:val="ShortTP1"/>
    <w:rsid w:val="00115B97"/>
    <w:rPr>
      <w:rFonts w:eastAsia="Times New Roman" w:cs="Times New Roman"/>
      <w:b/>
      <w:sz w:val="40"/>
      <w:lang w:eastAsia="en-AU"/>
    </w:rPr>
  </w:style>
  <w:style w:type="paragraph" w:customStyle="1" w:styleId="ActNoP1">
    <w:name w:val="ActNoP1"/>
    <w:basedOn w:val="Actno"/>
    <w:link w:val="ActNoP1Char"/>
    <w:rsid w:val="00115B97"/>
    <w:pPr>
      <w:spacing w:before="800"/>
    </w:pPr>
    <w:rPr>
      <w:sz w:val="28"/>
    </w:rPr>
  </w:style>
  <w:style w:type="character" w:customStyle="1" w:styleId="ActnoChar">
    <w:name w:val="Actno Char"/>
    <w:basedOn w:val="ShortTChar"/>
    <w:link w:val="Actno"/>
    <w:rsid w:val="00115B97"/>
    <w:rPr>
      <w:rFonts w:eastAsia="Times New Roman" w:cs="Times New Roman"/>
      <w:b/>
      <w:sz w:val="40"/>
      <w:lang w:eastAsia="en-AU"/>
    </w:rPr>
  </w:style>
  <w:style w:type="character" w:customStyle="1" w:styleId="ActNoP1Char">
    <w:name w:val="ActNoP1 Char"/>
    <w:basedOn w:val="ActnoChar"/>
    <w:link w:val="ActNoP1"/>
    <w:rsid w:val="00115B97"/>
    <w:rPr>
      <w:rFonts w:eastAsia="Times New Roman" w:cs="Times New Roman"/>
      <w:b/>
      <w:sz w:val="28"/>
      <w:lang w:eastAsia="en-AU"/>
    </w:rPr>
  </w:style>
  <w:style w:type="paragraph" w:customStyle="1" w:styleId="ShortTCP">
    <w:name w:val="ShortTCP"/>
    <w:basedOn w:val="ShortT"/>
    <w:link w:val="ShortTCPChar"/>
    <w:rsid w:val="00115B97"/>
  </w:style>
  <w:style w:type="character" w:customStyle="1" w:styleId="ShortTCPChar">
    <w:name w:val="ShortTCP Char"/>
    <w:basedOn w:val="ShortTChar"/>
    <w:link w:val="ShortTCP"/>
    <w:rsid w:val="00115B97"/>
    <w:rPr>
      <w:rFonts w:eastAsia="Times New Roman" w:cs="Times New Roman"/>
      <w:b/>
      <w:sz w:val="40"/>
      <w:lang w:eastAsia="en-AU"/>
    </w:rPr>
  </w:style>
  <w:style w:type="paragraph" w:customStyle="1" w:styleId="ActNoCP">
    <w:name w:val="ActNoCP"/>
    <w:basedOn w:val="Actno"/>
    <w:link w:val="ActNoCPChar"/>
    <w:rsid w:val="00115B97"/>
    <w:pPr>
      <w:spacing w:before="400"/>
    </w:pPr>
  </w:style>
  <w:style w:type="character" w:customStyle="1" w:styleId="ActNoCPChar">
    <w:name w:val="ActNoCP Char"/>
    <w:basedOn w:val="ActnoChar"/>
    <w:link w:val="ActNoCP"/>
    <w:rsid w:val="00115B97"/>
    <w:rPr>
      <w:rFonts w:eastAsia="Times New Roman" w:cs="Times New Roman"/>
      <w:b/>
      <w:sz w:val="40"/>
      <w:lang w:eastAsia="en-AU"/>
    </w:rPr>
  </w:style>
  <w:style w:type="paragraph" w:customStyle="1" w:styleId="AssentBk">
    <w:name w:val="AssentBk"/>
    <w:basedOn w:val="Normal"/>
    <w:rsid w:val="00115B97"/>
    <w:pPr>
      <w:spacing w:line="240" w:lineRule="auto"/>
    </w:pPr>
    <w:rPr>
      <w:rFonts w:eastAsia="Times New Roman" w:cs="Times New Roman"/>
      <w:sz w:val="20"/>
      <w:lang w:eastAsia="en-AU"/>
    </w:rPr>
  </w:style>
  <w:style w:type="paragraph" w:customStyle="1" w:styleId="AssentDt">
    <w:name w:val="AssentDt"/>
    <w:basedOn w:val="Normal"/>
    <w:rsid w:val="0033031D"/>
    <w:pPr>
      <w:spacing w:line="240" w:lineRule="auto"/>
    </w:pPr>
    <w:rPr>
      <w:rFonts w:eastAsia="Times New Roman" w:cs="Times New Roman"/>
      <w:sz w:val="20"/>
      <w:lang w:eastAsia="en-AU"/>
    </w:rPr>
  </w:style>
  <w:style w:type="paragraph" w:customStyle="1" w:styleId="2ndRd">
    <w:name w:val="2ndRd"/>
    <w:basedOn w:val="Normal"/>
    <w:rsid w:val="0033031D"/>
    <w:pPr>
      <w:spacing w:line="240" w:lineRule="auto"/>
    </w:pPr>
    <w:rPr>
      <w:rFonts w:eastAsia="Times New Roman" w:cs="Times New Roman"/>
      <w:sz w:val="20"/>
      <w:lang w:eastAsia="en-AU"/>
    </w:rPr>
  </w:style>
  <w:style w:type="paragraph" w:customStyle="1" w:styleId="ScalePlusRef">
    <w:name w:val="ScalePlusRef"/>
    <w:basedOn w:val="Normal"/>
    <w:rsid w:val="0033031D"/>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38D6"/>
    <w:pPr>
      <w:spacing w:line="260" w:lineRule="atLeast"/>
    </w:pPr>
    <w:rPr>
      <w:sz w:val="22"/>
    </w:rPr>
  </w:style>
  <w:style w:type="paragraph" w:styleId="Heading1">
    <w:name w:val="heading 1"/>
    <w:basedOn w:val="Normal"/>
    <w:next w:val="Normal"/>
    <w:link w:val="Heading1Char"/>
    <w:uiPriority w:val="9"/>
    <w:qFormat/>
    <w:rsid w:val="00115B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15B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15B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15B9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15B9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15B9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15B9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15B9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15B9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B38D6"/>
  </w:style>
  <w:style w:type="paragraph" w:customStyle="1" w:styleId="OPCParaBase">
    <w:name w:val="OPCParaBase"/>
    <w:link w:val="OPCParaBaseChar"/>
    <w:qFormat/>
    <w:rsid w:val="00BB38D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BB38D6"/>
    <w:pPr>
      <w:spacing w:line="240" w:lineRule="auto"/>
    </w:pPr>
    <w:rPr>
      <w:b/>
      <w:sz w:val="40"/>
    </w:rPr>
  </w:style>
  <w:style w:type="paragraph" w:customStyle="1" w:styleId="ActHead1">
    <w:name w:val="ActHead 1"/>
    <w:aliases w:val="c"/>
    <w:basedOn w:val="OPCParaBase"/>
    <w:next w:val="Normal"/>
    <w:qFormat/>
    <w:rsid w:val="00BB38D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B38D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B38D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B38D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B38D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B38D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B38D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B38D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B38D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BB38D6"/>
  </w:style>
  <w:style w:type="paragraph" w:customStyle="1" w:styleId="Blocks">
    <w:name w:val="Blocks"/>
    <w:aliases w:val="bb"/>
    <w:basedOn w:val="OPCParaBase"/>
    <w:qFormat/>
    <w:rsid w:val="00BB38D6"/>
    <w:pPr>
      <w:spacing w:line="240" w:lineRule="auto"/>
    </w:pPr>
    <w:rPr>
      <w:sz w:val="24"/>
    </w:rPr>
  </w:style>
  <w:style w:type="paragraph" w:customStyle="1" w:styleId="BoxText">
    <w:name w:val="BoxText"/>
    <w:aliases w:val="bt"/>
    <w:basedOn w:val="OPCParaBase"/>
    <w:qFormat/>
    <w:rsid w:val="00BB38D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B38D6"/>
    <w:rPr>
      <w:b/>
    </w:rPr>
  </w:style>
  <w:style w:type="paragraph" w:customStyle="1" w:styleId="BoxHeadItalic">
    <w:name w:val="BoxHeadItalic"/>
    <w:aliases w:val="bhi"/>
    <w:basedOn w:val="BoxText"/>
    <w:next w:val="BoxStep"/>
    <w:qFormat/>
    <w:rsid w:val="00BB38D6"/>
    <w:rPr>
      <w:i/>
    </w:rPr>
  </w:style>
  <w:style w:type="paragraph" w:customStyle="1" w:styleId="BoxList">
    <w:name w:val="BoxList"/>
    <w:aliases w:val="bl"/>
    <w:basedOn w:val="BoxText"/>
    <w:qFormat/>
    <w:rsid w:val="00BB38D6"/>
    <w:pPr>
      <w:ind w:left="1559" w:hanging="425"/>
    </w:pPr>
  </w:style>
  <w:style w:type="paragraph" w:customStyle="1" w:styleId="BoxNote">
    <w:name w:val="BoxNote"/>
    <w:aliases w:val="bn"/>
    <w:basedOn w:val="BoxText"/>
    <w:qFormat/>
    <w:rsid w:val="00BB38D6"/>
    <w:pPr>
      <w:tabs>
        <w:tab w:val="left" w:pos="1985"/>
      </w:tabs>
      <w:spacing w:before="122" w:line="198" w:lineRule="exact"/>
      <w:ind w:left="2948" w:hanging="1814"/>
    </w:pPr>
    <w:rPr>
      <w:sz w:val="18"/>
    </w:rPr>
  </w:style>
  <w:style w:type="paragraph" w:customStyle="1" w:styleId="BoxPara">
    <w:name w:val="BoxPara"/>
    <w:aliases w:val="bp"/>
    <w:basedOn w:val="BoxText"/>
    <w:qFormat/>
    <w:rsid w:val="00BB38D6"/>
    <w:pPr>
      <w:tabs>
        <w:tab w:val="right" w:pos="2268"/>
      </w:tabs>
      <w:ind w:left="2552" w:hanging="1418"/>
    </w:pPr>
  </w:style>
  <w:style w:type="paragraph" w:customStyle="1" w:styleId="BoxStep">
    <w:name w:val="BoxStep"/>
    <w:aliases w:val="bs"/>
    <w:basedOn w:val="BoxText"/>
    <w:qFormat/>
    <w:rsid w:val="00BB38D6"/>
    <w:pPr>
      <w:ind w:left="1985" w:hanging="851"/>
    </w:pPr>
  </w:style>
  <w:style w:type="character" w:customStyle="1" w:styleId="CharAmPartNo">
    <w:name w:val="CharAmPartNo"/>
    <w:basedOn w:val="OPCCharBase"/>
    <w:qFormat/>
    <w:rsid w:val="00BB38D6"/>
  </w:style>
  <w:style w:type="character" w:customStyle="1" w:styleId="CharAmPartText">
    <w:name w:val="CharAmPartText"/>
    <w:basedOn w:val="OPCCharBase"/>
    <w:qFormat/>
    <w:rsid w:val="00BB38D6"/>
  </w:style>
  <w:style w:type="character" w:customStyle="1" w:styleId="CharAmSchNo">
    <w:name w:val="CharAmSchNo"/>
    <w:basedOn w:val="OPCCharBase"/>
    <w:qFormat/>
    <w:rsid w:val="00BB38D6"/>
  </w:style>
  <w:style w:type="character" w:customStyle="1" w:styleId="CharAmSchText">
    <w:name w:val="CharAmSchText"/>
    <w:basedOn w:val="OPCCharBase"/>
    <w:qFormat/>
    <w:rsid w:val="00BB38D6"/>
  </w:style>
  <w:style w:type="character" w:customStyle="1" w:styleId="CharBoldItalic">
    <w:name w:val="CharBoldItalic"/>
    <w:basedOn w:val="OPCCharBase"/>
    <w:uiPriority w:val="1"/>
    <w:qFormat/>
    <w:rsid w:val="00BB38D6"/>
    <w:rPr>
      <w:b/>
      <w:i/>
    </w:rPr>
  </w:style>
  <w:style w:type="character" w:customStyle="1" w:styleId="CharChapNo">
    <w:name w:val="CharChapNo"/>
    <w:basedOn w:val="OPCCharBase"/>
    <w:uiPriority w:val="1"/>
    <w:qFormat/>
    <w:rsid w:val="00BB38D6"/>
  </w:style>
  <w:style w:type="character" w:customStyle="1" w:styleId="CharChapText">
    <w:name w:val="CharChapText"/>
    <w:basedOn w:val="OPCCharBase"/>
    <w:uiPriority w:val="1"/>
    <w:qFormat/>
    <w:rsid w:val="00BB38D6"/>
  </w:style>
  <w:style w:type="character" w:customStyle="1" w:styleId="CharDivNo">
    <w:name w:val="CharDivNo"/>
    <w:basedOn w:val="OPCCharBase"/>
    <w:uiPriority w:val="1"/>
    <w:qFormat/>
    <w:rsid w:val="00BB38D6"/>
  </w:style>
  <w:style w:type="character" w:customStyle="1" w:styleId="CharDivText">
    <w:name w:val="CharDivText"/>
    <w:basedOn w:val="OPCCharBase"/>
    <w:uiPriority w:val="1"/>
    <w:qFormat/>
    <w:rsid w:val="00BB38D6"/>
  </w:style>
  <w:style w:type="character" w:customStyle="1" w:styleId="CharItalic">
    <w:name w:val="CharItalic"/>
    <w:basedOn w:val="OPCCharBase"/>
    <w:uiPriority w:val="1"/>
    <w:qFormat/>
    <w:rsid w:val="00BB38D6"/>
    <w:rPr>
      <w:i/>
    </w:rPr>
  </w:style>
  <w:style w:type="character" w:customStyle="1" w:styleId="CharPartNo">
    <w:name w:val="CharPartNo"/>
    <w:basedOn w:val="OPCCharBase"/>
    <w:uiPriority w:val="1"/>
    <w:qFormat/>
    <w:rsid w:val="00BB38D6"/>
  </w:style>
  <w:style w:type="character" w:customStyle="1" w:styleId="CharPartText">
    <w:name w:val="CharPartText"/>
    <w:basedOn w:val="OPCCharBase"/>
    <w:uiPriority w:val="1"/>
    <w:qFormat/>
    <w:rsid w:val="00BB38D6"/>
  </w:style>
  <w:style w:type="character" w:customStyle="1" w:styleId="CharSectno">
    <w:name w:val="CharSectno"/>
    <w:basedOn w:val="OPCCharBase"/>
    <w:qFormat/>
    <w:rsid w:val="00BB38D6"/>
  </w:style>
  <w:style w:type="character" w:customStyle="1" w:styleId="CharSubdNo">
    <w:name w:val="CharSubdNo"/>
    <w:basedOn w:val="OPCCharBase"/>
    <w:uiPriority w:val="1"/>
    <w:qFormat/>
    <w:rsid w:val="00BB38D6"/>
  </w:style>
  <w:style w:type="character" w:customStyle="1" w:styleId="CharSubdText">
    <w:name w:val="CharSubdText"/>
    <w:basedOn w:val="OPCCharBase"/>
    <w:uiPriority w:val="1"/>
    <w:qFormat/>
    <w:rsid w:val="00BB38D6"/>
  </w:style>
  <w:style w:type="paragraph" w:customStyle="1" w:styleId="CTA--">
    <w:name w:val="CTA --"/>
    <w:basedOn w:val="OPCParaBase"/>
    <w:next w:val="Normal"/>
    <w:rsid w:val="00BB38D6"/>
    <w:pPr>
      <w:spacing w:before="60" w:line="240" w:lineRule="atLeast"/>
      <w:ind w:left="142" w:hanging="142"/>
    </w:pPr>
    <w:rPr>
      <w:sz w:val="20"/>
    </w:rPr>
  </w:style>
  <w:style w:type="paragraph" w:customStyle="1" w:styleId="CTA-">
    <w:name w:val="CTA -"/>
    <w:basedOn w:val="OPCParaBase"/>
    <w:rsid w:val="00BB38D6"/>
    <w:pPr>
      <w:spacing w:before="60" w:line="240" w:lineRule="atLeast"/>
      <w:ind w:left="85" w:hanging="85"/>
    </w:pPr>
    <w:rPr>
      <w:sz w:val="20"/>
    </w:rPr>
  </w:style>
  <w:style w:type="paragraph" w:customStyle="1" w:styleId="CTA---">
    <w:name w:val="CTA ---"/>
    <w:basedOn w:val="OPCParaBase"/>
    <w:next w:val="Normal"/>
    <w:rsid w:val="00BB38D6"/>
    <w:pPr>
      <w:spacing w:before="60" w:line="240" w:lineRule="atLeast"/>
      <w:ind w:left="198" w:hanging="198"/>
    </w:pPr>
    <w:rPr>
      <w:sz w:val="20"/>
    </w:rPr>
  </w:style>
  <w:style w:type="paragraph" w:customStyle="1" w:styleId="CTA----">
    <w:name w:val="CTA ----"/>
    <w:basedOn w:val="OPCParaBase"/>
    <w:next w:val="Normal"/>
    <w:rsid w:val="00BB38D6"/>
    <w:pPr>
      <w:spacing w:before="60" w:line="240" w:lineRule="atLeast"/>
      <w:ind w:left="255" w:hanging="255"/>
    </w:pPr>
    <w:rPr>
      <w:sz w:val="20"/>
    </w:rPr>
  </w:style>
  <w:style w:type="paragraph" w:customStyle="1" w:styleId="CTA1a">
    <w:name w:val="CTA 1(a)"/>
    <w:basedOn w:val="OPCParaBase"/>
    <w:rsid w:val="00BB38D6"/>
    <w:pPr>
      <w:tabs>
        <w:tab w:val="right" w:pos="414"/>
      </w:tabs>
      <w:spacing w:before="40" w:line="240" w:lineRule="atLeast"/>
      <w:ind w:left="675" w:hanging="675"/>
    </w:pPr>
    <w:rPr>
      <w:sz w:val="20"/>
    </w:rPr>
  </w:style>
  <w:style w:type="paragraph" w:customStyle="1" w:styleId="CTA1ai">
    <w:name w:val="CTA 1(a)(i)"/>
    <w:basedOn w:val="OPCParaBase"/>
    <w:rsid w:val="00BB38D6"/>
    <w:pPr>
      <w:tabs>
        <w:tab w:val="right" w:pos="1004"/>
      </w:tabs>
      <w:spacing w:before="40" w:line="240" w:lineRule="atLeast"/>
      <w:ind w:left="1253" w:hanging="1253"/>
    </w:pPr>
    <w:rPr>
      <w:sz w:val="20"/>
    </w:rPr>
  </w:style>
  <w:style w:type="paragraph" w:customStyle="1" w:styleId="CTA2a">
    <w:name w:val="CTA 2(a)"/>
    <w:basedOn w:val="OPCParaBase"/>
    <w:rsid w:val="00BB38D6"/>
    <w:pPr>
      <w:tabs>
        <w:tab w:val="right" w:pos="482"/>
      </w:tabs>
      <w:spacing w:before="40" w:line="240" w:lineRule="atLeast"/>
      <w:ind w:left="748" w:hanging="748"/>
    </w:pPr>
    <w:rPr>
      <w:sz w:val="20"/>
    </w:rPr>
  </w:style>
  <w:style w:type="paragraph" w:customStyle="1" w:styleId="CTA2ai">
    <w:name w:val="CTA 2(a)(i)"/>
    <w:basedOn w:val="OPCParaBase"/>
    <w:rsid w:val="00BB38D6"/>
    <w:pPr>
      <w:tabs>
        <w:tab w:val="right" w:pos="1089"/>
      </w:tabs>
      <w:spacing w:before="40" w:line="240" w:lineRule="atLeast"/>
      <w:ind w:left="1327" w:hanging="1327"/>
    </w:pPr>
    <w:rPr>
      <w:sz w:val="20"/>
    </w:rPr>
  </w:style>
  <w:style w:type="paragraph" w:customStyle="1" w:styleId="CTA3a">
    <w:name w:val="CTA 3(a)"/>
    <w:basedOn w:val="OPCParaBase"/>
    <w:rsid w:val="00BB38D6"/>
    <w:pPr>
      <w:tabs>
        <w:tab w:val="right" w:pos="556"/>
      </w:tabs>
      <w:spacing w:before="40" w:line="240" w:lineRule="atLeast"/>
      <w:ind w:left="805" w:hanging="805"/>
    </w:pPr>
    <w:rPr>
      <w:sz w:val="20"/>
    </w:rPr>
  </w:style>
  <w:style w:type="paragraph" w:customStyle="1" w:styleId="CTA3ai">
    <w:name w:val="CTA 3(a)(i)"/>
    <w:basedOn w:val="OPCParaBase"/>
    <w:rsid w:val="00BB38D6"/>
    <w:pPr>
      <w:tabs>
        <w:tab w:val="right" w:pos="1140"/>
      </w:tabs>
      <w:spacing w:before="40" w:line="240" w:lineRule="atLeast"/>
      <w:ind w:left="1361" w:hanging="1361"/>
    </w:pPr>
    <w:rPr>
      <w:sz w:val="20"/>
    </w:rPr>
  </w:style>
  <w:style w:type="paragraph" w:customStyle="1" w:styleId="CTA4a">
    <w:name w:val="CTA 4(a)"/>
    <w:basedOn w:val="OPCParaBase"/>
    <w:rsid w:val="00BB38D6"/>
    <w:pPr>
      <w:tabs>
        <w:tab w:val="right" w:pos="624"/>
      </w:tabs>
      <w:spacing w:before="40" w:line="240" w:lineRule="atLeast"/>
      <w:ind w:left="873" w:hanging="873"/>
    </w:pPr>
    <w:rPr>
      <w:sz w:val="20"/>
    </w:rPr>
  </w:style>
  <w:style w:type="paragraph" w:customStyle="1" w:styleId="CTA4ai">
    <w:name w:val="CTA 4(a)(i)"/>
    <w:basedOn w:val="OPCParaBase"/>
    <w:rsid w:val="00BB38D6"/>
    <w:pPr>
      <w:tabs>
        <w:tab w:val="right" w:pos="1213"/>
      </w:tabs>
      <w:spacing w:before="40" w:line="240" w:lineRule="atLeast"/>
      <w:ind w:left="1452" w:hanging="1452"/>
    </w:pPr>
    <w:rPr>
      <w:sz w:val="20"/>
    </w:rPr>
  </w:style>
  <w:style w:type="paragraph" w:customStyle="1" w:styleId="CTACAPS">
    <w:name w:val="CTA CAPS"/>
    <w:basedOn w:val="OPCParaBase"/>
    <w:rsid w:val="00BB38D6"/>
    <w:pPr>
      <w:spacing w:before="60" w:line="240" w:lineRule="atLeast"/>
    </w:pPr>
    <w:rPr>
      <w:sz w:val="20"/>
    </w:rPr>
  </w:style>
  <w:style w:type="paragraph" w:customStyle="1" w:styleId="CTAright">
    <w:name w:val="CTA right"/>
    <w:basedOn w:val="OPCParaBase"/>
    <w:rsid w:val="00BB38D6"/>
    <w:pPr>
      <w:spacing w:before="60" w:line="240" w:lineRule="auto"/>
      <w:jc w:val="right"/>
    </w:pPr>
    <w:rPr>
      <w:sz w:val="20"/>
    </w:rPr>
  </w:style>
  <w:style w:type="paragraph" w:customStyle="1" w:styleId="subsection">
    <w:name w:val="subsection"/>
    <w:aliases w:val="ss"/>
    <w:basedOn w:val="OPCParaBase"/>
    <w:link w:val="subsectionChar"/>
    <w:rsid w:val="00BB38D6"/>
    <w:pPr>
      <w:tabs>
        <w:tab w:val="right" w:pos="1021"/>
      </w:tabs>
      <w:spacing w:before="180" w:line="240" w:lineRule="auto"/>
      <w:ind w:left="1134" w:hanging="1134"/>
    </w:pPr>
  </w:style>
  <w:style w:type="paragraph" w:customStyle="1" w:styleId="Definition">
    <w:name w:val="Definition"/>
    <w:aliases w:val="dd"/>
    <w:basedOn w:val="OPCParaBase"/>
    <w:rsid w:val="00BB38D6"/>
    <w:pPr>
      <w:spacing w:before="180" w:line="240" w:lineRule="auto"/>
      <w:ind w:left="1134"/>
    </w:pPr>
  </w:style>
  <w:style w:type="paragraph" w:customStyle="1" w:styleId="ETAsubitem">
    <w:name w:val="ETA(subitem)"/>
    <w:basedOn w:val="OPCParaBase"/>
    <w:rsid w:val="00BB38D6"/>
    <w:pPr>
      <w:tabs>
        <w:tab w:val="right" w:pos="340"/>
      </w:tabs>
      <w:spacing w:before="60" w:line="240" w:lineRule="auto"/>
      <w:ind w:left="454" w:hanging="454"/>
    </w:pPr>
    <w:rPr>
      <w:sz w:val="20"/>
    </w:rPr>
  </w:style>
  <w:style w:type="paragraph" w:customStyle="1" w:styleId="ETApara">
    <w:name w:val="ETA(para)"/>
    <w:basedOn w:val="OPCParaBase"/>
    <w:rsid w:val="00BB38D6"/>
    <w:pPr>
      <w:tabs>
        <w:tab w:val="right" w:pos="754"/>
      </w:tabs>
      <w:spacing w:before="60" w:line="240" w:lineRule="auto"/>
      <w:ind w:left="828" w:hanging="828"/>
    </w:pPr>
    <w:rPr>
      <w:sz w:val="20"/>
    </w:rPr>
  </w:style>
  <w:style w:type="paragraph" w:customStyle="1" w:styleId="ETAsubpara">
    <w:name w:val="ETA(subpara)"/>
    <w:basedOn w:val="OPCParaBase"/>
    <w:rsid w:val="00BB38D6"/>
    <w:pPr>
      <w:tabs>
        <w:tab w:val="right" w:pos="1083"/>
      </w:tabs>
      <w:spacing w:before="60" w:line="240" w:lineRule="auto"/>
      <w:ind w:left="1191" w:hanging="1191"/>
    </w:pPr>
    <w:rPr>
      <w:sz w:val="20"/>
    </w:rPr>
  </w:style>
  <w:style w:type="paragraph" w:customStyle="1" w:styleId="ETAsub-subpara">
    <w:name w:val="ETA(sub-subpara)"/>
    <w:basedOn w:val="OPCParaBase"/>
    <w:rsid w:val="00BB38D6"/>
    <w:pPr>
      <w:tabs>
        <w:tab w:val="right" w:pos="1412"/>
      </w:tabs>
      <w:spacing w:before="60" w:line="240" w:lineRule="auto"/>
      <w:ind w:left="1525" w:hanging="1525"/>
    </w:pPr>
    <w:rPr>
      <w:sz w:val="20"/>
    </w:rPr>
  </w:style>
  <w:style w:type="paragraph" w:customStyle="1" w:styleId="Formula">
    <w:name w:val="Formula"/>
    <w:basedOn w:val="OPCParaBase"/>
    <w:rsid w:val="00BB38D6"/>
    <w:pPr>
      <w:spacing w:line="240" w:lineRule="auto"/>
      <w:ind w:left="1134"/>
    </w:pPr>
    <w:rPr>
      <w:sz w:val="20"/>
    </w:rPr>
  </w:style>
  <w:style w:type="paragraph" w:styleId="Header">
    <w:name w:val="header"/>
    <w:basedOn w:val="OPCParaBase"/>
    <w:link w:val="HeaderChar"/>
    <w:unhideWhenUsed/>
    <w:rsid w:val="00BB38D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B38D6"/>
    <w:rPr>
      <w:rFonts w:eastAsia="Times New Roman" w:cs="Times New Roman"/>
      <w:sz w:val="16"/>
      <w:lang w:eastAsia="en-AU"/>
    </w:rPr>
  </w:style>
  <w:style w:type="paragraph" w:customStyle="1" w:styleId="House">
    <w:name w:val="House"/>
    <w:basedOn w:val="OPCParaBase"/>
    <w:rsid w:val="00BB38D6"/>
    <w:pPr>
      <w:spacing w:line="240" w:lineRule="auto"/>
    </w:pPr>
    <w:rPr>
      <w:sz w:val="28"/>
    </w:rPr>
  </w:style>
  <w:style w:type="paragraph" w:customStyle="1" w:styleId="Item">
    <w:name w:val="Item"/>
    <w:aliases w:val="i"/>
    <w:basedOn w:val="OPCParaBase"/>
    <w:next w:val="ItemHead"/>
    <w:link w:val="ItemChar"/>
    <w:rsid w:val="00BB38D6"/>
    <w:pPr>
      <w:keepLines/>
      <w:spacing w:before="80" w:line="240" w:lineRule="auto"/>
      <w:ind w:left="709"/>
    </w:pPr>
  </w:style>
  <w:style w:type="paragraph" w:customStyle="1" w:styleId="ItemHead">
    <w:name w:val="ItemHead"/>
    <w:aliases w:val="ih"/>
    <w:basedOn w:val="OPCParaBase"/>
    <w:next w:val="Item"/>
    <w:link w:val="ItemHeadChar"/>
    <w:rsid w:val="00BB38D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B38D6"/>
    <w:pPr>
      <w:spacing w:line="240" w:lineRule="auto"/>
    </w:pPr>
    <w:rPr>
      <w:b/>
      <w:sz w:val="32"/>
    </w:rPr>
  </w:style>
  <w:style w:type="paragraph" w:customStyle="1" w:styleId="notedraft">
    <w:name w:val="note(draft)"/>
    <w:aliases w:val="nd"/>
    <w:basedOn w:val="OPCParaBase"/>
    <w:rsid w:val="00BB38D6"/>
    <w:pPr>
      <w:spacing w:before="240" w:line="240" w:lineRule="auto"/>
      <w:ind w:left="284" w:hanging="284"/>
    </w:pPr>
    <w:rPr>
      <w:i/>
      <w:sz w:val="24"/>
    </w:rPr>
  </w:style>
  <w:style w:type="paragraph" w:customStyle="1" w:styleId="notemargin">
    <w:name w:val="note(margin)"/>
    <w:aliases w:val="nm"/>
    <w:basedOn w:val="OPCParaBase"/>
    <w:rsid w:val="00BB38D6"/>
    <w:pPr>
      <w:tabs>
        <w:tab w:val="left" w:pos="709"/>
      </w:tabs>
      <w:spacing w:before="122" w:line="198" w:lineRule="exact"/>
      <w:ind w:left="709" w:hanging="709"/>
    </w:pPr>
    <w:rPr>
      <w:sz w:val="18"/>
    </w:rPr>
  </w:style>
  <w:style w:type="paragraph" w:customStyle="1" w:styleId="noteToPara">
    <w:name w:val="noteToPara"/>
    <w:aliases w:val="ntp"/>
    <w:basedOn w:val="OPCParaBase"/>
    <w:rsid w:val="00BB38D6"/>
    <w:pPr>
      <w:spacing w:before="122" w:line="198" w:lineRule="exact"/>
      <w:ind w:left="2353" w:hanging="709"/>
    </w:pPr>
    <w:rPr>
      <w:sz w:val="18"/>
    </w:rPr>
  </w:style>
  <w:style w:type="paragraph" w:customStyle="1" w:styleId="noteParlAmend">
    <w:name w:val="note(ParlAmend)"/>
    <w:aliases w:val="npp"/>
    <w:basedOn w:val="OPCParaBase"/>
    <w:next w:val="ParlAmend"/>
    <w:rsid w:val="00BB38D6"/>
    <w:pPr>
      <w:spacing w:line="240" w:lineRule="auto"/>
      <w:jc w:val="right"/>
    </w:pPr>
    <w:rPr>
      <w:rFonts w:ascii="Arial" w:hAnsi="Arial"/>
      <w:b/>
      <w:i/>
    </w:rPr>
  </w:style>
  <w:style w:type="paragraph" w:customStyle="1" w:styleId="Page1">
    <w:name w:val="Page1"/>
    <w:basedOn w:val="OPCParaBase"/>
    <w:rsid w:val="00BB38D6"/>
    <w:pPr>
      <w:spacing w:before="400" w:line="240" w:lineRule="auto"/>
    </w:pPr>
    <w:rPr>
      <w:b/>
      <w:sz w:val="32"/>
    </w:rPr>
  </w:style>
  <w:style w:type="paragraph" w:customStyle="1" w:styleId="PageBreak">
    <w:name w:val="PageBreak"/>
    <w:aliases w:val="pb"/>
    <w:basedOn w:val="OPCParaBase"/>
    <w:rsid w:val="00BB38D6"/>
    <w:pPr>
      <w:spacing w:line="240" w:lineRule="auto"/>
    </w:pPr>
    <w:rPr>
      <w:sz w:val="20"/>
    </w:rPr>
  </w:style>
  <w:style w:type="paragraph" w:customStyle="1" w:styleId="paragraphsub">
    <w:name w:val="paragraph(sub)"/>
    <w:aliases w:val="aa"/>
    <w:basedOn w:val="OPCParaBase"/>
    <w:rsid w:val="00BB38D6"/>
    <w:pPr>
      <w:tabs>
        <w:tab w:val="right" w:pos="1985"/>
      </w:tabs>
      <w:spacing w:before="40" w:line="240" w:lineRule="auto"/>
      <w:ind w:left="2098" w:hanging="2098"/>
    </w:pPr>
  </w:style>
  <w:style w:type="paragraph" w:customStyle="1" w:styleId="paragraphsub-sub">
    <w:name w:val="paragraph(sub-sub)"/>
    <w:aliases w:val="aaa"/>
    <w:basedOn w:val="OPCParaBase"/>
    <w:rsid w:val="00BB38D6"/>
    <w:pPr>
      <w:tabs>
        <w:tab w:val="right" w:pos="2722"/>
      </w:tabs>
      <w:spacing w:before="40" w:line="240" w:lineRule="auto"/>
      <w:ind w:left="2835" w:hanging="2835"/>
    </w:pPr>
  </w:style>
  <w:style w:type="paragraph" w:customStyle="1" w:styleId="paragraph">
    <w:name w:val="paragraph"/>
    <w:aliases w:val="a"/>
    <w:basedOn w:val="OPCParaBase"/>
    <w:link w:val="paragraphChar"/>
    <w:rsid w:val="00BB38D6"/>
    <w:pPr>
      <w:tabs>
        <w:tab w:val="right" w:pos="1531"/>
      </w:tabs>
      <w:spacing w:before="40" w:line="240" w:lineRule="auto"/>
      <w:ind w:left="1644" w:hanging="1644"/>
    </w:pPr>
  </w:style>
  <w:style w:type="paragraph" w:customStyle="1" w:styleId="ParlAmend">
    <w:name w:val="ParlAmend"/>
    <w:aliases w:val="pp"/>
    <w:basedOn w:val="OPCParaBase"/>
    <w:rsid w:val="00BB38D6"/>
    <w:pPr>
      <w:spacing w:before="240" w:line="240" w:lineRule="atLeast"/>
      <w:ind w:hanging="567"/>
    </w:pPr>
    <w:rPr>
      <w:sz w:val="24"/>
    </w:rPr>
  </w:style>
  <w:style w:type="paragraph" w:customStyle="1" w:styleId="Penalty">
    <w:name w:val="Penalty"/>
    <w:basedOn w:val="OPCParaBase"/>
    <w:rsid w:val="00BB38D6"/>
    <w:pPr>
      <w:tabs>
        <w:tab w:val="left" w:pos="2977"/>
      </w:tabs>
      <w:spacing w:before="180" w:line="240" w:lineRule="auto"/>
      <w:ind w:left="1985" w:hanging="851"/>
    </w:pPr>
  </w:style>
  <w:style w:type="paragraph" w:customStyle="1" w:styleId="Portfolio">
    <w:name w:val="Portfolio"/>
    <w:basedOn w:val="OPCParaBase"/>
    <w:rsid w:val="00BB38D6"/>
    <w:pPr>
      <w:spacing w:line="240" w:lineRule="auto"/>
    </w:pPr>
    <w:rPr>
      <w:i/>
      <w:sz w:val="20"/>
    </w:rPr>
  </w:style>
  <w:style w:type="paragraph" w:customStyle="1" w:styleId="Preamble">
    <w:name w:val="Preamble"/>
    <w:basedOn w:val="OPCParaBase"/>
    <w:next w:val="Normal"/>
    <w:rsid w:val="00BB38D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B38D6"/>
    <w:pPr>
      <w:spacing w:line="240" w:lineRule="auto"/>
    </w:pPr>
    <w:rPr>
      <w:i/>
      <w:sz w:val="20"/>
    </w:rPr>
  </w:style>
  <w:style w:type="paragraph" w:customStyle="1" w:styleId="Session">
    <w:name w:val="Session"/>
    <w:basedOn w:val="OPCParaBase"/>
    <w:rsid w:val="00BB38D6"/>
    <w:pPr>
      <w:spacing w:line="240" w:lineRule="auto"/>
    </w:pPr>
    <w:rPr>
      <w:sz w:val="28"/>
    </w:rPr>
  </w:style>
  <w:style w:type="paragraph" w:customStyle="1" w:styleId="Sponsor">
    <w:name w:val="Sponsor"/>
    <w:basedOn w:val="OPCParaBase"/>
    <w:rsid w:val="00BB38D6"/>
    <w:pPr>
      <w:spacing w:line="240" w:lineRule="auto"/>
    </w:pPr>
    <w:rPr>
      <w:i/>
    </w:rPr>
  </w:style>
  <w:style w:type="paragraph" w:customStyle="1" w:styleId="Subitem">
    <w:name w:val="Subitem"/>
    <w:aliases w:val="iss"/>
    <w:basedOn w:val="OPCParaBase"/>
    <w:rsid w:val="00BB38D6"/>
    <w:pPr>
      <w:spacing w:before="180" w:line="240" w:lineRule="auto"/>
      <w:ind w:left="709" w:hanging="709"/>
    </w:pPr>
  </w:style>
  <w:style w:type="paragraph" w:customStyle="1" w:styleId="SubitemHead">
    <w:name w:val="SubitemHead"/>
    <w:aliases w:val="issh"/>
    <w:basedOn w:val="OPCParaBase"/>
    <w:rsid w:val="00BB38D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B38D6"/>
    <w:pPr>
      <w:spacing w:before="40" w:line="240" w:lineRule="auto"/>
      <w:ind w:left="1134"/>
    </w:pPr>
  </w:style>
  <w:style w:type="paragraph" w:customStyle="1" w:styleId="SubsectionHead">
    <w:name w:val="SubsectionHead"/>
    <w:aliases w:val="ssh"/>
    <w:basedOn w:val="OPCParaBase"/>
    <w:next w:val="subsection"/>
    <w:rsid w:val="00BB38D6"/>
    <w:pPr>
      <w:keepNext/>
      <w:keepLines/>
      <w:spacing w:before="240" w:line="240" w:lineRule="auto"/>
      <w:ind w:left="1134"/>
    </w:pPr>
    <w:rPr>
      <w:i/>
    </w:rPr>
  </w:style>
  <w:style w:type="paragraph" w:customStyle="1" w:styleId="Tablea">
    <w:name w:val="Table(a)"/>
    <w:aliases w:val="ta"/>
    <w:basedOn w:val="OPCParaBase"/>
    <w:rsid w:val="00BB38D6"/>
    <w:pPr>
      <w:spacing w:before="60" w:line="240" w:lineRule="auto"/>
      <w:ind w:left="284" w:hanging="284"/>
    </w:pPr>
    <w:rPr>
      <w:sz w:val="20"/>
    </w:rPr>
  </w:style>
  <w:style w:type="paragraph" w:customStyle="1" w:styleId="TableAA">
    <w:name w:val="Table(AA)"/>
    <w:aliases w:val="taaa"/>
    <w:basedOn w:val="OPCParaBase"/>
    <w:rsid w:val="00BB38D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B38D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B38D6"/>
    <w:pPr>
      <w:spacing w:before="60" w:line="240" w:lineRule="atLeast"/>
    </w:pPr>
    <w:rPr>
      <w:sz w:val="20"/>
    </w:rPr>
  </w:style>
  <w:style w:type="paragraph" w:customStyle="1" w:styleId="TLPBoxTextnote">
    <w:name w:val="TLPBoxText(note"/>
    <w:aliases w:val="right)"/>
    <w:basedOn w:val="OPCParaBase"/>
    <w:rsid w:val="00BB38D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B38D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B38D6"/>
    <w:pPr>
      <w:spacing w:before="122" w:line="198" w:lineRule="exact"/>
      <w:ind w:left="1985" w:hanging="851"/>
      <w:jc w:val="right"/>
    </w:pPr>
    <w:rPr>
      <w:sz w:val="18"/>
    </w:rPr>
  </w:style>
  <w:style w:type="paragraph" w:customStyle="1" w:styleId="TLPTableBullet">
    <w:name w:val="TLPTableBullet"/>
    <w:aliases w:val="ttb"/>
    <w:basedOn w:val="OPCParaBase"/>
    <w:rsid w:val="00BB38D6"/>
    <w:pPr>
      <w:spacing w:line="240" w:lineRule="exact"/>
      <w:ind w:left="284" w:hanging="284"/>
    </w:pPr>
    <w:rPr>
      <w:sz w:val="20"/>
    </w:rPr>
  </w:style>
  <w:style w:type="paragraph" w:styleId="TOC1">
    <w:name w:val="toc 1"/>
    <w:basedOn w:val="OPCParaBase"/>
    <w:next w:val="Normal"/>
    <w:uiPriority w:val="39"/>
    <w:semiHidden/>
    <w:unhideWhenUsed/>
    <w:rsid w:val="00BB38D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BB38D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BB38D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BB38D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B38D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B38D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B38D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B38D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B38D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B38D6"/>
    <w:pPr>
      <w:keepLines/>
      <w:spacing w:before="240" w:after="120" w:line="240" w:lineRule="auto"/>
      <w:ind w:left="794"/>
    </w:pPr>
    <w:rPr>
      <w:b/>
      <w:kern w:val="28"/>
      <w:sz w:val="20"/>
    </w:rPr>
  </w:style>
  <w:style w:type="paragraph" w:customStyle="1" w:styleId="TofSectsHeading">
    <w:name w:val="TofSects(Heading)"/>
    <w:basedOn w:val="OPCParaBase"/>
    <w:rsid w:val="00BB38D6"/>
    <w:pPr>
      <w:spacing w:before="240" w:after="120" w:line="240" w:lineRule="auto"/>
    </w:pPr>
    <w:rPr>
      <w:b/>
      <w:sz w:val="24"/>
    </w:rPr>
  </w:style>
  <w:style w:type="paragraph" w:customStyle="1" w:styleId="TofSectsSection">
    <w:name w:val="TofSects(Section)"/>
    <w:basedOn w:val="OPCParaBase"/>
    <w:rsid w:val="00BB38D6"/>
    <w:pPr>
      <w:keepLines/>
      <w:spacing w:before="40" w:line="240" w:lineRule="auto"/>
      <w:ind w:left="1588" w:hanging="794"/>
    </w:pPr>
    <w:rPr>
      <w:kern w:val="28"/>
      <w:sz w:val="18"/>
    </w:rPr>
  </w:style>
  <w:style w:type="paragraph" w:customStyle="1" w:styleId="TofSectsSubdiv">
    <w:name w:val="TofSects(Subdiv)"/>
    <w:basedOn w:val="OPCParaBase"/>
    <w:rsid w:val="00BB38D6"/>
    <w:pPr>
      <w:keepLines/>
      <w:spacing w:before="80" w:line="240" w:lineRule="auto"/>
      <w:ind w:left="1588" w:hanging="794"/>
    </w:pPr>
    <w:rPr>
      <w:kern w:val="28"/>
    </w:rPr>
  </w:style>
  <w:style w:type="paragraph" w:customStyle="1" w:styleId="WRStyle">
    <w:name w:val="WR Style"/>
    <w:aliases w:val="WR"/>
    <w:basedOn w:val="OPCParaBase"/>
    <w:rsid w:val="00BB38D6"/>
    <w:pPr>
      <w:spacing w:before="240" w:line="240" w:lineRule="auto"/>
      <w:ind w:left="284" w:hanging="284"/>
    </w:pPr>
    <w:rPr>
      <w:b/>
      <w:i/>
      <w:kern w:val="28"/>
      <w:sz w:val="24"/>
    </w:rPr>
  </w:style>
  <w:style w:type="paragraph" w:customStyle="1" w:styleId="notepara">
    <w:name w:val="note(para)"/>
    <w:aliases w:val="na"/>
    <w:basedOn w:val="OPCParaBase"/>
    <w:rsid w:val="00BB38D6"/>
    <w:pPr>
      <w:spacing w:before="40" w:line="198" w:lineRule="exact"/>
      <w:ind w:left="2354" w:hanging="369"/>
    </w:pPr>
    <w:rPr>
      <w:sz w:val="18"/>
    </w:rPr>
  </w:style>
  <w:style w:type="paragraph" w:styleId="Footer">
    <w:name w:val="footer"/>
    <w:link w:val="FooterChar"/>
    <w:rsid w:val="00BB38D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B38D6"/>
    <w:rPr>
      <w:rFonts w:eastAsia="Times New Roman" w:cs="Times New Roman"/>
      <w:sz w:val="22"/>
      <w:szCs w:val="24"/>
      <w:lang w:eastAsia="en-AU"/>
    </w:rPr>
  </w:style>
  <w:style w:type="character" w:styleId="LineNumber">
    <w:name w:val="line number"/>
    <w:basedOn w:val="OPCCharBase"/>
    <w:uiPriority w:val="99"/>
    <w:semiHidden/>
    <w:unhideWhenUsed/>
    <w:rsid w:val="00BB38D6"/>
    <w:rPr>
      <w:sz w:val="16"/>
    </w:rPr>
  </w:style>
  <w:style w:type="table" w:customStyle="1" w:styleId="CFlag">
    <w:name w:val="CFlag"/>
    <w:basedOn w:val="TableNormal"/>
    <w:uiPriority w:val="99"/>
    <w:rsid w:val="00BB38D6"/>
    <w:rPr>
      <w:rFonts w:eastAsia="Times New Roman" w:cs="Times New Roman"/>
      <w:lang w:eastAsia="en-AU"/>
    </w:rPr>
    <w:tblPr/>
  </w:style>
  <w:style w:type="paragraph" w:customStyle="1" w:styleId="NotesHeading1">
    <w:name w:val="NotesHeading 1"/>
    <w:basedOn w:val="OPCParaBase"/>
    <w:next w:val="Normal"/>
    <w:rsid w:val="00BB38D6"/>
    <w:rPr>
      <w:b/>
      <w:sz w:val="28"/>
      <w:szCs w:val="28"/>
    </w:rPr>
  </w:style>
  <w:style w:type="paragraph" w:customStyle="1" w:styleId="NotesHeading2">
    <w:name w:val="NotesHeading 2"/>
    <w:basedOn w:val="OPCParaBase"/>
    <w:next w:val="Normal"/>
    <w:rsid w:val="00BB38D6"/>
    <w:rPr>
      <w:b/>
      <w:sz w:val="28"/>
      <w:szCs w:val="28"/>
    </w:rPr>
  </w:style>
  <w:style w:type="paragraph" w:customStyle="1" w:styleId="SignCoverPageEnd">
    <w:name w:val="SignCoverPageEnd"/>
    <w:basedOn w:val="OPCParaBase"/>
    <w:next w:val="Normal"/>
    <w:rsid w:val="00BB38D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B38D6"/>
    <w:pPr>
      <w:pBdr>
        <w:top w:val="single" w:sz="4" w:space="1" w:color="auto"/>
      </w:pBdr>
      <w:spacing w:before="360"/>
      <w:ind w:right="397"/>
      <w:jc w:val="both"/>
    </w:pPr>
  </w:style>
  <w:style w:type="paragraph" w:customStyle="1" w:styleId="Paragraphsub-sub-sub">
    <w:name w:val="Paragraph(sub-sub-sub)"/>
    <w:aliases w:val="aaaa"/>
    <w:basedOn w:val="OPCParaBase"/>
    <w:rsid w:val="00BB38D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B38D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B38D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B38D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B38D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BB38D6"/>
    <w:pPr>
      <w:spacing w:before="120"/>
    </w:pPr>
  </w:style>
  <w:style w:type="paragraph" w:customStyle="1" w:styleId="TableTextEndNotes">
    <w:name w:val="TableTextEndNotes"/>
    <w:aliases w:val="Tten"/>
    <w:basedOn w:val="Normal"/>
    <w:rsid w:val="00BB38D6"/>
    <w:pPr>
      <w:spacing w:before="60" w:line="240" w:lineRule="auto"/>
    </w:pPr>
    <w:rPr>
      <w:rFonts w:cs="Arial"/>
      <w:sz w:val="20"/>
      <w:szCs w:val="22"/>
    </w:rPr>
  </w:style>
  <w:style w:type="paragraph" w:customStyle="1" w:styleId="TableHeading">
    <w:name w:val="TableHeading"/>
    <w:aliases w:val="th"/>
    <w:basedOn w:val="OPCParaBase"/>
    <w:next w:val="Tabletext"/>
    <w:rsid w:val="00BB38D6"/>
    <w:pPr>
      <w:keepNext/>
      <w:spacing w:before="60" w:line="240" w:lineRule="atLeast"/>
    </w:pPr>
    <w:rPr>
      <w:b/>
      <w:sz w:val="20"/>
    </w:rPr>
  </w:style>
  <w:style w:type="paragraph" w:customStyle="1" w:styleId="NoteToSubpara">
    <w:name w:val="NoteToSubpara"/>
    <w:aliases w:val="nts"/>
    <w:basedOn w:val="OPCParaBase"/>
    <w:rsid w:val="00BB38D6"/>
    <w:pPr>
      <w:spacing w:before="40" w:line="198" w:lineRule="exact"/>
      <w:ind w:left="2835" w:hanging="709"/>
    </w:pPr>
    <w:rPr>
      <w:sz w:val="18"/>
    </w:rPr>
  </w:style>
  <w:style w:type="paragraph" w:customStyle="1" w:styleId="ENoteTableHeading">
    <w:name w:val="ENoteTableHeading"/>
    <w:aliases w:val="enth"/>
    <w:basedOn w:val="OPCParaBase"/>
    <w:rsid w:val="00BB38D6"/>
    <w:pPr>
      <w:keepNext/>
      <w:spacing w:before="60" w:line="240" w:lineRule="atLeast"/>
    </w:pPr>
    <w:rPr>
      <w:rFonts w:ascii="Arial" w:hAnsi="Arial"/>
      <w:b/>
      <w:sz w:val="16"/>
    </w:rPr>
  </w:style>
  <w:style w:type="paragraph" w:customStyle="1" w:styleId="ENoteTTi">
    <w:name w:val="ENoteTTi"/>
    <w:aliases w:val="entti"/>
    <w:basedOn w:val="OPCParaBase"/>
    <w:rsid w:val="00BB38D6"/>
    <w:pPr>
      <w:keepNext/>
      <w:spacing w:before="60" w:line="240" w:lineRule="atLeast"/>
      <w:ind w:left="170"/>
    </w:pPr>
    <w:rPr>
      <w:sz w:val="16"/>
    </w:rPr>
  </w:style>
  <w:style w:type="paragraph" w:customStyle="1" w:styleId="ENotesHeading1">
    <w:name w:val="ENotesHeading 1"/>
    <w:aliases w:val="Enh1"/>
    <w:basedOn w:val="OPCParaBase"/>
    <w:next w:val="Normal"/>
    <w:rsid w:val="00BB38D6"/>
    <w:pPr>
      <w:spacing w:before="120"/>
      <w:outlineLvl w:val="1"/>
    </w:pPr>
    <w:rPr>
      <w:b/>
      <w:sz w:val="28"/>
      <w:szCs w:val="28"/>
    </w:rPr>
  </w:style>
  <w:style w:type="paragraph" w:customStyle="1" w:styleId="ENotesHeading2">
    <w:name w:val="ENotesHeading 2"/>
    <w:aliases w:val="Enh2"/>
    <w:basedOn w:val="OPCParaBase"/>
    <w:next w:val="Normal"/>
    <w:rsid w:val="00BB38D6"/>
    <w:pPr>
      <w:spacing w:before="120" w:after="120"/>
      <w:outlineLvl w:val="2"/>
    </w:pPr>
    <w:rPr>
      <w:b/>
      <w:sz w:val="24"/>
      <w:szCs w:val="28"/>
    </w:rPr>
  </w:style>
  <w:style w:type="paragraph" w:customStyle="1" w:styleId="ENoteTTIndentHeading">
    <w:name w:val="ENoteTTIndentHeading"/>
    <w:aliases w:val="enTTHi"/>
    <w:basedOn w:val="OPCParaBase"/>
    <w:rsid w:val="00BB38D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B38D6"/>
    <w:pPr>
      <w:spacing w:before="60" w:line="240" w:lineRule="atLeast"/>
    </w:pPr>
    <w:rPr>
      <w:sz w:val="16"/>
    </w:rPr>
  </w:style>
  <w:style w:type="paragraph" w:customStyle="1" w:styleId="MadeunderText">
    <w:name w:val="MadeunderText"/>
    <w:basedOn w:val="OPCParaBase"/>
    <w:next w:val="Normal"/>
    <w:rsid w:val="00BB38D6"/>
    <w:pPr>
      <w:spacing w:before="240"/>
    </w:pPr>
    <w:rPr>
      <w:sz w:val="24"/>
      <w:szCs w:val="24"/>
    </w:rPr>
  </w:style>
  <w:style w:type="paragraph" w:customStyle="1" w:styleId="ENotesHeading3">
    <w:name w:val="ENotesHeading 3"/>
    <w:aliases w:val="Enh3"/>
    <w:basedOn w:val="OPCParaBase"/>
    <w:next w:val="Normal"/>
    <w:rsid w:val="00BB38D6"/>
    <w:pPr>
      <w:keepNext/>
      <w:spacing w:before="120" w:line="240" w:lineRule="auto"/>
      <w:outlineLvl w:val="4"/>
    </w:pPr>
    <w:rPr>
      <w:b/>
      <w:szCs w:val="24"/>
    </w:rPr>
  </w:style>
  <w:style w:type="paragraph" w:customStyle="1" w:styleId="SubPartCASA">
    <w:name w:val="SubPart(CASA)"/>
    <w:aliases w:val="csp"/>
    <w:basedOn w:val="OPCParaBase"/>
    <w:next w:val="ActHead3"/>
    <w:rsid w:val="00BB38D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B38D6"/>
  </w:style>
  <w:style w:type="character" w:customStyle="1" w:styleId="CharSubPartNoCASA">
    <w:name w:val="CharSubPartNo(CASA)"/>
    <w:basedOn w:val="OPCCharBase"/>
    <w:uiPriority w:val="1"/>
    <w:rsid w:val="00BB38D6"/>
  </w:style>
  <w:style w:type="paragraph" w:customStyle="1" w:styleId="ENoteTTIndentHeadingSub">
    <w:name w:val="ENoteTTIndentHeadingSub"/>
    <w:aliases w:val="enTTHis"/>
    <w:basedOn w:val="OPCParaBase"/>
    <w:rsid w:val="00BB38D6"/>
    <w:pPr>
      <w:keepNext/>
      <w:spacing w:before="60" w:line="240" w:lineRule="atLeast"/>
      <w:ind w:left="340"/>
    </w:pPr>
    <w:rPr>
      <w:b/>
      <w:sz w:val="16"/>
    </w:rPr>
  </w:style>
  <w:style w:type="paragraph" w:customStyle="1" w:styleId="ENoteTTiSub">
    <w:name w:val="ENoteTTiSub"/>
    <w:aliases w:val="enttis"/>
    <w:basedOn w:val="OPCParaBase"/>
    <w:rsid w:val="00BB38D6"/>
    <w:pPr>
      <w:keepNext/>
      <w:spacing w:before="60" w:line="240" w:lineRule="atLeast"/>
      <w:ind w:left="340"/>
    </w:pPr>
    <w:rPr>
      <w:sz w:val="16"/>
    </w:rPr>
  </w:style>
  <w:style w:type="paragraph" w:customStyle="1" w:styleId="SubDivisionMigration">
    <w:name w:val="SubDivisionMigration"/>
    <w:aliases w:val="sdm"/>
    <w:basedOn w:val="OPCParaBase"/>
    <w:rsid w:val="00BB38D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B38D6"/>
    <w:pPr>
      <w:keepNext/>
      <w:keepLines/>
      <w:spacing w:before="240" w:line="240" w:lineRule="auto"/>
      <w:ind w:left="1134" w:hanging="1134"/>
    </w:pPr>
    <w:rPr>
      <w:b/>
      <w:sz w:val="28"/>
    </w:rPr>
  </w:style>
  <w:style w:type="table" w:styleId="TableGrid">
    <w:name w:val="Table Grid"/>
    <w:basedOn w:val="TableNormal"/>
    <w:uiPriority w:val="59"/>
    <w:rsid w:val="00BB3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BB38D6"/>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BB38D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B38D6"/>
    <w:rPr>
      <w:sz w:val="22"/>
    </w:rPr>
  </w:style>
  <w:style w:type="paragraph" w:customStyle="1" w:styleId="SOTextNote">
    <w:name w:val="SO TextNote"/>
    <w:aliases w:val="sont"/>
    <w:basedOn w:val="SOText"/>
    <w:qFormat/>
    <w:rsid w:val="00BB38D6"/>
    <w:pPr>
      <w:spacing w:before="122" w:line="198" w:lineRule="exact"/>
      <w:ind w:left="1843" w:hanging="709"/>
    </w:pPr>
    <w:rPr>
      <w:sz w:val="18"/>
    </w:rPr>
  </w:style>
  <w:style w:type="paragraph" w:customStyle="1" w:styleId="SOPara">
    <w:name w:val="SO Para"/>
    <w:aliases w:val="soa"/>
    <w:basedOn w:val="SOText"/>
    <w:link w:val="SOParaChar"/>
    <w:qFormat/>
    <w:rsid w:val="00BB38D6"/>
    <w:pPr>
      <w:tabs>
        <w:tab w:val="right" w:pos="1786"/>
      </w:tabs>
      <w:spacing w:before="40"/>
      <w:ind w:left="2070" w:hanging="936"/>
    </w:pPr>
  </w:style>
  <w:style w:type="character" w:customStyle="1" w:styleId="SOParaChar">
    <w:name w:val="SO Para Char"/>
    <w:aliases w:val="soa Char"/>
    <w:basedOn w:val="DefaultParagraphFont"/>
    <w:link w:val="SOPara"/>
    <w:rsid w:val="00BB38D6"/>
    <w:rPr>
      <w:sz w:val="22"/>
    </w:rPr>
  </w:style>
  <w:style w:type="paragraph" w:customStyle="1" w:styleId="FileName">
    <w:name w:val="FileName"/>
    <w:basedOn w:val="Normal"/>
    <w:rsid w:val="00BB38D6"/>
  </w:style>
  <w:style w:type="paragraph" w:customStyle="1" w:styleId="SOHeadBold">
    <w:name w:val="SO HeadBold"/>
    <w:aliases w:val="sohb"/>
    <w:basedOn w:val="SOText"/>
    <w:next w:val="SOText"/>
    <w:link w:val="SOHeadBoldChar"/>
    <w:qFormat/>
    <w:rsid w:val="00BB38D6"/>
    <w:rPr>
      <w:b/>
    </w:rPr>
  </w:style>
  <w:style w:type="character" w:customStyle="1" w:styleId="SOHeadBoldChar">
    <w:name w:val="SO HeadBold Char"/>
    <w:aliases w:val="sohb Char"/>
    <w:basedOn w:val="DefaultParagraphFont"/>
    <w:link w:val="SOHeadBold"/>
    <w:rsid w:val="00BB38D6"/>
    <w:rPr>
      <w:b/>
      <w:sz w:val="22"/>
    </w:rPr>
  </w:style>
  <w:style w:type="paragraph" w:customStyle="1" w:styleId="SOHeadItalic">
    <w:name w:val="SO HeadItalic"/>
    <w:aliases w:val="sohi"/>
    <w:basedOn w:val="SOText"/>
    <w:next w:val="SOText"/>
    <w:link w:val="SOHeadItalicChar"/>
    <w:qFormat/>
    <w:rsid w:val="00BB38D6"/>
    <w:rPr>
      <w:i/>
    </w:rPr>
  </w:style>
  <w:style w:type="character" w:customStyle="1" w:styleId="SOHeadItalicChar">
    <w:name w:val="SO HeadItalic Char"/>
    <w:aliases w:val="sohi Char"/>
    <w:basedOn w:val="DefaultParagraphFont"/>
    <w:link w:val="SOHeadItalic"/>
    <w:rsid w:val="00BB38D6"/>
    <w:rPr>
      <w:i/>
      <w:sz w:val="22"/>
    </w:rPr>
  </w:style>
  <w:style w:type="paragraph" w:customStyle="1" w:styleId="SOBullet">
    <w:name w:val="SO Bullet"/>
    <w:aliases w:val="sotb"/>
    <w:basedOn w:val="SOText"/>
    <w:link w:val="SOBulletChar"/>
    <w:qFormat/>
    <w:rsid w:val="00BB38D6"/>
    <w:pPr>
      <w:ind w:left="1559" w:hanging="425"/>
    </w:pPr>
  </w:style>
  <w:style w:type="character" w:customStyle="1" w:styleId="SOBulletChar">
    <w:name w:val="SO Bullet Char"/>
    <w:aliases w:val="sotb Char"/>
    <w:basedOn w:val="DefaultParagraphFont"/>
    <w:link w:val="SOBullet"/>
    <w:rsid w:val="00BB38D6"/>
    <w:rPr>
      <w:sz w:val="22"/>
    </w:rPr>
  </w:style>
  <w:style w:type="paragraph" w:customStyle="1" w:styleId="SOBulletNote">
    <w:name w:val="SO BulletNote"/>
    <w:aliases w:val="sonb"/>
    <w:basedOn w:val="SOTextNote"/>
    <w:link w:val="SOBulletNoteChar"/>
    <w:qFormat/>
    <w:rsid w:val="00BB38D6"/>
    <w:pPr>
      <w:tabs>
        <w:tab w:val="left" w:pos="1560"/>
      </w:tabs>
      <w:ind w:left="2268" w:hanging="1134"/>
    </w:pPr>
  </w:style>
  <w:style w:type="character" w:customStyle="1" w:styleId="SOBulletNoteChar">
    <w:name w:val="SO BulletNote Char"/>
    <w:aliases w:val="sonb Char"/>
    <w:basedOn w:val="DefaultParagraphFont"/>
    <w:link w:val="SOBulletNote"/>
    <w:rsid w:val="00BB38D6"/>
    <w:rPr>
      <w:sz w:val="18"/>
    </w:rPr>
  </w:style>
  <w:style w:type="paragraph" w:customStyle="1" w:styleId="SOText2">
    <w:name w:val="SO Text2"/>
    <w:aliases w:val="sot2"/>
    <w:basedOn w:val="Normal"/>
    <w:next w:val="SOText"/>
    <w:link w:val="SOText2Char"/>
    <w:rsid w:val="00BB38D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B38D6"/>
    <w:rPr>
      <w:sz w:val="22"/>
    </w:rPr>
  </w:style>
  <w:style w:type="paragraph" w:customStyle="1" w:styleId="Transitional">
    <w:name w:val="Transitional"/>
    <w:aliases w:val="tr"/>
    <w:basedOn w:val="ItemHead"/>
    <w:next w:val="Item"/>
    <w:rsid w:val="00BB38D6"/>
  </w:style>
  <w:style w:type="character" w:customStyle="1" w:styleId="subsectionChar">
    <w:name w:val="subsection Char"/>
    <w:aliases w:val="ss Char"/>
    <w:link w:val="subsection"/>
    <w:rsid w:val="00803482"/>
    <w:rPr>
      <w:rFonts w:eastAsia="Times New Roman" w:cs="Times New Roman"/>
      <w:sz w:val="22"/>
      <w:lang w:eastAsia="en-AU"/>
    </w:rPr>
  </w:style>
  <w:style w:type="character" w:customStyle="1" w:styleId="paragraphChar">
    <w:name w:val="paragraph Char"/>
    <w:aliases w:val="a Char"/>
    <w:link w:val="paragraph"/>
    <w:rsid w:val="00803482"/>
    <w:rPr>
      <w:rFonts w:eastAsia="Times New Roman" w:cs="Times New Roman"/>
      <w:sz w:val="22"/>
      <w:lang w:eastAsia="en-AU"/>
    </w:rPr>
  </w:style>
  <w:style w:type="character" w:customStyle="1" w:styleId="ItemHeadChar">
    <w:name w:val="ItemHead Char"/>
    <w:aliases w:val="ih Char"/>
    <w:basedOn w:val="DefaultParagraphFont"/>
    <w:link w:val="ItemHead"/>
    <w:locked/>
    <w:rsid w:val="00803482"/>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locked/>
    <w:rsid w:val="00803482"/>
    <w:rPr>
      <w:rFonts w:eastAsia="Times New Roman" w:cs="Times New Roman"/>
      <w:sz w:val="22"/>
      <w:lang w:eastAsia="en-AU"/>
    </w:rPr>
  </w:style>
  <w:style w:type="paragraph" w:styleId="BalloonText">
    <w:name w:val="Balloon Text"/>
    <w:basedOn w:val="Normal"/>
    <w:link w:val="BalloonTextChar"/>
    <w:uiPriority w:val="99"/>
    <w:semiHidden/>
    <w:unhideWhenUsed/>
    <w:rsid w:val="00A36D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D65"/>
    <w:rPr>
      <w:rFonts w:ascii="Tahoma" w:hAnsi="Tahoma" w:cs="Tahoma"/>
      <w:sz w:val="16"/>
      <w:szCs w:val="16"/>
    </w:rPr>
  </w:style>
  <w:style w:type="character" w:styleId="Hyperlink">
    <w:name w:val="Hyperlink"/>
    <w:basedOn w:val="DefaultParagraphFont"/>
    <w:uiPriority w:val="99"/>
    <w:semiHidden/>
    <w:unhideWhenUsed/>
    <w:rsid w:val="00627DB4"/>
    <w:rPr>
      <w:color w:val="0000FF" w:themeColor="hyperlink"/>
      <w:u w:val="single"/>
    </w:rPr>
  </w:style>
  <w:style w:type="character" w:styleId="FollowedHyperlink">
    <w:name w:val="FollowedHyperlink"/>
    <w:basedOn w:val="DefaultParagraphFont"/>
    <w:uiPriority w:val="99"/>
    <w:semiHidden/>
    <w:unhideWhenUsed/>
    <w:rsid w:val="00627DB4"/>
    <w:rPr>
      <w:color w:val="0000FF" w:themeColor="hyperlink"/>
      <w:u w:val="single"/>
    </w:rPr>
  </w:style>
  <w:style w:type="character" w:customStyle="1" w:styleId="Heading1Char">
    <w:name w:val="Heading 1 Char"/>
    <w:basedOn w:val="DefaultParagraphFont"/>
    <w:link w:val="Heading1"/>
    <w:uiPriority w:val="9"/>
    <w:rsid w:val="00115B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15B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15B9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15B9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15B9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15B9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15B9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15B9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15B97"/>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115B97"/>
    <w:pPr>
      <w:spacing w:before="800"/>
    </w:pPr>
  </w:style>
  <w:style w:type="character" w:customStyle="1" w:styleId="OPCParaBaseChar">
    <w:name w:val="OPCParaBase Char"/>
    <w:basedOn w:val="DefaultParagraphFont"/>
    <w:link w:val="OPCParaBase"/>
    <w:rsid w:val="00115B97"/>
    <w:rPr>
      <w:rFonts w:eastAsia="Times New Roman" w:cs="Times New Roman"/>
      <w:sz w:val="22"/>
      <w:lang w:eastAsia="en-AU"/>
    </w:rPr>
  </w:style>
  <w:style w:type="character" w:customStyle="1" w:styleId="ShortTChar">
    <w:name w:val="ShortT Char"/>
    <w:basedOn w:val="OPCParaBaseChar"/>
    <w:link w:val="ShortT"/>
    <w:rsid w:val="00115B97"/>
    <w:rPr>
      <w:rFonts w:eastAsia="Times New Roman" w:cs="Times New Roman"/>
      <w:b/>
      <w:sz w:val="40"/>
      <w:lang w:eastAsia="en-AU"/>
    </w:rPr>
  </w:style>
  <w:style w:type="character" w:customStyle="1" w:styleId="ShortTP1Char">
    <w:name w:val="ShortTP1 Char"/>
    <w:basedOn w:val="ShortTChar"/>
    <w:link w:val="ShortTP1"/>
    <w:rsid w:val="00115B97"/>
    <w:rPr>
      <w:rFonts w:eastAsia="Times New Roman" w:cs="Times New Roman"/>
      <w:b/>
      <w:sz w:val="40"/>
      <w:lang w:eastAsia="en-AU"/>
    </w:rPr>
  </w:style>
  <w:style w:type="paragraph" w:customStyle="1" w:styleId="ActNoP1">
    <w:name w:val="ActNoP1"/>
    <w:basedOn w:val="Actno"/>
    <w:link w:val="ActNoP1Char"/>
    <w:rsid w:val="00115B97"/>
    <w:pPr>
      <w:spacing w:before="800"/>
    </w:pPr>
    <w:rPr>
      <w:sz w:val="28"/>
    </w:rPr>
  </w:style>
  <w:style w:type="character" w:customStyle="1" w:styleId="ActnoChar">
    <w:name w:val="Actno Char"/>
    <w:basedOn w:val="ShortTChar"/>
    <w:link w:val="Actno"/>
    <w:rsid w:val="00115B97"/>
    <w:rPr>
      <w:rFonts w:eastAsia="Times New Roman" w:cs="Times New Roman"/>
      <w:b/>
      <w:sz w:val="40"/>
      <w:lang w:eastAsia="en-AU"/>
    </w:rPr>
  </w:style>
  <w:style w:type="character" w:customStyle="1" w:styleId="ActNoP1Char">
    <w:name w:val="ActNoP1 Char"/>
    <w:basedOn w:val="ActnoChar"/>
    <w:link w:val="ActNoP1"/>
    <w:rsid w:val="00115B97"/>
    <w:rPr>
      <w:rFonts w:eastAsia="Times New Roman" w:cs="Times New Roman"/>
      <w:b/>
      <w:sz w:val="28"/>
      <w:lang w:eastAsia="en-AU"/>
    </w:rPr>
  </w:style>
  <w:style w:type="paragraph" w:customStyle="1" w:styleId="ShortTCP">
    <w:name w:val="ShortTCP"/>
    <w:basedOn w:val="ShortT"/>
    <w:link w:val="ShortTCPChar"/>
    <w:rsid w:val="00115B97"/>
  </w:style>
  <w:style w:type="character" w:customStyle="1" w:styleId="ShortTCPChar">
    <w:name w:val="ShortTCP Char"/>
    <w:basedOn w:val="ShortTChar"/>
    <w:link w:val="ShortTCP"/>
    <w:rsid w:val="00115B97"/>
    <w:rPr>
      <w:rFonts w:eastAsia="Times New Roman" w:cs="Times New Roman"/>
      <w:b/>
      <w:sz w:val="40"/>
      <w:lang w:eastAsia="en-AU"/>
    </w:rPr>
  </w:style>
  <w:style w:type="paragraph" w:customStyle="1" w:styleId="ActNoCP">
    <w:name w:val="ActNoCP"/>
    <w:basedOn w:val="Actno"/>
    <w:link w:val="ActNoCPChar"/>
    <w:rsid w:val="00115B97"/>
    <w:pPr>
      <w:spacing w:before="400"/>
    </w:pPr>
  </w:style>
  <w:style w:type="character" w:customStyle="1" w:styleId="ActNoCPChar">
    <w:name w:val="ActNoCP Char"/>
    <w:basedOn w:val="ActnoChar"/>
    <w:link w:val="ActNoCP"/>
    <w:rsid w:val="00115B97"/>
    <w:rPr>
      <w:rFonts w:eastAsia="Times New Roman" w:cs="Times New Roman"/>
      <w:b/>
      <w:sz w:val="40"/>
      <w:lang w:eastAsia="en-AU"/>
    </w:rPr>
  </w:style>
  <w:style w:type="paragraph" w:customStyle="1" w:styleId="AssentBk">
    <w:name w:val="AssentBk"/>
    <w:basedOn w:val="Normal"/>
    <w:rsid w:val="00115B97"/>
    <w:pPr>
      <w:spacing w:line="240" w:lineRule="auto"/>
    </w:pPr>
    <w:rPr>
      <w:rFonts w:eastAsia="Times New Roman" w:cs="Times New Roman"/>
      <w:sz w:val="20"/>
      <w:lang w:eastAsia="en-AU"/>
    </w:rPr>
  </w:style>
  <w:style w:type="paragraph" w:customStyle="1" w:styleId="AssentDt">
    <w:name w:val="AssentDt"/>
    <w:basedOn w:val="Normal"/>
    <w:rsid w:val="0033031D"/>
    <w:pPr>
      <w:spacing w:line="240" w:lineRule="auto"/>
    </w:pPr>
    <w:rPr>
      <w:rFonts w:eastAsia="Times New Roman" w:cs="Times New Roman"/>
      <w:sz w:val="20"/>
      <w:lang w:eastAsia="en-AU"/>
    </w:rPr>
  </w:style>
  <w:style w:type="paragraph" w:customStyle="1" w:styleId="2ndRd">
    <w:name w:val="2ndRd"/>
    <w:basedOn w:val="Normal"/>
    <w:rsid w:val="0033031D"/>
    <w:pPr>
      <w:spacing w:line="240" w:lineRule="auto"/>
    </w:pPr>
    <w:rPr>
      <w:rFonts w:eastAsia="Times New Roman" w:cs="Times New Roman"/>
      <w:sz w:val="20"/>
      <w:lang w:eastAsia="en-AU"/>
    </w:rPr>
  </w:style>
  <w:style w:type="paragraph" w:customStyle="1" w:styleId="ScalePlusRef">
    <w:name w:val="ScalePlusRef"/>
    <w:basedOn w:val="Normal"/>
    <w:rsid w:val="0033031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15</Pages>
  <Words>1801</Words>
  <Characters>10266</Characters>
  <Application>Microsoft Office Word</Application>
  <DocSecurity>0</DocSecurity>
  <PresentationFormat/>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2020-03-01T21:36:00Z</dcterms:created>
  <dcterms:modified xsi:type="dcterms:W3CDTF">2020-03-01T21:42:00Z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Treasury Laws Amendment (2018 Measures No. 2) Act 2020</vt:lpwstr>
  </property>
  <property fmtid="{D5CDD505-2E9C-101B-9397-08002B2CF9AE}" pid="5" name="ActNo">
    <vt:lpwstr>No. 8, 2020</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OPC7113</vt:lpwstr>
  </property>
  <property fmtid="{D5CDD505-2E9C-101B-9397-08002B2CF9AE}" pid="10" name="DoNotAsk">
    <vt:lpwstr>0</vt:lpwstr>
  </property>
  <property fmtid="{D5CDD505-2E9C-101B-9397-08002B2CF9AE}" pid="11" name="ChangedTitle">
    <vt:lpwstr/>
  </property>
</Properties>
</file>