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8C696" w14:textId="77777777" w:rsidR="001A10DA" w:rsidRPr="00F80582" w:rsidRDefault="009A4C23" w:rsidP="00D93864">
      <w:pPr>
        <w:pStyle w:val="Heading1"/>
        <w:spacing w:before="240"/>
        <w:contextualSpacing w:val="0"/>
      </w:pPr>
      <w:r w:rsidRPr="00F80582">
        <w:t>HEAVY VEHICLE NATIONAL LAW</w:t>
      </w:r>
    </w:p>
    <w:p w14:paraId="76E73D75" w14:textId="77777777" w:rsidR="009A4C23" w:rsidRDefault="000A015C" w:rsidP="00D93864">
      <w:pPr>
        <w:spacing w:before="240"/>
        <w:jc w:val="both"/>
        <w:rPr>
          <w:lang w:val="en-US"/>
        </w:rPr>
      </w:pPr>
      <w:r w:rsidRPr="000A015C">
        <w:rPr>
          <w:b/>
          <w:sz w:val="28"/>
          <w:szCs w:val="28"/>
          <w:lang w:val="en-US"/>
        </w:rPr>
        <w:t xml:space="preserve">South Australia Class 1 Transport of </w:t>
      </w:r>
      <w:r w:rsidR="00950984">
        <w:rPr>
          <w:b/>
          <w:sz w:val="28"/>
          <w:szCs w:val="28"/>
          <w:lang w:val="en-US"/>
        </w:rPr>
        <w:t xml:space="preserve">Indivisible Items and </w:t>
      </w:r>
      <w:r w:rsidRPr="000A015C">
        <w:rPr>
          <w:b/>
          <w:sz w:val="28"/>
          <w:szCs w:val="28"/>
          <w:lang w:val="en-US"/>
        </w:rPr>
        <w:t>Agricultural Vehicles Dimension Exemption Notice</w:t>
      </w:r>
      <w:r>
        <w:rPr>
          <w:b/>
          <w:sz w:val="28"/>
          <w:szCs w:val="28"/>
          <w:lang w:val="en-US"/>
        </w:rPr>
        <w:t xml:space="preserve"> (No.1)</w:t>
      </w:r>
    </w:p>
    <w:p w14:paraId="202DB0F6" w14:textId="77777777" w:rsidR="009A4C23" w:rsidRDefault="009A4C23" w:rsidP="007B5F25">
      <w:pPr>
        <w:pStyle w:val="ListParagraph"/>
        <w:numPr>
          <w:ilvl w:val="0"/>
          <w:numId w:val="1"/>
        </w:numPr>
        <w:jc w:val="both"/>
        <w:rPr>
          <w:b/>
          <w:lang w:val="en-US"/>
        </w:rPr>
      </w:pPr>
      <w:r w:rsidRPr="00F80582">
        <w:rPr>
          <w:b/>
          <w:lang w:val="en-US"/>
        </w:rPr>
        <w:t>Purpose</w:t>
      </w:r>
    </w:p>
    <w:p w14:paraId="13EA7FCC" w14:textId="77777777" w:rsidR="00F80582" w:rsidRPr="00F80582" w:rsidRDefault="00F80582" w:rsidP="00F80582">
      <w:pPr>
        <w:pStyle w:val="ListParagraph"/>
        <w:jc w:val="both"/>
        <w:rPr>
          <w:b/>
          <w:lang w:val="en-US"/>
        </w:rPr>
      </w:pPr>
    </w:p>
    <w:p w14:paraId="263571F4" w14:textId="55468520" w:rsidR="00F80582" w:rsidRPr="003023D3" w:rsidRDefault="009A4C23" w:rsidP="00150E86">
      <w:pPr>
        <w:pStyle w:val="ListParagraph"/>
        <w:jc w:val="both"/>
        <w:rPr>
          <w:lang w:val="en-US"/>
        </w:rPr>
      </w:pPr>
      <w:r w:rsidRPr="00F80582">
        <w:rPr>
          <w:lang w:val="en-US"/>
        </w:rPr>
        <w:t xml:space="preserve">This Notice provides access for </w:t>
      </w:r>
      <w:r w:rsidR="00B60840">
        <w:rPr>
          <w:lang w:val="en-US"/>
        </w:rPr>
        <w:t xml:space="preserve">heavy vehicle combinations carrying indivisible items </w:t>
      </w:r>
      <w:r w:rsidR="00950984">
        <w:rPr>
          <w:lang w:val="en-US"/>
        </w:rPr>
        <w:t>including</w:t>
      </w:r>
      <w:r w:rsidR="00595618">
        <w:rPr>
          <w:lang w:val="en-US"/>
        </w:rPr>
        <w:t xml:space="preserve"> agricultural vehicles </w:t>
      </w:r>
      <w:r w:rsidR="002315BC" w:rsidRPr="00F80582">
        <w:rPr>
          <w:lang w:val="en-US"/>
        </w:rPr>
        <w:t>which exceed regulation dimensions to travel on roads in South Australia subject to the conditions specified in this Notice</w:t>
      </w:r>
      <w:r w:rsidR="002315BC" w:rsidDel="002315BC">
        <w:rPr>
          <w:lang w:val="en-US"/>
        </w:rPr>
        <w:t xml:space="preserve"> </w:t>
      </w:r>
    </w:p>
    <w:p w14:paraId="6B6163FF" w14:textId="0D6DF0C6" w:rsidR="009A4C23" w:rsidRDefault="00F80582" w:rsidP="00F80582">
      <w:pPr>
        <w:ind w:left="1800" w:hanging="720"/>
        <w:contextualSpacing/>
        <w:jc w:val="both"/>
        <w:rPr>
          <w:i/>
        </w:rPr>
      </w:pPr>
      <w:r w:rsidRPr="00F80582">
        <w:rPr>
          <w:i/>
          <w:lang w:val="en-US"/>
        </w:rPr>
        <w:t>Note:</w:t>
      </w:r>
      <w:r w:rsidRPr="00F80582">
        <w:rPr>
          <w:i/>
          <w:lang w:val="en-US"/>
        </w:rPr>
        <w:tab/>
      </w:r>
      <w:r w:rsidR="009A4C23" w:rsidRPr="00F80582">
        <w:rPr>
          <w:i/>
          <w:lang w:val="en-US"/>
        </w:rPr>
        <w:t xml:space="preserve">This </w:t>
      </w:r>
      <w:r w:rsidR="00FD435B">
        <w:rPr>
          <w:i/>
          <w:lang w:val="en-US"/>
        </w:rPr>
        <w:t>N</w:t>
      </w:r>
      <w:r w:rsidR="009A4C23" w:rsidRPr="00F80582">
        <w:rPr>
          <w:i/>
          <w:lang w:val="en-US"/>
        </w:rPr>
        <w:t xml:space="preserve">otice replaces the </w:t>
      </w:r>
      <w:r w:rsidR="003023D3">
        <w:rPr>
          <w:i/>
          <w:lang w:val="en-US"/>
        </w:rPr>
        <w:t xml:space="preserve">following instruments previously published in the </w:t>
      </w:r>
      <w:r w:rsidR="009A4C23" w:rsidRPr="00F80582">
        <w:rPr>
          <w:i/>
        </w:rPr>
        <w:t>Sout</w:t>
      </w:r>
      <w:r w:rsidR="003023D3">
        <w:rPr>
          <w:i/>
        </w:rPr>
        <w:t>h Australian Government Gazette</w:t>
      </w:r>
      <w:r w:rsidR="00CD7E26">
        <w:rPr>
          <w:i/>
        </w:rPr>
        <w:t xml:space="preserve"> and by DPTI</w:t>
      </w:r>
      <w:r w:rsidR="003023D3">
        <w:rPr>
          <w:i/>
        </w:rPr>
        <w:t>:</w:t>
      </w:r>
    </w:p>
    <w:p w14:paraId="12461CFC" w14:textId="77777777" w:rsidR="003023D3" w:rsidRDefault="003023D3" w:rsidP="00F80582">
      <w:pPr>
        <w:ind w:left="1800" w:hanging="720"/>
        <w:contextualSpacing/>
        <w:jc w:val="both"/>
        <w:rPr>
          <w:i/>
        </w:rPr>
      </w:pPr>
    </w:p>
    <w:p w14:paraId="26D2A007" w14:textId="77777777" w:rsidR="00950984" w:rsidRDefault="00950984" w:rsidP="003023D3">
      <w:pPr>
        <w:ind w:left="2160"/>
        <w:contextualSpacing/>
        <w:jc w:val="both"/>
        <w:rPr>
          <w:i/>
        </w:rPr>
      </w:pPr>
      <w:r>
        <w:rPr>
          <w:i/>
        </w:rPr>
        <w:t>Transport of Indivisible Items</w:t>
      </w:r>
    </w:p>
    <w:p w14:paraId="7951F405" w14:textId="77777777" w:rsidR="00950984" w:rsidRDefault="00950984" w:rsidP="003023D3">
      <w:pPr>
        <w:ind w:left="2160"/>
        <w:contextualSpacing/>
        <w:jc w:val="both"/>
        <w:rPr>
          <w:i/>
        </w:rPr>
      </w:pPr>
      <w:r>
        <w:rPr>
          <w:i/>
        </w:rPr>
        <w:t>Code of Practice for Transport of Indivisible Loads</w:t>
      </w:r>
    </w:p>
    <w:p w14:paraId="580B6EF5" w14:textId="77777777" w:rsidR="000A015C" w:rsidRDefault="000A015C" w:rsidP="003023D3">
      <w:pPr>
        <w:ind w:left="2160"/>
        <w:contextualSpacing/>
        <w:jc w:val="both"/>
        <w:rPr>
          <w:i/>
        </w:rPr>
      </w:pPr>
      <w:r>
        <w:rPr>
          <w:i/>
        </w:rPr>
        <w:t>Transport o</w:t>
      </w:r>
      <w:r w:rsidRPr="000A015C">
        <w:rPr>
          <w:i/>
        </w:rPr>
        <w:t xml:space="preserve">f Agricultural Vehicles Carried </w:t>
      </w:r>
      <w:r>
        <w:rPr>
          <w:i/>
        </w:rPr>
        <w:t>as a</w:t>
      </w:r>
      <w:r w:rsidRPr="000A015C">
        <w:rPr>
          <w:i/>
        </w:rPr>
        <w:t xml:space="preserve"> Load</w:t>
      </w:r>
    </w:p>
    <w:p w14:paraId="49AC92AE" w14:textId="77777777" w:rsidR="00870C49" w:rsidRDefault="00870C49" w:rsidP="003023D3">
      <w:pPr>
        <w:ind w:left="2160"/>
        <w:contextualSpacing/>
        <w:jc w:val="both"/>
        <w:rPr>
          <w:i/>
        </w:rPr>
      </w:pPr>
      <w:r>
        <w:rPr>
          <w:i/>
        </w:rPr>
        <w:t>Code of Practice for t</w:t>
      </w:r>
      <w:r w:rsidRPr="00870C49">
        <w:rPr>
          <w:i/>
        </w:rPr>
        <w:t>he Tran</w:t>
      </w:r>
      <w:r>
        <w:rPr>
          <w:i/>
        </w:rPr>
        <w:t>sport of Agricultural Vehicles a</w:t>
      </w:r>
      <w:r w:rsidRPr="00870C49">
        <w:rPr>
          <w:i/>
        </w:rPr>
        <w:t>s Loads</w:t>
      </w:r>
    </w:p>
    <w:p w14:paraId="7C8409B4" w14:textId="77777777" w:rsidR="009762F1" w:rsidRDefault="009762F1" w:rsidP="007B5F25">
      <w:pPr>
        <w:pStyle w:val="ListParagraph"/>
        <w:numPr>
          <w:ilvl w:val="0"/>
          <w:numId w:val="1"/>
        </w:numPr>
        <w:jc w:val="both"/>
        <w:rPr>
          <w:b/>
          <w:lang w:val="en-US"/>
        </w:rPr>
      </w:pPr>
      <w:proofErr w:type="spellStart"/>
      <w:r w:rsidRPr="00F80582">
        <w:rPr>
          <w:b/>
          <w:lang w:val="en-US"/>
        </w:rPr>
        <w:t>Authorising</w:t>
      </w:r>
      <w:proofErr w:type="spellEnd"/>
      <w:r w:rsidRPr="00F80582">
        <w:rPr>
          <w:b/>
          <w:lang w:val="en-US"/>
        </w:rPr>
        <w:t xml:space="preserve"> Provision</w:t>
      </w:r>
    </w:p>
    <w:p w14:paraId="70753F31" w14:textId="77777777" w:rsidR="00F80582" w:rsidRPr="00F80582" w:rsidRDefault="00F80582" w:rsidP="00F80582">
      <w:pPr>
        <w:pStyle w:val="ListParagraph"/>
        <w:jc w:val="both"/>
        <w:rPr>
          <w:b/>
          <w:lang w:val="en-US"/>
        </w:rPr>
      </w:pPr>
    </w:p>
    <w:p w14:paraId="5D061DEE" w14:textId="4DBA8EBB" w:rsidR="009762F1" w:rsidRDefault="009762F1" w:rsidP="00150E86">
      <w:pPr>
        <w:pStyle w:val="ListParagraph"/>
        <w:ind w:left="1080"/>
        <w:jc w:val="both"/>
        <w:rPr>
          <w:lang w:val="en-US"/>
        </w:rPr>
      </w:pPr>
      <w:r w:rsidRPr="00F80582">
        <w:rPr>
          <w:lang w:val="en-US"/>
        </w:rPr>
        <w:t xml:space="preserve">This </w:t>
      </w:r>
      <w:r w:rsidR="00FD435B">
        <w:rPr>
          <w:lang w:val="en-US"/>
        </w:rPr>
        <w:t>N</w:t>
      </w:r>
      <w:r w:rsidRPr="00F80582">
        <w:rPr>
          <w:lang w:val="en-US"/>
        </w:rPr>
        <w:t xml:space="preserve">otice is made under Section 117 of the Heavy Vehicle National Law (HVNL), and s169 of the </w:t>
      </w:r>
      <w:r w:rsidRPr="00870C49">
        <w:rPr>
          <w:i/>
          <w:lang w:val="en-US"/>
        </w:rPr>
        <w:t>Heavy Vehicle (General) National Regulation.</w:t>
      </w:r>
    </w:p>
    <w:p w14:paraId="4EB7194A" w14:textId="77777777" w:rsidR="00F80582" w:rsidRPr="00F80582" w:rsidRDefault="00F80582" w:rsidP="00F80582">
      <w:pPr>
        <w:pStyle w:val="ListParagraph"/>
        <w:ind w:left="1080"/>
        <w:jc w:val="both"/>
        <w:rPr>
          <w:lang w:val="en-US"/>
        </w:rPr>
      </w:pPr>
    </w:p>
    <w:p w14:paraId="6151FFF3" w14:textId="77777777" w:rsidR="009762F1" w:rsidRDefault="009762F1" w:rsidP="007B5F25">
      <w:pPr>
        <w:pStyle w:val="ListParagraph"/>
        <w:numPr>
          <w:ilvl w:val="0"/>
          <w:numId w:val="1"/>
        </w:numPr>
        <w:jc w:val="both"/>
        <w:rPr>
          <w:b/>
          <w:lang w:val="en-US"/>
        </w:rPr>
      </w:pPr>
      <w:r w:rsidRPr="00F80582">
        <w:rPr>
          <w:b/>
          <w:lang w:val="en-US"/>
        </w:rPr>
        <w:t>Commencement</w:t>
      </w:r>
    </w:p>
    <w:p w14:paraId="21D505D7" w14:textId="77777777" w:rsidR="00F80582" w:rsidRPr="00F80582" w:rsidRDefault="00F80582" w:rsidP="00F80582">
      <w:pPr>
        <w:pStyle w:val="ListParagraph"/>
        <w:jc w:val="both"/>
        <w:rPr>
          <w:b/>
          <w:lang w:val="en-US"/>
        </w:rPr>
      </w:pPr>
    </w:p>
    <w:p w14:paraId="044DC68D" w14:textId="77777777" w:rsidR="009762F1" w:rsidRDefault="009762F1" w:rsidP="00150E86">
      <w:pPr>
        <w:pStyle w:val="ListParagraph"/>
        <w:ind w:left="1080"/>
        <w:jc w:val="both"/>
        <w:rPr>
          <w:lang w:val="en-US"/>
        </w:rPr>
      </w:pPr>
      <w:r w:rsidRPr="00F80582">
        <w:rPr>
          <w:lang w:val="en-US"/>
        </w:rPr>
        <w:t>This Notice commences on 10 February 2019.</w:t>
      </w:r>
    </w:p>
    <w:p w14:paraId="36C6C09A" w14:textId="77777777" w:rsidR="00F80582" w:rsidRPr="00F80582" w:rsidRDefault="00F80582" w:rsidP="00F80582">
      <w:pPr>
        <w:pStyle w:val="ListParagraph"/>
        <w:ind w:left="1080"/>
        <w:jc w:val="both"/>
        <w:rPr>
          <w:lang w:val="en-US"/>
        </w:rPr>
      </w:pPr>
    </w:p>
    <w:p w14:paraId="01D7A253" w14:textId="77777777" w:rsidR="009762F1" w:rsidRDefault="009762F1" w:rsidP="007B5F25">
      <w:pPr>
        <w:pStyle w:val="ListParagraph"/>
        <w:numPr>
          <w:ilvl w:val="0"/>
          <w:numId w:val="1"/>
        </w:numPr>
        <w:jc w:val="both"/>
        <w:rPr>
          <w:b/>
          <w:lang w:val="en-US"/>
        </w:rPr>
      </w:pPr>
      <w:r w:rsidRPr="00F80582">
        <w:rPr>
          <w:b/>
          <w:lang w:val="en-US"/>
        </w:rPr>
        <w:t>Expiry</w:t>
      </w:r>
    </w:p>
    <w:p w14:paraId="487AFD7A" w14:textId="77777777" w:rsidR="00F80582" w:rsidRPr="00F80582" w:rsidRDefault="00F80582" w:rsidP="00F80582">
      <w:pPr>
        <w:pStyle w:val="ListParagraph"/>
        <w:jc w:val="both"/>
        <w:rPr>
          <w:b/>
          <w:lang w:val="en-US"/>
        </w:rPr>
      </w:pPr>
    </w:p>
    <w:p w14:paraId="315B1B6C" w14:textId="77777777" w:rsidR="009762F1" w:rsidRDefault="009762F1" w:rsidP="00150E86">
      <w:pPr>
        <w:pStyle w:val="ListParagraph"/>
        <w:ind w:left="1080"/>
        <w:jc w:val="both"/>
        <w:rPr>
          <w:lang w:val="en-US"/>
        </w:rPr>
      </w:pPr>
      <w:r w:rsidRPr="00F80582">
        <w:rPr>
          <w:lang w:val="en-US"/>
        </w:rPr>
        <w:t xml:space="preserve">This Notice expires </w:t>
      </w:r>
      <w:r w:rsidR="00E93F11">
        <w:rPr>
          <w:lang w:val="en-US"/>
        </w:rPr>
        <w:t>on 9 February 2024</w:t>
      </w:r>
      <w:r w:rsidRPr="00F80582">
        <w:rPr>
          <w:lang w:val="en-US"/>
        </w:rPr>
        <w:t>.</w:t>
      </w:r>
    </w:p>
    <w:p w14:paraId="0F37D082" w14:textId="77777777" w:rsidR="00F80582" w:rsidRPr="00F80582" w:rsidRDefault="00F80582" w:rsidP="00F80582">
      <w:pPr>
        <w:pStyle w:val="ListParagraph"/>
        <w:ind w:left="1080"/>
        <w:jc w:val="both"/>
        <w:rPr>
          <w:lang w:val="en-US"/>
        </w:rPr>
      </w:pPr>
    </w:p>
    <w:p w14:paraId="6B46CFA2" w14:textId="77777777" w:rsidR="009762F1" w:rsidRDefault="009762F1" w:rsidP="007B5F25">
      <w:pPr>
        <w:pStyle w:val="ListParagraph"/>
        <w:numPr>
          <w:ilvl w:val="0"/>
          <w:numId w:val="1"/>
        </w:numPr>
        <w:jc w:val="both"/>
        <w:rPr>
          <w:b/>
          <w:lang w:val="en-US"/>
        </w:rPr>
      </w:pPr>
      <w:r w:rsidRPr="00F80582">
        <w:rPr>
          <w:b/>
          <w:lang w:val="en-US"/>
        </w:rPr>
        <w:t>Title</w:t>
      </w:r>
    </w:p>
    <w:p w14:paraId="169873D6" w14:textId="77777777" w:rsidR="00F80582" w:rsidRPr="00F80582" w:rsidRDefault="00F80582" w:rsidP="00F80582">
      <w:pPr>
        <w:pStyle w:val="ListParagraph"/>
        <w:jc w:val="both"/>
        <w:rPr>
          <w:b/>
          <w:lang w:val="en-US"/>
        </w:rPr>
      </w:pPr>
    </w:p>
    <w:p w14:paraId="71A0A77D" w14:textId="0541081A" w:rsidR="00F80582" w:rsidRPr="00EA7006" w:rsidRDefault="009762F1" w:rsidP="00150E86">
      <w:pPr>
        <w:pStyle w:val="ListParagraph"/>
        <w:ind w:left="1080"/>
        <w:jc w:val="both"/>
        <w:rPr>
          <w:lang w:val="en-US"/>
        </w:rPr>
      </w:pPr>
      <w:r w:rsidRPr="00F80582">
        <w:rPr>
          <w:lang w:val="en-US"/>
        </w:rPr>
        <w:t xml:space="preserve">This Notice may be cited as the </w:t>
      </w:r>
      <w:r w:rsidR="00841E86" w:rsidRPr="00841E86">
        <w:rPr>
          <w:i/>
          <w:lang w:val="en-US"/>
        </w:rPr>
        <w:t xml:space="preserve">South Australia Class 1 Transport of </w:t>
      </w:r>
      <w:r w:rsidR="00950984">
        <w:rPr>
          <w:i/>
          <w:lang w:val="en-US"/>
        </w:rPr>
        <w:t xml:space="preserve">Indivisible Items and </w:t>
      </w:r>
      <w:r w:rsidR="00841E86" w:rsidRPr="00841E86">
        <w:rPr>
          <w:i/>
          <w:lang w:val="en-US"/>
        </w:rPr>
        <w:t>Agricultural Vehicles D</w:t>
      </w:r>
      <w:r w:rsidR="00841E86">
        <w:rPr>
          <w:i/>
          <w:lang w:val="en-US"/>
        </w:rPr>
        <w:t>imension Exemption Notice</w:t>
      </w:r>
      <w:r w:rsidR="00150E86">
        <w:rPr>
          <w:i/>
          <w:lang w:val="en-US"/>
        </w:rPr>
        <w:t xml:space="preserve"> 2019</w:t>
      </w:r>
      <w:r w:rsidR="00841E86">
        <w:rPr>
          <w:i/>
          <w:lang w:val="en-US"/>
        </w:rPr>
        <w:t>.</w:t>
      </w:r>
    </w:p>
    <w:p w14:paraId="164E8D32" w14:textId="77777777" w:rsidR="00F81C47" w:rsidRDefault="00F81C47">
      <w:pPr>
        <w:rPr>
          <w:lang w:val="en-US"/>
        </w:rPr>
      </w:pPr>
      <w:r>
        <w:rPr>
          <w:lang w:val="en-US"/>
        </w:rPr>
        <w:br w:type="page"/>
      </w:r>
    </w:p>
    <w:p w14:paraId="53624305" w14:textId="77777777" w:rsidR="009762F1" w:rsidRDefault="009762F1" w:rsidP="009762F1">
      <w:pPr>
        <w:pStyle w:val="ListParagraph"/>
        <w:numPr>
          <w:ilvl w:val="0"/>
          <w:numId w:val="1"/>
        </w:numPr>
        <w:jc w:val="both"/>
        <w:rPr>
          <w:b/>
          <w:lang w:val="en-US"/>
        </w:rPr>
      </w:pPr>
      <w:r w:rsidRPr="00F80582">
        <w:rPr>
          <w:b/>
          <w:lang w:val="en-US"/>
        </w:rPr>
        <w:lastRenderedPageBreak/>
        <w:t>Definitions</w:t>
      </w:r>
    </w:p>
    <w:p w14:paraId="7BB20482" w14:textId="77777777" w:rsidR="00F80582" w:rsidRPr="00F80582" w:rsidRDefault="00F80582" w:rsidP="00F80582">
      <w:pPr>
        <w:pStyle w:val="ListParagraph"/>
        <w:jc w:val="both"/>
        <w:rPr>
          <w:b/>
          <w:lang w:val="en-US"/>
        </w:rPr>
      </w:pPr>
    </w:p>
    <w:p w14:paraId="7763EC6E" w14:textId="09027B9F" w:rsidR="00F80582" w:rsidRDefault="009762F1" w:rsidP="00F80582">
      <w:pPr>
        <w:pStyle w:val="ListParagraph"/>
        <w:numPr>
          <w:ilvl w:val="0"/>
          <w:numId w:val="8"/>
        </w:numPr>
        <w:jc w:val="both"/>
        <w:rPr>
          <w:lang w:val="en-US"/>
        </w:rPr>
      </w:pPr>
      <w:r w:rsidRPr="009762F1">
        <w:rPr>
          <w:lang w:val="en-US"/>
        </w:rPr>
        <w:t xml:space="preserve">Unless otherwise stated, words and expressions used in this Notice </w:t>
      </w:r>
      <w:r w:rsidR="005E1D70">
        <w:rPr>
          <w:lang w:val="en-US"/>
        </w:rPr>
        <w:t xml:space="preserve">including </w:t>
      </w:r>
      <w:r w:rsidR="005235E5" w:rsidRPr="005659C7">
        <w:rPr>
          <w:lang w:val="en-US"/>
        </w:rPr>
        <w:t>Schedule</w:t>
      </w:r>
      <w:r w:rsidR="005235E5" w:rsidRPr="002F7583">
        <w:rPr>
          <w:lang w:val="en-US"/>
        </w:rPr>
        <w:t xml:space="preserve"> </w:t>
      </w:r>
      <w:r w:rsidR="005E1D70" w:rsidRPr="002F7583">
        <w:rPr>
          <w:lang w:val="en-US"/>
        </w:rPr>
        <w:t>1</w:t>
      </w:r>
      <w:r>
        <w:rPr>
          <w:lang w:val="en-US"/>
        </w:rPr>
        <w:t xml:space="preserve"> </w:t>
      </w:r>
      <w:r w:rsidRPr="009762F1">
        <w:rPr>
          <w:lang w:val="en-US"/>
        </w:rPr>
        <w:t>have the same meanings as those defined in the HVNL.</w:t>
      </w:r>
    </w:p>
    <w:p w14:paraId="4F7225E1" w14:textId="77777777" w:rsidR="00F80582" w:rsidRDefault="00F80582" w:rsidP="00F80582">
      <w:pPr>
        <w:pStyle w:val="ListParagraph"/>
        <w:ind w:left="1080"/>
        <w:jc w:val="both"/>
        <w:rPr>
          <w:lang w:val="en-US"/>
        </w:rPr>
      </w:pPr>
    </w:p>
    <w:p w14:paraId="6924148F" w14:textId="77777777" w:rsidR="009762F1" w:rsidRPr="00F80582" w:rsidRDefault="00F80582" w:rsidP="009762F1">
      <w:pPr>
        <w:pStyle w:val="ListParagraph"/>
        <w:numPr>
          <w:ilvl w:val="0"/>
          <w:numId w:val="8"/>
        </w:numPr>
        <w:jc w:val="both"/>
        <w:rPr>
          <w:lang w:val="en-US"/>
        </w:rPr>
      </w:pPr>
      <w:r>
        <w:rPr>
          <w:lang w:val="en-US"/>
        </w:rPr>
        <w:t>In this Notice:-</w:t>
      </w:r>
    </w:p>
    <w:p w14:paraId="28359A67" w14:textId="17CB19F7" w:rsidR="005B3E39" w:rsidRDefault="005B3E39" w:rsidP="000A015C">
      <w:pPr>
        <w:ind w:left="1080"/>
        <w:contextualSpacing/>
        <w:jc w:val="both"/>
      </w:pPr>
      <w:r w:rsidRPr="005B3E39">
        <w:rPr>
          <w:b/>
          <w:i/>
          <w:lang w:val="en-US"/>
        </w:rPr>
        <w:t>Adelaide Hills Area</w:t>
      </w:r>
      <w:r>
        <w:t xml:space="preserve"> means the area described in the map of that name published </w:t>
      </w:r>
      <w:r w:rsidR="002C7812">
        <w:t xml:space="preserve">in the </w:t>
      </w:r>
      <w:r w:rsidR="002C7812" w:rsidRPr="002C7812">
        <w:rPr>
          <w:i/>
        </w:rPr>
        <w:t>Operator’s Guide</w:t>
      </w:r>
      <w:r w:rsidR="002C7812">
        <w:t>.</w:t>
      </w:r>
    </w:p>
    <w:p w14:paraId="2B711CD6" w14:textId="77777777" w:rsidR="005B3E39" w:rsidRDefault="005B3E39" w:rsidP="000A015C">
      <w:pPr>
        <w:ind w:left="1080"/>
        <w:contextualSpacing/>
        <w:jc w:val="both"/>
      </w:pPr>
    </w:p>
    <w:p w14:paraId="2D6C1928" w14:textId="68F6B45C" w:rsidR="005B3E39" w:rsidRDefault="005B3E39" w:rsidP="005B3E39">
      <w:pPr>
        <w:ind w:left="1080"/>
        <w:contextualSpacing/>
        <w:rPr>
          <w:b/>
          <w:i/>
          <w:lang w:val="en-US"/>
        </w:rPr>
      </w:pPr>
      <w:r w:rsidRPr="005B3E39">
        <w:rPr>
          <w:b/>
          <w:i/>
          <w:lang w:val="en-US"/>
        </w:rPr>
        <w:t>Adelaide Metropolitan Area</w:t>
      </w:r>
      <w:r>
        <w:t xml:space="preserve"> means the area described in the map of that name </w:t>
      </w:r>
      <w:r w:rsidR="002C7812">
        <w:t xml:space="preserve">published in the </w:t>
      </w:r>
      <w:r w:rsidR="002C7812" w:rsidRPr="002C7812">
        <w:rPr>
          <w:i/>
        </w:rPr>
        <w:t>Operator’s Guide</w:t>
      </w:r>
      <w:r w:rsidR="002C7812">
        <w:t>.</w:t>
      </w:r>
    </w:p>
    <w:p w14:paraId="270DDE16" w14:textId="77777777" w:rsidR="005B3E39" w:rsidRDefault="005B3E39" w:rsidP="000A015C">
      <w:pPr>
        <w:ind w:left="1080"/>
        <w:contextualSpacing/>
        <w:jc w:val="both"/>
        <w:rPr>
          <w:b/>
          <w:i/>
          <w:lang w:val="en-US"/>
        </w:rPr>
      </w:pPr>
    </w:p>
    <w:p w14:paraId="5A0DC191" w14:textId="441C9E04" w:rsidR="000A015C" w:rsidRDefault="009762F1" w:rsidP="000A015C">
      <w:pPr>
        <w:ind w:left="1080"/>
        <w:contextualSpacing/>
        <w:jc w:val="both"/>
        <w:rPr>
          <w:lang w:val="en-US"/>
        </w:rPr>
      </w:pPr>
      <w:r w:rsidRPr="00F80582">
        <w:rPr>
          <w:b/>
          <w:i/>
          <w:lang w:val="en-US"/>
        </w:rPr>
        <w:t>Eligible vehicle</w:t>
      </w:r>
      <w:r w:rsidR="009B0FEC">
        <w:rPr>
          <w:lang w:val="en-US"/>
        </w:rPr>
        <w:t xml:space="preserve"> means</w:t>
      </w:r>
      <w:r w:rsidR="000A015C">
        <w:rPr>
          <w:lang w:val="en-US"/>
        </w:rPr>
        <w:t xml:space="preserve"> </w:t>
      </w:r>
      <w:r w:rsidR="007124C3">
        <w:rPr>
          <w:lang w:val="en-US"/>
        </w:rPr>
        <w:t xml:space="preserve">a </w:t>
      </w:r>
      <w:r w:rsidR="00595618">
        <w:rPr>
          <w:lang w:val="en-US"/>
        </w:rPr>
        <w:t>heavy vehicle or heavy vehicle combination</w:t>
      </w:r>
      <w:r w:rsidR="002C7812">
        <w:rPr>
          <w:lang w:val="en-US"/>
        </w:rPr>
        <w:t>,</w:t>
      </w:r>
      <w:r w:rsidR="00595618">
        <w:rPr>
          <w:lang w:val="en-US"/>
        </w:rPr>
        <w:t xml:space="preserve"> </w:t>
      </w:r>
      <w:r w:rsidR="00C56692">
        <w:t>carrying indivisible items</w:t>
      </w:r>
      <w:r w:rsidR="002C7812">
        <w:t>,</w:t>
      </w:r>
      <w:r w:rsidR="00C56692" w:rsidRPr="000A015C">
        <w:t xml:space="preserve"> </w:t>
      </w:r>
      <w:r w:rsidR="000A015C">
        <w:rPr>
          <w:lang w:val="en-US"/>
        </w:rPr>
        <w:t xml:space="preserve">that </w:t>
      </w:r>
      <w:r w:rsidR="007124C3">
        <w:rPr>
          <w:lang w:val="en-US"/>
        </w:rPr>
        <w:t>is</w:t>
      </w:r>
      <w:r w:rsidR="0071744E">
        <w:rPr>
          <w:lang w:val="en-US"/>
        </w:rPr>
        <w:t xml:space="preserve"> a</w:t>
      </w:r>
      <w:r w:rsidR="000A015C">
        <w:rPr>
          <w:lang w:val="en-US"/>
        </w:rPr>
        <w:t>:</w:t>
      </w:r>
    </w:p>
    <w:p w14:paraId="5CC7ADC4" w14:textId="297ABE21" w:rsidR="000A015C" w:rsidRPr="000A015C" w:rsidRDefault="007124C3" w:rsidP="007124C3">
      <w:pPr>
        <w:pStyle w:val="ListParagraph"/>
        <w:numPr>
          <w:ilvl w:val="0"/>
          <w:numId w:val="11"/>
        </w:numPr>
        <w:jc w:val="both"/>
      </w:pPr>
      <w:r>
        <w:t>prime mover and semi-trailer combination</w:t>
      </w:r>
      <w:r w:rsidR="000A015C" w:rsidRPr="000A015C">
        <w:t xml:space="preserve"> </w:t>
      </w:r>
      <w:r w:rsidR="00595618">
        <w:t xml:space="preserve">that </w:t>
      </w:r>
      <w:r w:rsidR="000A015C" w:rsidRPr="000A015C">
        <w:t>exceed</w:t>
      </w:r>
      <w:r w:rsidR="004F181F">
        <w:t>s</w:t>
      </w:r>
      <w:r w:rsidR="000A015C" w:rsidRPr="000A015C">
        <w:t xml:space="preserve"> 4.3m in height and/or 2.5m in width and/or 19m</w:t>
      </w:r>
      <w:r w:rsidR="000A015C">
        <w:t xml:space="preserve"> in overall length</w:t>
      </w:r>
      <w:r w:rsidR="00C56692">
        <w:t>; or</w:t>
      </w:r>
    </w:p>
    <w:p w14:paraId="73622D17" w14:textId="5142A0A6" w:rsidR="00C56692" w:rsidRDefault="00C56692" w:rsidP="000A015C">
      <w:pPr>
        <w:pStyle w:val="ListParagraph"/>
        <w:numPr>
          <w:ilvl w:val="0"/>
          <w:numId w:val="11"/>
        </w:numPr>
        <w:jc w:val="both"/>
      </w:pPr>
      <w:r>
        <w:t>truck</w:t>
      </w:r>
      <w:r w:rsidRPr="00C56692">
        <w:t xml:space="preserve"> </w:t>
      </w:r>
      <w:r>
        <w:t xml:space="preserve">that </w:t>
      </w:r>
      <w:r w:rsidRPr="000A015C">
        <w:t>exceed</w:t>
      </w:r>
      <w:r>
        <w:t>s</w:t>
      </w:r>
      <w:r w:rsidRPr="000A015C">
        <w:t xml:space="preserve"> 4.3m</w:t>
      </w:r>
      <w:r>
        <w:t xml:space="preserve"> in height and/or 2.5m in width; or</w:t>
      </w:r>
    </w:p>
    <w:p w14:paraId="1868B2FC" w14:textId="4DA5A987" w:rsidR="000A015C" w:rsidRDefault="00C56692" w:rsidP="000A015C">
      <w:pPr>
        <w:pStyle w:val="ListParagraph"/>
        <w:numPr>
          <w:ilvl w:val="0"/>
          <w:numId w:val="11"/>
        </w:numPr>
        <w:jc w:val="both"/>
      </w:pPr>
      <w:proofErr w:type="gramStart"/>
      <w:r>
        <w:t>t</w:t>
      </w:r>
      <w:r w:rsidR="007124C3">
        <w:t>ruck</w:t>
      </w:r>
      <w:proofErr w:type="gramEnd"/>
      <w:r w:rsidR="000A015C" w:rsidRPr="000A015C">
        <w:t xml:space="preserve"> towing one trailer</w:t>
      </w:r>
      <w:r w:rsidR="004F181F">
        <w:t xml:space="preserve"> </w:t>
      </w:r>
      <w:r w:rsidR="00595618">
        <w:t xml:space="preserve">that </w:t>
      </w:r>
      <w:r w:rsidR="000A015C" w:rsidRPr="000A015C">
        <w:t>exceed</w:t>
      </w:r>
      <w:r w:rsidR="004F181F">
        <w:t>s</w:t>
      </w:r>
      <w:r w:rsidR="000A015C" w:rsidRPr="000A015C">
        <w:t xml:space="preserve"> 4.3m</w:t>
      </w:r>
      <w:r w:rsidR="00595618">
        <w:t xml:space="preserve"> in height and/or 2.5m in width</w:t>
      </w:r>
      <w:r>
        <w:t>.</w:t>
      </w:r>
    </w:p>
    <w:p w14:paraId="03A7291E" w14:textId="77777777" w:rsidR="00595618" w:rsidRDefault="00595618" w:rsidP="00595618">
      <w:pPr>
        <w:ind w:left="1080"/>
        <w:jc w:val="both"/>
      </w:pPr>
      <w:r w:rsidRPr="00595618">
        <w:rPr>
          <w:b/>
          <w:i/>
        </w:rPr>
        <w:t>Indivisible item</w:t>
      </w:r>
      <w:r>
        <w:t xml:space="preserve">, for the purpose of this notice, includes </w:t>
      </w:r>
      <w:r w:rsidRPr="00595618">
        <w:t>combinations of agricultural vehicles, machines or implements connected and operated by hydraulic hoses, drive shafts, or other couplings.</w:t>
      </w:r>
    </w:p>
    <w:p w14:paraId="3EE126E2" w14:textId="77777777" w:rsidR="00870C49" w:rsidRDefault="00595618" w:rsidP="00595618">
      <w:pPr>
        <w:ind w:left="1800" w:hanging="720"/>
        <w:contextualSpacing/>
        <w:jc w:val="both"/>
        <w:rPr>
          <w:i/>
          <w:lang w:val="en-US"/>
        </w:rPr>
      </w:pPr>
      <w:r w:rsidRPr="00595618">
        <w:rPr>
          <w:i/>
          <w:lang w:val="en-US"/>
        </w:rPr>
        <w:t>Note:</w:t>
      </w:r>
      <w:r w:rsidRPr="00595618">
        <w:rPr>
          <w:i/>
          <w:lang w:val="en-US"/>
        </w:rPr>
        <w:tab/>
        <w:t xml:space="preserve">this definition of indivisible item modifies the definition in s116 of the HVNL to </w:t>
      </w:r>
      <w:r>
        <w:rPr>
          <w:i/>
          <w:lang w:val="en-US"/>
        </w:rPr>
        <w:t>remove any doubt with regard to the carriage of multiple indivisible items.</w:t>
      </w:r>
    </w:p>
    <w:p w14:paraId="546DB282" w14:textId="77777777" w:rsidR="002C7812" w:rsidRDefault="002C7812" w:rsidP="002C7812">
      <w:pPr>
        <w:contextualSpacing/>
        <w:jc w:val="both"/>
        <w:rPr>
          <w:b/>
        </w:rPr>
      </w:pPr>
      <w:bookmarkStart w:id="0" w:name="_GoBack"/>
      <w:bookmarkEnd w:id="0"/>
    </w:p>
    <w:p w14:paraId="3EDDBA68" w14:textId="5BBFFFB8" w:rsidR="002C7812" w:rsidRPr="002B1498" w:rsidRDefault="002C7812" w:rsidP="002C7812">
      <w:pPr>
        <w:ind w:left="1080"/>
        <w:contextualSpacing/>
        <w:jc w:val="both"/>
      </w:pPr>
      <w:r w:rsidRPr="002C7812">
        <w:rPr>
          <w:b/>
          <w:i/>
        </w:rPr>
        <w:t>Operator’s Guide</w:t>
      </w:r>
      <w:r>
        <w:t xml:space="preserve"> means the South Australia Load Carrying Vehicle Operator’s Guide.</w:t>
      </w:r>
    </w:p>
    <w:p w14:paraId="525D1EC0" w14:textId="77777777" w:rsidR="002C7812" w:rsidRDefault="002C7812" w:rsidP="002C7812">
      <w:pPr>
        <w:ind w:left="1800" w:hanging="720"/>
        <w:contextualSpacing/>
        <w:jc w:val="both"/>
        <w:rPr>
          <w:i/>
          <w:lang w:val="en-US"/>
        </w:rPr>
      </w:pPr>
    </w:p>
    <w:p w14:paraId="5C6CBB5F" w14:textId="6E9B3A3D" w:rsidR="002C7812" w:rsidRDefault="002C7812" w:rsidP="002C7812">
      <w:pPr>
        <w:ind w:left="1800" w:hanging="720"/>
        <w:contextualSpacing/>
        <w:jc w:val="both"/>
        <w:rPr>
          <w:i/>
          <w:lang w:val="en-US"/>
        </w:rPr>
      </w:pPr>
      <w:r w:rsidRPr="00595618">
        <w:rPr>
          <w:i/>
          <w:lang w:val="en-US"/>
        </w:rPr>
        <w:t>Note:</w:t>
      </w:r>
      <w:r w:rsidRPr="00595618">
        <w:rPr>
          <w:i/>
          <w:lang w:val="en-US"/>
        </w:rPr>
        <w:tab/>
      </w:r>
      <w:r w:rsidR="00B36BFC">
        <w:rPr>
          <w:i/>
          <w:lang w:val="en-US"/>
        </w:rPr>
        <w:t xml:space="preserve"> the Operator’s Guide is published by the National Heavy Vehicle Regulator.</w:t>
      </w:r>
    </w:p>
    <w:p w14:paraId="3062E15F" w14:textId="77777777" w:rsidR="002C7812" w:rsidRDefault="002C7812" w:rsidP="00595618">
      <w:pPr>
        <w:ind w:left="1800" w:hanging="720"/>
        <w:contextualSpacing/>
        <w:jc w:val="both"/>
      </w:pPr>
    </w:p>
    <w:p w14:paraId="32E3C98E" w14:textId="77777777" w:rsidR="002C7812" w:rsidRPr="002B1498" w:rsidRDefault="002C7812" w:rsidP="002C7812">
      <w:pPr>
        <w:ind w:left="1080"/>
        <w:contextualSpacing/>
        <w:jc w:val="both"/>
      </w:pPr>
      <w:r w:rsidRPr="002C7812">
        <w:rPr>
          <w:b/>
          <w:i/>
        </w:rPr>
        <w:t>Participating Road Manager</w:t>
      </w:r>
      <w:r w:rsidRPr="002B1498">
        <w:t xml:space="preserve"> means a Road Manager listed in the Participating Road Manager section of the </w:t>
      </w:r>
      <w:r w:rsidRPr="002B1498">
        <w:rPr>
          <w:i/>
        </w:rPr>
        <w:t>Operator Guide</w:t>
      </w:r>
    </w:p>
    <w:p w14:paraId="3B167632" w14:textId="77777777" w:rsidR="006C290D" w:rsidRPr="00DD788C" w:rsidRDefault="006C290D" w:rsidP="00DD788C">
      <w:pPr>
        <w:ind w:left="1800" w:hanging="720"/>
        <w:contextualSpacing/>
        <w:jc w:val="both"/>
      </w:pPr>
    </w:p>
    <w:p w14:paraId="59AA8A72" w14:textId="2AE07635" w:rsidR="005B3E39" w:rsidRPr="005B3E39" w:rsidRDefault="005B3E39" w:rsidP="00150E86">
      <w:pPr>
        <w:ind w:left="1080"/>
        <w:contextualSpacing/>
        <w:jc w:val="both"/>
        <w:rPr>
          <w:lang w:val="en-US"/>
        </w:rPr>
      </w:pPr>
      <w:r w:rsidRPr="006C290D">
        <w:rPr>
          <w:b/>
          <w:i/>
          <w:lang w:val="en-US"/>
        </w:rPr>
        <w:t>South</w:t>
      </w:r>
      <w:r w:rsidRPr="005B3E39">
        <w:rPr>
          <w:b/>
          <w:i/>
          <w:lang w:val="en-US"/>
        </w:rPr>
        <w:t xml:space="preserve"> Australian Country Area</w:t>
      </w:r>
      <w:r w:rsidRPr="005B3E39">
        <w:rPr>
          <w:lang w:val="en-US"/>
        </w:rPr>
        <w:t xml:space="preserve"> means an area in South Australia other than the Adelaide Metropolitan Area or the Adelaide Hills Area.</w:t>
      </w:r>
    </w:p>
    <w:p w14:paraId="7E8E2974" w14:textId="77777777" w:rsidR="009762F1" w:rsidRDefault="009762F1" w:rsidP="007B5F25">
      <w:pPr>
        <w:pStyle w:val="ListParagraph"/>
        <w:numPr>
          <w:ilvl w:val="0"/>
          <w:numId w:val="1"/>
        </w:numPr>
        <w:jc w:val="both"/>
        <w:rPr>
          <w:b/>
          <w:lang w:val="en-US"/>
        </w:rPr>
      </w:pPr>
      <w:r w:rsidRPr="00F80582">
        <w:rPr>
          <w:b/>
          <w:lang w:val="en-US"/>
        </w:rPr>
        <w:t>Application</w:t>
      </w:r>
    </w:p>
    <w:p w14:paraId="2ED93284" w14:textId="77777777" w:rsidR="00F80582" w:rsidRPr="00F80582" w:rsidRDefault="00F80582" w:rsidP="00F80582">
      <w:pPr>
        <w:pStyle w:val="ListParagraph"/>
        <w:jc w:val="both"/>
        <w:rPr>
          <w:b/>
          <w:lang w:val="en-US"/>
        </w:rPr>
      </w:pPr>
    </w:p>
    <w:p w14:paraId="5D73B0AB" w14:textId="77777777" w:rsidR="00ED3342" w:rsidRDefault="00ED3342" w:rsidP="007B5F25">
      <w:pPr>
        <w:pStyle w:val="ListParagraph"/>
        <w:numPr>
          <w:ilvl w:val="0"/>
          <w:numId w:val="9"/>
        </w:numPr>
        <w:jc w:val="both"/>
        <w:rPr>
          <w:lang w:val="en-US"/>
        </w:rPr>
      </w:pPr>
      <w:r w:rsidRPr="00F80582">
        <w:rPr>
          <w:lang w:val="en-US"/>
        </w:rPr>
        <w:t>This Notice applies to eligible vehicles operating in South Australia.</w:t>
      </w:r>
    </w:p>
    <w:p w14:paraId="3A4D6B3C" w14:textId="77777777" w:rsidR="00F80582" w:rsidRDefault="00F80582" w:rsidP="00F80582">
      <w:pPr>
        <w:pStyle w:val="ListParagraph"/>
        <w:ind w:left="1080"/>
        <w:jc w:val="both"/>
        <w:rPr>
          <w:lang w:val="en-US"/>
        </w:rPr>
      </w:pPr>
    </w:p>
    <w:p w14:paraId="0023A1E7" w14:textId="77777777" w:rsidR="00150E86" w:rsidRDefault="00150E86" w:rsidP="00F80582">
      <w:pPr>
        <w:pStyle w:val="ListParagraph"/>
        <w:ind w:left="1080"/>
        <w:jc w:val="both"/>
        <w:rPr>
          <w:lang w:val="en-US"/>
        </w:rPr>
      </w:pPr>
    </w:p>
    <w:p w14:paraId="7206DBCE" w14:textId="77777777" w:rsidR="00150E86" w:rsidRDefault="00150E86" w:rsidP="00F80582">
      <w:pPr>
        <w:pStyle w:val="ListParagraph"/>
        <w:ind w:left="1080"/>
        <w:jc w:val="both"/>
        <w:rPr>
          <w:lang w:val="en-US"/>
        </w:rPr>
      </w:pPr>
    </w:p>
    <w:p w14:paraId="0C2B5338" w14:textId="77777777" w:rsidR="00150E86" w:rsidRPr="00F80582" w:rsidRDefault="00150E86" w:rsidP="00F80582">
      <w:pPr>
        <w:pStyle w:val="ListParagraph"/>
        <w:ind w:left="1080"/>
        <w:jc w:val="both"/>
        <w:rPr>
          <w:lang w:val="en-US"/>
        </w:rPr>
      </w:pPr>
    </w:p>
    <w:p w14:paraId="4717B1D7" w14:textId="77777777" w:rsidR="00ED3342" w:rsidRDefault="00ED3342" w:rsidP="007B5F25">
      <w:pPr>
        <w:pStyle w:val="ListParagraph"/>
        <w:numPr>
          <w:ilvl w:val="0"/>
          <w:numId w:val="1"/>
        </w:numPr>
        <w:jc w:val="both"/>
        <w:rPr>
          <w:b/>
          <w:lang w:val="en-US"/>
        </w:rPr>
      </w:pPr>
      <w:r w:rsidRPr="00F80582">
        <w:rPr>
          <w:b/>
          <w:lang w:val="en-US"/>
        </w:rPr>
        <w:lastRenderedPageBreak/>
        <w:t>Exemptions - Dimension</w:t>
      </w:r>
    </w:p>
    <w:p w14:paraId="730E6529" w14:textId="77777777" w:rsidR="00F80582" w:rsidRPr="00F80582" w:rsidRDefault="00F80582" w:rsidP="00F80582">
      <w:pPr>
        <w:pStyle w:val="ListParagraph"/>
        <w:jc w:val="both"/>
        <w:rPr>
          <w:b/>
          <w:lang w:val="en-US"/>
        </w:rPr>
      </w:pPr>
    </w:p>
    <w:p w14:paraId="0A4BD0DB" w14:textId="676571CA" w:rsidR="00F80582" w:rsidRPr="004B1088" w:rsidRDefault="00F330E2" w:rsidP="004B1088">
      <w:pPr>
        <w:pStyle w:val="ListParagraph"/>
        <w:numPr>
          <w:ilvl w:val="0"/>
          <w:numId w:val="10"/>
        </w:numPr>
        <w:jc w:val="both"/>
        <w:rPr>
          <w:lang w:val="en-US"/>
        </w:rPr>
      </w:pPr>
      <w:r w:rsidRPr="00F80582">
        <w:rPr>
          <w:lang w:val="en-US"/>
        </w:rPr>
        <w:t xml:space="preserve">Eligible vehicles operating under this </w:t>
      </w:r>
      <w:r w:rsidR="00FD435B">
        <w:rPr>
          <w:lang w:val="en-US"/>
        </w:rPr>
        <w:t>N</w:t>
      </w:r>
      <w:r w:rsidRPr="00F80582">
        <w:rPr>
          <w:lang w:val="en-US"/>
        </w:rPr>
        <w:t xml:space="preserve">otice are exempt from the following dimension requirements in Schedule 6 of the Heavy Vehicle </w:t>
      </w:r>
      <w:r w:rsidRPr="00DD788C">
        <w:rPr>
          <w:i/>
          <w:lang w:val="en-US"/>
        </w:rPr>
        <w:t>(Mass Dimension and Loading) National Regulation (MDL Regulation)</w:t>
      </w:r>
    </w:p>
    <w:p w14:paraId="199817E2" w14:textId="77777777" w:rsidR="00885F99" w:rsidRDefault="00885F99" w:rsidP="00885F99">
      <w:pPr>
        <w:pStyle w:val="ListParagraph"/>
        <w:numPr>
          <w:ilvl w:val="0"/>
          <w:numId w:val="20"/>
        </w:numPr>
        <w:jc w:val="both"/>
      </w:pPr>
      <w:r>
        <w:t>Section 3 - Length for combination or single vehicle</w:t>
      </w:r>
    </w:p>
    <w:p w14:paraId="7AD90706" w14:textId="77777777" w:rsidR="00885F99" w:rsidRDefault="00885F99" w:rsidP="000A015C">
      <w:pPr>
        <w:pStyle w:val="ListParagraph"/>
        <w:numPr>
          <w:ilvl w:val="0"/>
          <w:numId w:val="20"/>
        </w:numPr>
        <w:jc w:val="both"/>
      </w:pPr>
      <w:r>
        <w:t>Section 4 - Length, trailers</w:t>
      </w:r>
    </w:p>
    <w:p w14:paraId="72EF6DC8" w14:textId="77777777" w:rsidR="00885F99" w:rsidRDefault="00885F99" w:rsidP="000A015C">
      <w:pPr>
        <w:pStyle w:val="ListParagraph"/>
        <w:numPr>
          <w:ilvl w:val="0"/>
          <w:numId w:val="20"/>
        </w:numPr>
        <w:jc w:val="both"/>
      </w:pPr>
      <w:r>
        <w:t>Section 5 - Length, rear overhang</w:t>
      </w:r>
    </w:p>
    <w:p w14:paraId="6653948E" w14:textId="77777777" w:rsidR="00F330E2" w:rsidRDefault="00F330E2" w:rsidP="000A015C">
      <w:pPr>
        <w:pStyle w:val="ListParagraph"/>
        <w:numPr>
          <w:ilvl w:val="0"/>
          <w:numId w:val="20"/>
        </w:numPr>
        <w:jc w:val="both"/>
      </w:pPr>
      <w:r>
        <w:t>Section 8 – Width</w:t>
      </w:r>
    </w:p>
    <w:p w14:paraId="2F76F204" w14:textId="77777777" w:rsidR="00ED3342" w:rsidRDefault="00F330E2" w:rsidP="000A015C">
      <w:pPr>
        <w:pStyle w:val="ListParagraph"/>
        <w:numPr>
          <w:ilvl w:val="0"/>
          <w:numId w:val="20"/>
        </w:numPr>
        <w:jc w:val="both"/>
      </w:pPr>
      <w:r>
        <w:t>Section 9 – Height</w:t>
      </w:r>
    </w:p>
    <w:p w14:paraId="012F428C" w14:textId="77777777" w:rsidR="007124C3" w:rsidRDefault="007124C3" w:rsidP="000A015C">
      <w:pPr>
        <w:pStyle w:val="ListParagraph"/>
        <w:numPr>
          <w:ilvl w:val="0"/>
          <w:numId w:val="20"/>
        </w:numPr>
        <w:jc w:val="both"/>
      </w:pPr>
      <w:r>
        <w:t>Section 12</w:t>
      </w:r>
      <w:r w:rsidR="004B1088">
        <w:t xml:space="preserve"> - S</w:t>
      </w:r>
      <w:r>
        <w:t xml:space="preserve">ize and projection of </w:t>
      </w:r>
      <w:r w:rsidR="004B1088">
        <w:t>loads</w:t>
      </w:r>
      <w:r>
        <w:t xml:space="preserve">, </w:t>
      </w:r>
      <w:r w:rsidR="004B1088">
        <w:t>rear of load</w:t>
      </w:r>
    </w:p>
    <w:p w14:paraId="0D18A617" w14:textId="77777777" w:rsidR="004B1088" w:rsidRDefault="004B1088" w:rsidP="000A015C">
      <w:pPr>
        <w:pStyle w:val="ListParagraph"/>
        <w:numPr>
          <w:ilvl w:val="0"/>
          <w:numId w:val="20"/>
        </w:numPr>
        <w:jc w:val="both"/>
      </w:pPr>
      <w:r>
        <w:t>Section 13 - Size and projection of loads, front and side of load</w:t>
      </w:r>
    </w:p>
    <w:p w14:paraId="05A880CD" w14:textId="77777777" w:rsidR="004B1088" w:rsidRDefault="004B1088" w:rsidP="004B1088">
      <w:pPr>
        <w:pStyle w:val="ListParagraph"/>
        <w:ind w:left="1440"/>
        <w:jc w:val="both"/>
      </w:pPr>
    </w:p>
    <w:p w14:paraId="2C61D92E" w14:textId="77777777" w:rsidR="004B1088" w:rsidRDefault="004B1088" w:rsidP="004B1088">
      <w:pPr>
        <w:pStyle w:val="ListParagraph"/>
        <w:numPr>
          <w:ilvl w:val="0"/>
          <w:numId w:val="10"/>
        </w:numPr>
        <w:jc w:val="both"/>
        <w:rPr>
          <w:lang w:val="en-US"/>
        </w:rPr>
      </w:pPr>
      <w:r w:rsidRPr="004B1088">
        <w:rPr>
          <w:lang w:val="en-US"/>
        </w:rPr>
        <w:t xml:space="preserve">The exemption in </w:t>
      </w:r>
      <w:proofErr w:type="gramStart"/>
      <w:r w:rsidRPr="004B1088">
        <w:rPr>
          <w:lang w:val="en-US"/>
        </w:rPr>
        <w:t>s8(</w:t>
      </w:r>
      <w:proofErr w:type="gramEnd"/>
      <w:r w:rsidRPr="004B1088">
        <w:rPr>
          <w:lang w:val="en-US"/>
        </w:rPr>
        <w:t xml:space="preserve">1)(g) </w:t>
      </w:r>
      <w:r w:rsidR="00F76D2D">
        <w:rPr>
          <w:lang w:val="en-US"/>
        </w:rPr>
        <w:t>only applies to side projection of loads</w:t>
      </w:r>
      <w:r w:rsidRPr="004B1088">
        <w:rPr>
          <w:lang w:val="en-US"/>
        </w:rPr>
        <w:t>.</w:t>
      </w:r>
    </w:p>
    <w:p w14:paraId="5B4F980E" w14:textId="752443E9" w:rsidR="007124C3" w:rsidRPr="00150E86" w:rsidRDefault="004B1088" w:rsidP="00150E86">
      <w:pPr>
        <w:ind w:left="1800" w:hanging="720"/>
        <w:contextualSpacing/>
        <w:jc w:val="both"/>
        <w:rPr>
          <w:i/>
          <w:lang w:val="en-US"/>
        </w:rPr>
      </w:pPr>
      <w:r w:rsidRPr="004B1088">
        <w:rPr>
          <w:i/>
          <w:lang w:val="en-US"/>
        </w:rPr>
        <w:t>Note:</w:t>
      </w:r>
      <w:r w:rsidRPr="004B1088">
        <w:rPr>
          <w:i/>
          <w:lang w:val="en-US"/>
        </w:rPr>
        <w:tab/>
        <w:t>there is no exemption for front projection, and regulation dimension limits still apply to such dimension requirements.</w:t>
      </w:r>
    </w:p>
    <w:p w14:paraId="05B36717" w14:textId="77777777" w:rsidR="009C5FFB" w:rsidRDefault="009C5FFB" w:rsidP="009C5FFB">
      <w:pPr>
        <w:pStyle w:val="ListParagraph"/>
        <w:numPr>
          <w:ilvl w:val="0"/>
          <w:numId w:val="1"/>
        </w:numPr>
        <w:jc w:val="both"/>
        <w:rPr>
          <w:b/>
          <w:lang w:val="en-US"/>
        </w:rPr>
      </w:pPr>
      <w:r w:rsidRPr="00F80582">
        <w:rPr>
          <w:b/>
          <w:lang w:val="en-US"/>
        </w:rPr>
        <w:t>Conditions - Dimensions</w:t>
      </w:r>
      <w:r>
        <w:rPr>
          <w:b/>
          <w:lang w:val="en-US"/>
        </w:rPr>
        <w:t xml:space="preserve"> (Length)</w:t>
      </w:r>
    </w:p>
    <w:p w14:paraId="4E8695DA" w14:textId="77777777" w:rsidR="009C5FFB" w:rsidRPr="00F80582" w:rsidRDefault="009C5FFB" w:rsidP="009C5FFB">
      <w:pPr>
        <w:pStyle w:val="ListParagraph"/>
        <w:jc w:val="both"/>
        <w:rPr>
          <w:b/>
          <w:lang w:val="en-US"/>
        </w:rPr>
      </w:pPr>
    </w:p>
    <w:p w14:paraId="1C2FA463" w14:textId="77777777" w:rsidR="009C5FFB" w:rsidRDefault="009C5FFB" w:rsidP="009C5FFB">
      <w:pPr>
        <w:pStyle w:val="ListParagraph"/>
        <w:numPr>
          <w:ilvl w:val="0"/>
          <w:numId w:val="12"/>
        </w:numPr>
        <w:jc w:val="both"/>
      </w:pPr>
      <w:r>
        <w:t>Eligible vehicles and combinations operating under this Notice must not exceed the following:</w:t>
      </w:r>
    </w:p>
    <w:p w14:paraId="6AC23BC9" w14:textId="77777777" w:rsidR="009C5FFB" w:rsidRDefault="007E21D2" w:rsidP="009C5FFB">
      <w:pPr>
        <w:pStyle w:val="ListParagraph"/>
        <w:numPr>
          <w:ilvl w:val="0"/>
          <w:numId w:val="21"/>
        </w:numPr>
        <w:jc w:val="both"/>
      </w:pPr>
      <w:r>
        <w:t xml:space="preserve">prime mover and </w:t>
      </w:r>
      <w:r w:rsidR="007124C3">
        <w:t xml:space="preserve">semi-trailer combination that does not include a truck - </w:t>
      </w:r>
      <w:r w:rsidR="005A0460">
        <w:t>25m</w:t>
      </w:r>
    </w:p>
    <w:p w14:paraId="387C7559" w14:textId="77777777" w:rsidR="009C5FFB" w:rsidRDefault="007124C3" w:rsidP="009C5FFB">
      <w:pPr>
        <w:pStyle w:val="ListParagraph"/>
        <w:numPr>
          <w:ilvl w:val="0"/>
          <w:numId w:val="21"/>
        </w:numPr>
        <w:jc w:val="both"/>
      </w:pPr>
      <w:r>
        <w:t>a truck</w:t>
      </w:r>
      <w:r w:rsidR="009C5FFB">
        <w:t xml:space="preserve"> - 12.5</w:t>
      </w:r>
      <w:r>
        <w:t>m</w:t>
      </w:r>
    </w:p>
    <w:p w14:paraId="5AD5F8ED" w14:textId="6B21B502" w:rsidR="009C5FFB" w:rsidRDefault="007124C3" w:rsidP="00150E86">
      <w:pPr>
        <w:pStyle w:val="ListParagraph"/>
        <w:numPr>
          <w:ilvl w:val="0"/>
          <w:numId w:val="21"/>
        </w:numPr>
        <w:jc w:val="both"/>
      </w:pPr>
      <w:r>
        <w:t>a truck</w:t>
      </w:r>
      <w:r w:rsidR="009C5FFB">
        <w:t xml:space="preserve"> and trailer combination - 19</w:t>
      </w:r>
      <w:r>
        <w:t>m</w:t>
      </w:r>
      <w:r w:rsidR="009C5FFB">
        <w:t xml:space="preserve"> </w:t>
      </w:r>
    </w:p>
    <w:p w14:paraId="7E460BB9" w14:textId="648BA960" w:rsidR="009C5FFB" w:rsidRPr="00150E86" w:rsidRDefault="007124C3" w:rsidP="00150E86">
      <w:pPr>
        <w:ind w:left="1800" w:hanging="720"/>
        <w:contextualSpacing/>
        <w:jc w:val="both"/>
        <w:rPr>
          <w:i/>
          <w:lang w:val="en-US"/>
        </w:rPr>
      </w:pPr>
      <w:r w:rsidRPr="00150E86">
        <w:rPr>
          <w:i/>
          <w:lang w:val="en-US"/>
        </w:rPr>
        <w:t>Note:</w:t>
      </w:r>
      <w:r w:rsidRPr="00150E86">
        <w:rPr>
          <w:i/>
          <w:lang w:val="en-US"/>
        </w:rPr>
        <w:tab/>
      </w:r>
      <w:r w:rsidR="007E21D2" w:rsidRPr="00150E86">
        <w:rPr>
          <w:i/>
          <w:lang w:val="en-US"/>
        </w:rPr>
        <w:t xml:space="preserve">the dimension limits under </w:t>
      </w:r>
      <w:proofErr w:type="gramStart"/>
      <w:r w:rsidR="007E21D2" w:rsidRPr="00150E86">
        <w:rPr>
          <w:i/>
          <w:lang w:val="en-US"/>
        </w:rPr>
        <w:t>s9</w:t>
      </w:r>
      <w:r w:rsidRPr="00150E86">
        <w:rPr>
          <w:i/>
          <w:lang w:val="en-US"/>
        </w:rPr>
        <w:t>(</w:t>
      </w:r>
      <w:proofErr w:type="gramEnd"/>
      <w:r w:rsidRPr="00150E86">
        <w:rPr>
          <w:i/>
          <w:lang w:val="en-US"/>
        </w:rPr>
        <w:t xml:space="preserve">b) and (c) are simply Regulation dimensions, restated here </w:t>
      </w:r>
      <w:r w:rsidR="00A12314" w:rsidRPr="00150E86">
        <w:rPr>
          <w:i/>
          <w:lang w:val="en-US"/>
        </w:rPr>
        <w:t>due to the exemption in s8(1)</w:t>
      </w:r>
      <w:r w:rsidRPr="00150E86">
        <w:rPr>
          <w:i/>
          <w:lang w:val="en-US"/>
        </w:rPr>
        <w:t xml:space="preserve">. Such eligible vehicles do not </w:t>
      </w:r>
      <w:r w:rsidR="00A12314" w:rsidRPr="00150E86">
        <w:rPr>
          <w:i/>
          <w:lang w:val="en-US"/>
        </w:rPr>
        <w:t xml:space="preserve">in effect </w:t>
      </w:r>
      <w:r w:rsidRPr="00150E86">
        <w:rPr>
          <w:i/>
          <w:lang w:val="en-US"/>
        </w:rPr>
        <w:t>gain a length concession under this notice, but may still receive a height or width exemption.</w:t>
      </w:r>
    </w:p>
    <w:p w14:paraId="603CB6D6" w14:textId="77777777" w:rsidR="009C5FFB" w:rsidRPr="009C5FFB" w:rsidRDefault="009C5FFB" w:rsidP="009C5FFB">
      <w:pPr>
        <w:pStyle w:val="ListParagraph"/>
        <w:numPr>
          <w:ilvl w:val="0"/>
          <w:numId w:val="1"/>
        </w:numPr>
        <w:jc w:val="both"/>
        <w:rPr>
          <w:b/>
          <w:lang w:val="en-US"/>
        </w:rPr>
      </w:pPr>
      <w:r w:rsidRPr="009C5FFB">
        <w:rPr>
          <w:b/>
          <w:lang w:val="en-US"/>
        </w:rPr>
        <w:t>Conditions - Dimension (Length, rear overhang)</w:t>
      </w:r>
    </w:p>
    <w:p w14:paraId="143F08AF" w14:textId="77777777" w:rsidR="009C5FFB" w:rsidRDefault="007E21D2" w:rsidP="009C5FFB">
      <w:pPr>
        <w:pStyle w:val="ListParagraph"/>
        <w:numPr>
          <w:ilvl w:val="0"/>
          <w:numId w:val="22"/>
        </w:numPr>
        <w:jc w:val="both"/>
      </w:pPr>
      <w:r>
        <w:t xml:space="preserve">The rear overhang of an eligible </w:t>
      </w:r>
      <w:r w:rsidR="009C5FFB">
        <w:t>semi-trailer</w:t>
      </w:r>
      <w:r>
        <w:t xml:space="preserve"> operating under this Notice</w:t>
      </w:r>
      <w:r w:rsidR="009C5FFB">
        <w:t>, including the load, must not exceed the lesser of:</w:t>
      </w:r>
    </w:p>
    <w:p w14:paraId="513CEC5A" w14:textId="77777777" w:rsidR="009C5FFB" w:rsidRDefault="009C5FFB" w:rsidP="009C5FFB">
      <w:pPr>
        <w:pStyle w:val="ListParagraph"/>
        <w:numPr>
          <w:ilvl w:val="0"/>
          <w:numId w:val="23"/>
        </w:numPr>
        <w:jc w:val="both"/>
      </w:pPr>
      <w:r>
        <w:t>5.5 metres; or</w:t>
      </w:r>
    </w:p>
    <w:p w14:paraId="29441D2D" w14:textId="77777777" w:rsidR="009C5FFB" w:rsidRDefault="009C5FFB" w:rsidP="009C5FFB">
      <w:pPr>
        <w:pStyle w:val="ListParagraph"/>
        <w:numPr>
          <w:ilvl w:val="0"/>
          <w:numId w:val="23"/>
        </w:numPr>
        <w:jc w:val="both"/>
      </w:pPr>
      <w:r>
        <w:t>25% of the overall length of the entire vehicle, including the load.</w:t>
      </w:r>
    </w:p>
    <w:p w14:paraId="35201114" w14:textId="77777777" w:rsidR="009C5FFB" w:rsidRDefault="009C5FFB" w:rsidP="009C5FFB">
      <w:pPr>
        <w:pStyle w:val="ListParagraph"/>
        <w:ind w:left="1440"/>
        <w:jc w:val="both"/>
      </w:pPr>
    </w:p>
    <w:p w14:paraId="2A3BFBEB" w14:textId="77777777" w:rsidR="009C5FFB" w:rsidRPr="007E21D2" w:rsidRDefault="007E21D2" w:rsidP="007E21D2">
      <w:pPr>
        <w:pStyle w:val="ListParagraph"/>
        <w:numPr>
          <w:ilvl w:val="0"/>
          <w:numId w:val="22"/>
        </w:numPr>
        <w:jc w:val="both"/>
      </w:pPr>
      <w:r>
        <w:t>Semi-trailers operating under this section</w:t>
      </w:r>
      <w:r w:rsidR="009C5FFB" w:rsidRPr="007E21D2">
        <w:t xml:space="preserve"> are exempt from meeting the following dimension limits:</w:t>
      </w:r>
    </w:p>
    <w:p w14:paraId="5A3C1D11" w14:textId="77777777" w:rsidR="009C5FFB" w:rsidRDefault="009C5FFB" w:rsidP="007E21D2">
      <w:pPr>
        <w:pStyle w:val="ListParagraph"/>
        <w:numPr>
          <w:ilvl w:val="0"/>
          <w:numId w:val="24"/>
        </w:numPr>
        <w:jc w:val="both"/>
      </w:pPr>
      <w:r>
        <w:t>9.5 metres - kingpin to centre of axle group;</w:t>
      </w:r>
    </w:p>
    <w:p w14:paraId="4F3405F1" w14:textId="77777777" w:rsidR="009C5FFB" w:rsidRPr="009C5FFB" w:rsidRDefault="009C5FFB" w:rsidP="007E21D2">
      <w:pPr>
        <w:pStyle w:val="ListParagraph"/>
        <w:numPr>
          <w:ilvl w:val="0"/>
          <w:numId w:val="24"/>
        </w:numPr>
        <w:jc w:val="both"/>
      </w:pPr>
      <w:r>
        <w:t>12.3 metres - kingpin to rear of semi-trailer.</w:t>
      </w:r>
    </w:p>
    <w:p w14:paraId="19D4D68E" w14:textId="77777777" w:rsidR="009C5FFB" w:rsidRDefault="009C5FFB" w:rsidP="009C5FFB">
      <w:pPr>
        <w:pStyle w:val="ListParagraph"/>
        <w:ind w:left="1080"/>
        <w:jc w:val="both"/>
        <w:rPr>
          <w:lang w:val="en-US"/>
        </w:rPr>
      </w:pPr>
    </w:p>
    <w:p w14:paraId="2D4EB1F3" w14:textId="77777777" w:rsidR="00B36BFC" w:rsidRDefault="00B36BFC" w:rsidP="009C5FFB">
      <w:pPr>
        <w:pStyle w:val="ListParagraph"/>
        <w:ind w:left="1080"/>
        <w:jc w:val="both"/>
        <w:rPr>
          <w:lang w:val="en-US"/>
        </w:rPr>
      </w:pPr>
    </w:p>
    <w:p w14:paraId="3F0D940A" w14:textId="77777777" w:rsidR="00B36BFC" w:rsidRDefault="00B36BFC" w:rsidP="009C5FFB">
      <w:pPr>
        <w:pStyle w:val="ListParagraph"/>
        <w:ind w:left="1080"/>
        <w:jc w:val="both"/>
        <w:rPr>
          <w:lang w:val="en-US"/>
        </w:rPr>
      </w:pPr>
    </w:p>
    <w:p w14:paraId="06F51888" w14:textId="77777777" w:rsidR="00B36BFC" w:rsidRPr="009C5FFB" w:rsidRDefault="00B36BFC" w:rsidP="009C5FFB">
      <w:pPr>
        <w:pStyle w:val="ListParagraph"/>
        <w:ind w:left="1080"/>
        <w:jc w:val="both"/>
        <w:rPr>
          <w:lang w:val="en-US"/>
        </w:rPr>
      </w:pPr>
    </w:p>
    <w:p w14:paraId="1537BD8F" w14:textId="77777777" w:rsidR="009C5FFB" w:rsidRDefault="009C5FFB" w:rsidP="009C5FFB">
      <w:pPr>
        <w:pStyle w:val="ListParagraph"/>
        <w:numPr>
          <w:ilvl w:val="0"/>
          <w:numId w:val="1"/>
        </w:numPr>
        <w:jc w:val="both"/>
        <w:rPr>
          <w:b/>
          <w:lang w:val="en-US"/>
        </w:rPr>
      </w:pPr>
      <w:r w:rsidRPr="00F80582">
        <w:rPr>
          <w:b/>
          <w:lang w:val="en-US"/>
        </w:rPr>
        <w:lastRenderedPageBreak/>
        <w:t>Conditions - Dimensions</w:t>
      </w:r>
      <w:r>
        <w:rPr>
          <w:b/>
          <w:lang w:val="en-US"/>
        </w:rPr>
        <w:t xml:space="preserve"> (Width)</w:t>
      </w:r>
    </w:p>
    <w:p w14:paraId="166FE4BA" w14:textId="77777777" w:rsidR="009C5FFB" w:rsidRPr="00F80582" w:rsidRDefault="009C5FFB" w:rsidP="009C5FFB">
      <w:pPr>
        <w:pStyle w:val="ListParagraph"/>
        <w:jc w:val="both"/>
        <w:rPr>
          <w:b/>
          <w:lang w:val="en-US"/>
        </w:rPr>
      </w:pPr>
    </w:p>
    <w:p w14:paraId="5DA67BE0" w14:textId="77777777" w:rsidR="00E9558F" w:rsidRPr="00EB3CFF" w:rsidRDefault="009C5FFB" w:rsidP="00F76D2D">
      <w:pPr>
        <w:pStyle w:val="ListParagraph"/>
        <w:numPr>
          <w:ilvl w:val="0"/>
          <w:numId w:val="27"/>
        </w:numPr>
        <w:jc w:val="both"/>
        <w:rPr>
          <w:lang w:val="en-US"/>
        </w:rPr>
      </w:pPr>
      <w:r w:rsidRPr="00F80582">
        <w:rPr>
          <w:lang w:val="en-US"/>
        </w:rPr>
        <w:t>An eligibl</w:t>
      </w:r>
      <w:r>
        <w:rPr>
          <w:lang w:val="en-US"/>
        </w:rPr>
        <w:t>e vehicle operating under this N</w:t>
      </w:r>
      <w:r w:rsidRPr="00F80582">
        <w:rPr>
          <w:lang w:val="en-US"/>
        </w:rPr>
        <w:t xml:space="preserve">otice </w:t>
      </w:r>
      <w:r>
        <w:t>must not</w:t>
      </w:r>
      <w:r w:rsidR="00F76D2D">
        <w:t xml:space="preserve"> exceed</w:t>
      </w:r>
      <w:r w:rsidR="005A0460">
        <w:t>:</w:t>
      </w:r>
      <w:r w:rsidR="00E9558F">
        <w:t xml:space="preserve"> </w:t>
      </w:r>
    </w:p>
    <w:p w14:paraId="15FA4EE7" w14:textId="77777777" w:rsidR="00E4441A" w:rsidRPr="00F76D2D" w:rsidRDefault="00E4441A" w:rsidP="00E4441A">
      <w:pPr>
        <w:pStyle w:val="ListParagraph"/>
        <w:numPr>
          <w:ilvl w:val="0"/>
          <w:numId w:val="28"/>
        </w:numPr>
        <w:jc w:val="both"/>
        <w:rPr>
          <w:lang w:val="en-US"/>
        </w:rPr>
      </w:pPr>
      <w:r>
        <w:rPr>
          <w:lang w:val="en-US"/>
        </w:rPr>
        <w:t>3.5m in width; or</w:t>
      </w:r>
    </w:p>
    <w:p w14:paraId="3EB1B734" w14:textId="4B1BC920" w:rsidR="009C5FFB" w:rsidRPr="00EB3CFF" w:rsidRDefault="00F76D2D" w:rsidP="00EB3CFF">
      <w:pPr>
        <w:pStyle w:val="ListParagraph"/>
        <w:numPr>
          <w:ilvl w:val="0"/>
          <w:numId w:val="28"/>
        </w:numPr>
        <w:jc w:val="both"/>
        <w:rPr>
          <w:lang w:val="en-US"/>
        </w:rPr>
      </w:pPr>
      <w:r>
        <w:t>4.5m in width</w:t>
      </w:r>
      <w:r w:rsidR="00E9558F">
        <w:t xml:space="preserve"> when carrying one or more agricultural machines, agricultural </w:t>
      </w:r>
      <w:r w:rsidR="00370889">
        <w:t>vehicles or</w:t>
      </w:r>
      <w:r w:rsidR="00E9558F">
        <w:t xml:space="preserve"> </w:t>
      </w:r>
      <w:r w:rsidR="00370889">
        <w:t>agricultural implements</w:t>
      </w:r>
      <w:r w:rsidR="00E9558F">
        <w:t>.</w:t>
      </w:r>
    </w:p>
    <w:p w14:paraId="42CE2413" w14:textId="77777777" w:rsidR="00E9558F" w:rsidRPr="00F76D2D" w:rsidRDefault="00E9558F" w:rsidP="002F7583">
      <w:pPr>
        <w:pStyle w:val="ListParagraph"/>
        <w:ind w:left="1440"/>
        <w:jc w:val="both"/>
        <w:rPr>
          <w:lang w:val="en-US"/>
        </w:rPr>
      </w:pPr>
    </w:p>
    <w:p w14:paraId="794AD31A" w14:textId="77777777" w:rsidR="00F76D2D" w:rsidRPr="00F76D2D" w:rsidRDefault="00F76D2D" w:rsidP="00F76D2D">
      <w:pPr>
        <w:pStyle w:val="ListParagraph"/>
        <w:numPr>
          <w:ilvl w:val="0"/>
          <w:numId w:val="27"/>
        </w:numPr>
        <w:jc w:val="both"/>
        <w:rPr>
          <w:lang w:val="en-US"/>
        </w:rPr>
      </w:pPr>
      <w:r w:rsidRPr="00F76D2D">
        <w:rPr>
          <w:lang w:val="en-US"/>
        </w:rPr>
        <w:t>In addition to 1) the following restrictions also apply:</w:t>
      </w:r>
    </w:p>
    <w:p w14:paraId="4691835B" w14:textId="77777777" w:rsidR="00F76D2D" w:rsidRPr="00F76D2D" w:rsidRDefault="00F76D2D" w:rsidP="00EB3CFF">
      <w:pPr>
        <w:pStyle w:val="ListParagraph"/>
        <w:numPr>
          <w:ilvl w:val="0"/>
          <w:numId w:val="37"/>
        </w:numPr>
        <w:jc w:val="both"/>
      </w:pPr>
      <w:r w:rsidRPr="00F76D2D">
        <w:t>the load must be carried to minimise the amount by which it exceeds 2.5m; and</w:t>
      </w:r>
    </w:p>
    <w:p w14:paraId="57691E16" w14:textId="77777777" w:rsidR="00F76D2D" w:rsidRPr="00F76D2D" w:rsidRDefault="00F76D2D" w:rsidP="00EB3CFF">
      <w:pPr>
        <w:pStyle w:val="ListParagraph"/>
        <w:numPr>
          <w:ilvl w:val="0"/>
          <w:numId w:val="37"/>
        </w:numPr>
        <w:jc w:val="both"/>
      </w:pPr>
      <w:r w:rsidRPr="00F76D2D">
        <w:t>the overall width of all axles or axle groups of the load carrying part of the vehicle, measured between the outer edges of the tyres, must not be less than 2.1m; and</w:t>
      </w:r>
    </w:p>
    <w:p w14:paraId="77083B96" w14:textId="0238AEDF" w:rsidR="00370889" w:rsidRDefault="00F76D2D" w:rsidP="00B36BFC">
      <w:pPr>
        <w:pStyle w:val="ListParagraph"/>
        <w:numPr>
          <w:ilvl w:val="0"/>
          <w:numId w:val="37"/>
        </w:numPr>
        <w:jc w:val="both"/>
      </w:pPr>
      <w:proofErr w:type="gramStart"/>
      <w:r w:rsidRPr="00F76D2D">
        <w:t>any</w:t>
      </w:r>
      <w:proofErr w:type="gramEnd"/>
      <w:r w:rsidRPr="00F76D2D">
        <w:t xml:space="preserve"> cross member, supporting frame or outrigger fitted to support the load must not protrude beyond the load by more than 50mm.</w:t>
      </w:r>
    </w:p>
    <w:p w14:paraId="53995A68" w14:textId="77777777" w:rsidR="00B36BFC" w:rsidRDefault="00B36BFC" w:rsidP="00B36BFC">
      <w:pPr>
        <w:pStyle w:val="ListParagraph"/>
        <w:ind w:left="1440"/>
        <w:jc w:val="both"/>
      </w:pPr>
    </w:p>
    <w:p w14:paraId="4954619A" w14:textId="77777777" w:rsidR="00F80582" w:rsidRDefault="00F330E2" w:rsidP="00F80582">
      <w:pPr>
        <w:pStyle w:val="ListParagraph"/>
        <w:numPr>
          <w:ilvl w:val="0"/>
          <w:numId w:val="1"/>
        </w:numPr>
        <w:jc w:val="both"/>
        <w:rPr>
          <w:b/>
          <w:lang w:val="en-US"/>
        </w:rPr>
      </w:pPr>
      <w:r w:rsidRPr="00F80582">
        <w:rPr>
          <w:b/>
          <w:lang w:val="en-US"/>
        </w:rPr>
        <w:t>Conditions - Dimensions</w:t>
      </w:r>
      <w:r w:rsidR="000E31E9">
        <w:rPr>
          <w:b/>
          <w:lang w:val="en-US"/>
        </w:rPr>
        <w:t xml:space="preserve"> (</w:t>
      </w:r>
      <w:r w:rsidR="00F76D2D">
        <w:rPr>
          <w:b/>
          <w:lang w:val="en-US"/>
        </w:rPr>
        <w:t>Height</w:t>
      </w:r>
      <w:r w:rsidR="000E31E9">
        <w:rPr>
          <w:b/>
          <w:lang w:val="en-US"/>
        </w:rPr>
        <w:t>)</w:t>
      </w:r>
    </w:p>
    <w:p w14:paraId="45311DF9" w14:textId="77777777" w:rsidR="00F80582" w:rsidRPr="00F80582" w:rsidRDefault="00F80582" w:rsidP="00F80582">
      <w:pPr>
        <w:pStyle w:val="ListParagraph"/>
        <w:jc w:val="both"/>
        <w:rPr>
          <w:b/>
          <w:lang w:val="en-US"/>
        </w:rPr>
      </w:pPr>
    </w:p>
    <w:p w14:paraId="0857A8CF" w14:textId="77777777" w:rsidR="000B0D20" w:rsidRPr="00F70195" w:rsidRDefault="00F330E2" w:rsidP="00F70195">
      <w:pPr>
        <w:pStyle w:val="ListParagraph"/>
        <w:numPr>
          <w:ilvl w:val="0"/>
          <w:numId w:val="29"/>
        </w:numPr>
        <w:jc w:val="both"/>
        <w:rPr>
          <w:lang w:val="en-US"/>
        </w:rPr>
      </w:pPr>
      <w:r w:rsidRPr="00F80582">
        <w:rPr>
          <w:lang w:val="en-US"/>
        </w:rPr>
        <w:t>An eligibl</w:t>
      </w:r>
      <w:r w:rsidR="000E31E9">
        <w:rPr>
          <w:lang w:val="en-US"/>
        </w:rPr>
        <w:t>e vehicle operating under this N</w:t>
      </w:r>
      <w:r w:rsidRPr="00F80582">
        <w:rPr>
          <w:lang w:val="en-US"/>
        </w:rPr>
        <w:t xml:space="preserve">otice </w:t>
      </w:r>
      <w:r w:rsidR="000E31E9">
        <w:t>must not</w:t>
      </w:r>
      <w:r w:rsidR="00F70195">
        <w:t xml:space="preserve"> exceed </w:t>
      </w:r>
      <w:r w:rsidR="004F181F">
        <w:t>4.9m</w:t>
      </w:r>
      <w:r w:rsidR="00F70195">
        <w:t xml:space="preserve"> in height.</w:t>
      </w:r>
    </w:p>
    <w:p w14:paraId="25F3CE64" w14:textId="4B75571D" w:rsidR="00F70195" w:rsidRPr="00F70195" w:rsidRDefault="00F70195" w:rsidP="00F70195">
      <w:pPr>
        <w:pStyle w:val="ListParagraph"/>
        <w:numPr>
          <w:ilvl w:val="0"/>
          <w:numId w:val="29"/>
        </w:numPr>
        <w:jc w:val="both"/>
        <w:rPr>
          <w:lang w:val="en-US"/>
        </w:rPr>
      </w:pPr>
      <w:r>
        <w:t>In addition to the maximum height requirement in 1), an eligible vehicle operating under this Notice must comply with any conditions</w:t>
      </w:r>
      <w:r w:rsidR="00801F4C">
        <w:t xml:space="preserve"> referenced</w:t>
      </w:r>
      <w:r>
        <w:t xml:space="preserve"> in </w:t>
      </w:r>
      <w:r w:rsidR="005235E5" w:rsidRPr="005659C7">
        <w:t>Schedule</w:t>
      </w:r>
      <w:r w:rsidR="00EB3CFF" w:rsidRPr="002F7583">
        <w:t xml:space="preserve"> 1</w:t>
      </w:r>
      <w:r w:rsidR="00EB3CFF">
        <w:t xml:space="preserve"> of this Notice</w:t>
      </w:r>
      <w:r>
        <w:t>, including:</w:t>
      </w:r>
    </w:p>
    <w:p w14:paraId="154186DB" w14:textId="77777777" w:rsidR="00F70195" w:rsidRPr="00F70195" w:rsidRDefault="00F70195" w:rsidP="00F70195">
      <w:pPr>
        <w:pStyle w:val="ListParagraph"/>
        <w:numPr>
          <w:ilvl w:val="0"/>
          <w:numId w:val="30"/>
        </w:numPr>
        <w:jc w:val="both"/>
      </w:pPr>
      <w:r>
        <w:t>Securing third party approvals for height clearance; and</w:t>
      </w:r>
    </w:p>
    <w:p w14:paraId="0FF42B77" w14:textId="59AC6AEF" w:rsidR="00F90522" w:rsidRDefault="00F70195" w:rsidP="00417C6D">
      <w:pPr>
        <w:pStyle w:val="ListParagraph"/>
        <w:numPr>
          <w:ilvl w:val="0"/>
          <w:numId w:val="30"/>
        </w:numPr>
        <w:jc w:val="both"/>
      </w:pPr>
      <w:r>
        <w:t>Bridge height restrictions.</w:t>
      </w:r>
    </w:p>
    <w:p w14:paraId="468F47DD" w14:textId="77777777" w:rsidR="00B36BFC" w:rsidRDefault="00B36BFC" w:rsidP="00B36BFC">
      <w:pPr>
        <w:pStyle w:val="ListParagraph"/>
        <w:ind w:left="1440"/>
        <w:jc w:val="both"/>
      </w:pPr>
    </w:p>
    <w:p w14:paraId="2534350C" w14:textId="77777777" w:rsidR="001053A7" w:rsidRDefault="001053A7" w:rsidP="007B5F25">
      <w:pPr>
        <w:pStyle w:val="ListParagraph"/>
        <w:numPr>
          <w:ilvl w:val="0"/>
          <w:numId w:val="1"/>
        </w:numPr>
        <w:jc w:val="both"/>
        <w:rPr>
          <w:b/>
          <w:lang w:val="en-US"/>
        </w:rPr>
      </w:pPr>
      <w:r w:rsidRPr="001053A7">
        <w:rPr>
          <w:b/>
          <w:lang w:val="en-US"/>
        </w:rPr>
        <w:t>Conditions - Stated areas of operation</w:t>
      </w:r>
    </w:p>
    <w:p w14:paraId="5EE3C567" w14:textId="77777777" w:rsidR="001053A7" w:rsidRPr="001053A7" w:rsidRDefault="001053A7" w:rsidP="001053A7">
      <w:pPr>
        <w:pStyle w:val="ListParagraph"/>
        <w:jc w:val="both"/>
        <w:rPr>
          <w:b/>
          <w:lang w:val="en-US"/>
        </w:rPr>
      </w:pPr>
    </w:p>
    <w:p w14:paraId="6318FB86" w14:textId="6F9BE25A" w:rsidR="00D31BBA" w:rsidRPr="002F7583" w:rsidRDefault="00417C6D" w:rsidP="009B0FEC">
      <w:pPr>
        <w:pStyle w:val="ListParagraph"/>
        <w:numPr>
          <w:ilvl w:val="0"/>
          <w:numId w:val="19"/>
        </w:numPr>
        <w:jc w:val="both"/>
      </w:pPr>
      <w:r>
        <w:t>An eligible vehicle operating under this Notice may ope</w:t>
      </w:r>
      <w:r w:rsidR="00870C49">
        <w:t>rate in the areas set out in</w:t>
      </w:r>
      <w:r>
        <w:t xml:space="preserve"> </w:t>
      </w:r>
      <w:r w:rsidR="005235E5" w:rsidRPr="005659C7">
        <w:t>Schedule</w:t>
      </w:r>
      <w:r w:rsidR="00870C49" w:rsidRPr="002F7583">
        <w:t xml:space="preserve"> 1</w:t>
      </w:r>
      <w:r w:rsidR="008508F5" w:rsidRPr="002F7583">
        <w:t xml:space="preserve"> of this Notice</w:t>
      </w:r>
      <w:r w:rsidRPr="002F7583">
        <w:t>.</w:t>
      </w:r>
    </w:p>
    <w:p w14:paraId="50762E3A" w14:textId="4A478956" w:rsidR="00417C6D" w:rsidRDefault="00417C6D" w:rsidP="009B0FEC">
      <w:pPr>
        <w:pStyle w:val="ListParagraph"/>
        <w:numPr>
          <w:ilvl w:val="0"/>
          <w:numId w:val="19"/>
        </w:numPr>
        <w:jc w:val="both"/>
      </w:pPr>
      <w:r w:rsidRPr="002F7583">
        <w:t>An eligible vehicle operating under this Notice must comply with the Travel Restriction</w:t>
      </w:r>
      <w:r w:rsidR="00801F4C">
        <w:t>s</w:t>
      </w:r>
      <w:r w:rsidRPr="002F7583">
        <w:t xml:space="preserve"> set out in </w:t>
      </w:r>
      <w:r w:rsidR="005235E5" w:rsidRPr="005659C7">
        <w:t>Schedule</w:t>
      </w:r>
      <w:r w:rsidR="00870C49">
        <w:t xml:space="preserve"> 1 of this Notice</w:t>
      </w:r>
      <w:r>
        <w:t>.</w:t>
      </w:r>
    </w:p>
    <w:p w14:paraId="60D84C26" w14:textId="77777777" w:rsidR="00417C6D" w:rsidRDefault="00417C6D" w:rsidP="00417C6D">
      <w:pPr>
        <w:pStyle w:val="ListParagraph"/>
        <w:ind w:left="1080"/>
        <w:jc w:val="both"/>
      </w:pPr>
    </w:p>
    <w:p w14:paraId="7EDD3D44" w14:textId="77777777" w:rsidR="00417C6D" w:rsidRDefault="00417C6D" w:rsidP="00417C6D">
      <w:pPr>
        <w:pStyle w:val="ListParagraph"/>
        <w:numPr>
          <w:ilvl w:val="0"/>
          <w:numId w:val="1"/>
        </w:numPr>
        <w:jc w:val="both"/>
        <w:rPr>
          <w:b/>
          <w:lang w:val="en-US"/>
        </w:rPr>
      </w:pPr>
      <w:r w:rsidRPr="00417C6D">
        <w:rPr>
          <w:b/>
          <w:lang w:val="en-US"/>
        </w:rPr>
        <w:t>Conditions - Pilots and Escorts</w:t>
      </w:r>
    </w:p>
    <w:p w14:paraId="08845CAE" w14:textId="77777777" w:rsidR="00417C6D" w:rsidRPr="00417C6D" w:rsidRDefault="00417C6D" w:rsidP="00417C6D">
      <w:pPr>
        <w:pStyle w:val="ListParagraph"/>
        <w:jc w:val="both"/>
        <w:rPr>
          <w:b/>
          <w:lang w:val="en-US"/>
        </w:rPr>
      </w:pPr>
    </w:p>
    <w:p w14:paraId="6954159D" w14:textId="6FC547EA" w:rsidR="00870C49" w:rsidRDefault="00417C6D" w:rsidP="00E63436">
      <w:pPr>
        <w:pStyle w:val="ListParagraph"/>
        <w:numPr>
          <w:ilvl w:val="0"/>
          <w:numId w:val="31"/>
        </w:numPr>
        <w:jc w:val="both"/>
      </w:pPr>
      <w:r>
        <w:t xml:space="preserve">An eligible vehicle operating under this Notice must comply with Pilot </w:t>
      </w:r>
      <w:r w:rsidR="00746E0C">
        <w:t xml:space="preserve">and Escort requirements as per the </w:t>
      </w:r>
      <w:r w:rsidR="00746E0C">
        <w:rPr>
          <w:i/>
        </w:rPr>
        <w:t>Escorting Guideline for Oversize</w:t>
      </w:r>
      <w:r w:rsidR="006E29BD">
        <w:rPr>
          <w:i/>
        </w:rPr>
        <w:t xml:space="preserve"> and </w:t>
      </w:r>
      <w:proofErr w:type="spellStart"/>
      <w:r w:rsidR="006E29BD">
        <w:rPr>
          <w:i/>
        </w:rPr>
        <w:t>Overmass</w:t>
      </w:r>
      <w:proofErr w:type="spellEnd"/>
      <w:r w:rsidR="00746E0C">
        <w:rPr>
          <w:i/>
        </w:rPr>
        <w:t xml:space="preserve"> Vehicles and Loads</w:t>
      </w:r>
      <w:r w:rsidR="00746E0C">
        <w:t>.</w:t>
      </w:r>
    </w:p>
    <w:p w14:paraId="11F42809" w14:textId="77777777" w:rsidR="00746E0C" w:rsidRDefault="00746E0C">
      <w:pPr>
        <w:pStyle w:val="ListParagraph"/>
        <w:ind w:left="1080"/>
        <w:jc w:val="both"/>
      </w:pPr>
    </w:p>
    <w:p w14:paraId="283F7839" w14:textId="77777777" w:rsidR="00B37989" w:rsidRPr="00B37989" w:rsidRDefault="00870C49" w:rsidP="005659C7">
      <w:pPr>
        <w:pStyle w:val="ListParagraph"/>
        <w:numPr>
          <w:ilvl w:val="0"/>
          <w:numId w:val="31"/>
        </w:numPr>
        <w:jc w:val="both"/>
        <w:rPr>
          <w:i/>
          <w:lang w:val="en-US"/>
        </w:rPr>
      </w:pPr>
      <w:r>
        <w:t xml:space="preserve">Drivers of pilot vehicles must operate in accordance </w:t>
      </w:r>
      <w:r w:rsidR="006E29BD">
        <w:t xml:space="preserve">with the </w:t>
      </w:r>
      <w:r w:rsidRPr="006E29BD">
        <w:rPr>
          <w:i/>
        </w:rPr>
        <w:t xml:space="preserve">Escorting Guidelines for Oversize and </w:t>
      </w:r>
      <w:proofErr w:type="spellStart"/>
      <w:r w:rsidRPr="006E29BD">
        <w:rPr>
          <w:i/>
        </w:rPr>
        <w:t>Overmass</w:t>
      </w:r>
      <w:proofErr w:type="spellEnd"/>
      <w:r w:rsidR="00841E86" w:rsidRPr="006E29BD">
        <w:rPr>
          <w:i/>
        </w:rPr>
        <w:t xml:space="preserve"> </w:t>
      </w:r>
      <w:r w:rsidRPr="006E29BD">
        <w:rPr>
          <w:i/>
        </w:rPr>
        <w:t>Vehicles and Loads</w:t>
      </w:r>
      <w:r>
        <w:t xml:space="preserve"> published by DPTI.</w:t>
      </w:r>
    </w:p>
    <w:p w14:paraId="176C6F3D" w14:textId="77777777" w:rsidR="00B37989" w:rsidRPr="00B37989" w:rsidRDefault="00B37989" w:rsidP="00B37989">
      <w:pPr>
        <w:pStyle w:val="ListParagraph"/>
        <w:rPr>
          <w:i/>
          <w:lang w:val="en-US"/>
        </w:rPr>
      </w:pPr>
    </w:p>
    <w:p w14:paraId="122E8316" w14:textId="77777777" w:rsidR="00B37989" w:rsidRPr="00AE1C65" w:rsidRDefault="00B37989" w:rsidP="00B37989">
      <w:pPr>
        <w:ind w:left="720"/>
        <w:contextualSpacing/>
        <w:rPr>
          <w:rFonts w:ascii="Calibri" w:hAnsi="Calibri"/>
          <w:sz w:val="24"/>
          <w:szCs w:val="24"/>
          <w:lang w:eastAsia="en-AU"/>
        </w:rPr>
      </w:pPr>
      <w:r w:rsidRPr="00AE1C65">
        <w:rPr>
          <w:rFonts w:ascii="Calibri" w:hAnsi="Calibri"/>
          <w:sz w:val="24"/>
          <w:szCs w:val="24"/>
          <w:lang w:eastAsia="en-AU"/>
        </w:rPr>
        <w:t>Peter Caprioli</w:t>
      </w:r>
    </w:p>
    <w:p w14:paraId="1D67A54E" w14:textId="77777777" w:rsidR="00B37989" w:rsidRPr="00AE1C65" w:rsidRDefault="00B37989" w:rsidP="00B37989">
      <w:pPr>
        <w:ind w:left="720"/>
        <w:contextualSpacing/>
        <w:rPr>
          <w:rFonts w:ascii="Calibri" w:hAnsi="Calibri"/>
          <w:i/>
          <w:sz w:val="24"/>
          <w:szCs w:val="24"/>
          <w:lang w:eastAsia="en-AU"/>
        </w:rPr>
      </w:pPr>
      <w:r w:rsidRPr="00AE1C65">
        <w:rPr>
          <w:rFonts w:ascii="Calibri" w:hAnsi="Calibri"/>
          <w:i/>
          <w:sz w:val="24"/>
          <w:szCs w:val="24"/>
          <w:lang w:eastAsia="en-AU"/>
        </w:rPr>
        <w:t>Executive Director (Freight and Supply Chain Productivity)</w:t>
      </w:r>
    </w:p>
    <w:p w14:paraId="2C3D71A9" w14:textId="77777777" w:rsidR="00B37989" w:rsidRPr="00AE1C65" w:rsidRDefault="00B37989" w:rsidP="00B37989">
      <w:pPr>
        <w:ind w:left="720"/>
        <w:contextualSpacing/>
        <w:rPr>
          <w:rFonts w:ascii="Calibri" w:hAnsi="Calibri"/>
          <w:i/>
          <w:sz w:val="24"/>
          <w:szCs w:val="24"/>
          <w:lang w:eastAsia="en-AU"/>
        </w:rPr>
      </w:pPr>
      <w:r w:rsidRPr="00AE1C65">
        <w:rPr>
          <w:rFonts w:ascii="Calibri" w:hAnsi="Calibri"/>
          <w:b/>
          <w:sz w:val="24"/>
          <w:szCs w:val="24"/>
          <w:lang w:eastAsia="en-AU"/>
        </w:rPr>
        <w:t>National Heavy Vehicle Regulator</w:t>
      </w:r>
    </w:p>
    <w:p w14:paraId="45425317" w14:textId="25F3DCDA" w:rsidR="00960C86" w:rsidRPr="00B37989" w:rsidRDefault="00960C86" w:rsidP="00B37989">
      <w:pPr>
        <w:jc w:val="both"/>
        <w:rPr>
          <w:i/>
          <w:lang w:val="en-US"/>
        </w:rPr>
      </w:pPr>
      <w:r w:rsidRPr="00B37989">
        <w:rPr>
          <w:i/>
          <w:lang w:val="en-US"/>
        </w:rPr>
        <w:br w:type="page"/>
      </w:r>
    </w:p>
    <w:p w14:paraId="1C7A7CF0" w14:textId="77777777" w:rsidR="00960C86" w:rsidRPr="00D876EC" w:rsidRDefault="00960C86" w:rsidP="00960C86">
      <w:pPr>
        <w:spacing w:after="0"/>
        <w:rPr>
          <w:b/>
        </w:rPr>
      </w:pPr>
      <w:r>
        <w:rPr>
          <w:b/>
        </w:rPr>
        <w:lastRenderedPageBreak/>
        <w:t>Schedule</w:t>
      </w:r>
      <w:r w:rsidRPr="00D876EC">
        <w:rPr>
          <w:b/>
        </w:rPr>
        <w:t xml:space="preserve"> 1 - Travel Restrictions for the transport of </w:t>
      </w:r>
      <w:r w:rsidR="00EB3CFF">
        <w:rPr>
          <w:b/>
        </w:rPr>
        <w:t xml:space="preserve">indivisible items and </w:t>
      </w:r>
      <w:r w:rsidRPr="00D876EC">
        <w:rPr>
          <w:b/>
        </w:rPr>
        <w:t>agricultural vehicles as a load</w:t>
      </w:r>
    </w:p>
    <w:p w14:paraId="327DDE83" w14:textId="77777777" w:rsidR="00960C86" w:rsidRDefault="00960C86" w:rsidP="00960C86">
      <w:pPr>
        <w:spacing w:after="0"/>
      </w:pPr>
    </w:p>
    <w:p w14:paraId="21CE1897" w14:textId="77777777" w:rsidR="00960C86" w:rsidRPr="00055FCC" w:rsidRDefault="00960C86" w:rsidP="00960C86">
      <w:pPr>
        <w:pStyle w:val="ListParagraph"/>
        <w:numPr>
          <w:ilvl w:val="0"/>
          <w:numId w:val="35"/>
        </w:numPr>
        <w:spacing w:after="0"/>
        <w:rPr>
          <w:b/>
        </w:rPr>
      </w:pPr>
      <w:r w:rsidRPr="00055FCC">
        <w:rPr>
          <w:b/>
        </w:rPr>
        <w:t>Times of Travel</w:t>
      </w:r>
    </w:p>
    <w:p w14:paraId="7A9219E4" w14:textId="5A5B1125" w:rsidR="00960C86" w:rsidRDefault="00960C86" w:rsidP="00960C86">
      <w:pPr>
        <w:pStyle w:val="ListParagraph"/>
        <w:numPr>
          <w:ilvl w:val="1"/>
          <w:numId w:val="36"/>
        </w:numPr>
        <w:spacing w:after="0"/>
      </w:pPr>
      <w:r>
        <w:t xml:space="preserve">You must not travel in the </w:t>
      </w:r>
      <w:r w:rsidR="00EB04E5">
        <w:t>Adelaide Metropolitan Area</w:t>
      </w:r>
      <w:r w:rsidR="009C0330">
        <w:t xml:space="preserve"> </w:t>
      </w:r>
      <w:r>
        <w:t>between the hours of 7 am to 9 am and 4 pm to 6 pm, Monday to Friday inclusive.</w:t>
      </w:r>
      <w:r w:rsidR="00824769">
        <w:t xml:space="preserve"> </w:t>
      </w:r>
    </w:p>
    <w:p w14:paraId="49D8C5C0" w14:textId="77777777" w:rsidR="00F43C86" w:rsidRDefault="00F43C86" w:rsidP="00824769">
      <w:pPr>
        <w:pStyle w:val="ListParagraph"/>
        <w:spacing w:after="0"/>
      </w:pPr>
    </w:p>
    <w:p w14:paraId="51F83324" w14:textId="0C43F29E" w:rsidR="00960C86" w:rsidRDefault="00960C86" w:rsidP="00960C86">
      <w:pPr>
        <w:pStyle w:val="ListParagraph"/>
        <w:numPr>
          <w:ilvl w:val="1"/>
          <w:numId w:val="36"/>
        </w:numPr>
        <w:spacing w:after="0"/>
      </w:pPr>
      <w:r>
        <w:t>You may travel at night</w:t>
      </w:r>
      <w:r w:rsidR="00ED160E">
        <w:t xml:space="preserve"> on road networks managed </w:t>
      </w:r>
      <w:r w:rsidR="009E0313">
        <w:t>b</w:t>
      </w:r>
      <w:r w:rsidR="00ED160E">
        <w:t>y Participating Road Managers</w:t>
      </w:r>
      <w:r>
        <w:t xml:space="preserve"> if your vehicle</w:t>
      </w:r>
      <w:r w:rsidR="00FE5A93">
        <w:t>, together with its</w:t>
      </w:r>
      <w:r>
        <w:t xml:space="preserve"> load:</w:t>
      </w:r>
    </w:p>
    <w:p w14:paraId="39CEDAE6" w14:textId="25BF5C1C" w:rsidR="00960C86" w:rsidRDefault="00960C86" w:rsidP="00960C86">
      <w:pPr>
        <w:pStyle w:val="ListParagraph"/>
        <w:numPr>
          <w:ilvl w:val="2"/>
          <w:numId w:val="36"/>
        </w:numPr>
        <w:spacing w:after="0"/>
      </w:pPr>
      <w:r>
        <w:t xml:space="preserve"> Does not exceed </w:t>
      </w:r>
      <w:r w:rsidR="004A4FDD">
        <w:t>3.1</w:t>
      </w:r>
      <w:r>
        <w:t xml:space="preserve"> metres wide; and</w:t>
      </w:r>
    </w:p>
    <w:p w14:paraId="4FB075D5" w14:textId="77777777" w:rsidR="00960C86" w:rsidRDefault="00960C86" w:rsidP="00960C86">
      <w:pPr>
        <w:pStyle w:val="ListParagraph"/>
        <w:numPr>
          <w:ilvl w:val="2"/>
          <w:numId w:val="36"/>
        </w:numPr>
        <w:spacing w:after="0"/>
      </w:pPr>
      <w:r>
        <w:t xml:space="preserve"> Does not exceed 4.6 metres high; and</w:t>
      </w:r>
    </w:p>
    <w:p w14:paraId="3FA542C6" w14:textId="393D674D" w:rsidR="00960C86" w:rsidRDefault="00960C86" w:rsidP="00960C86">
      <w:pPr>
        <w:pStyle w:val="ListParagraph"/>
        <w:numPr>
          <w:ilvl w:val="2"/>
          <w:numId w:val="36"/>
        </w:numPr>
        <w:spacing w:after="0"/>
      </w:pPr>
      <w:r>
        <w:t xml:space="preserve"> Does not exceed </w:t>
      </w:r>
      <w:r w:rsidR="004A4FDD">
        <w:t xml:space="preserve">22 </w:t>
      </w:r>
      <w:r>
        <w:t>metres long for an articulated vehicle.</w:t>
      </w:r>
    </w:p>
    <w:p w14:paraId="5642F4F6" w14:textId="77777777" w:rsidR="002960F2" w:rsidRDefault="002960F2" w:rsidP="00DD788C">
      <w:pPr>
        <w:pStyle w:val="ListParagraph"/>
        <w:spacing w:after="0"/>
        <w:ind w:left="1080"/>
      </w:pPr>
    </w:p>
    <w:p w14:paraId="5FC305F4" w14:textId="3AD1CE18" w:rsidR="00BF4629" w:rsidRDefault="00ED160E" w:rsidP="00150E86">
      <w:pPr>
        <w:pStyle w:val="ListParagraph"/>
        <w:numPr>
          <w:ilvl w:val="1"/>
          <w:numId w:val="36"/>
        </w:numPr>
        <w:spacing w:after="0"/>
      </w:pPr>
      <w:r>
        <w:t>O</w:t>
      </w:r>
      <w:r w:rsidR="002960F2">
        <w:t>therwise the vehicle, together with is load:</w:t>
      </w:r>
    </w:p>
    <w:p w14:paraId="1FD025E6" w14:textId="1DDC50CD" w:rsidR="002960F2" w:rsidRDefault="00D0199E" w:rsidP="004D01EF">
      <w:pPr>
        <w:pStyle w:val="ListParagraph"/>
        <w:numPr>
          <w:ilvl w:val="2"/>
          <w:numId w:val="36"/>
        </w:numPr>
        <w:spacing w:after="0"/>
      </w:pPr>
      <w:r>
        <w:t>Must</w:t>
      </w:r>
      <w:r w:rsidR="00945200">
        <w:t xml:space="preserve"> not e</w:t>
      </w:r>
      <w:r w:rsidR="002960F2">
        <w:t>xceed 2.5m wide and</w:t>
      </w:r>
    </w:p>
    <w:p w14:paraId="580598B5" w14:textId="28149966" w:rsidR="002960F2" w:rsidRDefault="00D0199E" w:rsidP="004D01EF">
      <w:pPr>
        <w:pStyle w:val="ListParagraph"/>
        <w:numPr>
          <w:ilvl w:val="2"/>
          <w:numId w:val="36"/>
        </w:numPr>
        <w:spacing w:after="0"/>
      </w:pPr>
      <w:r>
        <w:t xml:space="preserve">Must </w:t>
      </w:r>
      <w:r w:rsidR="00945200">
        <w:t>not e</w:t>
      </w:r>
      <w:r w:rsidR="002960F2">
        <w:t>xceed 4.6m high and</w:t>
      </w:r>
    </w:p>
    <w:p w14:paraId="3586D389" w14:textId="394D9820" w:rsidR="002960F2" w:rsidRDefault="00D0199E">
      <w:pPr>
        <w:pStyle w:val="ListParagraph"/>
        <w:numPr>
          <w:ilvl w:val="2"/>
          <w:numId w:val="36"/>
        </w:numPr>
        <w:spacing w:after="0"/>
      </w:pPr>
      <w:r>
        <w:t xml:space="preserve">Must </w:t>
      </w:r>
      <w:r w:rsidR="00945200">
        <w:t>not e</w:t>
      </w:r>
      <w:r w:rsidR="002960F2">
        <w:t>xceed 19 metres long for an articulated vehicle</w:t>
      </w:r>
    </w:p>
    <w:p w14:paraId="41FF69F7" w14:textId="4FBA1CAA" w:rsidR="00960C86" w:rsidRDefault="00960C86" w:rsidP="00DD788C">
      <w:pPr>
        <w:pStyle w:val="ListParagraph"/>
        <w:spacing w:after="0"/>
      </w:pPr>
    </w:p>
    <w:p w14:paraId="7E90FFDE" w14:textId="4E98F93D" w:rsidR="00960C86" w:rsidRDefault="00960C86" w:rsidP="00960C86">
      <w:pPr>
        <w:pStyle w:val="ListParagraph"/>
        <w:numPr>
          <w:ilvl w:val="0"/>
          <w:numId w:val="36"/>
        </w:numPr>
        <w:spacing w:after="0"/>
        <w:rPr>
          <w:b/>
        </w:rPr>
      </w:pPr>
      <w:r w:rsidRPr="00055FCC">
        <w:rPr>
          <w:b/>
        </w:rPr>
        <w:t>Restricted Routes</w:t>
      </w:r>
    </w:p>
    <w:p w14:paraId="2F0036E3" w14:textId="77777777" w:rsidR="00150E86" w:rsidRPr="00055FCC" w:rsidRDefault="00150E86" w:rsidP="00150E86">
      <w:pPr>
        <w:pStyle w:val="ListParagraph"/>
        <w:spacing w:after="0"/>
        <w:ind w:left="360"/>
        <w:rPr>
          <w:b/>
        </w:rPr>
      </w:pPr>
    </w:p>
    <w:p w14:paraId="385B8EE6" w14:textId="77777777" w:rsidR="001E3C4C" w:rsidRDefault="001E3C4C" w:rsidP="008F2248">
      <w:pPr>
        <w:pStyle w:val="ListParagraph"/>
        <w:numPr>
          <w:ilvl w:val="1"/>
          <w:numId w:val="36"/>
        </w:numPr>
        <w:spacing w:after="0"/>
      </w:pPr>
      <w:r w:rsidRPr="008F2248">
        <w:t>An operator of an eligible vehicle that is higher than 4.3m or wider than 2.5m:</w:t>
      </w:r>
    </w:p>
    <w:p w14:paraId="364673FD" w14:textId="77777777" w:rsidR="00150E86" w:rsidRPr="008F2248" w:rsidRDefault="00150E86" w:rsidP="00150E86">
      <w:pPr>
        <w:pStyle w:val="ListParagraph"/>
        <w:spacing w:after="0"/>
      </w:pPr>
    </w:p>
    <w:p w14:paraId="2B85ED51" w14:textId="30C86FBE" w:rsidR="001E3C4C" w:rsidRDefault="001E3C4C" w:rsidP="00150E86">
      <w:pPr>
        <w:pStyle w:val="ListParagraph"/>
        <w:numPr>
          <w:ilvl w:val="2"/>
          <w:numId w:val="36"/>
        </w:numPr>
        <w:spacing w:after="0"/>
      </w:pPr>
      <w:r w:rsidRPr="001E3C4C">
        <w:t>must comply with the specified route, area and structure restrictions published</w:t>
      </w:r>
      <w:r w:rsidR="00807B24">
        <w:t xml:space="preserve"> in the </w:t>
      </w:r>
      <w:r w:rsidR="00807B24">
        <w:rPr>
          <w:i/>
        </w:rPr>
        <w:t>Consolidated Table of Limited Access Locations in South Australia</w:t>
      </w:r>
      <w:r w:rsidR="00807B24">
        <w:t xml:space="preserve"> published</w:t>
      </w:r>
      <w:r w:rsidRPr="001E3C4C">
        <w:t xml:space="preserve"> on the ‘Approved Areas or Routes’ section </w:t>
      </w:r>
      <w:r w:rsidR="00807B24">
        <w:t xml:space="preserve">of </w:t>
      </w:r>
      <w:r w:rsidRPr="001E3C4C">
        <w:t>the DPTI website at</w:t>
      </w:r>
      <w:r w:rsidRPr="007C396E">
        <w:t xml:space="preserve"> </w:t>
      </w:r>
      <w:r w:rsidR="00150E86">
        <w:t>; and</w:t>
      </w:r>
    </w:p>
    <w:p w14:paraId="1473869F" w14:textId="77777777" w:rsidR="00150E86" w:rsidRPr="001E3C4C" w:rsidRDefault="00150E86" w:rsidP="00150E86">
      <w:pPr>
        <w:pStyle w:val="ListParagraph"/>
        <w:spacing w:after="0"/>
        <w:ind w:left="1080"/>
      </w:pPr>
    </w:p>
    <w:p w14:paraId="4BEDF525" w14:textId="77777777" w:rsidR="001E3C4C" w:rsidRPr="001E3C4C" w:rsidRDefault="001E3C4C" w:rsidP="001E3C4C">
      <w:pPr>
        <w:pStyle w:val="ListParagraph"/>
        <w:numPr>
          <w:ilvl w:val="2"/>
          <w:numId w:val="36"/>
        </w:numPr>
        <w:spacing w:after="0"/>
      </w:pPr>
      <w:proofErr w:type="gramStart"/>
      <w:r w:rsidRPr="001E3C4C">
        <w:t>may</w:t>
      </w:r>
      <w:proofErr w:type="gramEnd"/>
      <w:r w:rsidRPr="001E3C4C">
        <w:t xml:space="preserve"> be required to consult and obtain consent from third party entities who manage utilities which may be impacted by over height vehicles. </w:t>
      </w:r>
    </w:p>
    <w:p w14:paraId="2B8535C0" w14:textId="77777777" w:rsidR="00150E86" w:rsidRDefault="00150E86" w:rsidP="00150E86">
      <w:pPr>
        <w:spacing w:after="0"/>
        <w:ind w:left="1080" w:hanging="654"/>
      </w:pPr>
    </w:p>
    <w:p w14:paraId="46777C4D" w14:textId="77777777" w:rsidR="00150E86" w:rsidRPr="00B37989" w:rsidRDefault="00150E86" w:rsidP="00150E86">
      <w:pPr>
        <w:spacing w:after="0"/>
        <w:ind w:left="2160" w:hanging="1080"/>
        <w:rPr>
          <w:i/>
        </w:rPr>
      </w:pPr>
      <w:proofErr w:type="gramStart"/>
      <w:r w:rsidRPr="00B37989">
        <w:rPr>
          <w:i/>
        </w:rPr>
        <w:t>Note :</w:t>
      </w:r>
      <w:proofErr w:type="gramEnd"/>
      <w:r w:rsidRPr="00B37989">
        <w:rPr>
          <w:i/>
        </w:rPr>
        <w:tab/>
      </w:r>
      <w:r w:rsidR="001E3C4C" w:rsidRPr="00B37989">
        <w:rPr>
          <w:i/>
        </w:rPr>
        <w:t>Some routes in the Adelaide Metropolitan Area have height restrictions less than 4.3m.</w:t>
      </w:r>
    </w:p>
    <w:p w14:paraId="22667598" w14:textId="77777777" w:rsidR="00150E86" w:rsidRPr="00B37989" w:rsidRDefault="00150E86" w:rsidP="00150E86">
      <w:pPr>
        <w:spacing w:after="0"/>
        <w:ind w:left="2160" w:hanging="1080"/>
        <w:rPr>
          <w:i/>
        </w:rPr>
      </w:pPr>
    </w:p>
    <w:p w14:paraId="2B82514F" w14:textId="28520F4C" w:rsidR="001E3C4C" w:rsidRPr="00B37989" w:rsidRDefault="001E3C4C" w:rsidP="00150E86">
      <w:pPr>
        <w:spacing w:after="0"/>
        <w:ind w:left="2160"/>
        <w:rPr>
          <w:i/>
        </w:rPr>
      </w:pPr>
      <w:r w:rsidRPr="00B37989">
        <w:rPr>
          <w:i/>
        </w:rPr>
        <w:t>Contact details for S</w:t>
      </w:r>
      <w:r w:rsidR="00150E86" w:rsidRPr="00B37989">
        <w:rPr>
          <w:i/>
        </w:rPr>
        <w:t>outh Australia Power Networks</w:t>
      </w:r>
      <w:r w:rsidRPr="00B37989">
        <w:rPr>
          <w:i/>
        </w:rPr>
        <w:t xml:space="preserve">, Telstra and Optus are available at </w:t>
      </w:r>
      <w:r w:rsidR="00150E86" w:rsidRPr="00B37989">
        <w:rPr>
          <w:i/>
        </w:rPr>
        <w:t>on the National Heavy Vehicle Regulator website.</w:t>
      </w:r>
    </w:p>
    <w:p w14:paraId="4A4DF35A" w14:textId="04D137FA" w:rsidR="00960C86" w:rsidRPr="00055FCC" w:rsidRDefault="00960C86" w:rsidP="008F2248">
      <w:pPr>
        <w:widowControl w:val="0"/>
        <w:tabs>
          <w:tab w:val="left" w:pos="793"/>
          <w:tab w:val="left" w:pos="794"/>
        </w:tabs>
        <w:autoSpaceDE w:val="0"/>
        <w:autoSpaceDN w:val="0"/>
        <w:spacing w:before="116" w:after="0" w:line="249" w:lineRule="auto"/>
        <w:ind w:left="426" w:right="743"/>
      </w:pPr>
    </w:p>
    <w:p w14:paraId="12443549" w14:textId="5DF9DA89" w:rsidR="00960C86" w:rsidRPr="00D876EC" w:rsidRDefault="00960C86" w:rsidP="00960C86">
      <w:pPr>
        <w:pStyle w:val="ListParagraph"/>
        <w:numPr>
          <w:ilvl w:val="0"/>
          <w:numId w:val="36"/>
        </w:numPr>
        <w:spacing w:after="0"/>
        <w:rPr>
          <w:b/>
        </w:rPr>
      </w:pPr>
      <w:r w:rsidRPr="00D876EC">
        <w:rPr>
          <w:b/>
        </w:rPr>
        <w:t>Restricted Travel in the Adelaide Hills</w:t>
      </w:r>
      <w:r w:rsidR="001176FD">
        <w:rPr>
          <w:b/>
        </w:rPr>
        <w:t xml:space="preserve"> Area</w:t>
      </w:r>
    </w:p>
    <w:p w14:paraId="29FE6631" w14:textId="45565A42" w:rsidR="00F90522" w:rsidRPr="00150E86" w:rsidRDefault="00960C86" w:rsidP="00DD788C">
      <w:pPr>
        <w:pStyle w:val="ListParagraph"/>
        <w:numPr>
          <w:ilvl w:val="1"/>
          <w:numId w:val="36"/>
        </w:numPr>
        <w:spacing w:after="0"/>
        <w:rPr>
          <w:lang w:val="en-US"/>
        </w:rPr>
      </w:pPr>
      <w:r w:rsidRPr="00150E86">
        <w:t xml:space="preserve">If your vehicle and load exceeds 3.05 metres wide and/or 19 metres long, you must not travel in the Adelaide Hills </w:t>
      </w:r>
      <w:r w:rsidR="009C0330" w:rsidRPr="00150E86">
        <w:t>Area</w:t>
      </w:r>
      <w:r w:rsidRPr="00150E86">
        <w:t>.</w:t>
      </w:r>
    </w:p>
    <w:sectPr w:rsidR="00F90522" w:rsidRPr="00150E86" w:rsidSect="003B6744">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2EAB7" w15:done="0"/>
  <w15:commentEx w15:paraId="1A24D0F7" w15:done="0"/>
  <w15:commentEx w15:paraId="0D8D4EBC" w15:done="0"/>
  <w15:commentEx w15:paraId="3464FAA6" w15:done="0"/>
  <w15:commentEx w15:paraId="168DC3BB" w15:done="0"/>
  <w15:commentEx w15:paraId="78D31DE8" w15:done="0"/>
  <w15:commentEx w15:paraId="562F4CA9" w15:done="0"/>
  <w15:commentEx w15:paraId="36317E81" w15:done="0"/>
  <w15:commentEx w15:paraId="67890176" w15:done="0"/>
  <w15:commentEx w15:paraId="49FEA3AD" w15:done="0"/>
  <w15:commentEx w15:paraId="2802376A" w15:done="0"/>
  <w15:commentEx w15:paraId="4AF899CD" w15:done="0"/>
  <w15:commentEx w15:paraId="1E25479C" w15:done="0"/>
  <w15:commentEx w15:paraId="4C0CF1B7" w15:done="0"/>
  <w15:commentEx w15:paraId="6F9CC124" w15:done="0"/>
  <w15:commentEx w15:paraId="49BBF3B0" w15:done="0"/>
  <w15:commentEx w15:paraId="156712C2" w15:done="0"/>
  <w15:commentEx w15:paraId="572809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E13A8" w14:textId="77777777" w:rsidR="00F80582" w:rsidRDefault="00F80582" w:rsidP="00F80582">
      <w:pPr>
        <w:spacing w:after="0" w:line="240" w:lineRule="auto"/>
      </w:pPr>
      <w:r>
        <w:separator/>
      </w:r>
    </w:p>
  </w:endnote>
  <w:endnote w:type="continuationSeparator" w:id="0">
    <w:p w14:paraId="1E4DDD55" w14:textId="77777777" w:rsidR="00F80582" w:rsidRDefault="00F80582" w:rsidP="00F8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3889F" w14:textId="77777777" w:rsidR="00417C6D" w:rsidRDefault="00417C6D" w:rsidP="00F80582">
    <w:pPr>
      <w:pStyle w:val="Footer"/>
      <w:contextualSpacing/>
      <w:jc w:val="right"/>
      <w:rPr>
        <w:lang w:val="en-US"/>
      </w:rPr>
    </w:pPr>
  </w:p>
  <w:p w14:paraId="593D2855" w14:textId="77777777" w:rsidR="00417C6D" w:rsidRDefault="00417C6D" w:rsidP="00F80582">
    <w:pPr>
      <w:pStyle w:val="Footer"/>
      <w:contextualSpacing/>
      <w:jc w:val="right"/>
      <w:rPr>
        <w:lang w:val="en-US"/>
      </w:rPr>
    </w:pPr>
    <w:r w:rsidRPr="00417C6D">
      <w:rPr>
        <w:lang w:val="en-US"/>
      </w:rPr>
      <w:t xml:space="preserve">South Australia Class 1 Transport of </w:t>
    </w:r>
    <w:r w:rsidR="00370889">
      <w:rPr>
        <w:lang w:val="en-US"/>
      </w:rPr>
      <w:t xml:space="preserve">Indivisible Items and </w:t>
    </w:r>
    <w:r w:rsidRPr="00417C6D">
      <w:rPr>
        <w:lang w:val="en-US"/>
      </w:rPr>
      <w:t>Agricultural Vehicles Dimension Exemption Notice (No.1)</w:t>
    </w:r>
  </w:p>
  <w:p w14:paraId="1A41264A" w14:textId="77777777" w:rsidR="00F80582" w:rsidRPr="00F80582" w:rsidRDefault="00594594" w:rsidP="00F80582">
    <w:pPr>
      <w:pStyle w:val="Footer"/>
      <w:contextualSpacing/>
      <w:jc w:val="right"/>
    </w:pPr>
    <w:sdt>
      <w:sdtPr>
        <w:id w:val="218258053"/>
        <w:docPartObj>
          <w:docPartGallery w:val="Page Numbers (Bottom of Page)"/>
          <w:docPartUnique/>
        </w:docPartObj>
      </w:sdtPr>
      <w:sdtEndPr/>
      <w:sdtContent>
        <w:sdt>
          <w:sdtPr>
            <w:id w:val="860082579"/>
            <w:docPartObj>
              <w:docPartGallery w:val="Page Numbers (Top of Page)"/>
              <w:docPartUnique/>
            </w:docPartObj>
          </w:sdtPr>
          <w:sdtEndPr/>
          <w:sdtContent>
            <w:r w:rsidR="00F80582" w:rsidRPr="00F80582">
              <w:t xml:space="preserve">Page </w:t>
            </w:r>
            <w:r w:rsidR="00F80582" w:rsidRPr="00F80582">
              <w:rPr>
                <w:bCs/>
                <w:sz w:val="24"/>
                <w:szCs w:val="24"/>
              </w:rPr>
              <w:fldChar w:fldCharType="begin"/>
            </w:r>
            <w:r w:rsidR="00F80582" w:rsidRPr="00F80582">
              <w:rPr>
                <w:bCs/>
              </w:rPr>
              <w:instrText xml:space="preserve"> PAGE </w:instrText>
            </w:r>
            <w:r w:rsidR="00F80582" w:rsidRPr="00F80582">
              <w:rPr>
                <w:bCs/>
                <w:sz w:val="24"/>
                <w:szCs w:val="24"/>
              </w:rPr>
              <w:fldChar w:fldCharType="separate"/>
            </w:r>
            <w:r>
              <w:rPr>
                <w:bCs/>
                <w:noProof/>
              </w:rPr>
              <w:t>5</w:t>
            </w:r>
            <w:r w:rsidR="00F80582" w:rsidRPr="00F80582">
              <w:rPr>
                <w:bCs/>
                <w:sz w:val="24"/>
                <w:szCs w:val="24"/>
              </w:rPr>
              <w:fldChar w:fldCharType="end"/>
            </w:r>
            <w:r w:rsidR="00F80582" w:rsidRPr="00F80582">
              <w:t xml:space="preserve"> of </w:t>
            </w:r>
            <w:r w:rsidR="00F80582" w:rsidRPr="00F80582">
              <w:rPr>
                <w:bCs/>
                <w:sz w:val="24"/>
                <w:szCs w:val="24"/>
              </w:rPr>
              <w:fldChar w:fldCharType="begin"/>
            </w:r>
            <w:r w:rsidR="00F80582" w:rsidRPr="00F80582">
              <w:rPr>
                <w:bCs/>
              </w:rPr>
              <w:instrText xml:space="preserve"> NUMPAGES  </w:instrText>
            </w:r>
            <w:r w:rsidR="00F80582" w:rsidRPr="00F80582">
              <w:rPr>
                <w:bCs/>
                <w:sz w:val="24"/>
                <w:szCs w:val="24"/>
              </w:rPr>
              <w:fldChar w:fldCharType="separate"/>
            </w:r>
            <w:r>
              <w:rPr>
                <w:bCs/>
                <w:noProof/>
              </w:rPr>
              <w:t>5</w:t>
            </w:r>
            <w:r w:rsidR="00F80582" w:rsidRPr="00F80582">
              <w:rPr>
                <w:bCs/>
                <w:sz w:val="24"/>
                <w:szCs w:val="24"/>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B7857" w14:textId="77777777" w:rsidR="003B6744" w:rsidRDefault="003B6744" w:rsidP="003B6744">
    <w:pPr>
      <w:pStyle w:val="Footer"/>
      <w:contextualSpacing/>
      <w:jc w:val="right"/>
      <w:rPr>
        <w:lang w:val="en-US"/>
      </w:rPr>
    </w:pPr>
  </w:p>
  <w:p w14:paraId="48347FDD" w14:textId="77777777" w:rsidR="003B6744" w:rsidRDefault="003B6744" w:rsidP="003B6744">
    <w:pPr>
      <w:pStyle w:val="Footer"/>
      <w:contextualSpacing/>
      <w:jc w:val="right"/>
      <w:rPr>
        <w:lang w:val="en-US"/>
      </w:rPr>
    </w:pPr>
    <w:r w:rsidRPr="00417C6D">
      <w:rPr>
        <w:lang w:val="en-US"/>
      </w:rPr>
      <w:t xml:space="preserve">South Australia Class 1 Transport of </w:t>
    </w:r>
    <w:r>
      <w:rPr>
        <w:lang w:val="en-US"/>
      </w:rPr>
      <w:t xml:space="preserve">Indivisible Items and </w:t>
    </w:r>
    <w:r w:rsidRPr="00417C6D">
      <w:rPr>
        <w:lang w:val="en-US"/>
      </w:rPr>
      <w:t>Agricultural Vehicles Dimension Exemption Notice (No.1)</w:t>
    </w:r>
  </w:p>
  <w:p w14:paraId="499D4751" w14:textId="04750AEF" w:rsidR="003B6744" w:rsidRDefault="00594594" w:rsidP="003B6744">
    <w:pPr>
      <w:pStyle w:val="Footer"/>
      <w:contextualSpacing/>
      <w:jc w:val="right"/>
    </w:pPr>
    <w:sdt>
      <w:sdtPr>
        <w:id w:val="-672259412"/>
        <w:docPartObj>
          <w:docPartGallery w:val="Page Numbers (Bottom of Page)"/>
          <w:docPartUnique/>
        </w:docPartObj>
      </w:sdtPr>
      <w:sdtEndPr/>
      <w:sdtContent>
        <w:sdt>
          <w:sdtPr>
            <w:id w:val="1542089040"/>
            <w:docPartObj>
              <w:docPartGallery w:val="Page Numbers (Top of Page)"/>
              <w:docPartUnique/>
            </w:docPartObj>
          </w:sdtPr>
          <w:sdtEndPr/>
          <w:sdtContent>
            <w:r w:rsidR="003B6744" w:rsidRPr="00F80582">
              <w:t xml:space="preserve">Page </w:t>
            </w:r>
            <w:r w:rsidR="003B6744" w:rsidRPr="00F80582">
              <w:rPr>
                <w:bCs/>
                <w:sz w:val="24"/>
                <w:szCs w:val="24"/>
              </w:rPr>
              <w:fldChar w:fldCharType="begin"/>
            </w:r>
            <w:r w:rsidR="003B6744" w:rsidRPr="00F80582">
              <w:rPr>
                <w:bCs/>
              </w:rPr>
              <w:instrText xml:space="preserve"> PAGE </w:instrText>
            </w:r>
            <w:r w:rsidR="003B6744" w:rsidRPr="00F80582">
              <w:rPr>
                <w:bCs/>
                <w:sz w:val="24"/>
                <w:szCs w:val="24"/>
              </w:rPr>
              <w:fldChar w:fldCharType="separate"/>
            </w:r>
            <w:r>
              <w:rPr>
                <w:bCs/>
                <w:noProof/>
              </w:rPr>
              <w:t>1</w:t>
            </w:r>
            <w:r w:rsidR="003B6744" w:rsidRPr="00F80582">
              <w:rPr>
                <w:bCs/>
                <w:sz w:val="24"/>
                <w:szCs w:val="24"/>
              </w:rPr>
              <w:fldChar w:fldCharType="end"/>
            </w:r>
            <w:r w:rsidR="003B6744" w:rsidRPr="00F80582">
              <w:t xml:space="preserve"> of </w:t>
            </w:r>
            <w:r w:rsidR="003B6744" w:rsidRPr="00F80582">
              <w:rPr>
                <w:bCs/>
                <w:sz w:val="24"/>
                <w:szCs w:val="24"/>
              </w:rPr>
              <w:fldChar w:fldCharType="begin"/>
            </w:r>
            <w:r w:rsidR="003B6744" w:rsidRPr="00F80582">
              <w:rPr>
                <w:bCs/>
              </w:rPr>
              <w:instrText xml:space="preserve"> NUMPAGES  </w:instrText>
            </w:r>
            <w:r w:rsidR="003B6744" w:rsidRPr="00F80582">
              <w:rPr>
                <w:bCs/>
                <w:sz w:val="24"/>
                <w:szCs w:val="24"/>
              </w:rPr>
              <w:fldChar w:fldCharType="separate"/>
            </w:r>
            <w:r>
              <w:rPr>
                <w:bCs/>
                <w:noProof/>
              </w:rPr>
              <w:t>5</w:t>
            </w:r>
            <w:r w:rsidR="003B6744" w:rsidRPr="00F80582">
              <w:rPr>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D38F5" w14:textId="77777777" w:rsidR="00F80582" w:rsidRDefault="00F80582" w:rsidP="00F80582">
      <w:pPr>
        <w:spacing w:after="0" w:line="240" w:lineRule="auto"/>
      </w:pPr>
      <w:r>
        <w:separator/>
      </w:r>
    </w:p>
  </w:footnote>
  <w:footnote w:type="continuationSeparator" w:id="0">
    <w:p w14:paraId="4927993F" w14:textId="77777777" w:rsidR="00F80582" w:rsidRDefault="00F80582" w:rsidP="00F80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3B6744" w:rsidRPr="00E2655A" w14:paraId="2820C97A" w14:textId="77777777" w:rsidTr="0082312F">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152F8FF" w14:textId="77777777" w:rsidR="003B6744" w:rsidRPr="00E2655A" w:rsidRDefault="003B6744" w:rsidP="0082312F">
          <w:pPr>
            <w:spacing w:before="60"/>
            <w:ind w:left="-51"/>
            <w:rPr>
              <w:rFonts w:ascii="Arial" w:hAnsi="Arial"/>
              <w:sz w:val="12"/>
            </w:rPr>
          </w:pPr>
          <w:r w:rsidRPr="00E2655A">
            <w:rPr>
              <w:rFonts w:ascii="Arial" w:hAnsi="Arial"/>
              <w:noProof/>
              <w:sz w:val="12"/>
              <w:lang w:eastAsia="en-AU"/>
            </w:rPr>
            <w:drawing>
              <wp:inline distT="0" distB="0" distL="0" distR="0" wp14:anchorId="67EF992B" wp14:editId="6DD3F609">
                <wp:extent cx="701675" cy="542290"/>
                <wp:effectExtent l="0" t="0" r="0" b="0"/>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675" cy="542290"/>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7274613" w14:textId="77777777" w:rsidR="003B6744" w:rsidRPr="00E2655A" w:rsidRDefault="003B6744" w:rsidP="0082312F">
          <w:pPr>
            <w:spacing w:before="60" w:line="460" w:lineRule="exact"/>
            <w:rPr>
              <w:rFonts w:ascii="Arial" w:hAnsi="Arial" w:cs="Arial"/>
              <w:b/>
              <w:spacing w:val="-2"/>
              <w:sz w:val="44"/>
              <w:szCs w:val="44"/>
            </w:rPr>
          </w:pPr>
          <w:r w:rsidRPr="00E2655A">
            <w:rPr>
              <w:rFonts w:ascii="Arial" w:hAnsi="Arial" w:cs="Arial"/>
              <w:b/>
              <w:spacing w:val="-2"/>
              <w:sz w:val="44"/>
              <w:szCs w:val="44"/>
            </w:rPr>
            <w:t>Commonwealth</w:t>
          </w:r>
          <w:r w:rsidRPr="00E2655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8B80EE8" w14:textId="77777777" w:rsidR="003B6744" w:rsidRPr="00E2655A" w:rsidRDefault="003B6744" w:rsidP="0082312F">
          <w:pPr>
            <w:spacing w:before="180" w:line="800" w:lineRule="exact"/>
            <w:jc w:val="right"/>
            <w:rPr>
              <w:rFonts w:ascii="Arial" w:hAnsi="Arial" w:cs="Arial"/>
              <w:b/>
              <w:sz w:val="100"/>
              <w:szCs w:val="100"/>
            </w:rPr>
          </w:pPr>
          <w:r w:rsidRPr="00E2655A">
            <w:rPr>
              <w:rFonts w:ascii="Arial" w:hAnsi="Arial" w:cs="Arial"/>
              <w:b/>
              <w:sz w:val="100"/>
              <w:szCs w:val="100"/>
            </w:rPr>
            <w:t>Gazette</w:t>
          </w:r>
        </w:p>
      </w:tc>
    </w:tr>
    <w:tr w:rsidR="003B6744" w:rsidRPr="00E2655A" w14:paraId="410B41FF" w14:textId="77777777" w:rsidTr="0082312F">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CDE1614" w14:textId="77777777" w:rsidR="003B6744" w:rsidRPr="00E2655A" w:rsidRDefault="003B6744" w:rsidP="0082312F">
          <w:pPr>
            <w:ind w:left="-51"/>
            <w:rPr>
              <w:rFonts w:ascii="Arial" w:hAnsi="Arial" w:cs="Arial"/>
              <w:sz w:val="14"/>
              <w:szCs w:val="14"/>
            </w:rPr>
          </w:pPr>
          <w:r w:rsidRPr="00E2655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F01BF0E" w14:textId="77777777" w:rsidR="003B6744" w:rsidRPr="00E2655A" w:rsidRDefault="003B6744" w:rsidP="0082312F">
          <w:pPr>
            <w:jc w:val="right"/>
            <w:rPr>
              <w:rFonts w:ascii="Arial" w:hAnsi="Arial" w:cs="Arial"/>
              <w:b/>
            </w:rPr>
          </w:pPr>
          <w:r w:rsidRPr="00E2655A">
            <w:rPr>
              <w:rFonts w:ascii="Arial" w:hAnsi="Arial" w:cs="Arial"/>
              <w:b/>
            </w:rPr>
            <w:t>GOVERNMENT NOTICES</w:t>
          </w:r>
        </w:p>
      </w:tc>
    </w:tr>
  </w:tbl>
  <w:p w14:paraId="0E25AFC2" w14:textId="77777777" w:rsidR="003B6744" w:rsidRDefault="003B67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203"/>
    <w:multiLevelType w:val="multilevel"/>
    <w:tmpl w:val="5840E46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AA078D"/>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3D23E07"/>
    <w:multiLevelType w:val="hybridMultilevel"/>
    <w:tmpl w:val="018A84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A8C4DA0"/>
    <w:multiLevelType w:val="hybridMultilevel"/>
    <w:tmpl w:val="7B2A8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B55B05"/>
    <w:multiLevelType w:val="hybridMultilevel"/>
    <w:tmpl w:val="F422751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5F7640"/>
    <w:multiLevelType w:val="multilevel"/>
    <w:tmpl w:val="71A67CB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FE3792"/>
    <w:multiLevelType w:val="hybridMultilevel"/>
    <w:tmpl w:val="018A84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242548E7"/>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46A2515"/>
    <w:multiLevelType w:val="hybridMultilevel"/>
    <w:tmpl w:val="9558D100"/>
    <w:lvl w:ilvl="0" w:tplc="7C462E9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6B23BFF"/>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B5B0550"/>
    <w:multiLevelType w:val="hybridMultilevel"/>
    <w:tmpl w:val="018A84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2D780237"/>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16F38C0"/>
    <w:multiLevelType w:val="hybridMultilevel"/>
    <w:tmpl w:val="AC269F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4322E17"/>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6A04A96"/>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8E1605E"/>
    <w:multiLevelType w:val="hybridMultilevel"/>
    <w:tmpl w:val="7700CF56"/>
    <w:lvl w:ilvl="0" w:tplc="0C090011">
      <w:start w:val="1"/>
      <w:numFmt w:val="decimal"/>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A81399F"/>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CBE01B1"/>
    <w:multiLevelType w:val="hybridMultilevel"/>
    <w:tmpl w:val="AC269F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1452B4F"/>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1B75744"/>
    <w:multiLevelType w:val="hybridMultilevel"/>
    <w:tmpl w:val="AC269FB2"/>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49C66576"/>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DE21423"/>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04706FE"/>
    <w:multiLevelType w:val="hybridMultilevel"/>
    <w:tmpl w:val="018A84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510E4534"/>
    <w:multiLevelType w:val="hybridMultilevel"/>
    <w:tmpl w:val="018A84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54505B81"/>
    <w:multiLevelType w:val="hybridMultilevel"/>
    <w:tmpl w:val="D6D44354"/>
    <w:lvl w:ilvl="0" w:tplc="4D54F6A8">
      <w:start w:val="1"/>
      <w:numFmt w:val="decimal"/>
      <w:pStyle w:val="OutlineNumberedLevel1"/>
      <w:lvlText w:val="(%1)"/>
      <w:lvlJc w:val="left"/>
      <w:pPr>
        <w:ind w:left="720" w:hanging="360"/>
      </w:pPr>
      <w:rPr>
        <w:rFonts w:hint="default"/>
        <w:b w:val="0"/>
      </w:rPr>
    </w:lvl>
    <w:lvl w:ilvl="1" w:tplc="BEA41C40">
      <w:start w:val="1"/>
      <w:numFmt w:val="lowerLetter"/>
      <w:pStyle w:val="OutlineNumberedLevel2"/>
      <w:lvlText w:val="(%2)"/>
      <w:lvlJc w:val="left"/>
      <w:pPr>
        <w:ind w:left="1117" w:hanging="397"/>
      </w:pPr>
      <w:rPr>
        <w:rFonts w:cs="Times New Roman" w:hint="default"/>
      </w:rPr>
    </w:lvl>
    <w:lvl w:ilvl="2" w:tplc="DE5AA308">
      <w:start w:val="1"/>
      <w:numFmt w:val="lowerRoman"/>
      <w:lvlText w:val="(%3)"/>
      <w:lvlJc w:val="right"/>
      <w:pPr>
        <w:ind w:left="1446" w:hanging="170"/>
      </w:pPr>
      <w:rPr>
        <w:rFonts w:hint="default"/>
      </w:rPr>
    </w:lvl>
    <w:lvl w:ilvl="3" w:tplc="97760118">
      <w:start w:val="1"/>
      <w:numFmt w:val="upperLetter"/>
      <w:pStyle w:val="OUtlineLevel4"/>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5">
    <w:nsid w:val="5BBC0ECF"/>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19B4A80"/>
    <w:multiLevelType w:val="hybridMultilevel"/>
    <w:tmpl w:val="018A84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62535699"/>
    <w:multiLevelType w:val="hybridMultilevel"/>
    <w:tmpl w:val="018A84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672B2BF5"/>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6AA57FB8"/>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6B281A68"/>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6BF14841"/>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D0A678E"/>
    <w:multiLevelType w:val="hybridMultilevel"/>
    <w:tmpl w:val="018A84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6F026733"/>
    <w:multiLevelType w:val="hybridMultilevel"/>
    <w:tmpl w:val="018A84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7587077A"/>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76810C24"/>
    <w:multiLevelType w:val="hybridMultilevel"/>
    <w:tmpl w:val="018A84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nsid w:val="781D521D"/>
    <w:multiLevelType w:val="multilevel"/>
    <w:tmpl w:val="71A67CB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9F460BF"/>
    <w:multiLevelType w:val="multilevel"/>
    <w:tmpl w:val="71A67CB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D102583"/>
    <w:multiLevelType w:val="hybridMultilevel"/>
    <w:tmpl w:val="56B4BA14"/>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7F7616FC"/>
    <w:multiLevelType w:val="hybridMultilevel"/>
    <w:tmpl w:val="AC269F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12"/>
  </w:num>
  <w:num w:numId="3">
    <w:abstractNumId w:val="17"/>
  </w:num>
  <w:num w:numId="4">
    <w:abstractNumId w:val="25"/>
  </w:num>
  <w:num w:numId="5">
    <w:abstractNumId w:val="20"/>
  </w:num>
  <w:num w:numId="6">
    <w:abstractNumId w:val="7"/>
  </w:num>
  <w:num w:numId="7">
    <w:abstractNumId w:val="29"/>
  </w:num>
  <w:num w:numId="8">
    <w:abstractNumId w:val="34"/>
  </w:num>
  <w:num w:numId="9">
    <w:abstractNumId w:val="11"/>
  </w:num>
  <w:num w:numId="10">
    <w:abstractNumId w:val="1"/>
  </w:num>
  <w:num w:numId="11">
    <w:abstractNumId w:val="22"/>
  </w:num>
  <w:num w:numId="12">
    <w:abstractNumId w:val="28"/>
  </w:num>
  <w:num w:numId="13">
    <w:abstractNumId w:val="16"/>
  </w:num>
  <w:num w:numId="14">
    <w:abstractNumId w:val="9"/>
  </w:num>
  <w:num w:numId="15">
    <w:abstractNumId w:val="38"/>
  </w:num>
  <w:num w:numId="16">
    <w:abstractNumId w:val="23"/>
  </w:num>
  <w:num w:numId="17">
    <w:abstractNumId w:val="39"/>
  </w:num>
  <w:num w:numId="18">
    <w:abstractNumId w:val="21"/>
  </w:num>
  <w:num w:numId="19">
    <w:abstractNumId w:val="31"/>
  </w:num>
  <w:num w:numId="20">
    <w:abstractNumId w:val="32"/>
  </w:num>
  <w:num w:numId="21">
    <w:abstractNumId w:val="35"/>
  </w:num>
  <w:num w:numId="22">
    <w:abstractNumId w:val="14"/>
  </w:num>
  <w:num w:numId="23">
    <w:abstractNumId w:val="6"/>
  </w:num>
  <w:num w:numId="24">
    <w:abstractNumId w:val="33"/>
  </w:num>
  <w:num w:numId="25">
    <w:abstractNumId w:val="18"/>
  </w:num>
  <w:num w:numId="26">
    <w:abstractNumId w:val="26"/>
  </w:num>
  <w:num w:numId="27">
    <w:abstractNumId w:val="15"/>
  </w:num>
  <w:num w:numId="28">
    <w:abstractNumId w:val="10"/>
  </w:num>
  <w:num w:numId="29">
    <w:abstractNumId w:val="19"/>
  </w:num>
  <w:num w:numId="30">
    <w:abstractNumId w:val="2"/>
  </w:num>
  <w:num w:numId="31">
    <w:abstractNumId w:val="30"/>
  </w:num>
  <w:num w:numId="32">
    <w:abstractNumId w:val="13"/>
  </w:num>
  <w:num w:numId="33">
    <w:abstractNumId w:val="27"/>
  </w:num>
  <w:num w:numId="34">
    <w:abstractNumId w:val="37"/>
  </w:num>
  <w:num w:numId="35">
    <w:abstractNumId w:val="0"/>
  </w:num>
  <w:num w:numId="36">
    <w:abstractNumId w:val="36"/>
  </w:num>
  <w:num w:numId="37">
    <w:abstractNumId w:val="8"/>
  </w:num>
  <w:num w:numId="38">
    <w:abstractNumId w:val="5"/>
  </w:num>
  <w:num w:numId="39">
    <w:abstractNumId w:val="24"/>
    <w:lvlOverride w:ilvl="0">
      <w:startOverride w:val="1"/>
    </w:lvlOverride>
  </w:num>
  <w:num w:numId="40">
    <w:abstractNumId w:val="24"/>
  </w:num>
  <w:num w:numId="4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ni Caputo">
    <w15:presenceInfo w15:providerId="AD" w15:userId="S-1-5-21-4184903163-136493757-233119895-20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F93"/>
    <w:rsid w:val="000120E2"/>
    <w:rsid w:val="000A015C"/>
    <w:rsid w:val="000B0D20"/>
    <w:rsid w:val="000B27AF"/>
    <w:rsid w:val="000E31E9"/>
    <w:rsid w:val="000F1818"/>
    <w:rsid w:val="001053A7"/>
    <w:rsid w:val="0011388A"/>
    <w:rsid w:val="001176FD"/>
    <w:rsid w:val="00125A93"/>
    <w:rsid w:val="00150E86"/>
    <w:rsid w:val="00166CF9"/>
    <w:rsid w:val="001A10DA"/>
    <w:rsid w:val="001E130F"/>
    <w:rsid w:val="001E3C4C"/>
    <w:rsid w:val="002315BC"/>
    <w:rsid w:val="002542E8"/>
    <w:rsid w:val="002960F2"/>
    <w:rsid w:val="002B5113"/>
    <w:rsid w:val="002C0448"/>
    <w:rsid w:val="002C7812"/>
    <w:rsid w:val="002E379B"/>
    <w:rsid w:val="002F7583"/>
    <w:rsid w:val="003023D3"/>
    <w:rsid w:val="00370889"/>
    <w:rsid w:val="003B6744"/>
    <w:rsid w:val="00417C6D"/>
    <w:rsid w:val="00422D63"/>
    <w:rsid w:val="00443ED5"/>
    <w:rsid w:val="00481D31"/>
    <w:rsid w:val="004A4FDD"/>
    <w:rsid w:val="004B1088"/>
    <w:rsid w:val="004D01EF"/>
    <w:rsid w:val="004F181F"/>
    <w:rsid w:val="004F4448"/>
    <w:rsid w:val="00522A06"/>
    <w:rsid w:val="005235E5"/>
    <w:rsid w:val="00526604"/>
    <w:rsid w:val="0054113F"/>
    <w:rsid w:val="00561153"/>
    <w:rsid w:val="005659C7"/>
    <w:rsid w:val="00581E8D"/>
    <w:rsid w:val="0058678C"/>
    <w:rsid w:val="00594594"/>
    <w:rsid w:val="00595618"/>
    <w:rsid w:val="005A0460"/>
    <w:rsid w:val="005B3E39"/>
    <w:rsid w:val="005E1D70"/>
    <w:rsid w:val="005E2765"/>
    <w:rsid w:val="0061688A"/>
    <w:rsid w:val="00642E27"/>
    <w:rsid w:val="00694672"/>
    <w:rsid w:val="006C290D"/>
    <w:rsid w:val="006E29BD"/>
    <w:rsid w:val="007109DC"/>
    <w:rsid w:val="007124C3"/>
    <w:rsid w:val="0071744E"/>
    <w:rsid w:val="0073414C"/>
    <w:rsid w:val="00746E0C"/>
    <w:rsid w:val="007711D8"/>
    <w:rsid w:val="00794912"/>
    <w:rsid w:val="007B5F25"/>
    <w:rsid w:val="007E21D2"/>
    <w:rsid w:val="00801F4C"/>
    <w:rsid w:val="00804ABB"/>
    <w:rsid w:val="00807B24"/>
    <w:rsid w:val="00824769"/>
    <w:rsid w:val="00841E86"/>
    <w:rsid w:val="008508F5"/>
    <w:rsid w:val="00870C49"/>
    <w:rsid w:val="00877F93"/>
    <w:rsid w:val="00885F99"/>
    <w:rsid w:val="008F2248"/>
    <w:rsid w:val="00922644"/>
    <w:rsid w:val="00945200"/>
    <w:rsid w:val="00950984"/>
    <w:rsid w:val="00960C86"/>
    <w:rsid w:val="009762F1"/>
    <w:rsid w:val="009A4C23"/>
    <w:rsid w:val="009B0FEC"/>
    <w:rsid w:val="009C0330"/>
    <w:rsid w:val="009C5FFB"/>
    <w:rsid w:val="009E0313"/>
    <w:rsid w:val="00A12314"/>
    <w:rsid w:val="00B36BFC"/>
    <w:rsid w:val="00B37989"/>
    <w:rsid w:val="00B5217E"/>
    <w:rsid w:val="00B60840"/>
    <w:rsid w:val="00BC0DF6"/>
    <w:rsid w:val="00BF4629"/>
    <w:rsid w:val="00C56692"/>
    <w:rsid w:val="00CD7E26"/>
    <w:rsid w:val="00CE363E"/>
    <w:rsid w:val="00D0199E"/>
    <w:rsid w:val="00D31BBA"/>
    <w:rsid w:val="00D620A6"/>
    <w:rsid w:val="00D661CA"/>
    <w:rsid w:val="00D93864"/>
    <w:rsid w:val="00DA2509"/>
    <w:rsid w:val="00DA49A3"/>
    <w:rsid w:val="00DD788C"/>
    <w:rsid w:val="00E24FEE"/>
    <w:rsid w:val="00E4441A"/>
    <w:rsid w:val="00E51B72"/>
    <w:rsid w:val="00E60866"/>
    <w:rsid w:val="00E63436"/>
    <w:rsid w:val="00E744A1"/>
    <w:rsid w:val="00E93F11"/>
    <w:rsid w:val="00E9558F"/>
    <w:rsid w:val="00EA7006"/>
    <w:rsid w:val="00EB04E5"/>
    <w:rsid w:val="00EB3CFF"/>
    <w:rsid w:val="00ED160E"/>
    <w:rsid w:val="00ED3342"/>
    <w:rsid w:val="00F12C50"/>
    <w:rsid w:val="00F330E2"/>
    <w:rsid w:val="00F43C86"/>
    <w:rsid w:val="00F70195"/>
    <w:rsid w:val="00F76D2D"/>
    <w:rsid w:val="00F80582"/>
    <w:rsid w:val="00F81C47"/>
    <w:rsid w:val="00F90522"/>
    <w:rsid w:val="00FD435B"/>
    <w:rsid w:val="00FE5A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88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35B"/>
    <w:pPr>
      <w:keepNext/>
      <w:contextualSpacing/>
      <w:jc w:val="both"/>
      <w:outlineLvl w:val="0"/>
    </w:pPr>
    <w:rPr>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582"/>
    <w:pPr>
      <w:ind w:left="720"/>
      <w:contextualSpacing/>
    </w:pPr>
  </w:style>
  <w:style w:type="paragraph" w:styleId="Header">
    <w:name w:val="header"/>
    <w:basedOn w:val="Normal"/>
    <w:link w:val="HeaderChar"/>
    <w:uiPriority w:val="99"/>
    <w:unhideWhenUsed/>
    <w:rsid w:val="00F80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582"/>
  </w:style>
  <w:style w:type="paragraph" w:styleId="Footer">
    <w:name w:val="footer"/>
    <w:basedOn w:val="Normal"/>
    <w:link w:val="FooterChar"/>
    <w:uiPriority w:val="99"/>
    <w:unhideWhenUsed/>
    <w:rsid w:val="00F80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582"/>
  </w:style>
  <w:style w:type="character" w:styleId="CommentReference">
    <w:name w:val="annotation reference"/>
    <w:basedOn w:val="DefaultParagraphFont"/>
    <w:uiPriority w:val="99"/>
    <w:semiHidden/>
    <w:unhideWhenUsed/>
    <w:rsid w:val="000E31E9"/>
    <w:rPr>
      <w:sz w:val="16"/>
      <w:szCs w:val="16"/>
    </w:rPr>
  </w:style>
  <w:style w:type="paragraph" w:styleId="CommentText">
    <w:name w:val="annotation text"/>
    <w:basedOn w:val="Normal"/>
    <w:link w:val="CommentTextChar"/>
    <w:uiPriority w:val="99"/>
    <w:unhideWhenUsed/>
    <w:rsid w:val="000E31E9"/>
    <w:pPr>
      <w:spacing w:line="240" w:lineRule="auto"/>
    </w:pPr>
    <w:rPr>
      <w:sz w:val="20"/>
      <w:szCs w:val="20"/>
    </w:rPr>
  </w:style>
  <w:style w:type="character" w:customStyle="1" w:styleId="CommentTextChar">
    <w:name w:val="Comment Text Char"/>
    <w:basedOn w:val="DefaultParagraphFont"/>
    <w:link w:val="CommentText"/>
    <w:uiPriority w:val="99"/>
    <w:rsid w:val="000E31E9"/>
    <w:rPr>
      <w:sz w:val="20"/>
      <w:szCs w:val="20"/>
    </w:rPr>
  </w:style>
  <w:style w:type="paragraph" w:styleId="CommentSubject">
    <w:name w:val="annotation subject"/>
    <w:basedOn w:val="CommentText"/>
    <w:next w:val="CommentText"/>
    <w:link w:val="CommentSubjectChar"/>
    <w:uiPriority w:val="99"/>
    <w:semiHidden/>
    <w:unhideWhenUsed/>
    <w:rsid w:val="000E31E9"/>
    <w:rPr>
      <w:b/>
      <w:bCs/>
    </w:rPr>
  </w:style>
  <w:style w:type="character" w:customStyle="1" w:styleId="CommentSubjectChar">
    <w:name w:val="Comment Subject Char"/>
    <w:basedOn w:val="CommentTextChar"/>
    <w:link w:val="CommentSubject"/>
    <w:uiPriority w:val="99"/>
    <w:semiHidden/>
    <w:rsid w:val="000E31E9"/>
    <w:rPr>
      <w:b/>
      <w:bCs/>
      <w:sz w:val="20"/>
      <w:szCs w:val="20"/>
    </w:rPr>
  </w:style>
  <w:style w:type="paragraph" w:styleId="BalloonText">
    <w:name w:val="Balloon Text"/>
    <w:basedOn w:val="Normal"/>
    <w:link w:val="BalloonTextChar"/>
    <w:uiPriority w:val="99"/>
    <w:semiHidden/>
    <w:unhideWhenUsed/>
    <w:rsid w:val="000E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1E9"/>
    <w:rPr>
      <w:rFonts w:ascii="Tahoma" w:hAnsi="Tahoma" w:cs="Tahoma"/>
      <w:sz w:val="16"/>
      <w:szCs w:val="16"/>
    </w:rPr>
  </w:style>
  <w:style w:type="table" w:styleId="TableGrid">
    <w:name w:val="Table Grid"/>
    <w:basedOn w:val="TableNormal"/>
    <w:uiPriority w:val="59"/>
    <w:rsid w:val="00960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E39"/>
    <w:rPr>
      <w:color w:val="0000FF" w:themeColor="hyperlink"/>
      <w:u w:val="single"/>
    </w:rPr>
  </w:style>
  <w:style w:type="paragraph" w:customStyle="1" w:styleId="OutlineNumberedLevel1">
    <w:name w:val="Outline Numbered Level 1"/>
    <w:basedOn w:val="Title"/>
    <w:link w:val="OutlineNumberedLevel1Char"/>
    <w:qFormat/>
    <w:rsid w:val="001E3C4C"/>
    <w:pPr>
      <w:numPr>
        <w:numId w:val="39"/>
      </w:numPr>
      <w:spacing w:after="200" w:line="276" w:lineRule="auto"/>
      <w:contextualSpacing w:val="0"/>
      <w:jc w:val="both"/>
    </w:pPr>
    <w:rPr>
      <w:rFonts w:ascii="Calibri" w:eastAsiaTheme="minorEastAsia" w:hAnsi="Calibri"/>
    </w:rPr>
  </w:style>
  <w:style w:type="paragraph" w:customStyle="1" w:styleId="OutlineNumberedLevel2">
    <w:name w:val="Outline Numbered Level 2"/>
    <w:basedOn w:val="OutlineNumberedLevel1"/>
    <w:qFormat/>
    <w:rsid w:val="001E3C4C"/>
    <w:pPr>
      <w:numPr>
        <w:ilvl w:val="1"/>
      </w:numPr>
      <w:tabs>
        <w:tab w:val="num" w:pos="360"/>
      </w:tabs>
    </w:pPr>
  </w:style>
  <w:style w:type="character" w:customStyle="1" w:styleId="OutlineNumberedLevel1Char">
    <w:name w:val="Outline Numbered Level 1 Char"/>
    <w:basedOn w:val="TitleChar"/>
    <w:link w:val="OutlineNumberedLevel1"/>
    <w:rsid w:val="001E3C4C"/>
    <w:rPr>
      <w:rFonts w:ascii="Calibri" w:eastAsiaTheme="minorEastAsia" w:hAnsi="Calibri" w:cstheme="majorBidi"/>
      <w:spacing w:val="-10"/>
      <w:kern w:val="28"/>
      <w:sz w:val="56"/>
      <w:szCs w:val="56"/>
    </w:rPr>
  </w:style>
  <w:style w:type="paragraph" w:customStyle="1" w:styleId="OUtlineLevel4">
    <w:name w:val="OUtline Level 4"/>
    <w:basedOn w:val="Normal"/>
    <w:qFormat/>
    <w:rsid w:val="001E3C4C"/>
    <w:pPr>
      <w:numPr>
        <w:ilvl w:val="3"/>
        <w:numId w:val="39"/>
      </w:numPr>
      <w:jc w:val="both"/>
    </w:pPr>
    <w:rPr>
      <w:rFonts w:ascii="Calibri" w:eastAsiaTheme="minorEastAsia" w:hAnsi="Calibri"/>
    </w:rPr>
  </w:style>
  <w:style w:type="paragraph" w:styleId="Title">
    <w:name w:val="Title"/>
    <w:basedOn w:val="Normal"/>
    <w:next w:val="Normal"/>
    <w:link w:val="TitleChar"/>
    <w:uiPriority w:val="10"/>
    <w:qFormat/>
    <w:rsid w:val="001E3C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C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D435B"/>
    <w:rPr>
      <w:b/>
      <w:sz w:val="28"/>
      <w:szCs w:val="28"/>
      <w:lang w:val="en-US"/>
    </w:rPr>
  </w:style>
  <w:style w:type="paragraph" w:styleId="Revision">
    <w:name w:val="Revision"/>
    <w:hidden/>
    <w:uiPriority w:val="99"/>
    <w:semiHidden/>
    <w:rsid w:val="007949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35B"/>
    <w:pPr>
      <w:keepNext/>
      <w:contextualSpacing/>
      <w:jc w:val="both"/>
      <w:outlineLvl w:val="0"/>
    </w:pPr>
    <w:rPr>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582"/>
    <w:pPr>
      <w:ind w:left="720"/>
      <w:contextualSpacing/>
    </w:pPr>
  </w:style>
  <w:style w:type="paragraph" w:styleId="Header">
    <w:name w:val="header"/>
    <w:basedOn w:val="Normal"/>
    <w:link w:val="HeaderChar"/>
    <w:uiPriority w:val="99"/>
    <w:unhideWhenUsed/>
    <w:rsid w:val="00F80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582"/>
  </w:style>
  <w:style w:type="paragraph" w:styleId="Footer">
    <w:name w:val="footer"/>
    <w:basedOn w:val="Normal"/>
    <w:link w:val="FooterChar"/>
    <w:uiPriority w:val="99"/>
    <w:unhideWhenUsed/>
    <w:rsid w:val="00F80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582"/>
  </w:style>
  <w:style w:type="character" w:styleId="CommentReference">
    <w:name w:val="annotation reference"/>
    <w:basedOn w:val="DefaultParagraphFont"/>
    <w:uiPriority w:val="99"/>
    <w:semiHidden/>
    <w:unhideWhenUsed/>
    <w:rsid w:val="000E31E9"/>
    <w:rPr>
      <w:sz w:val="16"/>
      <w:szCs w:val="16"/>
    </w:rPr>
  </w:style>
  <w:style w:type="paragraph" w:styleId="CommentText">
    <w:name w:val="annotation text"/>
    <w:basedOn w:val="Normal"/>
    <w:link w:val="CommentTextChar"/>
    <w:uiPriority w:val="99"/>
    <w:unhideWhenUsed/>
    <w:rsid w:val="000E31E9"/>
    <w:pPr>
      <w:spacing w:line="240" w:lineRule="auto"/>
    </w:pPr>
    <w:rPr>
      <w:sz w:val="20"/>
      <w:szCs w:val="20"/>
    </w:rPr>
  </w:style>
  <w:style w:type="character" w:customStyle="1" w:styleId="CommentTextChar">
    <w:name w:val="Comment Text Char"/>
    <w:basedOn w:val="DefaultParagraphFont"/>
    <w:link w:val="CommentText"/>
    <w:uiPriority w:val="99"/>
    <w:rsid w:val="000E31E9"/>
    <w:rPr>
      <w:sz w:val="20"/>
      <w:szCs w:val="20"/>
    </w:rPr>
  </w:style>
  <w:style w:type="paragraph" w:styleId="CommentSubject">
    <w:name w:val="annotation subject"/>
    <w:basedOn w:val="CommentText"/>
    <w:next w:val="CommentText"/>
    <w:link w:val="CommentSubjectChar"/>
    <w:uiPriority w:val="99"/>
    <w:semiHidden/>
    <w:unhideWhenUsed/>
    <w:rsid w:val="000E31E9"/>
    <w:rPr>
      <w:b/>
      <w:bCs/>
    </w:rPr>
  </w:style>
  <w:style w:type="character" w:customStyle="1" w:styleId="CommentSubjectChar">
    <w:name w:val="Comment Subject Char"/>
    <w:basedOn w:val="CommentTextChar"/>
    <w:link w:val="CommentSubject"/>
    <w:uiPriority w:val="99"/>
    <w:semiHidden/>
    <w:rsid w:val="000E31E9"/>
    <w:rPr>
      <w:b/>
      <w:bCs/>
      <w:sz w:val="20"/>
      <w:szCs w:val="20"/>
    </w:rPr>
  </w:style>
  <w:style w:type="paragraph" w:styleId="BalloonText">
    <w:name w:val="Balloon Text"/>
    <w:basedOn w:val="Normal"/>
    <w:link w:val="BalloonTextChar"/>
    <w:uiPriority w:val="99"/>
    <w:semiHidden/>
    <w:unhideWhenUsed/>
    <w:rsid w:val="000E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1E9"/>
    <w:rPr>
      <w:rFonts w:ascii="Tahoma" w:hAnsi="Tahoma" w:cs="Tahoma"/>
      <w:sz w:val="16"/>
      <w:szCs w:val="16"/>
    </w:rPr>
  </w:style>
  <w:style w:type="table" w:styleId="TableGrid">
    <w:name w:val="Table Grid"/>
    <w:basedOn w:val="TableNormal"/>
    <w:uiPriority w:val="59"/>
    <w:rsid w:val="00960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E39"/>
    <w:rPr>
      <w:color w:val="0000FF" w:themeColor="hyperlink"/>
      <w:u w:val="single"/>
    </w:rPr>
  </w:style>
  <w:style w:type="paragraph" w:customStyle="1" w:styleId="OutlineNumberedLevel1">
    <w:name w:val="Outline Numbered Level 1"/>
    <w:basedOn w:val="Title"/>
    <w:link w:val="OutlineNumberedLevel1Char"/>
    <w:qFormat/>
    <w:rsid w:val="001E3C4C"/>
    <w:pPr>
      <w:numPr>
        <w:numId w:val="39"/>
      </w:numPr>
      <w:spacing w:after="200" w:line="276" w:lineRule="auto"/>
      <w:contextualSpacing w:val="0"/>
      <w:jc w:val="both"/>
    </w:pPr>
    <w:rPr>
      <w:rFonts w:ascii="Calibri" w:eastAsiaTheme="minorEastAsia" w:hAnsi="Calibri"/>
    </w:rPr>
  </w:style>
  <w:style w:type="paragraph" w:customStyle="1" w:styleId="OutlineNumberedLevel2">
    <w:name w:val="Outline Numbered Level 2"/>
    <w:basedOn w:val="OutlineNumberedLevel1"/>
    <w:qFormat/>
    <w:rsid w:val="001E3C4C"/>
    <w:pPr>
      <w:numPr>
        <w:ilvl w:val="1"/>
      </w:numPr>
      <w:tabs>
        <w:tab w:val="num" w:pos="360"/>
      </w:tabs>
    </w:pPr>
  </w:style>
  <w:style w:type="character" w:customStyle="1" w:styleId="OutlineNumberedLevel1Char">
    <w:name w:val="Outline Numbered Level 1 Char"/>
    <w:basedOn w:val="TitleChar"/>
    <w:link w:val="OutlineNumberedLevel1"/>
    <w:rsid w:val="001E3C4C"/>
    <w:rPr>
      <w:rFonts w:ascii="Calibri" w:eastAsiaTheme="minorEastAsia" w:hAnsi="Calibri" w:cstheme="majorBidi"/>
      <w:spacing w:val="-10"/>
      <w:kern w:val="28"/>
      <w:sz w:val="56"/>
      <w:szCs w:val="56"/>
    </w:rPr>
  </w:style>
  <w:style w:type="paragraph" w:customStyle="1" w:styleId="OUtlineLevel4">
    <w:name w:val="OUtline Level 4"/>
    <w:basedOn w:val="Normal"/>
    <w:qFormat/>
    <w:rsid w:val="001E3C4C"/>
    <w:pPr>
      <w:numPr>
        <w:ilvl w:val="3"/>
        <w:numId w:val="39"/>
      </w:numPr>
      <w:jc w:val="both"/>
    </w:pPr>
    <w:rPr>
      <w:rFonts w:ascii="Calibri" w:eastAsiaTheme="minorEastAsia" w:hAnsi="Calibri"/>
    </w:rPr>
  </w:style>
  <w:style w:type="paragraph" w:styleId="Title">
    <w:name w:val="Title"/>
    <w:basedOn w:val="Normal"/>
    <w:next w:val="Normal"/>
    <w:link w:val="TitleChar"/>
    <w:uiPriority w:val="10"/>
    <w:qFormat/>
    <w:rsid w:val="001E3C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C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D435B"/>
    <w:rPr>
      <w:b/>
      <w:sz w:val="28"/>
      <w:szCs w:val="28"/>
      <w:lang w:val="en-US"/>
    </w:rPr>
  </w:style>
  <w:style w:type="paragraph" w:styleId="Revision">
    <w:name w:val="Revision"/>
    <w:hidden/>
    <w:uiPriority w:val="99"/>
    <w:semiHidden/>
    <w:rsid w:val="007949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8D06-9C18-45A2-8A8C-DF592118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Crapnell</dc:creator>
  <cp:lastModifiedBy>Robert Crapnell</cp:lastModifiedBy>
  <cp:revision>4</cp:revision>
  <dcterms:created xsi:type="dcterms:W3CDTF">2019-01-30T04:42:00Z</dcterms:created>
  <dcterms:modified xsi:type="dcterms:W3CDTF">2019-01-31T04:23:00Z</dcterms:modified>
</cp:coreProperties>
</file>