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98D65B" w14:textId="77777777" w:rsidR="002A3CA3" w:rsidRDefault="002A3CA3" w:rsidP="004F565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HEAVY VEHICLE NATIONAL LAW</w:t>
      </w:r>
    </w:p>
    <w:p w14:paraId="394E5186" w14:textId="6497AAA3" w:rsidR="003D17ED" w:rsidRDefault="003D17ED" w:rsidP="004F5659">
      <w:pPr>
        <w:jc w:val="both"/>
        <w:rPr>
          <w:b/>
          <w:sz w:val="28"/>
          <w:szCs w:val="28"/>
        </w:rPr>
      </w:pPr>
      <w:r w:rsidRPr="003D17ED">
        <w:rPr>
          <w:b/>
          <w:sz w:val="28"/>
          <w:szCs w:val="28"/>
        </w:rPr>
        <w:t>South Australia Class 3 Heavy Vehicle Truck and Dog (</w:t>
      </w:r>
      <w:proofErr w:type="spellStart"/>
      <w:r w:rsidR="002A3CA3">
        <w:rPr>
          <w:b/>
          <w:sz w:val="28"/>
          <w:szCs w:val="28"/>
        </w:rPr>
        <w:t>Stobie</w:t>
      </w:r>
      <w:proofErr w:type="spellEnd"/>
      <w:r w:rsidRPr="003D17ED">
        <w:rPr>
          <w:b/>
          <w:sz w:val="28"/>
          <w:szCs w:val="28"/>
        </w:rPr>
        <w:t xml:space="preserve"> Pole) Dimension Exemption Notice 201</w:t>
      </w:r>
      <w:r w:rsidR="00124C50">
        <w:rPr>
          <w:b/>
          <w:sz w:val="28"/>
          <w:szCs w:val="28"/>
        </w:rPr>
        <w:t>9</w:t>
      </w:r>
      <w:r w:rsidRPr="003D17ED">
        <w:rPr>
          <w:b/>
          <w:sz w:val="28"/>
          <w:szCs w:val="28"/>
        </w:rPr>
        <w:t xml:space="preserve"> (No.1)</w:t>
      </w:r>
    </w:p>
    <w:p w14:paraId="6E9DA74B" w14:textId="77777777" w:rsidR="00FC6E8E" w:rsidRPr="00B55015" w:rsidRDefault="00FC6E8E" w:rsidP="00FC6E8E">
      <w:pPr>
        <w:pStyle w:val="ListParagraph"/>
        <w:numPr>
          <w:ilvl w:val="0"/>
          <w:numId w:val="1"/>
        </w:numPr>
        <w:spacing w:after="120"/>
        <w:jc w:val="both"/>
        <w:rPr>
          <w:b/>
        </w:rPr>
      </w:pPr>
      <w:r w:rsidRPr="00B55015">
        <w:rPr>
          <w:b/>
        </w:rPr>
        <w:t>Purpose</w:t>
      </w:r>
    </w:p>
    <w:p w14:paraId="3127D33F" w14:textId="66023C3D" w:rsidR="00FC6E8E" w:rsidRDefault="00FC6E8E" w:rsidP="00FC6E8E">
      <w:pPr>
        <w:ind w:left="360"/>
        <w:jc w:val="both"/>
      </w:pPr>
      <w:r>
        <w:t xml:space="preserve">The purpose of this notice is to exempt </w:t>
      </w:r>
      <w:r w:rsidR="00F560F8">
        <w:t>t</w:t>
      </w:r>
      <w:r>
        <w:t xml:space="preserve">ruck and </w:t>
      </w:r>
      <w:r w:rsidR="00F560F8">
        <w:t>d</w:t>
      </w:r>
      <w:r>
        <w:t xml:space="preserve">og </w:t>
      </w:r>
      <w:r w:rsidR="00F560F8">
        <w:t>t</w:t>
      </w:r>
      <w:r>
        <w:t xml:space="preserve">railer heavy </w:t>
      </w:r>
      <w:r w:rsidRPr="00F65E5D">
        <w:t>vehicle</w:t>
      </w:r>
      <w:r>
        <w:t xml:space="preserve"> combinations</w:t>
      </w:r>
      <w:r w:rsidRPr="00F65E5D">
        <w:t xml:space="preserve"> used to carry </w:t>
      </w:r>
      <w:r w:rsidR="00336FCD">
        <w:t>utility pole</w:t>
      </w:r>
      <w:r w:rsidR="00336FCD" w:rsidRPr="00F65E5D">
        <w:t xml:space="preserve">s </w:t>
      </w:r>
      <w:r w:rsidRPr="00F65E5D">
        <w:t xml:space="preserve">in South Australia from the </w:t>
      </w:r>
      <w:r>
        <w:t xml:space="preserve">stated prescribed </w:t>
      </w:r>
      <w:r w:rsidRPr="00F65E5D">
        <w:t xml:space="preserve">length </w:t>
      </w:r>
      <w:r w:rsidR="00E345C7">
        <w:t xml:space="preserve">and rear overhang </w:t>
      </w:r>
      <w:r w:rsidRPr="00F65E5D">
        <w:t>limit</w:t>
      </w:r>
      <w:r w:rsidR="00E345C7">
        <w:t>s</w:t>
      </w:r>
      <w:r w:rsidRPr="00F65E5D">
        <w:t xml:space="preserve"> </w:t>
      </w:r>
      <w:r>
        <w:t xml:space="preserve">in Schedule 6 of the </w:t>
      </w:r>
      <w:r>
        <w:rPr>
          <w:i/>
        </w:rPr>
        <w:t>Heavy Vehicle (</w:t>
      </w:r>
      <w:r w:rsidRPr="00F65E5D">
        <w:rPr>
          <w:i/>
        </w:rPr>
        <w:t>Mass, Dimension and Loading</w:t>
      </w:r>
      <w:r>
        <w:rPr>
          <w:i/>
        </w:rPr>
        <w:t>) National Regulation</w:t>
      </w:r>
      <w:r>
        <w:t xml:space="preserve"> (the </w:t>
      </w:r>
      <w:r w:rsidR="00525389">
        <w:t xml:space="preserve">MDL </w:t>
      </w:r>
      <w:r>
        <w:t>Regulation).</w:t>
      </w:r>
    </w:p>
    <w:p w14:paraId="7CCFF8C3" w14:textId="77777777" w:rsidR="002B16CA" w:rsidRPr="00FC6E8E" w:rsidRDefault="002B16CA" w:rsidP="002B16CA">
      <w:pPr>
        <w:pStyle w:val="ListParagraph"/>
        <w:numPr>
          <w:ilvl w:val="0"/>
          <w:numId w:val="1"/>
        </w:numPr>
        <w:spacing w:after="120"/>
        <w:jc w:val="both"/>
        <w:rPr>
          <w:b/>
        </w:rPr>
      </w:pPr>
      <w:r w:rsidRPr="00FC6E8E">
        <w:rPr>
          <w:b/>
        </w:rPr>
        <w:t>Revocation</w:t>
      </w:r>
    </w:p>
    <w:p w14:paraId="4E826E58" w14:textId="24C428E1" w:rsidR="002B16CA" w:rsidRDefault="002B16CA" w:rsidP="002B16CA">
      <w:pPr>
        <w:ind w:left="360"/>
        <w:jc w:val="both"/>
      </w:pPr>
      <w:r w:rsidRPr="00FC6E8E">
        <w:t xml:space="preserve">This notice revokes the South Australia </w:t>
      </w:r>
      <w:r w:rsidRPr="00FC6E8E">
        <w:rPr>
          <w:i/>
        </w:rPr>
        <w:t xml:space="preserve">Transport of </w:t>
      </w:r>
      <w:proofErr w:type="spellStart"/>
      <w:r w:rsidRPr="00FC6E8E">
        <w:rPr>
          <w:i/>
        </w:rPr>
        <w:t>Stobie</w:t>
      </w:r>
      <w:proofErr w:type="spellEnd"/>
      <w:r w:rsidRPr="00FC6E8E">
        <w:rPr>
          <w:i/>
        </w:rPr>
        <w:t xml:space="preserve"> Poles by SA Power Networks and Contractors</w:t>
      </w:r>
      <w:r>
        <w:rPr>
          <w:i/>
        </w:rPr>
        <w:t xml:space="preserve"> </w:t>
      </w:r>
      <w:r w:rsidRPr="0052761F">
        <w:t>exempti</w:t>
      </w:r>
      <w:r>
        <w:t>o</w:t>
      </w:r>
      <w:r w:rsidRPr="0052761F">
        <w:t>n</w:t>
      </w:r>
      <w:r>
        <w:t xml:space="preserve"> notice, published in the South Australia Gazette.</w:t>
      </w:r>
    </w:p>
    <w:p w14:paraId="5FDFDA0C" w14:textId="77777777" w:rsidR="00C63BD4" w:rsidRPr="00B55015" w:rsidRDefault="00C63BD4" w:rsidP="004F5659">
      <w:pPr>
        <w:pStyle w:val="ListParagraph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b/>
        </w:rPr>
      </w:pPr>
      <w:r w:rsidRPr="00B55015">
        <w:rPr>
          <w:b/>
        </w:rPr>
        <w:t>Authorising Provision</w:t>
      </w:r>
    </w:p>
    <w:p w14:paraId="29BCE71C" w14:textId="1EAFDA1F" w:rsidR="00C63BD4" w:rsidRDefault="00C63BD4" w:rsidP="004F5659">
      <w:pPr>
        <w:pStyle w:val="ListParagraph"/>
        <w:ind w:left="357"/>
        <w:contextualSpacing w:val="0"/>
        <w:jc w:val="both"/>
      </w:pPr>
      <w:r>
        <w:t>This notice is made under section</w:t>
      </w:r>
      <w:r w:rsidR="00525389">
        <w:t>s 61 and</w:t>
      </w:r>
      <w:r>
        <w:t xml:space="preserve"> </w:t>
      </w:r>
      <w:r w:rsidR="008F6397">
        <w:t>117</w:t>
      </w:r>
      <w:r>
        <w:t xml:space="preserve"> of the </w:t>
      </w:r>
      <w:r w:rsidRPr="004F5659">
        <w:rPr>
          <w:i/>
        </w:rPr>
        <w:t>Heavy Vehicle National Law</w:t>
      </w:r>
      <w:r>
        <w:t xml:space="preserve"> </w:t>
      </w:r>
      <w:r w:rsidR="00790467">
        <w:t xml:space="preserve">(HVNL) </w:t>
      </w:r>
      <w:r>
        <w:t xml:space="preserve">as in force </w:t>
      </w:r>
      <w:r w:rsidR="00691A53">
        <w:t>in South Australia</w:t>
      </w:r>
      <w:r>
        <w:t>.</w:t>
      </w:r>
    </w:p>
    <w:p w14:paraId="4EFAF476" w14:textId="77777777" w:rsidR="000A795E" w:rsidRPr="00133D6D" w:rsidRDefault="000A795E" w:rsidP="00133D6D">
      <w:pPr>
        <w:pStyle w:val="ListParagraph"/>
        <w:numPr>
          <w:ilvl w:val="0"/>
          <w:numId w:val="1"/>
        </w:numPr>
        <w:spacing w:after="120"/>
        <w:jc w:val="both"/>
        <w:rPr>
          <w:b/>
        </w:rPr>
      </w:pPr>
      <w:r w:rsidRPr="00133D6D">
        <w:rPr>
          <w:b/>
        </w:rPr>
        <w:t>Title</w:t>
      </w:r>
    </w:p>
    <w:p w14:paraId="0C81442A" w14:textId="01CCC429" w:rsidR="000A795E" w:rsidRPr="0007489F" w:rsidRDefault="000A795E" w:rsidP="00133D6D">
      <w:pPr>
        <w:pStyle w:val="Noticeclause"/>
        <w:numPr>
          <w:ilvl w:val="0"/>
          <w:numId w:val="0"/>
        </w:numPr>
        <w:ind w:left="360"/>
      </w:pPr>
      <w:r>
        <w:t xml:space="preserve">This notice may be cited as the </w:t>
      </w:r>
      <w:r>
        <w:rPr>
          <w:i/>
        </w:rPr>
        <w:t xml:space="preserve">South Australia </w:t>
      </w:r>
      <w:r w:rsidRPr="00F65E5D">
        <w:rPr>
          <w:i/>
        </w:rPr>
        <w:t xml:space="preserve">Class 3 </w:t>
      </w:r>
      <w:r>
        <w:rPr>
          <w:i/>
        </w:rPr>
        <w:t>Heavy Vehicle Truck and Dog Trailer (</w:t>
      </w:r>
      <w:proofErr w:type="spellStart"/>
      <w:r w:rsidR="002A3CA3">
        <w:rPr>
          <w:i/>
        </w:rPr>
        <w:t>Stobie</w:t>
      </w:r>
      <w:proofErr w:type="spellEnd"/>
      <w:r w:rsidR="002A3CA3">
        <w:rPr>
          <w:i/>
        </w:rPr>
        <w:t xml:space="preserve"> Pole</w:t>
      </w:r>
      <w:r>
        <w:rPr>
          <w:i/>
        </w:rPr>
        <w:t>)</w:t>
      </w:r>
      <w:r w:rsidRPr="00F65E5D">
        <w:rPr>
          <w:i/>
        </w:rPr>
        <w:t xml:space="preserve"> Dimension </w:t>
      </w:r>
      <w:r w:rsidR="002B16CA">
        <w:rPr>
          <w:i/>
        </w:rPr>
        <w:t>Exemption (Notice) 2019</w:t>
      </w:r>
      <w:r>
        <w:t>.</w:t>
      </w:r>
    </w:p>
    <w:p w14:paraId="5620A4F2" w14:textId="77777777" w:rsidR="00C63BD4" w:rsidRPr="00B55015" w:rsidRDefault="00C63BD4" w:rsidP="002972A1">
      <w:pPr>
        <w:pStyle w:val="ListParagraph"/>
        <w:numPr>
          <w:ilvl w:val="0"/>
          <w:numId w:val="1"/>
        </w:numPr>
        <w:spacing w:after="120"/>
        <w:jc w:val="both"/>
        <w:rPr>
          <w:b/>
        </w:rPr>
      </w:pPr>
      <w:r w:rsidRPr="00B55015">
        <w:rPr>
          <w:b/>
        </w:rPr>
        <w:t>Commencement</w:t>
      </w:r>
    </w:p>
    <w:p w14:paraId="3D64BFC4" w14:textId="5B1E3300" w:rsidR="00C63BD4" w:rsidRDefault="00C63BD4" w:rsidP="002972A1">
      <w:pPr>
        <w:ind w:firstLine="360"/>
        <w:jc w:val="both"/>
      </w:pPr>
      <w:r w:rsidRPr="00A317EF">
        <w:t xml:space="preserve">This notice commences on </w:t>
      </w:r>
      <w:r w:rsidR="002B16CA">
        <w:t>the date of its publication</w:t>
      </w:r>
      <w:r w:rsidRPr="00A317EF">
        <w:t>.</w:t>
      </w:r>
    </w:p>
    <w:p w14:paraId="5D1D929A" w14:textId="77777777" w:rsidR="00C63BD4" w:rsidRPr="00B55015" w:rsidRDefault="00C63BD4" w:rsidP="002972A1">
      <w:pPr>
        <w:pStyle w:val="ListParagraph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b/>
        </w:rPr>
      </w:pPr>
      <w:r w:rsidRPr="00B55015">
        <w:rPr>
          <w:b/>
        </w:rPr>
        <w:t>Expiry</w:t>
      </w:r>
    </w:p>
    <w:p w14:paraId="528DF3F6" w14:textId="4006AA3D" w:rsidR="00C63BD4" w:rsidRDefault="00C63BD4" w:rsidP="002972A1">
      <w:pPr>
        <w:pStyle w:val="ListParagraph"/>
        <w:ind w:left="357"/>
        <w:contextualSpacing w:val="0"/>
        <w:jc w:val="both"/>
      </w:pPr>
      <w:r>
        <w:t>This notice expires</w:t>
      </w:r>
      <w:r w:rsidR="00A317EF">
        <w:t xml:space="preserve"> </w:t>
      </w:r>
      <w:r w:rsidR="002B16CA">
        <w:t>five years after it commences</w:t>
      </w:r>
      <w:r w:rsidR="00B55015">
        <w:t>.</w:t>
      </w:r>
    </w:p>
    <w:p w14:paraId="2AD5124A" w14:textId="77777777" w:rsidR="00B55015" w:rsidRPr="00B55015" w:rsidRDefault="00B55015" w:rsidP="002972A1">
      <w:pPr>
        <w:pStyle w:val="ListParagraph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b/>
        </w:rPr>
      </w:pPr>
      <w:r w:rsidRPr="00B55015">
        <w:rPr>
          <w:b/>
        </w:rPr>
        <w:t>Definitions</w:t>
      </w:r>
    </w:p>
    <w:p w14:paraId="4B2B6644" w14:textId="77777777" w:rsidR="00F071FF" w:rsidRDefault="00F071FF" w:rsidP="00F43958">
      <w:pPr>
        <w:pStyle w:val="ListParagraph"/>
        <w:spacing w:after="120"/>
        <w:ind w:left="714"/>
        <w:contextualSpacing w:val="0"/>
        <w:jc w:val="both"/>
      </w:pPr>
      <w:r>
        <w:t>In this notice—</w:t>
      </w:r>
    </w:p>
    <w:p w14:paraId="5AFF202F" w14:textId="2A2C4174" w:rsidR="00F43958" w:rsidRDefault="008F6397" w:rsidP="00F43958">
      <w:pPr>
        <w:pStyle w:val="ListParagraph"/>
        <w:spacing w:after="120"/>
        <w:contextualSpacing w:val="0"/>
        <w:jc w:val="both"/>
      </w:pPr>
      <w:r>
        <w:rPr>
          <w:b/>
          <w:i/>
        </w:rPr>
        <w:t xml:space="preserve">Eligible vehicle </w:t>
      </w:r>
      <w:r>
        <w:t xml:space="preserve">means a rigid </w:t>
      </w:r>
      <w:r w:rsidRPr="00F65E5D">
        <w:t>truck and</w:t>
      </w:r>
      <w:r w:rsidR="00977113">
        <w:t xml:space="preserve"> dog trailer combination or a rigid truck and </w:t>
      </w:r>
      <w:r>
        <w:t xml:space="preserve">extendable dog trailer </w:t>
      </w:r>
      <w:r w:rsidR="00977113">
        <w:t>combination</w:t>
      </w:r>
      <w:r w:rsidR="00F31DDE">
        <w:t xml:space="preserve">, carrying </w:t>
      </w:r>
      <w:proofErr w:type="spellStart"/>
      <w:r w:rsidR="00F31DDE">
        <w:t>Stobie</w:t>
      </w:r>
      <w:proofErr w:type="spellEnd"/>
      <w:r w:rsidR="00F31DDE">
        <w:t xml:space="preserve"> poles in </w:t>
      </w:r>
      <w:r w:rsidR="00EF1A8D">
        <w:t>prescribed circumstances and that are</w:t>
      </w:r>
      <w:r w:rsidR="00977113">
        <w:t xml:space="preserve"> </w:t>
      </w:r>
      <w:r w:rsidR="00F43958">
        <w:t>operated by;</w:t>
      </w:r>
    </w:p>
    <w:p w14:paraId="1AA3E29A" w14:textId="35A70DA3" w:rsidR="00EF1A8D" w:rsidRDefault="00F43958" w:rsidP="002B16CA">
      <w:pPr>
        <w:pStyle w:val="ListParagraph"/>
        <w:numPr>
          <w:ilvl w:val="1"/>
          <w:numId w:val="18"/>
        </w:numPr>
        <w:spacing w:after="120"/>
        <w:contextualSpacing w:val="0"/>
        <w:jc w:val="both"/>
      </w:pPr>
      <w:r>
        <w:t>SA Power Networks; or</w:t>
      </w:r>
    </w:p>
    <w:p w14:paraId="5BD59B59" w14:textId="7C536AC8" w:rsidR="00F31DDE" w:rsidRDefault="00F64C74" w:rsidP="00B42C28">
      <w:pPr>
        <w:pStyle w:val="ListParagraph"/>
        <w:numPr>
          <w:ilvl w:val="1"/>
          <w:numId w:val="18"/>
        </w:numPr>
        <w:spacing w:after="120"/>
        <w:contextualSpacing w:val="0"/>
        <w:jc w:val="both"/>
      </w:pPr>
      <w:proofErr w:type="gramStart"/>
      <w:r>
        <w:t>an</w:t>
      </w:r>
      <w:proofErr w:type="gramEnd"/>
      <w:r>
        <w:t xml:space="preserve"> entity </w:t>
      </w:r>
      <w:r w:rsidR="00F43958">
        <w:t xml:space="preserve">contracted to SA Power Networks to perform </w:t>
      </w:r>
      <w:proofErr w:type="spellStart"/>
      <w:r w:rsidR="002A3CA3">
        <w:t>Stobie</w:t>
      </w:r>
      <w:proofErr w:type="spellEnd"/>
      <w:r w:rsidR="002A3CA3">
        <w:t xml:space="preserve"> Pole</w:t>
      </w:r>
      <w:r w:rsidR="00F43958">
        <w:t xml:space="preserve"> installation </w:t>
      </w:r>
      <w:r>
        <w:t xml:space="preserve">or </w:t>
      </w:r>
      <w:r w:rsidR="00F43958">
        <w:t>maintenance activities.</w:t>
      </w:r>
    </w:p>
    <w:p w14:paraId="774E42FE" w14:textId="43F5DCB6" w:rsidR="00F071FF" w:rsidRDefault="008F6397" w:rsidP="003909F2">
      <w:pPr>
        <w:pStyle w:val="ListParagraph"/>
        <w:spacing w:after="120"/>
        <w:ind w:left="714"/>
        <w:contextualSpacing w:val="0"/>
        <w:jc w:val="both"/>
      </w:pPr>
      <w:r>
        <w:rPr>
          <w:b/>
          <w:i/>
        </w:rPr>
        <w:lastRenderedPageBreak/>
        <w:t>Extendable dog trailer</w:t>
      </w:r>
      <w:r w:rsidR="00F071FF">
        <w:t xml:space="preserve"> means </w:t>
      </w:r>
      <w:r>
        <w:t xml:space="preserve">a </w:t>
      </w:r>
      <w:r w:rsidR="00387D3C">
        <w:t>t</w:t>
      </w:r>
      <w:r w:rsidR="00DC068C">
        <w:t>w</w:t>
      </w:r>
      <w:r w:rsidR="00387D3C">
        <w:t xml:space="preserve">o axle </w:t>
      </w:r>
      <w:r w:rsidRPr="00F65E5D">
        <w:t>dog trailer where the</w:t>
      </w:r>
      <w:r>
        <w:rPr>
          <w:b/>
        </w:rPr>
        <w:t xml:space="preserve"> </w:t>
      </w:r>
      <w:r w:rsidRPr="00F65E5D">
        <w:t>rear</w:t>
      </w:r>
      <w:r w:rsidR="00F31DDE">
        <w:t xml:space="preserve"> extension</w:t>
      </w:r>
      <w:r w:rsidRPr="00F65E5D">
        <w:t xml:space="preserve"> of the trailer</w:t>
      </w:r>
      <w:r>
        <w:t xml:space="preserve">, </w:t>
      </w:r>
      <w:r w:rsidRPr="00F65E5D">
        <w:t>behind the rear most axle</w:t>
      </w:r>
      <w:r>
        <w:t xml:space="preserve">, </w:t>
      </w:r>
      <w:r w:rsidR="008C0DC9">
        <w:t xml:space="preserve">can extend </w:t>
      </w:r>
      <w:r w:rsidRPr="00F65E5D">
        <w:t>up to a maximum of 3.7m.</w:t>
      </w:r>
    </w:p>
    <w:p w14:paraId="43C46A38" w14:textId="77777777" w:rsidR="000A795E" w:rsidRPr="000A795E" w:rsidRDefault="000A795E" w:rsidP="003909F2">
      <w:pPr>
        <w:pStyle w:val="ListParagraph"/>
        <w:spacing w:after="120"/>
        <w:ind w:left="714"/>
        <w:contextualSpacing w:val="0"/>
        <w:jc w:val="both"/>
      </w:pPr>
      <w:r>
        <w:rPr>
          <w:b/>
          <w:i/>
        </w:rPr>
        <w:t>Rear extension</w:t>
      </w:r>
      <w:r>
        <w:t xml:space="preserve"> means the </w:t>
      </w:r>
      <w:r w:rsidR="00133D6D">
        <w:t>part of the trailer that can extend beyond the main</w:t>
      </w:r>
      <w:r w:rsidR="008C0DC9">
        <w:t xml:space="preserve"> fixed</w:t>
      </w:r>
      <w:r w:rsidR="00133D6D">
        <w:t xml:space="preserve"> body of the trailer</w:t>
      </w:r>
      <w:r>
        <w:t>.</w:t>
      </w:r>
    </w:p>
    <w:p w14:paraId="612BCD72" w14:textId="139ADD58" w:rsidR="008F6397" w:rsidRPr="008F6397" w:rsidRDefault="008F6397" w:rsidP="003909F2">
      <w:pPr>
        <w:pStyle w:val="ListParagraph"/>
        <w:spacing w:after="120"/>
        <w:ind w:left="714"/>
        <w:contextualSpacing w:val="0"/>
        <w:jc w:val="both"/>
      </w:pPr>
      <w:r>
        <w:rPr>
          <w:b/>
          <w:i/>
        </w:rPr>
        <w:t>SA Power Networks</w:t>
      </w:r>
      <w:r>
        <w:t xml:space="preserve"> means </w:t>
      </w:r>
      <w:r w:rsidR="00F43958">
        <w:t xml:space="preserve">the entity named CKI Utilities Development Pty Ltd and </w:t>
      </w:r>
      <w:proofErr w:type="spellStart"/>
      <w:r w:rsidR="00F43958">
        <w:t>Hei</w:t>
      </w:r>
      <w:proofErr w:type="spellEnd"/>
      <w:r w:rsidR="00F43958">
        <w:t xml:space="preserve"> Utilities Development Ltd and Others, trading as SA Power Networks.</w:t>
      </w:r>
    </w:p>
    <w:p w14:paraId="687565DA" w14:textId="6A144AC5" w:rsidR="008F6397" w:rsidRPr="008F6397" w:rsidRDefault="002A3CA3" w:rsidP="003909F2">
      <w:pPr>
        <w:pStyle w:val="ListParagraph"/>
        <w:spacing w:after="120"/>
        <w:ind w:left="714"/>
        <w:contextualSpacing w:val="0"/>
        <w:jc w:val="both"/>
      </w:pPr>
      <w:proofErr w:type="spellStart"/>
      <w:r>
        <w:rPr>
          <w:b/>
          <w:i/>
        </w:rPr>
        <w:t>Stobie</w:t>
      </w:r>
      <w:proofErr w:type="spellEnd"/>
      <w:r>
        <w:rPr>
          <w:b/>
          <w:i/>
        </w:rPr>
        <w:t xml:space="preserve"> </w:t>
      </w:r>
      <w:r w:rsidR="00336FCD">
        <w:rPr>
          <w:b/>
          <w:i/>
        </w:rPr>
        <w:t>pole</w:t>
      </w:r>
      <w:r w:rsidR="00336FCD">
        <w:t xml:space="preserve"> </w:t>
      </w:r>
      <w:r w:rsidR="008F6397">
        <w:t>means a pole intended for the purpose of supporting overhead electricity transmission lines, telecommunications lines, or other form of infrastructure consisting of a cable.</w:t>
      </w:r>
    </w:p>
    <w:p w14:paraId="7AD15B6C" w14:textId="77777777" w:rsidR="00133D6D" w:rsidRPr="00B55015" w:rsidRDefault="00133D6D" w:rsidP="00133D6D">
      <w:pPr>
        <w:pStyle w:val="ListParagraph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b/>
        </w:rPr>
      </w:pPr>
      <w:r w:rsidRPr="00B55015">
        <w:rPr>
          <w:b/>
        </w:rPr>
        <w:t>Application</w:t>
      </w:r>
    </w:p>
    <w:p w14:paraId="4CAD2868" w14:textId="4896E901" w:rsidR="00133D6D" w:rsidRDefault="00133D6D" w:rsidP="00133D6D">
      <w:pPr>
        <w:ind w:left="360"/>
        <w:jc w:val="both"/>
      </w:pPr>
      <w:r>
        <w:t>This notice applies to eligible vehicles operating in South Australia</w:t>
      </w:r>
      <w:r w:rsidR="00C86D5B">
        <w:t xml:space="preserve"> carrying one or more </w:t>
      </w:r>
      <w:proofErr w:type="spellStart"/>
      <w:r w:rsidR="002A3CA3">
        <w:t>Stobie</w:t>
      </w:r>
      <w:proofErr w:type="spellEnd"/>
      <w:r w:rsidR="002A3CA3">
        <w:t xml:space="preserve"> Pole</w:t>
      </w:r>
      <w:r w:rsidR="00C86D5B">
        <w:t>s that are no longer than 12m in length.</w:t>
      </w:r>
    </w:p>
    <w:p w14:paraId="09494212" w14:textId="77777777" w:rsidR="00B55015" w:rsidRPr="00B55015" w:rsidRDefault="00B55015" w:rsidP="002972A1">
      <w:pPr>
        <w:pStyle w:val="ListParagraph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b/>
        </w:rPr>
      </w:pPr>
      <w:r w:rsidRPr="00B55015">
        <w:rPr>
          <w:b/>
        </w:rPr>
        <w:t xml:space="preserve">Exemption from </w:t>
      </w:r>
      <w:r w:rsidR="00133D6D">
        <w:rPr>
          <w:b/>
        </w:rPr>
        <w:t>p</w:t>
      </w:r>
      <w:r w:rsidRPr="00B55015">
        <w:rPr>
          <w:b/>
        </w:rPr>
        <w:t xml:space="preserve">rescribed </w:t>
      </w:r>
      <w:r w:rsidR="00133D6D">
        <w:rPr>
          <w:b/>
        </w:rPr>
        <w:t>d</w:t>
      </w:r>
      <w:r w:rsidR="008F6397">
        <w:rPr>
          <w:b/>
        </w:rPr>
        <w:t xml:space="preserve">imension </w:t>
      </w:r>
      <w:r w:rsidR="00133D6D">
        <w:rPr>
          <w:b/>
        </w:rPr>
        <w:t>r</w:t>
      </w:r>
      <w:r w:rsidR="008F6397">
        <w:rPr>
          <w:b/>
        </w:rPr>
        <w:t>equirements</w:t>
      </w:r>
    </w:p>
    <w:p w14:paraId="60173D23" w14:textId="3AD0A8BE" w:rsidR="00167572" w:rsidRDefault="008F6397" w:rsidP="00167572">
      <w:pPr>
        <w:pStyle w:val="ListParagraph"/>
        <w:numPr>
          <w:ilvl w:val="0"/>
          <w:numId w:val="16"/>
        </w:numPr>
        <w:ind w:left="714" w:hanging="357"/>
        <w:contextualSpacing w:val="0"/>
        <w:jc w:val="both"/>
      </w:pPr>
      <w:r>
        <w:t xml:space="preserve">Eligible vehicles are exempt from the length dimension requirement under Schedule 6 </w:t>
      </w:r>
      <w:r w:rsidR="00167572">
        <w:t>of the MDL regulation:</w:t>
      </w:r>
    </w:p>
    <w:p w14:paraId="134C648B" w14:textId="58175EC0" w:rsidR="00167572" w:rsidRDefault="008F6397" w:rsidP="00B42C28">
      <w:pPr>
        <w:pStyle w:val="ListParagraph"/>
        <w:numPr>
          <w:ilvl w:val="1"/>
          <w:numId w:val="19"/>
        </w:numPr>
        <w:ind w:left="1434" w:hanging="357"/>
        <w:jc w:val="both"/>
      </w:pPr>
      <w:r>
        <w:t>s3(1)(a)</w:t>
      </w:r>
      <w:r w:rsidR="00167572">
        <w:t xml:space="preserve"> – Length, General</w:t>
      </w:r>
    </w:p>
    <w:p w14:paraId="77428F2A" w14:textId="65ACFBB3" w:rsidR="00E72238" w:rsidRDefault="00E72238" w:rsidP="00B42C28">
      <w:pPr>
        <w:pStyle w:val="ListParagraph"/>
        <w:numPr>
          <w:ilvl w:val="1"/>
          <w:numId w:val="19"/>
        </w:numPr>
        <w:ind w:left="1434" w:hanging="357"/>
        <w:jc w:val="both"/>
      </w:pPr>
      <w:r>
        <w:t>Section 5 – Length, rear overhang</w:t>
      </w:r>
    </w:p>
    <w:p w14:paraId="11400F1C" w14:textId="77777777" w:rsidR="00E72238" w:rsidRDefault="00E72238" w:rsidP="00B42C28">
      <w:pPr>
        <w:pStyle w:val="ListParagraph"/>
        <w:ind w:left="1434"/>
        <w:jc w:val="both"/>
      </w:pPr>
    </w:p>
    <w:p w14:paraId="7BE581BF" w14:textId="77777777" w:rsidR="00EF1A8D" w:rsidRPr="00B55015" w:rsidRDefault="00EF1A8D" w:rsidP="00EF1A8D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b/>
        </w:rPr>
      </w:pPr>
      <w:r>
        <w:rPr>
          <w:b/>
        </w:rPr>
        <w:t>Routes and areas</w:t>
      </w:r>
    </w:p>
    <w:p w14:paraId="2EAF6570" w14:textId="77777777" w:rsidR="00EF1A8D" w:rsidRDefault="00EF1A8D" w:rsidP="00EF1A8D">
      <w:pPr>
        <w:pStyle w:val="ListParagraph"/>
        <w:numPr>
          <w:ilvl w:val="0"/>
          <w:numId w:val="25"/>
        </w:numPr>
        <w:jc w:val="both"/>
      </w:pPr>
      <w:r>
        <w:t>Except where restricted by (2) following an eligible vehicle may travel on all roads in South Australia;</w:t>
      </w:r>
    </w:p>
    <w:p w14:paraId="19D3467E" w14:textId="24E91B51" w:rsidR="00EF1A8D" w:rsidRDefault="00EF1A8D" w:rsidP="00EF1A8D">
      <w:pPr>
        <w:pStyle w:val="ListParagraph"/>
        <w:numPr>
          <w:ilvl w:val="0"/>
          <w:numId w:val="25"/>
        </w:numPr>
        <w:spacing w:after="120"/>
        <w:contextualSpacing w:val="0"/>
        <w:jc w:val="both"/>
      </w:pPr>
      <w:r>
        <w:t xml:space="preserve">An eligible vehicle operating under this notice must only cross a railway crossing that is on the South Australia </w:t>
      </w:r>
      <w:r w:rsidRPr="00D705AC">
        <w:t xml:space="preserve">23m </w:t>
      </w:r>
      <w:r w:rsidR="00D705AC">
        <w:t>B-Double</w:t>
      </w:r>
      <w:r w:rsidRPr="00D705AC">
        <w:t xml:space="preserve"> </w:t>
      </w:r>
      <w:r w:rsidR="00D705AC">
        <w:t>(GML) n</w:t>
      </w:r>
      <w:r>
        <w:t>etwork.</w:t>
      </w:r>
    </w:p>
    <w:p w14:paraId="59440A37" w14:textId="1DC9B7D0" w:rsidR="00EF1A8D" w:rsidRPr="00DD03E0" w:rsidRDefault="00EF1A8D" w:rsidP="00EF1A8D">
      <w:pPr>
        <w:ind w:left="1440" w:hanging="720"/>
        <w:contextualSpacing/>
        <w:jc w:val="both"/>
        <w:rPr>
          <w:i/>
          <w:lang w:val="en-US"/>
        </w:rPr>
      </w:pPr>
      <w:r w:rsidRPr="00DD03E0">
        <w:rPr>
          <w:i/>
          <w:lang w:val="en-US"/>
        </w:rPr>
        <w:t>Note:</w:t>
      </w:r>
      <w:r w:rsidRPr="00DD03E0">
        <w:rPr>
          <w:i/>
          <w:lang w:val="en-US"/>
        </w:rPr>
        <w:tab/>
        <w:t xml:space="preserve">the South Australia </w:t>
      </w:r>
      <w:r w:rsidR="00D705AC">
        <w:rPr>
          <w:i/>
          <w:lang w:val="en-US"/>
        </w:rPr>
        <w:t>B-Double</w:t>
      </w:r>
      <w:r w:rsidRPr="00DD03E0">
        <w:rPr>
          <w:i/>
          <w:lang w:val="en-US"/>
        </w:rPr>
        <w:t xml:space="preserve"> Network is maintained and published by the South Australia Department of </w:t>
      </w:r>
      <w:r>
        <w:rPr>
          <w:i/>
          <w:lang w:val="en-US"/>
        </w:rPr>
        <w:t xml:space="preserve">Planning, </w:t>
      </w:r>
      <w:r w:rsidRPr="00DD03E0">
        <w:rPr>
          <w:i/>
          <w:lang w:val="en-US"/>
        </w:rPr>
        <w:t>Transport and Infrastructure.</w:t>
      </w:r>
    </w:p>
    <w:p w14:paraId="7612AD61" w14:textId="77777777" w:rsidR="00EF1A8D" w:rsidRDefault="00EF1A8D" w:rsidP="00B42C28">
      <w:pPr>
        <w:jc w:val="both"/>
      </w:pPr>
    </w:p>
    <w:p w14:paraId="036B61F2" w14:textId="6B51F16E" w:rsidR="00977113" w:rsidRPr="002B16CA" w:rsidRDefault="002B16CA" w:rsidP="002B16CA">
      <w:pPr>
        <w:pStyle w:val="ListParagraph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b/>
        </w:rPr>
      </w:pPr>
      <w:r w:rsidRPr="002B16CA">
        <w:rPr>
          <w:b/>
        </w:rPr>
        <w:t xml:space="preserve">Conditions -  </w:t>
      </w:r>
      <w:r>
        <w:rPr>
          <w:b/>
        </w:rPr>
        <w:t>R</w:t>
      </w:r>
      <w:r w:rsidR="00977113" w:rsidRPr="002B16CA">
        <w:rPr>
          <w:b/>
        </w:rPr>
        <w:t>igid truck and dog trailer combination</w:t>
      </w:r>
      <w:r>
        <w:rPr>
          <w:b/>
        </w:rPr>
        <w:t>s</w:t>
      </w:r>
    </w:p>
    <w:p w14:paraId="0CEA27C9" w14:textId="77777777" w:rsidR="00167572" w:rsidRDefault="00167572" w:rsidP="00167572">
      <w:pPr>
        <w:pStyle w:val="ListParagraph"/>
        <w:numPr>
          <w:ilvl w:val="0"/>
          <w:numId w:val="28"/>
        </w:numPr>
        <w:jc w:val="both"/>
        <w:rPr>
          <w:lang w:val="en-US"/>
        </w:rPr>
      </w:pPr>
      <w:r w:rsidRPr="00B80A37">
        <w:rPr>
          <w:lang w:val="en-US"/>
        </w:rPr>
        <w:t>The overall length of a rigid truck and dog trailer combination</w:t>
      </w:r>
      <w:r>
        <w:rPr>
          <w:lang w:val="en-US"/>
        </w:rPr>
        <w:t xml:space="preserve"> operating under this Notice, together</w:t>
      </w:r>
      <w:r w:rsidRPr="00B80A37">
        <w:rPr>
          <w:lang w:val="en-US"/>
        </w:rPr>
        <w:t xml:space="preserve"> with its load must not exceed 21.0m in length.</w:t>
      </w:r>
    </w:p>
    <w:p w14:paraId="0E0500DF" w14:textId="77777777" w:rsidR="00167572" w:rsidRPr="00B80A37" w:rsidRDefault="00167572" w:rsidP="00167572">
      <w:pPr>
        <w:pStyle w:val="ListParagraph"/>
        <w:ind w:left="1080"/>
        <w:jc w:val="both"/>
        <w:rPr>
          <w:lang w:val="en-US"/>
        </w:rPr>
      </w:pPr>
    </w:p>
    <w:p w14:paraId="70FF1CFC" w14:textId="77777777" w:rsidR="00167572" w:rsidRPr="00B80A37" w:rsidRDefault="00167572" w:rsidP="00167572">
      <w:pPr>
        <w:pStyle w:val="ListParagraph"/>
        <w:numPr>
          <w:ilvl w:val="0"/>
          <w:numId w:val="28"/>
        </w:numPr>
        <w:jc w:val="both"/>
        <w:rPr>
          <w:lang w:val="en-US"/>
        </w:rPr>
      </w:pPr>
      <w:r w:rsidRPr="00B80A37">
        <w:rPr>
          <w:lang w:val="en-US"/>
        </w:rPr>
        <w:t>The constructed overall length of a</w:t>
      </w:r>
      <w:r>
        <w:rPr>
          <w:lang w:val="en-US"/>
        </w:rPr>
        <w:t xml:space="preserve">n </w:t>
      </w:r>
      <w:proofErr w:type="spellStart"/>
      <w:r>
        <w:rPr>
          <w:lang w:val="en-US"/>
        </w:rPr>
        <w:t>unladen</w:t>
      </w:r>
      <w:proofErr w:type="spellEnd"/>
      <w:r w:rsidRPr="00B80A37">
        <w:rPr>
          <w:lang w:val="en-US"/>
        </w:rPr>
        <w:t xml:space="preserve"> rigid truck and dog trailer combination must not exceed 19</w:t>
      </w:r>
      <w:r>
        <w:rPr>
          <w:lang w:val="en-US"/>
        </w:rPr>
        <w:t>m</w:t>
      </w:r>
      <w:r w:rsidRPr="00B80A37">
        <w:rPr>
          <w:lang w:val="en-US"/>
        </w:rPr>
        <w:t>.</w:t>
      </w:r>
    </w:p>
    <w:p w14:paraId="0607F5AC" w14:textId="77777777" w:rsidR="00167572" w:rsidRPr="00B80A37" w:rsidRDefault="00167572" w:rsidP="00167572">
      <w:pPr>
        <w:pStyle w:val="ListParagraph"/>
        <w:ind w:left="1080"/>
        <w:jc w:val="both"/>
        <w:rPr>
          <w:lang w:val="en-US"/>
        </w:rPr>
      </w:pPr>
    </w:p>
    <w:p w14:paraId="7A688034" w14:textId="00F6AA4D" w:rsidR="00167572" w:rsidRPr="00B80A37" w:rsidRDefault="00167572" w:rsidP="00167572">
      <w:pPr>
        <w:pStyle w:val="ListParagraph"/>
        <w:numPr>
          <w:ilvl w:val="0"/>
          <w:numId w:val="28"/>
        </w:numPr>
        <w:jc w:val="both"/>
        <w:rPr>
          <w:lang w:val="en-US"/>
        </w:rPr>
      </w:pPr>
      <w:r>
        <w:rPr>
          <w:lang w:val="en-US"/>
        </w:rPr>
        <w:t xml:space="preserve">The </w:t>
      </w:r>
      <w:proofErr w:type="spellStart"/>
      <w:r w:rsidR="00AB5706">
        <w:rPr>
          <w:lang w:val="en-US"/>
        </w:rPr>
        <w:t>S</w:t>
      </w:r>
      <w:r w:rsidR="00765A93">
        <w:rPr>
          <w:lang w:val="en-US"/>
        </w:rPr>
        <w:t>tobie</w:t>
      </w:r>
      <w:proofErr w:type="spellEnd"/>
      <w:r w:rsidR="00765A93" w:rsidRPr="00B80A37">
        <w:rPr>
          <w:lang w:val="en-US"/>
        </w:rPr>
        <w:t xml:space="preserve"> </w:t>
      </w:r>
      <w:r w:rsidRPr="00B80A37">
        <w:rPr>
          <w:lang w:val="en-US"/>
        </w:rPr>
        <w:t>poles must be loaded centrally on the trailer and the load contained width must not exceed 1</w:t>
      </w:r>
      <w:r>
        <w:rPr>
          <w:lang w:val="en-US"/>
        </w:rPr>
        <w:t>m.</w:t>
      </w:r>
    </w:p>
    <w:p w14:paraId="160B37FD" w14:textId="77777777" w:rsidR="00167572" w:rsidRDefault="00167572" w:rsidP="00167572">
      <w:pPr>
        <w:pStyle w:val="ListParagraph"/>
        <w:ind w:left="1080"/>
        <w:jc w:val="both"/>
        <w:rPr>
          <w:lang w:val="en-US"/>
        </w:rPr>
      </w:pPr>
    </w:p>
    <w:p w14:paraId="50AD2A05" w14:textId="77777777" w:rsidR="00AE6C28" w:rsidRDefault="00AE6C28" w:rsidP="00167572">
      <w:pPr>
        <w:pStyle w:val="ListParagraph"/>
        <w:ind w:left="1080"/>
        <w:jc w:val="both"/>
        <w:rPr>
          <w:lang w:val="en-US"/>
        </w:rPr>
      </w:pPr>
    </w:p>
    <w:p w14:paraId="1E31E6AC" w14:textId="77777777" w:rsidR="00AE6C28" w:rsidRDefault="00AE6C28" w:rsidP="00167572">
      <w:pPr>
        <w:pStyle w:val="ListParagraph"/>
        <w:ind w:left="1080"/>
        <w:jc w:val="both"/>
        <w:rPr>
          <w:lang w:val="en-US"/>
        </w:rPr>
      </w:pPr>
    </w:p>
    <w:p w14:paraId="476FAA5E" w14:textId="77777777" w:rsidR="00167572" w:rsidRPr="00B80A37" w:rsidRDefault="00167572" w:rsidP="00167572">
      <w:pPr>
        <w:pStyle w:val="ListParagraph"/>
        <w:numPr>
          <w:ilvl w:val="0"/>
          <w:numId w:val="28"/>
        </w:numPr>
        <w:jc w:val="both"/>
        <w:rPr>
          <w:lang w:val="en-US"/>
        </w:rPr>
      </w:pPr>
      <w:r w:rsidRPr="00B80A37">
        <w:rPr>
          <w:lang w:val="en-US"/>
        </w:rPr>
        <w:lastRenderedPageBreak/>
        <w:t xml:space="preserve">The pole(s) shall be delineated with a least three sight boards as follows; </w:t>
      </w:r>
    </w:p>
    <w:p w14:paraId="21E7C09A" w14:textId="77777777" w:rsidR="00167572" w:rsidRDefault="00167572" w:rsidP="00167572">
      <w:pPr>
        <w:pStyle w:val="ListParagraph"/>
        <w:ind w:left="1440"/>
        <w:jc w:val="both"/>
      </w:pPr>
    </w:p>
    <w:p w14:paraId="52D48F5D" w14:textId="77777777" w:rsidR="00167572" w:rsidRPr="00B80A37" w:rsidRDefault="00167572" w:rsidP="00167572">
      <w:pPr>
        <w:pStyle w:val="ListParagraph"/>
        <w:numPr>
          <w:ilvl w:val="0"/>
          <w:numId w:val="29"/>
        </w:numPr>
        <w:jc w:val="both"/>
      </w:pPr>
      <w:r w:rsidRPr="00B80A37">
        <w:t>On the rear of the pole, one sight board displaying a vertical surface 750</w:t>
      </w:r>
      <w:r>
        <w:t>mm</w:t>
      </w:r>
      <w:r w:rsidRPr="00B80A37">
        <w:t xml:space="preserve"> long and 300</w:t>
      </w:r>
      <w:r>
        <w:t>mm</w:t>
      </w:r>
      <w:r w:rsidRPr="00B80A37">
        <w:t xml:space="preserve"> high to the sides and a vertical surface 400</w:t>
      </w:r>
      <w:r>
        <w:t>mm</w:t>
      </w:r>
      <w:r w:rsidRPr="00B80A37">
        <w:t xml:space="preserve"> square to the rear. </w:t>
      </w:r>
    </w:p>
    <w:p w14:paraId="3F8CBE33" w14:textId="77777777" w:rsidR="00167572" w:rsidRPr="00B80A37" w:rsidRDefault="00167572" w:rsidP="00167572">
      <w:pPr>
        <w:pStyle w:val="ListParagraph"/>
        <w:numPr>
          <w:ilvl w:val="0"/>
          <w:numId w:val="29"/>
        </w:numPr>
        <w:jc w:val="both"/>
      </w:pPr>
      <w:r w:rsidRPr="00B80A37">
        <w:t>Along the length of the pole, two sight boards each displaying a vertical surface of 350</w:t>
      </w:r>
      <w:r>
        <w:t xml:space="preserve">mm </w:t>
      </w:r>
      <w:r w:rsidRPr="00B80A37">
        <w:t>long and 400</w:t>
      </w:r>
      <w:r>
        <w:t>mm</w:t>
      </w:r>
      <w:r w:rsidRPr="00B80A37">
        <w:t xml:space="preserve"> high to the sides </w:t>
      </w:r>
    </w:p>
    <w:p w14:paraId="15697515" w14:textId="77777777" w:rsidR="00167572" w:rsidRPr="00B80A37" w:rsidRDefault="00167572" w:rsidP="00167572">
      <w:pPr>
        <w:pStyle w:val="ListParagraph"/>
        <w:numPr>
          <w:ilvl w:val="0"/>
          <w:numId w:val="29"/>
        </w:numPr>
        <w:jc w:val="both"/>
      </w:pPr>
      <w:r w:rsidRPr="00B80A37">
        <w:t>All vertical surfaces of the sight boards to display 100</w:t>
      </w:r>
      <w:r>
        <w:t xml:space="preserve">mm </w:t>
      </w:r>
      <w:r w:rsidRPr="00B80A37">
        <w:t xml:space="preserve">wide alternate red and yellow reflective stripes at an angle of 45 degrees. </w:t>
      </w:r>
    </w:p>
    <w:p w14:paraId="09BD7635" w14:textId="77777777" w:rsidR="00167572" w:rsidRPr="00B80A37" w:rsidRDefault="00167572" w:rsidP="00167572">
      <w:pPr>
        <w:pStyle w:val="ListParagraph"/>
        <w:numPr>
          <w:ilvl w:val="0"/>
          <w:numId w:val="29"/>
        </w:numPr>
        <w:jc w:val="both"/>
      </w:pPr>
      <w:r w:rsidRPr="00B80A37">
        <w:t>At night or during periods of low visibility the section of pole(s) that extends past the rear of the trailer must be delineated at the end with a red stop/tail light facing to the rear and side marker lights which display an amber light to the front and a red light to the rear. Side marker lights shall be spaced no greater than 2.0</w:t>
      </w:r>
      <w:r>
        <w:t>m</w:t>
      </w:r>
      <w:r w:rsidRPr="00B80A37">
        <w:t xml:space="preserve"> apart. </w:t>
      </w:r>
    </w:p>
    <w:p w14:paraId="446C7EFC" w14:textId="77777777" w:rsidR="00167572" w:rsidRDefault="00167572" w:rsidP="00167572">
      <w:pPr>
        <w:pStyle w:val="ListParagraph"/>
        <w:numPr>
          <w:ilvl w:val="0"/>
          <w:numId w:val="29"/>
        </w:numPr>
        <w:jc w:val="both"/>
      </w:pPr>
      <w:r w:rsidRPr="00B80A37">
        <w:t>For the purpose of this notice ‘low visibility’ means the</w:t>
      </w:r>
      <w:r>
        <w:t xml:space="preserve"> same as specified in section 8</w:t>
      </w:r>
      <w:r w:rsidRPr="00B80A37">
        <w:t>(1) of the MDL Regulation.</w:t>
      </w:r>
    </w:p>
    <w:p w14:paraId="471A10C0" w14:textId="77777777" w:rsidR="00167572" w:rsidRPr="00B80A37" w:rsidRDefault="00167572" w:rsidP="00167572">
      <w:pPr>
        <w:pStyle w:val="ListParagraph"/>
        <w:ind w:left="1440"/>
        <w:jc w:val="both"/>
      </w:pPr>
    </w:p>
    <w:p w14:paraId="245380F1" w14:textId="6F5315B1" w:rsidR="00977113" w:rsidRPr="002B16CA" w:rsidRDefault="002B16CA" w:rsidP="002B16CA">
      <w:pPr>
        <w:pStyle w:val="ListParagraph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b/>
        </w:rPr>
      </w:pPr>
      <w:r w:rsidRPr="002B16CA">
        <w:rPr>
          <w:b/>
        </w:rPr>
        <w:t xml:space="preserve">Conditions - </w:t>
      </w:r>
      <w:r>
        <w:rPr>
          <w:b/>
        </w:rPr>
        <w:t>R</w:t>
      </w:r>
      <w:r w:rsidR="00977113" w:rsidRPr="002B16CA">
        <w:rPr>
          <w:b/>
        </w:rPr>
        <w:t>igid truck and extendable dog trailer combination</w:t>
      </w:r>
      <w:r>
        <w:rPr>
          <w:b/>
        </w:rPr>
        <w:t>s</w:t>
      </w:r>
    </w:p>
    <w:p w14:paraId="15594B50" w14:textId="4E5AE981" w:rsidR="006539AD" w:rsidRDefault="006539AD" w:rsidP="002B16CA">
      <w:pPr>
        <w:pStyle w:val="ListParagraph"/>
        <w:numPr>
          <w:ilvl w:val="0"/>
          <w:numId w:val="22"/>
        </w:numPr>
        <w:spacing w:after="120"/>
        <w:contextualSpacing w:val="0"/>
        <w:jc w:val="both"/>
      </w:pPr>
      <w:r>
        <w:t>A</w:t>
      </w:r>
      <w:r w:rsidR="00B45ABA">
        <w:t xml:space="preserve"> </w:t>
      </w:r>
      <w:r>
        <w:t>rigid truck and extendable dog trailer combination must not exceed 21.0m in length.</w:t>
      </w:r>
    </w:p>
    <w:p w14:paraId="29649A5A" w14:textId="77777777" w:rsidR="00AB5706" w:rsidRDefault="00BD636E" w:rsidP="002B16CA">
      <w:pPr>
        <w:pStyle w:val="Noticeclause"/>
        <w:numPr>
          <w:ilvl w:val="0"/>
          <w:numId w:val="22"/>
        </w:numPr>
        <w:spacing w:after="80"/>
        <w:contextualSpacing w:val="0"/>
      </w:pPr>
      <w:r w:rsidRPr="00F65E5D">
        <w:t xml:space="preserve">When the rear extension is extended more than 1.0m, a delineator must be attached </w:t>
      </w:r>
      <w:r w:rsidRPr="001D0382">
        <w:t xml:space="preserve">to the outer edge of the trailer </w:t>
      </w:r>
      <w:r>
        <w:t xml:space="preserve">on </w:t>
      </w:r>
      <w:r w:rsidRPr="001D0382">
        <w:t xml:space="preserve">each side </w:t>
      </w:r>
      <w:r>
        <w:t xml:space="preserve">for the full distance </w:t>
      </w:r>
      <w:r w:rsidR="00C86D5B">
        <w:t>along the</w:t>
      </w:r>
      <w:r w:rsidRPr="00F65E5D">
        <w:t xml:space="preserve"> </w:t>
      </w:r>
      <w:r>
        <w:t xml:space="preserve">rear </w:t>
      </w:r>
      <w:r w:rsidRPr="00F65E5D">
        <w:t>extension</w:t>
      </w:r>
      <w:r w:rsidR="00AB5706">
        <w:t>.</w:t>
      </w:r>
    </w:p>
    <w:p w14:paraId="4590DF26" w14:textId="13822C24" w:rsidR="00BD636E" w:rsidRDefault="00BD636E" w:rsidP="002B16CA">
      <w:pPr>
        <w:pStyle w:val="Noticeclause"/>
        <w:numPr>
          <w:ilvl w:val="0"/>
          <w:numId w:val="22"/>
        </w:numPr>
        <w:spacing w:after="80"/>
        <w:contextualSpacing w:val="0"/>
      </w:pPr>
      <w:r>
        <w:t xml:space="preserve">The </w:t>
      </w:r>
      <w:r w:rsidRPr="00F65E5D">
        <w:t>delineator</w:t>
      </w:r>
      <w:r>
        <w:t xml:space="preserve"> must meet the following requirements:</w:t>
      </w:r>
    </w:p>
    <w:p w14:paraId="61CDA0C6" w14:textId="77777777" w:rsidR="00BD636E" w:rsidRDefault="00BD636E" w:rsidP="002B16CA">
      <w:pPr>
        <w:pStyle w:val="Noticeclause"/>
        <w:numPr>
          <w:ilvl w:val="1"/>
          <w:numId w:val="21"/>
        </w:numPr>
        <w:spacing w:after="80"/>
        <w:contextualSpacing w:val="0"/>
      </w:pPr>
      <w:r>
        <w:t xml:space="preserve">be made of stiff or flexible weatherproof material and display 100mm wide alternate red and yellow reflective stripes at an angle of 45 degrees; and </w:t>
      </w:r>
    </w:p>
    <w:p w14:paraId="289DC251" w14:textId="77777777" w:rsidR="00BD636E" w:rsidRDefault="004D768F" w:rsidP="002B16CA">
      <w:pPr>
        <w:pStyle w:val="Noticeclause"/>
        <w:numPr>
          <w:ilvl w:val="1"/>
          <w:numId w:val="21"/>
        </w:numPr>
        <w:spacing w:after="80"/>
        <w:contextualSpacing w:val="0"/>
      </w:pPr>
      <w:r>
        <w:t>t</w:t>
      </w:r>
      <w:r w:rsidR="00BD636E">
        <w:t>he surface must be vertical and face outwards and be at least 300mm high; and</w:t>
      </w:r>
    </w:p>
    <w:p w14:paraId="6A516016" w14:textId="25CB5E0E" w:rsidR="00484BEC" w:rsidRDefault="00BD636E" w:rsidP="002B16CA">
      <w:pPr>
        <w:pStyle w:val="Noticeclause"/>
        <w:numPr>
          <w:ilvl w:val="1"/>
          <w:numId w:val="21"/>
        </w:numPr>
        <w:spacing w:after="80"/>
        <w:contextualSpacing w:val="0"/>
      </w:pPr>
      <w:proofErr w:type="gramStart"/>
      <w:r>
        <w:t>must</w:t>
      </w:r>
      <w:proofErr w:type="gramEnd"/>
      <w:r>
        <w:t xml:space="preserve"> comply with Class 1 or 2 of AS 1906 ‘Retro-reflective Materials and Devices for Road Traffic Control Purposes’</w:t>
      </w:r>
      <w:r w:rsidR="00AB5706">
        <w:t>.</w:t>
      </w:r>
    </w:p>
    <w:p w14:paraId="0700614A" w14:textId="5FA4E0E1" w:rsidR="00AB5706" w:rsidRDefault="00AB5706" w:rsidP="00AB5706">
      <w:pPr>
        <w:pStyle w:val="Noticeclause"/>
        <w:numPr>
          <w:ilvl w:val="0"/>
          <w:numId w:val="22"/>
        </w:numPr>
        <w:spacing w:after="80"/>
        <w:contextualSpacing w:val="0"/>
      </w:pPr>
      <w:r>
        <w:t xml:space="preserve">An eligible vehicle that complies with </w:t>
      </w:r>
      <w:proofErr w:type="gramStart"/>
      <w:r>
        <w:t>s3(</w:t>
      </w:r>
      <w:proofErr w:type="gramEnd"/>
      <w:r>
        <w:t>3) of Schedule 8 of the MDL Regulation may use that section as an alternative to the requirements in subsection 3) of this section.</w:t>
      </w:r>
    </w:p>
    <w:p w14:paraId="42C4BDE4" w14:textId="73EA1143" w:rsidR="003909F2" w:rsidRDefault="00BD636E" w:rsidP="002B16CA">
      <w:pPr>
        <w:pStyle w:val="Noticeclause"/>
        <w:numPr>
          <w:ilvl w:val="0"/>
          <w:numId w:val="22"/>
        </w:numPr>
        <w:spacing w:after="0"/>
        <w:contextualSpacing w:val="0"/>
      </w:pPr>
      <w:r>
        <w:t xml:space="preserve">In addition to side marker lights required </w:t>
      </w:r>
      <w:r w:rsidR="00282786">
        <w:t>under Schedule 2, Division 9 of the</w:t>
      </w:r>
      <w:r w:rsidR="006F1B8F">
        <w:t xml:space="preserve"> Heavy Vehicle (</w:t>
      </w:r>
      <w:r w:rsidR="00C24379">
        <w:t>V</w:t>
      </w:r>
      <w:r w:rsidR="006F1B8F">
        <w:t>ehicle Standards) National</w:t>
      </w:r>
      <w:r w:rsidR="00C24379">
        <w:t xml:space="preserve"> Regulation or </w:t>
      </w:r>
      <w:r w:rsidR="00C24379" w:rsidRPr="00A25139">
        <w:rPr>
          <w:i/>
        </w:rPr>
        <w:t>Australian Design Rule</w:t>
      </w:r>
      <w:r w:rsidR="00C24379">
        <w:t xml:space="preserve"> </w:t>
      </w:r>
      <w:r w:rsidR="00C24379" w:rsidRPr="00A25139">
        <w:rPr>
          <w:i/>
        </w:rPr>
        <w:t>13/..</w:t>
      </w:r>
      <w:r w:rsidR="00C24379">
        <w:t xml:space="preserve"> </w:t>
      </w:r>
      <w:r>
        <w:t xml:space="preserve"> side marker lights must be displayed, not more than 2.0m apart, along the total length of the trailer, except for the section where the delineators are fitted as specified in </w:t>
      </w:r>
      <w:r w:rsidR="00AB5706">
        <w:t xml:space="preserve">section </w:t>
      </w:r>
      <w:r w:rsidR="00BC4643">
        <w:t>1</w:t>
      </w:r>
      <w:r w:rsidR="00AB5706">
        <w:t>2</w:t>
      </w:r>
      <w:r w:rsidR="00AB5706" w:rsidDel="00AB5706">
        <w:t xml:space="preserve"> </w:t>
      </w:r>
      <w:r w:rsidR="00AB5706">
        <w:t>(</w:t>
      </w:r>
      <w:r w:rsidR="00D31B72">
        <w:t>2</w:t>
      </w:r>
      <w:r w:rsidR="00BC4643">
        <w:t>)</w:t>
      </w:r>
      <w:r>
        <w:t xml:space="preserve">. </w:t>
      </w:r>
    </w:p>
    <w:p w14:paraId="28A459B2" w14:textId="77777777" w:rsidR="000A4BE6" w:rsidRDefault="000A4BE6" w:rsidP="00EF1A8D">
      <w:pPr>
        <w:pStyle w:val="Noticeclause"/>
        <w:numPr>
          <w:ilvl w:val="0"/>
          <w:numId w:val="0"/>
        </w:numPr>
        <w:spacing w:after="0"/>
        <w:ind w:left="786" w:hanging="360"/>
        <w:contextualSpacing w:val="0"/>
      </w:pPr>
    </w:p>
    <w:p w14:paraId="0C668CDE" w14:textId="02D4B650" w:rsidR="003C6E67" w:rsidRDefault="003C6E67" w:rsidP="003C6E67">
      <w:pPr>
        <w:pStyle w:val="Noticeclause"/>
        <w:numPr>
          <w:ilvl w:val="0"/>
          <w:numId w:val="0"/>
        </w:numPr>
        <w:spacing w:after="0"/>
        <w:ind w:left="720"/>
        <w:contextualSpacing w:val="0"/>
      </w:pPr>
    </w:p>
    <w:p w14:paraId="2DC4E619" w14:textId="77777777" w:rsidR="00AE6C28" w:rsidRPr="00C071B9" w:rsidRDefault="00AE6C28" w:rsidP="00AE6C28">
      <w:pPr>
        <w:ind w:left="720"/>
        <w:contextualSpacing/>
        <w:rPr>
          <w:rFonts w:ascii="Calibri" w:hAnsi="Calibri"/>
          <w:szCs w:val="24"/>
          <w:lang w:eastAsia="en-AU"/>
        </w:rPr>
      </w:pPr>
      <w:r w:rsidRPr="00C071B9">
        <w:rPr>
          <w:rFonts w:ascii="Calibri" w:hAnsi="Calibri"/>
          <w:szCs w:val="24"/>
          <w:lang w:eastAsia="en-AU"/>
        </w:rPr>
        <w:t>Peter Caprioli</w:t>
      </w:r>
    </w:p>
    <w:p w14:paraId="75BC1AC8" w14:textId="77777777" w:rsidR="00AE6C28" w:rsidRPr="00C071B9" w:rsidRDefault="00AE6C28" w:rsidP="00AE6C28">
      <w:pPr>
        <w:ind w:left="720"/>
        <w:contextualSpacing/>
        <w:rPr>
          <w:rFonts w:ascii="Calibri" w:hAnsi="Calibri"/>
          <w:i/>
          <w:szCs w:val="24"/>
          <w:lang w:eastAsia="en-AU"/>
        </w:rPr>
      </w:pPr>
      <w:r w:rsidRPr="00C071B9">
        <w:rPr>
          <w:rFonts w:ascii="Calibri" w:hAnsi="Calibri"/>
          <w:i/>
          <w:szCs w:val="24"/>
          <w:lang w:eastAsia="en-AU"/>
        </w:rPr>
        <w:t>Executive Director (Freight and Supply Chain Productivity)</w:t>
      </w:r>
    </w:p>
    <w:p w14:paraId="4C5C525B" w14:textId="77777777" w:rsidR="00AE6C28" w:rsidRPr="00C071B9" w:rsidRDefault="00AE6C28" w:rsidP="00AE6C28">
      <w:pPr>
        <w:ind w:left="720"/>
        <w:contextualSpacing/>
        <w:rPr>
          <w:rFonts w:ascii="Calibri" w:hAnsi="Calibri"/>
          <w:i/>
          <w:szCs w:val="24"/>
          <w:lang w:eastAsia="en-AU"/>
        </w:rPr>
      </w:pPr>
      <w:r w:rsidRPr="00C071B9">
        <w:rPr>
          <w:rFonts w:ascii="Calibri" w:hAnsi="Calibri"/>
          <w:b/>
          <w:szCs w:val="24"/>
          <w:lang w:eastAsia="en-AU"/>
        </w:rPr>
        <w:t>National Heavy Vehicle Regulator</w:t>
      </w:r>
    </w:p>
    <w:p w14:paraId="19FC6C6D" w14:textId="16C96D12" w:rsidR="003C6E67" w:rsidRDefault="003C6E67" w:rsidP="00EF1A8D">
      <w:pPr>
        <w:spacing w:after="120"/>
        <w:jc w:val="both"/>
      </w:pPr>
      <w:bookmarkStart w:id="0" w:name="_GoBack"/>
      <w:bookmarkEnd w:id="0"/>
    </w:p>
    <w:p w14:paraId="5536CF41" w14:textId="389D01A4" w:rsidR="003C6E67" w:rsidRDefault="00265AA0" w:rsidP="00B42C28">
      <w:pPr>
        <w:pStyle w:val="ListParagraph"/>
        <w:spacing w:after="120"/>
        <w:contextualSpacing w:val="0"/>
        <w:jc w:val="both"/>
      </w:pPr>
      <w:r>
        <w:t>.</w:t>
      </w:r>
    </w:p>
    <w:sectPr w:rsidR="003C6E67" w:rsidSect="00D41944"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4179CA9" w15:done="0"/>
  <w15:commentEx w15:paraId="73DF2DAF" w15:done="0"/>
  <w15:commentEx w15:paraId="4AA74422" w15:paraIdParent="73DF2DAF" w15:done="0"/>
  <w15:commentEx w15:paraId="52F33AB7" w15:done="0"/>
  <w15:commentEx w15:paraId="2DE934F1" w15:done="0"/>
  <w15:commentEx w15:paraId="61EB8055" w15:paraIdParent="2DE934F1" w15:done="0"/>
  <w15:commentEx w15:paraId="4D92045F" w15:done="0"/>
  <w15:commentEx w15:paraId="5F8B4D39" w15:done="0"/>
  <w15:commentEx w15:paraId="46077C44" w15:paraIdParent="5F8B4D39" w15:done="0"/>
  <w15:commentEx w15:paraId="40D5939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312734" w14:textId="77777777" w:rsidR="000671F4" w:rsidRDefault="000671F4" w:rsidP="00D41944">
      <w:pPr>
        <w:spacing w:after="0" w:line="240" w:lineRule="auto"/>
      </w:pPr>
      <w:r>
        <w:separator/>
      </w:r>
    </w:p>
  </w:endnote>
  <w:endnote w:type="continuationSeparator" w:id="0">
    <w:p w14:paraId="175A9682" w14:textId="77777777" w:rsidR="000671F4" w:rsidRDefault="000671F4" w:rsidP="00D41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BA7CE1" w14:textId="77777777" w:rsidR="00AE6C28" w:rsidRPr="00AE6C28" w:rsidRDefault="00AE6C28" w:rsidP="00AE6C28">
    <w:pPr>
      <w:pStyle w:val="Footer"/>
    </w:pPr>
  </w:p>
  <w:p w14:paraId="7955BB2C" w14:textId="77777777" w:rsidR="00AE6C28" w:rsidRPr="00AE6C28" w:rsidRDefault="00AE6C28" w:rsidP="00AE6C28">
    <w:pPr>
      <w:pStyle w:val="Footer"/>
      <w:jc w:val="right"/>
    </w:pPr>
    <w:r w:rsidRPr="00AE6C28">
      <w:t>South Australia Class 3 Heavy Vehicle Truck and Dog (</w:t>
    </w:r>
    <w:proofErr w:type="spellStart"/>
    <w:r w:rsidRPr="00AE6C28">
      <w:t>Stobie</w:t>
    </w:r>
    <w:proofErr w:type="spellEnd"/>
    <w:r w:rsidRPr="00AE6C28">
      <w:t xml:space="preserve"> Pole) Dimension Exemption Notice 2019 (No.1)</w:t>
    </w:r>
  </w:p>
  <w:p w14:paraId="1A7B4F40" w14:textId="6B74ECF6" w:rsidR="00C24017" w:rsidRPr="00AE6C28" w:rsidRDefault="00AE6C28" w:rsidP="00AE6C28">
    <w:pPr>
      <w:pStyle w:val="Footer"/>
      <w:jc w:val="right"/>
    </w:pPr>
    <w:sdt>
      <w:sdtPr>
        <w:id w:val="-541750570"/>
        <w:docPartObj>
          <w:docPartGallery w:val="Page Numbers (Bottom of Page)"/>
          <w:docPartUnique/>
        </w:docPartObj>
      </w:sdtPr>
      <w:sdtContent>
        <w:sdt>
          <w:sdtPr>
            <w:id w:val="-1848309103"/>
            <w:docPartObj>
              <w:docPartGallery w:val="Page Numbers (Top of Page)"/>
              <w:docPartUnique/>
            </w:docPartObj>
          </w:sdtPr>
          <w:sdtContent>
            <w:r w:rsidRPr="00AE6C28">
              <w:t xml:space="preserve">Page </w:t>
            </w:r>
            <w:r w:rsidRPr="00AE6C28">
              <w:rPr>
                <w:bCs/>
              </w:rPr>
              <w:fldChar w:fldCharType="begin"/>
            </w:r>
            <w:r w:rsidRPr="00AE6C28">
              <w:rPr>
                <w:bCs/>
              </w:rPr>
              <w:instrText xml:space="preserve"> PAGE </w:instrText>
            </w:r>
            <w:r w:rsidRPr="00AE6C28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3</w:t>
            </w:r>
            <w:r w:rsidRPr="00AE6C28">
              <w:rPr>
                <w:bCs/>
              </w:rPr>
              <w:fldChar w:fldCharType="end"/>
            </w:r>
            <w:r w:rsidRPr="00AE6C28">
              <w:t xml:space="preserve"> of </w:t>
            </w:r>
            <w:r w:rsidRPr="00AE6C28">
              <w:rPr>
                <w:bCs/>
              </w:rPr>
              <w:fldChar w:fldCharType="begin"/>
            </w:r>
            <w:r w:rsidRPr="00AE6C28">
              <w:rPr>
                <w:bCs/>
              </w:rPr>
              <w:instrText xml:space="preserve"> NUMPAGES  </w:instrText>
            </w:r>
            <w:r w:rsidRPr="00AE6C28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3</w:t>
            </w:r>
            <w:r w:rsidRPr="00AE6C28">
              <w:rPr>
                <w:bCs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9E6E6E" w14:textId="77777777" w:rsidR="00F9195E" w:rsidRPr="00AE6C28" w:rsidRDefault="00F9195E" w:rsidP="00F9195E">
    <w:pPr>
      <w:pStyle w:val="Footer"/>
    </w:pPr>
  </w:p>
  <w:p w14:paraId="6DFF2D60" w14:textId="527FB24A" w:rsidR="00F9195E" w:rsidRPr="00AE6C28" w:rsidRDefault="00F9195E" w:rsidP="00F9195E">
    <w:pPr>
      <w:pStyle w:val="Footer"/>
      <w:jc w:val="right"/>
    </w:pPr>
    <w:r w:rsidRPr="00AE6C28">
      <w:t>South Australia Class 3 Heavy Vehicle Truck and Dog (</w:t>
    </w:r>
    <w:proofErr w:type="spellStart"/>
    <w:r w:rsidR="002A3CA3" w:rsidRPr="00AE6C28">
      <w:t>Stobie</w:t>
    </w:r>
    <w:proofErr w:type="spellEnd"/>
    <w:r w:rsidR="002A3CA3" w:rsidRPr="00AE6C28">
      <w:t xml:space="preserve"> Pole</w:t>
    </w:r>
    <w:r w:rsidRPr="00AE6C28">
      <w:t>) Dimension Exemption Notice 201</w:t>
    </w:r>
    <w:r w:rsidR="00124C50" w:rsidRPr="00AE6C28">
      <w:t>9</w:t>
    </w:r>
    <w:r w:rsidRPr="00AE6C28">
      <w:t xml:space="preserve"> (No.1)</w:t>
    </w:r>
  </w:p>
  <w:p w14:paraId="717CBDA6" w14:textId="77777777" w:rsidR="00565EEA" w:rsidRPr="00AE6C28" w:rsidRDefault="00AE6C28" w:rsidP="00565EEA">
    <w:pPr>
      <w:pStyle w:val="Footer"/>
      <w:jc w:val="right"/>
    </w:pPr>
    <w:sdt>
      <w:sdtPr>
        <w:id w:val="-1317343518"/>
        <w:docPartObj>
          <w:docPartGallery w:val="Page Numbers (Bottom of Page)"/>
          <w:docPartUnique/>
        </w:docPartObj>
      </w:sdtPr>
      <w:sdtEndPr/>
      <w:sdtContent>
        <w:sdt>
          <w:sdtPr>
            <w:id w:val="-1139332609"/>
            <w:docPartObj>
              <w:docPartGallery w:val="Page Numbers (Top of Page)"/>
              <w:docPartUnique/>
            </w:docPartObj>
          </w:sdtPr>
          <w:sdtEndPr/>
          <w:sdtContent>
            <w:r w:rsidR="00565EEA" w:rsidRPr="00AE6C28">
              <w:t xml:space="preserve">Page </w:t>
            </w:r>
            <w:r w:rsidR="00565EEA" w:rsidRPr="00AE6C28">
              <w:rPr>
                <w:bCs/>
              </w:rPr>
              <w:fldChar w:fldCharType="begin"/>
            </w:r>
            <w:r w:rsidR="00565EEA" w:rsidRPr="00AE6C28">
              <w:rPr>
                <w:bCs/>
              </w:rPr>
              <w:instrText xml:space="preserve"> PAGE </w:instrText>
            </w:r>
            <w:r w:rsidR="00565EEA" w:rsidRPr="00AE6C28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1</w:t>
            </w:r>
            <w:r w:rsidR="00565EEA" w:rsidRPr="00AE6C28">
              <w:rPr>
                <w:bCs/>
              </w:rPr>
              <w:fldChar w:fldCharType="end"/>
            </w:r>
            <w:r w:rsidR="00565EEA" w:rsidRPr="00AE6C28">
              <w:t xml:space="preserve"> of </w:t>
            </w:r>
            <w:r w:rsidR="00565EEA" w:rsidRPr="00AE6C28">
              <w:rPr>
                <w:bCs/>
              </w:rPr>
              <w:fldChar w:fldCharType="begin"/>
            </w:r>
            <w:r w:rsidR="00565EEA" w:rsidRPr="00AE6C28">
              <w:rPr>
                <w:bCs/>
              </w:rPr>
              <w:instrText xml:space="preserve"> NUMPAGES  </w:instrText>
            </w:r>
            <w:r w:rsidR="00565EEA" w:rsidRPr="00AE6C28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3</w:t>
            </w:r>
            <w:r w:rsidR="00565EEA" w:rsidRPr="00AE6C28">
              <w:rPr>
                <w:bCs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F85BF0" w14:textId="77777777" w:rsidR="000671F4" w:rsidRDefault="000671F4" w:rsidP="00D41944">
      <w:pPr>
        <w:spacing w:after="0" w:line="240" w:lineRule="auto"/>
      </w:pPr>
      <w:r>
        <w:separator/>
      </w:r>
    </w:p>
  </w:footnote>
  <w:footnote w:type="continuationSeparator" w:id="0">
    <w:p w14:paraId="5A1231CC" w14:textId="77777777" w:rsidR="000671F4" w:rsidRDefault="000671F4" w:rsidP="00D41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AE6C28" w:rsidRPr="00E2655A" w14:paraId="64C01870" w14:textId="77777777" w:rsidTr="00235B49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4303562C" w14:textId="77777777" w:rsidR="00AE6C28" w:rsidRPr="00E2655A" w:rsidRDefault="00AE6C28" w:rsidP="00235B49">
          <w:pPr>
            <w:spacing w:before="60"/>
            <w:ind w:left="-51"/>
            <w:rPr>
              <w:rFonts w:ascii="Arial" w:hAnsi="Arial"/>
              <w:sz w:val="12"/>
            </w:rPr>
          </w:pPr>
          <w:r w:rsidRPr="00E2655A"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69E307BD" wp14:editId="45ACC6B6">
                <wp:extent cx="701675" cy="542290"/>
                <wp:effectExtent l="0" t="0" r="0" b="0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title="Commonwealth Coat of Arm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1675" cy="542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720DA22F" w14:textId="77777777" w:rsidR="00AE6C28" w:rsidRPr="00E2655A" w:rsidRDefault="00AE6C28" w:rsidP="00235B49">
          <w:pPr>
            <w:spacing w:before="6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E2655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E2655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1013DADD" w14:textId="77777777" w:rsidR="00AE6C28" w:rsidRPr="00E2655A" w:rsidRDefault="00AE6C28" w:rsidP="00235B49">
          <w:pPr>
            <w:spacing w:before="18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E2655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AE6C28" w:rsidRPr="00E2655A" w14:paraId="1CDD1E60" w14:textId="77777777" w:rsidTr="00235B49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38767DD2" w14:textId="77777777" w:rsidR="00AE6C28" w:rsidRPr="00E2655A" w:rsidRDefault="00AE6C28" w:rsidP="00235B49">
          <w:pPr>
            <w:ind w:left="-51"/>
            <w:rPr>
              <w:rFonts w:ascii="Arial" w:hAnsi="Arial" w:cs="Arial"/>
              <w:sz w:val="14"/>
              <w:szCs w:val="14"/>
            </w:rPr>
          </w:pPr>
          <w:r w:rsidRPr="00E2655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34C5A1CE" w14:textId="77777777" w:rsidR="00AE6C28" w:rsidRPr="00E2655A" w:rsidRDefault="00AE6C28" w:rsidP="00235B49">
          <w:pPr>
            <w:jc w:val="right"/>
            <w:rPr>
              <w:rFonts w:ascii="Arial" w:hAnsi="Arial" w:cs="Arial"/>
              <w:b/>
            </w:rPr>
          </w:pPr>
          <w:r w:rsidRPr="00E2655A">
            <w:rPr>
              <w:rFonts w:ascii="Arial" w:hAnsi="Arial" w:cs="Arial"/>
              <w:b/>
            </w:rPr>
            <w:t>GOVERNMENT NOTICES</w:t>
          </w:r>
        </w:p>
      </w:tc>
    </w:tr>
  </w:tbl>
  <w:p w14:paraId="56F9AA33" w14:textId="77777777" w:rsidR="00AE6C28" w:rsidRDefault="00AE6C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3814"/>
    <w:multiLevelType w:val="hybridMultilevel"/>
    <w:tmpl w:val="20E8B374"/>
    <w:lvl w:ilvl="0" w:tplc="6D3293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77D02"/>
    <w:multiLevelType w:val="hybridMultilevel"/>
    <w:tmpl w:val="096A8DDC"/>
    <w:lvl w:ilvl="0" w:tplc="8AF09A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C5ECE"/>
    <w:multiLevelType w:val="hybridMultilevel"/>
    <w:tmpl w:val="96A6EEC8"/>
    <w:lvl w:ilvl="0" w:tplc="0C090017">
      <w:start w:val="1"/>
      <w:numFmt w:val="lowerLetter"/>
      <w:lvlText w:val="%1)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3C80411"/>
    <w:multiLevelType w:val="hybridMultilevel"/>
    <w:tmpl w:val="C05288EC"/>
    <w:lvl w:ilvl="0" w:tplc="321A5C5E">
      <w:start w:val="1"/>
      <w:numFmt w:val="decimal"/>
      <w:pStyle w:val="Noticeclause"/>
      <w:lvlText w:val="%1."/>
      <w:lvlJc w:val="left"/>
      <w:pPr>
        <w:ind w:left="786" w:hanging="360"/>
      </w:pPr>
      <w:rPr>
        <w:rFonts w:cs="Times New Roman" w:hint="default"/>
      </w:rPr>
    </w:lvl>
    <w:lvl w:ilvl="1" w:tplc="A9B2C4FA">
      <w:start w:val="1"/>
      <w:numFmt w:val="lowerLetter"/>
      <w:lvlText w:val="%2)"/>
      <w:lvlJc w:val="right"/>
      <w:pPr>
        <w:ind w:left="1440" w:hanging="360"/>
      </w:pPr>
      <w:rPr>
        <w:rFonts w:asciiTheme="minorHAnsi" w:eastAsia="Times New Roman" w:hAnsiTheme="minorHAnsi" w:cs="Calibri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FF2B7F"/>
    <w:multiLevelType w:val="hybridMultilevel"/>
    <w:tmpl w:val="20E8B374"/>
    <w:lvl w:ilvl="0" w:tplc="6D3293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7821ED"/>
    <w:multiLevelType w:val="hybridMultilevel"/>
    <w:tmpl w:val="018A84DA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96739D7"/>
    <w:multiLevelType w:val="hybridMultilevel"/>
    <w:tmpl w:val="20E8B374"/>
    <w:lvl w:ilvl="0" w:tplc="6D3293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03FB6"/>
    <w:multiLevelType w:val="hybridMultilevel"/>
    <w:tmpl w:val="37485588"/>
    <w:lvl w:ilvl="0" w:tplc="6D3293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BA241C"/>
    <w:multiLevelType w:val="hybridMultilevel"/>
    <w:tmpl w:val="20E8B374"/>
    <w:lvl w:ilvl="0" w:tplc="6D3293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D646AE"/>
    <w:multiLevelType w:val="hybridMultilevel"/>
    <w:tmpl w:val="20E8B374"/>
    <w:lvl w:ilvl="0" w:tplc="6D3293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9E535D"/>
    <w:multiLevelType w:val="hybridMultilevel"/>
    <w:tmpl w:val="D584B124"/>
    <w:lvl w:ilvl="0" w:tplc="6D3293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3B4A8A"/>
    <w:multiLevelType w:val="hybridMultilevel"/>
    <w:tmpl w:val="DFDCAF38"/>
    <w:lvl w:ilvl="0" w:tplc="0C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EE004B"/>
    <w:multiLevelType w:val="hybridMultilevel"/>
    <w:tmpl w:val="EEF25DD4"/>
    <w:lvl w:ilvl="0" w:tplc="8AF09A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AE71FC"/>
    <w:multiLevelType w:val="hybridMultilevel"/>
    <w:tmpl w:val="7486DB8A"/>
    <w:lvl w:ilvl="0" w:tplc="97AE9BB8">
      <w:start w:val="1"/>
      <w:numFmt w:val="lowerLetter"/>
      <w:lvlText w:val="(%1)"/>
      <w:lvlJc w:val="left"/>
      <w:pPr>
        <w:ind w:left="168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03" w:hanging="360"/>
      </w:pPr>
    </w:lvl>
    <w:lvl w:ilvl="2" w:tplc="0C09001B" w:tentative="1">
      <w:start w:val="1"/>
      <w:numFmt w:val="lowerRoman"/>
      <w:lvlText w:val="%3."/>
      <w:lvlJc w:val="right"/>
      <w:pPr>
        <w:ind w:left="3123" w:hanging="180"/>
      </w:pPr>
    </w:lvl>
    <w:lvl w:ilvl="3" w:tplc="0C09000F" w:tentative="1">
      <w:start w:val="1"/>
      <w:numFmt w:val="decimal"/>
      <w:lvlText w:val="%4."/>
      <w:lvlJc w:val="left"/>
      <w:pPr>
        <w:ind w:left="3843" w:hanging="360"/>
      </w:pPr>
    </w:lvl>
    <w:lvl w:ilvl="4" w:tplc="0C090019" w:tentative="1">
      <w:start w:val="1"/>
      <w:numFmt w:val="lowerLetter"/>
      <w:lvlText w:val="%5."/>
      <w:lvlJc w:val="left"/>
      <w:pPr>
        <w:ind w:left="4563" w:hanging="360"/>
      </w:pPr>
    </w:lvl>
    <w:lvl w:ilvl="5" w:tplc="0C09001B" w:tentative="1">
      <w:start w:val="1"/>
      <w:numFmt w:val="lowerRoman"/>
      <w:lvlText w:val="%6."/>
      <w:lvlJc w:val="right"/>
      <w:pPr>
        <w:ind w:left="5283" w:hanging="180"/>
      </w:pPr>
    </w:lvl>
    <w:lvl w:ilvl="6" w:tplc="0C09000F" w:tentative="1">
      <w:start w:val="1"/>
      <w:numFmt w:val="decimal"/>
      <w:lvlText w:val="%7."/>
      <w:lvlJc w:val="left"/>
      <w:pPr>
        <w:ind w:left="6003" w:hanging="360"/>
      </w:pPr>
    </w:lvl>
    <w:lvl w:ilvl="7" w:tplc="0C090019" w:tentative="1">
      <w:start w:val="1"/>
      <w:numFmt w:val="lowerLetter"/>
      <w:lvlText w:val="%8."/>
      <w:lvlJc w:val="left"/>
      <w:pPr>
        <w:ind w:left="6723" w:hanging="360"/>
      </w:pPr>
    </w:lvl>
    <w:lvl w:ilvl="8" w:tplc="0C09001B" w:tentative="1">
      <w:start w:val="1"/>
      <w:numFmt w:val="lowerRoman"/>
      <w:lvlText w:val="%9."/>
      <w:lvlJc w:val="right"/>
      <w:pPr>
        <w:ind w:left="7443" w:hanging="180"/>
      </w:pPr>
    </w:lvl>
  </w:abstractNum>
  <w:abstractNum w:abstractNumId="14">
    <w:nsid w:val="315C6264"/>
    <w:multiLevelType w:val="hybridMultilevel"/>
    <w:tmpl w:val="A9022C58"/>
    <w:lvl w:ilvl="0" w:tplc="6D3293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895456"/>
    <w:multiLevelType w:val="hybridMultilevel"/>
    <w:tmpl w:val="8B9A308C"/>
    <w:lvl w:ilvl="0" w:tplc="352C3B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625255"/>
    <w:multiLevelType w:val="hybridMultilevel"/>
    <w:tmpl w:val="90C45A9C"/>
    <w:lvl w:ilvl="0" w:tplc="0C09001B">
      <w:start w:val="1"/>
      <w:numFmt w:val="lowerRoman"/>
      <w:lvlText w:val="%1."/>
      <w:lvlJc w:val="right"/>
      <w:pPr>
        <w:ind w:left="168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03" w:hanging="360"/>
      </w:pPr>
    </w:lvl>
    <w:lvl w:ilvl="2" w:tplc="0C09001B" w:tentative="1">
      <w:start w:val="1"/>
      <w:numFmt w:val="lowerRoman"/>
      <w:lvlText w:val="%3."/>
      <w:lvlJc w:val="right"/>
      <w:pPr>
        <w:ind w:left="3123" w:hanging="180"/>
      </w:pPr>
    </w:lvl>
    <w:lvl w:ilvl="3" w:tplc="0C09000F" w:tentative="1">
      <w:start w:val="1"/>
      <w:numFmt w:val="decimal"/>
      <w:lvlText w:val="%4."/>
      <w:lvlJc w:val="left"/>
      <w:pPr>
        <w:ind w:left="3843" w:hanging="360"/>
      </w:pPr>
    </w:lvl>
    <w:lvl w:ilvl="4" w:tplc="0C090019" w:tentative="1">
      <w:start w:val="1"/>
      <w:numFmt w:val="lowerLetter"/>
      <w:lvlText w:val="%5."/>
      <w:lvlJc w:val="left"/>
      <w:pPr>
        <w:ind w:left="4563" w:hanging="360"/>
      </w:pPr>
    </w:lvl>
    <w:lvl w:ilvl="5" w:tplc="0C09001B" w:tentative="1">
      <w:start w:val="1"/>
      <w:numFmt w:val="lowerRoman"/>
      <w:lvlText w:val="%6."/>
      <w:lvlJc w:val="right"/>
      <w:pPr>
        <w:ind w:left="5283" w:hanging="180"/>
      </w:pPr>
    </w:lvl>
    <w:lvl w:ilvl="6" w:tplc="0C09000F" w:tentative="1">
      <w:start w:val="1"/>
      <w:numFmt w:val="decimal"/>
      <w:lvlText w:val="%7."/>
      <w:lvlJc w:val="left"/>
      <w:pPr>
        <w:ind w:left="6003" w:hanging="360"/>
      </w:pPr>
    </w:lvl>
    <w:lvl w:ilvl="7" w:tplc="0C090019" w:tentative="1">
      <w:start w:val="1"/>
      <w:numFmt w:val="lowerLetter"/>
      <w:lvlText w:val="%8."/>
      <w:lvlJc w:val="left"/>
      <w:pPr>
        <w:ind w:left="6723" w:hanging="360"/>
      </w:pPr>
    </w:lvl>
    <w:lvl w:ilvl="8" w:tplc="0C09001B" w:tentative="1">
      <w:start w:val="1"/>
      <w:numFmt w:val="lowerRoman"/>
      <w:lvlText w:val="%9."/>
      <w:lvlJc w:val="right"/>
      <w:pPr>
        <w:ind w:left="7443" w:hanging="180"/>
      </w:pPr>
    </w:lvl>
  </w:abstractNum>
  <w:abstractNum w:abstractNumId="17">
    <w:nsid w:val="473331C5"/>
    <w:multiLevelType w:val="hybridMultilevel"/>
    <w:tmpl w:val="35C2E2FA"/>
    <w:lvl w:ilvl="0" w:tplc="6D3293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9F69C6"/>
    <w:multiLevelType w:val="hybridMultilevel"/>
    <w:tmpl w:val="20E8B374"/>
    <w:lvl w:ilvl="0" w:tplc="6D3293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8F0161"/>
    <w:multiLevelType w:val="hybridMultilevel"/>
    <w:tmpl w:val="E384C988"/>
    <w:lvl w:ilvl="0" w:tplc="02A0FADE">
      <w:start w:val="1"/>
      <w:numFmt w:val="lowerLetter"/>
      <w:lvlText w:val="(%1)"/>
      <w:lvlJc w:val="left"/>
      <w:pPr>
        <w:ind w:left="1074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794" w:hanging="360"/>
      </w:pPr>
    </w:lvl>
    <w:lvl w:ilvl="2" w:tplc="0C09001B" w:tentative="1">
      <w:start w:val="1"/>
      <w:numFmt w:val="lowerRoman"/>
      <w:lvlText w:val="%3."/>
      <w:lvlJc w:val="right"/>
      <w:pPr>
        <w:ind w:left="2514" w:hanging="180"/>
      </w:pPr>
    </w:lvl>
    <w:lvl w:ilvl="3" w:tplc="0C09000F" w:tentative="1">
      <w:start w:val="1"/>
      <w:numFmt w:val="decimal"/>
      <w:lvlText w:val="%4."/>
      <w:lvlJc w:val="left"/>
      <w:pPr>
        <w:ind w:left="3234" w:hanging="360"/>
      </w:pPr>
    </w:lvl>
    <w:lvl w:ilvl="4" w:tplc="0C090019" w:tentative="1">
      <w:start w:val="1"/>
      <w:numFmt w:val="lowerLetter"/>
      <w:lvlText w:val="%5."/>
      <w:lvlJc w:val="left"/>
      <w:pPr>
        <w:ind w:left="3954" w:hanging="360"/>
      </w:pPr>
    </w:lvl>
    <w:lvl w:ilvl="5" w:tplc="0C09001B" w:tentative="1">
      <w:start w:val="1"/>
      <w:numFmt w:val="lowerRoman"/>
      <w:lvlText w:val="%6."/>
      <w:lvlJc w:val="right"/>
      <w:pPr>
        <w:ind w:left="4674" w:hanging="180"/>
      </w:pPr>
    </w:lvl>
    <w:lvl w:ilvl="6" w:tplc="0C09000F" w:tentative="1">
      <w:start w:val="1"/>
      <w:numFmt w:val="decimal"/>
      <w:lvlText w:val="%7."/>
      <w:lvlJc w:val="left"/>
      <w:pPr>
        <w:ind w:left="5394" w:hanging="360"/>
      </w:pPr>
    </w:lvl>
    <w:lvl w:ilvl="7" w:tplc="0C090019" w:tentative="1">
      <w:start w:val="1"/>
      <w:numFmt w:val="lowerLetter"/>
      <w:lvlText w:val="%8."/>
      <w:lvlJc w:val="left"/>
      <w:pPr>
        <w:ind w:left="6114" w:hanging="360"/>
      </w:pPr>
    </w:lvl>
    <w:lvl w:ilvl="8" w:tplc="0C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0">
    <w:nsid w:val="4E6003D9"/>
    <w:multiLevelType w:val="hybridMultilevel"/>
    <w:tmpl w:val="096A8DDC"/>
    <w:lvl w:ilvl="0" w:tplc="8AF09A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4706FE"/>
    <w:multiLevelType w:val="hybridMultilevel"/>
    <w:tmpl w:val="018A84DA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4C00125"/>
    <w:multiLevelType w:val="hybridMultilevel"/>
    <w:tmpl w:val="24D4516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C30784A"/>
    <w:multiLevelType w:val="hybridMultilevel"/>
    <w:tmpl w:val="22C67CA6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41675B8"/>
    <w:multiLevelType w:val="hybridMultilevel"/>
    <w:tmpl w:val="4B902752"/>
    <w:lvl w:ilvl="0" w:tplc="4374190C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>
    <w:nsid w:val="661169E1"/>
    <w:multiLevelType w:val="hybridMultilevel"/>
    <w:tmpl w:val="4F34157C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72B2BF5"/>
    <w:multiLevelType w:val="hybridMultilevel"/>
    <w:tmpl w:val="AC269FB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A8F4A82"/>
    <w:multiLevelType w:val="hybridMultilevel"/>
    <w:tmpl w:val="5CEE94E8"/>
    <w:lvl w:ilvl="0" w:tplc="6D3293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A42C48"/>
    <w:multiLevelType w:val="hybridMultilevel"/>
    <w:tmpl w:val="2372552A"/>
    <w:lvl w:ilvl="0" w:tplc="7F3A4896">
      <w:start w:val="1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>
    <w:nsid w:val="70C20B59"/>
    <w:multiLevelType w:val="hybridMultilevel"/>
    <w:tmpl w:val="37485588"/>
    <w:lvl w:ilvl="0" w:tplc="6D3293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982730"/>
    <w:multiLevelType w:val="hybridMultilevel"/>
    <w:tmpl w:val="37485588"/>
    <w:lvl w:ilvl="0" w:tplc="6D3293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015B27"/>
    <w:multiLevelType w:val="hybridMultilevel"/>
    <w:tmpl w:val="5D76DDE0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2"/>
  </w:num>
  <w:num w:numId="2">
    <w:abstractNumId w:val="9"/>
  </w:num>
  <w:num w:numId="3">
    <w:abstractNumId w:val="15"/>
  </w:num>
  <w:num w:numId="4">
    <w:abstractNumId w:val="18"/>
  </w:num>
  <w:num w:numId="5">
    <w:abstractNumId w:val="10"/>
  </w:num>
  <w:num w:numId="6">
    <w:abstractNumId w:val="19"/>
  </w:num>
  <w:num w:numId="7">
    <w:abstractNumId w:val="13"/>
  </w:num>
  <w:num w:numId="8">
    <w:abstractNumId w:val="11"/>
  </w:num>
  <w:num w:numId="9">
    <w:abstractNumId w:val="8"/>
  </w:num>
  <w:num w:numId="10">
    <w:abstractNumId w:val="16"/>
  </w:num>
  <w:num w:numId="11">
    <w:abstractNumId w:val="24"/>
  </w:num>
  <w:num w:numId="12">
    <w:abstractNumId w:val="0"/>
  </w:num>
  <w:num w:numId="13">
    <w:abstractNumId w:val="25"/>
  </w:num>
  <w:num w:numId="14">
    <w:abstractNumId w:val="6"/>
  </w:num>
  <w:num w:numId="15">
    <w:abstractNumId w:val="3"/>
  </w:num>
  <w:num w:numId="16">
    <w:abstractNumId w:val="20"/>
  </w:num>
  <w:num w:numId="17">
    <w:abstractNumId w:val="4"/>
  </w:num>
  <w:num w:numId="18">
    <w:abstractNumId w:val="27"/>
  </w:num>
  <w:num w:numId="19">
    <w:abstractNumId w:val="12"/>
  </w:num>
  <w:num w:numId="20">
    <w:abstractNumId w:val="14"/>
  </w:num>
  <w:num w:numId="21">
    <w:abstractNumId w:val="17"/>
  </w:num>
  <w:num w:numId="22">
    <w:abstractNumId w:val="7"/>
  </w:num>
  <w:num w:numId="23">
    <w:abstractNumId w:val="2"/>
  </w:num>
  <w:num w:numId="24">
    <w:abstractNumId w:val="28"/>
  </w:num>
  <w:num w:numId="25">
    <w:abstractNumId w:val="29"/>
  </w:num>
  <w:num w:numId="26">
    <w:abstractNumId w:val="1"/>
  </w:num>
  <w:num w:numId="27">
    <w:abstractNumId w:val="31"/>
  </w:num>
  <w:num w:numId="28">
    <w:abstractNumId w:val="26"/>
  </w:num>
  <w:num w:numId="29">
    <w:abstractNumId w:val="5"/>
  </w:num>
  <w:num w:numId="30">
    <w:abstractNumId w:val="30"/>
  </w:num>
  <w:num w:numId="31">
    <w:abstractNumId w:val="21"/>
  </w:num>
  <w:num w:numId="32">
    <w:abstractNumId w:val="23"/>
  </w:num>
  <w:num w:numId="33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oni Caputo">
    <w15:presenceInfo w15:providerId="AD" w15:userId="S-1-5-21-4184903163-136493757-233119895-20417"/>
  </w15:person>
  <w15:person w15:author="Toni Caputo [2]">
    <w15:presenceInfo w15:providerId="AD" w15:userId="S-1-5-21-4184903163-136493757-233119895-20417"/>
  </w15:person>
  <w15:person w15:author="Toni Caputo [3]">
    <w15:presenceInfo w15:providerId="AD" w15:userId="S-1-5-21-4184903163-136493757-233119895-20417"/>
  </w15:person>
  <w15:person w15:author="Toni Caputo [4]">
    <w15:presenceInfo w15:providerId="AD" w15:userId="S-1-5-21-4184903163-136493757-233119895-20417"/>
  </w15:person>
  <w15:person w15:author="Toni Caputo [5]">
    <w15:presenceInfo w15:providerId="AD" w15:userId="S-1-5-21-4184903163-136493757-233119895-20417"/>
  </w15:person>
  <w15:person w15:author="Toni Caputo [6]">
    <w15:presenceInfo w15:providerId="AD" w15:userId="S-1-5-21-4184903163-136493757-233119895-20417"/>
  </w15:person>
  <w15:person w15:author="Toni Caputo [7]">
    <w15:presenceInfo w15:providerId="AD" w15:userId="S-1-5-21-4184903163-136493757-233119895-204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9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BD4"/>
    <w:rsid w:val="00002297"/>
    <w:rsid w:val="00025B32"/>
    <w:rsid w:val="00036622"/>
    <w:rsid w:val="00044E98"/>
    <w:rsid w:val="0005719D"/>
    <w:rsid w:val="000671F4"/>
    <w:rsid w:val="000967D5"/>
    <w:rsid w:val="000968B1"/>
    <w:rsid w:val="000A4BE6"/>
    <w:rsid w:val="000A795E"/>
    <w:rsid w:val="000B7B73"/>
    <w:rsid w:val="00102853"/>
    <w:rsid w:val="00124C50"/>
    <w:rsid w:val="00133D6D"/>
    <w:rsid w:val="00167572"/>
    <w:rsid w:val="001B7572"/>
    <w:rsid w:val="001C3456"/>
    <w:rsid w:val="001D2D12"/>
    <w:rsid w:val="00203C47"/>
    <w:rsid w:val="00265AA0"/>
    <w:rsid w:val="00282786"/>
    <w:rsid w:val="002972A1"/>
    <w:rsid w:val="002A3CA3"/>
    <w:rsid w:val="002B16CA"/>
    <w:rsid w:val="002F2E7B"/>
    <w:rsid w:val="003051A0"/>
    <w:rsid w:val="00325C49"/>
    <w:rsid w:val="00333A6A"/>
    <w:rsid w:val="00336FCD"/>
    <w:rsid w:val="00387D3C"/>
    <w:rsid w:val="003909F2"/>
    <w:rsid w:val="003C6E67"/>
    <w:rsid w:val="003D17ED"/>
    <w:rsid w:val="00436657"/>
    <w:rsid w:val="00445485"/>
    <w:rsid w:val="00484BEC"/>
    <w:rsid w:val="00485911"/>
    <w:rsid w:val="004B397E"/>
    <w:rsid w:val="004D768F"/>
    <w:rsid w:val="004F2EB0"/>
    <w:rsid w:val="004F5659"/>
    <w:rsid w:val="004F72ED"/>
    <w:rsid w:val="00525389"/>
    <w:rsid w:val="0052761F"/>
    <w:rsid w:val="00565EEA"/>
    <w:rsid w:val="0058319A"/>
    <w:rsid w:val="00593BDC"/>
    <w:rsid w:val="006203A3"/>
    <w:rsid w:val="006539AD"/>
    <w:rsid w:val="00691A53"/>
    <w:rsid w:val="006A5E86"/>
    <w:rsid w:val="006E1FDA"/>
    <w:rsid w:val="006E4C56"/>
    <w:rsid w:val="006F14DF"/>
    <w:rsid w:val="006F1B8F"/>
    <w:rsid w:val="0070140C"/>
    <w:rsid w:val="00736002"/>
    <w:rsid w:val="007560F9"/>
    <w:rsid w:val="007613C4"/>
    <w:rsid w:val="00765A93"/>
    <w:rsid w:val="00784949"/>
    <w:rsid w:val="00790467"/>
    <w:rsid w:val="007A58CE"/>
    <w:rsid w:val="007B4D03"/>
    <w:rsid w:val="007B7298"/>
    <w:rsid w:val="007D7DFF"/>
    <w:rsid w:val="007E442C"/>
    <w:rsid w:val="007F691C"/>
    <w:rsid w:val="0081103D"/>
    <w:rsid w:val="00830AA8"/>
    <w:rsid w:val="0089594F"/>
    <w:rsid w:val="008A39EB"/>
    <w:rsid w:val="008C0DC9"/>
    <w:rsid w:val="008F38CB"/>
    <w:rsid w:val="008F6397"/>
    <w:rsid w:val="00927950"/>
    <w:rsid w:val="00944A5A"/>
    <w:rsid w:val="00966849"/>
    <w:rsid w:val="00977113"/>
    <w:rsid w:val="009773C9"/>
    <w:rsid w:val="009E5FA6"/>
    <w:rsid w:val="009F7BF7"/>
    <w:rsid w:val="00A25139"/>
    <w:rsid w:val="00A317EF"/>
    <w:rsid w:val="00A604BD"/>
    <w:rsid w:val="00A81B7E"/>
    <w:rsid w:val="00AB2C0A"/>
    <w:rsid w:val="00AB5706"/>
    <w:rsid w:val="00AE356B"/>
    <w:rsid w:val="00AE6C28"/>
    <w:rsid w:val="00B16A3E"/>
    <w:rsid w:val="00B42C28"/>
    <w:rsid w:val="00B45ABA"/>
    <w:rsid w:val="00B55015"/>
    <w:rsid w:val="00B95275"/>
    <w:rsid w:val="00BC4643"/>
    <w:rsid w:val="00BC610D"/>
    <w:rsid w:val="00BD1DED"/>
    <w:rsid w:val="00BD636E"/>
    <w:rsid w:val="00BF29C3"/>
    <w:rsid w:val="00BF7791"/>
    <w:rsid w:val="00C24017"/>
    <w:rsid w:val="00C24379"/>
    <w:rsid w:val="00C43DB7"/>
    <w:rsid w:val="00C63BD4"/>
    <w:rsid w:val="00C859FC"/>
    <w:rsid w:val="00C86D5B"/>
    <w:rsid w:val="00CA50EE"/>
    <w:rsid w:val="00CE1172"/>
    <w:rsid w:val="00D17151"/>
    <w:rsid w:val="00D31B72"/>
    <w:rsid w:val="00D41944"/>
    <w:rsid w:val="00D52DF7"/>
    <w:rsid w:val="00D705AC"/>
    <w:rsid w:val="00DC068C"/>
    <w:rsid w:val="00E02970"/>
    <w:rsid w:val="00E20F7B"/>
    <w:rsid w:val="00E21D81"/>
    <w:rsid w:val="00E345C7"/>
    <w:rsid w:val="00E40463"/>
    <w:rsid w:val="00E72238"/>
    <w:rsid w:val="00E9422E"/>
    <w:rsid w:val="00EB3C1B"/>
    <w:rsid w:val="00EC3872"/>
    <w:rsid w:val="00ED0498"/>
    <w:rsid w:val="00ED75BE"/>
    <w:rsid w:val="00EF1A8D"/>
    <w:rsid w:val="00F071FF"/>
    <w:rsid w:val="00F31DDE"/>
    <w:rsid w:val="00F43958"/>
    <w:rsid w:val="00F542B5"/>
    <w:rsid w:val="00F560F8"/>
    <w:rsid w:val="00F64C74"/>
    <w:rsid w:val="00F74855"/>
    <w:rsid w:val="00F8143B"/>
    <w:rsid w:val="00F83048"/>
    <w:rsid w:val="00F9195E"/>
    <w:rsid w:val="00F92FDC"/>
    <w:rsid w:val="00FB69B5"/>
    <w:rsid w:val="00FC6E8E"/>
    <w:rsid w:val="00FD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5E539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3909F2"/>
    <w:pPr>
      <w:keepNext/>
      <w:spacing w:before="240" w:after="60" w:line="240" w:lineRule="auto"/>
      <w:outlineLvl w:val="1"/>
    </w:pPr>
    <w:rPr>
      <w:rFonts w:ascii="Helvetica" w:eastAsia="Times New Roman" w:hAnsi="Helvetica" w:cs="Arial"/>
      <w:b/>
      <w:bCs/>
      <w:iCs/>
      <w:sz w:val="28"/>
      <w:szCs w:val="2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B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19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944"/>
  </w:style>
  <w:style w:type="paragraph" w:styleId="Footer">
    <w:name w:val="footer"/>
    <w:basedOn w:val="Normal"/>
    <w:link w:val="FooterChar"/>
    <w:uiPriority w:val="99"/>
    <w:unhideWhenUsed/>
    <w:rsid w:val="00D419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944"/>
  </w:style>
  <w:style w:type="paragraph" w:styleId="BalloonText">
    <w:name w:val="Balloon Text"/>
    <w:basedOn w:val="Normal"/>
    <w:link w:val="BalloonTextChar"/>
    <w:uiPriority w:val="99"/>
    <w:semiHidden/>
    <w:unhideWhenUsed/>
    <w:rsid w:val="00D41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94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972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72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72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72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72A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6002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3909F2"/>
    <w:rPr>
      <w:rFonts w:ascii="Helvetica" w:eastAsia="Times New Roman" w:hAnsi="Helvetica" w:cs="Arial"/>
      <w:b/>
      <w:bCs/>
      <w:iCs/>
      <w:sz w:val="28"/>
      <w:szCs w:val="28"/>
      <w:lang w:eastAsia="en-AU"/>
    </w:rPr>
  </w:style>
  <w:style w:type="table" w:styleId="TableGrid">
    <w:name w:val="Table Grid"/>
    <w:basedOn w:val="TableNormal"/>
    <w:rsid w:val="00390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iceclause">
    <w:name w:val="Notice clause"/>
    <w:basedOn w:val="ListParagraph"/>
    <w:link w:val="NoticeclauseChar"/>
    <w:qFormat/>
    <w:rsid w:val="00BD636E"/>
    <w:pPr>
      <w:numPr>
        <w:numId w:val="15"/>
      </w:numPr>
      <w:spacing w:after="240" w:line="240" w:lineRule="auto"/>
      <w:jc w:val="both"/>
    </w:pPr>
    <w:rPr>
      <w:rFonts w:ascii="Calibri" w:eastAsia="Times New Roman" w:hAnsi="Calibri" w:cs="Times New Roman"/>
      <w:lang w:eastAsia="en-AU"/>
    </w:rPr>
  </w:style>
  <w:style w:type="character" w:customStyle="1" w:styleId="NoticeclauseChar">
    <w:name w:val="Notice clause Char"/>
    <w:basedOn w:val="DefaultParagraphFont"/>
    <w:link w:val="Noticeclause"/>
    <w:rsid w:val="00BD636E"/>
    <w:rPr>
      <w:rFonts w:ascii="Calibri" w:eastAsia="Times New Roman" w:hAnsi="Calibri" w:cs="Times New Roman"/>
      <w:lang w:eastAsia="en-AU"/>
    </w:rPr>
  </w:style>
  <w:style w:type="paragraph" w:customStyle="1" w:styleId="Noticeheading">
    <w:name w:val="Notice heading"/>
    <w:basedOn w:val="Normal"/>
    <w:link w:val="NoticeheadingChar"/>
    <w:qFormat/>
    <w:rsid w:val="000A795E"/>
    <w:pPr>
      <w:spacing w:after="240" w:line="240" w:lineRule="auto"/>
      <w:ind w:left="425" w:hanging="425"/>
      <w:jc w:val="both"/>
    </w:pPr>
    <w:rPr>
      <w:rFonts w:eastAsia="Times New Roman" w:cs="Calibri"/>
      <w:b/>
      <w:bCs/>
      <w:lang w:eastAsia="en-AU"/>
    </w:rPr>
  </w:style>
  <w:style w:type="character" w:customStyle="1" w:styleId="NoticeheadingChar">
    <w:name w:val="Notice heading Char"/>
    <w:basedOn w:val="DefaultParagraphFont"/>
    <w:link w:val="Noticeheading"/>
    <w:rsid w:val="000A795E"/>
    <w:rPr>
      <w:rFonts w:eastAsia="Times New Roman" w:cs="Calibri"/>
      <w:b/>
      <w:bCs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3909F2"/>
    <w:pPr>
      <w:keepNext/>
      <w:spacing w:before="240" w:after="60" w:line="240" w:lineRule="auto"/>
      <w:outlineLvl w:val="1"/>
    </w:pPr>
    <w:rPr>
      <w:rFonts w:ascii="Helvetica" w:eastAsia="Times New Roman" w:hAnsi="Helvetica" w:cs="Arial"/>
      <w:b/>
      <w:bCs/>
      <w:iCs/>
      <w:sz w:val="28"/>
      <w:szCs w:val="2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B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19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944"/>
  </w:style>
  <w:style w:type="paragraph" w:styleId="Footer">
    <w:name w:val="footer"/>
    <w:basedOn w:val="Normal"/>
    <w:link w:val="FooterChar"/>
    <w:uiPriority w:val="99"/>
    <w:unhideWhenUsed/>
    <w:rsid w:val="00D419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944"/>
  </w:style>
  <w:style w:type="paragraph" w:styleId="BalloonText">
    <w:name w:val="Balloon Text"/>
    <w:basedOn w:val="Normal"/>
    <w:link w:val="BalloonTextChar"/>
    <w:uiPriority w:val="99"/>
    <w:semiHidden/>
    <w:unhideWhenUsed/>
    <w:rsid w:val="00D41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94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972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72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72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72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72A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6002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3909F2"/>
    <w:rPr>
      <w:rFonts w:ascii="Helvetica" w:eastAsia="Times New Roman" w:hAnsi="Helvetica" w:cs="Arial"/>
      <w:b/>
      <w:bCs/>
      <w:iCs/>
      <w:sz w:val="28"/>
      <w:szCs w:val="28"/>
      <w:lang w:eastAsia="en-AU"/>
    </w:rPr>
  </w:style>
  <w:style w:type="table" w:styleId="TableGrid">
    <w:name w:val="Table Grid"/>
    <w:basedOn w:val="TableNormal"/>
    <w:rsid w:val="00390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iceclause">
    <w:name w:val="Notice clause"/>
    <w:basedOn w:val="ListParagraph"/>
    <w:link w:val="NoticeclauseChar"/>
    <w:qFormat/>
    <w:rsid w:val="00BD636E"/>
    <w:pPr>
      <w:numPr>
        <w:numId w:val="15"/>
      </w:numPr>
      <w:spacing w:after="240" w:line="240" w:lineRule="auto"/>
      <w:jc w:val="both"/>
    </w:pPr>
    <w:rPr>
      <w:rFonts w:ascii="Calibri" w:eastAsia="Times New Roman" w:hAnsi="Calibri" w:cs="Times New Roman"/>
      <w:lang w:eastAsia="en-AU"/>
    </w:rPr>
  </w:style>
  <w:style w:type="character" w:customStyle="1" w:styleId="NoticeclauseChar">
    <w:name w:val="Notice clause Char"/>
    <w:basedOn w:val="DefaultParagraphFont"/>
    <w:link w:val="Noticeclause"/>
    <w:rsid w:val="00BD636E"/>
    <w:rPr>
      <w:rFonts w:ascii="Calibri" w:eastAsia="Times New Roman" w:hAnsi="Calibri" w:cs="Times New Roman"/>
      <w:lang w:eastAsia="en-AU"/>
    </w:rPr>
  </w:style>
  <w:style w:type="paragraph" w:customStyle="1" w:styleId="Noticeheading">
    <w:name w:val="Notice heading"/>
    <w:basedOn w:val="Normal"/>
    <w:link w:val="NoticeheadingChar"/>
    <w:qFormat/>
    <w:rsid w:val="000A795E"/>
    <w:pPr>
      <w:spacing w:after="240" w:line="240" w:lineRule="auto"/>
      <w:ind w:left="425" w:hanging="425"/>
      <w:jc w:val="both"/>
    </w:pPr>
    <w:rPr>
      <w:rFonts w:eastAsia="Times New Roman" w:cs="Calibri"/>
      <w:b/>
      <w:bCs/>
      <w:lang w:eastAsia="en-AU"/>
    </w:rPr>
  </w:style>
  <w:style w:type="character" w:customStyle="1" w:styleId="NoticeheadingChar">
    <w:name w:val="Notice heading Char"/>
    <w:basedOn w:val="DefaultParagraphFont"/>
    <w:link w:val="Noticeheading"/>
    <w:rsid w:val="000A795E"/>
    <w:rPr>
      <w:rFonts w:eastAsia="Times New Roman" w:cs="Calibri"/>
      <w:b/>
      <w:bCs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BCB73-D408-4B8D-9343-F257D1254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Heavy Vehicle Regulator</Company>
  <LinksUpToDate>false</LinksUpToDate>
  <CharactersWithSpaces>5504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Austin</dc:creator>
  <cp:lastModifiedBy>Robert Crapnell</cp:lastModifiedBy>
  <cp:revision>6</cp:revision>
  <cp:lastPrinted>2019-01-23T22:53:00Z</cp:lastPrinted>
  <dcterms:created xsi:type="dcterms:W3CDTF">2019-01-23T22:33:00Z</dcterms:created>
  <dcterms:modified xsi:type="dcterms:W3CDTF">2019-01-29T08:57:00Z</dcterms:modified>
</cp:coreProperties>
</file>