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143F" w:rsidRPr="009328B3" w:rsidRDefault="006F143F" w:rsidP="006F143F">
      <w:pPr>
        <w:rPr>
          <w:rFonts w:ascii="Calibri" w:hAnsi="Calibri" w:cs="Helvetica"/>
          <w:b/>
          <w:color w:val="000000" w:themeColor="text1"/>
        </w:rPr>
      </w:pPr>
      <w:r w:rsidRPr="009328B3">
        <w:rPr>
          <w:rFonts w:ascii="Calibri" w:hAnsi="Calibri" w:cs="Helvetica"/>
          <w:b/>
          <w:color w:val="000000" w:themeColor="text1"/>
        </w:rPr>
        <w:t>HEAVY VEHICLE NATIONAL LAW</w:t>
      </w:r>
    </w:p>
    <w:p w:rsidR="006F143F" w:rsidRPr="009328B3" w:rsidRDefault="006F143F" w:rsidP="006F143F">
      <w:pPr>
        <w:rPr>
          <w:rFonts w:ascii="Calibri" w:hAnsi="Calibri" w:cs="Calibri"/>
          <w:b/>
          <w:bCs/>
          <w:color w:val="000000" w:themeColor="text1"/>
        </w:rPr>
      </w:pPr>
      <w:r w:rsidRPr="009328B3">
        <w:rPr>
          <w:rFonts w:ascii="Calibri" w:hAnsi="Calibri" w:cs="Calibri"/>
          <w:b/>
          <w:bCs/>
          <w:color w:val="000000" w:themeColor="text1"/>
        </w:rPr>
        <w:t>Queensland Class 3 Heavy Vehicle Truck Towing One Trailer Exceeding 19m Up To 31.5m Mass and Dimension Exemption Notice 2019 (No.1)</w:t>
      </w:r>
    </w:p>
    <w:p w:rsidR="006F143F" w:rsidRPr="009328B3" w:rsidRDefault="006F143F" w:rsidP="006F143F">
      <w:pPr>
        <w:rPr>
          <w:rFonts w:ascii="Calibri" w:hAnsi="Calibri" w:cs="Calibri"/>
          <w:b/>
          <w:bCs/>
          <w:color w:val="000000" w:themeColor="text1"/>
        </w:rPr>
      </w:pPr>
    </w:p>
    <w:p w:rsidR="006F143F" w:rsidRPr="009328B3" w:rsidRDefault="006F143F" w:rsidP="006F143F">
      <w:pPr>
        <w:ind w:left="567" w:hanging="567"/>
        <w:rPr>
          <w:rFonts w:ascii="Calibri" w:hAnsi="Calibri"/>
          <w:b/>
          <w:color w:val="000000" w:themeColor="text1"/>
          <w:sz w:val="22"/>
          <w:szCs w:val="22"/>
        </w:rPr>
      </w:pPr>
      <w:r w:rsidRPr="009328B3">
        <w:rPr>
          <w:rFonts w:ascii="Calibri" w:hAnsi="Calibri"/>
          <w:b/>
          <w:color w:val="000000" w:themeColor="text1"/>
          <w:sz w:val="22"/>
          <w:szCs w:val="22"/>
        </w:rPr>
        <w:t>Purpose</w:t>
      </w:r>
    </w:p>
    <w:p w:rsidR="006F143F" w:rsidRPr="009328B3" w:rsidRDefault="006F143F" w:rsidP="006F143F">
      <w:pPr>
        <w:numPr>
          <w:ilvl w:val="0"/>
          <w:numId w:val="1"/>
        </w:numPr>
        <w:tabs>
          <w:tab w:val="clear" w:pos="720"/>
        </w:tabs>
        <w:ind w:left="567" w:hanging="567"/>
        <w:rPr>
          <w:rFonts w:ascii="Calibri" w:hAnsi="Calibri"/>
          <w:color w:val="000000" w:themeColor="text1"/>
          <w:sz w:val="22"/>
          <w:szCs w:val="22"/>
        </w:rPr>
      </w:pPr>
      <w:r w:rsidRPr="009328B3">
        <w:rPr>
          <w:rFonts w:ascii="Calibri" w:hAnsi="Calibri"/>
          <w:color w:val="000000" w:themeColor="text1"/>
          <w:sz w:val="22"/>
          <w:szCs w:val="22"/>
        </w:rPr>
        <w:t>The purpose of this notice is to exempt a class 3 heavy vehicle comprised of a truck towing one trailer, where the combination length exceeds 19m in length but not 31.5m, from stated mass and dimension requirements of the</w:t>
      </w:r>
      <w:r w:rsidRPr="009328B3">
        <w:rPr>
          <w:rFonts w:ascii="Calibri" w:hAnsi="Calibri"/>
          <w:i/>
          <w:color w:val="000000" w:themeColor="text1"/>
          <w:sz w:val="22"/>
          <w:szCs w:val="22"/>
        </w:rPr>
        <w:t xml:space="preserve"> Heavy Vehicle (Mass, Dimension and Loading) National Regulation</w:t>
      </w:r>
      <w:r w:rsidRPr="009328B3">
        <w:rPr>
          <w:rFonts w:ascii="Calibri" w:hAnsi="Calibri"/>
          <w:color w:val="000000" w:themeColor="text1"/>
          <w:sz w:val="22"/>
          <w:szCs w:val="22"/>
        </w:rPr>
        <w:t xml:space="preserve"> (the Regulation).</w:t>
      </w:r>
    </w:p>
    <w:p w:rsidR="006F143F" w:rsidRPr="009328B3" w:rsidRDefault="006F143F" w:rsidP="006F143F">
      <w:pPr>
        <w:ind w:left="567"/>
        <w:rPr>
          <w:rFonts w:ascii="Calibri" w:hAnsi="Calibri"/>
          <w:color w:val="000000" w:themeColor="text1"/>
          <w:sz w:val="22"/>
          <w:szCs w:val="22"/>
        </w:rPr>
      </w:pPr>
    </w:p>
    <w:p w:rsidR="006F143F" w:rsidRPr="009328B3" w:rsidRDefault="006F143F" w:rsidP="006F143F">
      <w:pPr>
        <w:ind w:left="567" w:hanging="567"/>
        <w:rPr>
          <w:rFonts w:ascii="Calibri" w:hAnsi="Calibri"/>
          <w:b/>
          <w:color w:val="000000" w:themeColor="text1"/>
          <w:sz w:val="22"/>
          <w:szCs w:val="22"/>
        </w:rPr>
      </w:pPr>
      <w:proofErr w:type="spellStart"/>
      <w:r w:rsidRPr="009328B3">
        <w:rPr>
          <w:rFonts w:ascii="Calibri" w:hAnsi="Calibri"/>
          <w:b/>
          <w:color w:val="000000" w:themeColor="text1"/>
          <w:sz w:val="22"/>
          <w:szCs w:val="22"/>
        </w:rPr>
        <w:t>Authorising</w:t>
      </w:r>
      <w:proofErr w:type="spellEnd"/>
      <w:r w:rsidRPr="009328B3">
        <w:rPr>
          <w:rFonts w:ascii="Calibri" w:hAnsi="Calibri"/>
          <w:b/>
          <w:color w:val="000000" w:themeColor="text1"/>
          <w:sz w:val="22"/>
          <w:szCs w:val="22"/>
        </w:rPr>
        <w:t xml:space="preserve"> Provision</w:t>
      </w:r>
      <w:r w:rsidRPr="009328B3">
        <w:rPr>
          <w:rFonts w:ascii="Calibri" w:hAnsi="Calibri"/>
          <w:b/>
          <w:color w:val="000000" w:themeColor="text1"/>
          <w:sz w:val="22"/>
          <w:szCs w:val="22"/>
        </w:rPr>
        <w:br/>
      </w:r>
    </w:p>
    <w:p w:rsidR="006F143F" w:rsidRPr="009328B3" w:rsidRDefault="006F143F" w:rsidP="006F143F">
      <w:pPr>
        <w:numPr>
          <w:ilvl w:val="0"/>
          <w:numId w:val="1"/>
        </w:numPr>
        <w:tabs>
          <w:tab w:val="clear" w:pos="720"/>
        </w:tabs>
        <w:ind w:left="567" w:hanging="567"/>
        <w:rPr>
          <w:rFonts w:ascii="Calibri" w:hAnsi="Calibri"/>
          <w:color w:val="000000" w:themeColor="text1"/>
          <w:sz w:val="22"/>
          <w:szCs w:val="22"/>
        </w:rPr>
      </w:pPr>
      <w:r w:rsidRPr="009328B3">
        <w:rPr>
          <w:rFonts w:ascii="Calibri" w:hAnsi="Calibri"/>
          <w:color w:val="000000" w:themeColor="text1"/>
          <w:sz w:val="22"/>
          <w:szCs w:val="22"/>
        </w:rPr>
        <w:t>This notice is made under section 117 of the Heavy Vehicle National Law as in force in each participating.</w:t>
      </w:r>
    </w:p>
    <w:p w:rsidR="006F143F" w:rsidRPr="009328B3" w:rsidRDefault="006F143F" w:rsidP="006F143F">
      <w:pPr>
        <w:rPr>
          <w:rFonts w:ascii="Calibri" w:hAnsi="Calibri"/>
          <w:color w:val="000000" w:themeColor="text1"/>
          <w:sz w:val="22"/>
          <w:szCs w:val="22"/>
        </w:rPr>
      </w:pPr>
    </w:p>
    <w:p w:rsidR="006F143F" w:rsidRPr="009328B3" w:rsidRDefault="006F143F" w:rsidP="006F143F">
      <w:pPr>
        <w:rPr>
          <w:rFonts w:ascii="Calibri" w:hAnsi="Calibri"/>
          <w:b/>
          <w:color w:val="000000" w:themeColor="text1"/>
          <w:sz w:val="22"/>
          <w:szCs w:val="22"/>
        </w:rPr>
      </w:pPr>
      <w:r w:rsidRPr="009328B3">
        <w:rPr>
          <w:rFonts w:ascii="Calibri" w:hAnsi="Calibri"/>
          <w:b/>
          <w:color w:val="000000" w:themeColor="text1"/>
          <w:sz w:val="22"/>
          <w:szCs w:val="22"/>
        </w:rPr>
        <w:t>Commencement</w:t>
      </w:r>
    </w:p>
    <w:p w:rsidR="006F143F" w:rsidRPr="009328B3" w:rsidRDefault="006F143F" w:rsidP="006F143F">
      <w:pPr>
        <w:numPr>
          <w:ilvl w:val="0"/>
          <w:numId w:val="1"/>
        </w:numPr>
        <w:tabs>
          <w:tab w:val="clear" w:pos="720"/>
        </w:tabs>
        <w:ind w:left="567" w:hanging="567"/>
        <w:rPr>
          <w:rFonts w:ascii="Calibri" w:hAnsi="Calibri"/>
          <w:b/>
          <w:color w:val="000000" w:themeColor="text1"/>
          <w:sz w:val="22"/>
          <w:szCs w:val="22"/>
        </w:rPr>
      </w:pPr>
      <w:r w:rsidRPr="009328B3">
        <w:rPr>
          <w:rFonts w:ascii="Calibri" w:hAnsi="Calibri"/>
          <w:color w:val="000000" w:themeColor="text1"/>
          <w:sz w:val="22"/>
          <w:szCs w:val="22"/>
        </w:rPr>
        <w:t>This Noti</w:t>
      </w:r>
      <w:r w:rsidR="00D7418A">
        <w:rPr>
          <w:rFonts w:ascii="Calibri" w:hAnsi="Calibri"/>
          <w:color w:val="000000" w:themeColor="text1"/>
          <w:sz w:val="22"/>
          <w:szCs w:val="22"/>
        </w:rPr>
        <w:t>ce commences on 10 February 2019</w:t>
      </w:r>
      <w:r w:rsidRPr="009328B3">
        <w:rPr>
          <w:rFonts w:ascii="Calibri" w:hAnsi="Calibri"/>
          <w:color w:val="000000" w:themeColor="text1"/>
          <w:sz w:val="22"/>
          <w:szCs w:val="22"/>
        </w:rPr>
        <w:t>.</w:t>
      </w:r>
    </w:p>
    <w:p w:rsidR="006F143F" w:rsidRPr="009328B3" w:rsidRDefault="006F143F" w:rsidP="006F143F">
      <w:pPr>
        <w:rPr>
          <w:rFonts w:ascii="Calibri" w:hAnsi="Calibri"/>
          <w:color w:val="000000" w:themeColor="text1"/>
          <w:sz w:val="22"/>
          <w:szCs w:val="22"/>
        </w:rPr>
      </w:pPr>
    </w:p>
    <w:p w:rsidR="006F143F" w:rsidRPr="009328B3" w:rsidRDefault="006F143F" w:rsidP="006F143F">
      <w:pPr>
        <w:rPr>
          <w:rFonts w:ascii="Calibri" w:hAnsi="Calibri"/>
          <w:b/>
          <w:color w:val="000000" w:themeColor="text1"/>
          <w:sz w:val="22"/>
          <w:szCs w:val="22"/>
        </w:rPr>
      </w:pPr>
      <w:r w:rsidRPr="009328B3">
        <w:rPr>
          <w:rFonts w:ascii="Calibri" w:hAnsi="Calibri"/>
          <w:b/>
          <w:color w:val="000000" w:themeColor="text1"/>
          <w:sz w:val="22"/>
          <w:szCs w:val="22"/>
        </w:rPr>
        <w:t>Expiry</w:t>
      </w:r>
    </w:p>
    <w:p w:rsidR="006F143F" w:rsidRPr="009328B3" w:rsidRDefault="006F143F" w:rsidP="006F143F">
      <w:pPr>
        <w:numPr>
          <w:ilvl w:val="0"/>
          <w:numId w:val="1"/>
        </w:numPr>
        <w:tabs>
          <w:tab w:val="clear" w:pos="720"/>
        </w:tabs>
        <w:ind w:left="567" w:hanging="567"/>
        <w:rPr>
          <w:rFonts w:ascii="Calibri" w:hAnsi="Calibri"/>
          <w:b/>
          <w:color w:val="000000" w:themeColor="text1"/>
          <w:sz w:val="22"/>
          <w:szCs w:val="22"/>
        </w:rPr>
      </w:pPr>
      <w:r w:rsidRPr="009328B3">
        <w:rPr>
          <w:rFonts w:ascii="Calibri" w:hAnsi="Calibri"/>
          <w:color w:val="000000" w:themeColor="text1"/>
          <w:sz w:val="22"/>
          <w:szCs w:val="22"/>
        </w:rPr>
        <w:t>This Notice expires on 9 Fe</w:t>
      </w:r>
      <w:r w:rsidR="00D7418A">
        <w:rPr>
          <w:rFonts w:ascii="Calibri" w:hAnsi="Calibri"/>
          <w:color w:val="000000" w:themeColor="text1"/>
          <w:sz w:val="22"/>
          <w:szCs w:val="22"/>
        </w:rPr>
        <w:t>bruary 2024</w:t>
      </w:r>
      <w:bookmarkStart w:id="0" w:name="_GoBack"/>
      <w:bookmarkEnd w:id="0"/>
      <w:r w:rsidRPr="009328B3">
        <w:rPr>
          <w:rFonts w:ascii="Calibri" w:hAnsi="Calibri"/>
          <w:color w:val="000000" w:themeColor="text1"/>
          <w:sz w:val="22"/>
          <w:szCs w:val="22"/>
        </w:rPr>
        <w:t>.</w:t>
      </w:r>
    </w:p>
    <w:p w:rsidR="006F143F" w:rsidRPr="009328B3" w:rsidRDefault="006F143F" w:rsidP="006F143F">
      <w:pPr>
        <w:rPr>
          <w:rFonts w:ascii="Calibri" w:hAnsi="Calibri"/>
          <w:color w:val="000000" w:themeColor="text1"/>
          <w:sz w:val="22"/>
          <w:szCs w:val="22"/>
        </w:rPr>
      </w:pPr>
    </w:p>
    <w:p w:rsidR="006F143F" w:rsidRPr="009328B3" w:rsidRDefault="006F143F" w:rsidP="006F143F">
      <w:pPr>
        <w:rPr>
          <w:rFonts w:ascii="Calibri" w:hAnsi="Calibri"/>
          <w:b/>
          <w:color w:val="000000" w:themeColor="text1"/>
          <w:sz w:val="22"/>
          <w:szCs w:val="22"/>
        </w:rPr>
      </w:pPr>
      <w:r w:rsidRPr="009328B3">
        <w:rPr>
          <w:rFonts w:ascii="Calibri" w:hAnsi="Calibri"/>
          <w:b/>
          <w:color w:val="000000" w:themeColor="text1"/>
          <w:sz w:val="22"/>
          <w:szCs w:val="22"/>
        </w:rPr>
        <w:t>Definitions</w:t>
      </w:r>
    </w:p>
    <w:p w:rsidR="006F143F" w:rsidRPr="009328B3" w:rsidRDefault="006F143F" w:rsidP="006F143F">
      <w:pPr>
        <w:numPr>
          <w:ilvl w:val="0"/>
          <w:numId w:val="1"/>
        </w:numPr>
        <w:tabs>
          <w:tab w:val="clear" w:pos="720"/>
        </w:tabs>
        <w:ind w:left="567" w:hanging="567"/>
        <w:rPr>
          <w:rFonts w:ascii="Calibri" w:hAnsi="Calibri"/>
          <w:b/>
          <w:color w:val="000000" w:themeColor="text1"/>
          <w:sz w:val="22"/>
          <w:szCs w:val="22"/>
        </w:rPr>
      </w:pPr>
      <w:r w:rsidRPr="009328B3">
        <w:rPr>
          <w:rFonts w:ascii="Calibri" w:hAnsi="Calibri"/>
          <w:color w:val="000000" w:themeColor="text1"/>
          <w:sz w:val="22"/>
          <w:szCs w:val="22"/>
        </w:rPr>
        <w:t>Unless otherwise stated, words and expressions used in this Notice have the same meaning as in the Heavy Vehicle National Law.</w:t>
      </w:r>
    </w:p>
    <w:p w:rsidR="006F143F" w:rsidRPr="009328B3" w:rsidRDefault="006F143F" w:rsidP="006F143F">
      <w:pPr>
        <w:rPr>
          <w:rFonts w:ascii="Calibri" w:hAnsi="Calibri"/>
          <w:color w:val="000000" w:themeColor="text1"/>
          <w:sz w:val="22"/>
          <w:szCs w:val="22"/>
        </w:rPr>
      </w:pPr>
    </w:p>
    <w:p w:rsidR="006F143F" w:rsidRPr="009328B3" w:rsidRDefault="006F143F" w:rsidP="006F143F">
      <w:pPr>
        <w:rPr>
          <w:rFonts w:ascii="Calibri" w:hAnsi="Calibri"/>
          <w:b/>
          <w:color w:val="000000" w:themeColor="text1"/>
          <w:sz w:val="22"/>
          <w:szCs w:val="22"/>
        </w:rPr>
      </w:pPr>
      <w:r w:rsidRPr="009328B3">
        <w:rPr>
          <w:rFonts w:ascii="Calibri" w:hAnsi="Calibri"/>
          <w:b/>
          <w:color w:val="000000" w:themeColor="text1"/>
          <w:sz w:val="22"/>
          <w:szCs w:val="22"/>
        </w:rPr>
        <w:t>Title</w:t>
      </w:r>
    </w:p>
    <w:p w:rsidR="006F143F" w:rsidRPr="009328B3" w:rsidRDefault="006F143F" w:rsidP="006F143F">
      <w:pPr>
        <w:numPr>
          <w:ilvl w:val="0"/>
          <w:numId w:val="1"/>
        </w:numPr>
        <w:rPr>
          <w:rFonts w:ascii="Calibri" w:hAnsi="Calibri"/>
          <w:color w:val="000000" w:themeColor="text1"/>
          <w:sz w:val="22"/>
          <w:szCs w:val="22"/>
        </w:rPr>
      </w:pPr>
      <w:r w:rsidRPr="009328B3">
        <w:rPr>
          <w:rFonts w:ascii="Calibri" w:hAnsi="Calibri"/>
          <w:color w:val="000000" w:themeColor="text1"/>
          <w:sz w:val="22"/>
          <w:szCs w:val="22"/>
        </w:rPr>
        <w:t xml:space="preserve">This Notice may be cited as the </w:t>
      </w:r>
      <w:r w:rsidRPr="009328B3">
        <w:rPr>
          <w:rFonts w:ascii="Calibri" w:hAnsi="Calibri"/>
          <w:i/>
          <w:color w:val="000000" w:themeColor="text1"/>
          <w:sz w:val="22"/>
          <w:szCs w:val="22"/>
        </w:rPr>
        <w:t>Queensland Class 3 Heavy Vehicle Truck Towing One Trailer Exceeding 19m Up To 31.5m Mass and Dimension Exemption Notice 2019.</w:t>
      </w:r>
    </w:p>
    <w:p w:rsidR="006F143F" w:rsidRPr="009328B3" w:rsidRDefault="006F143F" w:rsidP="006F143F">
      <w:pPr>
        <w:outlineLvl w:val="0"/>
        <w:rPr>
          <w:rFonts w:ascii="Calibri" w:hAnsi="Calibri" w:cs="Calibri"/>
          <w:b/>
          <w:bCs/>
          <w:color w:val="000000" w:themeColor="text1"/>
          <w:sz w:val="22"/>
          <w:szCs w:val="22"/>
        </w:rPr>
      </w:pPr>
    </w:p>
    <w:p w:rsidR="006F143F" w:rsidRPr="009328B3" w:rsidRDefault="006F143F" w:rsidP="006F143F">
      <w:pPr>
        <w:ind w:left="709" w:hanging="709"/>
        <w:rPr>
          <w:rFonts w:ascii="Calibri" w:hAnsi="Calibri"/>
          <w:color w:val="000000" w:themeColor="text1"/>
          <w:sz w:val="22"/>
          <w:szCs w:val="22"/>
        </w:rPr>
      </w:pPr>
      <w:r w:rsidRPr="009328B3">
        <w:rPr>
          <w:rFonts w:ascii="Calibri" w:hAnsi="Calibri"/>
          <w:b/>
          <w:color w:val="000000" w:themeColor="text1"/>
          <w:sz w:val="22"/>
          <w:szCs w:val="22"/>
        </w:rPr>
        <w:t>Application</w:t>
      </w:r>
    </w:p>
    <w:p w:rsidR="006F143F" w:rsidRPr="009328B3" w:rsidRDefault="006F143F" w:rsidP="006F143F">
      <w:pPr>
        <w:numPr>
          <w:ilvl w:val="0"/>
          <w:numId w:val="1"/>
        </w:numPr>
        <w:tabs>
          <w:tab w:val="clear" w:pos="720"/>
          <w:tab w:val="num" w:pos="540"/>
          <w:tab w:val="left" w:pos="1080"/>
        </w:tabs>
        <w:ind w:left="540" w:hanging="540"/>
        <w:rPr>
          <w:rFonts w:ascii="Calibri" w:hAnsi="Calibri"/>
          <w:color w:val="000000" w:themeColor="text1"/>
          <w:sz w:val="22"/>
          <w:szCs w:val="22"/>
        </w:rPr>
      </w:pPr>
      <w:r w:rsidRPr="009328B3">
        <w:rPr>
          <w:rFonts w:ascii="Calibri" w:hAnsi="Calibri"/>
          <w:color w:val="000000" w:themeColor="text1"/>
          <w:sz w:val="22"/>
          <w:szCs w:val="22"/>
        </w:rPr>
        <w:t>This Notice applies to a truck towing one trailer, where the combination is more than 19m, but not more than 31.5m in length.</w:t>
      </w:r>
    </w:p>
    <w:p w:rsidR="006F143F" w:rsidRPr="009328B3" w:rsidRDefault="006F143F" w:rsidP="006F143F">
      <w:pPr>
        <w:rPr>
          <w:rFonts w:ascii="Calibri" w:hAnsi="Calibri"/>
          <w:color w:val="000000" w:themeColor="text1"/>
          <w:sz w:val="22"/>
          <w:szCs w:val="22"/>
        </w:rPr>
      </w:pPr>
    </w:p>
    <w:p w:rsidR="006F143F" w:rsidRPr="009328B3" w:rsidRDefault="006F143F" w:rsidP="006F143F">
      <w:pPr>
        <w:rPr>
          <w:rFonts w:ascii="Calibri" w:hAnsi="Calibri"/>
          <w:b/>
          <w:color w:val="000000" w:themeColor="text1"/>
          <w:sz w:val="22"/>
          <w:szCs w:val="22"/>
        </w:rPr>
      </w:pPr>
      <w:r w:rsidRPr="009328B3">
        <w:rPr>
          <w:rFonts w:ascii="Calibri" w:hAnsi="Calibri"/>
          <w:b/>
          <w:color w:val="000000" w:themeColor="text1"/>
          <w:sz w:val="22"/>
          <w:szCs w:val="22"/>
        </w:rPr>
        <w:t>Exemption from prescribed mass requirements</w:t>
      </w:r>
    </w:p>
    <w:p w:rsidR="006F143F" w:rsidRPr="009328B3" w:rsidRDefault="006F143F" w:rsidP="006F143F">
      <w:pPr>
        <w:numPr>
          <w:ilvl w:val="0"/>
          <w:numId w:val="1"/>
        </w:numPr>
        <w:rPr>
          <w:rFonts w:ascii="Calibri" w:hAnsi="Calibri"/>
          <w:color w:val="000000" w:themeColor="text1"/>
          <w:sz w:val="22"/>
          <w:szCs w:val="22"/>
        </w:rPr>
      </w:pPr>
      <w:r w:rsidRPr="009328B3">
        <w:rPr>
          <w:rFonts w:ascii="Calibri" w:hAnsi="Calibri"/>
          <w:color w:val="000000" w:themeColor="text1"/>
          <w:sz w:val="22"/>
          <w:szCs w:val="22"/>
        </w:rPr>
        <w:t>This notice exempts a vehicle to which it applies from the following mass limits in Schedule 1, of the Regulation—</w:t>
      </w:r>
    </w:p>
    <w:p w:rsidR="006F143F" w:rsidRPr="009328B3" w:rsidRDefault="006F143F" w:rsidP="006F143F">
      <w:pPr>
        <w:numPr>
          <w:ilvl w:val="0"/>
          <w:numId w:val="4"/>
        </w:numPr>
        <w:rPr>
          <w:rFonts w:ascii="Calibri" w:hAnsi="Calibri"/>
          <w:color w:val="000000" w:themeColor="text1"/>
          <w:sz w:val="22"/>
          <w:szCs w:val="22"/>
        </w:rPr>
      </w:pPr>
      <w:r w:rsidRPr="009328B3">
        <w:rPr>
          <w:rFonts w:ascii="Calibri" w:hAnsi="Calibri"/>
          <w:color w:val="000000" w:themeColor="text1"/>
          <w:sz w:val="22"/>
          <w:szCs w:val="22"/>
        </w:rPr>
        <w:t>Section 2(1)(a)(iv); and</w:t>
      </w:r>
    </w:p>
    <w:p w:rsidR="006F143F" w:rsidRPr="009328B3" w:rsidRDefault="006F143F" w:rsidP="006F143F">
      <w:pPr>
        <w:numPr>
          <w:ilvl w:val="0"/>
          <w:numId w:val="4"/>
        </w:numPr>
        <w:rPr>
          <w:rFonts w:ascii="Calibri" w:hAnsi="Calibri"/>
          <w:color w:val="000000" w:themeColor="text1"/>
          <w:sz w:val="22"/>
          <w:szCs w:val="22"/>
        </w:rPr>
      </w:pPr>
      <w:r w:rsidRPr="009328B3">
        <w:rPr>
          <w:rFonts w:ascii="Calibri" w:hAnsi="Calibri"/>
          <w:color w:val="000000" w:themeColor="text1"/>
          <w:sz w:val="22"/>
          <w:szCs w:val="22"/>
        </w:rPr>
        <w:t>In Table 1 (Axle Mass Limits Table), the category ‘Single axles and single axle groups’, item (c), the steer axle limit for another motor vehicle (6.0t); and</w:t>
      </w:r>
    </w:p>
    <w:p w:rsidR="006F143F" w:rsidRPr="009328B3" w:rsidRDefault="006F143F" w:rsidP="006F143F">
      <w:pPr>
        <w:numPr>
          <w:ilvl w:val="0"/>
          <w:numId w:val="4"/>
        </w:numPr>
        <w:rPr>
          <w:rFonts w:ascii="Calibri" w:hAnsi="Calibri"/>
          <w:color w:val="000000" w:themeColor="text1"/>
          <w:sz w:val="22"/>
          <w:szCs w:val="22"/>
        </w:rPr>
      </w:pPr>
      <w:r w:rsidRPr="009328B3">
        <w:rPr>
          <w:rFonts w:ascii="Calibri" w:hAnsi="Calibri"/>
          <w:color w:val="000000" w:themeColor="text1"/>
          <w:sz w:val="22"/>
          <w:szCs w:val="22"/>
        </w:rPr>
        <w:t>The Axle spacing mass limits in Table 2 (Axle spacing mass limits general table).</w:t>
      </w:r>
    </w:p>
    <w:p w:rsidR="006F143F" w:rsidRPr="009328B3" w:rsidRDefault="006F143F" w:rsidP="006F143F">
      <w:pPr>
        <w:pStyle w:val="ListParagraph"/>
        <w:rPr>
          <w:rFonts w:ascii="Calibri" w:hAnsi="Calibri"/>
          <w:color w:val="000000" w:themeColor="text1"/>
          <w:sz w:val="22"/>
          <w:szCs w:val="22"/>
        </w:rPr>
      </w:pPr>
    </w:p>
    <w:p w:rsidR="006F143F" w:rsidRPr="009328B3" w:rsidRDefault="006F143F" w:rsidP="006F143F">
      <w:pPr>
        <w:pStyle w:val="ListParagraph"/>
        <w:rPr>
          <w:rFonts w:ascii="Calibri" w:hAnsi="Calibri"/>
          <w:color w:val="000000" w:themeColor="text1"/>
          <w:sz w:val="22"/>
          <w:szCs w:val="22"/>
        </w:rPr>
      </w:pPr>
    </w:p>
    <w:p w:rsidR="006F143F" w:rsidRPr="009328B3" w:rsidRDefault="006F143F" w:rsidP="006F143F">
      <w:pPr>
        <w:pStyle w:val="ListParagraph"/>
        <w:rPr>
          <w:rFonts w:ascii="Calibri" w:hAnsi="Calibri"/>
          <w:color w:val="000000" w:themeColor="text1"/>
          <w:sz w:val="22"/>
          <w:szCs w:val="22"/>
        </w:rPr>
      </w:pPr>
    </w:p>
    <w:p w:rsidR="006F143F" w:rsidRPr="009328B3" w:rsidRDefault="006F143F" w:rsidP="006F143F">
      <w:pPr>
        <w:pStyle w:val="ListParagraph"/>
        <w:rPr>
          <w:rFonts w:ascii="Calibri" w:hAnsi="Calibri"/>
          <w:color w:val="000000" w:themeColor="text1"/>
          <w:sz w:val="22"/>
          <w:szCs w:val="22"/>
        </w:rPr>
      </w:pPr>
    </w:p>
    <w:p w:rsidR="006F143F" w:rsidRPr="009328B3" w:rsidRDefault="006F143F" w:rsidP="006F143F">
      <w:pPr>
        <w:pStyle w:val="ListParagraph"/>
        <w:rPr>
          <w:rFonts w:ascii="Calibri" w:hAnsi="Calibri"/>
          <w:color w:val="000000" w:themeColor="text1"/>
          <w:sz w:val="22"/>
          <w:szCs w:val="22"/>
        </w:rPr>
      </w:pPr>
    </w:p>
    <w:p w:rsidR="006F143F" w:rsidRPr="009328B3" w:rsidRDefault="006F143F" w:rsidP="006F143F">
      <w:pPr>
        <w:pStyle w:val="ListParagraph"/>
        <w:rPr>
          <w:rFonts w:ascii="Calibri" w:hAnsi="Calibri"/>
          <w:color w:val="000000" w:themeColor="text1"/>
          <w:sz w:val="22"/>
          <w:szCs w:val="22"/>
        </w:rPr>
      </w:pPr>
    </w:p>
    <w:p w:rsidR="006F143F" w:rsidRPr="009328B3" w:rsidRDefault="006F143F" w:rsidP="006F143F">
      <w:pPr>
        <w:pStyle w:val="ListParagraph"/>
        <w:rPr>
          <w:rFonts w:ascii="Calibri" w:hAnsi="Calibri"/>
          <w:color w:val="000000" w:themeColor="text1"/>
          <w:sz w:val="22"/>
          <w:szCs w:val="22"/>
        </w:rPr>
      </w:pPr>
    </w:p>
    <w:p w:rsidR="006F143F" w:rsidRPr="009328B3" w:rsidRDefault="006F143F" w:rsidP="006F143F">
      <w:pPr>
        <w:rPr>
          <w:rFonts w:ascii="Calibri" w:hAnsi="Calibri"/>
          <w:color w:val="000000" w:themeColor="text1"/>
          <w:sz w:val="22"/>
          <w:szCs w:val="22"/>
        </w:rPr>
      </w:pPr>
      <w:r w:rsidRPr="009328B3">
        <w:rPr>
          <w:rFonts w:ascii="Calibri" w:hAnsi="Calibri"/>
          <w:b/>
          <w:color w:val="000000" w:themeColor="text1"/>
          <w:sz w:val="22"/>
          <w:szCs w:val="22"/>
        </w:rPr>
        <w:t>Mass requirements - Conditions</w:t>
      </w:r>
    </w:p>
    <w:p w:rsidR="006F143F" w:rsidRPr="009328B3" w:rsidRDefault="006F143F" w:rsidP="006F143F">
      <w:pPr>
        <w:numPr>
          <w:ilvl w:val="0"/>
          <w:numId w:val="1"/>
        </w:numPr>
        <w:rPr>
          <w:rFonts w:ascii="Calibri" w:hAnsi="Calibri"/>
          <w:color w:val="000000" w:themeColor="text1"/>
          <w:sz w:val="22"/>
          <w:szCs w:val="22"/>
        </w:rPr>
      </w:pPr>
      <w:r w:rsidRPr="009328B3">
        <w:rPr>
          <w:rFonts w:ascii="Calibri" w:hAnsi="Calibri"/>
          <w:color w:val="000000" w:themeColor="text1"/>
          <w:sz w:val="22"/>
          <w:szCs w:val="22"/>
        </w:rPr>
        <w:t>A vehicle to which this notice applies must comply with the following single steer axle mass requirements—</w:t>
      </w:r>
    </w:p>
    <w:p w:rsidR="006F143F" w:rsidRPr="009328B3" w:rsidRDefault="006F143F" w:rsidP="006F143F">
      <w:pPr>
        <w:ind w:left="720"/>
        <w:rPr>
          <w:rFonts w:ascii="Calibri" w:hAnsi="Calibri"/>
          <w:color w:val="000000" w:themeColor="text1"/>
          <w:sz w:val="22"/>
          <w:szCs w:val="22"/>
        </w:rPr>
      </w:pPr>
    </w:p>
    <w:p w:rsidR="006F143F" w:rsidRPr="009328B3" w:rsidRDefault="006F143F" w:rsidP="006F143F">
      <w:pPr>
        <w:ind w:left="142" w:firstLine="578"/>
        <w:rPr>
          <w:rFonts w:ascii="Calibri" w:hAnsi="Calibri"/>
          <w:b/>
          <w:color w:val="000000" w:themeColor="text1"/>
          <w:sz w:val="22"/>
          <w:szCs w:val="22"/>
        </w:rPr>
      </w:pPr>
      <w:r w:rsidRPr="009328B3">
        <w:rPr>
          <w:rFonts w:ascii="Calibri" w:hAnsi="Calibri"/>
          <w:b/>
          <w:color w:val="000000" w:themeColor="text1"/>
          <w:sz w:val="22"/>
          <w:szCs w:val="22"/>
        </w:rPr>
        <w:t xml:space="preserve">Table 1: Table of mass limits for </w:t>
      </w:r>
      <w:proofErr w:type="spellStart"/>
      <w:r w:rsidRPr="009328B3">
        <w:rPr>
          <w:rFonts w:ascii="Calibri" w:hAnsi="Calibri"/>
          <w:b/>
          <w:color w:val="000000" w:themeColor="text1"/>
          <w:sz w:val="22"/>
          <w:szCs w:val="22"/>
        </w:rPr>
        <w:t>tyre</w:t>
      </w:r>
      <w:proofErr w:type="spellEnd"/>
      <w:r w:rsidRPr="009328B3">
        <w:rPr>
          <w:rFonts w:ascii="Calibri" w:hAnsi="Calibri"/>
          <w:b/>
          <w:color w:val="000000" w:themeColor="text1"/>
          <w:sz w:val="22"/>
          <w:szCs w:val="22"/>
        </w:rPr>
        <w:t xml:space="preserve"> widths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Table 1: Table of mass limits for tyre widths"/>
        <w:tblDescription w:val="A table of allowable masses for eligible vehicles using tyres of specified cross section widths."/>
      </w:tblPr>
      <w:tblGrid>
        <w:gridCol w:w="3532"/>
        <w:gridCol w:w="3308"/>
      </w:tblGrid>
      <w:tr w:rsidR="009328B3" w:rsidRPr="009328B3" w:rsidTr="00BA7E07">
        <w:tc>
          <w:tcPr>
            <w:tcW w:w="3532" w:type="dxa"/>
          </w:tcPr>
          <w:p w:rsidR="006F143F" w:rsidRPr="009328B3" w:rsidRDefault="006F143F" w:rsidP="00BA7E07">
            <w:pPr>
              <w:jc w:val="center"/>
              <w:rPr>
                <w:rFonts w:ascii="Calibri" w:hAnsi="Calibri"/>
                <w:b/>
                <w:color w:val="000000" w:themeColor="text1"/>
              </w:rPr>
            </w:pPr>
            <w:proofErr w:type="spellStart"/>
            <w:r w:rsidRPr="009328B3">
              <w:rPr>
                <w:rFonts w:ascii="Calibri" w:hAnsi="Calibri"/>
                <w:b/>
                <w:color w:val="000000" w:themeColor="text1"/>
                <w:sz w:val="22"/>
                <w:szCs w:val="22"/>
              </w:rPr>
              <w:t>Tyres</w:t>
            </w:r>
            <w:proofErr w:type="spellEnd"/>
            <w:r w:rsidRPr="009328B3">
              <w:rPr>
                <w:rFonts w:ascii="Calibri" w:hAnsi="Calibri"/>
                <w:b/>
                <w:color w:val="000000" w:themeColor="text1"/>
                <w:sz w:val="22"/>
                <w:szCs w:val="22"/>
              </w:rPr>
              <w:t xml:space="preserve"> with Section Widths</w:t>
            </w:r>
          </w:p>
        </w:tc>
        <w:tc>
          <w:tcPr>
            <w:tcW w:w="3308" w:type="dxa"/>
          </w:tcPr>
          <w:p w:rsidR="006F143F" w:rsidRPr="009328B3" w:rsidRDefault="006F143F" w:rsidP="00BA7E07">
            <w:pPr>
              <w:jc w:val="center"/>
              <w:rPr>
                <w:rFonts w:ascii="Calibri" w:hAnsi="Calibri"/>
                <w:b/>
                <w:color w:val="000000" w:themeColor="text1"/>
              </w:rPr>
            </w:pPr>
            <w:r w:rsidRPr="009328B3">
              <w:rPr>
                <w:rFonts w:ascii="Calibri" w:hAnsi="Calibri"/>
                <w:b/>
                <w:color w:val="000000" w:themeColor="text1"/>
                <w:sz w:val="22"/>
                <w:szCs w:val="22"/>
              </w:rPr>
              <w:t>Single Steer Mass Limit</w:t>
            </w:r>
          </w:p>
        </w:tc>
      </w:tr>
      <w:tr w:rsidR="009328B3" w:rsidRPr="009328B3" w:rsidTr="00BA7E07">
        <w:tc>
          <w:tcPr>
            <w:tcW w:w="3532" w:type="dxa"/>
          </w:tcPr>
          <w:p w:rsidR="006F143F" w:rsidRPr="009328B3" w:rsidRDefault="006F143F" w:rsidP="00BA7E07">
            <w:pPr>
              <w:jc w:val="center"/>
              <w:rPr>
                <w:rFonts w:ascii="Calibri" w:hAnsi="Calibri"/>
                <w:color w:val="000000" w:themeColor="text1"/>
              </w:rPr>
            </w:pPr>
            <w:r w:rsidRPr="009328B3">
              <w:rPr>
                <w:rFonts w:ascii="Calibri" w:hAnsi="Calibri"/>
                <w:color w:val="000000" w:themeColor="text1"/>
                <w:sz w:val="22"/>
                <w:szCs w:val="22"/>
              </w:rPr>
              <w:t>Less than 295mm</w:t>
            </w:r>
          </w:p>
        </w:tc>
        <w:tc>
          <w:tcPr>
            <w:tcW w:w="3308" w:type="dxa"/>
          </w:tcPr>
          <w:p w:rsidR="006F143F" w:rsidRPr="009328B3" w:rsidRDefault="006F143F" w:rsidP="00BA7E07">
            <w:pPr>
              <w:jc w:val="center"/>
              <w:rPr>
                <w:rFonts w:ascii="Calibri" w:hAnsi="Calibri"/>
                <w:color w:val="000000" w:themeColor="text1"/>
              </w:rPr>
            </w:pPr>
            <w:r w:rsidRPr="009328B3">
              <w:rPr>
                <w:rFonts w:ascii="Calibri" w:hAnsi="Calibri"/>
                <w:color w:val="000000" w:themeColor="text1"/>
                <w:sz w:val="22"/>
                <w:szCs w:val="22"/>
              </w:rPr>
              <w:t xml:space="preserve">6  </w:t>
            </w:r>
            <w:proofErr w:type="spellStart"/>
            <w:r w:rsidRPr="009328B3">
              <w:rPr>
                <w:rFonts w:ascii="Calibri" w:hAnsi="Calibri"/>
                <w:color w:val="000000" w:themeColor="text1"/>
                <w:sz w:val="22"/>
                <w:szCs w:val="22"/>
              </w:rPr>
              <w:t>tonnes</w:t>
            </w:r>
            <w:proofErr w:type="spellEnd"/>
          </w:p>
        </w:tc>
      </w:tr>
      <w:tr w:rsidR="009328B3" w:rsidRPr="009328B3" w:rsidTr="00BA7E07">
        <w:tc>
          <w:tcPr>
            <w:tcW w:w="3532" w:type="dxa"/>
          </w:tcPr>
          <w:p w:rsidR="006F143F" w:rsidRPr="009328B3" w:rsidRDefault="006F143F" w:rsidP="00BA7E07">
            <w:pPr>
              <w:jc w:val="center"/>
              <w:rPr>
                <w:rFonts w:ascii="Calibri" w:hAnsi="Calibri"/>
                <w:color w:val="000000" w:themeColor="text1"/>
              </w:rPr>
            </w:pPr>
            <w:r w:rsidRPr="009328B3">
              <w:rPr>
                <w:rFonts w:ascii="Calibri" w:hAnsi="Calibri"/>
                <w:color w:val="000000" w:themeColor="text1"/>
                <w:sz w:val="22"/>
                <w:szCs w:val="22"/>
              </w:rPr>
              <w:t>At least 295mm</w:t>
            </w:r>
          </w:p>
        </w:tc>
        <w:tc>
          <w:tcPr>
            <w:tcW w:w="3308" w:type="dxa"/>
          </w:tcPr>
          <w:p w:rsidR="006F143F" w:rsidRPr="009328B3" w:rsidRDefault="006F143F" w:rsidP="00BA7E07">
            <w:pPr>
              <w:jc w:val="center"/>
              <w:rPr>
                <w:rFonts w:ascii="Calibri" w:hAnsi="Calibri"/>
                <w:color w:val="000000" w:themeColor="text1"/>
              </w:rPr>
            </w:pPr>
            <w:r w:rsidRPr="009328B3">
              <w:rPr>
                <w:rFonts w:ascii="Calibri" w:hAnsi="Calibri"/>
                <w:color w:val="000000" w:themeColor="text1"/>
                <w:sz w:val="22"/>
                <w:szCs w:val="22"/>
              </w:rPr>
              <w:t xml:space="preserve">6.5 </w:t>
            </w:r>
            <w:proofErr w:type="spellStart"/>
            <w:r w:rsidRPr="009328B3">
              <w:rPr>
                <w:rFonts w:ascii="Calibri" w:hAnsi="Calibri"/>
                <w:color w:val="000000" w:themeColor="text1"/>
                <w:sz w:val="22"/>
                <w:szCs w:val="22"/>
              </w:rPr>
              <w:t>tonnes</w:t>
            </w:r>
            <w:proofErr w:type="spellEnd"/>
          </w:p>
        </w:tc>
      </w:tr>
      <w:tr w:rsidR="006F143F" w:rsidRPr="009328B3" w:rsidTr="00BA7E07">
        <w:tc>
          <w:tcPr>
            <w:tcW w:w="3532" w:type="dxa"/>
          </w:tcPr>
          <w:p w:rsidR="006F143F" w:rsidRPr="009328B3" w:rsidRDefault="006F143F" w:rsidP="00BA7E07">
            <w:pPr>
              <w:jc w:val="center"/>
              <w:rPr>
                <w:rFonts w:ascii="Calibri" w:hAnsi="Calibri"/>
                <w:color w:val="000000" w:themeColor="text1"/>
              </w:rPr>
            </w:pPr>
            <w:r w:rsidRPr="009328B3">
              <w:rPr>
                <w:rFonts w:ascii="Calibri" w:hAnsi="Calibri"/>
                <w:color w:val="000000" w:themeColor="text1"/>
                <w:sz w:val="22"/>
                <w:szCs w:val="22"/>
              </w:rPr>
              <w:t>At least 375mm</w:t>
            </w:r>
          </w:p>
        </w:tc>
        <w:tc>
          <w:tcPr>
            <w:tcW w:w="3308" w:type="dxa"/>
          </w:tcPr>
          <w:p w:rsidR="006F143F" w:rsidRPr="009328B3" w:rsidRDefault="006F143F" w:rsidP="00BA7E07">
            <w:pPr>
              <w:jc w:val="center"/>
              <w:rPr>
                <w:rFonts w:ascii="Calibri" w:hAnsi="Calibri"/>
                <w:color w:val="000000" w:themeColor="text1"/>
              </w:rPr>
            </w:pPr>
            <w:r w:rsidRPr="009328B3">
              <w:rPr>
                <w:rFonts w:ascii="Calibri" w:hAnsi="Calibri"/>
                <w:color w:val="000000" w:themeColor="text1"/>
                <w:sz w:val="22"/>
                <w:szCs w:val="22"/>
              </w:rPr>
              <w:t xml:space="preserve">6.7 </w:t>
            </w:r>
            <w:proofErr w:type="spellStart"/>
            <w:r w:rsidRPr="009328B3">
              <w:rPr>
                <w:rFonts w:ascii="Calibri" w:hAnsi="Calibri"/>
                <w:color w:val="000000" w:themeColor="text1"/>
                <w:sz w:val="22"/>
                <w:szCs w:val="22"/>
              </w:rPr>
              <w:t>tonnes</w:t>
            </w:r>
            <w:proofErr w:type="spellEnd"/>
          </w:p>
        </w:tc>
      </w:tr>
    </w:tbl>
    <w:p w:rsidR="006F143F" w:rsidRPr="009328B3" w:rsidRDefault="006F143F" w:rsidP="006F143F">
      <w:pPr>
        <w:ind w:left="709" w:hanging="709"/>
        <w:rPr>
          <w:rFonts w:ascii="Calibri" w:hAnsi="Calibri"/>
          <w:b/>
          <w:color w:val="000000" w:themeColor="text1"/>
          <w:sz w:val="22"/>
          <w:szCs w:val="22"/>
        </w:rPr>
      </w:pPr>
    </w:p>
    <w:p w:rsidR="006F143F" w:rsidRPr="009328B3" w:rsidRDefault="006F143F" w:rsidP="006F143F">
      <w:pPr>
        <w:ind w:left="709" w:hanging="709"/>
        <w:rPr>
          <w:rFonts w:ascii="Calibri" w:hAnsi="Calibri"/>
          <w:color w:val="000000" w:themeColor="text1"/>
          <w:sz w:val="18"/>
          <w:szCs w:val="18"/>
        </w:rPr>
      </w:pPr>
      <w:r w:rsidRPr="009328B3">
        <w:rPr>
          <w:rFonts w:ascii="Calibri" w:hAnsi="Calibri"/>
          <w:b/>
          <w:color w:val="000000" w:themeColor="text1"/>
          <w:sz w:val="22"/>
          <w:szCs w:val="22"/>
        </w:rPr>
        <w:tab/>
      </w:r>
      <w:r w:rsidRPr="009328B3">
        <w:rPr>
          <w:rFonts w:ascii="Calibri" w:hAnsi="Calibri"/>
          <w:color w:val="000000" w:themeColor="text1"/>
          <w:sz w:val="18"/>
          <w:szCs w:val="18"/>
        </w:rPr>
        <w:t>Note: This is an exemption to the limits under the Part 2, Axle Mass Limits Table, Item 1 (c).</w:t>
      </w:r>
    </w:p>
    <w:p w:rsidR="006F143F" w:rsidRPr="009328B3" w:rsidRDefault="006F143F" w:rsidP="006F143F">
      <w:pPr>
        <w:ind w:left="709" w:hanging="709"/>
        <w:rPr>
          <w:rFonts w:ascii="Calibri" w:hAnsi="Calibri"/>
          <w:b/>
          <w:color w:val="000000" w:themeColor="text1"/>
          <w:sz w:val="22"/>
          <w:szCs w:val="22"/>
        </w:rPr>
      </w:pPr>
    </w:p>
    <w:p w:rsidR="006F143F" w:rsidRPr="009328B3" w:rsidRDefault="006F143F" w:rsidP="006F143F">
      <w:pPr>
        <w:numPr>
          <w:ilvl w:val="0"/>
          <w:numId w:val="1"/>
        </w:numPr>
        <w:rPr>
          <w:rFonts w:ascii="Calibri" w:hAnsi="Calibri"/>
          <w:color w:val="000000" w:themeColor="text1"/>
          <w:sz w:val="22"/>
          <w:szCs w:val="22"/>
        </w:rPr>
      </w:pPr>
      <w:r w:rsidRPr="009328B3">
        <w:rPr>
          <w:rFonts w:ascii="Calibri" w:hAnsi="Calibri"/>
          <w:color w:val="000000" w:themeColor="text1"/>
          <w:sz w:val="22"/>
          <w:szCs w:val="22"/>
        </w:rPr>
        <w:t>A vehicle to which this notice applies must comply with the requirements of Part 2 Table 4 (Axle spacing mass limits road train table) of the regulation.</w:t>
      </w:r>
    </w:p>
    <w:p w:rsidR="006F143F" w:rsidRPr="009328B3" w:rsidRDefault="006F143F" w:rsidP="006F143F">
      <w:pPr>
        <w:ind w:left="720"/>
        <w:rPr>
          <w:rFonts w:ascii="Calibri" w:hAnsi="Calibri"/>
          <w:color w:val="000000" w:themeColor="text1"/>
          <w:sz w:val="22"/>
          <w:szCs w:val="22"/>
        </w:rPr>
      </w:pPr>
    </w:p>
    <w:p w:rsidR="006F143F" w:rsidRPr="009328B3" w:rsidRDefault="006F143F" w:rsidP="006F143F">
      <w:pPr>
        <w:ind w:left="720"/>
        <w:rPr>
          <w:rFonts w:ascii="Calibri" w:hAnsi="Calibri"/>
          <w:i/>
          <w:color w:val="000000" w:themeColor="text1"/>
          <w:sz w:val="22"/>
          <w:szCs w:val="22"/>
        </w:rPr>
      </w:pPr>
      <w:r w:rsidRPr="009328B3">
        <w:rPr>
          <w:rFonts w:ascii="Calibri" w:hAnsi="Calibri"/>
          <w:i/>
          <w:color w:val="000000" w:themeColor="text1"/>
          <w:sz w:val="22"/>
          <w:szCs w:val="22"/>
        </w:rPr>
        <w:t xml:space="preserve">Note— </w:t>
      </w:r>
      <w:proofErr w:type="gramStart"/>
      <w:r w:rsidRPr="009328B3">
        <w:rPr>
          <w:rFonts w:ascii="Calibri" w:hAnsi="Calibri"/>
          <w:i/>
          <w:color w:val="000000" w:themeColor="text1"/>
          <w:sz w:val="22"/>
          <w:szCs w:val="22"/>
        </w:rPr>
        <w:t>This</w:t>
      </w:r>
      <w:proofErr w:type="gramEnd"/>
      <w:r w:rsidRPr="009328B3">
        <w:rPr>
          <w:rFonts w:ascii="Calibri" w:hAnsi="Calibri"/>
          <w:i/>
          <w:color w:val="000000" w:themeColor="text1"/>
          <w:sz w:val="22"/>
          <w:szCs w:val="22"/>
        </w:rPr>
        <w:t xml:space="preserve"> is an exemption to the limits under Part 2, Table 2 Axle Spacing Mass Limits General Table</w:t>
      </w:r>
      <w:r w:rsidRPr="009328B3">
        <w:rPr>
          <w:rFonts w:ascii="Calibri" w:hAnsi="Calibri" w:cs="Calibri"/>
          <w:i/>
          <w:color w:val="000000" w:themeColor="text1"/>
          <w:sz w:val="22"/>
          <w:szCs w:val="22"/>
        </w:rPr>
        <w:t xml:space="preserve"> </w:t>
      </w:r>
    </w:p>
    <w:p w:rsidR="006F143F" w:rsidRPr="009328B3" w:rsidRDefault="006F143F" w:rsidP="006F143F">
      <w:pPr>
        <w:ind w:left="142"/>
        <w:rPr>
          <w:rFonts w:ascii="Calibri" w:hAnsi="Calibri"/>
          <w:color w:val="000000" w:themeColor="text1"/>
          <w:sz w:val="22"/>
          <w:szCs w:val="22"/>
        </w:rPr>
      </w:pPr>
    </w:p>
    <w:p w:rsidR="006F143F" w:rsidRPr="009328B3" w:rsidRDefault="006F143F" w:rsidP="006F143F">
      <w:pPr>
        <w:numPr>
          <w:ilvl w:val="0"/>
          <w:numId w:val="1"/>
        </w:numPr>
        <w:rPr>
          <w:rFonts w:ascii="Calibri" w:hAnsi="Calibri"/>
          <w:color w:val="000000" w:themeColor="text1"/>
          <w:sz w:val="22"/>
          <w:szCs w:val="22"/>
        </w:rPr>
      </w:pPr>
      <w:r w:rsidRPr="009328B3">
        <w:rPr>
          <w:rFonts w:ascii="Calibri" w:hAnsi="Calibri" w:cs="Calibri"/>
          <w:color w:val="000000" w:themeColor="text1"/>
          <w:sz w:val="22"/>
          <w:szCs w:val="22"/>
        </w:rPr>
        <w:t xml:space="preserve">The sum of </w:t>
      </w:r>
      <w:r w:rsidRPr="009328B3">
        <w:rPr>
          <w:rFonts w:ascii="Calibri" w:hAnsi="Calibri"/>
          <w:color w:val="000000" w:themeColor="text1"/>
          <w:sz w:val="22"/>
          <w:szCs w:val="22"/>
        </w:rPr>
        <w:t>the</w:t>
      </w:r>
      <w:r w:rsidRPr="009328B3">
        <w:rPr>
          <w:rFonts w:ascii="Calibri" w:hAnsi="Calibri" w:cs="Calibri"/>
          <w:color w:val="000000" w:themeColor="text1"/>
          <w:sz w:val="22"/>
          <w:szCs w:val="22"/>
        </w:rPr>
        <w:t xml:space="preserve"> masses on each axle or axle group falling within all the possible variations of axle group </w:t>
      </w:r>
      <w:proofErr w:type="spellStart"/>
      <w:r w:rsidRPr="009328B3">
        <w:rPr>
          <w:rFonts w:ascii="Calibri" w:hAnsi="Calibri" w:cs="Calibri"/>
          <w:color w:val="000000" w:themeColor="text1"/>
          <w:sz w:val="22"/>
          <w:szCs w:val="22"/>
        </w:rPr>
        <w:t>spacings</w:t>
      </w:r>
      <w:proofErr w:type="spellEnd"/>
      <w:r w:rsidRPr="009328B3">
        <w:rPr>
          <w:rFonts w:ascii="Calibri" w:hAnsi="Calibri" w:cs="Calibri"/>
          <w:color w:val="000000" w:themeColor="text1"/>
          <w:sz w:val="22"/>
          <w:szCs w:val="22"/>
        </w:rPr>
        <w:t xml:space="preserve"> must not be more than the maximum mass specified for the spacing.</w:t>
      </w:r>
    </w:p>
    <w:p w:rsidR="006F143F" w:rsidRPr="009328B3" w:rsidRDefault="006F143F" w:rsidP="006F143F">
      <w:pPr>
        <w:rPr>
          <w:rFonts w:ascii="Calibri" w:hAnsi="Calibri"/>
          <w:color w:val="000000" w:themeColor="text1"/>
          <w:sz w:val="22"/>
          <w:szCs w:val="22"/>
        </w:rPr>
      </w:pPr>
    </w:p>
    <w:p w:rsidR="006F143F" w:rsidRPr="009328B3" w:rsidRDefault="006F143F" w:rsidP="006F143F">
      <w:pPr>
        <w:numPr>
          <w:ilvl w:val="0"/>
          <w:numId w:val="1"/>
        </w:numPr>
        <w:rPr>
          <w:rFonts w:ascii="Calibri" w:hAnsi="Calibri"/>
          <w:color w:val="000000" w:themeColor="text1"/>
          <w:sz w:val="22"/>
          <w:szCs w:val="22"/>
        </w:rPr>
      </w:pPr>
      <w:r w:rsidRPr="009328B3">
        <w:rPr>
          <w:rFonts w:ascii="Calibri" w:hAnsi="Calibri"/>
          <w:color w:val="000000" w:themeColor="text1"/>
          <w:sz w:val="22"/>
          <w:szCs w:val="22"/>
        </w:rPr>
        <w:t xml:space="preserve">Concessional mass limits, higher mass limits and steer axle concessional mass limits may be </w:t>
      </w:r>
      <w:proofErr w:type="spellStart"/>
      <w:r w:rsidRPr="009328B3">
        <w:rPr>
          <w:rFonts w:ascii="Calibri" w:hAnsi="Calibri"/>
          <w:color w:val="000000" w:themeColor="text1"/>
          <w:sz w:val="22"/>
          <w:szCs w:val="22"/>
        </w:rPr>
        <w:t>utilised</w:t>
      </w:r>
      <w:proofErr w:type="spellEnd"/>
      <w:r w:rsidRPr="009328B3">
        <w:rPr>
          <w:rFonts w:ascii="Calibri" w:hAnsi="Calibri"/>
          <w:color w:val="000000" w:themeColor="text1"/>
          <w:sz w:val="22"/>
          <w:szCs w:val="22"/>
        </w:rPr>
        <w:t xml:space="preserve"> in conjunction with this notice.</w:t>
      </w:r>
    </w:p>
    <w:p w:rsidR="006F143F" w:rsidRPr="009328B3" w:rsidRDefault="006F143F" w:rsidP="006F143F">
      <w:pPr>
        <w:ind w:left="709" w:hanging="709"/>
        <w:rPr>
          <w:rFonts w:ascii="Calibri" w:hAnsi="Calibri"/>
          <w:b/>
          <w:color w:val="000000" w:themeColor="text1"/>
          <w:sz w:val="22"/>
          <w:szCs w:val="22"/>
        </w:rPr>
      </w:pPr>
    </w:p>
    <w:p w:rsidR="006F143F" w:rsidRPr="009328B3" w:rsidRDefault="006F143F" w:rsidP="006F143F">
      <w:pPr>
        <w:rPr>
          <w:rFonts w:ascii="Calibri" w:hAnsi="Calibri"/>
          <w:b/>
          <w:color w:val="000000" w:themeColor="text1"/>
          <w:sz w:val="22"/>
          <w:szCs w:val="22"/>
        </w:rPr>
      </w:pPr>
      <w:r w:rsidRPr="009328B3">
        <w:rPr>
          <w:rFonts w:ascii="Calibri" w:hAnsi="Calibri"/>
          <w:b/>
          <w:color w:val="000000" w:themeColor="text1"/>
          <w:sz w:val="22"/>
          <w:szCs w:val="22"/>
        </w:rPr>
        <w:t>Exemption from prescribed dimension requirements</w:t>
      </w:r>
    </w:p>
    <w:p w:rsidR="006F143F" w:rsidRPr="009328B3" w:rsidRDefault="006F143F" w:rsidP="006F143F">
      <w:pPr>
        <w:numPr>
          <w:ilvl w:val="0"/>
          <w:numId w:val="1"/>
        </w:numPr>
        <w:rPr>
          <w:rFonts w:ascii="Calibri" w:hAnsi="Calibri"/>
          <w:b/>
          <w:color w:val="000000" w:themeColor="text1"/>
          <w:sz w:val="22"/>
          <w:szCs w:val="22"/>
        </w:rPr>
      </w:pPr>
      <w:r w:rsidRPr="009328B3">
        <w:rPr>
          <w:rFonts w:ascii="Calibri" w:hAnsi="Calibri"/>
          <w:color w:val="000000" w:themeColor="text1"/>
          <w:sz w:val="22"/>
          <w:szCs w:val="22"/>
          <w:lang w:val="en-GB"/>
        </w:rPr>
        <w:t>This notice exempts a vehicle to which it applies from the provisions of Schedule 6 section 3(1</w:t>
      </w:r>
      <w:proofErr w:type="gramStart"/>
      <w:r w:rsidRPr="009328B3">
        <w:rPr>
          <w:rFonts w:ascii="Calibri" w:hAnsi="Calibri"/>
          <w:color w:val="000000" w:themeColor="text1"/>
          <w:sz w:val="22"/>
          <w:szCs w:val="22"/>
          <w:lang w:val="en-GB"/>
        </w:rPr>
        <w:t>)(</w:t>
      </w:r>
      <w:proofErr w:type="gramEnd"/>
      <w:r w:rsidRPr="009328B3">
        <w:rPr>
          <w:rFonts w:ascii="Calibri" w:hAnsi="Calibri"/>
          <w:color w:val="000000" w:themeColor="text1"/>
          <w:sz w:val="22"/>
          <w:szCs w:val="22"/>
          <w:lang w:val="en-GB"/>
        </w:rPr>
        <w:t>a) of the Regulation.</w:t>
      </w:r>
    </w:p>
    <w:p w:rsidR="006F143F" w:rsidRPr="009328B3" w:rsidRDefault="006F143F" w:rsidP="006F143F">
      <w:pPr>
        <w:rPr>
          <w:rFonts w:ascii="Calibri" w:hAnsi="Calibri"/>
          <w:color w:val="000000" w:themeColor="text1"/>
          <w:sz w:val="22"/>
          <w:szCs w:val="22"/>
        </w:rPr>
      </w:pPr>
    </w:p>
    <w:p w:rsidR="006F143F" w:rsidRPr="009328B3" w:rsidRDefault="006F143F" w:rsidP="006F143F">
      <w:pPr>
        <w:rPr>
          <w:rFonts w:ascii="Calibri" w:hAnsi="Calibri"/>
          <w:b/>
          <w:color w:val="000000" w:themeColor="text1"/>
          <w:sz w:val="22"/>
          <w:szCs w:val="22"/>
        </w:rPr>
      </w:pPr>
      <w:r w:rsidRPr="009328B3">
        <w:rPr>
          <w:rFonts w:ascii="Calibri" w:hAnsi="Calibri"/>
          <w:b/>
          <w:color w:val="000000" w:themeColor="text1"/>
          <w:sz w:val="22"/>
          <w:szCs w:val="22"/>
        </w:rPr>
        <w:t>Dimension requirements - Condition</w:t>
      </w:r>
    </w:p>
    <w:p w:rsidR="006F143F" w:rsidRPr="009328B3" w:rsidRDefault="006F143F" w:rsidP="006F143F">
      <w:pPr>
        <w:numPr>
          <w:ilvl w:val="0"/>
          <w:numId w:val="1"/>
        </w:numPr>
        <w:rPr>
          <w:rFonts w:ascii="Calibri" w:hAnsi="Calibri"/>
          <w:color w:val="000000" w:themeColor="text1"/>
          <w:sz w:val="22"/>
          <w:szCs w:val="22"/>
        </w:rPr>
      </w:pPr>
      <w:r w:rsidRPr="009328B3">
        <w:rPr>
          <w:rFonts w:ascii="Calibri" w:hAnsi="Calibri"/>
          <w:color w:val="000000" w:themeColor="text1"/>
          <w:sz w:val="22"/>
          <w:szCs w:val="22"/>
        </w:rPr>
        <w:t>A combination to which this Notice applies may be up to 31.5m in length.</w:t>
      </w:r>
    </w:p>
    <w:p w:rsidR="006F143F" w:rsidRPr="009328B3" w:rsidRDefault="006F143F" w:rsidP="006F143F">
      <w:pPr>
        <w:ind w:left="142"/>
        <w:rPr>
          <w:rFonts w:ascii="Calibri" w:hAnsi="Calibri"/>
          <w:color w:val="000000" w:themeColor="text1"/>
          <w:sz w:val="22"/>
          <w:szCs w:val="22"/>
        </w:rPr>
      </w:pPr>
    </w:p>
    <w:p w:rsidR="006F143F" w:rsidRPr="009328B3" w:rsidRDefault="006F143F" w:rsidP="006F143F">
      <w:pPr>
        <w:numPr>
          <w:ilvl w:val="0"/>
          <w:numId w:val="1"/>
        </w:numPr>
        <w:rPr>
          <w:rFonts w:ascii="Calibri" w:hAnsi="Calibri" w:cs="Calibri"/>
          <w:color w:val="000000" w:themeColor="text1"/>
          <w:sz w:val="22"/>
          <w:szCs w:val="22"/>
        </w:rPr>
      </w:pPr>
      <w:r w:rsidRPr="009328B3">
        <w:rPr>
          <w:rFonts w:ascii="Calibri" w:hAnsi="Calibri"/>
          <w:color w:val="000000" w:themeColor="text1"/>
          <w:sz w:val="22"/>
          <w:szCs w:val="22"/>
        </w:rPr>
        <w:t>A trailer to which this Notice applies must have a draw bar length of not more than 5m in length but not less than 3m in length.</w:t>
      </w:r>
    </w:p>
    <w:p w:rsidR="006F143F" w:rsidRPr="009328B3" w:rsidRDefault="006F143F" w:rsidP="006F143F">
      <w:pPr>
        <w:ind w:left="142"/>
        <w:rPr>
          <w:rFonts w:ascii="Calibri" w:hAnsi="Calibri" w:cs="Calibri"/>
          <w:color w:val="000000" w:themeColor="text1"/>
          <w:sz w:val="22"/>
          <w:szCs w:val="22"/>
        </w:rPr>
      </w:pPr>
    </w:p>
    <w:p w:rsidR="006F143F" w:rsidRPr="009328B3" w:rsidRDefault="006F143F" w:rsidP="006F143F">
      <w:pPr>
        <w:ind w:left="720"/>
        <w:rPr>
          <w:rFonts w:ascii="Calibri" w:hAnsi="Calibri" w:cs="Calibri"/>
          <w:color w:val="000000" w:themeColor="text1"/>
          <w:sz w:val="18"/>
          <w:szCs w:val="18"/>
        </w:rPr>
      </w:pPr>
      <w:r w:rsidRPr="009328B3">
        <w:rPr>
          <w:rFonts w:ascii="Calibri" w:hAnsi="Calibri" w:cs="Calibri"/>
          <w:color w:val="000000" w:themeColor="text1"/>
          <w:sz w:val="18"/>
          <w:szCs w:val="18"/>
        </w:rPr>
        <w:t xml:space="preserve">Note— </w:t>
      </w:r>
      <w:proofErr w:type="gramStart"/>
      <w:r w:rsidRPr="009328B3">
        <w:rPr>
          <w:rFonts w:ascii="Calibri" w:hAnsi="Calibri" w:cs="Calibri"/>
          <w:color w:val="000000" w:themeColor="text1"/>
          <w:sz w:val="18"/>
          <w:szCs w:val="18"/>
        </w:rPr>
        <w:t>On</w:t>
      </w:r>
      <w:proofErr w:type="gramEnd"/>
      <w:r w:rsidRPr="009328B3">
        <w:rPr>
          <w:rFonts w:ascii="Calibri" w:hAnsi="Calibri" w:cs="Calibri"/>
          <w:color w:val="000000" w:themeColor="text1"/>
          <w:sz w:val="18"/>
          <w:szCs w:val="18"/>
        </w:rPr>
        <w:t xml:space="preserve"> a dog trailer, the distance in clause 15is to be measured between the coupling pivot point on the drawbar and the </w:t>
      </w:r>
      <w:proofErr w:type="spellStart"/>
      <w:r w:rsidRPr="009328B3">
        <w:rPr>
          <w:rFonts w:ascii="Calibri" w:hAnsi="Calibri" w:cs="Calibri"/>
          <w:color w:val="000000" w:themeColor="text1"/>
          <w:sz w:val="18"/>
          <w:szCs w:val="18"/>
        </w:rPr>
        <w:t>centre</w:t>
      </w:r>
      <w:proofErr w:type="spellEnd"/>
      <w:r w:rsidRPr="009328B3">
        <w:rPr>
          <w:rFonts w:ascii="Calibri" w:hAnsi="Calibri" w:cs="Calibri"/>
          <w:color w:val="000000" w:themeColor="text1"/>
          <w:sz w:val="18"/>
          <w:szCs w:val="18"/>
        </w:rPr>
        <w:t xml:space="preserve"> of the front axle </w:t>
      </w:r>
      <w:r w:rsidRPr="009328B3">
        <w:rPr>
          <w:rFonts w:ascii="Calibri" w:hAnsi="Calibri" w:cs="Calibri"/>
          <w:b/>
          <w:color w:val="000000" w:themeColor="text1"/>
          <w:sz w:val="18"/>
          <w:szCs w:val="18"/>
        </w:rPr>
        <w:t>of the trailer</w:t>
      </w:r>
      <w:r w:rsidRPr="009328B3">
        <w:rPr>
          <w:rFonts w:ascii="Calibri" w:hAnsi="Calibri" w:cs="Calibri"/>
          <w:color w:val="000000" w:themeColor="text1"/>
          <w:sz w:val="18"/>
          <w:szCs w:val="18"/>
        </w:rPr>
        <w:t xml:space="preserve"> axle group</w:t>
      </w:r>
    </w:p>
    <w:p w:rsidR="006F143F" w:rsidRPr="009328B3" w:rsidRDefault="006F143F" w:rsidP="006F143F">
      <w:pPr>
        <w:rPr>
          <w:rFonts w:ascii="Calibri" w:hAnsi="Calibri"/>
          <w:color w:val="000000" w:themeColor="text1"/>
          <w:sz w:val="22"/>
          <w:szCs w:val="22"/>
        </w:rPr>
      </w:pPr>
    </w:p>
    <w:p w:rsidR="006F143F" w:rsidRPr="009328B3" w:rsidRDefault="006F143F" w:rsidP="006F143F">
      <w:pPr>
        <w:rPr>
          <w:rFonts w:ascii="Calibri" w:hAnsi="Calibri"/>
          <w:b/>
          <w:color w:val="000000" w:themeColor="text1"/>
          <w:sz w:val="22"/>
          <w:szCs w:val="22"/>
        </w:rPr>
      </w:pPr>
      <w:r w:rsidRPr="009328B3">
        <w:rPr>
          <w:rFonts w:ascii="Calibri" w:hAnsi="Calibri"/>
          <w:b/>
          <w:color w:val="000000" w:themeColor="text1"/>
          <w:sz w:val="22"/>
          <w:szCs w:val="22"/>
        </w:rPr>
        <w:t>Vehicle requirements - Condition</w:t>
      </w:r>
    </w:p>
    <w:p w:rsidR="006F143F" w:rsidRPr="009328B3" w:rsidRDefault="006F143F" w:rsidP="006F143F">
      <w:pPr>
        <w:numPr>
          <w:ilvl w:val="0"/>
          <w:numId w:val="1"/>
        </w:numPr>
        <w:rPr>
          <w:rFonts w:ascii="Calibri" w:hAnsi="Calibri" w:cs="Helvetica"/>
          <w:color w:val="000000" w:themeColor="text1"/>
          <w:sz w:val="22"/>
          <w:szCs w:val="22"/>
        </w:rPr>
      </w:pPr>
      <w:r w:rsidRPr="009328B3">
        <w:rPr>
          <w:rFonts w:ascii="Calibri" w:hAnsi="Calibri"/>
          <w:color w:val="000000" w:themeColor="text1"/>
          <w:sz w:val="22"/>
          <w:szCs w:val="22"/>
        </w:rPr>
        <w:t>A vehicle to which this notice applies must have an o</w:t>
      </w:r>
      <w:r w:rsidRPr="009328B3">
        <w:rPr>
          <w:rFonts w:ascii="Calibri" w:hAnsi="Calibri" w:cs="Calibri"/>
          <w:color w:val="000000" w:themeColor="text1"/>
          <w:sz w:val="22"/>
          <w:szCs w:val="22"/>
        </w:rPr>
        <w:t xml:space="preserve">perating angle of the drawbar to be </w:t>
      </w:r>
      <w:r w:rsidRPr="009328B3">
        <w:rPr>
          <w:rFonts w:ascii="Calibri" w:hAnsi="Calibri"/>
          <w:color w:val="000000" w:themeColor="text1"/>
          <w:sz w:val="22"/>
          <w:szCs w:val="22"/>
        </w:rPr>
        <w:t>within</w:t>
      </w:r>
      <w:r w:rsidRPr="009328B3">
        <w:rPr>
          <w:rFonts w:ascii="Calibri" w:hAnsi="Calibri" w:cs="Calibri"/>
          <w:color w:val="000000" w:themeColor="text1"/>
          <w:sz w:val="22"/>
          <w:szCs w:val="22"/>
        </w:rPr>
        <w:t xml:space="preserve"> 5 degrees of horizontal when the assembled laden combination is standing on a level surface.</w:t>
      </w:r>
    </w:p>
    <w:p w:rsidR="006F143F" w:rsidRPr="009328B3" w:rsidRDefault="006F143F" w:rsidP="006F143F">
      <w:pPr>
        <w:ind w:left="180"/>
        <w:rPr>
          <w:rFonts w:ascii="Calibri" w:hAnsi="Calibri" w:cs="Helvetica"/>
          <w:color w:val="000000" w:themeColor="text1"/>
          <w:sz w:val="22"/>
          <w:szCs w:val="22"/>
        </w:rPr>
      </w:pPr>
    </w:p>
    <w:p w:rsidR="006F143F" w:rsidRPr="009328B3" w:rsidRDefault="006F143F" w:rsidP="006F143F">
      <w:pPr>
        <w:numPr>
          <w:ilvl w:val="0"/>
          <w:numId w:val="1"/>
        </w:numPr>
        <w:rPr>
          <w:rFonts w:ascii="Calibri" w:hAnsi="Calibri" w:cs="Helvetica"/>
          <w:color w:val="000000" w:themeColor="text1"/>
          <w:sz w:val="22"/>
          <w:szCs w:val="22"/>
        </w:rPr>
      </w:pPr>
      <w:r w:rsidRPr="009328B3">
        <w:rPr>
          <w:rFonts w:ascii="Calibri" w:hAnsi="Calibri" w:cs="Helvetica"/>
          <w:color w:val="000000" w:themeColor="text1"/>
          <w:sz w:val="22"/>
          <w:szCs w:val="22"/>
        </w:rPr>
        <w:t xml:space="preserve">Drawbar connections may be part of a fixed or converter dolly. A dog trailer has a fixed </w:t>
      </w:r>
      <w:r w:rsidRPr="009328B3">
        <w:rPr>
          <w:rFonts w:ascii="Calibri" w:hAnsi="Calibri"/>
          <w:color w:val="000000" w:themeColor="text1"/>
          <w:sz w:val="22"/>
          <w:szCs w:val="22"/>
        </w:rPr>
        <w:t>dolly</w:t>
      </w:r>
      <w:r w:rsidRPr="009328B3">
        <w:rPr>
          <w:rFonts w:ascii="Calibri" w:hAnsi="Calibri" w:cs="Helvetica"/>
          <w:color w:val="000000" w:themeColor="text1"/>
          <w:sz w:val="22"/>
          <w:szCs w:val="22"/>
        </w:rPr>
        <w:t xml:space="preserve"> unless a converter dolly is used to convert a semitrailer to a dog trailer.</w:t>
      </w:r>
    </w:p>
    <w:p w:rsidR="006F143F" w:rsidRPr="009328B3" w:rsidRDefault="006F143F" w:rsidP="006F143F">
      <w:pPr>
        <w:ind w:left="1080"/>
        <w:rPr>
          <w:rFonts w:ascii="Calibri" w:hAnsi="Calibri" w:cs="Calibri"/>
          <w:color w:val="000000" w:themeColor="text1"/>
          <w:sz w:val="22"/>
          <w:szCs w:val="22"/>
        </w:rPr>
      </w:pPr>
    </w:p>
    <w:p w:rsidR="006F143F" w:rsidRPr="009328B3" w:rsidRDefault="006F143F" w:rsidP="006F143F">
      <w:pPr>
        <w:ind w:left="1080"/>
        <w:rPr>
          <w:rFonts w:ascii="Calibri" w:hAnsi="Calibri" w:cs="Calibri"/>
          <w:color w:val="000000" w:themeColor="text1"/>
          <w:sz w:val="22"/>
          <w:szCs w:val="22"/>
        </w:rPr>
      </w:pPr>
    </w:p>
    <w:p w:rsidR="006F143F" w:rsidRPr="009328B3" w:rsidRDefault="006F143F" w:rsidP="006F143F">
      <w:pPr>
        <w:ind w:left="1080"/>
        <w:rPr>
          <w:rFonts w:ascii="Calibri" w:hAnsi="Calibri" w:cs="Calibri"/>
          <w:color w:val="000000" w:themeColor="text1"/>
          <w:sz w:val="22"/>
          <w:szCs w:val="22"/>
        </w:rPr>
      </w:pPr>
    </w:p>
    <w:p w:rsidR="006F143F" w:rsidRPr="009328B3" w:rsidRDefault="006F143F" w:rsidP="006F143F">
      <w:pPr>
        <w:ind w:left="1080"/>
        <w:rPr>
          <w:rFonts w:ascii="Calibri" w:hAnsi="Calibri" w:cs="Calibri"/>
          <w:color w:val="000000" w:themeColor="text1"/>
          <w:sz w:val="22"/>
          <w:szCs w:val="22"/>
        </w:rPr>
      </w:pPr>
    </w:p>
    <w:p w:rsidR="006F143F" w:rsidRPr="009328B3" w:rsidRDefault="006F143F" w:rsidP="006F143F">
      <w:pPr>
        <w:ind w:left="1080"/>
        <w:rPr>
          <w:rFonts w:ascii="Calibri" w:hAnsi="Calibri" w:cs="Calibri"/>
          <w:color w:val="000000" w:themeColor="text1"/>
          <w:sz w:val="22"/>
          <w:szCs w:val="22"/>
        </w:rPr>
      </w:pPr>
    </w:p>
    <w:p w:rsidR="006F143F" w:rsidRPr="009328B3" w:rsidRDefault="006F143F" w:rsidP="006F143F">
      <w:pPr>
        <w:numPr>
          <w:ilvl w:val="0"/>
          <w:numId w:val="1"/>
        </w:numPr>
        <w:rPr>
          <w:rFonts w:ascii="Calibri" w:hAnsi="Calibri" w:cs="Calibri"/>
          <w:color w:val="000000" w:themeColor="text1"/>
          <w:sz w:val="22"/>
          <w:szCs w:val="22"/>
        </w:rPr>
      </w:pPr>
      <w:r w:rsidRPr="009328B3">
        <w:rPr>
          <w:rFonts w:ascii="Calibri" w:hAnsi="Calibri"/>
          <w:color w:val="000000" w:themeColor="text1"/>
          <w:sz w:val="22"/>
          <w:szCs w:val="22"/>
        </w:rPr>
        <w:lastRenderedPageBreak/>
        <w:t xml:space="preserve">A vehicle to which this notice applies must also comply with the following </w:t>
      </w:r>
      <w:r w:rsidRPr="009328B3">
        <w:rPr>
          <w:rFonts w:ascii="Calibri" w:hAnsi="Calibri" w:cs="Calibri"/>
          <w:color w:val="000000" w:themeColor="text1"/>
          <w:sz w:val="22"/>
          <w:szCs w:val="22"/>
        </w:rPr>
        <w:t xml:space="preserve">requirements of the </w:t>
      </w:r>
      <w:r w:rsidRPr="009328B3">
        <w:rPr>
          <w:rFonts w:ascii="Calibri" w:hAnsi="Calibri" w:cs="Calibri"/>
          <w:i/>
          <w:color w:val="000000" w:themeColor="text1"/>
          <w:sz w:val="22"/>
          <w:szCs w:val="22"/>
        </w:rPr>
        <w:t xml:space="preserve">Heavy Vehicle (Vehicle Standards) National Regulation — </w:t>
      </w:r>
    </w:p>
    <w:p w:rsidR="006F143F" w:rsidRPr="009328B3" w:rsidRDefault="006F143F" w:rsidP="006F143F">
      <w:pPr>
        <w:numPr>
          <w:ilvl w:val="0"/>
          <w:numId w:val="2"/>
        </w:numPr>
        <w:rPr>
          <w:rFonts w:ascii="Calibri" w:hAnsi="Calibri"/>
          <w:color w:val="000000" w:themeColor="text1"/>
          <w:sz w:val="22"/>
          <w:szCs w:val="22"/>
        </w:rPr>
      </w:pPr>
      <w:r w:rsidRPr="009328B3">
        <w:rPr>
          <w:rFonts w:ascii="Calibri" w:hAnsi="Calibri"/>
          <w:color w:val="000000" w:themeColor="text1"/>
          <w:sz w:val="22"/>
          <w:szCs w:val="22"/>
        </w:rPr>
        <w:t>Schedule 1, section 109 (Speed limiting); and</w:t>
      </w:r>
    </w:p>
    <w:p w:rsidR="006F143F" w:rsidRPr="009328B3" w:rsidRDefault="006F143F" w:rsidP="006F143F">
      <w:pPr>
        <w:numPr>
          <w:ilvl w:val="0"/>
          <w:numId w:val="2"/>
        </w:numPr>
        <w:rPr>
          <w:rFonts w:ascii="Calibri" w:hAnsi="Calibri"/>
          <w:color w:val="000000" w:themeColor="text1"/>
          <w:sz w:val="22"/>
          <w:szCs w:val="22"/>
        </w:rPr>
      </w:pPr>
      <w:r w:rsidRPr="009328B3">
        <w:rPr>
          <w:rFonts w:ascii="Calibri" w:hAnsi="Calibri"/>
          <w:color w:val="000000" w:themeColor="text1"/>
          <w:sz w:val="22"/>
          <w:szCs w:val="22"/>
        </w:rPr>
        <w:t>Schedule 3, Part 1 (Preliminary) and</w:t>
      </w:r>
    </w:p>
    <w:p w:rsidR="006F143F" w:rsidRPr="009328B3" w:rsidRDefault="006F143F" w:rsidP="006F143F">
      <w:pPr>
        <w:numPr>
          <w:ilvl w:val="0"/>
          <w:numId w:val="2"/>
        </w:numPr>
        <w:rPr>
          <w:rFonts w:ascii="Calibri" w:hAnsi="Calibri"/>
          <w:color w:val="000000" w:themeColor="text1"/>
          <w:sz w:val="22"/>
          <w:szCs w:val="22"/>
        </w:rPr>
      </w:pPr>
      <w:r w:rsidRPr="009328B3">
        <w:rPr>
          <w:rFonts w:ascii="Calibri" w:hAnsi="Calibri"/>
          <w:color w:val="000000" w:themeColor="text1"/>
          <w:sz w:val="22"/>
          <w:szCs w:val="22"/>
        </w:rPr>
        <w:t>Schedule 3 Part 2; and</w:t>
      </w:r>
    </w:p>
    <w:p w:rsidR="006F143F" w:rsidRPr="009328B3" w:rsidRDefault="006F143F" w:rsidP="006F143F">
      <w:pPr>
        <w:numPr>
          <w:ilvl w:val="0"/>
          <w:numId w:val="2"/>
        </w:numPr>
        <w:rPr>
          <w:rFonts w:ascii="Calibri" w:hAnsi="Calibri" w:cs="Calibri"/>
          <w:color w:val="000000" w:themeColor="text1"/>
          <w:sz w:val="22"/>
          <w:szCs w:val="22"/>
        </w:rPr>
      </w:pPr>
      <w:r w:rsidRPr="009328B3">
        <w:rPr>
          <w:rFonts w:ascii="Calibri" w:hAnsi="Calibri"/>
          <w:color w:val="000000" w:themeColor="text1"/>
          <w:sz w:val="22"/>
          <w:szCs w:val="22"/>
        </w:rPr>
        <w:t>Either</w:t>
      </w:r>
      <w:r w:rsidRPr="009328B3">
        <w:rPr>
          <w:rFonts w:ascii="Calibri" w:hAnsi="Calibri" w:cs="Calibri"/>
          <w:color w:val="000000" w:themeColor="text1"/>
          <w:sz w:val="22"/>
          <w:szCs w:val="22"/>
        </w:rPr>
        <w:t>—</w:t>
      </w:r>
    </w:p>
    <w:p w:rsidR="006F143F" w:rsidRPr="009328B3" w:rsidRDefault="006F143F" w:rsidP="006F143F">
      <w:pPr>
        <w:numPr>
          <w:ilvl w:val="1"/>
          <w:numId w:val="2"/>
        </w:numPr>
        <w:rPr>
          <w:rFonts w:ascii="Calibri" w:hAnsi="Calibri" w:cs="Calibri"/>
          <w:color w:val="000000" w:themeColor="text1"/>
          <w:sz w:val="22"/>
          <w:szCs w:val="22"/>
        </w:rPr>
      </w:pPr>
      <w:r w:rsidRPr="009328B3">
        <w:rPr>
          <w:rFonts w:ascii="Calibri" w:hAnsi="Calibri" w:cs="Calibri"/>
          <w:color w:val="000000" w:themeColor="text1"/>
          <w:sz w:val="22"/>
          <w:szCs w:val="22"/>
        </w:rPr>
        <w:t xml:space="preserve">Schedule 3, section 5 (Warning signs for combinations longer than 22m) and 6 (Specifications for warning sign); or </w:t>
      </w:r>
    </w:p>
    <w:p w:rsidR="006F143F" w:rsidRPr="009328B3" w:rsidRDefault="006F143F" w:rsidP="006F143F">
      <w:pPr>
        <w:numPr>
          <w:ilvl w:val="1"/>
          <w:numId w:val="2"/>
        </w:numPr>
        <w:rPr>
          <w:rFonts w:ascii="Calibri" w:hAnsi="Calibri" w:cs="Calibri"/>
          <w:color w:val="000000" w:themeColor="text1"/>
          <w:sz w:val="22"/>
          <w:szCs w:val="22"/>
        </w:rPr>
      </w:pPr>
      <w:r w:rsidRPr="009328B3">
        <w:rPr>
          <w:rFonts w:ascii="Calibri" w:hAnsi="Calibri" w:cs="Calibri"/>
          <w:color w:val="000000" w:themeColor="text1"/>
          <w:sz w:val="22"/>
          <w:szCs w:val="22"/>
        </w:rPr>
        <w:t xml:space="preserve">a flexible warning sign that is attached to the vehicle by use of clips is acceptable, provided that the sign— </w:t>
      </w:r>
    </w:p>
    <w:p w:rsidR="006F143F" w:rsidRPr="009328B3" w:rsidRDefault="006F143F" w:rsidP="006F143F">
      <w:pPr>
        <w:numPr>
          <w:ilvl w:val="2"/>
          <w:numId w:val="2"/>
        </w:numPr>
        <w:rPr>
          <w:rFonts w:ascii="Calibri" w:hAnsi="Calibri" w:cs="Calibri"/>
          <w:color w:val="000000" w:themeColor="text1"/>
          <w:sz w:val="22"/>
          <w:szCs w:val="22"/>
        </w:rPr>
      </w:pPr>
      <w:r w:rsidRPr="009328B3">
        <w:rPr>
          <w:rFonts w:ascii="Calibri" w:hAnsi="Calibri" w:cs="Calibri"/>
          <w:color w:val="000000" w:themeColor="text1"/>
          <w:sz w:val="22"/>
          <w:szCs w:val="22"/>
        </w:rPr>
        <w:t>otherwise complies with all requirements, Part 3 – Vehicle marking, sections 5 and 6 of Schedule 3; and</w:t>
      </w:r>
    </w:p>
    <w:p w:rsidR="006F143F" w:rsidRPr="009328B3" w:rsidRDefault="006F143F" w:rsidP="006F143F">
      <w:pPr>
        <w:numPr>
          <w:ilvl w:val="2"/>
          <w:numId w:val="2"/>
        </w:numPr>
        <w:rPr>
          <w:rFonts w:ascii="Calibri" w:hAnsi="Calibri" w:cs="Calibri"/>
          <w:color w:val="000000" w:themeColor="text1"/>
          <w:sz w:val="22"/>
          <w:szCs w:val="22"/>
        </w:rPr>
      </w:pPr>
      <w:r w:rsidRPr="009328B3">
        <w:rPr>
          <w:rFonts w:ascii="Calibri" w:hAnsi="Calibri" w:cs="Calibri"/>
          <w:color w:val="000000" w:themeColor="text1"/>
          <w:sz w:val="22"/>
          <w:szCs w:val="22"/>
        </w:rPr>
        <w:t>is attached to a rigid solid vertical surface in a way that the wording and borders of the sign are clearly visible; and</w:t>
      </w:r>
    </w:p>
    <w:p w:rsidR="006F143F" w:rsidRPr="009328B3" w:rsidRDefault="006F143F" w:rsidP="006F143F">
      <w:pPr>
        <w:numPr>
          <w:ilvl w:val="2"/>
          <w:numId w:val="2"/>
        </w:numPr>
        <w:rPr>
          <w:rFonts w:ascii="Calibri" w:hAnsi="Calibri" w:cs="Calibri"/>
          <w:color w:val="000000" w:themeColor="text1"/>
          <w:sz w:val="22"/>
          <w:szCs w:val="22"/>
        </w:rPr>
      </w:pPr>
      <w:r w:rsidRPr="009328B3">
        <w:rPr>
          <w:rFonts w:ascii="Calibri" w:hAnsi="Calibri" w:cs="Calibri"/>
          <w:color w:val="000000" w:themeColor="text1"/>
          <w:sz w:val="22"/>
          <w:szCs w:val="22"/>
        </w:rPr>
        <w:t>does not flap or otherwise warp under all operating conditions; and</w:t>
      </w:r>
    </w:p>
    <w:p w:rsidR="006F143F" w:rsidRPr="009328B3" w:rsidRDefault="006F143F" w:rsidP="006F143F">
      <w:pPr>
        <w:numPr>
          <w:ilvl w:val="0"/>
          <w:numId w:val="2"/>
        </w:numPr>
        <w:rPr>
          <w:rFonts w:ascii="Calibri" w:hAnsi="Calibri"/>
          <w:color w:val="000000" w:themeColor="text1"/>
          <w:sz w:val="22"/>
          <w:szCs w:val="22"/>
        </w:rPr>
      </w:pPr>
      <w:r w:rsidRPr="009328B3">
        <w:rPr>
          <w:rFonts w:ascii="Calibri" w:hAnsi="Calibri"/>
          <w:color w:val="000000" w:themeColor="text1"/>
          <w:sz w:val="22"/>
          <w:szCs w:val="22"/>
        </w:rPr>
        <w:t>Schedule 3, Part 4 (Braking systems) as though any reference in that Part to a road train were a reference to a vehicle to which this notice applies; and</w:t>
      </w:r>
      <w:r w:rsidRPr="009328B3">
        <w:rPr>
          <w:rFonts w:ascii="Calibri" w:hAnsi="Calibri"/>
          <w:color w:val="000000" w:themeColor="text1"/>
          <w:sz w:val="22"/>
          <w:szCs w:val="22"/>
        </w:rPr>
        <w:tab/>
      </w:r>
    </w:p>
    <w:p w:rsidR="006F143F" w:rsidRPr="009328B3" w:rsidRDefault="006F143F" w:rsidP="006F143F">
      <w:pPr>
        <w:numPr>
          <w:ilvl w:val="0"/>
          <w:numId w:val="2"/>
        </w:numPr>
        <w:rPr>
          <w:rFonts w:ascii="Calibri" w:hAnsi="Calibri"/>
          <w:color w:val="000000" w:themeColor="text1"/>
          <w:sz w:val="22"/>
          <w:szCs w:val="22"/>
        </w:rPr>
      </w:pPr>
      <w:r w:rsidRPr="009328B3">
        <w:rPr>
          <w:rFonts w:ascii="Calibri" w:hAnsi="Calibri"/>
          <w:color w:val="000000" w:themeColor="text1"/>
          <w:sz w:val="22"/>
          <w:szCs w:val="22"/>
        </w:rPr>
        <w:t>Schedule 3, Part 5 (Mechanical connections between vehicles in combinations), Division 2.</w:t>
      </w:r>
    </w:p>
    <w:p w:rsidR="006F143F" w:rsidRPr="009328B3" w:rsidRDefault="006F143F" w:rsidP="006F143F">
      <w:pPr>
        <w:autoSpaceDE w:val="0"/>
        <w:autoSpaceDN w:val="0"/>
        <w:rPr>
          <w:rFonts w:ascii="Calibri" w:hAnsi="Calibri" w:cs="Calibri"/>
          <w:color w:val="000000" w:themeColor="text1"/>
          <w:sz w:val="22"/>
          <w:szCs w:val="22"/>
        </w:rPr>
      </w:pPr>
    </w:p>
    <w:p w:rsidR="006F143F" w:rsidRPr="009328B3" w:rsidRDefault="006F143F" w:rsidP="006F143F">
      <w:pPr>
        <w:autoSpaceDE w:val="0"/>
        <w:autoSpaceDN w:val="0"/>
        <w:ind w:left="426" w:hanging="568"/>
        <w:rPr>
          <w:rFonts w:ascii="Calibri" w:hAnsi="Calibri" w:cs="Calibri"/>
          <w:b/>
          <w:color w:val="000000" w:themeColor="text1"/>
          <w:sz w:val="22"/>
          <w:szCs w:val="22"/>
        </w:rPr>
      </w:pPr>
      <w:r w:rsidRPr="009328B3">
        <w:rPr>
          <w:rFonts w:ascii="Calibri" w:hAnsi="Calibri" w:cs="Calibri"/>
          <w:b/>
          <w:color w:val="000000" w:themeColor="text1"/>
          <w:sz w:val="22"/>
          <w:szCs w:val="22"/>
        </w:rPr>
        <w:t>Certification - Condition</w:t>
      </w:r>
    </w:p>
    <w:p w:rsidR="006F143F" w:rsidRPr="009328B3" w:rsidRDefault="006F143F" w:rsidP="006F143F">
      <w:pPr>
        <w:numPr>
          <w:ilvl w:val="0"/>
          <w:numId w:val="1"/>
        </w:numPr>
        <w:rPr>
          <w:rFonts w:ascii="Calibri" w:hAnsi="Calibri"/>
          <w:color w:val="000000" w:themeColor="text1"/>
          <w:sz w:val="22"/>
          <w:szCs w:val="22"/>
        </w:rPr>
      </w:pPr>
      <w:r w:rsidRPr="009328B3">
        <w:rPr>
          <w:rFonts w:ascii="Calibri" w:hAnsi="Calibri"/>
          <w:color w:val="000000" w:themeColor="text1"/>
          <w:sz w:val="22"/>
          <w:szCs w:val="22"/>
        </w:rPr>
        <w:t xml:space="preserve">A vehicle to which this notice applies must be certified with the appropriate code under the </w:t>
      </w:r>
      <w:r w:rsidRPr="009328B3">
        <w:rPr>
          <w:rFonts w:ascii="Calibri" w:hAnsi="Calibri"/>
          <w:i/>
          <w:color w:val="000000" w:themeColor="text1"/>
          <w:sz w:val="22"/>
          <w:szCs w:val="22"/>
        </w:rPr>
        <w:t>National Code of Practice for Commercial Vehicle Modifications</w:t>
      </w:r>
      <w:r w:rsidRPr="009328B3">
        <w:rPr>
          <w:rFonts w:ascii="Calibri" w:hAnsi="Calibri"/>
          <w:color w:val="000000" w:themeColor="text1"/>
          <w:sz w:val="22"/>
          <w:szCs w:val="22"/>
        </w:rPr>
        <w:t xml:space="preserve">. The appropriate codes for a road train are S8 for the hauling unit and S11 for the trailers. Approvals for road trains previously issued under the Queensland Code of Practice for Commercial Vehicle Modifications are also acceptable.  </w:t>
      </w:r>
    </w:p>
    <w:p w:rsidR="006F143F" w:rsidRPr="009328B3" w:rsidRDefault="006F143F" w:rsidP="006F143F">
      <w:pPr>
        <w:ind w:left="142"/>
        <w:rPr>
          <w:rFonts w:ascii="Calibri" w:hAnsi="Calibri"/>
          <w:color w:val="000000" w:themeColor="text1"/>
          <w:sz w:val="22"/>
          <w:szCs w:val="22"/>
        </w:rPr>
      </w:pPr>
    </w:p>
    <w:p w:rsidR="006F143F" w:rsidRPr="009328B3" w:rsidRDefault="006F143F" w:rsidP="006F143F">
      <w:pPr>
        <w:numPr>
          <w:ilvl w:val="0"/>
          <w:numId w:val="1"/>
        </w:numPr>
        <w:rPr>
          <w:rFonts w:ascii="Calibri" w:hAnsi="Calibri"/>
          <w:color w:val="000000" w:themeColor="text1"/>
          <w:sz w:val="22"/>
          <w:szCs w:val="22"/>
        </w:rPr>
      </w:pPr>
      <w:r w:rsidRPr="009328B3">
        <w:rPr>
          <w:rFonts w:ascii="Calibri" w:hAnsi="Calibri"/>
          <w:color w:val="000000" w:themeColor="text1"/>
          <w:sz w:val="22"/>
          <w:szCs w:val="22"/>
        </w:rPr>
        <w:t>A road train certification issued by the Department of Transport and Main Roads (</w:t>
      </w:r>
      <w:smartTag w:uri="urn:schemas-microsoft-com:office:smarttags" w:element="place">
        <w:smartTag w:uri="urn:schemas-microsoft-com:office:smarttags" w:element="State">
          <w:r w:rsidRPr="009328B3">
            <w:rPr>
              <w:rFonts w:ascii="Calibri" w:hAnsi="Calibri"/>
              <w:color w:val="000000" w:themeColor="text1"/>
              <w:sz w:val="22"/>
              <w:szCs w:val="22"/>
            </w:rPr>
            <w:t>Queensland</w:t>
          </w:r>
        </w:smartTag>
      </w:smartTag>
      <w:r w:rsidRPr="009328B3">
        <w:rPr>
          <w:rFonts w:ascii="Calibri" w:hAnsi="Calibri"/>
          <w:color w:val="000000" w:themeColor="text1"/>
          <w:sz w:val="22"/>
          <w:szCs w:val="22"/>
        </w:rPr>
        <w:t>) is also acceptable for a road train.</w:t>
      </w:r>
    </w:p>
    <w:p w:rsidR="006F143F" w:rsidRPr="009328B3" w:rsidRDefault="006F143F" w:rsidP="006F143F">
      <w:pPr>
        <w:ind w:left="142"/>
        <w:rPr>
          <w:rFonts w:ascii="Calibri" w:hAnsi="Calibri"/>
          <w:color w:val="000000" w:themeColor="text1"/>
          <w:sz w:val="22"/>
          <w:szCs w:val="22"/>
        </w:rPr>
      </w:pPr>
    </w:p>
    <w:p w:rsidR="006F143F" w:rsidRPr="009328B3" w:rsidRDefault="006F143F" w:rsidP="006F143F">
      <w:pPr>
        <w:numPr>
          <w:ilvl w:val="0"/>
          <w:numId w:val="1"/>
        </w:numPr>
        <w:rPr>
          <w:rFonts w:ascii="Calibri" w:hAnsi="Calibri"/>
          <w:color w:val="000000" w:themeColor="text1"/>
          <w:sz w:val="22"/>
          <w:szCs w:val="22"/>
        </w:rPr>
      </w:pPr>
      <w:r w:rsidRPr="009328B3">
        <w:rPr>
          <w:rFonts w:ascii="Calibri" w:hAnsi="Calibri"/>
          <w:color w:val="000000" w:themeColor="text1"/>
          <w:sz w:val="22"/>
          <w:szCs w:val="22"/>
        </w:rPr>
        <w:t>The certification defined in section 19 is not required for—</w:t>
      </w:r>
    </w:p>
    <w:p w:rsidR="006F143F" w:rsidRPr="009328B3" w:rsidRDefault="006F143F" w:rsidP="006F143F">
      <w:pPr>
        <w:numPr>
          <w:ilvl w:val="0"/>
          <w:numId w:val="3"/>
        </w:numPr>
        <w:rPr>
          <w:rFonts w:ascii="Calibri" w:hAnsi="Calibri"/>
          <w:color w:val="000000" w:themeColor="text1"/>
          <w:sz w:val="22"/>
          <w:szCs w:val="22"/>
        </w:rPr>
      </w:pPr>
      <w:proofErr w:type="gramStart"/>
      <w:r w:rsidRPr="009328B3">
        <w:rPr>
          <w:rFonts w:ascii="Calibri" w:hAnsi="Calibri"/>
          <w:color w:val="000000" w:themeColor="text1"/>
          <w:sz w:val="22"/>
          <w:szCs w:val="22"/>
        </w:rPr>
        <w:t>trucks</w:t>
      </w:r>
      <w:proofErr w:type="gramEnd"/>
      <w:r w:rsidRPr="009328B3">
        <w:rPr>
          <w:rFonts w:ascii="Calibri" w:hAnsi="Calibri"/>
          <w:color w:val="000000" w:themeColor="text1"/>
          <w:sz w:val="22"/>
          <w:szCs w:val="22"/>
        </w:rPr>
        <w:t xml:space="preserve"> manufactured in accordance with ADR 61 and fitted with a vehicle plate or compliance plate containing the words; “ROAD TRAIN” for a road train. </w:t>
      </w:r>
    </w:p>
    <w:p w:rsidR="006F143F" w:rsidRPr="009328B3" w:rsidRDefault="006F143F" w:rsidP="006F143F">
      <w:pPr>
        <w:numPr>
          <w:ilvl w:val="0"/>
          <w:numId w:val="3"/>
        </w:numPr>
        <w:rPr>
          <w:rFonts w:ascii="Calibri" w:hAnsi="Calibri"/>
          <w:color w:val="000000" w:themeColor="text1"/>
          <w:sz w:val="22"/>
          <w:szCs w:val="22"/>
        </w:rPr>
      </w:pPr>
      <w:r w:rsidRPr="009328B3">
        <w:rPr>
          <w:rFonts w:ascii="Calibri" w:hAnsi="Calibri"/>
          <w:color w:val="000000" w:themeColor="text1"/>
          <w:sz w:val="22"/>
          <w:szCs w:val="22"/>
        </w:rPr>
        <w:t>trailers manufactured in accordance with ADR 61 and fitted with a vehicle plate or compliance plate containing the words “ROAD TRAIN TRAILER” for a road train; or</w:t>
      </w:r>
    </w:p>
    <w:p w:rsidR="006F143F" w:rsidRPr="009328B3" w:rsidRDefault="006F143F" w:rsidP="006F143F">
      <w:pPr>
        <w:numPr>
          <w:ilvl w:val="0"/>
          <w:numId w:val="3"/>
        </w:numPr>
        <w:rPr>
          <w:rFonts w:ascii="Calibri" w:hAnsi="Calibri"/>
          <w:color w:val="000000" w:themeColor="text1"/>
          <w:sz w:val="22"/>
          <w:szCs w:val="22"/>
        </w:rPr>
      </w:pPr>
      <w:proofErr w:type="gramStart"/>
      <w:r w:rsidRPr="009328B3">
        <w:rPr>
          <w:rFonts w:ascii="Calibri" w:hAnsi="Calibri"/>
          <w:color w:val="000000" w:themeColor="text1"/>
          <w:sz w:val="22"/>
          <w:szCs w:val="22"/>
        </w:rPr>
        <w:t>trailers</w:t>
      </w:r>
      <w:proofErr w:type="gramEnd"/>
      <w:r w:rsidRPr="009328B3">
        <w:rPr>
          <w:rFonts w:ascii="Calibri" w:hAnsi="Calibri"/>
          <w:color w:val="000000" w:themeColor="text1"/>
          <w:sz w:val="22"/>
          <w:szCs w:val="22"/>
        </w:rPr>
        <w:t xml:space="preserve"> used in road trains prior to the introduction of ADR 61 (1 July 1991). (Note— </w:t>
      </w:r>
      <w:proofErr w:type="gramStart"/>
      <w:r w:rsidRPr="009328B3">
        <w:rPr>
          <w:rFonts w:ascii="Calibri" w:hAnsi="Calibri"/>
          <w:color w:val="000000" w:themeColor="text1"/>
          <w:sz w:val="22"/>
          <w:szCs w:val="22"/>
        </w:rPr>
        <w:t>These</w:t>
      </w:r>
      <w:proofErr w:type="gramEnd"/>
      <w:r w:rsidRPr="009328B3">
        <w:rPr>
          <w:rFonts w:ascii="Calibri" w:hAnsi="Calibri"/>
          <w:color w:val="000000" w:themeColor="text1"/>
          <w:sz w:val="22"/>
          <w:szCs w:val="22"/>
        </w:rPr>
        <w:t xml:space="preserve"> trailers may not be accepted for use in road trains outside </w:t>
      </w:r>
      <w:smartTag w:uri="urn:schemas-microsoft-com:office:smarttags" w:element="State">
        <w:smartTag w:uri="urn:schemas-microsoft-com:office:smarttags" w:element="place">
          <w:r w:rsidRPr="009328B3">
            <w:rPr>
              <w:rFonts w:ascii="Calibri" w:hAnsi="Calibri"/>
              <w:color w:val="000000" w:themeColor="text1"/>
              <w:sz w:val="22"/>
              <w:szCs w:val="22"/>
            </w:rPr>
            <w:t>Queensland</w:t>
          </w:r>
        </w:smartTag>
      </w:smartTag>
      <w:r w:rsidRPr="009328B3">
        <w:rPr>
          <w:rFonts w:ascii="Calibri" w:hAnsi="Calibri"/>
          <w:color w:val="000000" w:themeColor="text1"/>
          <w:sz w:val="22"/>
          <w:szCs w:val="22"/>
        </w:rPr>
        <w:t>).</w:t>
      </w:r>
    </w:p>
    <w:p w:rsidR="006F143F" w:rsidRPr="009328B3" w:rsidRDefault="006F143F" w:rsidP="006F143F">
      <w:pPr>
        <w:numPr>
          <w:ilvl w:val="0"/>
          <w:numId w:val="3"/>
        </w:numPr>
        <w:rPr>
          <w:rFonts w:ascii="Calibri" w:hAnsi="Calibri"/>
          <w:color w:val="000000" w:themeColor="text1"/>
          <w:sz w:val="22"/>
          <w:szCs w:val="22"/>
        </w:rPr>
      </w:pPr>
      <w:proofErr w:type="gramStart"/>
      <w:r w:rsidRPr="009328B3">
        <w:rPr>
          <w:rFonts w:ascii="Calibri" w:hAnsi="Calibri"/>
          <w:color w:val="000000" w:themeColor="text1"/>
          <w:sz w:val="22"/>
          <w:szCs w:val="22"/>
        </w:rPr>
        <w:t>vehicles</w:t>
      </w:r>
      <w:proofErr w:type="gramEnd"/>
      <w:r w:rsidRPr="009328B3">
        <w:rPr>
          <w:rFonts w:ascii="Calibri" w:hAnsi="Calibri"/>
          <w:color w:val="000000" w:themeColor="text1"/>
          <w:sz w:val="22"/>
          <w:szCs w:val="22"/>
        </w:rPr>
        <w:t xml:space="preserve"> registered and approved for use in road train combinations in other States or Territories and the Federal Interstate Registration Scheme.</w:t>
      </w:r>
    </w:p>
    <w:p w:rsidR="006F143F" w:rsidRPr="009328B3" w:rsidRDefault="006F143F" w:rsidP="006F143F">
      <w:pPr>
        <w:autoSpaceDE w:val="0"/>
        <w:autoSpaceDN w:val="0"/>
        <w:ind w:left="426" w:hanging="568"/>
        <w:rPr>
          <w:rFonts w:ascii="Calibri" w:hAnsi="Calibri" w:cs="Calibri"/>
          <w:color w:val="000000" w:themeColor="text1"/>
          <w:sz w:val="22"/>
          <w:szCs w:val="22"/>
        </w:rPr>
      </w:pPr>
    </w:p>
    <w:p w:rsidR="006F143F" w:rsidRPr="009328B3" w:rsidRDefault="006F143F" w:rsidP="006F143F">
      <w:pPr>
        <w:autoSpaceDE w:val="0"/>
        <w:autoSpaceDN w:val="0"/>
        <w:ind w:left="720" w:hanging="862"/>
        <w:rPr>
          <w:rFonts w:ascii="Calibri" w:hAnsi="Calibri" w:cs="Calibri"/>
          <w:color w:val="000000" w:themeColor="text1"/>
          <w:sz w:val="18"/>
          <w:szCs w:val="18"/>
        </w:rPr>
      </w:pPr>
      <w:r w:rsidRPr="009328B3">
        <w:rPr>
          <w:rFonts w:ascii="Calibri" w:hAnsi="Calibri" w:cs="Calibri"/>
          <w:color w:val="000000" w:themeColor="text1"/>
          <w:sz w:val="22"/>
          <w:szCs w:val="22"/>
        </w:rPr>
        <w:tab/>
      </w:r>
      <w:r w:rsidRPr="009328B3">
        <w:rPr>
          <w:rFonts w:ascii="Calibri" w:hAnsi="Calibri" w:cs="Calibri"/>
          <w:color w:val="000000" w:themeColor="text1"/>
          <w:sz w:val="18"/>
          <w:szCs w:val="18"/>
        </w:rPr>
        <w:t>Note— Technical specifications for road train units in use prior to April 1998 will continue to apply. However, upgrading to meet the current Code of Practice for Commercial Vehicle Modifications is permitted.</w:t>
      </w:r>
    </w:p>
    <w:p w:rsidR="006F143F" w:rsidRPr="009328B3" w:rsidRDefault="006F143F" w:rsidP="006F143F">
      <w:pPr>
        <w:ind w:left="709" w:hanging="709"/>
        <w:rPr>
          <w:rFonts w:ascii="Calibri" w:hAnsi="Calibri"/>
          <w:b/>
          <w:color w:val="000000" w:themeColor="text1"/>
          <w:sz w:val="22"/>
          <w:szCs w:val="22"/>
        </w:rPr>
      </w:pPr>
    </w:p>
    <w:p w:rsidR="006F143F" w:rsidRPr="009328B3" w:rsidRDefault="006F143F" w:rsidP="006F143F">
      <w:pPr>
        <w:ind w:left="709" w:hanging="709"/>
        <w:rPr>
          <w:rFonts w:ascii="Calibri" w:hAnsi="Calibri"/>
          <w:b/>
          <w:color w:val="000000" w:themeColor="text1"/>
          <w:sz w:val="22"/>
          <w:szCs w:val="22"/>
        </w:rPr>
      </w:pPr>
      <w:r w:rsidRPr="009328B3">
        <w:rPr>
          <w:rFonts w:ascii="Calibri" w:hAnsi="Calibri"/>
          <w:b/>
          <w:color w:val="000000" w:themeColor="text1"/>
          <w:sz w:val="22"/>
          <w:szCs w:val="22"/>
        </w:rPr>
        <w:t>Condition - Routes or areas</w:t>
      </w:r>
    </w:p>
    <w:p w:rsidR="006F143F" w:rsidRPr="009328B3" w:rsidRDefault="006F143F" w:rsidP="006F143F">
      <w:pPr>
        <w:numPr>
          <w:ilvl w:val="0"/>
          <w:numId w:val="1"/>
        </w:numPr>
        <w:rPr>
          <w:rFonts w:ascii="Calibri" w:hAnsi="Calibri"/>
          <w:color w:val="000000" w:themeColor="text1"/>
          <w:sz w:val="22"/>
          <w:szCs w:val="22"/>
        </w:rPr>
      </w:pPr>
      <w:r w:rsidRPr="009328B3">
        <w:rPr>
          <w:rFonts w:ascii="Calibri" w:hAnsi="Calibri"/>
          <w:color w:val="000000" w:themeColor="text1"/>
          <w:sz w:val="22"/>
          <w:szCs w:val="22"/>
        </w:rPr>
        <w:t>A vehicle to which this notice applies may only use the Type 1 and Type 2 road train routes and areas set out in Appendix 1.</w:t>
      </w:r>
    </w:p>
    <w:p w:rsidR="006F143F" w:rsidRPr="009328B3" w:rsidRDefault="006F143F" w:rsidP="006F143F">
      <w:pPr>
        <w:numPr>
          <w:ilvl w:val="0"/>
          <w:numId w:val="1"/>
        </w:numPr>
        <w:rPr>
          <w:rFonts w:ascii="Calibri" w:hAnsi="Calibri"/>
          <w:color w:val="000000" w:themeColor="text1"/>
          <w:sz w:val="22"/>
          <w:szCs w:val="22"/>
        </w:rPr>
      </w:pPr>
      <w:proofErr w:type="gramStart"/>
      <w:r w:rsidRPr="009328B3">
        <w:rPr>
          <w:rFonts w:ascii="Calibri" w:hAnsi="Calibri"/>
          <w:color w:val="000000" w:themeColor="text1"/>
          <w:sz w:val="22"/>
          <w:szCs w:val="22"/>
        </w:rPr>
        <w:t>A vehicle operating on a route or in an area mentioned in clause 22must comply</w:t>
      </w:r>
      <w:proofErr w:type="gramEnd"/>
      <w:r w:rsidRPr="009328B3">
        <w:rPr>
          <w:rFonts w:ascii="Calibri" w:hAnsi="Calibri"/>
          <w:color w:val="000000" w:themeColor="text1"/>
          <w:sz w:val="22"/>
          <w:szCs w:val="22"/>
        </w:rPr>
        <w:t xml:space="preserve"> with any conditions specified on the maps for that route or area.</w:t>
      </w:r>
    </w:p>
    <w:p w:rsidR="006F143F" w:rsidRPr="009328B3" w:rsidRDefault="006F143F" w:rsidP="006F143F">
      <w:pPr>
        <w:rPr>
          <w:rFonts w:ascii="Calibri" w:hAnsi="Calibri"/>
          <w:color w:val="000000" w:themeColor="text1"/>
          <w:sz w:val="22"/>
          <w:szCs w:val="22"/>
        </w:rPr>
      </w:pPr>
    </w:p>
    <w:p w:rsidR="006F143F" w:rsidRPr="009328B3" w:rsidRDefault="006F143F" w:rsidP="006F143F">
      <w:pPr>
        <w:ind w:left="709" w:hanging="709"/>
        <w:rPr>
          <w:rFonts w:ascii="Calibri" w:hAnsi="Calibri"/>
          <w:b/>
          <w:color w:val="000000" w:themeColor="text1"/>
          <w:sz w:val="22"/>
          <w:szCs w:val="22"/>
        </w:rPr>
      </w:pPr>
    </w:p>
    <w:p w:rsidR="006F143F" w:rsidRPr="009328B3" w:rsidRDefault="006F143F" w:rsidP="006F143F">
      <w:pPr>
        <w:ind w:left="709" w:hanging="709"/>
        <w:rPr>
          <w:rFonts w:ascii="Calibri" w:hAnsi="Calibri"/>
          <w:b/>
          <w:color w:val="000000" w:themeColor="text1"/>
          <w:sz w:val="22"/>
          <w:szCs w:val="22"/>
        </w:rPr>
      </w:pPr>
    </w:p>
    <w:p w:rsidR="006F143F" w:rsidRPr="009328B3" w:rsidRDefault="006F143F" w:rsidP="006F143F">
      <w:pPr>
        <w:ind w:left="709" w:hanging="709"/>
        <w:rPr>
          <w:rFonts w:ascii="Calibri" w:hAnsi="Calibri"/>
          <w:b/>
          <w:color w:val="000000" w:themeColor="text1"/>
          <w:sz w:val="22"/>
          <w:szCs w:val="22"/>
        </w:rPr>
      </w:pPr>
      <w:r w:rsidRPr="009328B3">
        <w:rPr>
          <w:rFonts w:ascii="Calibri" w:hAnsi="Calibri"/>
          <w:b/>
          <w:color w:val="000000" w:themeColor="text1"/>
          <w:sz w:val="22"/>
          <w:szCs w:val="22"/>
        </w:rPr>
        <w:lastRenderedPageBreak/>
        <w:t>Other conditions</w:t>
      </w:r>
    </w:p>
    <w:p w:rsidR="006F143F" w:rsidRPr="009328B3" w:rsidRDefault="006F143F" w:rsidP="006F143F">
      <w:pPr>
        <w:numPr>
          <w:ilvl w:val="0"/>
          <w:numId w:val="1"/>
        </w:numPr>
        <w:rPr>
          <w:rFonts w:ascii="Calibri" w:hAnsi="Calibri" w:cs="Helvetica"/>
          <w:color w:val="000000" w:themeColor="text1"/>
          <w:sz w:val="22"/>
          <w:szCs w:val="22"/>
        </w:rPr>
      </w:pPr>
      <w:r w:rsidRPr="009328B3">
        <w:rPr>
          <w:rFonts w:ascii="Calibri" w:hAnsi="Calibri" w:cs="Helvetica"/>
          <w:color w:val="000000" w:themeColor="text1"/>
          <w:sz w:val="22"/>
          <w:szCs w:val="22"/>
        </w:rPr>
        <w:t xml:space="preserve">A </w:t>
      </w:r>
      <w:r w:rsidRPr="009328B3">
        <w:rPr>
          <w:rFonts w:ascii="Calibri" w:hAnsi="Calibri"/>
          <w:color w:val="000000" w:themeColor="text1"/>
          <w:sz w:val="22"/>
          <w:szCs w:val="22"/>
        </w:rPr>
        <w:t xml:space="preserve">vehicle to which this notice applies </w:t>
      </w:r>
      <w:r w:rsidRPr="009328B3">
        <w:rPr>
          <w:rFonts w:ascii="Calibri" w:hAnsi="Calibri" w:cs="Helvetica"/>
          <w:color w:val="000000" w:themeColor="text1"/>
          <w:sz w:val="22"/>
          <w:szCs w:val="22"/>
        </w:rPr>
        <w:t>is only permitted to operate with the following axles or axle groups—</w:t>
      </w:r>
    </w:p>
    <w:p w:rsidR="006F143F" w:rsidRPr="009328B3" w:rsidRDefault="006F143F" w:rsidP="006F143F">
      <w:pPr>
        <w:numPr>
          <w:ilvl w:val="0"/>
          <w:numId w:val="5"/>
        </w:numPr>
        <w:rPr>
          <w:rFonts w:ascii="Calibri" w:hAnsi="Calibri"/>
          <w:color w:val="000000" w:themeColor="text1"/>
          <w:sz w:val="22"/>
          <w:szCs w:val="22"/>
        </w:rPr>
      </w:pPr>
      <w:r w:rsidRPr="009328B3">
        <w:rPr>
          <w:rFonts w:ascii="Calibri" w:hAnsi="Calibri"/>
          <w:color w:val="000000" w:themeColor="text1"/>
          <w:sz w:val="22"/>
          <w:szCs w:val="22"/>
        </w:rPr>
        <w:t xml:space="preserve">a single steer axle, or </w:t>
      </w:r>
      <w:proofErr w:type="spellStart"/>
      <w:r w:rsidRPr="009328B3">
        <w:rPr>
          <w:rFonts w:ascii="Calibri" w:hAnsi="Calibri"/>
          <w:color w:val="000000" w:themeColor="text1"/>
          <w:sz w:val="22"/>
          <w:szCs w:val="22"/>
        </w:rPr>
        <w:t>twinsteer</w:t>
      </w:r>
      <w:proofErr w:type="spellEnd"/>
      <w:r w:rsidRPr="009328B3">
        <w:rPr>
          <w:rFonts w:ascii="Calibri" w:hAnsi="Calibri"/>
          <w:color w:val="000000" w:themeColor="text1"/>
          <w:sz w:val="22"/>
          <w:szCs w:val="22"/>
        </w:rPr>
        <w:t xml:space="preserve"> axle group; and</w:t>
      </w:r>
    </w:p>
    <w:p w:rsidR="006F143F" w:rsidRPr="009328B3" w:rsidRDefault="006F143F" w:rsidP="006F143F">
      <w:pPr>
        <w:numPr>
          <w:ilvl w:val="0"/>
          <w:numId w:val="5"/>
        </w:numPr>
        <w:rPr>
          <w:rFonts w:ascii="Calibri" w:hAnsi="Calibri"/>
          <w:color w:val="000000" w:themeColor="text1"/>
          <w:sz w:val="22"/>
          <w:szCs w:val="22"/>
        </w:rPr>
      </w:pPr>
      <w:r w:rsidRPr="009328B3">
        <w:rPr>
          <w:rFonts w:ascii="Calibri" w:hAnsi="Calibri"/>
          <w:color w:val="000000" w:themeColor="text1"/>
          <w:sz w:val="22"/>
          <w:szCs w:val="22"/>
        </w:rPr>
        <w:t>a single drive axle, or tandem drive axle group; and</w:t>
      </w:r>
    </w:p>
    <w:p w:rsidR="006F143F" w:rsidRPr="009328B3" w:rsidRDefault="006F143F" w:rsidP="006F143F">
      <w:pPr>
        <w:numPr>
          <w:ilvl w:val="0"/>
          <w:numId w:val="5"/>
        </w:numPr>
        <w:rPr>
          <w:rFonts w:ascii="Calibri" w:hAnsi="Calibri"/>
          <w:color w:val="000000" w:themeColor="text1"/>
          <w:sz w:val="22"/>
          <w:szCs w:val="22"/>
        </w:rPr>
      </w:pPr>
      <w:proofErr w:type="gramStart"/>
      <w:r w:rsidRPr="009328B3">
        <w:rPr>
          <w:rFonts w:ascii="Calibri" w:hAnsi="Calibri"/>
          <w:color w:val="000000" w:themeColor="text1"/>
          <w:sz w:val="22"/>
          <w:szCs w:val="22"/>
        </w:rPr>
        <w:t>single</w:t>
      </w:r>
      <w:proofErr w:type="gramEnd"/>
      <w:r w:rsidRPr="009328B3">
        <w:rPr>
          <w:rFonts w:ascii="Calibri" w:hAnsi="Calibri"/>
          <w:color w:val="000000" w:themeColor="text1"/>
          <w:sz w:val="22"/>
          <w:szCs w:val="22"/>
        </w:rPr>
        <w:t xml:space="preserve"> axles, tandem axles and tri-axle trailing axle groups.</w:t>
      </w:r>
    </w:p>
    <w:p w:rsidR="006F143F" w:rsidRPr="009328B3" w:rsidRDefault="006F143F" w:rsidP="006F143F">
      <w:pPr>
        <w:ind w:left="720"/>
        <w:rPr>
          <w:rFonts w:ascii="Calibri" w:hAnsi="Calibri"/>
          <w:color w:val="000000" w:themeColor="text1"/>
          <w:sz w:val="22"/>
          <w:szCs w:val="22"/>
        </w:rPr>
      </w:pPr>
    </w:p>
    <w:p w:rsidR="006F143F" w:rsidRPr="009328B3" w:rsidRDefault="006F143F" w:rsidP="006F143F">
      <w:pPr>
        <w:numPr>
          <w:ilvl w:val="0"/>
          <w:numId w:val="1"/>
        </w:numPr>
        <w:rPr>
          <w:rFonts w:ascii="Calibri" w:hAnsi="Calibri"/>
          <w:color w:val="000000" w:themeColor="text1"/>
          <w:sz w:val="22"/>
          <w:szCs w:val="22"/>
        </w:rPr>
      </w:pPr>
      <w:r w:rsidRPr="009328B3">
        <w:rPr>
          <w:rFonts w:ascii="Calibri" w:hAnsi="Calibri"/>
          <w:color w:val="000000" w:themeColor="text1"/>
          <w:sz w:val="22"/>
          <w:szCs w:val="22"/>
        </w:rPr>
        <w:t>A vehicle to which this notice applies</w:t>
      </w:r>
      <w:r w:rsidRPr="009328B3">
        <w:rPr>
          <w:rFonts w:ascii="Calibri" w:hAnsi="Calibri"/>
          <w:b/>
          <w:color w:val="000000" w:themeColor="text1"/>
          <w:sz w:val="22"/>
          <w:szCs w:val="22"/>
        </w:rPr>
        <w:t xml:space="preserve"> </w:t>
      </w:r>
      <w:r w:rsidRPr="009328B3">
        <w:rPr>
          <w:rFonts w:ascii="Calibri" w:hAnsi="Calibri"/>
          <w:color w:val="000000" w:themeColor="text1"/>
          <w:sz w:val="22"/>
          <w:szCs w:val="22"/>
        </w:rPr>
        <w:t>must not reverse into or out of a roadway or depot.</w:t>
      </w:r>
      <w:r w:rsidRPr="009328B3">
        <w:rPr>
          <w:rFonts w:ascii="Calibri" w:hAnsi="Calibri"/>
          <w:color w:val="000000" w:themeColor="text1"/>
          <w:sz w:val="22"/>
          <w:szCs w:val="22"/>
        </w:rPr>
        <w:br/>
      </w:r>
    </w:p>
    <w:p w:rsidR="006F143F" w:rsidRPr="009328B3" w:rsidRDefault="006F143F" w:rsidP="006F143F">
      <w:pPr>
        <w:spacing w:after="200" w:line="276" w:lineRule="auto"/>
        <w:contextualSpacing/>
        <w:rPr>
          <w:rFonts w:ascii="Calibri" w:eastAsia="Calibri" w:hAnsi="Calibri"/>
          <w:color w:val="000000" w:themeColor="text1"/>
          <w:sz w:val="22"/>
          <w:szCs w:val="22"/>
        </w:rPr>
      </w:pPr>
    </w:p>
    <w:p w:rsidR="006F143F" w:rsidRPr="009328B3" w:rsidRDefault="006F143F" w:rsidP="006F143F">
      <w:pPr>
        <w:spacing w:after="200" w:line="276" w:lineRule="auto"/>
        <w:contextualSpacing/>
        <w:rPr>
          <w:rFonts w:ascii="Calibri" w:eastAsia="Calibri" w:hAnsi="Calibri"/>
          <w:color w:val="000000" w:themeColor="text1"/>
          <w:sz w:val="22"/>
          <w:szCs w:val="22"/>
        </w:rPr>
      </w:pPr>
    </w:p>
    <w:p w:rsidR="006F143F" w:rsidRPr="009328B3" w:rsidRDefault="006F143F" w:rsidP="006F143F">
      <w:pPr>
        <w:spacing w:after="200" w:line="276" w:lineRule="auto"/>
        <w:contextualSpacing/>
        <w:rPr>
          <w:rFonts w:ascii="Calibri" w:eastAsia="Calibri" w:hAnsi="Calibri"/>
          <w:color w:val="000000" w:themeColor="text1"/>
          <w:sz w:val="22"/>
          <w:szCs w:val="22"/>
        </w:rPr>
      </w:pPr>
      <w:r w:rsidRPr="009328B3">
        <w:rPr>
          <w:rFonts w:ascii="Calibri" w:eastAsia="Calibri" w:hAnsi="Calibri"/>
          <w:color w:val="000000" w:themeColor="text1"/>
          <w:sz w:val="22"/>
          <w:szCs w:val="22"/>
        </w:rPr>
        <w:t>Peter Caprioli</w:t>
      </w:r>
    </w:p>
    <w:p w:rsidR="006F143F" w:rsidRPr="009328B3" w:rsidRDefault="006F143F" w:rsidP="006F143F">
      <w:pPr>
        <w:spacing w:after="200" w:line="276" w:lineRule="auto"/>
        <w:contextualSpacing/>
        <w:rPr>
          <w:rFonts w:ascii="Calibri" w:eastAsia="Calibri" w:hAnsi="Calibri"/>
          <w:i/>
          <w:color w:val="000000" w:themeColor="text1"/>
          <w:sz w:val="22"/>
          <w:szCs w:val="22"/>
        </w:rPr>
      </w:pPr>
      <w:r w:rsidRPr="009328B3">
        <w:rPr>
          <w:rFonts w:ascii="Calibri" w:eastAsia="Calibri" w:hAnsi="Calibri"/>
          <w:i/>
          <w:color w:val="000000" w:themeColor="text1"/>
          <w:sz w:val="22"/>
          <w:szCs w:val="22"/>
        </w:rPr>
        <w:t>Executive Director (Freight and Supply Chain Productivity)</w:t>
      </w:r>
    </w:p>
    <w:p w:rsidR="006F143F" w:rsidRPr="009328B3" w:rsidRDefault="006F143F" w:rsidP="006F143F">
      <w:pPr>
        <w:tabs>
          <w:tab w:val="left" w:pos="6618"/>
        </w:tabs>
        <w:rPr>
          <w:rFonts w:ascii="Calibri" w:hAnsi="Calibri"/>
          <w:color w:val="000000" w:themeColor="text1"/>
          <w:sz w:val="22"/>
          <w:szCs w:val="22"/>
        </w:rPr>
      </w:pPr>
      <w:r w:rsidRPr="009328B3">
        <w:rPr>
          <w:rFonts w:ascii="Calibri" w:eastAsia="Calibri" w:hAnsi="Calibri"/>
          <w:b/>
          <w:color w:val="000000" w:themeColor="text1"/>
          <w:sz w:val="22"/>
          <w:szCs w:val="22"/>
        </w:rPr>
        <w:t>National Heavy Vehicle Regulator</w:t>
      </w:r>
    </w:p>
    <w:p w:rsidR="006F143F" w:rsidRPr="009328B3" w:rsidRDefault="006F143F" w:rsidP="006F143F">
      <w:pPr>
        <w:rPr>
          <w:rFonts w:ascii="Calibri" w:hAnsi="Calibri"/>
          <w:color w:val="000000" w:themeColor="text1"/>
          <w:sz w:val="22"/>
          <w:szCs w:val="22"/>
        </w:rPr>
      </w:pPr>
    </w:p>
    <w:p w:rsidR="006F143F" w:rsidRPr="009328B3" w:rsidRDefault="006F143F" w:rsidP="006F143F">
      <w:pPr>
        <w:rPr>
          <w:rFonts w:ascii="Calibri" w:hAnsi="Calibri"/>
          <w:b/>
          <w:color w:val="000000" w:themeColor="text1"/>
          <w:sz w:val="22"/>
          <w:szCs w:val="22"/>
        </w:rPr>
      </w:pPr>
    </w:p>
    <w:p w:rsidR="006F143F" w:rsidRPr="009328B3" w:rsidRDefault="006F143F" w:rsidP="006F143F">
      <w:pPr>
        <w:rPr>
          <w:rFonts w:ascii="Calibri" w:hAnsi="Calibri"/>
          <w:b/>
          <w:color w:val="000000" w:themeColor="text1"/>
          <w:sz w:val="22"/>
          <w:szCs w:val="22"/>
        </w:rPr>
      </w:pPr>
    </w:p>
    <w:p w:rsidR="006F143F" w:rsidRPr="009328B3" w:rsidRDefault="006F143F" w:rsidP="006F143F">
      <w:pPr>
        <w:rPr>
          <w:rFonts w:ascii="Calibri" w:hAnsi="Calibri"/>
          <w:b/>
          <w:color w:val="000000" w:themeColor="text1"/>
          <w:sz w:val="22"/>
          <w:szCs w:val="22"/>
        </w:rPr>
      </w:pPr>
      <w:r w:rsidRPr="009328B3">
        <w:rPr>
          <w:rFonts w:ascii="Calibri" w:hAnsi="Calibri"/>
          <w:b/>
          <w:color w:val="000000" w:themeColor="text1"/>
          <w:sz w:val="22"/>
          <w:szCs w:val="22"/>
        </w:rPr>
        <w:t>Appendix 1</w:t>
      </w:r>
    </w:p>
    <w:p w:rsidR="006F143F" w:rsidRPr="009328B3" w:rsidRDefault="006F143F" w:rsidP="006F143F">
      <w:pPr>
        <w:rPr>
          <w:rFonts w:ascii="Calibri" w:hAnsi="Calibri"/>
          <w:b/>
          <w:color w:val="000000" w:themeColor="text1"/>
          <w:sz w:val="22"/>
          <w:szCs w:val="22"/>
        </w:rPr>
      </w:pPr>
    </w:p>
    <w:p w:rsidR="006F143F" w:rsidRPr="009328B3" w:rsidRDefault="006F143F" w:rsidP="006F143F">
      <w:pPr>
        <w:rPr>
          <w:rFonts w:ascii="Calibri" w:hAnsi="Calibri"/>
          <w:color w:val="000000" w:themeColor="text1"/>
          <w:sz w:val="22"/>
          <w:szCs w:val="22"/>
        </w:rPr>
      </w:pPr>
      <w:r w:rsidRPr="009328B3">
        <w:rPr>
          <w:rFonts w:ascii="Calibri" w:hAnsi="Calibri"/>
          <w:b/>
          <w:color w:val="000000" w:themeColor="text1"/>
          <w:sz w:val="22"/>
          <w:szCs w:val="22"/>
        </w:rPr>
        <w:t>Type 1 and Type 2 road train routes and areas</w:t>
      </w:r>
      <w:r w:rsidRPr="009328B3">
        <w:rPr>
          <w:rFonts w:ascii="Calibri" w:hAnsi="Calibri"/>
          <w:color w:val="000000" w:themeColor="text1"/>
          <w:sz w:val="22"/>
          <w:szCs w:val="22"/>
        </w:rPr>
        <w:t>: Multi-combination Routes in Queensland maps published by TMR on its website.</w:t>
      </w:r>
    </w:p>
    <w:p w:rsidR="00C94713" w:rsidRPr="009328B3" w:rsidRDefault="00C94713">
      <w:pPr>
        <w:rPr>
          <w:color w:val="000000" w:themeColor="text1"/>
        </w:rPr>
      </w:pPr>
    </w:p>
    <w:sectPr w:rsidR="00C94713" w:rsidRPr="009328B3" w:rsidSect="006F143F">
      <w:footerReference w:type="default" r:id="rId8"/>
      <w:headerReference w:type="first" r:id="rId9"/>
      <w:footerReference w:type="first" r:id="rId1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143F" w:rsidRDefault="006F143F" w:rsidP="006F143F">
      <w:r>
        <w:separator/>
      </w:r>
    </w:p>
  </w:endnote>
  <w:endnote w:type="continuationSeparator" w:id="0">
    <w:p w:rsidR="006F143F" w:rsidRDefault="006F143F" w:rsidP="006F14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4935233"/>
      <w:docPartObj>
        <w:docPartGallery w:val="Page Numbers (Bottom of Page)"/>
        <w:docPartUnique/>
      </w:docPartObj>
    </w:sdtPr>
    <w:sdtEndPr/>
    <w:sdtContent>
      <w:sdt>
        <w:sdtPr>
          <w:id w:val="860082579"/>
          <w:docPartObj>
            <w:docPartGallery w:val="Page Numbers (Top of Page)"/>
            <w:docPartUnique/>
          </w:docPartObj>
        </w:sdtPr>
        <w:sdtEndPr/>
        <w:sdtContent>
          <w:p w:rsidR="006F143F" w:rsidRDefault="006F143F">
            <w:pPr>
              <w:pStyle w:val="Footer"/>
              <w:jc w:val="right"/>
            </w:pPr>
          </w:p>
          <w:p w:rsidR="006F143F" w:rsidRPr="006F143F" w:rsidRDefault="006F143F">
            <w:pPr>
              <w:pStyle w:val="Footer"/>
              <w:jc w:val="right"/>
              <w:rPr>
                <w:rFonts w:asciiTheme="minorHAnsi" w:hAnsiTheme="minorHAnsi"/>
                <w:sz w:val="22"/>
                <w:szCs w:val="22"/>
              </w:rPr>
            </w:pPr>
            <w:r w:rsidRPr="006F143F">
              <w:rPr>
                <w:rFonts w:asciiTheme="minorHAnsi" w:hAnsiTheme="minorHAnsi"/>
                <w:sz w:val="22"/>
                <w:szCs w:val="22"/>
              </w:rPr>
              <w:t>Queensland Class 3 Heavy Vehicle Truck Towing One Trailer Exceeding 19m Up To 31.5m Mass and Dimension Exemption Notice 2019 (No.1)</w:t>
            </w:r>
          </w:p>
          <w:p w:rsidR="006F143F" w:rsidRDefault="006F143F" w:rsidP="006F143F">
            <w:pPr>
              <w:pStyle w:val="Footer"/>
              <w:jc w:val="right"/>
            </w:pPr>
            <w:r w:rsidRPr="006F143F">
              <w:rPr>
                <w:rFonts w:asciiTheme="minorHAnsi" w:hAnsiTheme="minorHAnsi"/>
                <w:sz w:val="22"/>
                <w:szCs w:val="22"/>
              </w:rPr>
              <w:t xml:space="preserve">Page </w:t>
            </w:r>
            <w:r w:rsidRPr="006F143F">
              <w:rPr>
                <w:rFonts w:asciiTheme="minorHAnsi" w:hAnsiTheme="minorHAnsi"/>
                <w:b/>
                <w:bCs/>
                <w:sz w:val="22"/>
                <w:szCs w:val="22"/>
              </w:rPr>
              <w:fldChar w:fldCharType="begin"/>
            </w:r>
            <w:r w:rsidRPr="006F143F">
              <w:rPr>
                <w:rFonts w:asciiTheme="minorHAnsi" w:hAnsiTheme="minorHAnsi"/>
                <w:b/>
                <w:bCs/>
                <w:sz w:val="22"/>
                <w:szCs w:val="22"/>
              </w:rPr>
              <w:instrText xml:space="preserve"> PAGE </w:instrText>
            </w:r>
            <w:r w:rsidRPr="006F143F">
              <w:rPr>
                <w:rFonts w:asciiTheme="minorHAnsi" w:hAnsiTheme="minorHAnsi"/>
                <w:b/>
                <w:bCs/>
                <w:sz w:val="22"/>
                <w:szCs w:val="22"/>
              </w:rPr>
              <w:fldChar w:fldCharType="separate"/>
            </w:r>
            <w:r w:rsidR="00D7418A">
              <w:rPr>
                <w:rFonts w:asciiTheme="minorHAnsi" w:hAnsiTheme="minorHAnsi"/>
                <w:b/>
                <w:bCs/>
                <w:noProof/>
                <w:sz w:val="22"/>
                <w:szCs w:val="22"/>
              </w:rPr>
              <w:t>2</w:t>
            </w:r>
            <w:r w:rsidRPr="006F143F">
              <w:rPr>
                <w:rFonts w:asciiTheme="minorHAnsi" w:hAnsiTheme="minorHAnsi"/>
                <w:b/>
                <w:bCs/>
                <w:sz w:val="22"/>
                <w:szCs w:val="22"/>
              </w:rPr>
              <w:fldChar w:fldCharType="end"/>
            </w:r>
            <w:r w:rsidRPr="006F143F">
              <w:rPr>
                <w:rFonts w:asciiTheme="minorHAnsi" w:hAnsiTheme="minorHAnsi"/>
                <w:sz w:val="22"/>
                <w:szCs w:val="22"/>
              </w:rPr>
              <w:t xml:space="preserve"> of </w:t>
            </w:r>
            <w:r w:rsidRPr="006F143F">
              <w:rPr>
                <w:rFonts w:asciiTheme="minorHAnsi" w:hAnsiTheme="minorHAnsi"/>
                <w:b/>
                <w:bCs/>
                <w:sz w:val="22"/>
                <w:szCs w:val="22"/>
              </w:rPr>
              <w:fldChar w:fldCharType="begin"/>
            </w:r>
            <w:r w:rsidRPr="006F143F">
              <w:rPr>
                <w:rFonts w:asciiTheme="minorHAnsi" w:hAnsiTheme="minorHAnsi"/>
                <w:b/>
                <w:bCs/>
                <w:sz w:val="22"/>
                <w:szCs w:val="22"/>
              </w:rPr>
              <w:instrText xml:space="preserve"> NUMPAGES  </w:instrText>
            </w:r>
            <w:r w:rsidRPr="006F143F">
              <w:rPr>
                <w:rFonts w:asciiTheme="minorHAnsi" w:hAnsiTheme="minorHAnsi"/>
                <w:b/>
                <w:bCs/>
                <w:sz w:val="22"/>
                <w:szCs w:val="22"/>
              </w:rPr>
              <w:fldChar w:fldCharType="separate"/>
            </w:r>
            <w:r w:rsidR="00D7418A">
              <w:rPr>
                <w:rFonts w:asciiTheme="minorHAnsi" w:hAnsiTheme="minorHAnsi"/>
                <w:b/>
                <w:bCs/>
                <w:noProof/>
                <w:sz w:val="22"/>
                <w:szCs w:val="22"/>
              </w:rPr>
              <w:t>4</w:t>
            </w:r>
            <w:r w:rsidRPr="006F143F">
              <w:rPr>
                <w:rFonts w:asciiTheme="minorHAnsi" w:hAnsiTheme="minorHAnsi"/>
                <w:b/>
                <w:bCs/>
                <w:sz w:val="22"/>
                <w:szCs w:val="22"/>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143F" w:rsidRDefault="006F143F" w:rsidP="006F143F">
    <w:pPr>
      <w:pStyle w:val="Footer"/>
      <w:jc w:val="right"/>
      <w:rPr>
        <w:rFonts w:asciiTheme="minorHAnsi" w:hAnsiTheme="minorHAnsi"/>
        <w:sz w:val="22"/>
        <w:szCs w:val="22"/>
      </w:rPr>
    </w:pPr>
  </w:p>
  <w:p w:rsidR="006F143F" w:rsidRPr="006F143F" w:rsidRDefault="006F143F" w:rsidP="006F143F">
    <w:pPr>
      <w:pStyle w:val="Footer"/>
      <w:jc w:val="right"/>
      <w:rPr>
        <w:rFonts w:asciiTheme="minorHAnsi" w:hAnsiTheme="minorHAnsi"/>
        <w:sz w:val="22"/>
        <w:szCs w:val="22"/>
      </w:rPr>
    </w:pPr>
    <w:r w:rsidRPr="006F143F">
      <w:rPr>
        <w:rFonts w:asciiTheme="minorHAnsi" w:hAnsiTheme="minorHAnsi"/>
        <w:sz w:val="22"/>
        <w:szCs w:val="22"/>
      </w:rPr>
      <w:t>Queensland Class 3 Heavy Vehicle Truck Towing One Trailer Exceeding 19m Up To 31.5m Mass and Dimension Exemption Notice 2019 (No.1)</w:t>
    </w:r>
  </w:p>
  <w:p w:rsidR="006F143F" w:rsidRDefault="006F143F" w:rsidP="006F143F">
    <w:pPr>
      <w:pStyle w:val="Footer"/>
      <w:jc w:val="right"/>
    </w:pPr>
    <w:r w:rsidRPr="006F143F">
      <w:rPr>
        <w:rFonts w:asciiTheme="minorHAnsi" w:hAnsiTheme="minorHAnsi"/>
        <w:sz w:val="22"/>
        <w:szCs w:val="22"/>
      </w:rPr>
      <w:t xml:space="preserve">Page </w:t>
    </w:r>
    <w:r w:rsidRPr="006F143F">
      <w:rPr>
        <w:rFonts w:asciiTheme="minorHAnsi" w:hAnsiTheme="minorHAnsi"/>
        <w:b/>
        <w:bCs/>
        <w:sz w:val="22"/>
        <w:szCs w:val="22"/>
      </w:rPr>
      <w:fldChar w:fldCharType="begin"/>
    </w:r>
    <w:r w:rsidRPr="006F143F">
      <w:rPr>
        <w:rFonts w:asciiTheme="minorHAnsi" w:hAnsiTheme="minorHAnsi"/>
        <w:b/>
        <w:bCs/>
        <w:sz w:val="22"/>
        <w:szCs w:val="22"/>
      </w:rPr>
      <w:instrText xml:space="preserve"> PAGE </w:instrText>
    </w:r>
    <w:r w:rsidRPr="006F143F">
      <w:rPr>
        <w:rFonts w:asciiTheme="minorHAnsi" w:hAnsiTheme="minorHAnsi"/>
        <w:b/>
        <w:bCs/>
        <w:sz w:val="22"/>
        <w:szCs w:val="22"/>
      </w:rPr>
      <w:fldChar w:fldCharType="separate"/>
    </w:r>
    <w:r w:rsidR="00D7418A">
      <w:rPr>
        <w:rFonts w:asciiTheme="minorHAnsi" w:hAnsiTheme="minorHAnsi"/>
        <w:b/>
        <w:bCs/>
        <w:noProof/>
        <w:sz w:val="22"/>
        <w:szCs w:val="22"/>
      </w:rPr>
      <w:t>1</w:t>
    </w:r>
    <w:r w:rsidRPr="006F143F">
      <w:rPr>
        <w:rFonts w:asciiTheme="minorHAnsi" w:hAnsiTheme="minorHAnsi"/>
        <w:b/>
        <w:bCs/>
        <w:sz w:val="22"/>
        <w:szCs w:val="22"/>
      </w:rPr>
      <w:fldChar w:fldCharType="end"/>
    </w:r>
    <w:r w:rsidRPr="006F143F">
      <w:rPr>
        <w:rFonts w:asciiTheme="minorHAnsi" w:hAnsiTheme="minorHAnsi"/>
        <w:sz w:val="22"/>
        <w:szCs w:val="22"/>
      </w:rPr>
      <w:t xml:space="preserve"> of </w:t>
    </w:r>
    <w:r w:rsidRPr="006F143F">
      <w:rPr>
        <w:rFonts w:asciiTheme="minorHAnsi" w:hAnsiTheme="minorHAnsi"/>
        <w:b/>
        <w:bCs/>
        <w:sz w:val="22"/>
        <w:szCs w:val="22"/>
      </w:rPr>
      <w:fldChar w:fldCharType="begin"/>
    </w:r>
    <w:r w:rsidRPr="006F143F">
      <w:rPr>
        <w:rFonts w:asciiTheme="minorHAnsi" w:hAnsiTheme="minorHAnsi"/>
        <w:b/>
        <w:bCs/>
        <w:sz w:val="22"/>
        <w:szCs w:val="22"/>
      </w:rPr>
      <w:instrText xml:space="preserve"> NUMPAGES  </w:instrText>
    </w:r>
    <w:r w:rsidRPr="006F143F">
      <w:rPr>
        <w:rFonts w:asciiTheme="minorHAnsi" w:hAnsiTheme="minorHAnsi"/>
        <w:b/>
        <w:bCs/>
        <w:sz w:val="22"/>
        <w:szCs w:val="22"/>
      </w:rPr>
      <w:fldChar w:fldCharType="separate"/>
    </w:r>
    <w:r w:rsidR="00D7418A">
      <w:rPr>
        <w:rFonts w:asciiTheme="minorHAnsi" w:hAnsiTheme="minorHAnsi"/>
        <w:b/>
        <w:bCs/>
        <w:noProof/>
        <w:sz w:val="22"/>
        <w:szCs w:val="22"/>
      </w:rPr>
      <w:t>4</w:t>
    </w:r>
    <w:r w:rsidRPr="006F143F">
      <w:rPr>
        <w:rFonts w:asciiTheme="minorHAnsi" w:hAnsiTheme="minorHAnsi"/>
        <w:b/>
        <w:bCs/>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143F" w:rsidRDefault="006F143F" w:rsidP="006F143F">
      <w:r>
        <w:separator/>
      </w:r>
    </w:p>
  </w:footnote>
  <w:footnote w:type="continuationSeparator" w:id="0">
    <w:p w:rsidR="006F143F" w:rsidRDefault="006F143F" w:rsidP="006F14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75" w:type="dxa"/>
      <w:tblInd w:w="80" w:type="dxa"/>
      <w:tblLayout w:type="fixed"/>
      <w:tblLook w:val="01E0" w:firstRow="1" w:lastRow="1" w:firstColumn="1" w:lastColumn="1" w:noHBand="0" w:noVBand="0"/>
    </w:tblPr>
    <w:tblGrid>
      <w:gridCol w:w="1263"/>
      <w:gridCol w:w="4434"/>
      <w:gridCol w:w="3978"/>
    </w:tblGrid>
    <w:tr w:rsidR="006F143F" w:rsidRPr="00B07EB8" w:rsidTr="00BA7E07">
      <w:trPr>
        <w:trHeight w:val="984"/>
      </w:trPr>
      <w:tc>
        <w:tcPr>
          <w:tcW w:w="1263" w:type="dxa"/>
          <w:tcBorders>
            <w:top w:val="single" w:sz="4" w:space="0" w:color="auto"/>
            <w:left w:val="nil"/>
            <w:bottom w:val="single" w:sz="4" w:space="0" w:color="auto"/>
            <w:right w:val="nil"/>
          </w:tcBorders>
          <w:hideMark/>
        </w:tcPr>
        <w:p w:rsidR="006F143F" w:rsidRPr="00B07EB8" w:rsidRDefault="006F143F" w:rsidP="00BA7E07">
          <w:pPr>
            <w:spacing w:before="60" w:after="200" w:line="276" w:lineRule="auto"/>
            <w:ind w:left="-51"/>
            <w:rPr>
              <w:rFonts w:ascii="Arial" w:eastAsia="Calibri" w:hAnsi="Arial"/>
              <w:sz w:val="12"/>
              <w:szCs w:val="22"/>
              <w:lang w:val="en-AU"/>
            </w:rPr>
          </w:pPr>
          <w:bookmarkStart w:id="1" w:name="OLE_LINK2"/>
          <w:r>
            <w:rPr>
              <w:rFonts w:ascii="Arial" w:eastAsia="Calibri" w:hAnsi="Arial"/>
              <w:noProof/>
              <w:sz w:val="12"/>
              <w:szCs w:val="22"/>
              <w:lang w:val="en-AU" w:eastAsia="en-AU"/>
            </w:rPr>
            <w:drawing>
              <wp:inline distT="0" distB="0" distL="0" distR="0" wp14:anchorId="152051E3" wp14:editId="13F22F22">
                <wp:extent cx="704850" cy="540763"/>
                <wp:effectExtent l="0" t="0" r="0" b="0"/>
                <wp:docPr id="1" name="Picture 1" title="Commonwealth Coat of Arm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title="Commonwealth Coat of Arms"/>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4850" cy="54038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cBorders>
          <w:hideMark/>
        </w:tcPr>
        <w:p w:rsidR="006F143F" w:rsidRPr="00B07EB8" w:rsidRDefault="006F143F" w:rsidP="00BA7E07">
          <w:pPr>
            <w:spacing w:before="60" w:after="200" w:line="460" w:lineRule="exact"/>
            <w:rPr>
              <w:rFonts w:ascii="Arial" w:eastAsia="Calibri" w:hAnsi="Arial" w:cs="Arial"/>
              <w:b/>
              <w:spacing w:val="-2"/>
              <w:sz w:val="44"/>
              <w:szCs w:val="44"/>
              <w:lang w:val="en-AU"/>
            </w:rPr>
          </w:pPr>
          <w:r w:rsidRPr="00B07EB8">
            <w:rPr>
              <w:rFonts w:ascii="Arial" w:eastAsia="Calibri" w:hAnsi="Arial" w:cs="Arial"/>
              <w:b/>
              <w:spacing w:val="-2"/>
              <w:sz w:val="44"/>
              <w:szCs w:val="44"/>
              <w:lang w:val="en-AU"/>
            </w:rPr>
            <w:t>Commonwealth</w:t>
          </w:r>
          <w:r w:rsidRPr="00B07EB8">
            <w:rPr>
              <w:rFonts w:ascii="Arial" w:eastAsia="Calibri" w:hAnsi="Arial" w:cs="Arial"/>
              <w:b/>
              <w:spacing w:val="-2"/>
              <w:sz w:val="44"/>
              <w:szCs w:val="44"/>
              <w:lang w:val="en-AU"/>
            </w:rPr>
            <w:br/>
            <w:t>of Australia</w:t>
          </w:r>
        </w:p>
      </w:tc>
      <w:tc>
        <w:tcPr>
          <w:tcW w:w="3979" w:type="dxa"/>
          <w:tcBorders>
            <w:top w:val="single" w:sz="4" w:space="0" w:color="auto"/>
            <w:left w:val="nil"/>
            <w:bottom w:val="single" w:sz="4" w:space="0" w:color="auto"/>
            <w:right w:val="nil"/>
          </w:tcBorders>
          <w:hideMark/>
        </w:tcPr>
        <w:p w:rsidR="006F143F" w:rsidRPr="00B07EB8" w:rsidRDefault="006F143F" w:rsidP="00BA7E07">
          <w:pPr>
            <w:spacing w:before="180" w:after="200" w:line="800" w:lineRule="exact"/>
            <w:jc w:val="right"/>
            <w:rPr>
              <w:rFonts w:ascii="Arial" w:eastAsia="Calibri" w:hAnsi="Arial" w:cs="Arial"/>
              <w:b/>
              <w:sz w:val="100"/>
              <w:szCs w:val="100"/>
              <w:lang w:val="en-AU"/>
            </w:rPr>
          </w:pPr>
          <w:r w:rsidRPr="00B07EB8">
            <w:rPr>
              <w:rFonts w:ascii="Arial" w:eastAsia="Calibri" w:hAnsi="Arial" w:cs="Arial"/>
              <w:b/>
              <w:sz w:val="100"/>
              <w:szCs w:val="100"/>
              <w:lang w:val="en-AU"/>
            </w:rPr>
            <w:t>Gazette</w:t>
          </w:r>
        </w:p>
      </w:tc>
    </w:tr>
    <w:tr w:rsidR="006F143F" w:rsidRPr="00B07EB8" w:rsidTr="00BA7E07">
      <w:trPr>
        <w:trHeight w:val="340"/>
      </w:trPr>
      <w:tc>
        <w:tcPr>
          <w:tcW w:w="5698" w:type="dxa"/>
          <w:gridSpan w:val="2"/>
          <w:tcBorders>
            <w:top w:val="single" w:sz="4" w:space="0" w:color="auto"/>
            <w:left w:val="nil"/>
            <w:bottom w:val="single" w:sz="4" w:space="0" w:color="auto"/>
            <w:right w:val="nil"/>
          </w:tcBorders>
          <w:vAlign w:val="bottom"/>
          <w:hideMark/>
        </w:tcPr>
        <w:p w:rsidR="006F143F" w:rsidRPr="00B07EB8" w:rsidRDefault="006F143F" w:rsidP="00BA7E07">
          <w:pPr>
            <w:spacing w:after="200" w:line="276" w:lineRule="auto"/>
            <w:ind w:left="-51"/>
            <w:rPr>
              <w:rFonts w:ascii="Arial" w:eastAsia="Calibri" w:hAnsi="Arial" w:cs="Arial"/>
              <w:sz w:val="14"/>
              <w:szCs w:val="14"/>
              <w:lang w:val="en-AU"/>
            </w:rPr>
          </w:pPr>
          <w:bookmarkStart w:id="2" w:name="GazNo"/>
          <w:bookmarkEnd w:id="2"/>
          <w:r w:rsidRPr="00B07EB8">
            <w:rPr>
              <w:rFonts w:ascii="Arial" w:eastAsia="Calibri" w:hAnsi="Arial" w:cs="Arial"/>
              <w:sz w:val="14"/>
              <w:szCs w:val="14"/>
              <w:lang w:val="en-AU"/>
            </w:rPr>
            <w:t>Published by the Commonwealth of Australia</w:t>
          </w:r>
        </w:p>
      </w:tc>
      <w:tc>
        <w:tcPr>
          <w:tcW w:w="3979" w:type="dxa"/>
          <w:tcBorders>
            <w:top w:val="single" w:sz="4" w:space="0" w:color="auto"/>
            <w:left w:val="nil"/>
            <w:bottom w:val="single" w:sz="4" w:space="0" w:color="auto"/>
            <w:right w:val="nil"/>
          </w:tcBorders>
          <w:shd w:val="clear" w:color="auto" w:fill="000000"/>
          <w:vAlign w:val="bottom"/>
          <w:hideMark/>
        </w:tcPr>
        <w:p w:rsidR="006F143F" w:rsidRPr="00B07EB8" w:rsidRDefault="006F143F" w:rsidP="00BA7E07">
          <w:pPr>
            <w:spacing w:after="200" w:line="276" w:lineRule="auto"/>
            <w:jc w:val="right"/>
            <w:rPr>
              <w:rFonts w:ascii="Arial" w:eastAsia="Calibri" w:hAnsi="Arial" w:cs="Arial"/>
              <w:b/>
              <w:sz w:val="22"/>
              <w:szCs w:val="22"/>
              <w:lang w:val="en-AU"/>
            </w:rPr>
          </w:pPr>
          <w:r w:rsidRPr="00B07EB8">
            <w:rPr>
              <w:rFonts w:ascii="Arial" w:eastAsia="Calibri" w:hAnsi="Arial" w:cs="Arial"/>
              <w:b/>
              <w:sz w:val="22"/>
              <w:szCs w:val="22"/>
              <w:lang w:val="en-AU"/>
            </w:rPr>
            <w:t>GOVERNMENT NOTICES</w:t>
          </w:r>
        </w:p>
      </w:tc>
    </w:tr>
    <w:bookmarkEnd w:id="1"/>
  </w:tbl>
  <w:p w:rsidR="006F143F" w:rsidRDefault="006F143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A6786"/>
    <w:multiLevelType w:val="hybridMultilevel"/>
    <w:tmpl w:val="3F9474F6"/>
    <w:lvl w:ilvl="0" w:tplc="0C090017">
      <w:start w:val="1"/>
      <w:numFmt w:val="lowerLetter"/>
      <w:lvlText w:val="%1)"/>
      <w:lvlJc w:val="left"/>
      <w:pPr>
        <w:ind w:left="1080" w:hanging="360"/>
      </w:pPr>
      <w:rPr>
        <w:rFonts w:cs="Times New Roman"/>
      </w:rPr>
    </w:lvl>
    <w:lvl w:ilvl="1" w:tplc="0C090019">
      <w:start w:val="1"/>
      <w:numFmt w:val="lowerLetter"/>
      <w:lvlText w:val="%2."/>
      <w:lvlJc w:val="left"/>
      <w:pPr>
        <w:ind w:left="1800" w:hanging="360"/>
      </w:pPr>
      <w:rPr>
        <w:rFonts w:cs="Times New Roman"/>
      </w:rPr>
    </w:lvl>
    <w:lvl w:ilvl="2" w:tplc="0C09001B">
      <w:start w:val="1"/>
      <w:numFmt w:val="lowerRoman"/>
      <w:lvlText w:val="%3."/>
      <w:lvlJc w:val="right"/>
      <w:pPr>
        <w:ind w:left="2520" w:hanging="180"/>
      </w:pPr>
      <w:rPr>
        <w:rFonts w:cs="Times New Roman"/>
      </w:rPr>
    </w:lvl>
    <w:lvl w:ilvl="3" w:tplc="0C09000F" w:tentative="1">
      <w:start w:val="1"/>
      <w:numFmt w:val="decimal"/>
      <w:lvlText w:val="%4."/>
      <w:lvlJc w:val="left"/>
      <w:pPr>
        <w:ind w:left="3240" w:hanging="360"/>
      </w:pPr>
      <w:rPr>
        <w:rFonts w:cs="Times New Roman"/>
      </w:rPr>
    </w:lvl>
    <w:lvl w:ilvl="4" w:tplc="0C090019" w:tentative="1">
      <w:start w:val="1"/>
      <w:numFmt w:val="lowerLetter"/>
      <w:lvlText w:val="%5."/>
      <w:lvlJc w:val="left"/>
      <w:pPr>
        <w:ind w:left="3960" w:hanging="360"/>
      </w:pPr>
      <w:rPr>
        <w:rFonts w:cs="Times New Roman"/>
      </w:rPr>
    </w:lvl>
    <w:lvl w:ilvl="5" w:tplc="0C09001B" w:tentative="1">
      <w:start w:val="1"/>
      <w:numFmt w:val="lowerRoman"/>
      <w:lvlText w:val="%6."/>
      <w:lvlJc w:val="right"/>
      <w:pPr>
        <w:ind w:left="4680" w:hanging="180"/>
      </w:pPr>
      <w:rPr>
        <w:rFonts w:cs="Times New Roman"/>
      </w:rPr>
    </w:lvl>
    <w:lvl w:ilvl="6" w:tplc="0C09000F" w:tentative="1">
      <w:start w:val="1"/>
      <w:numFmt w:val="decimal"/>
      <w:lvlText w:val="%7."/>
      <w:lvlJc w:val="left"/>
      <w:pPr>
        <w:ind w:left="5400" w:hanging="360"/>
      </w:pPr>
      <w:rPr>
        <w:rFonts w:cs="Times New Roman"/>
      </w:rPr>
    </w:lvl>
    <w:lvl w:ilvl="7" w:tplc="0C090019" w:tentative="1">
      <w:start w:val="1"/>
      <w:numFmt w:val="lowerLetter"/>
      <w:lvlText w:val="%8."/>
      <w:lvlJc w:val="left"/>
      <w:pPr>
        <w:ind w:left="6120" w:hanging="360"/>
      </w:pPr>
      <w:rPr>
        <w:rFonts w:cs="Times New Roman"/>
      </w:rPr>
    </w:lvl>
    <w:lvl w:ilvl="8" w:tplc="0C09001B" w:tentative="1">
      <w:start w:val="1"/>
      <w:numFmt w:val="lowerRoman"/>
      <w:lvlText w:val="%9."/>
      <w:lvlJc w:val="right"/>
      <w:pPr>
        <w:ind w:left="6840" w:hanging="180"/>
      </w:pPr>
      <w:rPr>
        <w:rFonts w:cs="Times New Roman"/>
      </w:rPr>
    </w:lvl>
  </w:abstractNum>
  <w:abstractNum w:abstractNumId="1">
    <w:nsid w:val="13C80411"/>
    <w:multiLevelType w:val="hybridMultilevel"/>
    <w:tmpl w:val="4A169B9A"/>
    <w:lvl w:ilvl="0" w:tplc="76504284">
      <w:start w:val="1"/>
      <w:numFmt w:val="decimal"/>
      <w:lvlText w:val="%1."/>
      <w:lvlJc w:val="left"/>
      <w:pPr>
        <w:tabs>
          <w:tab w:val="num" w:pos="720"/>
        </w:tabs>
        <w:ind w:left="720" w:hanging="360"/>
      </w:pPr>
      <w:rPr>
        <w:rFonts w:ascii="Calibri" w:hAnsi="Calibri" w:cs="Times New Roman" w:hint="default"/>
        <w:b w:val="0"/>
        <w:i w:val="0"/>
        <w:sz w:val="22"/>
      </w:rPr>
    </w:lvl>
    <w:lvl w:ilvl="1" w:tplc="0C090019">
      <w:start w:val="1"/>
      <w:numFmt w:val="lowerLetter"/>
      <w:lvlText w:val="%2."/>
      <w:lvlJc w:val="left"/>
      <w:pPr>
        <w:tabs>
          <w:tab w:val="num" w:pos="1440"/>
        </w:tabs>
        <w:ind w:left="1440" w:hanging="360"/>
      </w:pPr>
      <w:rPr>
        <w:rFonts w:cs="Times New Roman"/>
      </w:rPr>
    </w:lvl>
    <w:lvl w:ilvl="2" w:tplc="0C09001B">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
    <w:nsid w:val="4A2B2521"/>
    <w:multiLevelType w:val="hybridMultilevel"/>
    <w:tmpl w:val="3F9474F6"/>
    <w:lvl w:ilvl="0" w:tplc="0C090017">
      <w:start w:val="1"/>
      <w:numFmt w:val="lowerLetter"/>
      <w:lvlText w:val="%1)"/>
      <w:lvlJc w:val="left"/>
      <w:pPr>
        <w:ind w:left="1080" w:hanging="360"/>
      </w:pPr>
      <w:rPr>
        <w:rFonts w:cs="Times New Roman"/>
      </w:rPr>
    </w:lvl>
    <w:lvl w:ilvl="1" w:tplc="0C090019">
      <w:start w:val="1"/>
      <w:numFmt w:val="lowerLetter"/>
      <w:lvlText w:val="%2."/>
      <w:lvlJc w:val="left"/>
      <w:pPr>
        <w:ind w:left="1800" w:hanging="360"/>
      </w:pPr>
      <w:rPr>
        <w:rFonts w:cs="Times New Roman"/>
      </w:rPr>
    </w:lvl>
    <w:lvl w:ilvl="2" w:tplc="0C09001B">
      <w:start w:val="1"/>
      <w:numFmt w:val="lowerRoman"/>
      <w:lvlText w:val="%3."/>
      <w:lvlJc w:val="right"/>
      <w:pPr>
        <w:ind w:left="2520" w:hanging="180"/>
      </w:pPr>
      <w:rPr>
        <w:rFonts w:cs="Times New Roman"/>
      </w:rPr>
    </w:lvl>
    <w:lvl w:ilvl="3" w:tplc="0C09000F" w:tentative="1">
      <w:start w:val="1"/>
      <w:numFmt w:val="decimal"/>
      <w:lvlText w:val="%4."/>
      <w:lvlJc w:val="left"/>
      <w:pPr>
        <w:ind w:left="3240" w:hanging="360"/>
      </w:pPr>
      <w:rPr>
        <w:rFonts w:cs="Times New Roman"/>
      </w:rPr>
    </w:lvl>
    <w:lvl w:ilvl="4" w:tplc="0C090019" w:tentative="1">
      <w:start w:val="1"/>
      <w:numFmt w:val="lowerLetter"/>
      <w:lvlText w:val="%5."/>
      <w:lvlJc w:val="left"/>
      <w:pPr>
        <w:ind w:left="3960" w:hanging="360"/>
      </w:pPr>
      <w:rPr>
        <w:rFonts w:cs="Times New Roman"/>
      </w:rPr>
    </w:lvl>
    <w:lvl w:ilvl="5" w:tplc="0C09001B" w:tentative="1">
      <w:start w:val="1"/>
      <w:numFmt w:val="lowerRoman"/>
      <w:lvlText w:val="%6."/>
      <w:lvlJc w:val="right"/>
      <w:pPr>
        <w:ind w:left="4680" w:hanging="180"/>
      </w:pPr>
      <w:rPr>
        <w:rFonts w:cs="Times New Roman"/>
      </w:rPr>
    </w:lvl>
    <w:lvl w:ilvl="6" w:tplc="0C09000F" w:tentative="1">
      <w:start w:val="1"/>
      <w:numFmt w:val="decimal"/>
      <w:lvlText w:val="%7."/>
      <w:lvlJc w:val="left"/>
      <w:pPr>
        <w:ind w:left="5400" w:hanging="360"/>
      </w:pPr>
      <w:rPr>
        <w:rFonts w:cs="Times New Roman"/>
      </w:rPr>
    </w:lvl>
    <w:lvl w:ilvl="7" w:tplc="0C090019" w:tentative="1">
      <w:start w:val="1"/>
      <w:numFmt w:val="lowerLetter"/>
      <w:lvlText w:val="%8."/>
      <w:lvlJc w:val="left"/>
      <w:pPr>
        <w:ind w:left="6120" w:hanging="360"/>
      </w:pPr>
      <w:rPr>
        <w:rFonts w:cs="Times New Roman"/>
      </w:rPr>
    </w:lvl>
    <w:lvl w:ilvl="8" w:tplc="0C09001B" w:tentative="1">
      <w:start w:val="1"/>
      <w:numFmt w:val="lowerRoman"/>
      <w:lvlText w:val="%9."/>
      <w:lvlJc w:val="right"/>
      <w:pPr>
        <w:ind w:left="6840" w:hanging="180"/>
      </w:pPr>
      <w:rPr>
        <w:rFonts w:cs="Times New Roman"/>
      </w:rPr>
    </w:lvl>
  </w:abstractNum>
  <w:abstractNum w:abstractNumId="3">
    <w:nsid w:val="6A19088E"/>
    <w:multiLevelType w:val="hybridMultilevel"/>
    <w:tmpl w:val="3F9474F6"/>
    <w:lvl w:ilvl="0" w:tplc="0C090017">
      <w:start w:val="1"/>
      <w:numFmt w:val="lowerLetter"/>
      <w:lvlText w:val="%1)"/>
      <w:lvlJc w:val="left"/>
      <w:pPr>
        <w:ind w:left="1080" w:hanging="360"/>
      </w:pPr>
      <w:rPr>
        <w:rFonts w:cs="Times New Roman"/>
      </w:rPr>
    </w:lvl>
    <w:lvl w:ilvl="1" w:tplc="0C090019">
      <w:start w:val="1"/>
      <w:numFmt w:val="lowerLetter"/>
      <w:lvlText w:val="%2."/>
      <w:lvlJc w:val="left"/>
      <w:pPr>
        <w:ind w:left="1800" w:hanging="360"/>
      </w:pPr>
      <w:rPr>
        <w:rFonts w:cs="Times New Roman"/>
      </w:rPr>
    </w:lvl>
    <w:lvl w:ilvl="2" w:tplc="0C09001B">
      <w:start w:val="1"/>
      <w:numFmt w:val="lowerRoman"/>
      <w:lvlText w:val="%3."/>
      <w:lvlJc w:val="right"/>
      <w:pPr>
        <w:ind w:left="2520" w:hanging="180"/>
      </w:pPr>
      <w:rPr>
        <w:rFonts w:cs="Times New Roman"/>
      </w:rPr>
    </w:lvl>
    <w:lvl w:ilvl="3" w:tplc="0C09000F" w:tentative="1">
      <w:start w:val="1"/>
      <w:numFmt w:val="decimal"/>
      <w:lvlText w:val="%4."/>
      <w:lvlJc w:val="left"/>
      <w:pPr>
        <w:ind w:left="3240" w:hanging="360"/>
      </w:pPr>
      <w:rPr>
        <w:rFonts w:cs="Times New Roman"/>
      </w:rPr>
    </w:lvl>
    <w:lvl w:ilvl="4" w:tplc="0C090019" w:tentative="1">
      <w:start w:val="1"/>
      <w:numFmt w:val="lowerLetter"/>
      <w:lvlText w:val="%5."/>
      <w:lvlJc w:val="left"/>
      <w:pPr>
        <w:ind w:left="3960" w:hanging="360"/>
      </w:pPr>
      <w:rPr>
        <w:rFonts w:cs="Times New Roman"/>
      </w:rPr>
    </w:lvl>
    <w:lvl w:ilvl="5" w:tplc="0C09001B" w:tentative="1">
      <w:start w:val="1"/>
      <w:numFmt w:val="lowerRoman"/>
      <w:lvlText w:val="%6."/>
      <w:lvlJc w:val="right"/>
      <w:pPr>
        <w:ind w:left="4680" w:hanging="180"/>
      </w:pPr>
      <w:rPr>
        <w:rFonts w:cs="Times New Roman"/>
      </w:rPr>
    </w:lvl>
    <w:lvl w:ilvl="6" w:tplc="0C09000F" w:tentative="1">
      <w:start w:val="1"/>
      <w:numFmt w:val="decimal"/>
      <w:lvlText w:val="%7."/>
      <w:lvlJc w:val="left"/>
      <w:pPr>
        <w:ind w:left="5400" w:hanging="360"/>
      </w:pPr>
      <w:rPr>
        <w:rFonts w:cs="Times New Roman"/>
      </w:rPr>
    </w:lvl>
    <w:lvl w:ilvl="7" w:tplc="0C090019" w:tentative="1">
      <w:start w:val="1"/>
      <w:numFmt w:val="lowerLetter"/>
      <w:lvlText w:val="%8."/>
      <w:lvlJc w:val="left"/>
      <w:pPr>
        <w:ind w:left="6120" w:hanging="360"/>
      </w:pPr>
      <w:rPr>
        <w:rFonts w:cs="Times New Roman"/>
      </w:rPr>
    </w:lvl>
    <w:lvl w:ilvl="8" w:tplc="0C09001B" w:tentative="1">
      <w:start w:val="1"/>
      <w:numFmt w:val="lowerRoman"/>
      <w:lvlText w:val="%9."/>
      <w:lvlJc w:val="right"/>
      <w:pPr>
        <w:ind w:left="6840" w:hanging="180"/>
      </w:pPr>
      <w:rPr>
        <w:rFonts w:cs="Times New Roman"/>
      </w:rPr>
    </w:lvl>
  </w:abstractNum>
  <w:abstractNum w:abstractNumId="4">
    <w:nsid w:val="7FFC43E0"/>
    <w:multiLevelType w:val="hybridMultilevel"/>
    <w:tmpl w:val="3F9474F6"/>
    <w:lvl w:ilvl="0" w:tplc="0C090017">
      <w:start w:val="1"/>
      <w:numFmt w:val="lowerLetter"/>
      <w:lvlText w:val="%1)"/>
      <w:lvlJc w:val="left"/>
      <w:pPr>
        <w:ind w:left="1080" w:hanging="360"/>
      </w:pPr>
      <w:rPr>
        <w:rFonts w:cs="Times New Roman"/>
      </w:rPr>
    </w:lvl>
    <w:lvl w:ilvl="1" w:tplc="0C090019">
      <w:start w:val="1"/>
      <w:numFmt w:val="lowerLetter"/>
      <w:lvlText w:val="%2."/>
      <w:lvlJc w:val="left"/>
      <w:pPr>
        <w:ind w:left="1800" w:hanging="360"/>
      </w:pPr>
      <w:rPr>
        <w:rFonts w:cs="Times New Roman"/>
      </w:rPr>
    </w:lvl>
    <w:lvl w:ilvl="2" w:tplc="0C09001B">
      <w:start w:val="1"/>
      <w:numFmt w:val="lowerRoman"/>
      <w:lvlText w:val="%3."/>
      <w:lvlJc w:val="right"/>
      <w:pPr>
        <w:ind w:left="2520" w:hanging="180"/>
      </w:pPr>
      <w:rPr>
        <w:rFonts w:cs="Times New Roman"/>
      </w:rPr>
    </w:lvl>
    <w:lvl w:ilvl="3" w:tplc="0C09000F" w:tentative="1">
      <w:start w:val="1"/>
      <w:numFmt w:val="decimal"/>
      <w:lvlText w:val="%4."/>
      <w:lvlJc w:val="left"/>
      <w:pPr>
        <w:ind w:left="3240" w:hanging="360"/>
      </w:pPr>
      <w:rPr>
        <w:rFonts w:cs="Times New Roman"/>
      </w:rPr>
    </w:lvl>
    <w:lvl w:ilvl="4" w:tplc="0C090019" w:tentative="1">
      <w:start w:val="1"/>
      <w:numFmt w:val="lowerLetter"/>
      <w:lvlText w:val="%5."/>
      <w:lvlJc w:val="left"/>
      <w:pPr>
        <w:ind w:left="3960" w:hanging="360"/>
      </w:pPr>
      <w:rPr>
        <w:rFonts w:cs="Times New Roman"/>
      </w:rPr>
    </w:lvl>
    <w:lvl w:ilvl="5" w:tplc="0C09001B" w:tentative="1">
      <w:start w:val="1"/>
      <w:numFmt w:val="lowerRoman"/>
      <w:lvlText w:val="%6."/>
      <w:lvlJc w:val="right"/>
      <w:pPr>
        <w:ind w:left="4680" w:hanging="180"/>
      </w:pPr>
      <w:rPr>
        <w:rFonts w:cs="Times New Roman"/>
      </w:rPr>
    </w:lvl>
    <w:lvl w:ilvl="6" w:tplc="0C09000F" w:tentative="1">
      <w:start w:val="1"/>
      <w:numFmt w:val="decimal"/>
      <w:lvlText w:val="%7."/>
      <w:lvlJc w:val="left"/>
      <w:pPr>
        <w:ind w:left="5400" w:hanging="360"/>
      </w:pPr>
      <w:rPr>
        <w:rFonts w:cs="Times New Roman"/>
      </w:rPr>
    </w:lvl>
    <w:lvl w:ilvl="7" w:tplc="0C090019" w:tentative="1">
      <w:start w:val="1"/>
      <w:numFmt w:val="lowerLetter"/>
      <w:lvlText w:val="%8."/>
      <w:lvlJc w:val="left"/>
      <w:pPr>
        <w:ind w:left="6120" w:hanging="360"/>
      </w:pPr>
      <w:rPr>
        <w:rFonts w:cs="Times New Roman"/>
      </w:rPr>
    </w:lvl>
    <w:lvl w:ilvl="8" w:tplc="0C09001B" w:tentative="1">
      <w:start w:val="1"/>
      <w:numFmt w:val="lowerRoman"/>
      <w:lvlText w:val="%9."/>
      <w:lvlJc w:val="right"/>
      <w:pPr>
        <w:ind w:left="6840" w:hanging="180"/>
      </w:pPr>
      <w:rPr>
        <w:rFonts w:cs="Times New Roman"/>
      </w:r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1"/>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1B44"/>
    <w:rsid w:val="006F143F"/>
    <w:rsid w:val="00821B44"/>
    <w:rsid w:val="009328B3"/>
    <w:rsid w:val="00C94713"/>
    <w:rsid w:val="00D7418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143F"/>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6F143F"/>
    <w:pPr>
      <w:ind w:left="720"/>
    </w:pPr>
  </w:style>
  <w:style w:type="paragraph" w:styleId="Header">
    <w:name w:val="header"/>
    <w:basedOn w:val="Normal"/>
    <w:link w:val="HeaderChar"/>
    <w:uiPriority w:val="99"/>
    <w:unhideWhenUsed/>
    <w:rsid w:val="006F143F"/>
    <w:pPr>
      <w:tabs>
        <w:tab w:val="center" w:pos="4513"/>
        <w:tab w:val="right" w:pos="9026"/>
      </w:tabs>
    </w:pPr>
  </w:style>
  <w:style w:type="character" w:customStyle="1" w:styleId="HeaderChar">
    <w:name w:val="Header Char"/>
    <w:basedOn w:val="DefaultParagraphFont"/>
    <w:link w:val="Header"/>
    <w:uiPriority w:val="99"/>
    <w:rsid w:val="006F143F"/>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6F143F"/>
    <w:pPr>
      <w:tabs>
        <w:tab w:val="center" w:pos="4513"/>
        <w:tab w:val="right" w:pos="9026"/>
      </w:tabs>
    </w:pPr>
  </w:style>
  <w:style w:type="character" w:customStyle="1" w:styleId="FooterChar">
    <w:name w:val="Footer Char"/>
    <w:basedOn w:val="DefaultParagraphFont"/>
    <w:link w:val="Footer"/>
    <w:uiPriority w:val="99"/>
    <w:rsid w:val="006F143F"/>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6F143F"/>
    <w:rPr>
      <w:rFonts w:ascii="Tahoma" w:hAnsi="Tahoma" w:cs="Tahoma"/>
      <w:sz w:val="16"/>
      <w:szCs w:val="16"/>
    </w:rPr>
  </w:style>
  <w:style w:type="character" w:customStyle="1" w:styleId="BalloonTextChar">
    <w:name w:val="Balloon Text Char"/>
    <w:basedOn w:val="DefaultParagraphFont"/>
    <w:link w:val="BalloonText"/>
    <w:uiPriority w:val="99"/>
    <w:semiHidden/>
    <w:rsid w:val="006F143F"/>
    <w:rPr>
      <w:rFonts w:ascii="Tahoma" w:eastAsia="Times New Roman"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143F"/>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6F143F"/>
    <w:pPr>
      <w:ind w:left="720"/>
    </w:pPr>
  </w:style>
  <w:style w:type="paragraph" w:styleId="Header">
    <w:name w:val="header"/>
    <w:basedOn w:val="Normal"/>
    <w:link w:val="HeaderChar"/>
    <w:uiPriority w:val="99"/>
    <w:unhideWhenUsed/>
    <w:rsid w:val="006F143F"/>
    <w:pPr>
      <w:tabs>
        <w:tab w:val="center" w:pos="4513"/>
        <w:tab w:val="right" w:pos="9026"/>
      </w:tabs>
    </w:pPr>
  </w:style>
  <w:style w:type="character" w:customStyle="1" w:styleId="HeaderChar">
    <w:name w:val="Header Char"/>
    <w:basedOn w:val="DefaultParagraphFont"/>
    <w:link w:val="Header"/>
    <w:uiPriority w:val="99"/>
    <w:rsid w:val="006F143F"/>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6F143F"/>
    <w:pPr>
      <w:tabs>
        <w:tab w:val="center" w:pos="4513"/>
        <w:tab w:val="right" w:pos="9026"/>
      </w:tabs>
    </w:pPr>
  </w:style>
  <w:style w:type="character" w:customStyle="1" w:styleId="FooterChar">
    <w:name w:val="Footer Char"/>
    <w:basedOn w:val="DefaultParagraphFont"/>
    <w:link w:val="Footer"/>
    <w:uiPriority w:val="99"/>
    <w:rsid w:val="006F143F"/>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6F143F"/>
    <w:rPr>
      <w:rFonts w:ascii="Tahoma" w:hAnsi="Tahoma" w:cs="Tahoma"/>
      <w:sz w:val="16"/>
      <w:szCs w:val="16"/>
    </w:rPr>
  </w:style>
  <w:style w:type="character" w:customStyle="1" w:styleId="BalloonTextChar">
    <w:name w:val="Balloon Text Char"/>
    <w:basedOn w:val="DefaultParagraphFont"/>
    <w:link w:val="BalloonText"/>
    <w:uiPriority w:val="99"/>
    <w:semiHidden/>
    <w:rsid w:val="006F143F"/>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1041</Words>
  <Characters>5935</Characters>
  <Application>Microsoft Office Word</Application>
  <DocSecurity>0</DocSecurity>
  <Lines>49</Lines>
  <Paragraphs>13</Paragraphs>
  <ScaleCrop>false</ScaleCrop>
  <Company>National Heavy Vehicle Regulator</Company>
  <LinksUpToDate>false</LinksUpToDate>
  <CharactersWithSpaces>6963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Crapnell</dc:creator>
  <cp:keywords/>
  <dc:description/>
  <cp:lastModifiedBy>Robert Crapnell</cp:lastModifiedBy>
  <cp:revision>4</cp:revision>
  <dcterms:created xsi:type="dcterms:W3CDTF">2019-01-25T00:08:00Z</dcterms:created>
  <dcterms:modified xsi:type="dcterms:W3CDTF">2019-01-25T00:15:00Z</dcterms:modified>
</cp:coreProperties>
</file>