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B2" w:rsidRPr="008D0A06" w:rsidRDefault="00297EC1" w:rsidP="00297EC1">
      <w:pPr>
        <w:spacing w:after="200"/>
        <w:jc w:val="center"/>
        <w:rPr>
          <w:noProof/>
          <w:sz w:val="18"/>
          <w:szCs w:val="18"/>
        </w:rPr>
      </w:pPr>
      <w:r>
        <w:rPr>
          <w:noProof/>
        </w:rPr>
        <w:drawing>
          <wp:inline distT="0" distB="0" distL="0" distR="0" wp14:anchorId="4E4C6048" wp14:editId="63168E2F">
            <wp:extent cx="2409825" cy="704850"/>
            <wp:effectExtent l="0" t="0" r="9525" b="0"/>
            <wp:docPr id="3" name="Picture 3"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O_inl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25" cy="704850"/>
                    </a:xfrm>
                    <a:prstGeom prst="rect">
                      <a:avLst/>
                    </a:prstGeom>
                    <a:noFill/>
                    <a:ln>
                      <a:noFill/>
                    </a:ln>
                  </pic:spPr>
                </pic:pic>
              </a:graphicData>
            </a:graphic>
          </wp:inline>
        </w:drawing>
      </w:r>
      <w:bookmarkStart w:id="0" w:name="_GoBack"/>
      <w:bookmarkEnd w:id="0"/>
    </w:p>
    <w:p w:rsidR="00A85D11" w:rsidRDefault="00A85D11" w:rsidP="00A85D11">
      <w:pPr>
        <w:rPr>
          <w:rFonts w:cs="Arial"/>
          <w:sz w:val="18"/>
          <w:szCs w:val="18"/>
        </w:rPr>
      </w:pPr>
      <w:r w:rsidRPr="00141674">
        <w:rPr>
          <w:rFonts w:cs="Arial"/>
          <w:sz w:val="18"/>
          <w:szCs w:val="18"/>
        </w:rPr>
        <w:t xml:space="preserve">The Commissioner of Taxation, </w:t>
      </w:r>
      <w:smartTag w:uri="urn:schemas:contacts" w:element="GivenName">
        <w:smartTag w:uri="urn:schemas-microsoft-com:office:smarttags" w:element="PersonName">
          <w:r>
            <w:rPr>
              <w:rFonts w:cs="Arial"/>
              <w:sz w:val="18"/>
              <w:szCs w:val="18"/>
            </w:rPr>
            <w:t>Chris</w:t>
          </w:r>
        </w:smartTag>
        <w:r>
          <w:rPr>
            <w:rFonts w:cs="Arial"/>
            <w:sz w:val="18"/>
            <w:szCs w:val="18"/>
          </w:rPr>
          <w:t xml:space="preserve"> </w:t>
        </w:r>
        <w:smartTag w:uri="urn:schemas-microsoft-com:office:smarttags" w:element="country-region">
          <w:smartTag w:uri="urn:schemas:contacts" w:element="Sn">
            <w:r>
              <w:rPr>
                <w:rFonts w:cs="Arial"/>
                <w:sz w:val="18"/>
                <w:szCs w:val="18"/>
              </w:rPr>
              <w:t>Jordan</w:t>
            </w:r>
          </w:smartTag>
        </w:smartTag>
      </w:smartTag>
      <w:r>
        <w:rPr>
          <w:rFonts w:cs="Arial"/>
          <w:sz w:val="18"/>
          <w:szCs w:val="18"/>
        </w:rPr>
        <w:t>,</w:t>
      </w:r>
      <w:r w:rsidRPr="00141674">
        <w:rPr>
          <w:rFonts w:cs="Arial"/>
          <w:sz w:val="18"/>
          <w:szCs w:val="18"/>
        </w:rPr>
        <w:t xml:space="preserve"> gives notice of the following Rulings, copies of which can be obtained from </w:t>
      </w:r>
      <w:hyperlink r:id="rId10" w:history="1">
        <w:r w:rsidR="007F191A" w:rsidRPr="00E559D9">
          <w:rPr>
            <w:rStyle w:val="Hyperlink"/>
            <w:rFonts w:cs="Arial"/>
            <w:sz w:val="18"/>
            <w:szCs w:val="18"/>
          </w:rPr>
          <w:t>http://ato.gov.au</w:t>
        </w:r>
      </w:hyperlink>
      <w:r>
        <w:rPr>
          <w:rStyle w:val="Hyperlink"/>
          <w:rFonts w:cs="Arial"/>
          <w:sz w:val="18"/>
          <w:szCs w:val="18"/>
        </w:rPr>
        <w:t>/law</w:t>
      </w:r>
      <w:r w:rsidRPr="00141674">
        <w:rPr>
          <w:rFonts w:cs="Arial"/>
          <w:sz w:val="18"/>
          <w:szCs w:val="18"/>
        </w:rPr>
        <w:t>.</w:t>
      </w:r>
    </w:p>
    <w:tbl>
      <w:tblPr>
        <w:tblW w:w="10031" w:type="dxa"/>
        <w:tblLayout w:type="fixed"/>
        <w:tblLook w:val="0000" w:firstRow="0" w:lastRow="0" w:firstColumn="0" w:lastColumn="0" w:noHBand="0" w:noVBand="0"/>
      </w:tblPr>
      <w:tblGrid>
        <w:gridCol w:w="1984"/>
        <w:gridCol w:w="3686"/>
        <w:gridCol w:w="4361"/>
      </w:tblGrid>
      <w:tr w:rsidR="008D0A06" w:rsidRPr="00851F51" w:rsidTr="002B3355">
        <w:trPr>
          <w:cantSplit/>
          <w:trHeight w:val="72"/>
          <w:tblHeader/>
        </w:trPr>
        <w:tc>
          <w:tcPr>
            <w:tcW w:w="10031" w:type="dxa"/>
            <w:gridSpan w:val="3"/>
            <w:tcBorders>
              <w:top w:val="single" w:sz="6" w:space="0" w:color="auto"/>
              <w:left w:val="single" w:sz="6" w:space="0" w:color="auto"/>
              <w:bottom w:val="single" w:sz="6" w:space="0" w:color="auto"/>
              <w:right w:val="single" w:sz="6" w:space="0" w:color="auto"/>
            </w:tcBorders>
          </w:tcPr>
          <w:p w:rsidR="008D0A06" w:rsidRPr="00851F51" w:rsidRDefault="008D0A06" w:rsidP="00851F51">
            <w:pPr>
              <w:pStyle w:val="Heading3"/>
              <w:keepLines/>
              <w:spacing w:before="80" w:after="80"/>
              <w:jc w:val="center"/>
              <w:rPr>
                <w:sz w:val="20"/>
                <w:szCs w:val="20"/>
              </w:rPr>
            </w:pPr>
            <w:r w:rsidRPr="00851F51">
              <w:rPr>
                <w:sz w:val="20"/>
                <w:szCs w:val="20"/>
              </w:rPr>
              <w:t>NOTICE OF RULINGS</w:t>
            </w:r>
          </w:p>
        </w:tc>
      </w:tr>
      <w:tr w:rsidR="00114CB2" w:rsidRPr="00851F51" w:rsidTr="002B3355">
        <w:trPr>
          <w:cantSplit/>
          <w:trHeight w:val="72"/>
          <w:tblHeader/>
        </w:trPr>
        <w:tc>
          <w:tcPr>
            <w:tcW w:w="1984" w:type="dxa"/>
            <w:tcBorders>
              <w:top w:val="single" w:sz="6" w:space="0" w:color="auto"/>
              <w:left w:val="single" w:sz="6" w:space="0" w:color="auto"/>
              <w:bottom w:val="single" w:sz="6" w:space="0" w:color="auto"/>
              <w:right w:val="single" w:sz="6" w:space="0" w:color="auto"/>
            </w:tcBorders>
            <w:vAlign w:val="center"/>
          </w:tcPr>
          <w:p w:rsidR="00114CB2" w:rsidRPr="00851F51" w:rsidRDefault="00114CB2" w:rsidP="00851F51">
            <w:pPr>
              <w:pStyle w:val="Heading3"/>
              <w:keepLines/>
              <w:spacing w:before="80" w:after="80"/>
              <w:jc w:val="center"/>
              <w:rPr>
                <w:sz w:val="20"/>
                <w:szCs w:val="20"/>
              </w:rPr>
            </w:pPr>
            <w:r w:rsidRPr="00851F51">
              <w:rPr>
                <w:sz w:val="20"/>
                <w:szCs w:val="20"/>
              </w:rPr>
              <w:t>Ruling Number</w:t>
            </w:r>
          </w:p>
        </w:tc>
        <w:tc>
          <w:tcPr>
            <w:tcW w:w="3686" w:type="dxa"/>
            <w:tcBorders>
              <w:top w:val="single" w:sz="6" w:space="0" w:color="auto"/>
              <w:left w:val="single" w:sz="6" w:space="0" w:color="auto"/>
              <w:bottom w:val="single" w:sz="6" w:space="0" w:color="auto"/>
              <w:right w:val="single" w:sz="6" w:space="0" w:color="auto"/>
            </w:tcBorders>
            <w:vAlign w:val="center"/>
          </w:tcPr>
          <w:p w:rsidR="00114CB2" w:rsidRPr="00851F51" w:rsidRDefault="00114CB2" w:rsidP="00851F51">
            <w:pPr>
              <w:pStyle w:val="Heading3"/>
              <w:keepLines/>
              <w:spacing w:before="80" w:after="80"/>
              <w:jc w:val="center"/>
              <w:rPr>
                <w:sz w:val="20"/>
                <w:szCs w:val="20"/>
              </w:rPr>
            </w:pPr>
            <w:r w:rsidRPr="00851F51">
              <w:rPr>
                <w:sz w:val="20"/>
                <w:szCs w:val="20"/>
              </w:rPr>
              <w:t>Subject</w:t>
            </w:r>
          </w:p>
        </w:tc>
        <w:tc>
          <w:tcPr>
            <w:tcW w:w="4361" w:type="dxa"/>
            <w:tcBorders>
              <w:top w:val="single" w:sz="6" w:space="0" w:color="auto"/>
              <w:left w:val="single" w:sz="6" w:space="0" w:color="auto"/>
              <w:bottom w:val="single" w:sz="6" w:space="0" w:color="auto"/>
              <w:right w:val="single" w:sz="6" w:space="0" w:color="auto"/>
            </w:tcBorders>
            <w:vAlign w:val="center"/>
          </w:tcPr>
          <w:p w:rsidR="00114CB2" w:rsidRPr="00851F51" w:rsidRDefault="00114CB2" w:rsidP="00851F51">
            <w:pPr>
              <w:pStyle w:val="Heading3"/>
              <w:keepLines/>
              <w:spacing w:before="80" w:after="80"/>
              <w:jc w:val="center"/>
              <w:rPr>
                <w:sz w:val="20"/>
                <w:szCs w:val="20"/>
              </w:rPr>
            </w:pPr>
            <w:r w:rsidRPr="00851F51">
              <w:rPr>
                <w:sz w:val="20"/>
                <w:szCs w:val="20"/>
              </w:rPr>
              <w:t>Brief Description</w:t>
            </w:r>
          </w:p>
        </w:tc>
      </w:tr>
      <w:tr w:rsidR="00E823AE" w:rsidRPr="002F3FFB" w:rsidTr="002B3355">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rsidR="00E823AE" w:rsidRPr="007C4ED5" w:rsidRDefault="007316BC" w:rsidP="007C4ED5">
            <w:pPr>
              <w:pStyle w:val="Header"/>
              <w:spacing w:beforeLines="60" w:before="144" w:afterLines="60" w:after="144"/>
              <w:rPr>
                <w:rFonts w:cs="Arial"/>
                <w:sz w:val="20"/>
                <w:szCs w:val="20"/>
              </w:rPr>
            </w:pPr>
            <w:r w:rsidRPr="007C4ED5">
              <w:rPr>
                <w:rFonts w:cs="Arial"/>
                <w:sz w:val="20"/>
                <w:szCs w:val="20"/>
              </w:rPr>
              <w:t>CR</w:t>
            </w:r>
            <w:r w:rsidR="00B776EF">
              <w:rPr>
                <w:rFonts w:cs="Arial"/>
                <w:sz w:val="20"/>
                <w:szCs w:val="20"/>
              </w:rPr>
              <w:t xml:space="preserve"> </w:t>
            </w:r>
            <w:r w:rsidRPr="007C4ED5">
              <w:rPr>
                <w:rFonts w:cs="Arial"/>
                <w:sz w:val="20"/>
                <w:szCs w:val="20"/>
              </w:rPr>
              <w:t>2019/3</w:t>
            </w:r>
          </w:p>
        </w:tc>
        <w:tc>
          <w:tcPr>
            <w:tcW w:w="3686" w:type="dxa"/>
            <w:tcBorders>
              <w:top w:val="single" w:sz="6" w:space="0" w:color="auto"/>
              <w:left w:val="single" w:sz="6" w:space="0" w:color="auto"/>
              <w:bottom w:val="single" w:sz="6" w:space="0" w:color="auto"/>
              <w:right w:val="single" w:sz="6" w:space="0" w:color="auto"/>
            </w:tcBorders>
          </w:tcPr>
          <w:p w:rsidR="00E823AE" w:rsidRPr="007C4ED5" w:rsidRDefault="007316BC" w:rsidP="007C4ED5">
            <w:pPr>
              <w:pStyle w:val="Header"/>
              <w:spacing w:beforeLines="60" w:before="144" w:afterLines="60" w:after="144"/>
              <w:rPr>
                <w:rFonts w:cs="Arial"/>
                <w:sz w:val="20"/>
                <w:szCs w:val="20"/>
              </w:rPr>
            </w:pPr>
            <w:r w:rsidRPr="007C4ED5">
              <w:rPr>
                <w:rFonts w:cs="Arial"/>
                <w:color w:val="000000" w:themeColor="text1"/>
                <w:sz w:val="20"/>
                <w:szCs w:val="20"/>
              </w:rPr>
              <w:t>Income tax:  Westpac Banking Corporation – Westpac Capital Notes 6</w:t>
            </w:r>
          </w:p>
        </w:tc>
        <w:tc>
          <w:tcPr>
            <w:tcW w:w="4361" w:type="dxa"/>
            <w:tcBorders>
              <w:top w:val="single" w:sz="6" w:space="0" w:color="auto"/>
              <w:left w:val="single" w:sz="6" w:space="0" w:color="auto"/>
              <w:bottom w:val="single" w:sz="6" w:space="0" w:color="auto"/>
              <w:right w:val="single" w:sz="6" w:space="0" w:color="auto"/>
            </w:tcBorders>
          </w:tcPr>
          <w:p w:rsidR="00E823AE" w:rsidRPr="007C4ED5" w:rsidRDefault="007316BC" w:rsidP="007C4ED5">
            <w:pPr>
              <w:pStyle w:val="Header"/>
              <w:spacing w:beforeLines="60" w:before="144" w:afterLines="60" w:after="144"/>
              <w:rPr>
                <w:rFonts w:cs="Arial"/>
                <w:sz w:val="20"/>
                <w:szCs w:val="20"/>
              </w:rPr>
            </w:pPr>
            <w:r w:rsidRPr="007C4ED5">
              <w:rPr>
                <w:rFonts w:cs="Arial"/>
                <w:sz w:val="20"/>
                <w:szCs w:val="20"/>
              </w:rPr>
              <w:t>Th</w:t>
            </w:r>
            <w:r w:rsidR="005768F1" w:rsidRPr="007C4ED5">
              <w:rPr>
                <w:rFonts w:cs="Arial"/>
                <w:sz w:val="20"/>
                <w:szCs w:val="20"/>
              </w:rPr>
              <w:t>e</w:t>
            </w:r>
            <w:r w:rsidRPr="007C4ED5">
              <w:rPr>
                <w:rFonts w:cs="Arial"/>
                <w:sz w:val="20"/>
                <w:szCs w:val="20"/>
              </w:rPr>
              <w:t xml:space="preserve"> Ruling sets out the Commissioner’s </w:t>
            </w:r>
            <w:r w:rsidR="0089300F">
              <w:rPr>
                <w:rFonts w:cs="Arial"/>
                <w:sz w:val="20"/>
                <w:szCs w:val="20"/>
              </w:rPr>
              <w:t>view</w:t>
            </w:r>
            <w:r w:rsidR="0089300F" w:rsidRPr="007C4ED5">
              <w:rPr>
                <w:rFonts w:cs="Arial"/>
                <w:sz w:val="20"/>
                <w:szCs w:val="20"/>
              </w:rPr>
              <w:t xml:space="preserve"> </w:t>
            </w:r>
            <w:r w:rsidRPr="007C4ED5">
              <w:rPr>
                <w:rFonts w:cs="Arial"/>
                <w:sz w:val="20"/>
                <w:szCs w:val="20"/>
              </w:rPr>
              <w:t xml:space="preserve">on </w:t>
            </w:r>
            <w:r w:rsidR="00EB60EE" w:rsidRPr="007C4ED5">
              <w:rPr>
                <w:rFonts w:cs="Arial"/>
                <w:sz w:val="20"/>
                <w:szCs w:val="20"/>
              </w:rPr>
              <w:t>t</w:t>
            </w:r>
            <w:r w:rsidR="005A5C97">
              <w:rPr>
                <w:rFonts w:cs="Arial"/>
                <w:sz w:val="20"/>
                <w:szCs w:val="20"/>
              </w:rPr>
              <w:t xml:space="preserve">he tax outcomes of the issue of the Westpac Capital Notes 6 by the Westpac Banking Corporation for the specified class of entities. </w:t>
            </w:r>
          </w:p>
          <w:p w:rsidR="005768F1" w:rsidRPr="007C4ED5" w:rsidRDefault="005768F1" w:rsidP="003D00F5">
            <w:pPr>
              <w:pStyle w:val="Header"/>
              <w:spacing w:beforeLines="60" w:before="144" w:afterLines="60" w:after="144"/>
              <w:rPr>
                <w:rFonts w:cs="Arial"/>
                <w:sz w:val="20"/>
                <w:szCs w:val="20"/>
              </w:rPr>
            </w:pPr>
            <w:r w:rsidRPr="007C4ED5">
              <w:rPr>
                <w:rFonts w:cs="Arial"/>
                <w:sz w:val="20"/>
                <w:szCs w:val="20"/>
              </w:rPr>
              <w:t>The Ruling applies from the income year ended 30</w:t>
            </w:r>
            <w:r w:rsidR="003D00F5">
              <w:rPr>
                <w:rFonts w:cs="Arial"/>
                <w:sz w:val="20"/>
                <w:szCs w:val="20"/>
              </w:rPr>
              <w:t xml:space="preserve"> June </w:t>
            </w:r>
            <w:r w:rsidRPr="007C4ED5">
              <w:rPr>
                <w:rFonts w:cs="Arial"/>
                <w:sz w:val="20"/>
                <w:szCs w:val="20"/>
              </w:rPr>
              <w:t>2019 to 30</w:t>
            </w:r>
            <w:r w:rsidR="003D00F5">
              <w:rPr>
                <w:rFonts w:cs="Arial"/>
                <w:sz w:val="20"/>
                <w:szCs w:val="20"/>
              </w:rPr>
              <w:t xml:space="preserve"> </w:t>
            </w:r>
            <w:r w:rsidRPr="007C4ED5">
              <w:rPr>
                <w:rFonts w:cs="Arial"/>
                <w:sz w:val="20"/>
                <w:szCs w:val="20"/>
              </w:rPr>
              <w:t>June</w:t>
            </w:r>
            <w:r w:rsidR="003D00F5">
              <w:rPr>
                <w:rFonts w:cs="Arial"/>
                <w:sz w:val="20"/>
                <w:szCs w:val="20"/>
              </w:rPr>
              <w:t xml:space="preserve"> </w:t>
            </w:r>
            <w:r w:rsidRPr="007C4ED5">
              <w:rPr>
                <w:rFonts w:cs="Arial"/>
                <w:sz w:val="20"/>
                <w:szCs w:val="20"/>
              </w:rPr>
              <w:t>2030.</w:t>
            </w:r>
          </w:p>
        </w:tc>
      </w:tr>
      <w:tr w:rsidR="00E823AE" w:rsidRPr="002F3FFB" w:rsidTr="002B3355">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rsidR="00E823AE" w:rsidRPr="007C4ED5" w:rsidRDefault="007316BC" w:rsidP="007C4ED5">
            <w:pPr>
              <w:pStyle w:val="Header"/>
              <w:spacing w:beforeLines="60" w:before="144" w:afterLines="60" w:after="144"/>
              <w:rPr>
                <w:rFonts w:cs="Arial"/>
                <w:sz w:val="20"/>
                <w:szCs w:val="20"/>
              </w:rPr>
            </w:pPr>
            <w:r w:rsidRPr="007C4ED5">
              <w:rPr>
                <w:rFonts w:cs="Arial"/>
                <w:sz w:val="20"/>
                <w:szCs w:val="20"/>
              </w:rPr>
              <w:t>CR</w:t>
            </w:r>
            <w:r w:rsidR="00B776EF">
              <w:rPr>
                <w:rFonts w:cs="Arial"/>
                <w:sz w:val="20"/>
                <w:szCs w:val="20"/>
              </w:rPr>
              <w:t xml:space="preserve"> </w:t>
            </w:r>
            <w:r w:rsidRPr="007C4ED5">
              <w:rPr>
                <w:rFonts w:cs="Arial"/>
                <w:sz w:val="20"/>
                <w:szCs w:val="20"/>
              </w:rPr>
              <w:t>2019/4</w:t>
            </w:r>
          </w:p>
        </w:tc>
        <w:tc>
          <w:tcPr>
            <w:tcW w:w="3686" w:type="dxa"/>
            <w:tcBorders>
              <w:top w:val="single" w:sz="6" w:space="0" w:color="auto"/>
              <w:left w:val="single" w:sz="6" w:space="0" w:color="auto"/>
              <w:bottom w:val="single" w:sz="6" w:space="0" w:color="auto"/>
              <w:right w:val="single" w:sz="6" w:space="0" w:color="auto"/>
            </w:tcBorders>
          </w:tcPr>
          <w:p w:rsidR="00E823AE" w:rsidRPr="007C4ED5" w:rsidRDefault="007316BC" w:rsidP="00F3762C">
            <w:pPr>
              <w:pStyle w:val="Header"/>
              <w:spacing w:beforeLines="60" w:before="144" w:afterLines="60" w:after="144"/>
              <w:rPr>
                <w:rFonts w:cs="Arial"/>
                <w:sz w:val="20"/>
                <w:szCs w:val="20"/>
              </w:rPr>
            </w:pPr>
            <w:r w:rsidRPr="007C4ED5">
              <w:rPr>
                <w:rFonts w:cs="Arial"/>
                <w:color w:val="000000" w:themeColor="text1"/>
                <w:sz w:val="20"/>
                <w:szCs w:val="20"/>
              </w:rPr>
              <w:t xml:space="preserve">Fringe benefits tax:  employer clients of Police Financial Services Limited, trading as </w:t>
            </w:r>
            <w:proofErr w:type="spellStart"/>
            <w:r w:rsidRPr="007C4ED5">
              <w:rPr>
                <w:rFonts w:cs="Arial"/>
                <w:color w:val="000000" w:themeColor="text1"/>
                <w:sz w:val="20"/>
                <w:szCs w:val="20"/>
              </w:rPr>
              <w:t>BankVic</w:t>
            </w:r>
            <w:proofErr w:type="spellEnd"/>
            <w:r w:rsidRPr="007C4ED5">
              <w:rPr>
                <w:rFonts w:cs="Arial"/>
                <w:color w:val="000000" w:themeColor="text1"/>
                <w:sz w:val="20"/>
                <w:szCs w:val="20"/>
              </w:rPr>
              <w:t xml:space="preserve">, who are subject to the provisions of section 57A or 65J of the </w:t>
            </w:r>
            <w:r w:rsidRPr="007C4ED5">
              <w:rPr>
                <w:rFonts w:cs="Arial"/>
                <w:i/>
                <w:color w:val="000000" w:themeColor="text1"/>
                <w:sz w:val="20"/>
                <w:szCs w:val="20"/>
              </w:rPr>
              <w:t>Fringe Benefits Tax Assessment Act 1986</w:t>
            </w:r>
            <w:r w:rsidRPr="007C4ED5">
              <w:rPr>
                <w:rFonts w:cs="Arial"/>
                <w:color w:val="000000" w:themeColor="text1"/>
                <w:sz w:val="20"/>
                <w:szCs w:val="20"/>
              </w:rPr>
              <w:t xml:space="preserve"> that make use of the </w:t>
            </w:r>
            <w:proofErr w:type="spellStart"/>
            <w:r w:rsidRPr="007C4ED5">
              <w:rPr>
                <w:rFonts w:cs="Arial"/>
                <w:color w:val="000000" w:themeColor="text1"/>
                <w:sz w:val="20"/>
                <w:szCs w:val="20"/>
              </w:rPr>
              <w:t>BankVic</w:t>
            </w:r>
            <w:proofErr w:type="spellEnd"/>
            <w:r w:rsidRPr="007C4ED5">
              <w:rPr>
                <w:rFonts w:cs="Arial"/>
                <w:color w:val="000000" w:themeColor="text1"/>
                <w:sz w:val="20"/>
                <w:szCs w:val="20"/>
              </w:rPr>
              <w:t xml:space="preserve"> Meals and Entertainment Card</w:t>
            </w:r>
          </w:p>
        </w:tc>
        <w:tc>
          <w:tcPr>
            <w:tcW w:w="4361" w:type="dxa"/>
            <w:tcBorders>
              <w:top w:val="single" w:sz="6" w:space="0" w:color="auto"/>
              <w:left w:val="single" w:sz="6" w:space="0" w:color="auto"/>
              <w:bottom w:val="single" w:sz="6" w:space="0" w:color="auto"/>
              <w:right w:val="single" w:sz="6" w:space="0" w:color="auto"/>
            </w:tcBorders>
          </w:tcPr>
          <w:p w:rsidR="00E823AE" w:rsidRPr="007C4ED5" w:rsidRDefault="007316BC" w:rsidP="007C4ED5">
            <w:pPr>
              <w:spacing w:beforeLines="60" w:before="144" w:afterLines="60" w:after="144"/>
              <w:rPr>
                <w:rFonts w:cs="Arial"/>
                <w:sz w:val="20"/>
                <w:szCs w:val="20"/>
              </w:rPr>
            </w:pPr>
            <w:r w:rsidRPr="007C4ED5">
              <w:rPr>
                <w:rFonts w:cs="Arial"/>
                <w:sz w:val="20"/>
                <w:szCs w:val="20"/>
              </w:rPr>
              <w:t>Th</w:t>
            </w:r>
            <w:r w:rsidR="005768F1" w:rsidRPr="007C4ED5">
              <w:rPr>
                <w:rFonts w:cs="Arial"/>
                <w:sz w:val="20"/>
                <w:szCs w:val="20"/>
              </w:rPr>
              <w:t>e</w:t>
            </w:r>
            <w:r w:rsidRPr="007C4ED5">
              <w:rPr>
                <w:rFonts w:cs="Arial"/>
                <w:sz w:val="20"/>
                <w:szCs w:val="20"/>
              </w:rPr>
              <w:t xml:space="preserve"> Ruling sets out the Commissioner’s </w:t>
            </w:r>
            <w:r w:rsidR="0089300F">
              <w:rPr>
                <w:rFonts w:cs="Arial"/>
                <w:sz w:val="20"/>
                <w:szCs w:val="20"/>
              </w:rPr>
              <w:t>view</w:t>
            </w:r>
            <w:r w:rsidR="0089300F" w:rsidRPr="007C4ED5">
              <w:rPr>
                <w:rFonts w:cs="Arial"/>
                <w:sz w:val="20"/>
                <w:szCs w:val="20"/>
              </w:rPr>
              <w:t xml:space="preserve"> </w:t>
            </w:r>
            <w:r w:rsidRPr="007C4ED5">
              <w:rPr>
                <w:rFonts w:cs="Arial"/>
                <w:sz w:val="20"/>
                <w:szCs w:val="20"/>
              </w:rPr>
              <w:t>on</w:t>
            </w:r>
            <w:r w:rsidR="00EB60EE" w:rsidRPr="007C4ED5">
              <w:rPr>
                <w:rFonts w:cs="Arial"/>
                <w:sz w:val="20"/>
                <w:szCs w:val="20"/>
              </w:rPr>
              <w:t xml:space="preserve"> </w:t>
            </w:r>
            <w:r w:rsidR="005A5C97">
              <w:rPr>
                <w:rFonts w:cs="Arial"/>
                <w:sz w:val="20"/>
                <w:szCs w:val="20"/>
              </w:rPr>
              <w:t>the fringe benefits tax outcomes for employers</w:t>
            </w:r>
            <w:r w:rsidR="00EB60EE" w:rsidRPr="007C4ED5">
              <w:rPr>
                <w:rFonts w:cs="Arial"/>
                <w:sz w:val="20"/>
                <w:szCs w:val="20"/>
              </w:rPr>
              <w:t xml:space="preserve"> who enter into an arrangement, either directly or via a third party intermediary salary packaging administrator, with Police Financial Services Limited trading as </w:t>
            </w:r>
            <w:proofErr w:type="spellStart"/>
            <w:r w:rsidR="00EB60EE" w:rsidRPr="007C4ED5">
              <w:rPr>
                <w:rFonts w:cs="Arial"/>
                <w:sz w:val="20"/>
                <w:szCs w:val="20"/>
              </w:rPr>
              <w:t>BankVic</w:t>
            </w:r>
            <w:proofErr w:type="spellEnd"/>
            <w:r w:rsidR="00EB60EE" w:rsidRPr="007C4ED5">
              <w:rPr>
                <w:rFonts w:cs="Arial"/>
                <w:sz w:val="20"/>
                <w:szCs w:val="20"/>
              </w:rPr>
              <w:t xml:space="preserve"> to provide </w:t>
            </w:r>
            <w:proofErr w:type="spellStart"/>
            <w:r w:rsidR="00EB60EE" w:rsidRPr="007C4ED5">
              <w:rPr>
                <w:rFonts w:cs="Arial"/>
                <w:sz w:val="20"/>
                <w:szCs w:val="20"/>
              </w:rPr>
              <w:t>BankVic</w:t>
            </w:r>
            <w:proofErr w:type="spellEnd"/>
            <w:r w:rsidR="00EB60EE" w:rsidRPr="007C4ED5">
              <w:rPr>
                <w:rFonts w:cs="Arial"/>
                <w:sz w:val="20"/>
                <w:szCs w:val="20"/>
              </w:rPr>
              <w:t xml:space="preserve"> Meals and Entertainment card to their employer’s employees and/or their employees’ associates.</w:t>
            </w:r>
          </w:p>
          <w:p w:rsidR="005768F1" w:rsidRPr="007C4ED5" w:rsidRDefault="005768F1" w:rsidP="003D00F5">
            <w:pPr>
              <w:spacing w:beforeLines="60" w:before="144" w:afterLines="60" w:after="144"/>
              <w:rPr>
                <w:rFonts w:cs="Arial"/>
                <w:sz w:val="20"/>
                <w:szCs w:val="20"/>
              </w:rPr>
            </w:pPr>
            <w:r w:rsidRPr="007C4ED5">
              <w:rPr>
                <w:rFonts w:cs="Arial"/>
                <w:sz w:val="20"/>
                <w:szCs w:val="20"/>
              </w:rPr>
              <w:t>The Ruling applies from 1</w:t>
            </w:r>
            <w:r w:rsidR="003D00F5">
              <w:rPr>
                <w:rFonts w:cs="Arial"/>
                <w:sz w:val="20"/>
                <w:szCs w:val="20"/>
              </w:rPr>
              <w:t xml:space="preserve"> </w:t>
            </w:r>
            <w:r w:rsidRPr="007C4ED5">
              <w:rPr>
                <w:rFonts w:cs="Arial"/>
                <w:sz w:val="20"/>
                <w:szCs w:val="20"/>
              </w:rPr>
              <w:t>April</w:t>
            </w:r>
            <w:r w:rsidR="003D00F5">
              <w:rPr>
                <w:rFonts w:cs="Arial"/>
                <w:sz w:val="20"/>
                <w:szCs w:val="20"/>
              </w:rPr>
              <w:t xml:space="preserve"> </w:t>
            </w:r>
            <w:r w:rsidRPr="007C4ED5">
              <w:rPr>
                <w:rFonts w:cs="Arial"/>
                <w:sz w:val="20"/>
                <w:szCs w:val="20"/>
              </w:rPr>
              <w:t>2018 to 31</w:t>
            </w:r>
            <w:r w:rsidR="003D00F5">
              <w:rPr>
                <w:rFonts w:cs="Arial"/>
                <w:sz w:val="20"/>
                <w:szCs w:val="20"/>
              </w:rPr>
              <w:t xml:space="preserve"> </w:t>
            </w:r>
            <w:r w:rsidRPr="007C4ED5">
              <w:rPr>
                <w:rFonts w:cs="Arial"/>
                <w:sz w:val="20"/>
                <w:szCs w:val="20"/>
              </w:rPr>
              <w:t>March</w:t>
            </w:r>
            <w:r w:rsidR="003D00F5">
              <w:rPr>
                <w:rFonts w:cs="Arial"/>
                <w:sz w:val="20"/>
                <w:szCs w:val="20"/>
              </w:rPr>
              <w:t xml:space="preserve"> </w:t>
            </w:r>
            <w:r w:rsidRPr="007C4ED5">
              <w:rPr>
                <w:rFonts w:cs="Arial"/>
                <w:sz w:val="20"/>
                <w:szCs w:val="20"/>
              </w:rPr>
              <w:t>2024.</w:t>
            </w:r>
          </w:p>
        </w:tc>
      </w:tr>
      <w:tr w:rsidR="00D4639E" w:rsidRPr="002F3FFB" w:rsidTr="002B3355">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rsidR="00D4639E" w:rsidRPr="007C4ED5" w:rsidRDefault="007316BC" w:rsidP="007C4ED5">
            <w:pPr>
              <w:pStyle w:val="Header"/>
              <w:spacing w:beforeLines="60" w:before="144" w:afterLines="60" w:after="144"/>
              <w:rPr>
                <w:rFonts w:cs="Arial"/>
                <w:sz w:val="20"/>
                <w:szCs w:val="20"/>
              </w:rPr>
            </w:pPr>
            <w:r w:rsidRPr="007C4ED5">
              <w:rPr>
                <w:rFonts w:cs="Arial"/>
                <w:sz w:val="20"/>
                <w:szCs w:val="20"/>
              </w:rPr>
              <w:t>CR</w:t>
            </w:r>
            <w:r w:rsidR="00B776EF">
              <w:rPr>
                <w:rFonts w:cs="Arial"/>
                <w:sz w:val="20"/>
                <w:szCs w:val="20"/>
              </w:rPr>
              <w:t xml:space="preserve"> </w:t>
            </w:r>
            <w:r w:rsidRPr="007C4ED5">
              <w:rPr>
                <w:rFonts w:cs="Arial"/>
                <w:sz w:val="20"/>
                <w:szCs w:val="20"/>
              </w:rPr>
              <w:t>2019/5</w:t>
            </w:r>
          </w:p>
        </w:tc>
        <w:tc>
          <w:tcPr>
            <w:tcW w:w="3686" w:type="dxa"/>
            <w:tcBorders>
              <w:top w:val="single" w:sz="6" w:space="0" w:color="auto"/>
              <w:left w:val="single" w:sz="6" w:space="0" w:color="auto"/>
              <w:bottom w:val="single" w:sz="6" w:space="0" w:color="auto"/>
              <w:right w:val="single" w:sz="6" w:space="0" w:color="auto"/>
            </w:tcBorders>
          </w:tcPr>
          <w:p w:rsidR="00D4639E" w:rsidRPr="007C4ED5" w:rsidRDefault="007316BC" w:rsidP="007C4ED5">
            <w:pPr>
              <w:pStyle w:val="Header"/>
              <w:spacing w:beforeLines="60" w:before="144" w:afterLines="60" w:after="144"/>
              <w:rPr>
                <w:rFonts w:cs="Arial"/>
                <w:sz w:val="20"/>
                <w:szCs w:val="20"/>
              </w:rPr>
            </w:pPr>
            <w:r w:rsidRPr="007C4ED5">
              <w:rPr>
                <w:rFonts w:cs="Arial"/>
                <w:color w:val="000000" w:themeColor="text1"/>
                <w:sz w:val="20"/>
                <w:szCs w:val="20"/>
              </w:rPr>
              <w:t>Income tax:  BHP Group Limited – off</w:t>
            </w:r>
            <w:r w:rsidRPr="007C4ED5">
              <w:rPr>
                <w:rFonts w:cs="Arial"/>
                <w:color w:val="000000" w:themeColor="text1"/>
                <w:sz w:val="20"/>
                <w:szCs w:val="20"/>
              </w:rPr>
              <w:noBreakHyphen/>
              <w:t>market share buy</w:t>
            </w:r>
            <w:r w:rsidRPr="007C4ED5">
              <w:rPr>
                <w:rFonts w:cs="Arial"/>
                <w:color w:val="000000" w:themeColor="text1"/>
                <w:sz w:val="20"/>
                <w:szCs w:val="20"/>
              </w:rPr>
              <w:noBreakHyphen/>
              <w:t>back</w:t>
            </w:r>
          </w:p>
        </w:tc>
        <w:tc>
          <w:tcPr>
            <w:tcW w:w="4361" w:type="dxa"/>
            <w:tcBorders>
              <w:top w:val="single" w:sz="6" w:space="0" w:color="auto"/>
              <w:left w:val="single" w:sz="6" w:space="0" w:color="auto"/>
              <w:bottom w:val="single" w:sz="6" w:space="0" w:color="auto"/>
              <w:right w:val="single" w:sz="6" w:space="0" w:color="auto"/>
            </w:tcBorders>
          </w:tcPr>
          <w:p w:rsidR="00D4639E" w:rsidRPr="007C4ED5" w:rsidRDefault="007316BC" w:rsidP="007C4ED5">
            <w:pPr>
              <w:pStyle w:val="Header"/>
              <w:spacing w:beforeLines="60" w:before="144" w:afterLines="60" w:after="144"/>
              <w:rPr>
                <w:rFonts w:cs="Arial"/>
                <w:sz w:val="20"/>
                <w:szCs w:val="20"/>
              </w:rPr>
            </w:pPr>
            <w:r w:rsidRPr="007C4ED5">
              <w:rPr>
                <w:rFonts w:cs="Arial"/>
                <w:sz w:val="20"/>
                <w:szCs w:val="20"/>
              </w:rPr>
              <w:t>Th</w:t>
            </w:r>
            <w:r w:rsidR="005768F1" w:rsidRPr="007C4ED5">
              <w:rPr>
                <w:rFonts w:cs="Arial"/>
                <w:sz w:val="20"/>
                <w:szCs w:val="20"/>
              </w:rPr>
              <w:t>e</w:t>
            </w:r>
            <w:r w:rsidRPr="007C4ED5">
              <w:rPr>
                <w:rFonts w:cs="Arial"/>
                <w:sz w:val="20"/>
                <w:szCs w:val="20"/>
              </w:rPr>
              <w:t xml:space="preserve"> Ruling sets out the Commissioner’s </w:t>
            </w:r>
            <w:r w:rsidR="0089300F">
              <w:rPr>
                <w:rFonts w:cs="Arial"/>
                <w:sz w:val="20"/>
                <w:szCs w:val="20"/>
              </w:rPr>
              <w:t xml:space="preserve">view </w:t>
            </w:r>
            <w:r w:rsidR="005A5C97">
              <w:rPr>
                <w:rFonts w:cs="Arial"/>
                <w:sz w:val="20"/>
                <w:szCs w:val="20"/>
              </w:rPr>
              <w:t>of the tax outcomes</w:t>
            </w:r>
            <w:r w:rsidRPr="007C4ED5">
              <w:rPr>
                <w:rFonts w:cs="Arial"/>
                <w:sz w:val="20"/>
                <w:szCs w:val="20"/>
              </w:rPr>
              <w:t xml:space="preserve"> </w:t>
            </w:r>
            <w:r w:rsidR="00EB60EE" w:rsidRPr="007C4ED5">
              <w:rPr>
                <w:rFonts w:cs="Arial"/>
                <w:sz w:val="20"/>
                <w:szCs w:val="20"/>
              </w:rPr>
              <w:t>for</w:t>
            </w:r>
            <w:r w:rsidR="0089300F">
              <w:rPr>
                <w:rFonts w:cs="Arial"/>
                <w:sz w:val="20"/>
                <w:szCs w:val="20"/>
              </w:rPr>
              <w:t xml:space="preserve"> the specified</w:t>
            </w:r>
            <w:r w:rsidR="00EB60EE" w:rsidRPr="007C4ED5">
              <w:rPr>
                <w:rFonts w:cs="Arial"/>
                <w:sz w:val="20"/>
                <w:szCs w:val="20"/>
              </w:rPr>
              <w:t xml:space="preserve"> ordinary shareholders of BHP Group Limited</w:t>
            </w:r>
            <w:r w:rsidR="005A5C97">
              <w:rPr>
                <w:rFonts w:cs="Arial"/>
                <w:sz w:val="20"/>
                <w:szCs w:val="20"/>
              </w:rPr>
              <w:t xml:space="preserve"> who disposed of their ordinary shares in BHP under the off-market share buy-back announced by BHP on 1 November 2018</w:t>
            </w:r>
            <w:proofErr w:type="gramStart"/>
            <w:r w:rsidR="005A5C97">
              <w:rPr>
                <w:rFonts w:cs="Arial"/>
                <w:sz w:val="20"/>
                <w:szCs w:val="20"/>
              </w:rPr>
              <w:t>.</w:t>
            </w:r>
            <w:r w:rsidR="00EB60EE" w:rsidRPr="007C4ED5">
              <w:rPr>
                <w:rFonts w:cs="Arial"/>
                <w:sz w:val="20"/>
                <w:szCs w:val="20"/>
              </w:rPr>
              <w:t>.</w:t>
            </w:r>
            <w:proofErr w:type="gramEnd"/>
          </w:p>
          <w:p w:rsidR="005768F1" w:rsidRPr="007C4ED5" w:rsidRDefault="005768F1" w:rsidP="002B3355">
            <w:pPr>
              <w:pStyle w:val="Header"/>
              <w:spacing w:beforeLines="60" w:before="144" w:afterLines="60" w:after="144"/>
              <w:rPr>
                <w:rFonts w:cs="Arial"/>
                <w:sz w:val="20"/>
                <w:szCs w:val="20"/>
              </w:rPr>
            </w:pPr>
            <w:r w:rsidRPr="007C4ED5">
              <w:rPr>
                <w:rFonts w:cs="Arial"/>
                <w:sz w:val="20"/>
                <w:szCs w:val="20"/>
              </w:rPr>
              <w:t xml:space="preserve">The Ruling applies from </w:t>
            </w:r>
            <w:r w:rsidRPr="007C4ED5">
              <w:rPr>
                <w:rFonts w:eastAsia="Times New Roman" w:cs="Arial"/>
                <w:sz w:val="20"/>
                <w:szCs w:val="20"/>
              </w:rPr>
              <w:t>1</w:t>
            </w:r>
            <w:r w:rsidR="002B3355">
              <w:rPr>
                <w:rFonts w:eastAsia="Times New Roman" w:cs="Arial"/>
                <w:sz w:val="20"/>
                <w:szCs w:val="20"/>
              </w:rPr>
              <w:t xml:space="preserve"> </w:t>
            </w:r>
            <w:r w:rsidRPr="007C4ED5">
              <w:rPr>
                <w:rFonts w:eastAsia="Times New Roman" w:cs="Arial"/>
                <w:sz w:val="20"/>
                <w:szCs w:val="20"/>
              </w:rPr>
              <w:t>July</w:t>
            </w:r>
            <w:r w:rsidR="002B3355">
              <w:rPr>
                <w:rFonts w:eastAsia="Times New Roman" w:cs="Arial"/>
                <w:sz w:val="20"/>
                <w:szCs w:val="20"/>
              </w:rPr>
              <w:t xml:space="preserve"> </w:t>
            </w:r>
            <w:r w:rsidRPr="007C4ED5">
              <w:rPr>
                <w:rFonts w:eastAsia="Times New Roman" w:cs="Arial"/>
                <w:sz w:val="20"/>
                <w:szCs w:val="20"/>
              </w:rPr>
              <w:t>2018</w:t>
            </w:r>
            <w:r w:rsidRPr="007C4ED5">
              <w:rPr>
                <w:rFonts w:cs="Arial"/>
                <w:sz w:val="20"/>
                <w:szCs w:val="20"/>
              </w:rPr>
              <w:t xml:space="preserve"> to </w:t>
            </w:r>
            <w:r w:rsidRPr="007C4ED5">
              <w:rPr>
                <w:rFonts w:eastAsia="Times New Roman" w:cs="Arial"/>
                <w:sz w:val="20"/>
                <w:szCs w:val="20"/>
              </w:rPr>
              <w:t>30</w:t>
            </w:r>
            <w:r w:rsidR="002B3355">
              <w:rPr>
                <w:rFonts w:eastAsia="Times New Roman" w:cs="Arial"/>
                <w:sz w:val="20"/>
                <w:szCs w:val="20"/>
              </w:rPr>
              <w:t xml:space="preserve"> </w:t>
            </w:r>
            <w:r w:rsidRPr="007C4ED5">
              <w:rPr>
                <w:rFonts w:eastAsia="Times New Roman" w:cs="Arial"/>
                <w:sz w:val="20"/>
                <w:szCs w:val="20"/>
              </w:rPr>
              <w:t>June</w:t>
            </w:r>
            <w:r w:rsidR="002B3355">
              <w:rPr>
                <w:rFonts w:eastAsia="Times New Roman" w:cs="Arial"/>
                <w:sz w:val="20"/>
                <w:szCs w:val="20"/>
              </w:rPr>
              <w:t xml:space="preserve"> </w:t>
            </w:r>
            <w:r w:rsidRPr="007C4ED5">
              <w:rPr>
                <w:rFonts w:eastAsia="Times New Roman" w:cs="Arial"/>
                <w:sz w:val="20"/>
                <w:szCs w:val="20"/>
              </w:rPr>
              <w:t>2019</w:t>
            </w:r>
            <w:r w:rsidRPr="007C4ED5">
              <w:rPr>
                <w:rFonts w:cs="Arial"/>
                <w:sz w:val="20"/>
                <w:szCs w:val="20"/>
              </w:rPr>
              <w:t>.</w:t>
            </w:r>
          </w:p>
        </w:tc>
      </w:tr>
      <w:tr w:rsidR="007316BC" w:rsidRPr="002F3FFB" w:rsidTr="002B3355">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rsidR="007316BC" w:rsidRPr="007C4ED5" w:rsidRDefault="007316BC" w:rsidP="007C4ED5">
            <w:pPr>
              <w:pStyle w:val="Header"/>
              <w:spacing w:beforeLines="60" w:before="144" w:afterLines="60" w:after="144"/>
              <w:rPr>
                <w:rFonts w:cs="Arial"/>
                <w:sz w:val="20"/>
                <w:szCs w:val="20"/>
              </w:rPr>
            </w:pPr>
            <w:r w:rsidRPr="007C4ED5">
              <w:rPr>
                <w:rFonts w:cs="Arial"/>
                <w:sz w:val="20"/>
                <w:szCs w:val="20"/>
              </w:rPr>
              <w:t>CR</w:t>
            </w:r>
            <w:r w:rsidR="00B776EF">
              <w:rPr>
                <w:rFonts w:cs="Arial"/>
                <w:sz w:val="20"/>
                <w:szCs w:val="20"/>
              </w:rPr>
              <w:t xml:space="preserve"> </w:t>
            </w:r>
            <w:r w:rsidRPr="007C4ED5">
              <w:rPr>
                <w:rFonts w:cs="Arial"/>
                <w:sz w:val="20"/>
                <w:szCs w:val="20"/>
              </w:rPr>
              <w:t>2019/6</w:t>
            </w:r>
          </w:p>
        </w:tc>
        <w:tc>
          <w:tcPr>
            <w:tcW w:w="3686" w:type="dxa"/>
            <w:tcBorders>
              <w:top w:val="single" w:sz="6" w:space="0" w:color="auto"/>
              <w:left w:val="single" w:sz="6" w:space="0" w:color="auto"/>
              <w:bottom w:val="single" w:sz="6" w:space="0" w:color="auto"/>
              <w:right w:val="single" w:sz="6" w:space="0" w:color="auto"/>
            </w:tcBorders>
          </w:tcPr>
          <w:p w:rsidR="007316BC" w:rsidRPr="007C4ED5" w:rsidRDefault="007316BC" w:rsidP="007C4ED5">
            <w:pPr>
              <w:pStyle w:val="Header"/>
              <w:spacing w:beforeLines="60" w:before="144" w:afterLines="60" w:after="144"/>
              <w:rPr>
                <w:rFonts w:cs="Arial"/>
                <w:sz w:val="20"/>
                <w:szCs w:val="20"/>
              </w:rPr>
            </w:pPr>
            <w:r w:rsidRPr="007C4ED5">
              <w:rPr>
                <w:rFonts w:cs="Arial"/>
                <w:color w:val="000000" w:themeColor="text1"/>
                <w:sz w:val="20"/>
                <w:szCs w:val="20"/>
              </w:rPr>
              <w:t xml:space="preserve">Income tax: Commonwealth Bank of Australia – </w:t>
            </w:r>
            <w:proofErr w:type="spellStart"/>
            <w:r w:rsidRPr="007C4ED5">
              <w:rPr>
                <w:rFonts w:cs="Arial"/>
                <w:color w:val="000000" w:themeColor="text1"/>
                <w:sz w:val="20"/>
                <w:szCs w:val="20"/>
              </w:rPr>
              <w:t>CommBank</w:t>
            </w:r>
            <w:proofErr w:type="spellEnd"/>
            <w:r w:rsidRPr="007C4ED5">
              <w:rPr>
                <w:rFonts w:cs="Arial"/>
                <w:color w:val="000000" w:themeColor="text1"/>
                <w:sz w:val="20"/>
                <w:szCs w:val="20"/>
              </w:rPr>
              <w:t xml:space="preserve"> PERLS XI Capital Notes</w:t>
            </w:r>
          </w:p>
        </w:tc>
        <w:tc>
          <w:tcPr>
            <w:tcW w:w="4361" w:type="dxa"/>
            <w:tcBorders>
              <w:top w:val="single" w:sz="6" w:space="0" w:color="auto"/>
              <w:left w:val="single" w:sz="6" w:space="0" w:color="auto"/>
              <w:bottom w:val="single" w:sz="6" w:space="0" w:color="auto"/>
              <w:right w:val="single" w:sz="6" w:space="0" w:color="auto"/>
            </w:tcBorders>
          </w:tcPr>
          <w:p w:rsidR="005768F1" w:rsidRPr="007C4ED5" w:rsidRDefault="007316BC" w:rsidP="007C4ED5">
            <w:pPr>
              <w:pStyle w:val="Header"/>
              <w:spacing w:beforeLines="60" w:before="144" w:afterLines="60" w:after="144"/>
              <w:rPr>
                <w:rFonts w:cs="Arial"/>
                <w:sz w:val="20"/>
                <w:szCs w:val="20"/>
              </w:rPr>
            </w:pPr>
            <w:r w:rsidRPr="007C4ED5">
              <w:rPr>
                <w:rFonts w:cs="Arial"/>
                <w:sz w:val="20"/>
                <w:szCs w:val="20"/>
              </w:rPr>
              <w:t>Th</w:t>
            </w:r>
            <w:r w:rsidR="005768F1" w:rsidRPr="007C4ED5">
              <w:rPr>
                <w:rFonts w:cs="Arial"/>
                <w:sz w:val="20"/>
                <w:szCs w:val="20"/>
              </w:rPr>
              <w:t>e</w:t>
            </w:r>
            <w:r w:rsidRPr="007C4ED5">
              <w:rPr>
                <w:rFonts w:cs="Arial"/>
                <w:sz w:val="20"/>
                <w:szCs w:val="20"/>
              </w:rPr>
              <w:t xml:space="preserve"> Ruling sets out the Commissioner’s </w:t>
            </w:r>
            <w:r w:rsidR="0089300F">
              <w:rPr>
                <w:rFonts w:cs="Arial"/>
                <w:sz w:val="20"/>
                <w:szCs w:val="20"/>
              </w:rPr>
              <w:t>view</w:t>
            </w:r>
            <w:r w:rsidR="0089300F" w:rsidRPr="007C4ED5">
              <w:rPr>
                <w:rFonts w:cs="Arial"/>
                <w:sz w:val="20"/>
                <w:szCs w:val="20"/>
              </w:rPr>
              <w:t xml:space="preserve"> </w:t>
            </w:r>
            <w:r w:rsidR="0089300F">
              <w:rPr>
                <w:rFonts w:cs="Arial"/>
                <w:sz w:val="20"/>
                <w:szCs w:val="20"/>
              </w:rPr>
              <w:t xml:space="preserve">of the tax outcomes for the specified class of investors who acquired </w:t>
            </w:r>
            <w:proofErr w:type="spellStart"/>
            <w:r w:rsidR="0089300F">
              <w:rPr>
                <w:rFonts w:cs="Arial"/>
                <w:sz w:val="20"/>
                <w:szCs w:val="20"/>
              </w:rPr>
              <w:t>CommBank</w:t>
            </w:r>
            <w:proofErr w:type="spellEnd"/>
            <w:r w:rsidR="0089300F">
              <w:rPr>
                <w:rFonts w:cs="Arial"/>
                <w:sz w:val="20"/>
                <w:szCs w:val="20"/>
              </w:rPr>
              <w:t xml:space="preserve"> PERLS XI Capital Notes</w:t>
            </w:r>
            <w:r w:rsidR="005768F1" w:rsidRPr="007C4ED5">
              <w:rPr>
                <w:rFonts w:cs="Arial"/>
                <w:sz w:val="20"/>
                <w:szCs w:val="20"/>
              </w:rPr>
              <w:t>.</w:t>
            </w:r>
          </w:p>
          <w:p w:rsidR="007316BC" w:rsidRPr="007C4ED5" w:rsidRDefault="005768F1" w:rsidP="007C4ED5">
            <w:pPr>
              <w:pStyle w:val="Header"/>
              <w:spacing w:beforeLines="60" w:before="144" w:afterLines="60" w:after="144"/>
              <w:rPr>
                <w:rFonts w:cs="Arial"/>
                <w:sz w:val="20"/>
                <w:szCs w:val="20"/>
              </w:rPr>
            </w:pPr>
            <w:r w:rsidRPr="007C4ED5">
              <w:rPr>
                <w:rFonts w:cs="Arial"/>
                <w:sz w:val="20"/>
                <w:szCs w:val="20"/>
              </w:rPr>
              <w:t xml:space="preserve">The Ruling applies from </w:t>
            </w:r>
            <w:r w:rsidRPr="007C4ED5">
              <w:rPr>
                <w:rFonts w:eastAsia="Times New Roman" w:cs="Arial"/>
                <w:sz w:val="20"/>
                <w:szCs w:val="20"/>
              </w:rPr>
              <w:t>1 July 2018</w:t>
            </w:r>
            <w:r w:rsidRPr="007C4ED5">
              <w:rPr>
                <w:rFonts w:cs="Arial"/>
                <w:sz w:val="20"/>
                <w:szCs w:val="20"/>
              </w:rPr>
              <w:t xml:space="preserve"> to </w:t>
            </w:r>
            <w:r w:rsidRPr="007C4ED5">
              <w:rPr>
                <w:rFonts w:eastAsia="Times New Roman" w:cs="Arial"/>
                <w:sz w:val="20"/>
                <w:szCs w:val="20"/>
              </w:rPr>
              <w:t>30 June 2028.</w:t>
            </w:r>
          </w:p>
        </w:tc>
      </w:tr>
      <w:tr w:rsidR="003D00F5" w:rsidRPr="002F3FFB" w:rsidTr="002B3355">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rsidR="003D00F5" w:rsidRPr="007C4ED5" w:rsidRDefault="003D00F5" w:rsidP="007C4ED5">
            <w:pPr>
              <w:pStyle w:val="Header"/>
              <w:spacing w:beforeLines="60" w:before="144" w:afterLines="60" w:after="144"/>
              <w:rPr>
                <w:rFonts w:cs="Arial"/>
                <w:sz w:val="20"/>
                <w:szCs w:val="20"/>
              </w:rPr>
            </w:pPr>
            <w:r>
              <w:rPr>
                <w:rFonts w:cs="Arial"/>
                <w:sz w:val="20"/>
                <w:szCs w:val="20"/>
              </w:rPr>
              <w:t>CR 2019/7</w:t>
            </w:r>
          </w:p>
        </w:tc>
        <w:tc>
          <w:tcPr>
            <w:tcW w:w="3686" w:type="dxa"/>
            <w:tcBorders>
              <w:top w:val="single" w:sz="6" w:space="0" w:color="auto"/>
              <w:left w:val="single" w:sz="6" w:space="0" w:color="auto"/>
              <w:bottom w:val="single" w:sz="6" w:space="0" w:color="auto"/>
              <w:right w:val="single" w:sz="6" w:space="0" w:color="auto"/>
            </w:tcBorders>
          </w:tcPr>
          <w:p w:rsidR="003D00F5" w:rsidRPr="007C4ED5" w:rsidRDefault="003D00F5">
            <w:pPr>
              <w:pStyle w:val="Header"/>
              <w:spacing w:beforeLines="60" w:before="144" w:afterLines="60" w:after="144"/>
              <w:rPr>
                <w:rFonts w:cs="Arial"/>
                <w:color w:val="000000" w:themeColor="text1"/>
                <w:sz w:val="20"/>
                <w:szCs w:val="20"/>
              </w:rPr>
            </w:pPr>
            <w:r>
              <w:rPr>
                <w:rFonts w:cs="Arial"/>
                <w:color w:val="000000" w:themeColor="text1"/>
                <w:sz w:val="20"/>
                <w:szCs w:val="20"/>
              </w:rPr>
              <w:t xml:space="preserve">Income tax: </w:t>
            </w:r>
            <w:proofErr w:type="spellStart"/>
            <w:r w:rsidR="005A5C97">
              <w:rPr>
                <w:rFonts w:cs="Arial"/>
                <w:color w:val="000000" w:themeColor="text1"/>
                <w:sz w:val="20"/>
                <w:szCs w:val="20"/>
              </w:rPr>
              <w:t>Inghams</w:t>
            </w:r>
            <w:proofErr w:type="spellEnd"/>
            <w:r w:rsidR="005A5C97">
              <w:rPr>
                <w:rFonts w:cs="Arial"/>
                <w:color w:val="000000" w:themeColor="text1"/>
                <w:sz w:val="20"/>
                <w:szCs w:val="20"/>
              </w:rPr>
              <w:t xml:space="preserve"> Group Limited – </w:t>
            </w:r>
            <w:r>
              <w:rPr>
                <w:rFonts w:cs="Arial"/>
                <w:color w:val="000000" w:themeColor="text1"/>
                <w:sz w:val="20"/>
                <w:szCs w:val="20"/>
              </w:rPr>
              <w:t>return of share capital</w:t>
            </w:r>
          </w:p>
        </w:tc>
        <w:tc>
          <w:tcPr>
            <w:tcW w:w="4361" w:type="dxa"/>
            <w:tcBorders>
              <w:top w:val="single" w:sz="6" w:space="0" w:color="auto"/>
              <w:left w:val="single" w:sz="6" w:space="0" w:color="auto"/>
              <w:bottom w:val="single" w:sz="6" w:space="0" w:color="auto"/>
              <w:right w:val="single" w:sz="6" w:space="0" w:color="auto"/>
            </w:tcBorders>
          </w:tcPr>
          <w:p w:rsidR="003D00F5" w:rsidRDefault="003D00F5" w:rsidP="003D00F5">
            <w:pPr>
              <w:pStyle w:val="Header"/>
              <w:spacing w:beforeLines="60" w:before="144" w:afterLines="60" w:after="144"/>
              <w:rPr>
                <w:rFonts w:cs="Arial"/>
                <w:sz w:val="20"/>
                <w:szCs w:val="20"/>
              </w:rPr>
            </w:pPr>
            <w:r>
              <w:rPr>
                <w:rFonts w:cs="Arial"/>
                <w:sz w:val="20"/>
                <w:szCs w:val="20"/>
              </w:rPr>
              <w:t xml:space="preserve">The Ruling sets out the Commissioner’s </w:t>
            </w:r>
            <w:r w:rsidR="0089300F">
              <w:rPr>
                <w:rFonts w:cs="Arial"/>
                <w:sz w:val="20"/>
                <w:szCs w:val="20"/>
              </w:rPr>
              <w:t xml:space="preserve">view of the tax outcomes of the return of share capital on 18 December 2018 </w:t>
            </w:r>
            <w:r>
              <w:rPr>
                <w:rFonts w:cs="Arial"/>
                <w:sz w:val="20"/>
                <w:szCs w:val="20"/>
              </w:rPr>
              <w:t xml:space="preserve">for </w:t>
            </w:r>
            <w:r w:rsidR="0089300F">
              <w:rPr>
                <w:rFonts w:cs="Arial"/>
                <w:sz w:val="20"/>
                <w:szCs w:val="20"/>
              </w:rPr>
              <w:t xml:space="preserve">specified </w:t>
            </w:r>
            <w:r>
              <w:rPr>
                <w:rFonts w:cs="Arial"/>
                <w:sz w:val="20"/>
                <w:szCs w:val="20"/>
              </w:rPr>
              <w:t xml:space="preserve">holders of ordinary shares in </w:t>
            </w:r>
            <w:proofErr w:type="spellStart"/>
            <w:r>
              <w:rPr>
                <w:rFonts w:cs="Arial"/>
                <w:sz w:val="20"/>
                <w:szCs w:val="20"/>
              </w:rPr>
              <w:t>Inghams</w:t>
            </w:r>
            <w:proofErr w:type="spellEnd"/>
            <w:r>
              <w:rPr>
                <w:rFonts w:cs="Arial"/>
                <w:sz w:val="20"/>
                <w:szCs w:val="20"/>
              </w:rPr>
              <w:t xml:space="preserve"> Group Limited.</w:t>
            </w:r>
          </w:p>
          <w:p w:rsidR="003D00F5" w:rsidRPr="007C4ED5" w:rsidRDefault="003D00F5" w:rsidP="002B3355">
            <w:pPr>
              <w:pStyle w:val="Header"/>
              <w:spacing w:beforeLines="60" w:before="144" w:afterLines="60" w:after="144"/>
              <w:ind w:right="-216"/>
              <w:rPr>
                <w:rFonts w:cs="Arial"/>
                <w:sz w:val="20"/>
                <w:szCs w:val="20"/>
              </w:rPr>
            </w:pPr>
            <w:r>
              <w:rPr>
                <w:rFonts w:cs="Arial"/>
                <w:sz w:val="20"/>
                <w:szCs w:val="20"/>
              </w:rPr>
              <w:t>The Ruling applies from 1 July 2018 to 30 June 2019.</w:t>
            </w:r>
          </w:p>
        </w:tc>
      </w:tr>
    </w:tbl>
    <w:p w:rsidR="00114CB2" w:rsidRPr="008D0A06" w:rsidRDefault="00114CB2" w:rsidP="008D0A06">
      <w:pPr>
        <w:spacing w:after="60"/>
        <w:rPr>
          <w:sz w:val="18"/>
          <w:szCs w:val="18"/>
        </w:rPr>
      </w:pPr>
    </w:p>
    <w:sectPr w:rsidR="00114CB2" w:rsidRPr="008D0A06" w:rsidSect="008E4F6C">
      <w:headerReference w:type="first" r:id="rId1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CB2" w:rsidRDefault="00114CB2" w:rsidP="003A707F">
      <w:pPr>
        <w:spacing w:after="0"/>
      </w:pPr>
      <w:r>
        <w:separator/>
      </w:r>
    </w:p>
  </w:endnote>
  <w:endnote w:type="continuationSeparator" w:id="0">
    <w:p w:rsidR="00114CB2" w:rsidRDefault="00114CB2"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CB2" w:rsidRDefault="00114CB2" w:rsidP="003A707F">
      <w:pPr>
        <w:spacing w:after="0"/>
      </w:pPr>
      <w:r>
        <w:separator/>
      </w:r>
    </w:p>
  </w:footnote>
  <w:footnote w:type="continuationSeparator" w:id="0">
    <w:p w:rsidR="00114CB2" w:rsidRDefault="00114CB2" w:rsidP="003A707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114CB2" w:rsidRPr="005E7AE5" w:rsidTr="0095650D">
      <w:trPr>
        <w:trHeight w:val="984"/>
      </w:trPr>
      <w:tc>
        <w:tcPr>
          <w:tcW w:w="1263" w:type="dxa"/>
          <w:tcBorders>
            <w:top w:val="single" w:sz="4" w:space="0" w:color="auto"/>
            <w:left w:val="nil"/>
            <w:bottom w:val="single" w:sz="4" w:space="0" w:color="auto"/>
            <w:right w:val="nil"/>
          </w:tcBorders>
        </w:tcPr>
        <w:p w:rsidR="00114CB2" w:rsidRPr="005E7AE5" w:rsidRDefault="004E56BF" w:rsidP="008D0A06">
          <w:pPr>
            <w:spacing w:before="60" w:after="0" w:line="276" w:lineRule="auto"/>
            <w:ind w:left="-51"/>
            <w:rPr>
              <w:sz w:val="12"/>
            </w:rPr>
          </w:pPr>
          <w:r>
            <w:rPr>
              <w:noProof/>
              <w:sz w:val="12"/>
              <w:lang w:eastAsia="en-AU"/>
            </w:rPr>
            <w:drawing>
              <wp:inline distT="0" distB="0" distL="0" distR="0" wp14:anchorId="517D14BB" wp14:editId="46912A71">
                <wp:extent cx="655320" cy="5264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52641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tcPr>
        <w:p w:rsidR="00114CB2" w:rsidRPr="005E7AE5" w:rsidRDefault="00114CB2" w:rsidP="00840A06">
          <w:pPr>
            <w:spacing w:before="60" w:after="0" w:line="460" w:lineRule="exact"/>
            <w:rPr>
              <w:rFonts w:cs="Arial"/>
              <w:b/>
              <w:spacing w:val="-2"/>
              <w:sz w:val="44"/>
              <w:szCs w:val="44"/>
            </w:rPr>
          </w:pPr>
          <w:r w:rsidRPr="005E7AE5">
            <w:rPr>
              <w:rFonts w:cs="Arial"/>
              <w:b/>
              <w:spacing w:val="-2"/>
              <w:sz w:val="44"/>
              <w:szCs w:val="44"/>
            </w:rPr>
            <w:t>Commonwealth</w:t>
          </w:r>
          <w:r w:rsidRPr="005E7AE5">
            <w:rPr>
              <w:rFonts w:cs="Arial"/>
              <w:b/>
              <w:spacing w:val="-2"/>
              <w:sz w:val="44"/>
              <w:szCs w:val="44"/>
            </w:rPr>
            <w:br/>
            <w:t xml:space="preserve">of </w:t>
          </w:r>
          <w:smartTag w:uri="urn:schemas-microsoft-com:office:smarttags" w:element="country-region">
            <w:smartTag w:uri="urn:schemas-microsoft-com:office:smarttags" w:element="place">
              <w:r w:rsidRPr="005E7AE5">
                <w:rPr>
                  <w:rFonts w:cs="Arial"/>
                  <w:b/>
                  <w:spacing w:val="-2"/>
                  <w:sz w:val="44"/>
                  <w:szCs w:val="44"/>
                </w:rPr>
                <w:t>Australia</w:t>
              </w:r>
            </w:smartTag>
          </w:smartTag>
        </w:p>
      </w:tc>
      <w:tc>
        <w:tcPr>
          <w:tcW w:w="3979" w:type="dxa"/>
          <w:tcBorders>
            <w:top w:val="single" w:sz="4" w:space="0" w:color="auto"/>
            <w:left w:val="nil"/>
            <w:bottom w:val="single" w:sz="4" w:space="0" w:color="auto"/>
            <w:right w:val="nil"/>
          </w:tcBorders>
        </w:tcPr>
        <w:p w:rsidR="00114CB2" w:rsidRPr="005E7AE5" w:rsidRDefault="00114CB2" w:rsidP="00840A06">
          <w:pPr>
            <w:spacing w:before="180" w:after="0" w:line="800" w:lineRule="exact"/>
            <w:jc w:val="right"/>
            <w:rPr>
              <w:rFonts w:cs="Arial"/>
              <w:b/>
              <w:sz w:val="100"/>
              <w:szCs w:val="100"/>
            </w:rPr>
          </w:pPr>
          <w:r w:rsidRPr="005E7AE5">
            <w:rPr>
              <w:rFonts w:cs="Arial"/>
              <w:b/>
              <w:sz w:val="100"/>
              <w:szCs w:val="100"/>
            </w:rPr>
            <w:t>Gazette</w:t>
          </w:r>
        </w:p>
      </w:tc>
    </w:tr>
    <w:tr w:rsidR="00114CB2" w:rsidRPr="005E7AE5" w:rsidTr="00840A06">
      <w:trPr>
        <w:trHeight w:val="340"/>
      </w:trPr>
      <w:tc>
        <w:tcPr>
          <w:tcW w:w="5698" w:type="dxa"/>
          <w:gridSpan w:val="2"/>
          <w:tcBorders>
            <w:top w:val="single" w:sz="4" w:space="0" w:color="auto"/>
            <w:left w:val="nil"/>
            <w:bottom w:val="single" w:sz="4" w:space="0" w:color="auto"/>
            <w:right w:val="nil"/>
          </w:tcBorders>
          <w:vAlign w:val="bottom"/>
        </w:tcPr>
        <w:p w:rsidR="00114CB2" w:rsidRPr="005E7AE5" w:rsidRDefault="00114CB2" w:rsidP="008D0A06">
          <w:pPr>
            <w:spacing w:after="0" w:line="276" w:lineRule="auto"/>
            <w:ind w:left="-51"/>
            <w:rPr>
              <w:rFonts w:cs="Arial"/>
              <w:sz w:val="14"/>
              <w:szCs w:val="14"/>
            </w:rPr>
          </w:pPr>
          <w:bookmarkStart w:id="1" w:name="GazNo"/>
          <w:bookmarkEnd w:id="1"/>
          <w:r w:rsidRPr="005E7AE5">
            <w:rPr>
              <w:rFonts w:cs="Arial"/>
              <w:sz w:val="14"/>
              <w:szCs w:val="14"/>
            </w:rPr>
            <w:t xml:space="preserve">Published by the Commonwealth of </w:t>
          </w:r>
          <w:smartTag w:uri="urn:schemas-microsoft-com:office:smarttags" w:element="place">
            <w:smartTag w:uri="urn:schemas-microsoft-com:office:smarttags" w:element="country-region">
              <w:r w:rsidRPr="005E7AE5">
                <w:rPr>
                  <w:rFonts w:cs="Arial"/>
                  <w:sz w:val="14"/>
                  <w:szCs w:val="14"/>
                </w:rPr>
                <w:t>Australia</w:t>
              </w:r>
            </w:smartTag>
          </w:smartTag>
        </w:p>
      </w:tc>
      <w:tc>
        <w:tcPr>
          <w:tcW w:w="3979" w:type="dxa"/>
          <w:tcBorders>
            <w:top w:val="single" w:sz="4" w:space="0" w:color="auto"/>
            <w:left w:val="nil"/>
            <w:bottom w:val="single" w:sz="4" w:space="0" w:color="auto"/>
            <w:right w:val="nil"/>
          </w:tcBorders>
          <w:shd w:val="clear" w:color="auto" w:fill="000000"/>
          <w:vAlign w:val="bottom"/>
        </w:tcPr>
        <w:p w:rsidR="00114CB2" w:rsidRPr="005E7AE5" w:rsidRDefault="00114CB2" w:rsidP="008D0A06">
          <w:pPr>
            <w:spacing w:after="0" w:line="276" w:lineRule="auto"/>
            <w:jc w:val="right"/>
            <w:rPr>
              <w:rFonts w:cs="Arial"/>
              <w:b/>
              <w:sz w:val="24"/>
              <w:szCs w:val="24"/>
            </w:rPr>
          </w:pPr>
          <w:r w:rsidRPr="005E7AE5">
            <w:rPr>
              <w:rFonts w:cs="Arial"/>
              <w:b/>
              <w:sz w:val="24"/>
              <w:szCs w:val="24"/>
            </w:rPr>
            <w:t>GOVERNMENT NOTICES</w:t>
          </w:r>
        </w:p>
      </w:tc>
    </w:tr>
  </w:tbl>
  <w:p w:rsidR="00114CB2" w:rsidRPr="003A707F" w:rsidRDefault="00114CB2" w:rsidP="00F40885">
    <w:pPr>
      <w:pStyle w:val="Header"/>
      <w:rPr>
        <w:sz w:val="2"/>
        <w:szCs w:val="2"/>
      </w:rPr>
    </w:pPr>
  </w:p>
  <w:p w:rsidR="00114CB2" w:rsidRPr="00F40885" w:rsidRDefault="00114CB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602A0"/>
    <w:multiLevelType w:val="singleLevel"/>
    <w:tmpl w:val="D5EC54B6"/>
    <w:lvl w:ilvl="0">
      <w:start w:val="1"/>
      <w:numFmt w:val="decimal"/>
      <w:lvlText w:val="%1."/>
      <w:lvlJc w:val="left"/>
      <w:pPr>
        <w:tabs>
          <w:tab w:val="num" w:pos="360"/>
        </w:tabs>
        <w:ind w:left="360" w:hanging="360"/>
      </w:pPr>
      <w:rPr>
        <w:rFonts w:ascii="Arial" w:hAnsi="Arial" w:cs="Arial" w:hint="default"/>
        <w:color w:val="auto"/>
        <w:sz w:val="22"/>
        <w:szCs w:val="22"/>
      </w:rPr>
    </w:lvl>
  </w:abstractNum>
  <w:abstractNum w:abstractNumId="1">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ocumentProtection w:edit="forms"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07360"/>
    <w:rsid w:val="000970F2"/>
    <w:rsid w:val="000E1F2B"/>
    <w:rsid w:val="00114CB2"/>
    <w:rsid w:val="00141674"/>
    <w:rsid w:val="00174BD4"/>
    <w:rsid w:val="001C2AAD"/>
    <w:rsid w:val="001F6E54"/>
    <w:rsid w:val="00237961"/>
    <w:rsid w:val="00280BCD"/>
    <w:rsid w:val="00297EC1"/>
    <w:rsid w:val="002B3355"/>
    <w:rsid w:val="002C0CCE"/>
    <w:rsid w:val="002F3FFB"/>
    <w:rsid w:val="003A707F"/>
    <w:rsid w:val="003B0EC1"/>
    <w:rsid w:val="003B573B"/>
    <w:rsid w:val="003D00F5"/>
    <w:rsid w:val="003F2CBD"/>
    <w:rsid w:val="00424B97"/>
    <w:rsid w:val="004B2753"/>
    <w:rsid w:val="004C5A5D"/>
    <w:rsid w:val="004E56BF"/>
    <w:rsid w:val="00520873"/>
    <w:rsid w:val="00573D44"/>
    <w:rsid w:val="005768F1"/>
    <w:rsid w:val="005A5C97"/>
    <w:rsid w:val="005D7EFC"/>
    <w:rsid w:val="005E7AE5"/>
    <w:rsid w:val="00616661"/>
    <w:rsid w:val="00636F01"/>
    <w:rsid w:val="006B38CC"/>
    <w:rsid w:val="007316BC"/>
    <w:rsid w:val="00773255"/>
    <w:rsid w:val="007C490F"/>
    <w:rsid w:val="007C4ED5"/>
    <w:rsid w:val="007E2CA6"/>
    <w:rsid w:val="007F191A"/>
    <w:rsid w:val="00840A06"/>
    <w:rsid w:val="008439B7"/>
    <w:rsid w:val="00851F51"/>
    <w:rsid w:val="0087253F"/>
    <w:rsid w:val="0089300F"/>
    <w:rsid w:val="008A25CE"/>
    <w:rsid w:val="008D0A06"/>
    <w:rsid w:val="008D17C9"/>
    <w:rsid w:val="008D30A5"/>
    <w:rsid w:val="008E4F6C"/>
    <w:rsid w:val="0094219E"/>
    <w:rsid w:val="00943B8D"/>
    <w:rsid w:val="009539C7"/>
    <w:rsid w:val="0095650D"/>
    <w:rsid w:val="00A00F21"/>
    <w:rsid w:val="00A41F5C"/>
    <w:rsid w:val="00A60CE8"/>
    <w:rsid w:val="00A60DDB"/>
    <w:rsid w:val="00A83BCC"/>
    <w:rsid w:val="00A85D11"/>
    <w:rsid w:val="00AD0943"/>
    <w:rsid w:val="00B04E06"/>
    <w:rsid w:val="00B4706B"/>
    <w:rsid w:val="00B776EF"/>
    <w:rsid w:val="00B84226"/>
    <w:rsid w:val="00C51D3C"/>
    <w:rsid w:val="00C63C4E"/>
    <w:rsid w:val="00D4639E"/>
    <w:rsid w:val="00D77A88"/>
    <w:rsid w:val="00DC142B"/>
    <w:rsid w:val="00E6384F"/>
    <w:rsid w:val="00E823AE"/>
    <w:rsid w:val="00EB3C1D"/>
    <w:rsid w:val="00EB60EE"/>
    <w:rsid w:val="00ED2E52"/>
    <w:rsid w:val="00F3762C"/>
    <w:rsid w:val="00F40885"/>
    <w:rsid w:val="00F44FF5"/>
    <w:rsid w:val="00FF0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contacts" w:name="GivenName"/>
  <w:smartTagType w:namespaceuri="urn:schemas-microsoft-com:office:smarttags" w:name="country-region"/>
  <w:smartTagType w:namespaceuri="urn:schemas:contacts" w:name="Sn"/>
  <w:smartTagType w:namespaceuri="urn:schemas-microsoft-com:office:smarttags" w:name="PersonName"/>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annotation reference" w:uiPriority="0"/>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0" w:unhideWhenUsed="0"/>
    <w:lsdException w:name="Normal (Web)" w:uiPriority="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CommentReference">
    <w:name w:val="annotation reference"/>
    <w:basedOn w:val="DefaultParagraphFont"/>
    <w:semiHidden/>
    <w:rsid w:val="007316BC"/>
    <w:rPr>
      <w:sz w:val="16"/>
      <w:szCs w:val="16"/>
    </w:rPr>
  </w:style>
  <w:style w:type="paragraph" w:styleId="CommentText">
    <w:name w:val="annotation text"/>
    <w:basedOn w:val="Normal"/>
    <w:link w:val="CommentTextChar"/>
    <w:semiHidden/>
    <w:rsid w:val="007316BC"/>
    <w:pPr>
      <w:spacing w:before="140" w:after="0"/>
    </w:pPr>
    <w:rPr>
      <w:rFonts w:asciiTheme="minorHAnsi" w:eastAsiaTheme="minorHAnsi" w:hAnsiTheme="minorHAnsi"/>
      <w:color w:val="000000" w:themeColor="text1"/>
      <w:sz w:val="20"/>
      <w:szCs w:val="20"/>
    </w:rPr>
  </w:style>
  <w:style w:type="character" w:customStyle="1" w:styleId="CommentTextChar">
    <w:name w:val="Comment Text Char"/>
    <w:basedOn w:val="DefaultParagraphFont"/>
    <w:link w:val="CommentText"/>
    <w:semiHidden/>
    <w:rsid w:val="007316BC"/>
    <w:rPr>
      <w:rFonts w:asciiTheme="minorHAnsi" w:eastAsiaTheme="minorHAnsi" w:hAnsiTheme="minorHAnsi"/>
      <w:color w:val="000000" w:themeColor="text1"/>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annotation reference" w:uiPriority="0"/>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0" w:unhideWhenUsed="0"/>
    <w:lsdException w:name="Normal (Web)" w:uiPriority="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CommentReference">
    <w:name w:val="annotation reference"/>
    <w:basedOn w:val="DefaultParagraphFont"/>
    <w:semiHidden/>
    <w:rsid w:val="007316BC"/>
    <w:rPr>
      <w:sz w:val="16"/>
      <w:szCs w:val="16"/>
    </w:rPr>
  </w:style>
  <w:style w:type="paragraph" w:styleId="CommentText">
    <w:name w:val="annotation text"/>
    <w:basedOn w:val="Normal"/>
    <w:link w:val="CommentTextChar"/>
    <w:semiHidden/>
    <w:rsid w:val="007316BC"/>
    <w:pPr>
      <w:spacing w:before="140" w:after="0"/>
    </w:pPr>
    <w:rPr>
      <w:rFonts w:asciiTheme="minorHAnsi" w:eastAsiaTheme="minorHAnsi" w:hAnsiTheme="minorHAnsi"/>
      <w:color w:val="000000" w:themeColor="text1"/>
      <w:sz w:val="20"/>
      <w:szCs w:val="20"/>
    </w:rPr>
  </w:style>
  <w:style w:type="character" w:customStyle="1" w:styleId="CommentTextChar">
    <w:name w:val="Comment Text Char"/>
    <w:basedOn w:val="DefaultParagraphFont"/>
    <w:link w:val="CommentText"/>
    <w:semiHidden/>
    <w:rsid w:val="007316BC"/>
    <w:rPr>
      <w:rFonts w:asciiTheme="minorHAnsi" w:eastAsiaTheme="minorHAnsi" w:hAnsiTheme="minorHAnsi"/>
      <w:color w:val="000000" w:themeColor="text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ato.gov.au"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A7595-BB72-47D3-B9AE-9569D464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356</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Joanna Wilson</cp:lastModifiedBy>
  <cp:revision>23</cp:revision>
  <cp:lastPrinted>2013-06-24T01:35:00Z</cp:lastPrinted>
  <dcterms:created xsi:type="dcterms:W3CDTF">2016-06-24T00:41:00Z</dcterms:created>
  <dcterms:modified xsi:type="dcterms:W3CDTF">2019-01-10T20:36:00Z</dcterms:modified>
</cp:coreProperties>
</file>