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06" w:rsidRPr="00B02921" w:rsidRDefault="00846613" w:rsidP="00493AF0">
      <w:pPr>
        <w:contextualSpacing/>
        <w:jc w:val="both"/>
        <w:rPr>
          <w:rFonts w:ascii="Calibri" w:hAnsi="Calibri"/>
          <w:b/>
          <w:sz w:val="28"/>
          <w:szCs w:val="28"/>
        </w:rPr>
      </w:pPr>
      <w:r w:rsidRPr="00B02921">
        <w:rPr>
          <w:rFonts w:ascii="Calibri" w:hAnsi="Calibri"/>
          <w:b/>
          <w:sz w:val="28"/>
          <w:szCs w:val="28"/>
        </w:rPr>
        <w:t xml:space="preserve">HEAVY VEHICLE NATIONAL </w:t>
      </w:r>
      <w:r w:rsidR="006E65BD" w:rsidRPr="00B02921">
        <w:rPr>
          <w:rFonts w:ascii="Calibri" w:hAnsi="Calibri"/>
          <w:b/>
          <w:sz w:val="28"/>
          <w:szCs w:val="28"/>
        </w:rPr>
        <w:t xml:space="preserve">LAW </w:t>
      </w:r>
    </w:p>
    <w:p w:rsidR="007D1D06" w:rsidRDefault="007D1D06" w:rsidP="00493AF0">
      <w:pPr>
        <w:contextualSpacing/>
        <w:jc w:val="both"/>
        <w:rPr>
          <w:rFonts w:ascii="Calibri" w:hAnsi="Calibri"/>
          <w:b/>
          <w:sz w:val="28"/>
          <w:szCs w:val="28"/>
        </w:rPr>
      </w:pPr>
    </w:p>
    <w:p w:rsidR="00FB5681" w:rsidRPr="00B02921" w:rsidRDefault="00FB5681" w:rsidP="00493AF0">
      <w:pPr>
        <w:contextualSpacing/>
        <w:jc w:val="both"/>
        <w:rPr>
          <w:rFonts w:ascii="Calibri" w:hAnsi="Calibri"/>
          <w:b/>
          <w:sz w:val="28"/>
          <w:szCs w:val="28"/>
        </w:rPr>
      </w:pPr>
      <w:r w:rsidRPr="00FB5681">
        <w:rPr>
          <w:rFonts w:ascii="Calibri" w:hAnsi="Calibri"/>
          <w:b/>
          <w:sz w:val="28"/>
          <w:szCs w:val="28"/>
        </w:rPr>
        <w:t>National Heavy Vehicle</w:t>
      </w:r>
      <w:r w:rsidR="00C11009">
        <w:rPr>
          <w:rFonts w:ascii="Calibri" w:hAnsi="Calibri"/>
          <w:b/>
          <w:sz w:val="28"/>
          <w:szCs w:val="28"/>
        </w:rPr>
        <w:t xml:space="preserve"> </w:t>
      </w:r>
      <w:r w:rsidRPr="00FB5681">
        <w:rPr>
          <w:rFonts w:ascii="Calibri" w:hAnsi="Calibri"/>
          <w:b/>
          <w:sz w:val="28"/>
          <w:szCs w:val="28"/>
        </w:rPr>
        <w:t xml:space="preserve">Standards </w:t>
      </w:r>
      <w:r w:rsidR="00042036">
        <w:rPr>
          <w:rFonts w:ascii="Calibri" w:hAnsi="Calibri"/>
          <w:b/>
          <w:sz w:val="28"/>
          <w:szCs w:val="28"/>
        </w:rPr>
        <w:t>(</w:t>
      </w:r>
      <w:r w:rsidRPr="00FB5681">
        <w:rPr>
          <w:rFonts w:ascii="Calibri" w:hAnsi="Calibri"/>
          <w:b/>
          <w:sz w:val="28"/>
          <w:szCs w:val="28"/>
        </w:rPr>
        <w:t>Special Purpose Vehicles Exceeding 40 tonnes Total Mass</w:t>
      </w:r>
      <w:r w:rsidR="00042036">
        <w:rPr>
          <w:rFonts w:ascii="Calibri" w:hAnsi="Calibri"/>
          <w:b/>
          <w:sz w:val="28"/>
          <w:szCs w:val="28"/>
        </w:rPr>
        <w:t>)</w:t>
      </w:r>
      <w:r w:rsidRPr="00FB5681">
        <w:rPr>
          <w:rFonts w:ascii="Calibri" w:hAnsi="Calibri"/>
          <w:b/>
          <w:sz w:val="28"/>
          <w:szCs w:val="28"/>
        </w:rPr>
        <w:t xml:space="preserve"> </w:t>
      </w:r>
      <w:r w:rsidR="00E30E2A">
        <w:rPr>
          <w:rFonts w:ascii="Calibri" w:hAnsi="Calibri"/>
          <w:b/>
          <w:sz w:val="28"/>
          <w:szCs w:val="28"/>
        </w:rPr>
        <w:t xml:space="preserve">Exemption </w:t>
      </w:r>
      <w:r w:rsidRPr="00FB5681">
        <w:rPr>
          <w:rFonts w:ascii="Calibri" w:hAnsi="Calibri"/>
          <w:b/>
          <w:sz w:val="28"/>
          <w:szCs w:val="28"/>
        </w:rPr>
        <w:t>Notice 2018 (No. 1)</w:t>
      </w:r>
    </w:p>
    <w:p w:rsidR="00C479AA" w:rsidRPr="00C479AA" w:rsidRDefault="00846613" w:rsidP="00493AF0">
      <w:pPr>
        <w:pStyle w:val="ListParagraph"/>
        <w:numPr>
          <w:ilvl w:val="0"/>
          <w:numId w:val="1"/>
        </w:numPr>
        <w:spacing w:before="240" w:after="120"/>
        <w:jc w:val="both"/>
        <w:rPr>
          <w:rFonts w:ascii="Calibri" w:hAnsi="Calibri" w:cs="Arial"/>
          <w:sz w:val="22"/>
          <w:szCs w:val="22"/>
        </w:rPr>
      </w:pPr>
      <w:r w:rsidRPr="00C479AA">
        <w:rPr>
          <w:rFonts w:ascii="Calibri" w:hAnsi="Calibri"/>
          <w:b/>
          <w:sz w:val="22"/>
          <w:szCs w:val="22"/>
        </w:rPr>
        <w:t>Purpose</w:t>
      </w:r>
    </w:p>
    <w:p w:rsidR="00C479AA" w:rsidRDefault="00C479AA" w:rsidP="00493AF0">
      <w:pPr>
        <w:pStyle w:val="ListParagraph"/>
        <w:spacing w:before="240" w:after="120"/>
        <w:ind w:left="360"/>
        <w:jc w:val="both"/>
        <w:rPr>
          <w:rFonts w:ascii="Calibri" w:hAnsi="Calibri"/>
          <w:b/>
          <w:sz w:val="22"/>
          <w:szCs w:val="22"/>
        </w:rPr>
      </w:pPr>
    </w:p>
    <w:p w:rsidR="00E4024A" w:rsidRDefault="00FB5681" w:rsidP="00493AF0">
      <w:pPr>
        <w:pStyle w:val="ListParagraph"/>
        <w:spacing w:before="240" w:after="120"/>
        <w:ind w:left="360"/>
        <w:jc w:val="both"/>
        <w:rPr>
          <w:rFonts w:ascii="Calibri" w:hAnsi="Calibri"/>
          <w:sz w:val="22"/>
          <w:szCs w:val="22"/>
        </w:rPr>
      </w:pPr>
      <w:r w:rsidRPr="00FB5681">
        <w:rPr>
          <w:rFonts w:ascii="Calibri" w:hAnsi="Calibri" w:cs="Arial"/>
          <w:sz w:val="22"/>
          <w:szCs w:val="22"/>
        </w:rPr>
        <w:t xml:space="preserve">This Notice exempts certain </w:t>
      </w:r>
      <w:r w:rsidR="00493AF0">
        <w:rPr>
          <w:rFonts w:ascii="Calibri" w:hAnsi="Calibri" w:cs="Arial"/>
          <w:sz w:val="22"/>
          <w:szCs w:val="22"/>
        </w:rPr>
        <w:t>categories</w:t>
      </w:r>
      <w:r w:rsidRPr="00FB5681">
        <w:rPr>
          <w:rFonts w:ascii="Calibri" w:hAnsi="Calibri" w:cs="Arial"/>
          <w:sz w:val="22"/>
          <w:szCs w:val="22"/>
        </w:rPr>
        <w:t xml:space="preserve"> of Class 1 Special Purpose Vehicles (SPVs) with a total mass exceeding 40t from</w:t>
      </w:r>
      <w:r>
        <w:rPr>
          <w:rFonts w:ascii="Calibri" w:hAnsi="Calibri" w:cs="Arial"/>
          <w:sz w:val="22"/>
          <w:szCs w:val="22"/>
        </w:rPr>
        <w:t xml:space="preserve"> </w:t>
      </w:r>
      <w:r w:rsidR="004922E9" w:rsidRPr="00C479AA">
        <w:rPr>
          <w:rFonts w:ascii="Calibri" w:hAnsi="Calibri" w:cs="Arial"/>
          <w:sz w:val="22"/>
          <w:szCs w:val="22"/>
        </w:rPr>
        <w:t xml:space="preserve">complying with </w:t>
      </w:r>
      <w:r w:rsidR="00D908EA">
        <w:rPr>
          <w:rFonts w:ascii="Calibri" w:hAnsi="Calibri" w:cs="Arial"/>
          <w:sz w:val="22"/>
          <w:szCs w:val="22"/>
        </w:rPr>
        <w:t>certain</w:t>
      </w:r>
      <w:r w:rsidR="00D908EA" w:rsidRPr="00C479AA">
        <w:rPr>
          <w:rFonts w:ascii="Calibri" w:hAnsi="Calibri" w:cs="Arial"/>
          <w:sz w:val="22"/>
          <w:szCs w:val="22"/>
        </w:rPr>
        <w:t xml:space="preserve"> </w:t>
      </w:r>
      <w:r w:rsidR="004922E9" w:rsidRPr="00C479AA">
        <w:rPr>
          <w:rFonts w:ascii="Calibri" w:hAnsi="Calibri" w:cs="Arial"/>
          <w:sz w:val="22"/>
          <w:szCs w:val="22"/>
        </w:rPr>
        <w:t xml:space="preserve">specifications </w:t>
      </w:r>
      <w:r w:rsidR="00D908EA">
        <w:rPr>
          <w:rFonts w:ascii="Calibri" w:hAnsi="Calibri" w:cs="Arial"/>
          <w:sz w:val="22"/>
          <w:szCs w:val="22"/>
        </w:rPr>
        <w:t>of</w:t>
      </w:r>
      <w:r w:rsidR="007D1D06" w:rsidRPr="00C479AA">
        <w:rPr>
          <w:rFonts w:ascii="Calibri" w:hAnsi="Calibri" w:cs="Arial"/>
          <w:sz w:val="22"/>
          <w:szCs w:val="22"/>
        </w:rPr>
        <w:t xml:space="preserve"> </w:t>
      </w:r>
      <w:r w:rsidR="00E122E6" w:rsidRPr="00C479AA">
        <w:rPr>
          <w:rFonts w:ascii="Calibri" w:hAnsi="Calibri" w:cs="Arial"/>
          <w:sz w:val="22"/>
          <w:szCs w:val="22"/>
        </w:rPr>
        <w:t>the</w:t>
      </w:r>
      <w:r w:rsidR="003A3FE1" w:rsidRPr="00C479AA">
        <w:rPr>
          <w:rFonts w:ascii="Calibri" w:hAnsi="Calibri" w:cs="Arial"/>
          <w:sz w:val="22"/>
          <w:szCs w:val="22"/>
        </w:rPr>
        <w:t xml:space="preserve"> </w:t>
      </w:r>
      <w:r w:rsidR="00E4024A" w:rsidRPr="00C479AA">
        <w:rPr>
          <w:rFonts w:ascii="Calibri" w:hAnsi="Calibri"/>
          <w:i/>
          <w:sz w:val="22"/>
          <w:szCs w:val="22"/>
        </w:rPr>
        <w:t>Heavy</w:t>
      </w:r>
      <w:r w:rsidR="003A3FE1" w:rsidRPr="00C479AA">
        <w:rPr>
          <w:rFonts w:ascii="Calibri" w:hAnsi="Calibri"/>
          <w:i/>
          <w:sz w:val="22"/>
          <w:szCs w:val="22"/>
        </w:rPr>
        <w:t xml:space="preserve"> Vehicle</w:t>
      </w:r>
      <w:r w:rsidR="00E4024A" w:rsidRPr="00C479AA">
        <w:rPr>
          <w:rFonts w:ascii="Calibri" w:hAnsi="Calibri"/>
          <w:i/>
          <w:sz w:val="22"/>
          <w:szCs w:val="22"/>
        </w:rPr>
        <w:t xml:space="preserve"> (Vehicle Standards) National Regulation</w:t>
      </w:r>
      <w:r w:rsidR="00800D4F" w:rsidRPr="00C479AA">
        <w:rPr>
          <w:rFonts w:ascii="Calibri" w:hAnsi="Calibri"/>
          <w:i/>
          <w:sz w:val="22"/>
          <w:szCs w:val="22"/>
        </w:rPr>
        <w:t xml:space="preserve"> </w:t>
      </w:r>
      <w:r w:rsidR="00800D4F" w:rsidRPr="00C479AA">
        <w:rPr>
          <w:rFonts w:ascii="Calibri" w:hAnsi="Calibri"/>
          <w:sz w:val="22"/>
          <w:szCs w:val="22"/>
        </w:rPr>
        <w:t>(</w:t>
      </w:r>
      <w:r w:rsidR="00ED054D">
        <w:rPr>
          <w:rFonts w:ascii="Calibri" w:hAnsi="Calibri"/>
          <w:sz w:val="22"/>
          <w:szCs w:val="22"/>
        </w:rPr>
        <w:t xml:space="preserve">the </w:t>
      </w:r>
      <w:r w:rsidR="00800D4F" w:rsidRPr="00C479AA">
        <w:rPr>
          <w:rFonts w:ascii="Calibri" w:hAnsi="Calibri"/>
          <w:sz w:val="22"/>
          <w:szCs w:val="22"/>
        </w:rPr>
        <w:t xml:space="preserve">National </w:t>
      </w:r>
      <w:r w:rsidR="0040702E">
        <w:rPr>
          <w:rFonts w:ascii="Calibri" w:hAnsi="Calibri"/>
          <w:sz w:val="22"/>
          <w:szCs w:val="22"/>
        </w:rPr>
        <w:t xml:space="preserve">VS </w:t>
      </w:r>
      <w:r w:rsidR="00800D4F" w:rsidRPr="00C479AA">
        <w:rPr>
          <w:rFonts w:ascii="Calibri" w:hAnsi="Calibri"/>
          <w:sz w:val="22"/>
          <w:szCs w:val="22"/>
        </w:rPr>
        <w:t>Regulation)</w:t>
      </w:r>
      <w:r w:rsidR="007D1D06" w:rsidRPr="00C479AA">
        <w:rPr>
          <w:rFonts w:ascii="Calibri" w:hAnsi="Calibri"/>
          <w:sz w:val="22"/>
          <w:szCs w:val="22"/>
        </w:rPr>
        <w:t>.</w:t>
      </w:r>
    </w:p>
    <w:p w:rsidR="00EE09D1" w:rsidRDefault="00EE09D1" w:rsidP="00493AF0">
      <w:pPr>
        <w:pStyle w:val="ListParagraph"/>
        <w:spacing w:before="240" w:after="120"/>
        <w:ind w:left="360"/>
        <w:jc w:val="both"/>
        <w:rPr>
          <w:rFonts w:ascii="Calibri" w:hAnsi="Calibri"/>
          <w:sz w:val="22"/>
          <w:szCs w:val="22"/>
        </w:rPr>
      </w:pPr>
    </w:p>
    <w:p w:rsidR="00EE09D1" w:rsidRPr="00EE09D1" w:rsidRDefault="00EE09D1" w:rsidP="00EE09D1">
      <w:pPr>
        <w:pStyle w:val="ListParagraph"/>
        <w:spacing w:after="120"/>
        <w:ind w:left="1440" w:hanging="720"/>
        <w:jc w:val="both"/>
        <w:rPr>
          <w:rFonts w:ascii="Calibri" w:hAnsi="Calibri" w:cs="Arial"/>
          <w:i/>
          <w:sz w:val="22"/>
          <w:szCs w:val="22"/>
        </w:rPr>
      </w:pPr>
      <w:r w:rsidRPr="00EE09D1">
        <w:rPr>
          <w:rFonts w:ascii="Calibri" w:hAnsi="Calibri"/>
          <w:i/>
          <w:sz w:val="22"/>
          <w:szCs w:val="22"/>
        </w:rPr>
        <w:t xml:space="preserve">Note: </w:t>
      </w:r>
      <w:r w:rsidRPr="00EE09D1">
        <w:rPr>
          <w:rFonts w:ascii="Calibri" w:hAnsi="Calibri"/>
          <w:i/>
          <w:sz w:val="22"/>
          <w:szCs w:val="22"/>
        </w:rPr>
        <w:tab/>
        <w:t xml:space="preserve">This Notice is not an access authorisation. </w:t>
      </w:r>
      <w:r w:rsidRPr="00EE09D1">
        <w:rPr>
          <w:rFonts w:ascii="Calibri" w:hAnsi="Calibri" w:cs="Arial"/>
          <w:i/>
          <w:sz w:val="22"/>
          <w:szCs w:val="22"/>
        </w:rPr>
        <w:t>This Notice only provides Vehicle Standards exemptions, and does not authorise access to the road network. To gain access to the road network, a vehicle must comply with a current access authorisation, either under Gazetted notice or under permit.</w:t>
      </w:r>
    </w:p>
    <w:p w:rsidR="00C479AA" w:rsidRPr="00C479AA" w:rsidRDefault="00E22C99" w:rsidP="00493AF0">
      <w:pPr>
        <w:pStyle w:val="ListParagraph"/>
        <w:tabs>
          <w:tab w:val="left" w:pos="5311"/>
        </w:tabs>
        <w:spacing w:before="240" w:after="120"/>
        <w:ind w:left="360"/>
        <w:jc w:val="both"/>
        <w:rPr>
          <w:rFonts w:ascii="Calibri" w:hAnsi="Calibri" w:cs="Arial"/>
          <w:sz w:val="22"/>
          <w:szCs w:val="22"/>
        </w:rPr>
      </w:pPr>
      <w:r>
        <w:rPr>
          <w:rFonts w:ascii="Calibri" w:hAnsi="Calibri" w:cs="Arial"/>
          <w:sz w:val="22"/>
          <w:szCs w:val="22"/>
        </w:rPr>
        <w:tab/>
      </w:r>
    </w:p>
    <w:p w:rsidR="00846613" w:rsidRPr="003C4ADE" w:rsidRDefault="00846613" w:rsidP="00493AF0">
      <w:pPr>
        <w:pStyle w:val="ListParagraph"/>
        <w:numPr>
          <w:ilvl w:val="0"/>
          <w:numId w:val="1"/>
        </w:numPr>
        <w:spacing w:before="240" w:after="240"/>
        <w:jc w:val="both"/>
        <w:rPr>
          <w:rFonts w:ascii="Calibri" w:hAnsi="Calibri"/>
          <w:b/>
          <w:sz w:val="22"/>
          <w:szCs w:val="22"/>
        </w:rPr>
      </w:pPr>
      <w:r w:rsidRPr="003C4ADE">
        <w:rPr>
          <w:rFonts w:ascii="Calibri" w:hAnsi="Calibri"/>
          <w:b/>
          <w:sz w:val="22"/>
          <w:szCs w:val="22"/>
        </w:rPr>
        <w:t>Authorising Provision</w:t>
      </w:r>
    </w:p>
    <w:p w:rsidR="003A3FE1" w:rsidRPr="00681C2B" w:rsidRDefault="003A3FE1" w:rsidP="00493AF0">
      <w:pPr>
        <w:pStyle w:val="Title"/>
        <w:spacing w:after="120"/>
        <w:ind w:left="360"/>
        <w:contextualSpacing/>
        <w:jc w:val="both"/>
        <w:rPr>
          <w:rFonts w:ascii="Calibri" w:hAnsi="Calibri" w:cs="Arial"/>
          <w:b w:val="0"/>
          <w:sz w:val="22"/>
          <w:szCs w:val="22"/>
        </w:rPr>
      </w:pPr>
      <w:r w:rsidRPr="00681C2B">
        <w:rPr>
          <w:rFonts w:ascii="Calibri" w:hAnsi="Calibri" w:cs="Arial"/>
          <w:b w:val="0"/>
          <w:sz w:val="22"/>
          <w:szCs w:val="22"/>
        </w:rPr>
        <w:t>This notice is</w:t>
      </w:r>
      <w:r w:rsidR="00B46165">
        <w:rPr>
          <w:rFonts w:ascii="Calibri" w:hAnsi="Calibri" w:cs="Arial"/>
          <w:b w:val="0"/>
          <w:sz w:val="22"/>
          <w:szCs w:val="22"/>
        </w:rPr>
        <w:t xml:space="preserve"> </w:t>
      </w:r>
      <w:r w:rsidRPr="00681C2B">
        <w:rPr>
          <w:rFonts w:ascii="Calibri" w:hAnsi="Calibri" w:cs="Arial"/>
          <w:b w:val="0"/>
          <w:sz w:val="22"/>
          <w:szCs w:val="22"/>
        </w:rPr>
        <w:t>made under section 6</w:t>
      </w:r>
      <w:r w:rsidR="005632E1">
        <w:rPr>
          <w:rFonts w:ascii="Calibri" w:hAnsi="Calibri" w:cs="Arial"/>
          <w:b w:val="0"/>
          <w:sz w:val="22"/>
          <w:szCs w:val="22"/>
        </w:rPr>
        <w:t>1</w:t>
      </w:r>
      <w:r w:rsidRPr="00681C2B">
        <w:rPr>
          <w:rFonts w:ascii="Calibri" w:hAnsi="Calibri" w:cs="Arial"/>
          <w:b w:val="0"/>
          <w:sz w:val="22"/>
          <w:szCs w:val="22"/>
        </w:rPr>
        <w:t xml:space="preserve"> of the </w:t>
      </w:r>
      <w:r w:rsidRPr="00870541">
        <w:rPr>
          <w:rFonts w:ascii="Calibri" w:hAnsi="Calibri" w:cs="Arial"/>
          <w:b w:val="0"/>
          <w:i/>
          <w:sz w:val="22"/>
          <w:szCs w:val="22"/>
        </w:rPr>
        <w:t>Heavy Vehicle National Law</w:t>
      </w:r>
      <w:r w:rsidRPr="00681C2B">
        <w:rPr>
          <w:rFonts w:ascii="Calibri" w:hAnsi="Calibri" w:cs="Arial"/>
          <w:b w:val="0"/>
          <w:sz w:val="22"/>
          <w:szCs w:val="22"/>
        </w:rPr>
        <w:t xml:space="preserve"> </w:t>
      </w:r>
      <w:r w:rsidR="00800D4F">
        <w:rPr>
          <w:rFonts w:ascii="Calibri" w:hAnsi="Calibri" w:cs="Arial"/>
          <w:b w:val="0"/>
          <w:sz w:val="22"/>
          <w:szCs w:val="22"/>
        </w:rPr>
        <w:t xml:space="preserve">(HVNL) </w:t>
      </w:r>
      <w:r w:rsidRPr="00681C2B">
        <w:rPr>
          <w:rFonts w:ascii="Calibri" w:hAnsi="Calibri" w:cs="Arial"/>
          <w:b w:val="0"/>
          <w:sz w:val="22"/>
          <w:szCs w:val="22"/>
        </w:rPr>
        <w:t>as in force in each participating jurisdiction.</w:t>
      </w:r>
    </w:p>
    <w:p w:rsidR="00846613" w:rsidRDefault="00846613" w:rsidP="00493AF0">
      <w:pPr>
        <w:pStyle w:val="ListParagraph"/>
        <w:numPr>
          <w:ilvl w:val="0"/>
          <w:numId w:val="1"/>
        </w:numPr>
        <w:spacing w:before="240" w:after="240"/>
        <w:jc w:val="both"/>
        <w:rPr>
          <w:rFonts w:ascii="Calibri" w:hAnsi="Calibri"/>
          <w:b/>
          <w:sz w:val="22"/>
          <w:szCs w:val="22"/>
        </w:rPr>
      </w:pPr>
      <w:r>
        <w:rPr>
          <w:rFonts w:ascii="Calibri" w:hAnsi="Calibri"/>
          <w:b/>
          <w:sz w:val="22"/>
          <w:szCs w:val="22"/>
        </w:rPr>
        <w:t>Commencement</w:t>
      </w:r>
    </w:p>
    <w:p w:rsidR="00846613" w:rsidRPr="00681C2B" w:rsidRDefault="00846613" w:rsidP="00493AF0">
      <w:pPr>
        <w:pStyle w:val="Title"/>
        <w:spacing w:after="120"/>
        <w:ind w:left="360"/>
        <w:contextualSpacing/>
        <w:jc w:val="both"/>
        <w:rPr>
          <w:rFonts w:ascii="Calibri" w:hAnsi="Calibri" w:cs="Arial"/>
          <w:b w:val="0"/>
          <w:sz w:val="22"/>
          <w:szCs w:val="22"/>
        </w:rPr>
      </w:pPr>
      <w:r w:rsidRPr="00681C2B">
        <w:rPr>
          <w:rFonts w:ascii="Calibri" w:hAnsi="Calibri" w:cs="Arial"/>
          <w:b w:val="0"/>
          <w:sz w:val="22"/>
          <w:szCs w:val="22"/>
        </w:rPr>
        <w:t xml:space="preserve">This notice commences on </w:t>
      </w:r>
      <w:r w:rsidR="00446809">
        <w:rPr>
          <w:rFonts w:ascii="Calibri" w:hAnsi="Calibri" w:cs="Arial"/>
          <w:b w:val="0"/>
          <w:sz w:val="22"/>
          <w:szCs w:val="22"/>
        </w:rPr>
        <w:t>the date of publication</w:t>
      </w:r>
      <w:r w:rsidR="005632E1">
        <w:rPr>
          <w:rFonts w:ascii="Calibri" w:hAnsi="Calibri" w:cs="Arial"/>
          <w:b w:val="0"/>
          <w:sz w:val="22"/>
          <w:szCs w:val="22"/>
        </w:rPr>
        <w:t xml:space="preserve">. </w:t>
      </w:r>
    </w:p>
    <w:p w:rsidR="00846613" w:rsidRDefault="00846613" w:rsidP="00493AF0">
      <w:pPr>
        <w:pStyle w:val="ListParagraph"/>
        <w:numPr>
          <w:ilvl w:val="0"/>
          <w:numId w:val="1"/>
        </w:numPr>
        <w:spacing w:before="240" w:after="240"/>
        <w:jc w:val="both"/>
        <w:rPr>
          <w:rFonts w:ascii="Calibri" w:hAnsi="Calibri"/>
          <w:b/>
          <w:sz w:val="22"/>
          <w:szCs w:val="22"/>
        </w:rPr>
      </w:pPr>
      <w:r w:rsidRPr="00E9121E">
        <w:rPr>
          <w:rFonts w:ascii="Calibri" w:hAnsi="Calibri"/>
          <w:b/>
          <w:sz w:val="22"/>
          <w:szCs w:val="22"/>
        </w:rPr>
        <w:t>Expiry</w:t>
      </w:r>
    </w:p>
    <w:p w:rsidR="0040702E" w:rsidRDefault="00846613" w:rsidP="00493AF0">
      <w:pPr>
        <w:pStyle w:val="Title"/>
        <w:spacing w:after="120"/>
        <w:ind w:left="360"/>
        <w:contextualSpacing/>
        <w:jc w:val="both"/>
        <w:rPr>
          <w:rFonts w:ascii="Calibri" w:hAnsi="Calibri" w:cs="Arial"/>
          <w:b w:val="0"/>
          <w:sz w:val="22"/>
          <w:szCs w:val="22"/>
        </w:rPr>
      </w:pPr>
      <w:r w:rsidRPr="00681C2B">
        <w:rPr>
          <w:rFonts w:ascii="Calibri" w:hAnsi="Calibri" w:cs="Arial"/>
          <w:b w:val="0"/>
          <w:sz w:val="22"/>
          <w:szCs w:val="22"/>
        </w:rPr>
        <w:t>This notice expires</w:t>
      </w:r>
      <w:r w:rsidR="005632E1">
        <w:rPr>
          <w:rFonts w:ascii="Calibri" w:hAnsi="Calibri" w:cs="Arial"/>
          <w:b w:val="0"/>
          <w:sz w:val="22"/>
          <w:szCs w:val="22"/>
        </w:rPr>
        <w:t xml:space="preserve"> </w:t>
      </w:r>
      <w:r w:rsidR="00446809">
        <w:rPr>
          <w:rFonts w:ascii="Calibri" w:hAnsi="Calibri" w:cs="Arial"/>
          <w:b w:val="0"/>
          <w:sz w:val="22"/>
          <w:szCs w:val="22"/>
        </w:rPr>
        <w:t>five years after publication.</w:t>
      </w:r>
    </w:p>
    <w:p w:rsidR="0040702E" w:rsidRPr="008130C0" w:rsidRDefault="0040702E" w:rsidP="00493AF0">
      <w:pPr>
        <w:pStyle w:val="ListParagraph"/>
        <w:numPr>
          <w:ilvl w:val="0"/>
          <w:numId w:val="1"/>
        </w:numPr>
        <w:spacing w:before="240" w:after="240"/>
        <w:jc w:val="both"/>
        <w:rPr>
          <w:rFonts w:ascii="Calibri" w:hAnsi="Calibri"/>
          <w:b/>
          <w:sz w:val="22"/>
          <w:szCs w:val="22"/>
        </w:rPr>
      </w:pPr>
      <w:r w:rsidRPr="008130C0">
        <w:rPr>
          <w:rFonts w:ascii="Calibri" w:hAnsi="Calibri"/>
          <w:b/>
          <w:sz w:val="22"/>
          <w:szCs w:val="22"/>
        </w:rPr>
        <w:t>Title</w:t>
      </w:r>
    </w:p>
    <w:p w:rsidR="00042036" w:rsidRPr="00FB5681" w:rsidRDefault="0040702E" w:rsidP="00042036">
      <w:pPr>
        <w:pStyle w:val="Title"/>
        <w:spacing w:after="120"/>
        <w:ind w:left="360"/>
        <w:contextualSpacing/>
        <w:jc w:val="both"/>
        <w:rPr>
          <w:rFonts w:ascii="Calibri" w:hAnsi="Calibri" w:cs="Arial"/>
          <w:b w:val="0"/>
          <w:sz w:val="22"/>
          <w:szCs w:val="22"/>
        </w:rPr>
      </w:pPr>
      <w:r w:rsidRPr="00E30E2A">
        <w:rPr>
          <w:rFonts w:ascii="Calibri" w:hAnsi="Calibri" w:cs="Arial"/>
          <w:b w:val="0"/>
          <w:sz w:val="22"/>
          <w:szCs w:val="22"/>
        </w:rPr>
        <w:t>This notice may be cited as the</w:t>
      </w:r>
      <w:r w:rsidR="00C11009" w:rsidRPr="00E30E2A">
        <w:rPr>
          <w:rFonts w:ascii="Calibri" w:hAnsi="Calibri" w:cs="Arial"/>
          <w:b w:val="0"/>
          <w:sz w:val="22"/>
          <w:szCs w:val="22"/>
        </w:rPr>
        <w:t xml:space="preserve"> </w:t>
      </w:r>
      <w:r w:rsidR="00CF595D" w:rsidRPr="00EC04A5">
        <w:rPr>
          <w:rFonts w:ascii="Calibri" w:hAnsi="Calibri" w:cs="Arial"/>
          <w:b w:val="0"/>
          <w:i/>
          <w:sz w:val="22"/>
          <w:szCs w:val="22"/>
        </w:rPr>
        <w:t>National Heavy Vehicle Standards (Special Purpose Vehicles Exceeding 40 tonnes Total Mass) Exemption Notice 2018</w:t>
      </w:r>
      <w:r w:rsidR="00E30E2A">
        <w:rPr>
          <w:rFonts w:ascii="Calibri" w:hAnsi="Calibri" w:cs="Arial"/>
          <w:b w:val="0"/>
          <w:sz w:val="22"/>
          <w:szCs w:val="22"/>
        </w:rPr>
        <w:t>.</w:t>
      </w:r>
    </w:p>
    <w:p w:rsidR="0040702E" w:rsidRPr="00C03442" w:rsidRDefault="0040702E" w:rsidP="00C11009">
      <w:pPr>
        <w:pStyle w:val="ListParagraph"/>
        <w:numPr>
          <w:ilvl w:val="0"/>
          <w:numId w:val="1"/>
        </w:numPr>
        <w:spacing w:before="240" w:after="240"/>
        <w:jc w:val="both"/>
        <w:rPr>
          <w:rFonts w:ascii="Calibri" w:hAnsi="Calibri"/>
          <w:b/>
          <w:sz w:val="22"/>
          <w:szCs w:val="22"/>
        </w:rPr>
      </w:pPr>
      <w:r w:rsidRPr="00C03442">
        <w:rPr>
          <w:rFonts w:ascii="Calibri" w:hAnsi="Calibri"/>
          <w:b/>
          <w:sz w:val="22"/>
          <w:szCs w:val="22"/>
        </w:rPr>
        <w:t xml:space="preserve">Application </w:t>
      </w:r>
    </w:p>
    <w:p w:rsidR="0040702E" w:rsidRDefault="0040702E" w:rsidP="00EC04A5">
      <w:pPr>
        <w:pStyle w:val="Title"/>
        <w:spacing w:after="240"/>
        <w:ind w:firstLine="360"/>
        <w:contextualSpacing/>
        <w:jc w:val="both"/>
        <w:rPr>
          <w:rFonts w:ascii="Calibri" w:hAnsi="Calibri" w:cs="Arial"/>
          <w:b w:val="0"/>
          <w:sz w:val="22"/>
          <w:szCs w:val="22"/>
        </w:rPr>
      </w:pPr>
      <w:r>
        <w:rPr>
          <w:rFonts w:ascii="Calibri" w:hAnsi="Calibri" w:cs="Arial"/>
          <w:b w:val="0"/>
          <w:sz w:val="22"/>
          <w:szCs w:val="22"/>
        </w:rPr>
        <w:t>This Notice applies to eligible vehicles operating in all participating jurisdictions</w:t>
      </w:r>
      <w:r w:rsidRPr="00FB5681">
        <w:rPr>
          <w:rFonts w:ascii="Calibri" w:hAnsi="Calibri" w:cs="Arial"/>
          <w:b w:val="0"/>
          <w:sz w:val="22"/>
          <w:szCs w:val="22"/>
        </w:rPr>
        <w:t>.</w:t>
      </w:r>
    </w:p>
    <w:p w:rsidR="008130C0" w:rsidRDefault="008130C0" w:rsidP="00EC04A5">
      <w:pPr>
        <w:pStyle w:val="ListParagraph"/>
        <w:numPr>
          <w:ilvl w:val="0"/>
          <w:numId w:val="1"/>
        </w:numPr>
        <w:spacing w:before="240" w:after="240"/>
        <w:jc w:val="both"/>
        <w:rPr>
          <w:rFonts w:ascii="Calibri" w:hAnsi="Calibri"/>
          <w:b/>
          <w:sz w:val="22"/>
          <w:szCs w:val="22"/>
        </w:rPr>
      </w:pPr>
      <w:r>
        <w:rPr>
          <w:rFonts w:ascii="Calibri" w:hAnsi="Calibri"/>
          <w:b/>
          <w:sz w:val="22"/>
          <w:szCs w:val="22"/>
        </w:rPr>
        <w:t>Definitions</w:t>
      </w:r>
      <w:r w:rsidR="00887962">
        <w:rPr>
          <w:rFonts w:ascii="Calibri" w:hAnsi="Calibri"/>
          <w:b/>
          <w:sz w:val="22"/>
          <w:szCs w:val="22"/>
        </w:rPr>
        <w:t xml:space="preserve"> and interpretation</w:t>
      </w:r>
    </w:p>
    <w:p w:rsidR="008130C0" w:rsidRPr="0040702E" w:rsidRDefault="008130C0" w:rsidP="00493AF0">
      <w:pPr>
        <w:pStyle w:val="Title"/>
        <w:numPr>
          <w:ilvl w:val="0"/>
          <w:numId w:val="2"/>
        </w:numPr>
        <w:spacing w:after="120"/>
        <w:contextualSpacing/>
        <w:jc w:val="both"/>
        <w:rPr>
          <w:rFonts w:ascii="Calibri" w:hAnsi="Calibri" w:cs="Arial"/>
          <w:sz w:val="22"/>
          <w:szCs w:val="22"/>
        </w:rPr>
      </w:pPr>
      <w:r w:rsidRPr="00991574">
        <w:rPr>
          <w:rFonts w:ascii="Calibri" w:hAnsi="Calibri" w:cs="Arial"/>
          <w:b w:val="0"/>
          <w:sz w:val="22"/>
          <w:szCs w:val="22"/>
        </w:rPr>
        <w:t>Unless otherwise stated, words and expressions used in this notice have the same meanings as those defined in the HVNL.</w:t>
      </w:r>
    </w:p>
    <w:p w:rsidR="0040702E" w:rsidRDefault="0040702E" w:rsidP="00493AF0">
      <w:pPr>
        <w:pStyle w:val="Title"/>
        <w:spacing w:after="120"/>
        <w:ind w:left="720"/>
        <w:contextualSpacing/>
        <w:jc w:val="both"/>
        <w:rPr>
          <w:rFonts w:ascii="Calibri" w:hAnsi="Calibri" w:cs="Arial"/>
          <w:sz w:val="22"/>
          <w:szCs w:val="22"/>
        </w:rPr>
      </w:pPr>
    </w:p>
    <w:p w:rsidR="00493AF0" w:rsidRDefault="008130C0" w:rsidP="00EC04A5">
      <w:pPr>
        <w:pStyle w:val="Title"/>
        <w:numPr>
          <w:ilvl w:val="0"/>
          <w:numId w:val="2"/>
        </w:numPr>
        <w:contextualSpacing/>
        <w:jc w:val="both"/>
        <w:rPr>
          <w:rFonts w:ascii="Calibri" w:hAnsi="Calibri" w:cs="Arial"/>
          <w:b w:val="0"/>
          <w:sz w:val="22"/>
          <w:szCs w:val="22"/>
        </w:rPr>
      </w:pPr>
      <w:r>
        <w:rPr>
          <w:rFonts w:ascii="Calibri" w:hAnsi="Calibri" w:cs="Arial"/>
          <w:b w:val="0"/>
          <w:sz w:val="22"/>
          <w:szCs w:val="22"/>
        </w:rPr>
        <w:t>In this notice—</w:t>
      </w:r>
    </w:p>
    <w:p w:rsidR="00EC04A5" w:rsidRPr="00493AF0" w:rsidRDefault="00EC04A5" w:rsidP="00EC04A5">
      <w:pPr>
        <w:pStyle w:val="Title"/>
        <w:ind w:left="720"/>
        <w:contextualSpacing/>
        <w:jc w:val="both"/>
        <w:rPr>
          <w:rFonts w:ascii="Calibri" w:hAnsi="Calibri" w:cs="Arial"/>
          <w:b w:val="0"/>
          <w:sz w:val="22"/>
          <w:szCs w:val="22"/>
        </w:rPr>
      </w:pPr>
    </w:p>
    <w:p w:rsidR="00493AF0" w:rsidRDefault="00493AF0" w:rsidP="008F7C9F">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r w:rsidRPr="00493AF0">
        <w:rPr>
          <w:rFonts w:asciiTheme="minorHAnsi" w:hAnsiTheme="minorHAnsi"/>
          <w:b/>
          <w:i/>
          <w:color w:val="000000"/>
          <w:sz w:val="22"/>
          <w:szCs w:val="22"/>
        </w:rPr>
        <w:t xml:space="preserve">Additional Equipment </w:t>
      </w:r>
      <w:r w:rsidRPr="00493AF0">
        <w:rPr>
          <w:rFonts w:asciiTheme="minorHAnsi" w:hAnsiTheme="minorHAnsi"/>
          <w:color w:val="000000"/>
          <w:sz w:val="22"/>
          <w:szCs w:val="22"/>
        </w:rPr>
        <w:t>means tools, substances and readily removable equipment required fo</w:t>
      </w:r>
      <w:r w:rsidR="008F7C9F">
        <w:rPr>
          <w:rFonts w:asciiTheme="minorHAnsi" w:hAnsiTheme="minorHAnsi"/>
          <w:color w:val="000000"/>
          <w:sz w:val="22"/>
          <w:szCs w:val="22"/>
        </w:rPr>
        <w:t>r the normal use of the vehicle</w:t>
      </w:r>
    </w:p>
    <w:p w:rsidR="00493AF0" w:rsidRPr="00EE09D1" w:rsidRDefault="00493AF0" w:rsidP="00EE09D1">
      <w:pPr>
        <w:pStyle w:val="ListParagraph"/>
        <w:spacing w:after="120"/>
        <w:ind w:left="1440" w:hanging="720"/>
        <w:jc w:val="both"/>
        <w:rPr>
          <w:rFonts w:ascii="Calibri" w:hAnsi="Calibri"/>
          <w:i/>
          <w:sz w:val="22"/>
          <w:szCs w:val="22"/>
        </w:rPr>
      </w:pPr>
      <w:r w:rsidRPr="00EE09D1">
        <w:rPr>
          <w:rFonts w:ascii="Calibri" w:hAnsi="Calibri"/>
          <w:i/>
          <w:sz w:val="22"/>
          <w:szCs w:val="22"/>
        </w:rPr>
        <w:lastRenderedPageBreak/>
        <w:t>Note:</w:t>
      </w:r>
      <w:r w:rsidRPr="00EE09D1">
        <w:rPr>
          <w:rFonts w:ascii="Calibri" w:hAnsi="Calibri"/>
          <w:i/>
          <w:sz w:val="22"/>
          <w:szCs w:val="22"/>
        </w:rPr>
        <w:tab/>
        <w:t xml:space="preserve"> Examples of additional equipment include the following</w:t>
      </w:r>
      <w:r w:rsidR="00797A4E">
        <w:rPr>
          <w:rFonts w:ascii="Calibri" w:hAnsi="Calibri"/>
          <w:i/>
          <w:sz w:val="22"/>
          <w:szCs w:val="22"/>
        </w:rPr>
        <w:t xml:space="preserve"> items</w:t>
      </w:r>
    </w:p>
    <w:p w:rsidR="00493AF0" w:rsidRPr="00493AF0" w:rsidRDefault="00493AF0" w:rsidP="00493AF0">
      <w:pPr>
        <w:spacing w:after="120"/>
        <w:ind w:left="1440" w:hanging="720"/>
        <w:contextualSpacing/>
        <w:jc w:val="both"/>
        <w:rPr>
          <w:rFonts w:ascii="Calibri" w:hAnsi="Calibri" w:cs="Arial"/>
          <w:i/>
          <w:sz w:val="20"/>
          <w:szCs w:val="20"/>
        </w:rPr>
      </w:pPr>
    </w:p>
    <w:tbl>
      <w:tblPr>
        <w:tblStyle w:val="TableGrid"/>
        <w:tblW w:w="0" w:type="auto"/>
        <w:tblInd w:w="1384" w:type="dxa"/>
        <w:tblLook w:val="04A0" w:firstRow="1" w:lastRow="0" w:firstColumn="1" w:lastColumn="0" w:noHBand="0" w:noVBand="1"/>
        <w:tblCaption w:val="Table of Additional Equipment"/>
        <w:tblDescription w:val="A table listing the additional equipment that an SPV may carry under this Notice"/>
      </w:tblPr>
      <w:tblGrid>
        <w:gridCol w:w="1559"/>
        <w:gridCol w:w="4536"/>
      </w:tblGrid>
      <w:tr w:rsidR="00493AF0" w:rsidRPr="00493AF0" w:rsidTr="00493AF0">
        <w:tc>
          <w:tcPr>
            <w:tcW w:w="1559" w:type="dxa"/>
            <w:vAlign w:val="center"/>
          </w:tcPr>
          <w:p w:rsidR="00493AF0" w:rsidRPr="00493AF0" w:rsidRDefault="00493AF0" w:rsidP="00493AF0">
            <w:pPr>
              <w:spacing w:after="120"/>
              <w:contextualSpacing/>
              <w:jc w:val="right"/>
              <w:rPr>
                <w:rFonts w:ascii="Calibri" w:hAnsi="Calibri" w:cs="Arial"/>
                <w:b/>
                <w:i/>
                <w:sz w:val="20"/>
                <w:szCs w:val="20"/>
              </w:rPr>
            </w:pPr>
            <w:r w:rsidRPr="00493AF0">
              <w:rPr>
                <w:rFonts w:ascii="Calibri" w:hAnsi="Calibri" w:cs="Arial"/>
                <w:b/>
                <w:i/>
                <w:sz w:val="20"/>
                <w:szCs w:val="20"/>
              </w:rPr>
              <w:t>SPV Type</w:t>
            </w:r>
          </w:p>
        </w:tc>
        <w:tc>
          <w:tcPr>
            <w:tcW w:w="4536" w:type="dxa"/>
          </w:tcPr>
          <w:p w:rsidR="00493AF0" w:rsidRPr="00493AF0" w:rsidRDefault="00493AF0" w:rsidP="009A490B">
            <w:pPr>
              <w:spacing w:after="120"/>
              <w:contextualSpacing/>
              <w:jc w:val="both"/>
              <w:rPr>
                <w:rFonts w:ascii="Calibri" w:hAnsi="Calibri" w:cs="Arial"/>
                <w:b/>
                <w:i/>
                <w:sz w:val="20"/>
                <w:szCs w:val="20"/>
              </w:rPr>
            </w:pPr>
            <w:r w:rsidRPr="00493AF0">
              <w:rPr>
                <w:rFonts w:ascii="Calibri" w:hAnsi="Calibri" w:cs="Arial"/>
                <w:b/>
                <w:i/>
                <w:sz w:val="20"/>
                <w:szCs w:val="20"/>
              </w:rPr>
              <w:t>Additional Equipment</w:t>
            </w:r>
          </w:p>
        </w:tc>
      </w:tr>
      <w:tr w:rsidR="00493AF0" w:rsidRPr="00493AF0" w:rsidTr="00493AF0">
        <w:tc>
          <w:tcPr>
            <w:tcW w:w="1559" w:type="dxa"/>
            <w:vAlign w:val="center"/>
          </w:tcPr>
          <w:p w:rsidR="00493AF0" w:rsidRPr="00493AF0" w:rsidRDefault="00493AF0" w:rsidP="00493AF0">
            <w:pPr>
              <w:spacing w:after="120"/>
              <w:contextualSpacing/>
              <w:jc w:val="right"/>
              <w:rPr>
                <w:rFonts w:ascii="Calibri" w:hAnsi="Calibri" w:cs="Arial"/>
                <w:i/>
                <w:sz w:val="20"/>
                <w:szCs w:val="20"/>
              </w:rPr>
            </w:pPr>
            <w:r w:rsidRPr="00493AF0">
              <w:rPr>
                <w:rFonts w:ascii="Calibri" w:hAnsi="Calibri" w:cs="Arial"/>
                <w:i/>
                <w:sz w:val="20"/>
                <w:szCs w:val="20"/>
              </w:rPr>
              <w:t>Cranes</w:t>
            </w:r>
          </w:p>
        </w:tc>
        <w:tc>
          <w:tcPr>
            <w:tcW w:w="4536" w:type="dxa"/>
          </w:tcPr>
          <w:p w:rsidR="00493AF0" w:rsidRPr="00493AF0" w:rsidRDefault="00E80E11" w:rsidP="009A490B">
            <w:pPr>
              <w:spacing w:after="120"/>
              <w:contextualSpacing/>
              <w:jc w:val="both"/>
              <w:rPr>
                <w:rFonts w:ascii="Calibri" w:hAnsi="Calibri" w:cs="Arial"/>
                <w:i/>
                <w:sz w:val="20"/>
                <w:szCs w:val="20"/>
              </w:rPr>
            </w:pPr>
            <w:r>
              <w:rPr>
                <w:rFonts w:ascii="Calibri" w:hAnsi="Calibri" w:cs="Arial"/>
                <w:i/>
                <w:sz w:val="20"/>
                <w:szCs w:val="20"/>
              </w:rPr>
              <w:t xml:space="preserve">Counter weight, fly jib, </w:t>
            </w:r>
            <w:r w:rsidR="00011BB1">
              <w:rPr>
                <w:rFonts w:ascii="Calibri" w:hAnsi="Calibri" w:cs="Arial"/>
                <w:i/>
                <w:sz w:val="20"/>
                <w:szCs w:val="20"/>
              </w:rPr>
              <w:t xml:space="preserve">additional </w:t>
            </w:r>
            <w:r w:rsidR="00493AF0" w:rsidRPr="00493AF0">
              <w:rPr>
                <w:rFonts w:ascii="Calibri" w:hAnsi="Calibri" w:cs="Arial"/>
                <w:i/>
                <w:sz w:val="20"/>
                <w:szCs w:val="20"/>
              </w:rPr>
              <w:t>hooks</w:t>
            </w:r>
            <w:r>
              <w:rPr>
                <w:rFonts w:ascii="Calibri" w:hAnsi="Calibri" w:cs="Arial"/>
                <w:i/>
                <w:sz w:val="20"/>
                <w:szCs w:val="20"/>
              </w:rPr>
              <w:t>, slings</w:t>
            </w:r>
            <w:r w:rsidR="00493AF0" w:rsidRPr="00493AF0">
              <w:rPr>
                <w:rFonts w:ascii="Calibri" w:hAnsi="Calibri" w:cs="Arial"/>
                <w:i/>
                <w:sz w:val="20"/>
                <w:szCs w:val="20"/>
              </w:rPr>
              <w:t xml:space="preserve"> and timbers.</w:t>
            </w:r>
          </w:p>
        </w:tc>
      </w:tr>
      <w:tr w:rsidR="00493AF0" w:rsidRPr="00493AF0" w:rsidTr="00493AF0">
        <w:tc>
          <w:tcPr>
            <w:tcW w:w="1559" w:type="dxa"/>
            <w:vAlign w:val="center"/>
          </w:tcPr>
          <w:p w:rsidR="00493AF0" w:rsidRPr="00493AF0" w:rsidRDefault="00493AF0" w:rsidP="00493AF0">
            <w:pPr>
              <w:spacing w:after="120"/>
              <w:contextualSpacing/>
              <w:jc w:val="right"/>
              <w:rPr>
                <w:rFonts w:ascii="Calibri" w:hAnsi="Calibri" w:cs="Arial"/>
                <w:i/>
                <w:sz w:val="20"/>
                <w:szCs w:val="20"/>
              </w:rPr>
            </w:pPr>
            <w:r w:rsidRPr="00493AF0">
              <w:rPr>
                <w:rFonts w:ascii="Calibri" w:hAnsi="Calibri" w:cs="Arial"/>
                <w:i/>
                <w:sz w:val="20"/>
                <w:szCs w:val="20"/>
              </w:rPr>
              <w:t>Concrete pumps</w:t>
            </w:r>
          </w:p>
        </w:tc>
        <w:tc>
          <w:tcPr>
            <w:tcW w:w="4536" w:type="dxa"/>
          </w:tcPr>
          <w:p w:rsidR="00493AF0" w:rsidRPr="00493AF0" w:rsidRDefault="00493AF0" w:rsidP="00E21444">
            <w:pPr>
              <w:spacing w:after="120"/>
              <w:contextualSpacing/>
              <w:jc w:val="both"/>
              <w:rPr>
                <w:rFonts w:ascii="Calibri" w:hAnsi="Calibri" w:cs="Arial"/>
                <w:i/>
                <w:sz w:val="20"/>
                <w:szCs w:val="20"/>
              </w:rPr>
            </w:pPr>
            <w:r w:rsidRPr="00493AF0">
              <w:rPr>
                <w:rFonts w:ascii="Calibri" w:hAnsi="Calibri" w:cs="Arial"/>
                <w:i/>
                <w:sz w:val="20"/>
                <w:szCs w:val="20"/>
              </w:rPr>
              <w:t>Water, cement, fly ash</w:t>
            </w:r>
            <w:r w:rsidR="00011BB1">
              <w:rPr>
                <w:rFonts w:ascii="Calibri" w:hAnsi="Calibri" w:cs="Arial"/>
                <w:i/>
                <w:sz w:val="20"/>
                <w:szCs w:val="20"/>
              </w:rPr>
              <w:t>,</w:t>
            </w:r>
            <w:r w:rsidR="00E21444">
              <w:rPr>
                <w:rFonts w:ascii="Calibri" w:hAnsi="Calibri" w:cs="Arial"/>
                <w:i/>
                <w:sz w:val="20"/>
                <w:szCs w:val="20"/>
              </w:rPr>
              <w:t xml:space="preserve"> </w:t>
            </w:r>
            <w:r w:rsidRPr="00493AF0">
              <w:rPr>
                <w:rFonts w:ascii="Calibri" w:hAnsi="Calibri" w:cs="Arial"/>
                <w:i/>
                <w:sz w:val="20"/>
                <w:szCs w:val="20"/>
              </w:rPr>
              <w:t>extension pipes</w:t>
            </w:r>
            <w:r w:rsidR="00011BB1">
              <w:rPr>
                <w:rFonts w:ascii="Calibri" w:hAnsi="Calibri" w:cs="Arial"/>
                <w:i/>
                <w:sz w:val="20"/>
                <w:szCs w:val="20"/>
              </w:rPr>
              <w:t xml:space="preserve"> and timbers</w:t>
            </w:r>
          </w:p>
        </w:tc>
      </w:tr>
      <w:tr w:rsidR="00493AF0" w:rsidRPr="00493AF0" w:rsidTr="00493AF0">
        <w:tc>
          <w:tcPr>
            <w:tcW w:w="1559" w:type="dxa"/>
            <w:vAlign w:val="center"/>
          </w:tcPr>
          <w:p w:rsidR="00493AF0" w:rsidRPr="00493AF0" w:rsidRDefault="00493AF0" w:rsidP="00493AF0">
            <w:pPr>
              <w:spacing w:after="120"/>
              <w:contextualSpacing/>
              <w:jc w:val="right"/>
              <w:rPr>
                <w:rFonts w:ascii="Calibri" w:hAnsi="Calibri" w:cs="Arial"/>
                <w:i/>
                <w:sz w:val="20"/>
                <w:szCs w:val="20"/>
              </w:rPr>
            </w:pPr>
            <w:r w:rsidRPr="00493AF0">
              <w:rPr>
                <w:rFonts w:ascii="Calibri" w:hAnsi="Calibri" w:cs="Arial"/>
                <w:i/>
                <w:sz w:val="20"/>
                <w:szCs w:val="20"/>
              </w:rPr>
              <w:t>Drill rigs</w:t>
            </w:r>
          </w:p>
        </w:tc>
        <w:tc>
          <w:tcPr>
            <w:tcW w:w="4536" w:type="dxa"/>
          </w:tcPr>
          <w:p w:rsidR="00493AF0" w:rsidRPr="00493AF0" w:rsidRDefault="00493AF0" w:rsidP="009A490B">
            <w:pPr>
              <w:spacing w:after="120"/>
              <w:contextualSpacing/>
              <w:jc w:val="both"/>
              <w:rPr>
                <w:rFonts w:ascii="Calibri" w:hAnsi="Calibri" w:cs="Arial"/>
                <w:i/>
                <w:sz w:val="20"/>
                <w:szCs w:val="20"/>
              </w:rPr>
            </w:pPr>
            <w:r w:rsidRPr="00493AF0">
              <w:rPr>
                <w:rFonts w:ascii="Calibri" w:hAnsi="Calibri" w:cs="Arial"/>
                <w:i/>
                <w:sz w:val="20"/>
                <w:szCs w:val="20"/>
              </w:rPr>
              <w:t>Drill stems, rigging tools</w:t>
            </w:r>
            <w:r w:rsidR="00011BB1">
              <w:rPr>
                <w:rFonts w:ascii="Calibri" w:hAnsi="Calibri" w:cs="Arial"/>
                <w:i/>
                <w:sz w:val="20"/>
                <w:szCs w:val="20"/>
              </w:rPr>
              <w:t xml:space="preserve"> and timbers</w:t>
            </w:r>
          </w:p>
        </w:tc>
      </w:tr>
      <w:tr w:rsidR="00493AF0" w:rsidRPr="00493AF0" w:rsidTr="00493AF0">
        <w:tc>
          <w:tcPr>
            <w:tcW w:w="1559" w:type="dxa"/>
            <w:vAlign w:val="center"/>
          </w:tcPr>
          <w:p w:rsidR="00493AF0" w:rsidRPr="00493AF0" w:rsidRDefault="00493AF0" w:rsidP="00493AF0">
            <w:pPr>
              <w:spacing w:after="120"/>
              <w:contextualSpacing/>
              <w:jc w:val="right"/>
              <w:rPr>
                <w:rFonts w:ascii="Calibri" w:hAnsi="Calibri" w:cs="Arial"/>
                <w:i/>
                <w:sz w:val="20"/>
                <w:szCs w:val="20"/>
              </w:rPr>
            </w:pPr>
            <w:r w:rsidRPr="00493AF0">
              <w:rPr>
                <w:rFonts w:ascii="Calibri" w:hAnsi="Calibri" w:cs="Arial"/>
                <w:i/>
                <w:sz w:val="20"/>
                <w:szCs w:val="20"/>
              </w:rPr>
              <w:t>Fire trucks</w:t>
            </w:r>
          </w:p>
        </w:tc>
        <w:tc>
          <w:tcPr>
            <w:tcW w:w="4536" w:type="dxa"/>
          </w:tcPr>
          <w:p w:rsidR="00493AF0" w:rsidRPr="00493AF0" w:rsidRDefault="00493AF0" w:rsidP="009A490B">
            <w:pPr>
              <w:spacing w:after="120"/>
              <w:contextualSpacing/>
              <w:jc w:val="both"/>
              <w:rPr>
                <w:rFonts w:ascii="Calibri" w:hAnsi="Calibri" w:cs="Arial"/>
                <w:i/>
                <w:sz w:val="20"/>
                <w:szCs w:val="20"/>
              </w:rPr>
            </w:pPr>
            <w:r w:rsidRPr="00493AF0">
              <w:rPr>
                <w:rFonts w:ascii="Calibri" w:hAnsi="Calibri" w:cs="Arial"/>
                <w:i/>
                <w:sz w:val="20"/>
                <w:szCs w:val="20"/>
              </w:rPr>
              <w:t>Fire-fighting equipment, quantity of water and foam</w:t>
            </w:r>
          </w:p>
        </w:tc>
      </w:tr>
      <w:tr w:rsidR="00011BB1" w:rsidRPr="00493AF0" w:rsidTr="00493AF0">
        <w:tc>
          <w:tcPr>
            <w:tcW w:w="1559" w:type="dxa"/>
            <w:vAlign w:val="center"/>
          </w:tcPr>
          <w:p w:rsidR="00011BB1" w:rsidRPr="00493AF0" w:rsidRDefault="00011BB1" w:rsidP="00493AF0">
            <w:pPr>
              <w:spacing w:after="120"/>
              <w:contextualSpacing/>
              <w:jc w:val="right"/>
              <w:rPr>
                <w:rFonts w:ascii="Calibri" w:hAnsi="Calibri" w:cs="Arial"/>
                <w:i/>
                <w:sz w:val="20"/>
                <w:szCs w:val="20"/>
              </w:rPr>
            </w:pPr>
            <w:r>
              <w:rPr>
                <w:rFonts w:ascii="Calibri" w:hAnsi="Calibri" w:cs="Arial"/>
                <w:i/>
                <w:sz w:val="20"/>
                <w:szCs w:val="20"/>
              </w:rPr>
              <w:t>EWP</w:t>
            </w:r>
          </w:p>
        </w:tc>
        <w:tc>
          <w:tcPr>
            <w:tcW w:w="4536" w:type="dxa"/>
          </w:tcPr>
          <w:p w:rsidR="00011BB1" w:rsidRPr="00493AF0" w:rsidRDefault="00011BB1" w:rsidP="009A490B">
            <w:pPr>
              <w:spacing w:after="120"/>
              <w:contextualSpacing/>
              <w:jc w:val="both"/>
              <w:rPr>
                <w:rFonts w:ascii="Calibri" w:hAnsi="Calibri" w:cs="Arial"/>
                <w:i/>
                <w:sz w:val="20"/>
                <w:szCs w:val="20"/>
              </w:rPr>
            </w:pPr>
            <w:r>
              <w:rPr>
                <w:rFonts w:ascii="Calibri" w:hAnsi="Calibri" w:cs="Arial"/>
                <w:i/>
                <w:sz w:val="20"/>
                <w:szCs w:val="20"/>
              </w:rPr>
              <w:t>timbers</w:t>
            </w:r>
          </w:p>
        </w:tc>
      </w:tr>
    </w:tbl>
    <w:p w:rsidR="00EC04A5" w:rsidRDefault="00EC04A5" w:rsidP="00EC04A5">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p>
    <w:p w:rsidR="00CD6D53" w:rsidRPr="00CD6D53" w:rsidRDefault="00CD6D53" w:rsidP="00DF3C74">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r w:rsidRPr="00CD6D53">
        <w:rPr>
          <w:rFonts w:asciiTheme="minorHAnsi" w:hAnsiTheme="minorHAnsi"/>
          <w:b/>
          <w:i/>
          <w:color w:val="000000"/>
          <w:sz w:val="22"/>
          <w:szCs w:val="22"/>
        </w:rPr>
        <w:t xml:space="preserve">All terrain mobile </w:t>
      </w:r>
      <w:proofErr w:type="gramStart"/>
      <w:r w:rsidRPr="00CD6D53">
        <w:rPr>
          <w:rFonts w:asciiTheme="minorHAnsi" w:hAnsiTheme="minorHAnsi"/>
          <w:b/>
          <w:i/>
          <w:color w:val="000000"/>
          <w:sz w:val="22"/>
          <w:szCs w:val="22"/>
        </w:rPr>
        <w:t>crane</w:t>
      </w:r>
      <w:proofErr w:type="gramEnd"/>
      <w:r w:rsidRPr="00CD6D53">
        <w:rPr>
          <w:rFonts w:asciiTheme="minorHAnsi" w:hAnsiTheme="minorHAnsi"/>
          <w:b/>
          <w:i/>
          <w:color w:val="000000"/>
          <w:sz w:val="22"/>
          <w:szCs w:val="22"/>
        </w:rPr>
        <w:t xml:space="preserve"> </w:t>
      </w:r>
      <w:r w:rsidRPr="00CD6D53">
        <w:rPr>
          <w:rFonts w:asciiTheme="minorHAnsi" w:hAnsiTheme="minorHAnsi"/>
          <w:color w:val="000000"/>
          <w:sz w:val="22"/>
          <w:szCs w:val="22"/>
        </w:rPr>
        <w:t xml:space="preserve">means an SPV that has all of the following features and requirements: </w:t>
      </w:r>
    </w:p>
    <w:p w:rsidR="00CD6D53" w:rsidRPr="00CD6D53" w:rsidRDefault="00CD6D53" w:rsidP="00CD6D53">
      <w:pPr>
        <w:pStyle w:val="Title"/>
        <w:numPr>
          <w:ilvl w:val="0"/>
          <w:numId w:val="26"/>
        </w:numPr>
        <w:spacing w:after="120"/>
        <w:contextualSpacing/>
        <w:jc w:val="both"/>
        <w:rPr>
          <w:rFonts w:ascii="Calibri" w:hAnsi="Calibri" w:cs="Arial"/>
          <w:b w:val="0"/>
          <w:sz w:val="22"/>
          <w:szCs w:val="22"/>
        </w:rPr>
      </w:pPr>
      <w:proofErr w:type="gramStart"/>
      <w:r w:rsidRPr="00CD6D53">
        <w:rPr>
          <w:rFonts w:ascii="Calibri" w:hAnsi="Calibri" w:cs="Arial"/>
          <w:b w:val="0"/>
          <w:sz w:val="22"/>
          <w:szCs w:val="22"/>
        </w:rPr>
        <w:t>is</w:t>
      </w:r>
      <w:proofErr w:type="gramEnd"/>
      <w:r w:rsidRPr="00CD6D53">
        <w:rPr>
          <w:rFonts w:ascii="Calibri" w:hAnsi="Calibri" w:cs="Arial"/>
          <w:b w:val="0"/>
          <w:sz w:val="22"/>
          <w:szCs w:val="22"/>
        </w:rPr>
        <w:t xml:space="preserve"> a mobile crane; and</w:t>
      </w:r>
    </w:p>
    <w:p w:rsidR="00CD6D53" w:rsidRPr="00CD6D53" w:rsidRDefault="00CD6D53" w:rsidP="00CD6D53">
      <w:pPr>
        <w:pStyle w:val="Title"/>
        <w:numPr>
          <w:ilvl w:val="0"/>
          <w:numId w:val="26"/>
        </w:numPr>
        <w:spacing w:after="120"/>
        <w:contextualSpacing/>
        <w:jc w:val="both"/>
        <w:rPr>
          <w:rFonts w:ascii="Calibri" w:hAnsi="Calibri" w:cs="Arial"/>
          <w:b w:val="0"/>
          <w:sz w:val="22"/>
          <w:szCs w:val="22"/>
        </w:rPr>
      </w:pPr>
      <w:proofErr w:type="gramStart"/>
      <w:r w:rsidRPr="00CD6D53">
        <w:rPr>
          <w:rFonts w:ascii="Calibri" w:hAnsi="Calibri" w:cs="Arial"/>
          <w:b w:val="0"/>
          <w:sz w:val="22"/>
          <w:szCs w:val="22"/>
        </w:rPr>
        <w:t>has</w:t>
      </w:r>
      <w:proofErr w:type="gramEnd"/>
      <w:r w:rsidRPr="00CD6D53">
        <w:rPr>
          <w:rFonts w:ascii="Calibri" w:hAnsi="Calibri" w:cs="Arial"/>
          <w:b w:val="0"/>
          <w:sz w:val="22"/>
          <w:szCs w:val="22"/>
        </w:rPr>
        <w:t xml:space="preserve"> two tyres per axle (a boom dolly operating a</w:t>
      </w:r>
      <w:r w:rsidR="00FB0061">
        <w:rPr>
          <w:rFonts w:ascii="Calibri" w:hAnsi="Calibri" w:cs="Arial"/>
          <w:b w:val="0"/>
          <w:sz w:val="22"/>
          <w:szCs w:val="22"/>
        </w:rPr>
        <w:t>s</w:t>
      </w:r>
      <w:r w:rsidR="00AE6DE0">
        <w:rPr>
          <w:rFonts w:ascii="Calibri" w:hAnsi="Calibri" w:cs="Arial"/>
          <w:b w:val="0"/>
          <w:sz w:val="22"/>
          <w:szCs w:val="22"/>
        </w:rPr>
        <w:t xml:space="preserve"> </w:t>
      </w:r>
      <w:r w:rsidRPr="00CD6D53">
        <w:rPr>
          <w:rFonts w:ascii="Calibri" w:hAnsi="Calibri" w:cs="Arial"/>
          <w:b w:val="0"/>
          <w:sz w:val="22"/>
          <w:szCs w:val="22"/>
        </w:rPr>
        <w:t xml:space="preserve"> part of a crane may be fitted with 4 tyres per axle); and </w:t>
      </w:r>
    </w:p>
    <w:p w:rsidR="00CD6D53" w:rsidRPr="00CD6D53" w:rsidRDefault="00CD6D53" w:rsidP="00CD6D53">
      <w:pPr>
        <w:pStyle w:val="Title"/>
        <w:numPr>
          <w:ilvl w:val="0"/>
          <w:numId w:val="26"/>
        </w:numPr>
        <w:spacing w:after="120"/>
        <w:contextualSpacing/>
        <w:jc w:val="both"/>
        <w:rPr>
          <w:rFonts w:ascii="Calibri" w:hAnsi="Calibri" w:cs="Arial"/>
          <w:b w:val="0"/>
          <w:sz w:val="22"/>
          <w:szCs w:val="22"/>
        </w:rPr>
      </w:pPr>
      <w:proofErr w:type="gramStart"/>
      <w:r w:rsidRPr="00CD6D53">
        <w:rPr>
          <w:rFonts w:ascii="Calibri" w:hAnsi="Calibri" w:cs="Arial"/>
          <w:b w:val="0"/>
          <w:sz w:val="22"/>
          <w:szCs w:val="22"/>
        </w:rPr>
        <w:t>has</w:t>
      </w:r>
      <w:proofErr w:type="gramEnd"/>
      <w:r w:rsidRPr="00CD6D53">
        <w:rPr>
          <w:rFonts w:ascii="Calibri" w:hAnsi="Calibri" w:cs="Arial"/>
          <w:b w:val="0"/>
          <w:sz w:val="22"/>
          <w:szCs w:val="22"/>
        </w:rPr>
        <w:t xml:space="preserve"> at least 50% of its axles steerable; and</w:t>
      </w:r>
    </w:p>
    <w:p w:rsidR="00CD6D53" w:rsidRPr="00CD6D53" w:rsidRDefault="00CD6D53" w:rsidP="00CD6D53">
      <w:pPr>
        <w:pStyle w:val="Title"/>
        <w:numPr>
          <w:ilvl w:val="0"/>
          <w:numId w:val="26"/>
        </w:numPr>
        <w:spacing w:after="120"/>
        <w:contextualSpacing/>
        <w:jc w:val="both"/>
        <w:rPr>
          <w:rFonts w:ascii="Calibri" w:hAnsi="Calibri" w:cs="Arial"/>
          <w:b w:val="0"/>
          <w:sz w:val="22"/>
          <w:szCs w:val="22"/>
        </w:rPr>
      </w:pPr>
      <w:proofErr w:type="gramStart"/>
      <w:r w:rsidRPr="00CD6D53">
        <w:rPr>
          <w:rFonts w:ascii="Calibri" w:hAnsi="Calibri" w:cs="Arial"/>
          <w:b w:val="0"/>
          <w:sz w:val="22"/>
          <w:szCs w:val="22"/>
        </w:rPr>
        <w:t>is</w:t>
      </w:r>
      <w:proofErr w:type="gramEnd"/>
      <w:r w:rsidRPr="00CD6D53">
        <w:rPr>
          <w:rFonts w:ascii="Calibri" w:hAnsi="Calibri" w:cs="Arial"/>
          <w:b w:val="0"/>
          <w:sz w:val="22"/>
          <w:szCs w:val="22"/>
        </w:rPr>
        <w:t xml:space="preserve"> not a truck mounted SPV; and</w:t>
      </w:r>
    </w:p>
    <w:p w:rsidR="00CD6D53" w:rsidRPr="006228E8" w:rsidRDefault="00CD6D53" w:rsidP="006228E8">
      <w:pPr>
        <w:pStyle w:val="Title"/>
        <w:numPr>
          <w:ilvl w:val="0"/>
          <w:numId w:val="26"/>
        </w:numPr>
        <w:spacing w:after="120"/>
        <w:contextualSpacing/>
        <w:jc w:val="both"/>
        <w:rPr>
          <w:rFonts w:ascii="Calibri" w:hAnsi="Calibri" w:cs="Arial"/>
          <w:b w:val="0"/>
          <w:sz w:val="22"/>
          <w:szCs w:val="22"/>
        </w:rPr>
      </w:pPr>
      <w:proofErr w:type="gramStart"/>
      <w:r w:rsidRPr="00CD6D53">
        <w:rPr>
          <w:rFonts w:ascii="Calibri" w:hAnsi="Calibri" w:cs="Arial"/>
          <w:b w:val="0"/>
          <w:sz w:val="22"/>
          <w:szCs w:val="22"/>
        </w:rPr>
        <w:t>has</w:t>
      </w:r>
      <w:proofErr w:type="gramEnd"/>
      <w:r w:rsidRPr="00CD6D53">
        <w:rPr>
          <w:rFonts w:ascii="Calibri" w:hAnsi="Calibri" w:cs="Arial"/>
          <w:b w:val="0"/>
          <w:sz w:val="22"/>
          <w:szCs w:val="22"/>
        </w:rPr>
        <w:t xml:space="preserve"> </w:t>
      </w:r>
      <w:r w:rsidR="00DF3C74" w:rsidRPr="00CD6D53">
        <w:rPr>
          <w:rFonts w:ascii="Calibri" w:hAnsi="Calibri" w:cs="Arial"/>
          <w:b w:val="0"/>
          <w:sz w:val="22"/>
          <w:szCs w:val="22"/>
        </w:rPr>
        <w:t>on</w:t>
      </w:r>
      <w:r w:rsidR="00DF3C74">
        <w:rPr>
          <w:rFonts w:ascii="Calibri" w:hAnsi="Calibri" w:cs="Arial"/>
          <w:b w:val="0"/>
          <w:sz w:val="22"/>
          <w:szCs w:val="22"/>
        </w:rPr>
        <w:t>-</w:t>
      </w:r>
      <w:r w:rsidRPr="00CD6D53">
        <w:rPr>
          <w:rFonts w:ascii="Calibri" w:hAnsi="Calibri" w:cs="Arial"/>
          <w:b w:val="0"/>
          <w:sz w:val="22"/>
          <w:szCs w:val="22"/>
        </w:rPr>
        <w:t xml:space="preserve">road and </w:t>
      </w:r>
      <w:r w:rsidR="00DF3C74" w:rsidRPr="00CD6D53">
        <w:rPr>
          <w:rFonts w:ascii="Calibri" w:hAnsi="Calibri" w:cs="Arial"/>
          <w:b w:val="0"/>
          <w:sz w:val="22"/>
          <w:szCs w:val="22"/>
        </w:rPr>
        <w:t>off</w:t>
      </w:r>
      <w:r w:rsidR="00DF3C74">
        <w:rPr>
          <w:rFonts w:ascii="Calibri" w:hAnsi="Calibri" w:cs="Arial"/>
          <w:b w:val="0"/>
          <w:sz w:val="22"/>
          <w:szCs w:val="22"/>
        </w:rPr>
        <w:t>-</w:t>
      </w:r>
      <w:r w:rsidRPr="00CD6D53">
        <w:rPr>
          <w:rFonts w:ascii="Calibri" w:hAnsi="Calibri" w:cs="Arial"/>
          <w:b w:val="0"/>
          <w:sz w:val="22"/>
          <w:szCs w:val="22"/>
        </w:rPr>
        <w:t>road capability.</w:t>
      </w:r>
    </w:p>
    <w:p w:rsidR="009B26C1" w:rsidRPr="006228E8" w:rsidRDefault="00CD6D53" w:rsidP="006228E8">
      <w:pPr>
        <w:pStyle w:val="definition"/>
        <w:shd w:val="clear" w:color="auto" w:fill="FFFFFF"/>
        <w:spacing w:before="180" w:beforeAutospacing="0" w:after="0" w:afterAutospacing="0"/>
        <w:contextualSpacing/>
        <w:jc w:val="center"/>
        <w:rPr>
          <w:rFonts w:asciiTheme="minorHAnsi" w:hAnsiTheme="minorHAnsi"/>
          <w:b/>
          <w:i/>
          <w:color w:val="000000"/>
          <w:sz w:val="22"/>
          <w:szCs w:val="22"/>
        </w:rPr>
      </w:pPr>
      <w:r>
        <w:rPr>
          <w:b/>
          <w:noProof/>
          <w:color w:val="000000"/>
        </w:rPr>
        <w:drawing>
          <wp:inline distT="0" distB="0" distL="0" distR="0" wp14:anchorId="25186B92" wp14:editId="34E37D42">
            <wp:extent cx="4134679" cy="1334749"/>
            <wp:effectExtent l="0" t="0" r="0" b="0"/>
            <wp:docPr id="2" name="Picture 2" descr="Illustration of an all terrain mobile crane" title="Figure 1 Illustrative example of an all terrain mobile 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nry.schleimer\AppData\Local\Microsoft\Windows\Temporary Internet Files\Content.Outlook\MK90WH0Z\5 A ATC (3).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34679" cy="1334749"/>
                    </a:xfrm>
                    <a:prstGeom prst="rect">
                      <a:avLst/>
                    </a:prstGeom>
                    <a:noFill/>
                    <a:ln>
                      <a:noFill/>
                    </a:ln>
                  </pic:spPr>
                </pic:pic>
              </a:graphicData>
            </a:graphic>
          </wp:inline>
        </w:drawing>
      </w:r>
    </w:p>
    <w:p w:rsidR="009B26C1" w:rsidRPr="009B26C1" w:rsidRDefault="009B26C1" w:rsidP="00EC04A5">
      <w:pPr>
        <w:pStyle w:val="Caption"/>
        <w:spacing w:after="0"/>
        <w:jc w:val="center"/>
        <w:rPr>
          <w:color w:val="000000" w:themeColor="text1"/>
          <w:sz w:val="24"/>
          <w:szCs w:val="24"/>
        </w:rPr>
      </w:pPr>
      <w:r w:rsidRPr="009B26C1">
        <w:rPr>
          <w:color w:val="000000" w:themeColor="text1"/>
          <w:sz w:val="24"/>
          <w:szCs w:val="24"/>
        </w:rPr>
        <w:t xml:space="preserve">Figure 1 Illustrative example of an </w:t>
      </w:r>
      <w:proofErr w:type="spellStart"/>
      <w:r w:rsidRPr="009B26C1">
        <w:rPr>
          <w:color w:val="000000" w:themeColor="text1"/>
          <w:sz w:val="24"/>
          <w:szCs w:val="24"/>
        </w:rPr>
        <w:t>all terrain</w:t>
      </w:r>
      <w:proofErr w:type="spellEnd"/>
      <w:r w:rsidRPr="009B26C1">
        <w:rPr>
          <w:color w:val="000000" w:themeColor="text1"/>
          <w:sz w:val="24"/>
          <w:szCs w:val="24"/>
        </w:rPr>
        <w:t xml:space="preserve"> mobile crane</w:t>
      </w:r>
    </w:p>
    <w:p w:rsidR="00EC04A5" w:rsidRDefault="00EC04A5" w:rsidP="009B26C1">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p>
    <w:p w:rsidR="00CD6D53" w:rsidRDefault="009B26C1" w:rsidP="009B26C1">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sidRPr="009B26C1">
        <w:rPr>
          <w:rFonts w:asciiTheme="minorHAnsi" w:hAnsiTheme="minorHAnsi"/>
          <w:b/>
          <w:i/>
          <w:color w:val="000000"/>
          <w:sz w:val="22"/>
          <w:szCs w:val="22"/>
        </w:rPr>
        <w:t xml:space="preserve">Carrier mounted SPV </w:t>
      </w:r>
      <w:r w:rsidRPr="009B26C1">
        <w:rPr>
          <w:rFonts w:asciiTheme="minorHAnsi" w:hAnsiTheme="minorHAnsi"/>
          <w:color w:val="000000"/>
          <w:sz w:val="22"/>
          <w:szCs w:val="22"/>
        </w:rPr>
        <w:t>means a heavy motor vehicle that is an SPV where the axles, chassis frame and main equipment are built as an integral vehicle unit and which cannot be divided without extreme effort, expense or risk of damage to it. A carrier mounted SPV is not a truck mounted SPV.</w:t>
      </w:r>
    </w:p>
    <w:p w:rsidR="009B26C1" w:rsidRDefault="009B26C1" w:rsidP="009B26C1">
      <w:pPr>
        <w:pStyle w:val="definition"/>
        <w:shd w:val="clear" w:color="auto" w:fill="FFFFFF"/>
        <w:spacing w:before="180" w:beforeAutospacing="0" w:after="0" w:afterAutospacing="0"/>
        <w:contextualSpacing/>
        <w:jc w:val="both"/>
        <w:rPr>
          <w:rFonts w:asciiTheme="minorHAnsi" w:hAnsiTheme="minorHAnsi"/>
          <w:b/>
          <w:i/>
          <w:color w:val="000000"/>
          <w:sz w:val="22"/>
          <w:szCs w:val="22"/>
        </w:rPr>
      </w:pPr>
    </w:p>
    <w:p w:rsidR="009B26C1" w:rsidRPr="00EE09D1" w:rsidRDefault="009B26C1" w:rsidP="00EC04A5">
      <w:pPr>
        <w:pStyle w:val="ListParagraph"/>
        <w:ind w:left="2160" w:hanging="1440"/>
        <w:jc w:val="both"/>
        <w:rPr>
          <w:rFonts w:ascii="Calibri" w:hAnsi="Calibri"/>
          <w:i/>
          <w:sz w:val="22"/>
          <w:szCs w:val="22"/>
        </w:rPr>
      </w:pPr>
      <w:r w:rsidRPr="00EE09D1">
        <w:rPr>
          <w:rFonts w:ascii="Calibri" w:hAnsi="Calibri"/>
          <w:i/>
          <w:sz w:val="22"/>
          <w:szCs w:val="22"/>
        </w:rPr>
        <w:t>Example:</w:t>
      </w:r>
      <w:r w:rsidRPr="00EE09D1">
        <w:rPr>
          <w:rFonts w:ascii="Calibri" w:hAnsi="Calibri"/>
          <w:i/>
          <w:sz w:val="22"/>
          <w:szCs w:val="22"/>
        </w:rPr>
        <w:tab/>
        <w:t>Most mobile cranes including all terrain mobile cranes and truck cranes are carrier mounted SPVs.</w:t>
      </w:r>
    </w:p>
    <w:p w:rsidR="009B26C1" w:rsidRDefault="009B26C1" w:rsidP="00EC04A5">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p>
    <w:p w:rsidR="009B26C1" w:rsidRDefault="009B26C1" w:rsidP="00493AF0">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r w:rsidRPr="009B26C1">
        <w:rPr>
          <w:rFonts w:asciiTheme="minorHAnsi" w:hAnsiTheme="minorHAnsi"/>
          <w:b/>
          <w:i/>
          <w:color w:val="000000"/>
          <w:sz w:val="22"/>
          <w:szCs w:val="22"/>
        </w:rPr>
        <w:t xml:space="preserve">Boom dolly </w:t>
      </w:r>
      <w:r w:rsidRPr="009B26C1">
        <w:rPr>
          <w:rFonts w:asciiTheme="minorHAnsi" w:hAnsiTheme="minorHAnsi"/>
          <w:color w:val="000000"/>
          <w:sz w:val="22"/>
          <w:szCs w:val="22"/>
        </w:rPr>
        <w:t xml:space="preserve">means a dolly which assists in supporting the mass of a crane’s boom when the boom has been rotated rearwards for </w:t>
      </w:r>
      <w:r w:rsidR="00DF3C74" w:rsidRPr="009B26C1">
        <w:rPr>
          <w:rFonts w:asciiTheme="minorHAnsi" w:hAnsiTheme="minorHAnsi"/>
          <w:color w:val="000000"/>
          <w:sz w:val="22"/>
          <w:szCs w:val="22"/>
        </w:rPr>
        <w:t>on</w:t>
      </w:r>
      <w:r w:rsidR="00DF3C74">
        <w:rPr>
          <w:rFonts w:asciiTheme="minorHAnsi" w:hAnsiTheme="minorHAnsi"/>
          <w:color w:val="000000"/>
          <w:sz w:val="22"/>
          <w:szCs w:val="22"/>
        </w:rPr>
        <w:t>-</w:t>
      </w:r>
      <w:r w:rsidRPr="009B26C1">
        <w:rPr>
          <w:rFonts w:asciiTheme="minorHAnsi" w:hAnsiTheme="minorHAnsi"/>
          <w:color w:val="000000"/>
          <w:sz w:val="22"/>
          <w:szCs w:val="22"/>
        </w:rPr>
        <w:t>road travel.</w:t>
      </w:r>
    </w:p>
    <w:p w:rsidR="009B26C1" w:rsidRDefault="009B26C1" w:rsidP="00493AF0">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p>
    <w:p w:rsidR="009B26C1" w:rsidRDefault="009B26C1" w:rsidP="00493AF0">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r>
        <w:rPr>
          <w:rFonts w:asciiTheme="minorHAnsi" w:hAnsiTheme="minorHAnsi"/>
          <w:noProof/>
          <w:sz w:val="22"/>
        </w:rPr>
        <w:drawing>
          <wp:inline distT="0" distB="0" distL="0" distR="0" wp14:anchorId="302D0594" wp14:editId="4A3BD11D">
            <wp:extent cx="4438906" cy="1105469"/>
            <wp:effectExtent l="0" t="0" r="0" b="0"/>
            <wp:docPr id="3" name="Picture 3" descr="Illustration of a mobile crane with a boom dolly" title="Figure 2 Illustrative example of a mobile crane fitted with a boom d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01-prod\Photos\0000_Truck component images\Individual Components PNG\Full Size PNG\CRANE AND DOLLY MASTER-04.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38906" cy="1105469"/>
                    </a:xfrm>
                    <a:prstGeom prst="rect">
                      <a:avLst/>
                    </a:prstGeom>
                    <a:noFill/>
                    <a:ln>
                      <a:noFill/>
                    </a:ln>
                  </pic:spPr>
                </pic:pic>
              </a:graphicData>
            </a:graphic>
          </wp:inline>
        </w:drawing>
      </w:r>
    </w:p>
    <w:p w:rsidR="009B26C1" w:rsidRDefault="009B26C1" w:rsidP="006228E8">
      <w:pPr>
        <w:pStyle w:val="definition"/>
        <w:shd w:val="clear" w:color="auto" w:fill="FFFFFF"/>
        <w:spacing w:before="180" w:beforeAutospacing="0" w:after="0" w:afterAutospacing="0"/>
        <w:contextualSpacing/>
        <w:jc w:val="both"/>
        <w:rPr>
          <w:rFonts w:asciiTheme="minorHAnsi" w:hAnsiTheme="minorHAnsi"/>
          <w:b/>
          <w:i/>
          <w:color w:val="000000"/>
          <w:sz w:val="22"/>
          <w:szCs w:val="22"/>
        </w:rPr>
      </w:pPr>
    </w:p>
    <w:p w:rsidR="006228E8" w:rsidRPr="008F7C9F" w:rsidRDefault="009B26C1" w:rsidP="008F7C9F">
      <w:pPr>
        <w:pStyle w:val="Caption"/>
        <w:jc w:val="center"/>
        <w:rPr>
          <w:color w:val="000000" w:themeColor="text1"/>
          <w:sz w:val="24"/>
          <w:szCs w:val="24"/>
        </w:rPr>
      </w:pPr>
      <w:r w:rsidRPr="009B26C1">
        <w:rPr>
          <w:color w:val="000000" w:themeColor="text1"/>
          <w:sz w:val="24"/>
          <w:szCs w:val="24"/>
        </w:rPr>
        <w:t>Figure 2 Illustrative example of a mobile crane fitted with a boom dolly</w:t>
      </w:r>
      <w:bookmarkStart w:id="0" w:name="_GoBack"/>
      <w:bookmarkEnd w:id="0"/>
    </w:p>
    <w:p w:rsidR="00202039" w:rsidRDefault="00202039" w:rsidP="00DF3C74">
      <w:pPr>
        <w:pStyle w:val="definition"/>
        <w:shd w:val="clear" w:color="auto" w:fill="FFFFFF"/>
        <w:spacing w:before="180" w:beforeAutospacing="0" w:after="120" w:afterAutospacing="0"/>
        <w:ind w:left="709"/>
        <w:contextualSpacing/>
        <w:jc w:val="both"/>
        <w:rPr>
          <w:rFonts w:asciiTheme="minorHAnsi" w:hAnsiTheme="minorHAnsi"/>
          <w:color w:val="000000"/>
          <w:sz w:val="22"/>
          <w:szCs w:val="22"/>
        </w:rPr>
      </w:pPr>
      <w:r>
        <w:rPr>
          <w:rFonts w:asciiTheme="minorHAnsi" w:hAnsiTheme="minorHAnsi"/>
          <w:b/>
          <w:i/>
          <w:color w:val="000000"/>
          <w:sz w:val="22"/>
          <w:szCs w:val="22"/>
        </w:rPr>
        <w:lastRenderedPageBreak/>
        <w:t>Eligible Vehicle</w:t>
      </w:r>
      <w:r>
        <w:rPr>
          <w:rFonts w:asciiTheme="minorHAnsi" w:hAnsiTheme="minorHAnsi"/>
          <w:color w:val="000000"/>
          <w:sz w:val="22"/>
          <w:szCs w:val="22"/>
        </w:rPr>
        <w:t xml:space="preserve"> means a</w:t>
      </w:r>
      <w:r w:rsidR="00DF3C74">
        <w:rPr>
          <w:rFonts w:asciiTheme="minorHAnsi" w:hAnsiTheme="minorHAnsi"/>
          <w:color w:val="000000"/>
          <w:sz w:val="22"/>
          <w:szCs w:val="22"/>
        </w:rPr>
        <w:t>n SPV</w:t>
      </w:r>
      <w:r w:rsidR="001322A4">
        <w:rPr>
          <w:rFonts w:asciiTheme="minorHAnsi" w:hAnsiTheme="minorHAnsi"/>
          <w:color w:val="000000"/>
          <w:sz w:val="22"/>
          <w:szCs w:val="22"/>
        </w:rPr>
        <w:t>, other than a trailer,</w:t>
      </w:r>
      <w:r w:rsidR="00CC329E">
        <w:rPr>
          <w:rFonts w:asciiTheme="minorHAnsi" w:hAnsiTheme="minorHAnsi"/>
          <w:color w:val="000000"/>
          <w:sz w:val="22"/>
          <w:szCs w:val="22"/>
        </w:rPr>
        <w:t xml:space="preserve"> </w:t>
      </w:r>
      <w:r w:rsidR="00493AF0">
        <w:rPr>
          <w:rFonts w:asciiTheme="minorHAnsi" w:hAnsiTheme="minorHAnsi"/>
          <w:color w:val="000000"/>
          <w:sz w:val="22"/>
          <w:szCs w:val="22"/>
        </w:rPr>
        <w:t>with a total mass of more than 40t</w:t>
      </w:r>
      <w:r w:rsidR="00917479">
        <w:rPr>
          <w:rFonts w:asciiTheme="minorHAnsi" w:hAnsiTheme="minorHAnsi"/>
          <w:color w:val="000000"/>
          <w:sz w:val="22"/>
          <w:szCs w:val="22"/>
        </w:rPr>
        <w:t xml:space="preserve"> that complies with the conditional dimension requirements set out in </w:t>
      </w:r>
      <w:r w:rsidR="00930F57">
        <w:rPr>
          <w:rFonts w:asciiTheme="minorHAnsi" w:hAnsiTheme="minorHAnsi"/>
          <w:color w:val="000000"/>
          <w:sz w:val="22"/>
          <w:szCs w:val="22"/>
        </w:rPr>
        <w:t>section</w:t>
      </w:r>
      <w:r w:rsidR="00565193">
        <w:rPr>
          <w:rFonts w:asciiTheme="minorHAnsi" w:hAnsiTheme="minorHAnsi"/>
          <w:color w:val="000000"/>
          <w:sz w:val="22"/>
          <w:szCs w:val="22"/>
        </w:rPr>
        <w:t>s</w:t>
      </w:r>
      <w:r w:rsidR="00930F57">
        <w:rPr>
          <w:rFonts w:asciiTheme="minorHAnsi" w:hAnsiTheme="minorHAnsi"/>
          <w:color w:val="000000"/>
          <w:sz w:val="22"/>
          <w:szCs w:val="22"/>
        </w:rPr>
        <w:t xml:space="preserve"> 9</w:t>
      </w:r>
      <w:r w:rsidR="00565193">
        <w:rPr>
          <w:rFonts w:asciiTheme="minorHAnsi" w:hAnsiTheme="minorHAnsi"/>
          <w:color w:val="000000"/>
          <w:sz w:val="22"/>
          <w:szCs w:val="22"/>
        </w:rPr>
        <w:t>, 10 and 11</w:t>
      </w:r>
      <w:r w:rsidR="00917479">
        <w:rPr>
          <w:rFonts w:asciiTheme="minorHAnsi" w:hAnsiTheme="minorHAnsi"/>
          <w:color w:val="000000"/>
          <w:sz w:val="22"/>
          <w:szCs w:val="22"/>
        </w:rPr>
        <w:t xml:space="preserve"> of this Notice</w:t>
      </w:r>
      <w:r w:rsidR="00493AF0">
        <w:rPr>
          <w:rFonts w:asciiTheme="minorHAnsi" w:hAnsiTheme="minorHAnsi"/>
          <w:color w:val="000000"/>
          <w:sz w:val="22"/>
          <w:szCs w:val="22"/>
        </w:rPr>
        <w:t xml:space="preserve"> and</w:t>
      </w:r>
      <w:r>
        <w:rPr>
          <w:rFonts w:asciiTheme="minorHAnsi" w:hAnsiTheme="minorHAnsi"/>
          <w:color w:val="000000"/>
          <w:sz w:val="22"/>
          <w:szCs w:val="22"/>
        </w:rPr>
        <w:t>:</w:t>
      </w:r>
    </w:p>
    <w:p w:rsidR="00493AF0" w:rsidRPr="00493AF0" w:rsidRDefault="00917479" w:rsidP="00CD6D53">
      <w:pPr>
        <w:pStyle w:val="Title"/>
        <w:numPr>
          <w:ilvl w:val="0"/>
          <w:numId w:val="30"/>
        </w:numPr>
        <w:spacing w:after="120"/>
        <w:contextualSpacing/>
        <w:jc w:val="both"/>
        <w:rPr>
          <w:rFonts w:ascii="Calibri" w:hAnsi="Calibri" w:cs="Arial"/>
          <w:b w:val="0"/>
          <w:sz w:val="22"/>
          <w:szCs w:val="22"/>
        </w:rPr>
      </w:pPr>
      <w:proofErr w:type="gramStart"/>
      <w:r>
        <w:rPr>
          <w:rFonts w:ascii="Calibri" w:hAnsi="Calibri" w:cs="Arial"/>
          <w:b w:val="0"/>
          <w:sz w:val="22"/>
          <w:szCs w:val="22"/>
        </w:rPr>
        <w:t>is</w:t>
      </w:r>
      <w:proofErr w:type="gramEnd"/>
      <w:r>
        <w:rPr>
          <w:rFonts w:ascii="Calibri" w:hAnsi="Calibri" w:cs="Arial"/>
          <w:b w:val="0"/>
          <w:sz w:val="22"/>
          <w:szCs w:val="22"/>
        </w:rPr>
        <w:t xml:space="preserve"> an SPV </w:t>
      </w:r>
      <w:r w:rsidR="00493AF0" w:rsidRPr="00493AF0">
        <w:rPr>
          <w:rFonts w:ascii="Calibri" w:hAnsi="Calibri" w:cs="Arial"/>
          <w:b w:val="0"/>
          <w:sz w:val="22"/>
          <w:szCs w:val="22"/>
        </w:rPr>
        <w:t xml:space="preserve">other than a crane that has up to 7 axles; or </w:t>
      </w:r>
    </w:p>
    <w:p w:rsidR="00493AF0" w:rsidRDefault="00493AF0" w:rsidP="00CD6D53">
      <w:pPr>
        <w:pStyle w:val="Title"/>
        <w:numPr>
          <w:ilvl w:val="0"/>
          <w:numId w:val="30"/>
        </w:numPr>
        <w:spacing w:after="120"/>
        <w:contextualSpacing/>
        <w:jc w:val="both"/>
        <w:rPr>
          <w:rFonts w:ascii="Calibri" w:hAnsi="Calibri" w:cs="Arial"/>
          <w:b w:val="0"/>
          <w:sz w:val="22"/>
          <w:szCs w:val="22"/>
        </w:rPr>
      </w:pPr>
      <w:proofErr w:type="gramStart"/>
      <w:r>
        <w:rPr>
          <w:rFonts w:ascii="Calibri" w:hAnsi="Calibri" w:cs="Arial"/>
          <w:b w:val="0"/>
          <w:sz w:val="22"/>
          <w:szCs w:val="22"/>
        </w:rPr>
        <w:t>is</w:t>
      </w:r>
      <w:proofErr w:type="gramEnd"/>
      <w:r>
        <w:rPr>
          <w:rFonts w:ascii="Calibri" w:hAnsi="Calibri" w:cs="Arial"/>
          <w:b w:val="0"/>
          <w:sz w:val="22"/>
          <w:szCs w:val="22"/>
        </w:rPr>
        <w:t xml:space="preserve"> a crane;</w:t>
      </w:r>
    </w:p>
    <w:p w:rsidR="00493AF0" w:rsidRDefault="00493AF0" w:rsidP="00CD6D53">
      <w:pPr>
        <w:pStyle w:val="Title"/>
        <w:numPr>
          <w:ilvl w:val="1"/>
          <w:numId w:val="30"/>
        </w:numPr>
        <w:spacing w:after="120"/>
        <w:contextualSpacing/>
        <w:jc w:val="both"/>
        <w:rPr>
          <w:rFonts w:ascii="Calibri" w:hAnsi="Calibri" w:cs="Arial"/>
          <w:b w:val="0"/>
          <w:sz w:val="22"/>
          <w:szCs w:val="22"/>
        </w:rPr>
      </w:pPr>
      <w:proofErr w:type="gramStart"/>
      <w:r w:rsidRPr="00493AF0">
        <w:rPr>
          <w:rFonts w:ascii="Calibri" w:hAnsi="Calibri" w:cs="Arial"/>
          <w:b w:val="0"/>
          <w:sz w:val="22"/>
          <w:szCs w:val="22"/>
        </w:rPr>
        <w:t>with</w:t>
      </w:r>
      <w:proofErr w:type="gramEnd"/>
      <w:r w:rsidRPr="00493AF0">
        <w:rPr>
          <w:rFonts w:ascii="Calibri" w:hAnsi="Calibri" w:cs="Arial"/>
          <w:b w:val="0"/>
          <w:sz w:val="22"/>
          <w:szCs w:val="22"/>
        </w:rPr>
        <w:t xml:space="preserve"> up to 6 axles fitted with a boom dolly with up to and including 3 axles; or</w:t>
      </w:r>
    </w:p>
    <w:p w:rsidR="009B26C1" w:rsidRPr="009B26C1" w:rsidRDefault="00493AF0" w:rsidP="00EC04A5">
      <w:pPr>
        <w:pStyle w:val="Title"/>
        <w:numPr>
          <w:ilvl w:val="1"/>
          <w:numId w:val="30"/>
        </w:numPr>
        <w:contextualSpacing/>
        <w:jc w:val="both"/>
        <w:rPr>
          <w:rFonts w:ascii="Calibri" w:hAnsi="Calibri" w:cs="Arial"/>
          <w:b w:val="0"/>
          <w:sz w:val="22"/>
          <w:szCs w:val="22"/>
        </w:rPr>
      </w:pPr>
      <w:proofErr w:type="gramStart"/>
      <w:r w:rsidRPr="00493AF0">
        <w:rPr>
          <w:rFonts w:ascii="Calibri" w:hAnsi="Calibri" w:cs="Arial"/>
          <w:b w:val="0"/>
          <w:sz w:val="22"/>
          <w:szCs w:val="22"/>
        </w:rPr>
        <w:t>with</w:t>
      </w:r>
      <w:proofErr w:type="gramEnd"/>
      <w:r w:rsidRPr="00493AF0">
        <w:rPr>
          <w:rFonts w:ascii="Calibri" w:hAnsi="Calibri" w:cs="Arial"/>
          <w:b w:val="0"/>
          <w:sz w:val="22"/>
          <w:szCs w:val="22"/>
        </w:rPr>
        <w:t xml:space="preserve"> up to 6 axles which operates without a boom dolly</w:t>
      </w:r>
      <w:r w:rsidR="00930F57">
        <w:rPr>
          <w:rFonts w:ascii="Calibri" w:hAnsi="Calibri" w:cs="Arial"/>
          <w:b w:val="0"/>
          <w:sz w:val="22"/>
          <w:szCs w:val="22"/>
        </w:rPr>
        <w:t>.</w:t>
      </w:r>
    </w:p>
    <w:p w:rsidR="00EC04A5" w:rsidRDefault="00EC04A5" w:rsidP="00EC04A5">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p>
    <w:p w:rsidR="009B26C1" w:rsidRPr="009B26C1" w:rsidRDefault="009B26C1" w:rsidP="00930F57">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r w:rsidRPr="009B26C1">
        <w:rPr>
          <w:rFonts w:asciiTheme="minorHAnsi" w:hAnsiTheme="minorHAnsi"/>
          <w:b/>
          <w:i/>
          <w:color w:val="000000"/>
          <w:sz w:val="22"/>
          <w:szCs w:val="22"/>
        </w:rPr>
        <w:t xml:space="preserve">Ground contact width </w:t>
      </w:r>
      <w:r w:rsidRPr="009B26C1">
        <w:rPr>
          <w:rFonts w:asciiTheme="minorHAnsi" w:hAnsiTheme="minorHAnsi"/>
          <w:color w:val="000000"/>
          <w:sz w:val="22"/>
          <w:szCs w:val="22"/>
        </w:rPr>
        <w:t>means:</w:t>
      </w:r>
    </w:p>
    <w:p w:rsidR="009B26C1" w:rsidRPr="009B26C1" w:rsidRDefault="009B26C1" w:rsidP="009B26C1">
      <w:pPr>
        <w:pStyle w:val="Title"/>
        <w:numPr>
          <w:ilvl w:val="0"/>
          <w:numId w:val="31"/>
        </w:numPr>
        <w:spacing w:after="120"/>
        <w:contextualSpacing/>
        <w:jc w:val="both"/>
        <w:rPr>
          <w:rFonts w:ascii="Calibri" w:hAnsi="Calibri" w:cs="Arial"/>
          <w:b w:val="0"/>
          <w:sz w:val="22"/>
          <w:szCs w:val="22"/>
        </w:rPr>
      </w:pPr>
      <w:proofErr w:type="gramStart"/>
      <w:r w:rsidRPr="009B26C1">
        <w:rPr>
          <w:rFonts w:ascii="Calibri" w:hAnsi="Calibri" w:cs="Arial"/>
          <w:b w:val="0"/>
          <w:sz w:val="22"/>
          <w:szCs w:val="22"/>
        </w:rPr>
        <w:t>in</w:t>
      </w:r>
      <w:proofErr w:type="gramEnd"/>
      <w:r w:rsidRPr="009B26C1">
        <w:rPr>
          <w:rFonts w:ascii="Calibri" w:hAnsi="Calibri" w:cs="Arial"/>
          <w:b w:val="0"/>
          <w:sz w:val="22"/>
          <w:szCs w:val="22"/>
        </w:rPr>
        <w:t xml:space="preserve"> relation to an axle, the distance between the outermost point of ground contact of the outside tyres on each end of the axle; or</w:t>
      </w:r>
    </w:p>
    <w:p w:rsidR="009B26C1" w:rsidRDefault="009B26C1" w:rsidP="009B26C1">
      <w:pPr>
        <w:pStyle w:val="Title"/>
        <w:numPr>
          <w:ilvl w:val="0"/>
          <w:numId w:val="31"/>
        </w:numPr>
        <w:spacing w:after="120"/>
        <w:contextualSpacing/>
        <w:jc w:val="both"/>
        <w:rPr>
          <w:rFonts w:ascii="Calibri" w:hAnsi="Calibri" w:cs="Arial"/>
          <w:b w:val="0"/>
          <w:sz w:val="22"/>
          <w:szCs w:val="22"/>
        </w:rPr>
      </w:pPr>
      <w:proofErr w:type="gramStart"/>
      <w:r w:rsidRPr="009B26C1">
        <w:rPr>
          <w:rFonts w:ascii="Calibri" w:hAnsi="Calibri" w:cs="Arial"/>
          <w:b w:val="0"/>
          <w:sz w:val="22"/>
          <w:szCs w:val="22"/>
        </w:rPr>
        <w:t>in</w:t>
      </w:r>
      <w:proofErr w:type="gramEnd"/>
      <w:r w:rsidRPr="009B26C1">
        <w:rPr>
          <w:rFonts w:ascii="Calibri" w:hAnsi="Calibri" w:cs="Arial"/>
          <w:b w:val="0"/>
          <w:sz w:val="22"/>
          <w:szCs w:val="22"/>
        </w:rPr>
        <w:t xml:space="preserve"> relation to an axle group, the greatest ground contact width of all the axles in the group.</w:t>
      </w:r>
    </w:p>
    <w:p w:rsidR="009B26C1" w:rsidRDefault="009B26C1" w:rsidP="00930F57">
      <w:pPr>
        <w:pStyle w:val="Title"/>
        <w:spacing w:after="120"/>
        <w:ind w:left="1440"/>
        <w:contextualSpacing/>
        <w:jc w:val="both"/>
        <w:rPr>
          <w:rFonts w:ascii="Calibri" w:hAnsi="Calibri" w:cs="Arial"/>
          <w:b w:val="0"/>
          <w:sz w:val="22"/>
          <w:szCs w:val="22"/>
        </w:rPr>
      </w:pPr>
    </w:p>
    <w:p w:rsidR="009B26C1" w:rsidRDefault="009B26C1" w:rsidP="009B26C1">
      <w:pPr>
        <w:pStyle w:val="Title"/>
        <w:spacing w:after="120"/>
        <w:contextualSpacing/>
        <w:jc w:val="both"/>
        <w:rPr>
          <w:rFonts w:ascii="Calibri" w:hAnsi="Calibri" w:cs="Arial"/>
          <w:b w:val="0"/>
          <w:sz w:val="22"/>
          <w:szCs w:val="22"/>
        </w:rPr>
      </w:pPr>
    </w:p>
    <w:p w:rsidR="009B26C1" w:rsidRPr="009B26C1" w:rsidRDefault="009B26C1" w:rsidP="009B26C1">
      <w:pPr>
        <w:pStyle w:val="Title"/>
        <w:spacing w:after="120"/>
        <w:contextualSpacing/>
        <w:rPr>
          <w:rFonts w:ascii="Calibri" w:hAnsi="Calibri" w:cs="Arial"/>
          <w:b w:val="0"/>
          <w:sz w:val="22"/>
          <w:szCs w:val="22"/>
        </w:rPr>
      </w:pPr>
      <w:r>
        <w:rPr>
          <w:noProof/>
          <w:lang w:val="en-AU" w:eastAsia="en-AU"/>
        </w:rPr>
        <w:drawing>
          <wp:inline distT="0" distB="0" distL="0" distR="0" wp14:anchorId="6578ABDD" wp14:editId="616624FC">
            <wp:extent cx="4286212" cy="934141"/>
            <wp:effectExtent l="0" t="0" r="635" b="0"/>
            <wp:docPr id="6" name="Picture 6" descr="A figure graphically illustrating ground contact with using a cross section of four tyres." title="Figure 3 Illustration of ground contact width of an ax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schleimer\AppData\Local\Microsoft\Windows\Temporary Internet Files\Content.Outlook\MK90WH0Z\Ground Contact Width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12" cy="934141"/>
                    </a:xfrm>
                    <a:prstGeom prst="rect">
                      <a:avLst/>
                    </a:prstGeom>
                    <a:noFill/>
                    <a:ln>
                      <a:noFill/>
                    </a:ln>
                  </pic:spPr>
                </pic:pic>
              </a:graphicData>
            </a:graphic>
          </wp:inline>
        </w:drawing>
      </w:r>
    </w:p>
    <w:p w:rsidR="009B26C1" w:rsidRPr="009B26C1" w:rsidRDefault="009B26C1" w:rsidP="00EC04A5">
      <w:pPr>
        <w:pStyle w:val="Caption"/>
        <w:spacing w:after="0"/>
        <w:jc w:val="center"/>
        <w:rPr>
          <w:color w:val="000000" w:themeColor="text1"/>
          <w:sz w:val="24"/>
          <w:szCs w:val="24"/>
        </w:rPr>
      </w:pPr>
      <w:r w:rsidRPr="009B26C1">
        <w:rPr>
          <w:color w:val="000000" w:themeColor="text1"/>
          <w:sz w:val="24"/>
          <w:szCs w:val="24"/>
        </w:rPr>
        <w:t>Figure 3 Illustration of ground contact width of an axle</w:t>
      </w:r>
    </w:p>
    <w:p w:rsidR="009B26C1" w:rsidRDefault="009B26C1" w:rsidP="00EC04A5">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p>
    <w:p w:rsidR="009B26C1" w:rsidRDefault="009B26C1" w:rsidP="00493AF0">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sidRPr="009B26C1">
        <w:rPr>
          <w:rFonts w:asciiTheme="minorHAnsi" w:hAnsiTheme="minorHAnsi"/>
          <w:b/>
          <w:i/>
          <w:color w:val="000000"/>
          <w:sz w:val="22"/>
          <w:szCs w:val="22"/>
        </w:rPr>
        <w:t xml:space="preserve">Mobile concrete pump means </w:t>
      </w:r>
      <w:r w:rsidRPr="009B26C1">
        <w:rPr>
          <w:rFonts w:asciiTheme="minorHAnsi" w:hAnsiTheme="minorHAnsi"/>
          <w:color w:val="000000"/>
          <w:sz w:val="22"/>
          <w:szCs w:val="22"/>
        </w:rPr>
        <w:t xml:space="preserve">a heavy motor vehicle </w:t>
      </w:r>
      <w:r w:rsidR="00930F57">
        <w:rPr>
          <w:rFonts w:asciiTheme="minorHAnsi" w:hAnsiTheme="minorHAnsi"/>
          <w:color w:val="000000"/>
          <w:sz w:val="22"/>
          <w:szCs w:val="22"/>
        </w:rPr>
        <w:t xml:space="preserve">that is an SPV </w:t>
      </w:r>
      <w:r w:rsidRPr="009B26C1">
        <w:rPr>
          <w:rFonts w:asciiTheme="minorHAnsi" w:hAnsiTheme="minorHAnsi"/>
          <w:color w:val="000000"/>
          <w:sz w:val="22"/>
          <w:szCs w:val="22"/>
        </w:rPr>
        <w:t>with a component that can be used to transfer liquid concrete by pumping.</w:t>
      </w:r>
    </w:p>
    <w:p w:rsidR="009B26C1" w:rsidRDefault="009B26C1" w:rsidP="00493AF0">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p>
    <w:p w:rsidR="009B26C1" w:rsidRDefault="009B26C1" w:rsidP="009B26C1">
      <w:pPr>
        <w:pStyle w:val="definition"/>
        <w:shd w:val="clear" w:color="auto" w:fill="FFFFFF"/>
        <w:spacing w:before="180" w:beforeAutospacing="0" w:after="0" w:afterAutospacing="0"/>
        <w:ind w:left="709"/>
        <w:contextualSpacing/>
        <w:jc w:val="center"/>
        <w:rPr>
          <w:rFonts w:asciiTheme="minorHAnsi" w:hAnsiTheme="minorHAnsi"/>
          <w:b/>
          <w:i/>
          <w:color w:val="000000"/>
          <w:sz w:val="22"/>
          <w:szCs w:val="22"/>
        </w:rPr>
      </w:pPr>
      <w:r>
        <w:rPr>
          <w:noProof/>
        </w:rPr>
        <w:drawing>
          <wp:inline distT="0" distB="0" distL="0" distR="0" wp14:anchorId="2B813753" wp14:editId="17342706">
            <wp:extent cx="3866102" cy="1280067"/>
            <wp:effectExtent l="0" t="0" r="1270" b="0"/>
            <wp:docPr id="7" name="Picture 7" descr="A" title="Figure 4 Illustrative example of a mobile concrete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y.schleimer\AppData\Local\Microsoft\Windows\Temporary Internet Files\Content.Outlook\MK90WH0Z\5 A 2 X 3 TMCP (3).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65866" cy="1279989"/>
                    </a:xfrm>
                    <a:prstGeom prst="rect">
                      <a:avLst/>
                    </a:prstGeom>
                    <a:noFill/>
                    <a:ln>
                      <a:noFill/>
                    </a:ln>
                  </pic:spPr>
                </pic:pic>
              </a:graphicData>
            </a:graphic>
          </wp:inline>
        </w:drawing>
      </w:r>
    </w:p>
    <w:p w:rsidR="009B26C1" w:rsidRDefault="009B26C1" w:rsidP="00EC04A5">
      <w:pPr>
        <w:pStyle w:val="Caption"/>
        <w:spacing w:after="0"/>
        <w:jc w:val="center"/>
        <w:rPr>
          <w:color w:val="000000" w:themeColor="text1"/>
          <w:sz w:val="24"/>
          <w:szCs w:val="24"/>
        </w:rPr>
      </w:pPr>
      <w:r w:rsidRPr="009B26C1">
        <w:rPr>
          <w:color w:val="000000" w:themeColor="text1"/>
          <w:sz w:val="24"/>
          <w:szCs w:val="24"/>
        </w:rPr>
        <w:tab/>
        <w:t>Figure 4 Illustrative example of a mobile concrete pump</w:t>
      </w:r>
    </w:p>
    <w:p w:rsidR="00EC04A5" w:rsidRPr="00EC04A5" w:rsidRDefault="00EC04A5" w:rsidP="00EC04A5">
      <w:pPr>
        <w:rPr>
          <w:lang w:eastAsia="en-US"/>
        </w:rPr>
      </w:pPr>
    </w:p>
    <w:p w:rsidR="006228E8" w:rsidRPr="00001DEC" w:rsidRDefault="006228E8" w:rsidP="00930F57">
      <w:pPr>
        <w:pStyle w:val="definition"/>
        <w:shd w:val="clear" w:color="auto" w:fill="FFFFFF"/>
        <w:spacing w:before="0" w:beforeAutospacing="0" w:after="120" w:afterAutospacing="0"/>
        <w:ind w:left="709"/>
        <w:contextualSpacing/>
        <w:jc w:val="both"/>
        <w:rPr>
          <w:rFonts w:asciiTheme="minorHAnsi" w:hAnsiTheme="minorHAnsi"/>
          <w:color w:val="000000"/>
          <w:sz w:val="22"/>
          <w:szCs w:val="22"/>
        </w:rPr>
      </w:pPr>
      <w:r w:rsidRPr="006228E8">
        <w:rPr>
          <w:rFonts w:asciiTheme="minorHAnsi" w:hAnsiTheme="minorHAnsi"/>
          <w:b/>
          <w:i/>
          <w:color w:val="000000"/>
          <w:sz w:val="22"/>
          <w:szCs w:val="22"/>
        </w:rPr>
        <w:t xml:space="preserve">Mobile crane </w:t>
      </w:r>
      <w:r w:rsidRPr="00001DEC">
        <w:rPr>
          <w:rFonts w:asciiTheme="minorHAnsi" w:hAnsiTheme="minorHAnsi"/>
          <w:color w:val="000000"/>
          <w:sz w:val="22"/>
          <w:szCs w:val="22"/>
        </w:rPr>
        <w:t>means</w:t>
      </w:r>
      <w:r w:rsidR="00001DEC" w:rsidRPr="00001DEC">
        <w:rPr>
          <w:rFonts w:asciiTheme="minorHAnsi" w:hAnsiTheme="minorHAnsi"/>
          <w:color w:val="000000"/>
          <w:sz w:val="22"/>
          <w:szCs w:val="22"/>
        </w:rPr>
        <w:t xml:space="preserve"> a heavy motor vehicle </w:t>
      </w:r>
      <w:r w:rsidR="00930F57">
        <w:rPr>
          <w:rFonts w:asciiTheme="minorHAnsi" w:hAnsiTheme="minorHAnsi"/>
          <w:color w:val="000000"/>
          <w:sz w:val="22"/>
          <w:szCs w:val="22"/>
        </w:rPr>
        <w:t xml:space="preserve">that is an SPV </w:t>
      </w:r>
      <w:r w:rsidR="00001DEC" w:rsidRPr="00001DEC">
        <w:rPr>
          <w:rFonts w:asciiTheme="minorHAnsi" w:hAnsiTheme="minorHAnsi"/>
          <w:color w:val="000000"/>
          <w:sz w:val="22"/>
          <w:szCs w:val="22"/>
        </w:rPr>
        <w:t>that is:</w:t>
      </w:r>
    </w:p>
    <w:p w:rsidR="006228E8" w:rsidRPr="00001DEC" w:rsidRDefault="006228E8" w:rsidP="00001DEC">
      <w:pPr>
        <w:pStyle w:val="Title"/>
        <w:numPr>
          <w:ilvl w:val="0"/>
          <w:numId w:val="14"/>
        </w:numPr>
        <w:spacing w:after="120"/>
        <w:contextualSpacing/>
        <w:jc w:val="both"/>
        <w:rPr>
          <w:rFonts w:ascii="Calibri" w:hAnsi="Calibri" w:cs="Arial"/>
          <w:b w:val="0"/>
          <w:sz w:val="22"/>
          <w:szCs w:val="22"/>
        </w:rPr>
      </w:pPr>
      <w:proofErr w:type="gramStart"/>
      <w:r w:rsidRPr="00001DEC">
        <w:rPr>
          <w:rFonts w:ascii="Calibri" w:hAnsi="Calibri" w:cs="Arial"/>
          <w:b w:val="0"/>
          <w:sz w:val="22"/>
          <w:szCs w:val="22"/>
        </w:rPr>
        <w:t>equipped</w:t>
      </w:r>
      <w:proofErr w:type="gramEnd"/>
      <w:r w:rsidRPr="00001DEC">
        <w:rPr>
          <w:rFonts w:ascii="Calibri" w:hAnsi="Calibri" w:cs="Arial"/>
          <w:b w:val="0"/>
          <w:sz w:val="22"/>
          <w:szCs w:val="22"/>
        </w:rPr>
        <w:t xml:space="preserve"> with a crane or other lifting device; and</w:t>
      </w:r>
    </w:p>
    <w:p w:rsidR="006228E8" w:rsidRPr="00001DEC" w:rsidRDefault="006228E8" w:rsidP="00001DEC">
      <w:pPr>
        <w:pStyle w:val="Title"/>
        <w:numPr>
          <w:ilvl w:val="0"/>
          <w:numId w:val="14"/>
        </w:numPr>
        <w:spacing w:after="120"/>
        <w:contextualSpacing/>
        <w:jc w:val="both"/>
        <w:rPr>
          <w:rFonts w:ascii="Calibri" w:hAnsi="Calibri" w:cs="Arial"/>
          <w:b w:val="0"/>
          <w:sz w:val="22"/>
          <w:szCs w:val="22"/>
        </w:rPr>
      </w:pPr>
      <w:proofErr w:type="gramStart"/>
      <w:r w:rsidRPr="00001DEC">
        <w:rPr>
          <w:rFonts w:ascii="Calibri" w:hAnsi="Calibri" w:cs="Arial"/>
          <w:b w:val="0"/>
          <w:sz w:val="22"/>
          <w:szCs w:val="22"/>
        </w:rPr>
        <w:t>designed</w:t>
      </w:r>
      <w:proofErr w:type="gramEnd"/>
      <w:r w:rsidRPr="00001DEC">
        <w:rPr>
          <w:rFonts w:ascii="Calibri" w:hAnsi="Calibri" w:cs="Arial"/>
          <w:b w:val="0"/>
          <w:sz w:val="22"/>
          <w:szCs w:val="22"/>
        </w:rPr>
        <w:t xml:space="preserve"> primarily for raising, moving and lowering a freely suspended load.</w:t>
      </w:r>
    </w:p>
    <w:p w:rsidR="00E30E2A" w:rsidRDefault="00E30E2A">
      <w:pPr>
        <w:rPr>
          <w:rFonts w:asciiTheme="minorHAnsi" w:hAnsiTheme="minorHAnsi"/>
          <w:b/>
          <w:i/>
          <w:color w:val="000000"/>
          <w:sz w:val="22"/>
          <w:szCs w:val="22"/>
        </w:rPr>
      </w:pPr>
      <w:r>
        <w:rPr>
          <w:rFonts w:asciiTheme="minorHAnsi" w:hAnsiTheme="minorHAnsi"/>
          <w:b/>
          <w:i/>
          <w:color w:val="000000"/>
          <w:sz w:val="22"/>
          <w:szCs w:val="22"/>
        </w:rPr>
        <w:br w:type="page"/>
      </w:r>
    </w:p>
    <w:p w:rsidR="006228E8" w:rsidRDefault="00A3171C" w:rsidP="00493AF0">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sidRPr="00A3171C">
        <w:rPr>
          <w:rFonts w:asciiTheme="minorHAnsi" w:hAnsiTheme="minorHAnsi"/>
          <w:b/>
          <w:i/>
          <w:color w:val="000000"/>
          <w:sz w:val="22"/>
          <w:szCs w:val="22"/>
        </w:rPr>
        <w:lastRenderedPageBreak/>
        <w:t xml:space="preserve">Rear Overhang </w:t>
      </w:r>
      <w:r w:rsidRPr="00A3171C">
        <w:rPr>
          <w:rFonts w:asciiTheme="minorHAnsi" w:hAnsiTheme="minorHAnsi"/>
          <w:color w:val="000000"/>
          <w:sz w:val="22"/>
          <w:szCs w:val="22"/>
        </w:rPr>
        <w:t>means</w:t>
      </w:r>
      <w:r>
        <w:rPr>
          <w:rFonts w:asciiTheme="minorHAnsi" w:hAnsiTheme="minorHAnsi"/>
          <w:color w:val="000000"/>
          <w:sz w:val="22"/>
          <w:szCs w:val="22"/>
        </w:rPr>
        <w:t xml:space="preserve"> </w:t>
      </w:r>
      <w:r w:rsidRPr="00A3171C">
        <w:rPr>
          <w:rFonts w:asciiTheme="minorHAnsi" w:hAnsiTheme="minorHAnsi"/>
          <w:color w:val="000000"/>
          <w:sz w:val="22"/>
          <w:szCs w:val="22"/>
        </w:rPr>
        <w:t xml:space="preserve">the distance measured between the rear of the vehicle and a point on the rear axle group as specified in Table </w:t>
      </w:r>
      <w:r w:rsidR="00E80E11">
        <w:rPr>
          <w:rFonts w:asciiTheme="minorHAnsi" w:hAnsiTheme="minorHAnsi"/>
          <w:color w:val="000000"/>
          <w:sz w:val="22"/>
          <w:szCs w:val="22"/>
        </w:rPr>
        <w:t>1</w:t>
      </w:r>
      <w:r w:rsidRPr="00A3171C">
        <w:rPr>
          <w:rFonts w:asciiTheme="minorHAnsi" w:hAnsiTheme="minorHAnsi"/>
          <w:color w:val="000000"/>
          <w:sz w:val="22"/>
          <w:szCs w:val="22"/>
        </w:rPr>
        <w:t xml:space="preserve"> below.</w:t>
      </w:r>
    </w:p>
    <w:p w:rsidR="00A3171C" w:rsidRDefault="00A3171C" w:rsidP="00493AF0">
      <w:pPr>
        <w:pStyle w:val="definition"/>
        <w:shd w:val="clear" w:color="auto" w:fill="FFFFFF"/>
        <w:spacing w:before="180" w:beforeAutospacing="0" w:after="0" w:afterAutospacing="0"/>
        <w:ind w:left="709"/>
        <w:contextualSpacing/>
        <w:jc w:val="both"/>
        <w:rPr>
          <w:rFonts w:asciiTheme="minorHAnsi" w:hAnsiTheme="minorHAnsi"/>
          <w:b/>
          <w:i/>
          <w:color w:val="000000"/>
          <w:sz w:val="22"/>
          <w:szCs w:val="22"/>
        </w:rPr>
      </w:pPr>
    </w:p>
    <w:p w:rsidR="00A3171C" w:rsidRPr="00A3171C" w:rsidRDefault="00A3171C" w:rsidP="00EE09D1">
      <w:pPr>
        <w:pStyle w:val="Caption"/>
        <w:ind w:firstLine="709"/>
        <w:rPr>
          <w:color w:val="000000" w:themeColor="text1"/>
          <w:sz w:val="24"/>
          <w:szCs w:val="24"/>
        </w:rPr>
      </w:pPr>
      <w:r>
        <w:rPr>
          <w:color w:val="000000" w:themeColor="text1"/>
          <w:sz w:val="24"/>
          <w:szCs w:val="24"/>
        </w:rPr>
        <w:t>Table 1</w:t>
      </w:r>
      <w:r w:rsidRPr="00A3171C">
        <w:rPr>
          <w:color w:val="000000" w:themeColor="text1"/>
          <w:sz w:val="24"/>
          <w:szCs w:val="24"/>
        </w:rPr>
        <w:t>: Rear Overhang</w:t>
      </w:r>
    </w:p>
    <w:tbl>
      <w:tblPr>
        <w:tblStyle w:val="TableGrid"/>
        <w:tblW w:w="0" w:type="auto"/>
        <w:jc w:val="center"/>
        <w:tblLook w:val="04A0" w:firstRow="1" w:lastRow="0" w:firstColumn="1" w:lastColumn="0" w:noHBand="0" w:noVBand="1"/>
        <w:tblCaption w:val="Table 1: Rear Overhang"/>
        <w:tblDescription w:val="Table of guidelines for calculation of rear overhang"/>
      </w:tblPr>
      <w:tblGrid>
        <w:gridCol w:w="2518"/>
        <w:gridCol w:w="5295"/>
      </w:tblGrid>
      <w:tr w:rsidR="00A3171C" w:rsidRPr="00A3171C" w:rsidTr="00797A4E">
        <w:trPr>
          <w:jc w:val="center"/>
        </w:trPr>
        <w:tc>
          <w:tcPr>
            <w:tcW w:w="2518" w:type="dxa"/>
          </w:tcPr>
          <w:p w:rsidR="00A3171C" w:rsidRPr="00A3171C" w:rsidRDefault="00A3171C" w:rsidP="00A3171C">
            <w:pPr>
              <w:spacing w:after="120"/>
              <w:contextualSpacing/>
              <w:jc w:val="right"/>
              <w:rPr>
                <w:rFonts w:ascii="Calibri" w:hAnsi="Calibri" w:cs="Arial"/>
                <w:b/>
                <w:i/>
                <w:sz w:val="20"/>
                <w:szCs w:val="20"/>
              </w:rPr>
            </w:pPr>
            <w:r w:rsidRPr="00A3171C">
              <w:rPr>
                <w:rFonts w:ascii="Calibri" w:hAnsi="Calibri" w:cs="Arial"/>
                <w:b/>
                <w:i/>
                <w:sz w:val="20"/>
                <w:szCs w:val="20"/>
              </w:rPr>
              <w:t>SPV axle configuration</w:t>
            </w:r>
          </w:p>
        </w:tc>
        <w:tc>
          <w:tcPr>
            <w:tcW w:w="5295" w:type="dxa"/>
          </w:tcPr>
          <w:p w:rsidR="00A3171C" w:rsidRPr="00A3171C" w:rsidRDefault="00A3171C" w:rsidP="00A3171C">
            <w:pPr>
              <w:spacing w:after="120"/>
              <w:contextualSpacing/>
              <w:rPr>
                <w:rFonts w:ascii="Calibri" w:hAnsi="Calibri" w:cs="Arial"/>
                <w:b/>
                <w:i/>
                <w:sz w:val="20"/>
                <w:szCs w:val="20"/>
              </w:rPr>
            </w:pPr>
            <w:r w:rsidRPr="00A3171C">
              <w:rPr>
                <w:rFonts w:ascii="Calibri" w:hAnsi="Calibri" w:cs="Arial"/>
                <w:b/>
                <w:i/>
                <w:sz w:val="20"/>
                <w:szCs w:val="20"/>
              </w:rPr>
              <w:t>Overhang measurement</w:t>
            </w:r>
          </w:p>
        </w:tc>
      </w:tr>
      <w:tr w:rsidR="00A3171C" w:rsidRPr="00A3171C" w:rsidTr="00797A4E">
        <w:trPr>
          <w:jc w:val="center"/>
        </w:trPr>
        <w:tc>
          <w:tcPr>
            <w:tcW w:w="2518" w:type="dxa"/>
          </w:tcPr>
          <w:p w:rsidR="00A3171C" w:rsidRPr="00A3171C" w:rsidRDefault="00A3171C" w:rsidP="00A3171C">
            <w:pPr>
              <w:spacing w:after="120"/>
              <w:contextualSpacing/>
              <w:jc w:val="right"/>
              <w:rPr>
                <w:rFonts w:ascii="Calibri" w:hAnsi="Calibri" w:cs="Arial"/>
                <w:sz w:val="20"/>
                <w:szCs w:val="20"/>
              </w:rPr>
            </w:pPr>
            <w:r w:rsidRPr="00A3171C">
              <w:rPr>
                <w:rFonts w:ascii="Calibri" w:hAnsi="Calibri" w:cs="Arial"/>
                <w:sz w:val="20"/>
                <w:szCs w:val="20"/>
              </w:rPr>
              <w:t>Non-steerable rear axle groups</w:t>
            </w:r>
          </w:p>
        </w:tc>
        <w:tc>
          <w:tcPr>
            <w:tcW w:w="5295" w:type="dxa"/>
          </w:tcPr>
          <w:p w:rsidR="00A3171C" w:rsidRPr="00A3171C" w:rsidRDefault="00A3171C" w:rsidP="00A3171C">
            <w:pPr>
              <w:spacing w:after="120"/>
              <w:contextualSpacing/>
              <w:rPr>
                <w:rFonts w:ascii="Calibri" w:hAnsi="Calibri" w:cs="Arial"/>
                <w:sz w:val="20"/>
                <w:szCs w:val="20"/>
              </w:rPr>
            </w:pPr>
            <w:r w:rsidRPr="00A3171C">
              <w:rPr>
                <w:rFonts w:ascii="Calibri" w:hAnsi="Calibri" w:cs="Arial"/>
                <w:sz w:val="20"/>
                <w:szCs w:val="20"/>
              </w:rPr>
              <w:t>The rear overhang is to be taken from the centre of the axle group to the rear of the vehicle.</w:t>
            </w:r>
          </w:p>
        </w:tc>
      </w:tr>
      <w:tr w:rsidR="00A3171C" w:rsidRPr="00A3171C" w:rsidTr="00797A4E">
        <w:trPr>
          <w:jc w:val="center"/>
        </w:trPr>
        <w:tc>
          <w:tcPr>
            <w:tcW w:w="2518" w:type="dxa"/>
          </w:tcPr>
          <w:p w:rsidR="00A3171C" w:rsidRPr="00A3171C" w:rsidRDefault="00A3171C" w:rsidP="00A3171C">
            <w:pPr>
              <w:spacing w:after="120"/>
              <w:contextualSpacing/>
              <w:jc w:val="right"/>
              <w:rPr>
                <w:rFonts w:ascii="Calibri" w:hAnsi="Calibri" w:cs="Arial"/>
                <w:sz w:val="20"/>
                <w:szCs w:val="20"/>
              </w:rPr>
            </w:pPr>
            <w:r w:rsidRPr="00A3171C">
              <w:rPr>
                <w:rFonts w:ascii="Calibri" w:hAnsi="Calibri" w:cs="Arial"/>
                <w:sz w:val="20"/>
                <w:szCs w:val="20"/>
              </w:rPr>
              <w:t>Rear axle groups which incorporate steerable and non-steerable axles</w:t>
            </w:r>
          </w:p>
        </w:tc>
        <w:tc>
          <w:tcPr>
            <w:tcW w:w="5295" w:type="dxa"/>
          </w:tcPr>
          <w:p w:rsidR="00A3171C" w:rsidRPr="00A3171C" w:rsidRDefault="00A3171C" w:rsidP="00A3171C">
            <w:pPr>
              <w:spacing w:after="120"/>
              <w:contextualSpacing/>
              <w:rPr>
                <w:rFonts w:ascii="Calibri" w:hAnsi="Calibri" w:cs="Arial"/>
                <w:sz w:val="20"/>
                <w:szCs w:val="20"/>
              </w:rPr>
            </w:pPr>
            <w:r w:rsidRPr="00A3171C">
              <w:rPr>
                <w:rFonts w:ascii="Calibri" w:hAnsi="Calibri" w:cs="Arial"/>
                <w:sz w:val="20"/>
                <w:szCs w:val="20"/>
              </w:rPr>
              <w:t>The steerable axles should be disregarded so the rear overhang is taken from the centre of the non-steerable axles in the group to the rear of the vehicle.</w:t>
            </w:r>
          </w:p>
        </w:tc>
      </w:tr>
      <w:tr w:rsidR="00A3171C" w:rsidRPr="00A3171C" w:rsidTr="00797A4E">
        <w:trPr>
          <w:jc w:val="center"/>
        </w:trPr>
        <w:tc>
          <w:tcPr>
            <w:tcW w:w="2518" w:type="dxa"/>
          </w:tcPr>
          <w:p w:rsidR="00A3171C" w:rsidRPr="00A3171C" w:rsidRDefault="00A3171C" w:rsidP="00A3171C">
            <w:pPr>
              <w:spacing w:after="120"/>
              <w:contextualSpacing/>
              <w:jc w:val="right"/>
              <w:rPr>
                <w:rFonts w:ascii="Calibri" w:hAnsi="Calibri" w:cs="Arial"/>
                <w:sz w:val="20"/>
                <w:szCs w:val="20"/>
              </w:rPr>
            </w:pPr>
            <w:r w:rsidRPr="00A3171C">
              <w:rPr>
                <w:rFonts w:ascii="Calibri" w:hAnsi="Calibri" w:cs="Arial"/>
                <w:sz w:val="20"/>
                <w:szCs w:val="20"/>
              </w:rPr>
              <w:t>All terrain mobile crane</w:t>
            </w:r>
          </w:p>
        </w:tc>
        <w:tc>
          <w:tcPr>
            <w:tcW w:w="5295" w:type="dxa"/>
          </w:tcPr>
          <w:p w:rsidR="00A3171C" w:rsidRPr="00A3171C" w:rsidRDefault="00A3171C" w:rsidP="00A3171C">
            <w:pPr>
              <w:spacing w:after="120"/>
              <w:contextualSpacing/>
              <w:rPr>
                <w:rFonts w:ascii="Calibri" w:hAnsi="Calibri" w:cs="Arial"/>
                <w:sz w:val="20"/>
                <w:szCs w:val="20"/>
              </w:rPr>
            </w:pPr>
            <w:r w:rsidRPr="00A3171C">
              <w:rPr>
                <w:rFonts w:ascii="Calibri" w:hAnsi="Calibri" w:cs="Arial"/>
                <w:sz w:val="20"/>
                <w:szCs w:val="20"/>
              </w:rPr>
              <w:t>The rear overhang is to be measured from the centre of the last two axles to the rear of the vehicle.</w:t>
            </w:r>
          </w:p>
        </w:tc>
      </w:tr>
    </w:tbl>
    <w:p w:rsidR="00EC04A5" w:rsidRDefault="00EC04A5" w:rsidP="00EC04A5">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p>
    <w:p w:rsidR="00A3171C" w:rsidRPr="00A3171C" w:rsidRDefault="00A3171C" w:rsidP="00930F57">
      <w:pPr>
        <w:pStyle w:val="definition"/>
        <w:shd w:val="clear" w:color="auto" w:fill="FFFFFF"/>
        <w:spacing w:before="180" w:beforeAutospacing="0" w:after="120" w:afterAutospacing="0"/>
        <w:ind w:left="709"/>
        <w:contextualSpacing/>
        <w:jc w:val="both"/>
        <w:rPr>
          <w:rFonts w:asciiTheme="minorHAnsi" w:hAnsiTheme="minorHAnsi"/>
          <w:color w:val="000000"/>
          <w:sz w:val="22"/>
          <w:szCs w:val="22"/>
        </w:rPr>
      </w:pPr>
      <w:r w:rsidRPr="00A3171C">
        <w:rPr>
          <w:rFonts w:asciiTheme="minorHAnsi" w:hAnsiTheme="minorHAnsi"/>
          <w:b/>
          <w:i/>
          <w:color w:val="000000"/>
          <w:sz w:val="22"/>
          <w:szCs w:val="22"/>
        </w:rPr>
        <w:t xml:space="preserve">Total Mass of the SPV </w:t>
      </w:r>
      <w:r w:rsidRPr="00A3171C">
        <w:rPr>
          <w:rFonts w:asciiTheme="minorHAnsi" w:hAnsiTheme="minorHAnsi"/>
          <w:color w:val="000000"/>
          <w:sz w:val="22"/>
          <w:szCs w:val="22"/>
        </w:rPr>
        <w:t>means:</w:t>
      </w:r>
    </w:p>
    <w:p w:rsidR="00A3171C" w:rsidRPr="00A3171C" w:rsidRDefault="00A3171C" w:rsidP="00A3171C">
      <w:pPr>
        <w:pStyle w:val="Title"/>
        <w:numPr>
          <w:ilvl w:val="0"/>
          <w:numId w:val="33"/>
        </w:numPr>
        <w:spacing w:after="120"/>
        <w:contextualSpacing/>
        <w:jc w:val="both"/>
        <w:rPr>
          <w:rFonts w:ascii="Calibri" w:hAnsi="Calibri" w:cs="Arial"/>
          <w:b w:val="0"/>
          <w:sz w:val="22"/>
          <w:szCs w:val="22"/>
        </w:rPr>
      </w:pPr>
      <w:proofErr w:type="gramStart"/>
      <w:r w:rsidRPr="00A3171C">
        <w:rPr>
          <w:rFonts w:ascii="Calibri" w:hAnsi="Calibri" w:cs="Arial"/>
          <w:b w:val="0"/>
          <w:sz w:val="22"/>
          <w:szCs w:val="22"/>
        </w:rPr>
        <w:t>the</w:t>
      </w:r>
      <w:proofErr w:type="gramEnd"/>
      <w:r w:rsidRPr="00A3171C">
        <w:rPr>
          <w:rFonts w:ascii="Calibri" w:hAnsi="Calibri" w:cs="Arial"/>
          <w:b w:val="0"/>
          <w:sz w:val="22"/>
          <w:szCs w:val="22"/>
        </w:rPr>
        <w:t xml:space="preserve"> mass of the SPV ready for transport; and</w:t>
      </w:r>
    </w:p>
    <w:p w:rsidR="003E00B8" w:rsidRDefault="00A3171C" w:rsidP="00EC04A5">
      <w:pPr>
        <w:pStyle w:val="Title"/>
        <w:numPr>
          <w:ilvl w:val="0"/>
          <w:numId w:val="33"/>
        </w:numPr>
        <w:contextualSpacing/>
        <w:jc w:val="both"/>
        <w:rPr>
          <w:rFonts w:ascii="Calibri" w:hAnsi="Calibri" w:cs="Arial"/>
          <w:b w:val="0"/>
          <w:sz w:val="22"/>
          <w:szCs w:val="22"/>
        </w:rPr>
      </w:pPr>
      <w:proofErr w:type="gramStart"/>
      <w:r w:rsidRPr="00A3171C">
        <w:rPr>
          <w:rFonts w:ascii="Calibri" w:hAnsi="Calibri" w:cs="Arial"/>
          <w:b w:val="0"/>
          <w:sz w:val="22"/>
          <w:szCs w:val="22"/>
        </w:rPr>
        <w:t>the</w:t>
      </w:r>
      <w:proofErr w:type="gramEnd"/>
      <w:r w:rsidRPr="00A3171C">
        <w:rPr>
          <w:rFonts w:ascii="Calibri" w:hAnsi="Calibri" w:cs="Arial"/>
          <w:b w:val="0"/>
          <w:sz w:val="22"/>
          <w:szCs w:val="22"/>
        </w:rPr>
        <w:t xml:space="preserve"> mass of any additional equipment.</w:t>
      </w:r>
    </w:p>
    <w:p w:rsidR="00EC04A5" w:rsidRPr="003E00B8" w:rsidRDefault="00EC04A5" w:rsidP="00EC04A5">
      <w:pPr>
        <w:pStyle w:val="Title"/>
        <w:ind w:left="720"/>
        <w:contextualSpacing/>
        <w:jc w:val="both"/>
        <w:rPr>
          <w:rFonts w:ascii="Calibri" w:hAnsi="Calibri" w:cs="Arial"/>
          <w:b w:val="0"/>
          <w:sz w:val="22"/>
          <w:szCs w:val="22"/>
        </w:rPr>
      </w:pPr>
    </w:p>
    <w:p w:rsidR="003E00B8" w:rsidRPr="003E00B8" w:rsidRDefault="003E00B8" w:rsidP="00EC04A5">
      <w:pPr>
        <w:pStyle w:val="definition"/>
        <w:shd w:val="clear" w:color="auto" w:fill="FFFFFF"/>
        <w:spacing w:before="0" w:beforeAutospacing="0" w:after="0" w:afterAutospacing="0"/>
        <w:ind w:left="709"/>
        <w:contextualSpacing/>
        <w:jc w:val="both"/>
        <w:rPr>
          <w:rFonts w:asciiTheme="minorHAnsi" w:hAnsiTheme="minorHAnsi"/>
          <w:b/>
          <w:i/>
          <w:color w:val="000000"/>
          <w:sz w:val="22"/>
          <w:szCs w:val="22"/>
        </w:rPr>
      </w:pPr>
      <w:r w:rsidRPr="003E00B8">
        <w:rPr>
          <w:rFonts w:asciiTheme="minorHAnsi" w:hAnsiTheme="minorHAnsi"/>
          <w:b/>
          <w:i/>
          <w:color w:val="000000"/>
          <w:sz w:val="22"/>
          <w:szCs w:val="22"/>
        </w:rPr>
        <w:t xml:space="preserve">Truck mounted SPV </w:t>
      </w:r>
      <w:r w:rsidRPr="003E00B8">
        <w:rPr>
          <w:rFonts w:asciiTheme="minorHAnsi" w:hAnsiTheme="minorHAnsi"/>
          <w:color w:val="000000"/>
          <w:sz w:val="22"/>
          <w:szCs w:val="22"/>
        </w:rPr>
        <w:t>means an SPV built using an Australian Design Rule (ADR) compliant heavy vehicle cab chassis</w:t>
      </w:r>
      <w:r w:rsidRPr="003E00B8">
        <w:rPr>
          <w:rFonts w:asciiTheme="minorHAnsi" w:hAnsiTheme="minorHAnsi"/>
          <w:b/>
          <w:i/>
          <w:color w:val="000000"/>
          <w:sz w:val="22"/>
          <w:szCs w:val="22"/>
        </w:rPr>
        <w:t>.</w:t>
      </w:r>
    </w:p>
    <w:p w:rsidR="003E00B8" w:rsidRDefault="003E00B8" w:rsidP="00A3171C">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p>
    <w:p w:rsidR="00A3171C" w:rsidRDefault="00A3171C" w:rsidP="00A3171C">
      <w:pPr>
        <w:pStyle w:val="definition"/>
        <w:shd w:val="clear" w:color="auto" w:fill="FFFFFF"/>
        <w:spacing w:before="180" w:beforeAutospacing="0" w:after="0" w:afterAutospacing="0"/>
        <w:ind w:left="709"/>
        <w:contextualSpacing/>
        <w:jc w:val="both"/>
        <w:rPr>
          <w:rFonts w:asciiTheme="minorHAnsi" w:hAnsiTheme="minorHAnsi"/>
          <w:color w:val="000000"/>
          <w:sz w:val="22"/>
          <w:szCs w:val="22"/>
        </w:rPr>
      </w:pPr>
      <w:r w:rsidRPr="00A3171C">
        <w:rPr>
          <w:rFonts w:asciiTheme="minorHAnsi" w:hAnsiTheme="minorHAnsi"/>
          <w:b/>
          <w:i/>
          <w:color w:val="000000"/>
          <w:sz w:val="22"/>
          <w:szCs w:val="22"/>
        </w:rPr>
        <w:t xml:space="preserve">SPV </w:t>
      </w:r>
      <w:r>
        <w:rPr>
          <w:rFonts w:asciiTheme="minorHAnsi" w:hAnsiTheme="minorHAnsi"/>
          <w:color w:val="000000"/>
          <w:sz w:val="22"/>
          <w:szCs w:val="22"/>
        </w:rPr>
        <w:t>means a Special Purpose Vehicle as defined in s116 of the Heavy Vehicle National Law.</w:t>
      </w:r>
    </w:p>
    <w:p w:rsidR="0040702E" w:rsidRDefault="0040702E" w:rsidP="00493AF0">
      <w:pPr>
        <w:pStyle w:val="definition"/>
        <w:shd w:val="clear" w:color="auto" w:fill="FFFFFF"/>
        <w:spacing w:before="180" w:beforeAutospacing="0" w:after="0" w:afterAutospacing="0"/>
        <w:ind w:left="709"/>
        <w:contextualSpacing/>
        <w:jc w:val="both"/>
        <w:rPr>
          <w:rFonts w:asciiTheme="minorHAnsi" w:hAnsiTheme="minorHAnsi"/>
          <w:i/>
          <w:color w:val="000000"/>
          <w:sz w:val="22"/>
          <w:szCs w:val="22"/>
        </w:rPr>
      </w:pPr>
    </w:p>
    <w:p w:rsidR="0040702E" w:rsidRDefault="0040702E" w:rsidP="00493AF0">
      <w:pPr>
        <w:pStyle w:val="Title"/>
        <w:numPr>
          <w:ilvl w:val="0"/>
          <w:numId w:val="2"/>
        </w:numPr>
        <w:spacing w:after="120"/>
        <w:contextualSpacing/>
        <w:jc w:val="both"/>
        <w:rPr>
          <w:rFonts w:ascii="Calibri" w:hAnsi="Calibri" w:cs="Arial"/>
          <w:b w:val="0"/>
          <w:sz w:val="22"/>
          <w:szCs w:val="22"/>
        </w:rPr>
      </w:pPr>
      <w:r w:rsidRPr="0054300E">
        <w:rPr>
          <w:rFonts w:ascii="Calibri" w:hAnsi="Calibri" w:cs="Arial"/>
          <w:b w:val="0"/>
          <w:sz w:val="22"/>
          <w:szCs w:val="22"/>
        </w:rPr>
        <w:t>A reference to a claus</w:t>
      </w:r>
      <w:r>
        <w:rPr>
          <w:rFonts w:ascii="Calibri" w:hAnsi="Calibri" w:cs="Arial"/>
          <w:b w:val="0"/>
          <w:sz w:val="22"/>
          <w:szCs w:val="22"/>
        </w:rPr>
        <w:t>e of an ADR is a reference to:</w:t>
      </w:r>
    </w:p>
    <w:p w:rsidR="0040702E" w:rsidRPr="0054300E" w:rsidRDefault="0040702E" w:rsidP="00493AF0">
      <w:pPr>
        <w:pStyle w:val="Title"/>
        <w:spacing w:after="120"/>
        <w:ind w:left="720"/>
        <w:contextualSpacing/>
        <w:jc w:val="both"/>
        <w:rPr>
          <w:rFonts w:ascii="Calibri" w:hAnsi="Calibri" w:cs="Arial"/>
          <w:b w:val="0"/>
          <w:sz w:val="22"/>
          <w:szCs w:val="22"/>
        </w:rPr>
      </w:pPr>
    </w:p>
    <w:p w:rsidR="0040702E" w:rsidRPr="0054300E" w:rsidRDefault="0040702E" w:rsidP="00001DEC">
      <w:pPr>
        <w:pStyle w:val="Title"/>
        <w:numPr>
          <w:ilvl w:val="0"/>
          <w:numId w:val="32"/>
        </w:numPr>
        <w:spacing w:after="120"/>
        <w:contextualSpacing/>
        <w:jc w:val="both"/>
        <w:rPr>
          <w:rFonts w:ascii="Calibri" w:hAnsi="Calibri" w:cs="Arial"/>
          <w:b w:val="0"/>
          <w:sz w:val="22"/>
          <w:szCs w:val="22"/>
        </w:rPr>
      </w:pPr>
      <w:r w:rsidRPr="0054300E">
        <w:rPr>
          <w:rFonts w:ascii="Calibri" w:hAnsi="Calibri" w:cs="Arial"/>
          <w:b w:val="0"/>
          <w:sz w:val="22"/>
          <w:szCs w:val="22"/>
        </w:rPr>
        <w:t>The version of the clause applying to the vehicle as a heavy vehicle standard; and</w:t>
      </w:r>
    </w:p>
    <w:p w:rsidR="00B821AA" w:rsidRDefault="0040702E" w:rsidP="00B821AA">
      <w:pPr>
        <w:pStyle w:val="Title"/>
        <w:numPr>
          <w:ilvl w:val="0"/>
          <w:numId w:val="32"/>
        </w:numPr>
        <w:spacing w:after="120"/>
        <w:contextualSpacing/>
        <w:jc w:val="both"/>
        <w:rPr>
          <w:rFonts w:ascii="Calibri" w:hAnsi="Calibri" w:cs="Arial"/>
          <w:b w:val="0"/>
          <w:sz w:val="22"/>
          <w:szCs w:val="22"/>
        </w:rPr>
      </w:pPr>
      <w:r w:rsidRPr="0054300E">
        <w:rPr>
          <w:rFonts w:ascii="Calibri" w:hAnsi="Calibri" w:cs="Arial"/>
          <w:b w:val="0"/>
          <w:sz w:val="22"/>
          <w:szCs w:val="22"/>
        </w:rPr>
        <w:t xml:space="preserve">If the clause is omitted and remade (with or without modification) or renumbered and a version of the clause as remade or renumbered applies to the heavy vehicle as a vehicle standard the version of the clause as remade or renumbered applying to the heavy vehicle as a vehicle standard. </w:t>
      </w:r>
    </w:p>
    <w:p w:rsidR="00B821AA" w:rsidRDefault="00B821AA" w:rsidP="00B821AA">
      <w:pPr>
        <w:pStyle w:val="ListParagraph"/>
        <w:numPr>
          <w:ilvl w:val="0"/>
          <w:numId w:val="1"/>
        </w:numPr>
        <w:spacing w:before="240" w:after="240"/>
        <w:jc w:val="both"/>
        <w:rPr>
          <w:rFonts w:ascii="Calibri" w:hAnsi="Calibri"/>
          <w:b/>
          <w:sz w:val="22"/>
          <w:szCs w:val="22"/>
        </w:rPr>
      </w:pPr>
      <w:r>
        <w:rPr>
          <w:rFonts w:ascii="Calibri" w:hAnsi="Calibri"/>
          <w:b/>
          <w:sz w:val="22"/>
          <w:szCs w:val="22"/>
        </w:rPr>
        <w:t xml:space="preserve">Exemption -  </w:t>
      </w:r>
      <w:r w:rsidRPr="00991574">
        <w:rPr>
          <w:rFonts w:ascii="Calibri" w:hAnsi="Calibri"/>
          <w:b/>
          <w:sz w:val="22"/>
          <w:szCs w:val="22"/>
        </w:rPr>
        <w:t>Vehicle Standards</w:t>
      </w:r>
      <w:r>
        <w:rPr>
          <w:rFonts w:ascii="Calibri" w:hAnsi="Calibri"/>
          <w:b/>
          <w:sz w:val="22"/>
          <w:szCs w:val="22"/>
        </w:rPr>
        <w:t xml:space="preserve"> (Dimensions)</w:t>
      </w:r>
    </w:p>
    <w:p w:rsidR="00B821AA" w:rsidRPr="00944106" w:rsidRDefault="00B821AA" w:rsidP="00B821AA">
      <w:pPr>
        <w:pStyle w:val="ListParagraph"/>
        <w:spacing w:before="240" w:after="240"/>
        <w:ind w:left="360"/>
        <w:jc w:val="both"/>
        <w:rPr>
          <w:rFonts w:ascii="Calibri" w:hAnsi="Calibri"/>
          <w:b/>
          <w:sz w:val="22"/>
          <w:szCs w:val="22"/>
        </w:rPr>
      </w:pPr>
    </w:p>
    <w:p w:rsidR="00B821AA" w:rsidRPr="007B3660" w:rsidRDefault="00B821AA" w:rsidP="00B821AA">
      <w:pPr>
        <w:pStyle w:val="ListParagraph"/>
        <w:numPr>
          <w:ilvl w:val="0"/>
          <w:numId w:val="7"/>
        </w:numPr>
        <w:spacing w:after="120"/>
        <w:jc w:val="both"/>
        <w:rPr>
          <w:rFonts w:ascii="Calibri" w:hAnsi="Calibri" w:cs="Arial"/>
          <w:sz w:val="22"/>
          <w:szCs w:val="22"/>
        </w:rPr>
      </w:pPr>
      <w:bookmarkStart w:id="1" w:name="GS23@EN"/>
      <w:bookmarkEnd w:id="1"/>
      <w:r>
        <w:rPr>
          <w:rFonts w:ascii="Calibri" w:hAnsi="Calibri" w:cs="Arial"/>
          <w:sz w:val="22"/>
          <w:szCs w:val="22"/>
        </w:rPr>
        <w:t xml:space="preserve">An eligible vehicle operating under this notice is exempt from complying with the heavy vehicle standards in </w:t>
      </w:r>
      <w:r w:rsidRPr="00FB5681">
        <w:rPr>
          <w:rFonts w:ascii="Calibri" w:hAnsi="Calibri" w:cs="Arial"/>
          <w:sz w:val="22"/>
          <w:szCs w:val="22"/>
        </w:rPr>
        <w:t xml:space="preserve">Schedule 2, section 34(1) of the </w:t>
      </w:r>
      <w:r w:rsidRPr="009B552A">
        <w:rPr>
          <w:rFonts w:ascii="Calibri" w:hAnsi="Calibri" w:cs="Arial"/>
          <w:i/>
          <w:sz w:val="22"/>
          <w:szCs w:val="22"/>
        </w:rPr>
        <w:t>Heavy Vehicle (Vehicle</w:t>
      </w:r>
      <w:r>
        <w:rPr>
          <w:rFonts w:ascii="Calibri" w:hAnsi="Calibri" w:cs="Arial"/>
          <w:i/>
          <w:sz w:val="22"/>
          <w:szCs w:val="22"/>
        </w:rPr>
        <w:t xml:space="preserve"> Standards) National Regulation</w:t>
      </w:r>
      <w:r w:rsidR="00822F89">
        <w:rPr>
          <w:rFonts w:ascii="Calibri" w:hAnsi="Calibri" w:cs="Arial"/>
          <w:i/>
          <w:sz w:val="22"/>
          <w:szCs w:val="22"/>
        </w:rPr>
        <w:t xml:space="preserve">, </w:t>
      </w:r>
      <w:r w:rsidR="00822F89">
        <w:rPr>
          <w:rFonts w:ascii="Calibri" w:hAnsi="Calibri" w:cs="Arial"/>
          <w:sz w:val="22"/>
          <w:szCs w:val="22"/>
        </w:rPr>
        <w:t>as specified in the conditional dimension requirements set out in section 9</w:t>
      </w:r>
      <w:r w:rsidR="003B471E">
        <w:rPr>
          <w:rFonts w:ascii="Calibri" w:hAnsi="Calibri" w:cs="Arial"/>
          <w:sz w:val="22"/>
          <w:szCs w:val="22"/>
        </w:rPr>
        <w:t>,</w:t>
      </w:r>
      <w:r w:rsidR="00822F89">
        <w:rPr>
          <w:rFonts w:ascii="Calibri" w:hAnsi="Calibri" w:cs="Arial"/>
          <w:sz w:val="22"/>
          <w:szCs w:val="22"/>
        </w:rPr>
        <w:t xml:space="preserve"> section 10</w:t>
      </w:r>
      <w:r w:rsidR="003B471E">
        <w:rPr>
          <w:rFonts w:ascii="Calibri" w:hAnsi="Calibri" w:cs="Arial"/>
          <w:sz w:val="22"/>
          <w:szCs w:val="22"/>
        </w:rPr>
        <w:t xml:space="preserve"> and section 11</w:t>
      </w:r>
      <w:r w:rsidR="00822F89">
        <w:rPr>
          <w:rFonts w:ascii="Calibri" w:hAnsi="Calibri" w:cs="Arial"/>
          <w:sz w:val="22"/>
          <w:szCs w:val="22"/>
        </w:rPr>
        <w:t>.</w:t>
      </w:r>
    </w:p>
    <w:p w:rsidR="00EE09D1" w:rsidRDefault="00EE09D1" w:rsidP="00EE09D1">
      <w:pPr>
        <w:pStyle w:val="ListParagraph"/>
        <w:spacing w:after="120"/>
        <w:ind w:left="2160" w:hanging="1440"/>
        <w:jc w:val="both"/>
        <w:rPr>
          <w:rFonts w:ascii="Calibri" w:hAnsi="Calibri"/>
          <w:i/>
          <w:sz w:val="22"/>
          <w:szCs w:val="22"/>
        </w:rPr>
      </w:pPr>
    </w:p>
    <w:p w:rsidR="00B821AA" w:rsidRPr="00EE09D1" w:rsidRDefault="00735616" w:rsidP="00EE09D1">
      <w:pPr>
        <w:pStyle w:val="ListParagraph"/>
        <w:spacing w:after="120"/>
        <w:ind w:left="2160" w:hanging="1440"/>
        <w:jc w:val="both"/>
        <w:rPr>
          <w:rFonts w:ascii="Calibri" w:hAnsi="Calibri"/>
          <w:i/>
          <w:sz w:val="22"/>
          <w:szCs w:val="22"/>
        </w:rPr>
      </w:pPr>
      <w:r w:rsidRPr="00EE09D1">
        <w:rPr>
          <w:rFonts w:ascii="Calibri" w:hAnsi="Calibri"/>
          <w:i/>
          <w:sz w:val="22"/>
          <w:szCs w:val="22"/>
        </w:rPr>
        <w:t>Note:</w:t>
      </w:r>
      <w:r w:rsidRPr="00EE09D1">
        <w:rPr>
          <w:rFonts w:ascii="Calibri" w:hAnsi="Calibri"/>
          <w:i/>
          <w:sz w:val="22"/>
          <w:szCs w:val="22"/>
        </w:rPr>
        <w:tab/>
      </w:r>
      <w:r w:rsidR="00B821AA" w:rsidRPr="00EE09D1">
        <w:rPr>
          <w:rFonts w:ascii="Calibri" w:hAnsi="Calibri"/>
          <w:i/>
          <w:sz w:val="22"/>
          <w:szCs w:val="22"/>
        </w:rPr>
        <w:t>While this notice may facilitate the registration of an SPV (provided all the conditions set out in the Notice are met) it does not provide any approvals in regards to the vehicle’s access to the road network.</w:t>
      </w:r>
    </w:p>
    <w:p w:rsidR="00EE09D1" w:rsidRDefault="00EE09D1" w:rsidP="00EE09D1">
      <w:pPr>
        <w:pStyle w:val="ListParagraph"/>
        <w:spacing w:before="240" w:after="240"/>
        <w:ind w:left="360"/>
        <w:jc w:val="both"/>
        <w:rPr>
          <w:rFonts w:ascii="Calibri" w:hAnsi="Calibri"/>
          <w:b/>
          <w:sz w:val="22"/>
          <w:szCs w:val="22"/>
        </w:rPr>
      </w:pPr>
    </w:p>
    <w:p w:rsidR="00E30E2A" w:rsidRDefault="00E30E2A">
      <w:pPr>
        <w:rPr>
          <w:rFonts w:ascii="Calibri" w:hAnsi="Calibri"/>
          <w:b/>
          <w:sz w:val="22"/>
          <w:szCs w:val="22"/>
        </w:rPr>
      </w:pPr>
      <w:r>
        <w:rPr>
          <w:rFonts w:ascii="Calibri" w:hAnsi="Calibri"/>
          <w:b/>
          <w:sz w:val="22"/>
          <w:szCs w:val="22"/>
        </w:rPr>
        <w:br w:type="page"/>
      </w:r>
    </w:p>
    <w:p w:rsidR="00CD6D53" w:rsidRDefault="00DE3531" w:rsidP="00B821AA">
      <w:pPr>
        <w:pStyle w:val="ListParagraph"/>
        <w:numPr>
          <w:ilvl w:val="0"/>
          <w:numId w:val="1"/>
        </w:numPr>
        <w:spacing w:before="240" w:after="240"/>
        <w:jc w:val="both"/>
        <w:rPr>
          <w:rFonts w:ascii="Calibri" w:hAnsi="Calibri"/>
          <w:b/>
          <w:sz w:val="22"/>
          <w:szCs w:val="22"/>
        </w:rPr>
      </w:pPr>
      <w:r w:rsidRPr="00B821AA">
        <w:rPr>
          <w:rFonts w:ascii="Calibri" w:hAnsi="Calibri"/>
          <w:b/>
          <w:sz w:val="22"/>
          <w:szCs w:val="22"/>
        </w:rPr>
        <w:lastRenderedPageBreak/>
        <w:t>Condition</w:t>
      </w:r>
      <w:r w:rsidR="00B821AA">
        <w:rPr>
          <w:rFonts w:ascii="Calibri" w:hAnsi="Calibri"/>
          <w:b/>
          <w:sz w:val="22"/>
          <w:szCs w:val="22"/>
        </w:rPr>
        <w:t>s</w:t>
      </w:r>
      <w:r w:rsidRPr="00B821AA">
        <w:rPr>
          <w:rFonts w:ascii="Calibri" w:hAnsi="Calibri"/>
          <w:b/>
          <w:sz w:val="22"/>
          <w:szCs w:val="22"/>
        </w:rPr>
        <w:t xml:space="preserve"> - </w:t>
      </w:r>
      <w:r w:rsidR="00B821AA">
        <w:rPr>
          <w:rFonts w:ascii="Calibri" w:hAnsi="Calibri"/>
          <w:b/>
          <w:sz w:val="22"/>
          <w:szCs w:val="22"/>
        </w:rPr>
        <w:t>Vehicle Standards Dimension Requirements</w:t>
      </w:r>
    </w:p>
    <w:p w:rsidR="00B821AA" w:rsidRPr="00B821AA" w:rsidRDefault="00B821AA" w:rsidP="00B821AA">
      <w:pPr>
        <w:pStyle w:val="ListParagraph"/>
        <w:spacing w:before="240" w:after="240"/>
        <w:ind w:left="360"/>
        <w:jc w:val="both"/>
        <w:rPr>
          <w:rFonts w:ascii="Calibri" w:hAnsi="Calibri"/>
          <w:b/>
          <w:sz w:val="22"/>
          <w:szCs w:val="22"/>
        </w:rPr>
      </w:pPr>
    </w:p>
    <w:p w:rsidR="00DE3531" w:rsidRDefault="00B821AA" w:rsidP="00B821AA">
      <w:pPr>
        <w:pStyle w:val="ListParagraph"/>
        <w:numPr>
          <w:ilvl w:val="0"/>
          <w:numId w:val="35"/>
        </w:numPr>
        <w:spacing w:after="120"/>
        <w:jc w:val="both"/>
        <w:rPr>
          <w:rFonts w:ascii="Calibri" w:hAnsi="Calibri" w:cs="Arial"/>
          <w:sz w:val="22"/>
          <w:szCs w:val="22"/>
        </w:rPr>
      </w:pPr>
      <w:r w:rsidRPr="00B821AA">
        <w:rPr>
          <w:rFonts w:ascii="Calibri" w:hAnsi="Calibri" w:cs="Arial"/>
          <w:sz w:val="22"/>
          <w:szCs w:val="22"/>
        </w:rPr>
        <w:t>An eligible vehicle of the type set out in Column 2 of Table 3 is exempt from complying with Schedule 2, section 34(1) of the Heavy Vehicle (Vehicle Standards) National Regulation in so far as it requires compliance with the prescribed dimension requirement specified in Column 3, provided that the dimension does not exceed the limit specified in Column 5.</w:t>
      </w:r>
    </w:p>
    <w:p w:rsidR="00B821AA" w:rsidRPr="00B821AA" w:rsidRDefault="00B821AA" w:rsidP="00B821AA">
      <w:pPr>
        <w:pStyle w:val="Caption"/>
        <w:rPr>
          <w:color w:val="000000" w:themeColor="text1"/>
          <w:sz w:val="24"/>
          <w:szCs w:val="24"/>
        </w:rPr>
      </w:pPr>
      <w:r w:rsidRPr="00B821AA">
        <w:rPr>
          <w:color w:val="000000" w:themeColor="text1"/>
          <w:sz w:val="24"/>
          <w:szCs w:val="24"/>
        </w:rPr>
        <w:t>Table 2 Conditional Vehicle Standards Dimension Requirements</w:t>
      </w:r>
    </w:p>
    <w:tbl>
      <w:tblPr>
        <w:tblStyle w:val="TableGrid"/>
        <w:tblW w:w="0" w:type="auto"/>
        <w:jc w:val="center"/>
        <w:tblLook w:val="04A0" w:firstRow="1" w:lastRow="0" w:firstColumn="1" w:lastColumn="0" w:noHBand="0" w:noVBand="1"/>
        <w:tblCaption w:val="Table 2 Conditional Vehicle Standards Dimension Requirements"/>
        <w:tblDescription w:val="A table of conditional Vehicle Standard dimension requirements that replace Regulation requirements for vehicles operating under this exemption."/>
      </w:tblPr>
      <w:tblGrid>
        <w:gridCol w:w="1101"/>
        <w:gridCol w:w="2693"/>
        <w:gridCol w:w="1576"/>
        <w:gridCol w:w="1576"/>
        <w:gridCol w:w="1576"/>
      </w:tblGrid>
      <w:tr w:rsidR="00DE3531" w:rsidRPr="00B821AA" w:rsidTr="00B821AA">
        <w:trPr>
          <w:jc w:val="center"/>
        </w:trPr>
        <w:tc>
          <w:tcPr>
            <w:tcW w:w="1101"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Column 1</w:t>
            </w:r>
          </w:p>
        </w:tc>
        <w:tc>
          <w:tcPr>
            <w:tcW w:w="2693"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Column 2</w:t>
            </w:r>
          </w:p>
        </w:tc>
        <w:tc>
          <w:tcPr>
            <w:tcW w:w="1576"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Column 3</w:t>
            </w:r>
          </w:p>
        </w:tc>
        <w:tc>
          <w:tcPr>
            <w:tcW w:w="1576"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Column 4</w:t>
            </w:r>
          </w:p>
        </w:tc>
        <w:tc>
          <w:tcPr>
            <w:tcW w:w="1576"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Column 5</w:t>
            </w:r>
          </w:p>
        </w:tc>
      </w:tr>
      <w:tr w:rsidR="00DE3531" w:rsidRPr="00B821AA" w:rsidTr="00B821AA">
        <w:trPr>
          <w:jc w:val="center"/>
        </w:trPr>
        <w:tc>
          <w:tcPr>
            <w:tcW w:w="1101"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Item No.</w:t>
            </w:r>
          </w:p>
        </w:tc>
        <w:tc>
          <w:tcPr>
            <w:tcW w:w="2693"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Type of vehicle operating under this Notice</w:t>
            </w:r>
          </w:p>
        </w:tc>
        <w:tc>
          <w:tcPr>
            <w:tcW w:w="1576" w:type="dxa"/>
            <w:vAlign w:val="center"/>
          </w:tcPr>
          <w:p w:rsidR="00DE3531" w:rsidRDefault="00DE3531" w:rsidP="00B821AA">
            <w:pPr>
              <w:jc w:val="center"/>
              <w:rPr>
                <w:rFonts w:ascii="Calibri" w:hAnsi="Calibri"/>
                <w:b/>
                <w:color w:val="000000"/>
                <w:sz w:val="20"/>
                <w:szCs w:val="20"/>
              </w:rPr>
            </w:pPr>
            <w:r w:rsidRPr="00B821AA">
              <w:rPr>
                <w:rFonts w:ascii="Calibri" w:hAnsi="Calibri"/>
                <w:b/>
                <w:color w:val="000000"/>
                <w:sz w:val="20"/>
                <w:szCs w:val="20"/>
              </w:rPr>
              <w:t>Relevant section of MDL Regulation</w:t>
            </w:r>
          </w:p>
          <w:p w:rsidR="00B821AA" w:rsidRPr="00B821AA" w:rsidRDefault="00B821AA" w:rsidP="00B821AA">
            <w:pPr>
              <w:jc w:val="center"/>
              <w:rPr>
                <w:rFonts w:ascii="Calibri" w:hAnsi="Calibri"/>
                <w:b/>
                <w:color w:val="000000"/>
                <w:sz w:val="20"/>
                <w:szCs w:val="20"/>
              </w:rPr>
            </w:pPr>
            <w:r>
              <w:rPr>
                <w:rFonts w:ascii="Calibri" w:hAnsi="Calibri"/>
                <w:b/>
                <w:color w:val="000000"/>
                <w:sz w:val="20"/>
                <w:szCs w:val="20"/>
              </w:rPr>
              <w:t>Schedule 6</w:t>
            </w:r>
          </w:p>
        </w:tc>
        <w:tc>
          <w:tcPr>
            <w:tcW w:w="1576"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Dimension</w:t>
            </w:r>
          </w:p>
        </w:tc>
        <w:tc>
          <w:tcPr>
            <w:tcW w:w="1576" w:type="dxa"/>
            <w:vAlign w:val="center"/>
          </w:tcPr>
          <w:p w:rsidR="00DE3531" w:rsidRPr="00B821AA" w:rsidRDefault="00DE3531" w:rsidP="00B821AA">
            <w:pPr>
              <w:jc w:val="center"/>
              <w:rPr>
                <w:rFonts w:ascii="Calibri" w:hAnsi="Calibri"/>
                <w:b/>
                <w:color w:val="000000"/>
                <w:sz w:val="20"/>
                <w:szCs w:val="20"/>
              </w:rPr>
            </w:pPr>
            <w:r w:rsidRPr="00B821AA">
              <w:rPr>
                <w:rFonts w:ascii="Calibri" w:hAnsi="Calibri"/>
                <w:b/>
                <w:color w:val="000000"/>
                <w:sz w:val="20"/>
                <w:szCs w:val="20"/>
              </w:rPr>
              <w:t>Limit</w:t>
            </w:r>
          </w:p>
        </w:tc>
      </w:tr>
      <w:tr w:rsidR="00DE3531" w:rsidTr="00B821AA">
        <w:trPr>
          <w:trHeight w:val="1058"/>
          <w:jc w:val="center"/>
        </w:trPr>
        <w:tc>
          <w:tcPr>
            <w:tcW w:w="1101"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1</w:t>
            </w:r>
          </w:p>
        </w:tc>
        <w:tc>
          <w:tcPr>
            <w:tcW w:w="2693"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Any</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Section 8</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Height</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4.6m</w:t>
            </w:r>
          </w:p>
        </w:tc>
      </w:tr>
      <w:tr w:rsidR="00DE3531" w:rsidTr="00B821AA">
        <w:trPr>
          <w:trHeight w:val="1221"/>
          <w:jc w:val="center"/>
        </w:trPr>
        <w:tc>
          <w:tcPr>
            <w:tcW w:w="1101"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2</w:t>
            </w:r>
          </w:p>
        </w:tc>
        <w:tc>
          <w:tcPr>
            <w:tcW w:w="2693"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Any</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Section 7</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Width</w:t>
            </w:r>
          </w:p>
        </w:tc>
        <w:tc>
          <w:tcPr>
            <w:tcW w:w="1576" w:type="dxa"/>
            <w:vAlign w:val="center"/>
          </w:tcPr>
          <w:p w:rsidR="00DE3531" w:rsidRDefault="00DE3531" w:rsidP="00B821AA">
            <w:pPr>
              <w:jc w:val="center"/>
              <w:rPr>
                <w:rFonts w:ascii="Calibri" w:hAnsi="Calibri"/>
                <w:color w:val="000000"/>
                <w:sz w:val="20"/>
                <w:szCs w:val="20"/>
              </w:rPr>
            </w:pPr>
            <w:r w:rsidRPr="00B821AA">
              <w:rPr>
                <w:rFonts w:ascii="Calibri" w:hAnsi="Calibri"/>
                <w:color w:val="000000"/>
                <w:sz w:val="20"/>
                <w:szCs w:val="20"/>
              </w:rPr>
              <w:t>3.5m</w:t>
            </w:r>
          </w:p>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(or as specified in the NSW Schedule</w:t>
            </w:r>
            <w:r w:rsidRPr="00565193">
              <w:rPr>
                <w:rFonts w:ascii="Calibri" w:hAnsi="Calibri"/>
                <w:color w:val="000000"/>
                <w:sz w:val="20"/>
                <w:szCs w:val="20"/>
                <w:vertAlign w:val="superscript"/>
              </w:rPr>
              <w:t>[1]</w:t>
            </w:r>
            <w:r w:rsidRPr="00B821AA">
              <w:rPr>
                <w:rFonts w:ascii="Calibri" w:hAnsi="Calibri"/>
                <w:color w:val="000000"/>
                <w:sz w:val="20"/>
                <w:szCs w:val="20"/>
              </w:rPr>
              <w:t xml:space="preserve"> or the SA Schedule</w:t>
            </w:r>
            <w:r w:rsidRPr="00565193">
              <w:rPr>
                <w:rFonts w:ascii="Calibri" w:hAnsi="Calibri"/>
                <w:color w:val="000000"/>
                <w:sz w:val="20"/>
                <w:szCs w:val="20"/>
                <w:vertAlign w:val="superscript"/>
              </w:rPr>
              <w:t>[2]</w:t>
            </w:r>
            <w:r w:rsidRPr="00B821AA">
              <w:rPr>
                <w:rFonts w:ascii="Calibri" w:hAnsi="Calibri"/>
                <w:color w:val="000000"/>
                <w:sz w:val="20"/>
                <w:szCs w:val="20"/>
              </w:rPr>
              <w:t>)</w:t>
            </w:r>
          </w:p>
        </w:tc>
      </w:tr>
      <w:tr w:rsidR="00DE3531" w:rsidTr="00B821AA">
        <w:trPr>
          <w:trHeight w:val="961"/>
          <w:jc w:val="center"/>
        </w:trPr>
        <w:tc>
          <w:tcPr>
            <w:tcW w:w="1101"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3</w:t>
            </w:r>
          </w:p>
        </w:tc>
        <w:tc>
          <w:tcPr>
            <w:tcW w:w="2693"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Any</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Section 3</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Length</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14.5m</w:t>
            </w:r>
          </w:p>
        </w:tc>
      </w:tr>
      <w:tr w:rsidR="00DE3531" w:rsidTr="00B821AA">
        <w:trPr>
          <w:trHeight w:val="961"/>
          <w:jc w:val="center"/>
        </w:trPr>
        <w:tc>
          <w:tcPr>
            <w:tcW w:w="1101"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4</w:t>
            </w:r>
          </w:p>
        </w:tc>
        <w:tc>
          <w:tcPr>
            <w:tcW w:w="2693"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Mobile cranes</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Section 3</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Length</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16.5m</w:t>
            </w:r>
          </w:p>
        </w:tc>
      </w:tr>
      <w:tr w:rsidR="00DE3531" w:rsidTr="00B821AA">
        <w:trPr>
          <w:trHeight w:val="961"/>
          <w:jc w:val="center"/>
        </w:trPr>
        <w:tc>
          <w:tcPr>
            <w:tcW w:w="1101"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5</w:t>
            </w:r>
          </w:p>
        </w:tc>
        <w:tc>
          <w:tcPr>
            <w:tcW w:w="2693"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Carrier mounted mobile crane fitted with boom dolly</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Section 3</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Length</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25m</w:t>
            </w:r>
          </w:p>
        </w:tc>
      </w:tr>
      <w:tr w:rsidR="00DE3531" w:rsidTr="00B821AA">
        <w:trPr>
          <w:trHeight w:val="1221"/>
          <w:jc w:val="center"/>
        </w:trPr>
        <w:tc>
          <w:tcPr>
            <w:tcW w:w="1101"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6</w:t>
            </w:r>
          </w:p>
        </w:tc>
        <w:tc>
          <w:tcPr>
            <w:tcW w:w="2693"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Any mobile crane carrier with up to and including 5-axles and no greater than 16.5m in length</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Section 5(1)(c)</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Distance from the rear overhang (ROH) line to the rear of an SPV</w:t>
            </w:r>
          </w:p>
        </w:tc>
        <w:tc>
          <w:tcPr>
            <w:tcW w:w="1576" w:type="dxa"/>
            <w:vAlign w:val="center"/>
          </w:tcPr>
          <w:p w:rsidR="00DE3531" w:rsidRPr="00B821AA" w:rsidRDefault="00DE3531" w:rsidP="00B821AA">
            <w:pPr>
              <w:jc w:val="center"/>
              <w:rPr>
                <w:rFonts w:ascii="Calibri" w:hAnsi="Calibri"/>
                <w:color w:val="000000"/>
                <w:sz w:val="20"/>
                <w:szCs w:val="20"/>
              </w:rPr>
            </w:pPr>
            <w:r w:rsidRPr="00B821AA">
              <w:rPr>
                <w:rFonts w:ascii="Calibri" w:hAnsi="Calibri"/>
                <w:color w:val="000000"/>
                <w:sz w:val="20"/>
                <w:szCs w:val="20"/>
              </w:rPr>
              <w:t>Lesser of 4.0m or 90% of the wheelbase</w:t>
            </w:r>
          </w:p>
        </w:tc>
      </w:tr>
      <w:tr w:rsidR="00B821AA" w:rsidRPr="00B821AA" w:rsidTr="00B821AA">
        <w:trPr>
          <w:trHeight w:val="1221"/>
          <w:jc w:val="center"/>
        </w:trPr>
        <w:tc>
          <w:tcPr>
            <w:tcW w:w="1101"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7</w:t>
            </w:r>
          </w:p>
        </w:tc>
        <w:tc>
          <w:tcPr>
            <w:tcW w:w="2693"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Any mobile crane carrier with up to and including 5-axles and no greater than 16.5m in length</w:t>
            </w:r>
          </w:p>
        </w:tc>
        <w:tc>
          <w:tcPr>
            <w:tcW w:w="1576"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Section 5(1)(c)</w:t>
            </w:r>
          </w:p>
        </w:tc>
        <w:tc>
          <w:tcPr>
            <w:tcW w:w="1576"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Distance from the ROH line to the rear of an SPV</w:t>
            </w:r>
          </w:p>
        </w:tc>
        <w:tc>
          <w:tcPr>
            <w:tcW w:w="1576"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 xml:space="preserve">4.0m to 4.5m if vehicle complies with Section </w:t>
            </w:r>
            <w:r w:rsidR="005E0AE2">
              <w:rPr>
                <w:rFonts w:ascii="Calibri" w:hAnsi="Calibri"/>
                <w:color w:val="000000"/>
                <w:sz w:val="20"/>
                <w:szCs w:val="20"/>
              </w:rPr>
              <w:t>10</w:t>
            </w:r>
          </w:p>
        </w:tc>
      </w:tr>
      <w:tr w:rsidR="00B821AA" w:rsidRPr="00B821AA" w:rsidTr="00B821AA">
        <w:trPr>
          <w:trHeight w:val="1221"/>
          <w:jc w:val="center"/>
        </w:trPr>
        <w:tc>
          <w:tcPr>
            <w:tcW w:w="1101"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8</w:t>
            </w:r>
          </w:p>
        </w:tc>
        <w:tc>
          <w:tcPr>
            <w:tcW w:w="2693"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Any mobile crane carrier exceeding 5 axles (including boom dolly) and/or greater than 16.5m in length</w:t>
            </w:r>
          </w:p>
        </w:tc>
        <w:tc>
          <w:tcPr>
            <w:tcW w:w="1576"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Section 5(1)(c)</w:t>
            </w:r>
          </w:p>
        </w:tc>
        <w:tc>
          <w:tcPr>
            <w:tcW w:w="1576"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Distance from the ROH line to the rear of an SPV</w:t>
            </w:r>
          </w:p>
        </w:tc>
        <w:tc>
          <w:tcPr>
            <w:tcW w:w="1576" w:type="dxa"/>
            <w:vAlign w:val="center"/>
          </w:tcPr>
          <w:p w:rsidR="00B821AA" w:rsidRPr="00B821AA" w:rsidRDefault="00B821AA" w:rsidP="00B821AA">
            <w:pPr>
              <w:jc w:val="center"/>
              <w:rPr>
                <w:rFonts w:ascii="Calibri" w:hAnsi="Calibri"/>
                <w:color w:val="000000"/>
                <w:sz w:val="20"/>
                <w:szCs w:val="20"/>
              </w:rPr>
            </w:pPr>
            <w:r w:rsidRPr="00B821AA">
              <w:rPr>
                <w:rFonts w:ascii="Calibri" w:hAnsi="Calibri"/>
                <w:color w:val="000000"/>
                <w:sz w:val="20"/>
                <w:szCs w:val="20"/>
              </w:rPr>
              <w:t xml:space="preserve">4.5m if vehicle complies with Section </w:t>
            </w:r>
            <w:r w:rsidR="005E0AE2">
              <w:rPr>
                <w:rFonts w:ascii="Calibri" w:hAnsi="Calibri"/>
                <w:color w:val="000000"/>
                <w:sz w:val="20"/>
                <w:szCs w:val="20"/>
              </w:rPr>
              <w:t>10</w:t>
            </w:r>
          </w:p>
        </w:tc>
      </w:tr>
    </w:tbl>
    <w:p w:rsidR="00B821AA" w:rsidRPr="00B821AA" w:rsidRDefault="00B821AA" w:rsidP="00B821AA">
      <w:pPr>
        <w:spacing w:after="120"/>
        <w:ind w:left="720" w:hanging="720"/>
        <w:contextualSpacing/>
        <w:jc w:val="both"/>
        <w:rPr>
          <w:rFonts w:ascii="Calibri" w:hAnsi="Calibri" w:cs="Arial"/>
          <w:i/>
          <w:sz w:val="20"/>
          <w:szCs w:val="20"/>
        </w:rPr>
      </w:pPr>
      <w:r w:rsidRPr="00B821AA">
        <w:rPr>
          <w:rFonts w:ascii="Calibri" w:hAnsi="Calibri" w:cs="Arial"/>
          <w:i/>
          <w:sz w:val="20"/>
          <w:szCs w:val="20"/>
        </w:rPr>
        <w:t xml:space="preserve"> [1] Please refer to Section 1(1) of NSW schedule. </w:t>
      </w:r>
    </w:p>
    <w:p w:rsidR="00DE3531" w:rsidRPr="00822F89" w:rsidRDefault="00B821AA" w:rsidP="00822F89">
      <w:pPr>
        <w:spacing w:after="120"/>
        <w:ind w:left="720" w:hanging="720"/>
        <w:contextualSpacing/>
        <w:jc w:val="both"/>
        <w:rPr>
          <w:rFonts w:ascii="Calibri" w:hAnsi="Calibri" w:cs="Arial"/>
          <w:i/>
          <w:sz w:val="20"/>
          <w:szCs w:val="20"/>
        </w:rPr>
      </w:pPr>
      <w:r w:rsidRPr="00B821AA">
        <w:rPr>
          <w:rFonts w:ascii="Calibri" w:hAnsi="Calibri" w:cs="Arial"/>
          <w:i/>
          <w:sz w:val="20"/>
          <w:szCs w:val="20"/>
        </w:rPr>
        <w:t>[2] Please refer to Section 1(1) and 1(2) of SA schedule.</w:t>
      </w:r>
      <w:r w:rsidR="00DE3531">
        <w:rPr>
          <w:rFonts w:ascii="Calibri" w:hAnsi="Calibri"/>
          <w:b/>
          <w:sz w:val="22"/>
          <w:szCs w:val="22"/>
        </w:rPr>
        <w:br w:type="page"/>
      </w:r>
    </w:p>
    <w:p w:rsidR="00822F89" w:rsidRDefault="00822F89" w:rsidP="00822F89">
      <w:pPr>
        <w:pStyle w:val="ListParagraph"/>
        <w:numPr>
          <w:ilvl w:val="0"/>
          <w:numId w:val="1"/>
        </w:numPr>
        <w:spacing w:before="240" w:after="240"/>
        <w:jc w:val="both"/>
        <w:rPr>
          <w:rFonts w:ascii="Calibri" w:hAnsi="Calibri"/>
          <w:b/>
          <w:sz w:val="22"/>
          <w:szCs w:val="22"/>
        </w:rPr>
      </w:pPr>
      <w:r>
        <w:rPr>
          <w:rFonts w:ascii="Calibri" w:hAnsi="Calibri"/>
          <w:b/>
          <w:sz w:val="22"/>
          <w:szCs w:val="22"/>
        </w:rPr>
        <w:lastRenderedPageBreak/>
        <w:t>Conditions - Vehicle Standards Rear Overhang Line Requirements</w:t>
      </w:r>
    </w:p>
    <w:p w:rsidR="00822F89" w:rsidRDefault="00822F89" w:rsidP="00822F89">
      <w:pPr>
        <w:pStyle w:val="ListParagraph"/>
        <w:spacing w:before="240" w:after="240"/>
        <w:ind w:left="360"/>
        <w:jc w:val="both"/>
        <w:rPr>
          <w:rFonts w:ascii="Calibri" w:hAnsi="Calibri"/>
          <w:b/>
          <w:sz w:val="22"/>
          <w:szCs w:val="22"/>
        </w:rPr>
      </w:pPr>
    </w:p>
    <w:p w:rsidR="00822F89" w:rsidRPr="00822F89" w:rsidRDefault="00822F89" w:rsidP="00822F89">
      <w:pPr>
        <w:pStyle w:val="ListParagraph"/>
        <w:numPr>
          <w:ilvl w:val="0"/>
          <w:numId w:val="36"/>
        </w:numPr>
        <w:spacing w:after="120"/>
        <w:jc w:val="both"/>
        <w:rPr>
          <w:rFonts w:ascii="Calibri" w:hAnsi="Calibri" w:cs="Arial"/>
          <w:sz w:val="22"/>
          <w:szCs w:val="22"/>
        </w:rPr>
      </w:pPr>
      <w:r w:rsidRPr="00822F89">
        <w:rPr>
          <w:rFonts w:ascii="Calibri" w:hAnsi="Calibri" w:cs="Arial"/>
          <w:sz w:val="22"/>
          <w:szCs w:val="22"/>
        </w:rPr>
        <w:t>The distance from the ROH line to the rear of the SPV is permitted to be up to, and including, 4.5m if the three following conditions are met:</w:t>
      </w:r>
    </w:p>
    <w:p w:rsidR="00822F89" w:rsidRPr="00822F89" w:rsidRDefault="00822F89" w:rsidP="00822F89">
      <w:pPr>
        <w:pStyle w:val="ListParagraph"/>
        <w:spacing w:after="120"/>
        <w:jc w:val="both"/>
        <w:rPr>
          <w:rFonts w:ascii="Calibri" w:hAnsi="Calibri" w:cs="Arial"/>
          <w:sz w:val="22"/>
          <w:szCs w:val="22"/>
        </w:rPr>
      </w:pPr>
    </w:p>
    <w:p w:rsidR="00822F89" w:rsidRPr="00822F89" w:rsidRDefault="00822F89" w:rsidP="00822F89">
      <w:pPr>
        <w:pStyle w:val="ListParagraph"/>
        <w:numPr>
          <w:ilvl w:val="0"/>
          <w:numId w:val="36"/>
        </w:numPr>
        <w:spacing w:after="120"/>
        <w:jc w:val="both"/>
        <w:rPr>
          <w:rFonts w:ascii="Calibri" w:hAnsi="Calibri" w:cs="Arial"/>
          <w:sz w:val="22"/>
          <w:szCs w:val="22"/>
        </w:rPr>
      </w:pPr>
      <w:r w:rsidRPr="00822F89">
        <w:rPr>
          <w:rFonts w:ascii="Calibri" w:hAnsi="Calibri" w:cs="Arial"/>
          <w:sz w:val="22"/>
          <w:szCs w:val="22"/>
        </w:rPr>
        <w:t>The tail swing performance and the low speed swept path performance of this vehicle, as measured in accordance with the PBS Scheme Standards and Vehicle Assessment Rules, do not exceed 0.30m and 7.40m respectively. This condition means that the vehicle operates within the PBS Level 1 tail swing and low speed swept path performance; and</w:t>
      </w:r>
    </w:p>
    <w:p w:rsidR="00822F89" w:rsidRPr="00822F89" w:rsidRDefault="00822F89" w:rsidP="00822F89">
      <w:pPr>
        <w:pStyle w:val="ListParagraph"/>
        <w:spacing w:after="120"/>
        <w:jc w:val="both"/>
        <w:rPr>
          <w:rFonts w:ascii="Calibri" w:hAnsi="Calibri" w:cs="Arial"/>
          <w:sz w:val="22"/>
          <w:szCs w:val="22"/>
        </w:rPr>
      </w:pPr>
    </w:p>
    <w:p w:rsidR="00822F89" w:rsidRPr="00822F89" w:rsidRDefault="00822F89" w:rsidP="00822F89">
      <w:pPr>
        <w:pStyle w:val="ListParagraph"/>
        <w:numPr>
          <w:ilvl w:val="0"/>
          <w:numId w:val="36"/>
        </w:numPr>
        <w:spacing w:after="120"/>
        <w:jc w:val="both"/>
        <w:rPr>
          <w:rFonts w:ascii="Calibri" w:hAnsi="Calibri" w:cs="Arial"/>
          <w:sz w:val="22"/>
          <w:szCs w:val="22"/>
        </w:rPr>
      </w:pPr>
      <w:r w:rsidRPr="00822F89">
        <w:rPr>
          <w:rFonts w:ascii="Calibri" w:hAnsi="Calibri" w:cs="Arial"/>
          <w:sz w:val="22"/>
          <w:szCs w:val="22"/>
        </w:rPr>
        <w:t>The vehicle has a turning circle of 25m diameter or less; and</w:t>
      </w:r>
    </w:p>
    <w:p w:rsidR="00822F89" w:rsidRPr="00822F89" w:rsidRDefault="00822F89" w:rsidP="00822F89">
      <w:pPr>
        <w:pStyle w:val="ListParagraph"/>
        <w:spacing w:after="120"/>
        <w:jc w:val="both"/>
        <w:rPr>
          <w:rFonts w:ascii="Calibri" w:hAnsi="Calibri" w:cs="Arial"/>
          <w:sz w:val="22"/>
          <w:szCs w:val="22"/>
        </w:rPr>
      </w:pPr>
    </w:p>
    <w:p w:rsidR="00166F7D" w:rsidRPr="00166F7D" w:rsidRDefault="00822F89" w:rsidP="00166F7D">
      <w:pPr>
        <w:pStyle w:val="ListParagraph"/>
        <w:numPr>
          <w:ilvl w:val="0"/>
          <w:numId w:val="36"/>
        </w:numPr>
        <w:spacing w:after="120"/>
        <w:jc w:val="both"/>
        <w:rPr>
          <w:rFonts w:ascii="Calibri" w:hAnsi="Calibri" w:cs="Arial"/>
          <w:sz w:val="22"/>
          <w:szCs w:val="22"/>
        </w:rPr>
      </w:pPr>
      <w:r w:rsidRPr="00822F89">
        <w:rPr>
          <w:rFonts w:ascii="Calibri" w:hAnsi="Calibri" w:cs="Arial"/>
          <w:sz w:val="22"/>
          <w:szCs w:val="22"/>
        </w:rPr>
        <w:t>A certificate issued by a PBS assessor accredited under the PBS Scheme Assessor Accreditation rules, certifies that the assessed vehicle complies with the PBS Level 1 tail swing and low speed swept path performance standards. This certificate must be carried in the vehicle whenever it is travelling under this Notice. It must identify the vehicle uniquely by describing the base vehicle apparatus (i.e. concrete pump model) and Vehicle Identification Number (VIN) (or chassis number for non-truck based SPVs). It must also contain scaled drawings showing the vehicle dimensions, vehicle low speed swept path and tail swing, together with the actual assessment result values and corresponding Level 1 performance</w:t>
      </w:r>
    </w:p>
    <w:p w:rsidR="00822F89" w:rsidRDefault="00822F89" w:rsidP="00822F89">
      <w:pPr>
        <w:spacing w:after="120"/>
        <w:jc w:val="center"/>
        <w:rPr>
          <w:noProof/>
        </w:rPr>
      </w:pPr>
      <w:r>
        <w:rPr>
          <w:noProof/>
        </w:rPr>
        <w:drawing>
          <wp:inline distT="0" distB="0" distL="0" distR="0" wp14:anchorId="0CC7F0A6" wp14:editId="6D67B9D0">
            <wp:extent cx="3562350" cy="1638300"/>
            <wp:effectExtent l="0" t="0" r="0" b="0"/>
            <wp:docPr id="9" name="Picture 9" descr="Diagram illustrating swept path calculation" title="Figure 5 Illustration of tail swing performanc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nry.schleimer\AppData\Local\Microsoft\Windows\Temporary Internet Files\Content.Outlook\MK90WH0Z\Swept Path SPW.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21688"/>
                    <a:stretch/>
                  </pic:blipFill>
                  <pic:spPr bwMode="auto">
                    <a:xfrm>
                      <a:off x="0" y="0"/>
                      <a:ext cx="3568545" cy="1641149"/>
                    </a:xfrm>
                    <a:prstGeom prst="rect">
                      <a:avLst/>
                    </a:prstGeom>
                    <a:noFill/>
                    <a:ln>
                      <a:noFill/>
                    </a:ln>
                    <a:extLst>
                      <a:ext uri="{53640926-AAD7-44D8-BBD7-CCE9431645EC}">
                        <a14:shadowObscured xmlns:a14="http://schemas.microsoft.com/office/drawing/2010/main"/>
                      </a:ext>
                    </a:extLst>
                  </pic:spPr>
                </pic:pic>
              </a:graphicData>
            </a:graphic>
          </wp:inline>
        </w:drawing>
      </w:r>
    </w:p>
    <w:p w:rsidR="00822F89" w:rsidRDefault="00166F7D" w:rsidP="00166F7D">
      <w:pPr>
        <w:pStyle w:val="Caption"/>
        <w:contextualSpacing/>
        <w:jc w:val="center"/>
        <w:rPr>
          <w:color w:val="000000" w:themeColor="text1"/>
          <w:sz w:val="24"/>
          <w:szCs w:val="24"/>
        </w:rPr>
      </w:pPr>
      <w:r w:rsidRPr="00166F7D">
        <w:rPr>
          <w:color w:val="000000" w:themeColor="text1"/>
          <w:sz w:val="24"/>
          <w:szCs w:val="24"/>
        </w:rPr>
        <w:t>Figure 5 Illustration of tail swing performance measure (Source: NHVR/NTC Performance-Based Standards Scheme – the Standards and Vehicle Assessment Rules).</w:t>
      </w:r>
    </w:p>
    <w:p w:rsidR="00166F7D" w:rsidRPr="00166F7D" w:rsidRDefault="00166F7D" w:rsidP="00166F7D">
      <w:pPr>
        <w:rPr>
          <w:lang w:eastAsia="en-US"/>
        </w:rPr>
      </w:pPr>
    </w:p>
    <w:p w:rsidR="00166F7D" w:rsidRDefault="00166F7D" w:rsidP="00166F7D">
      <w:pPr>
        <w:contextualSpacing/>
        <w:jc w:val="center"/>
        <w:rPr>
          <w:lang w:eastAsia="en-US"/>
        </w:rPr>
      </w:pPr>
      <w:r>
        <w:rPr>
          <w:noProof/>
        </w:rPr>
        <w:drawing>
          <wp:inline distT="0" distB="0" distL="0" distR="0" wp14:anchorId="1A057859" wp14:editId="5EE6AF12">
            <wp:extent cx="3295650" cy="1240978"/>
            <wp:effectExtent l="0" t="0" r="0" b="0"/>
            <wp:docPr id="1" name="Picture 1" descr="Diagram illustrating maximum width of swept path." title="Figure 6 Plan view illustration of Maximum Width of Swept Path, SPWm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schleimer\AppData\Local\Microsoft\Windows\Temporary Internet Files\Content.Outlook\MK90WH0Z\Tail Swing (3).pn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95650" cy="1240978"/>
                    </a:xfrm>
                    <a:prstGeom prst="rect">
                      <a:avLst/>
                    </a:prstGeom>
                    <a:noFill/>
                    <a:ln>
                      <a:noFill/>
                    </a:ln>
                  </pic:spPr>
                </pic:pic>
              </a:graphicData>
            </a:graphic>
          </wp:inline>
        </w:drawing>
      </w:r>
    </w:p>
    <w:p w:rsidR="00166F7D" w:rsidRDefault="00166F7D" w:rsidP="00166F7D">
      <w:pPr>
        <w:contextualSpacing/>
        <w:rPr>
          <w:lang w:eastAsia="en-US"/>
        </w:rPr>
      </w:pPr>
    </w:p>
    <w:p w:rsidR="00166F7D" w:rsidRPr="00166F7D" w:rsidRDefault="00166F7D" w:rsidP="00166F7D">
      <w:pPr>
        <w:pStyle w:val="Caption"/>
        <w:contextualSpacing/>
        <w:jc w:val="center"/>
        <w:rPr>
          <w:color w:val="000000" w:themeColor="text1"/>
          <w:sz w:val="24"/>
          <w:szCs w:val="24"/>
        </w:rPr>
      </w:pPr>
      <w:r w:rsidRPr="00166F7D">
        <w:rPr>
          <w:color w:val="000000" w:themeColor="text1"/>
          <w:sz w:val="24"/>
          <w:szCs w:val="24"/>
        </w:rPr>
        <w:t xml:space="preserve">Figure 6 Plan view illustration of Maximum Width of Swept Path, </w:t>
      </w:r>
      <w:proofErr w:type="spellStart"/>
      <w:r w:rsidRPr="00166F7D">
        <w:rPr>
          <w:color w:val="000000" w:themeColor="text1"/>
          <w:sz w:val="24"/>
          <w:szCs w:val="24"/>
        </w:rPr>
        <w:t>SPWmax</w:t>
      </w:r>
      <w:proofErr w:type="spellEnd"/>
      <w:r w:rsidRPr="00166F7D">
        <w:rPr>
          <w:color w:val="000000" w:themeColor="text1"/>
          <w:sz w:val="24"/>
          <w:szCs w:val="24"/>
        </w:rPr>
        <w:t xml:space="preserve"> </w:t>
      </w:r>
    </w:p>
    <w:p w:rsidR="00822F89" w:rsidRPr="00166F7D" w:rsidRDefault="00166F7D" w:rsidP="00166F7D">
      <w:pPr>
        <w:pStyle w:val="Caption"/>
        <w:contextualSpacing/>
        <w:jc w:val="center"/>
        <w:rPr>
          <w:color w:val="000000" w:themeColor="text1"/>
          <w:sz w:val="24"/>
          <w:szCs w:val="24"/>
        </w:rPr>
      </w:pPr>
      <w:r w:rsidRPr="00166F7D">
        <w:rPr>
          <w:color w:val="000000" w:themeColor="text1"/>
          <w:sz w:val="24"/>
          <w:szCs w:val="24"/>
        </w:rPr>
        <w:t>(Source: NHVR/NTC Performance-Based Standards Scheme – the Standards and Vehicle Assessment Rules).</w:t>
      </w:r>
      <w:r w:rsidR="00822F89">
        <w:rPr>
          <w:b w:val="0"/>
          <w:sz w:val="22"/>
          <w:szCs w:val="22"/>
        </w:rPr>
        <w:br w:type="page"/>
      </w:r>
    </w:p>
    <w:p w:rsidR="00822F89" w:rsidRDefault="00822F89" w:rsidP="00493AF0">
      <w:pPr>
        <w:pStyle w:val="ListParagraph"/>
        <w:numPr>
          <w:ilvl w:val="0"/>
          <w:numId w:val="1"/>
        </w:numPr>
        <w:spacing w:before="240" w:after="240"/>
        <w:jc w:val="both"/>
        <w:rPr>
          <w:rFonts w:ascii="Calibri" w:hAnsi="Calibri"/>
          <w:b/>
          <w:sz w:val="22"/>
          <w:szCs w:val="22"/>
        </w:rPr>
      </w:pPr>
      <w:r>
        <w:rPr>
          <w:rFonts w:ascii="Calibri" w:hAnsi="Calibri"/>
          <w:b/>
          <w:sz w:val="22"/>
          <w:szCs w:val="22"/>
        </w:rPr>
        <w:lastRenderedPageBreak/>
        <w:t xml:space="preserve">Conditions - </w:t>
      </w:r>
      <w:r w:rsidR="009141B4">
        <w:rPr>
          <w:rFonts w:ascii="Calibri" w:hAnsi="Calibri"/>
          <w:b/>
          <w:sz w:val="22"/>
          <w:szCs w:val="22"/>
        </w:rPr>
        <w:t>F</w:t>
      </w:r>
      <w:r>
        <w:rPr>
          <w:rFonts w:ascii="Calibri" w:hAnsi="Calibri"/>
          <w:b/>
          <w:sz w:val="22"/>
          <w:szCs w:val="22"/>
        </w:rPr>
        <w:t>orward projection requirements</w:t>
      </w:r>
    </w:p>
    <w:p w:rsidR="00822F89" w:rsidRDefault="00822F89" w:rsidP="00822F89">
      <w:pPr>
        <w:pStyle w:val="ListParagraph"/>
        <w:spacing w:before="240" w:after="240"/>
        <w:ind w:left="360"/>
        <w:jc w:val="both"/>
        <w:rPr>
          <w:rFonts w:ascii="Calibri" w:hAnsi="Calibri"/>
          <w:b/>
          <w:sz w:val="22"/>
          <w:szCs w:val="22"/>
        </w:rPr>
      </w:pPr>
    </w:p>
    <w:p w:rsidR="00822F89" w:rsidRPr="00822F89" w:rsidRDefault="00822F89" w:rsidP="00822F89">
      <w:pPr>
        <w:pStyle w:val="ListParagraph"/>
        <w:numPr>
          <w:ilvl w:val="0"/>
          <w:numId w:val="20"/>
        </w:numPr>
        <w:spacing w:after="120"/>
        <w:jc w:val="both"/>
        <w:rPr>
          <w:rFonts w:ascii="Calibri" w:hAnsi="Calibri" w:cs="Arial"/>
          <w:sz w:val="22"/>
          <w:szCs w:val="22"/>
        </w:rPr>
      </w:pPr>
      <w:r w:rsidRPr="00822F89">
        <w:rPr>
          <w:rFonts w:ascii="Calibri" w:hAnsi="Calibri" w:cs="Arial"/>
          <w:sz w:val="22"/>
          <w:szCs w:val="22"/>
        </w:rPr>
        <w:t>SPVs, excluding mobile cranes, must not have an object projecting greater than 3.5m in front of a line transecting the centre of the steering wheel.</w:t>
      </w:r>
    </w:p>
    <w:p w:rsidR="00822F89" w:rsidRPr="00822F89" w:rsidRDefault="00822F89" w:rsidP="00822F89">
      <w:pPr>
        <w:pStyle w:val="ListParagraph"/>
        <w:spacing w:after="120"/>
        <w:jc w:val="both"/>
        <w:rPr>
          <w:rFonts w:ascii="Calibri" w:hAnsi="Calibri" w:cs="Arial"/>
          <w:sz w:val="22"/>
          <w:szCs w:val="22"/>
        </w:rPr>
      </w:pPr>
    </w:p>
    <w:p w:rsidR="00166F7D" w:rsidRPr="00166F7D" w:rsidRDefault="00822F89" w:rsidP="00166F7D">
      <w:pPr>
        <w:pStyle w:val="ListParagraph"/>
        <w:numPr>
          <w:ilvl w:val="0"/>
          <w:numId w:val="20"/>
        </w:numPr>
        <w:spacing w:after="120"/>
        <w:jc w:val="both"/>
        <w:rPr>
          <w:rFonts w:ascii="Calibri" w:hAnsi="Calibri" w:cs="Arial"/>
          <w:sz w:val="22"/>
          <w:szCs w:val="22"/>
        </w:rPr>
      </w:pPr>
      <w:r w:rsidRPr="00822F89">
        <w:rPr>
          <w:rFonts w:ascii="Calibri" w:hAnsi="Calibri" w:cs="Arial"/>
          <w:sz w:val="22"/>
          <w:szCs w:val="22"/>
        </w:rPr>
        <w:t>A mobile crane must not have an object projecting greater than 5.5m in front of the centre of the steering wheel, or, if operating in South Australia, as</w:t>
      </w:r>
      <w:r>
        <w:rPr>
          <w:rFonts w:ascii="Calibri" w:hAnsi="Calibri" w:cs="Arial"/>
          <w:sz w:val="22"/>
          <w:szCs w:val="22"/>
        </w:rPr>
        <w:t xml:space="preserve"> specified in section 1(3) of the South Australia Schedule.</w:t>
      </w:r>
    </w:p>
    <w:p w:rsidR="00166F7D" w:rsidRPr="00166F7D" w:rsidRDefault="00166F7D" w:rsidP="00166F7D">
      <w:pPr>
        <w:pStyle w:val="ListParagraph"/>
        <w:spacing w:after="120"/>
        <w:jc w:val="both"/>
        <w:rPr>
          <w:rFonts w:ascii="Calibri" w:hAnsi="Calibri" w:cs="Arial"/>
          <w:sz w:val="22"/>
          <w:szCs w:val="22"/>
        </w:rPr>
      </w:pPr>
    </w:p>
    <w:p w:rsidR="00403AFD" w:rsidRDefault="00403AFD" w:rsidP="00493AF0">
      <w:pPr>
        <w:pStyle w:val="ListParagraph"/>
        <w:numPr>
          <w:ilvl w:val="0"/>
          <w:numId w:val="1"/>
        </w:numPr>
        <w:spacing w:before="240" w:after="240"/>
        <w:jc w:val="both"/>
        <w:rPr>
          <w:rFonts w:ascii="Calibri" w:hAnsi="Calibri"/>
          <w:b/>
          <w:sz w:val="22"/>
          <w:szCs w:val="22"/>
        </w:rPr>
      </w:pPr>
      <w:r w:rsidRPr="00403AFD">
        <w:rPr>
          <w:rFonts w:ascii="Calibri" w:hAnsi="Calibri"/>
          <w:b/>
          <w:sz w:val="22"/>
          <w:szCs w:val="22"/>
        </w:rPr>
        <w:t xml:space="preserve">Exemption - </w:t>
      </w:r>
      <w:r w:rsidR="00E30E2A">
        <w:rPr>
          <w:rFonts w:ascii="Calibri" w:hAnsi="Calibri"/>
          <w:b/>
          <w:sz w:val="22"/>
          <w:szCs w:val="22"/>
        </w:rPr>
        <w:t xml:space="preserve">Schedule 4 Part 2 - </w:t>
      </w:r>
      <w:r w:rsidRPr="00403AFD">
        <w:rPr>
          <w:rFonts w:ascii="Calibri" w:hAnsi="Calibri"/>
          <w:b/>
          <w:sz w:val="22"/>
          <w:szCs w:val="22"/>
        </w:rPr>
        <w:t xml:space="preserve">Vehicle </w:t>
      </w:r>
      <w:r w:rsidR="00E30E2A">
        <w:rPr>
          <w:rFonts w:ascii="Calibri" w:hAnsi="Calibri"/>
          <w:b/>
          <w:sz w:val="22"/>
          <w:szCs w:val="22"/>
        </w:rPr>
        <w:t>Configuration</w:t>
      </w:r>
    </w:p>
    <w:p w:rsidR="00403AFD" w:rsidRPr="00403AFD" w:rsidRDefault="00403AFD" w:rsidP="00493AF0">
      <w:pPr>
        <w:pStyle w:val="ListParagraph"/>
        <w:spacing w:before="240" w:after="240"/>
        <w:ind w:left="360"/>
        <w:jc w:val="both"/>
        <w:rPr>
          <w:rFonts w:ascii="Calibri" w:hAnsi="Calibri"/>
          <w:b/>
          <w:sz w:val="22"/>
          <w:szCs w:val="22"/>
        </w:rPr>
      </w:pPr>
    </w:p>
    <w:p w:rsidR="00403AFD" w:rsidRPr="00CA279A" w:rsidRDefault="004516DD" w:rsidP="00493AF0">
      <w:pPr>
        <w:pStyle w:val="ListParagraph"/>
        <w:numPr>
          <w:ilvl w:val="0"/>
          <w:numId w:val="22"/>
        </w:numPr>
        <w:spacing w:after="120"/>
        <w:jc w:val="both"/>
        <w:rPr>
          <w:rFonts w:ascii="Calibri" w:hAnsi="Calibri" w:cs="Arial"/>
          <w:sz w:val="22"/>
          <w:szCs w:val="22"/>
        </w:rPr>
      </w:pPr>
      <w:r>
        <w:rPr>
          <w:rFonts w:ascii="Calibri" w:hAnsi="Calibri" w:cs="Arial"/>
          <w:sz w:val="22"/>
          <w:szCs w:val="22"/>
        </w:rPr>
        <w:t>A</w:t>
      </w:r>
      <w:r w:rsidR="00403AFD">
        <w:rPr>
          <w:rFonts w:ascii="Calibri" w:hAnsi="Calibri" w:cs="Arial"/>
          <w:sz w:val="22"/>
          <w:szCs w:val="22"/>
        </w:rPr>
        <w:t xml:space="preserve">n eligible vehicle operating under this notice is exempt from complying with </w:t>
      </w:r>
      <w:r w:rsidR="00934A25">
        <w:rPr>
          <w:rFonts w:ascii="Calibri" w:hAnsi="Calibri" w:cs="Arial"/>
          <w:sz w:val="22"/>
          <w:szCs w:val="22"/>
        </w:rPr>
        <w:t xml:space="preserve">Schedule 2, </w:t>
      </w:r>
      <w:r w:rsidR="00934A25" w:rsidRPr="005716BE">
        <w:rPr>
          <w:rFonts w:ascii="Calibri" w:hAnsi="Calibri" w:cs="Arial"/>
          <w:sz w:val="22"/>
          <w:szCs w:val="22"/>
        </w:rPr>
        <w:t>Part 4 - Vehicle Configuration</w:t>
      </w:r>
      <w:r w:rsidR="00934A25">
        <w:rPr>
          <w:rFonts w:ascii="Calibri" w:hAnsi="Calibri" w:cs="Arial"/>
          <w:sz w:val="22"/>
          <w:szCs w:val="22"/>
        </w:rPr>
        <w:t xml:space="preserve"> </w:t>
      </w:r>
      <w:r w:rsidR="00CA279A">
        <w:rPr>
          <w:rFonts w:ascii="Calibri" w:hAnsi="Calibri" w:cs="Arial"/>
          <w:sz w:val="22"/>
          <w:szCs w:val="22"/>
        </w:rPr>
        <w:t>of the</w:t>
      </w:r>
      <w:r w:rsidR="00403AFD" w:rsidRPr="00FB5681">
        <w:rPr>
          <w:rFonts w:ascii="Calibri" w:hAnsi="Calibri" w:cs="Arial"/>
          <w:sz w:val="22"/>
          <w:szCs w:val="22"/>
        </w:rPr>
        <w:t xml:space="preserve"> </w:t>
      </w:r>
      <w:r w:rsidR="00403AFD" w:rsidRPr="009B552A">
        <w:rPr>
          <w:rFonts w:ascii="Calibri" w:hAnsi="Calibri" w:cs="Arial"/>
          <w:i/>
          <w:sz w:val="22"/>
          <w:szCs w:val="22"/>
        </w:rPr>
        <w:t>Heavy Vehicle (Vehicle</w:t>
      </w:r>
      <w:r w:rsidR="00403AFD">
        <w:rPr>
          <w:rFonts w:ascii="Calibri" w:hAnsi="Calibri" w:cs="Arial"/>
          <w:i/>
          <w:sz w:val="22"/>
          <w:szCs w:val="22"/>
        </w:rPr>
        <w:t xml:space="preserve"> Standards) National Regulation</w:t>
      </w:r>
      <w:r w:rsidR="001322A4">
        <w:rPr>
          <w:rFonts w:ascii="Calibri" w:hAnsi="Calibri" w:cs="Arial"/>
          <w:i/>
          <w:sz w:val="22"/>
          <w:szCs w:val="22"/>
        </w:rPr>
        <w:t>.</w:t>
      </w:r>
    </w:p>
    <w:p w:rsidR="0013487B" w:rsidRPr="0013487B" w:rsidRDefault="0013487B" w:rsidP="00493AF0">
      <w:pPr>
        <w:pStyle w:val="ListParagraph"/>
        <w:spacing w:after="120"/>
        <w:jc w:val="both"/>
        <w:rPr>
          <w:rFonts w:ascii="Calibri" w:hAnsi="Calibri" w:cs="Arial"/>
          <w:sz w:val="22"/>
          <w:szCs w:val="22"/>
        </w:rPr>
      </w:pPr>
    </w:p>
    <w:p w:rsidR="0013487B" w:rsidRDefault="0013487B" w:rsidP="00493AF0">
      <w:pPr>
        <w:pStyle w:val="ListParagraph"/>
        <w:numPr>
          <w:ilvl w:val="0"/>
          <w:numId w:val="1"/>
        </w:numPr>
        <w:spacing w:before="240" w:after="240"/>
        <w:jc w:val="both"/>
        <w:rPr>
          <w:rFonts w:ascii="Calibri" w:hAnsi="Calibri"/>
          <w:b/>
          <w:sz w:val="22"/>
          <w:szCs w:val="22"/>
        </w:rPr>
      </w:pPr>
      <w:r>
        <w:rPr>
          <w:rFonts w:ascii="Calibri" w:hAnsi="Calibri"/>
          <w:b/>
          <w:sz w:val="22"/>
          <w:szCs w:val="22"/>
        </w:rPr>
        <w:t xml:space="preserve">Condition - </w:t>
      </w:r>
      <w:r w:rsidRPr="0013487B">
        <w:rPr>
          <w:rFonts w:ascii="Calibri" w:hAnsi="Calibri"/>
          <w:b/>
          <w:sz w:val="22"/>
          <w:szCs w:val="22"/>
        </w:rPr>
        <w:t>Identification</w:t>
      </w:r>
      <w:r>
        <w:rPr>
          <w:rFonts w:ascii="Calibri" w:hAnsi="Calibri"/>
          <w:b/>
          <w:sz w:val="22"/>
          <w:szCs w:val="22"/>
        </w:rPr>
        <w:t xml:space="preserve"> plate requirements</w:t>
      </w:r>
    </w:p>
    <w:p w:rsidR="0013487B" w:rsidRPr="0013487B" w:rsidRDefault="0013487B" w:rsidP="00493AF0">
      <w:pPr>
        <w:pStyle w:val="ListParagraph"/>
        <w:spacing w:before="240" w:after="240"/>
        <w:ind w:left="360"/>
        <w:jc w:val="both"/>
        <w:rPr>
          <w:rFonts w:ascii="Calibri" w:hAnsi="Calibri"/>
          <w:b/>
          <w:sz w:val="22"/>
          <w:szCs w:val="22"/>
        </w:rPr>
      </w:pPr>
    </w:p>
    <w:p w:rsidR="0013487B" w:rsidRPr="0013487B" w:rsidRDefault="0013487B" w:rsidP="00493AF0">
      <w:pPr>
        <w:pStyle w:val="ListParagraph"/>
        <w:numPr>
          <w:ilvl w:val="0"/>
          <w:numId w:val="27"/>
        </w:numPr>
        <w:spacing w:after="120"/>
        <w:jc w:val="both"/>
        <w:rPr>
          <w:rFonts w:ascii="Calibri" w:hAnsi="Calibri" w:cs="Arial"/>
          <w:sz w:val="22"/>
          <w:szCs w:val="22"/>
        </w:rPr>
      </w:pPr>
      <w:r w:rsidRPr="0013487B">
        <w:rPr>
          <w:rFonts w:ascii="Calibri" w:hAnsi="Calibri" w:cs="Arial"/>
          <w:sz w:val="22"/>
          <w:szCs w:val="22"/>
        </w:rPr>
        <w:t>SPVs must be fitted with either:</w:t>
      </w:r>
    </w:p>
    <w:p w:rsidR="0013487B" w:rsidRPr="0013487B" w:rsidRDefault="0013487B" w:rsidP="00493AF0">
      <w:pPr>
        <w:pStyle w:val="Title"/>
        <w:numPr>
          <w:ilvl w:val="0"/>
          <w:numId w:val="28"/>
        </w:numPr>
        <w:spacing w:after="120"/>
        <w:contextualSpacing/>
        <w:jc w:val="both"/>
        <w:rPr>
          <w:rFonts w:ascii="Calibri" w:hAnsi="Calibri" w:cs="Arial"/>
          <w:b w:val="0"/>
          <w:sz w:val="22"/>
          <w:szCs w:val="22"/>
        </w:rPr>
      </w:pPr>
      <w:proofErr w:type="gramStart"/>
      <w:r w:rsidRPr="0013487B">
        <w:rPr>
          <w:rFonts w:ascii="Calibri" w:hAnsi="Calibri" w:cs="Arial"/>
          <w:b w:val="0"/>
          <w:sz w:val="22"/>
          <w:szCs w:val="22"/>
        </w:rPr>
        <w:t>a</w:t>
      </w:r>
      <w:proofErr w:type="gramEnd"/>
      <w:r w:rsidRPr="0013487B">
        <w:rPr>
          <w:rFonts w:ascii="Calibri" w:hAnsi="Calibri" w:cs="Arial"/>
          <w:b w:val="0"/>
          <w:sz w:val="22"/>
          <w:szCs w:val="22"/>
        </w:rPr>
        <w:t xml:space="preserve"> </w:t>
      </w:r>
      <w:r w:rsidRPr="00F41868">
        <w:rPr>
          <w:rFonts w:ascii="Calibri" w:hAnsi="Calibri" w:cs="Arial"/>
          <w:b w:val="0"/>
          <w:sz w:val="22"/>
          <w:szCs w:val="22"/>
        </w:rPr>
        <w:t>manufacturer’s plate</w:t>
      </w:r>
      <w:r w:rsidRPr="0013487B">
        <w:rPr>
          <w:rFonts w:ascii="Calibri" w:hAnsi="Calibri" w:cs="Arial"/>
          <w:b w:val="0"/>
          <w:sz w:val="22"/>
          <w:szCs w:val="22"/>
        </w:rPr>
        <w:t xml:space="preserve"> listing the vehicle’s details, or </w:t>
      </w:r>
    </w:p>
    <w:p w:rsidR="0013487B" w:rsidRPr="0013487B" w:rsidRDefault="0013487B" w:rsidP="00493AF0">
      <w:pPr>
        <w:pStyle w:val="Title"/>
        <w:numPr>
          <w:ilvl w:val="0"/>
          <w:numId w:val="28"/>
        </w:numPr>
        <w:spacing w:after="120"/>
        <w:contextualSpacing/>
        <w:jc w:val="both"/>
        <w:rPr>
          <w:rFonts w:ascii="Calibri" w:hAnsi="Calibri" w:cs="Arial"/>
          <w:b w:val="0"/>
          <w:sz w:val="22"/>
          <w:szCs w:val="22"/>
        </w:rPr>
      </w:pPr>
      <w:proofErr w:type="gramStart"/>
      <w:r w:rsidRPr="0013487B">
        <w:rPr>
          <w:rFonts w:ascii="Calibri" w:hAnsi="Calibri" w:cs="Arial"/>
          <w:b w:val="0"/>
          <w:sz w:val="22"/>
          <w:szCs w:val="22"/>
        </w:rPr>
        <w:t>a</w:t>
      </w:r>
      <w:proofErr w:type="gramEnd"/>
      <w:r w:rsidRPr="0013487B">
        <w:rPr>
          <w:rFonts w:ascii="Calibri" w:hAnsi="Calibri" w:cs="Arial"/>
          <w:b w:val="0"/>
          <w:sz w:val="22"/>
          <w:szCs w:val="22"/>
        </w:rPr>
        <w:t xml:space="preserve"> Commonwealth identification plate, in the case of a truck based SPV.</w:t>
      </w:r>
    </w:p>
    <w:p w:rsidR="0013487B" w:rsidRPr="0013487B" w:rsidRDefault="0013487B" w:rsidP="00493AF0">
      <w:pPr>
        <w:pStyle w:val="ListParagraph"/>
        <w:numPr>
          <w:ilvl w:val="0"/>
          <w:numId w:val="27"/>
        </w:numPr>
        <w:spacing w:after="120"/>
        <w:jc w:val="both"/>
        <w:rPr>
          <w:rFonts w:ascii="Calibri" w:hAnsi="Calibri" w:cs="Arial"/>
          <w:sz w:val="22"/>
          <w:szCs w:val="22"/>
        </w:rPr>
      </w:pPr>
      <w:r w:rsidRPr="0013487B">
        <w:rPr>
          <w:rFonts w:ascii="Calibri" w:hAnsi="Calibri" w:cs="Arial"/>
          <w:sz w:val="22"/>
          <w:szCs w:val="22"/>
        </w:rPr>
        <w:t>A crane dolly must be fitted with a Commonwealth identification plate stating the relevant approval number</w:t>
      </w:r>
      <w:r w:rsidR="00EF4073">
        <w:rPr>
          <w:rFonts w:ascii="Calibri" w:hAnsi="Calibri" w:cs="Arial"/>
          <w:sz w:val="22"/>
          <w:szCs w:val="22"/>
        </w:rPr>
        <w:t>.</w:t>
      </w:r>
    </w:p>
    <w:p w:rsidR="007B3660" w:rsidRPr="007B3660" w:rsidRDefault="007B3660" w:rsidP="00493AF0">
      <w:pPr>
        <w:pStyle w:val="ListParagraph"/>
        <w:spacing w:after="120"/>
        <w:jc w:val="both"/>
        <w:rPr>
          <w:rFonts w:ascii="Calibri" w:hAnsi="Calibri" w:cs="Arial"/>
          <w:sz w:val="22"/>
          <w:szCs w:val="22"/>
        </w:rPr>
      </w:pPr>
    </w:p>
    <w:p w:rsidR="00403AFD" w:rsidRDefault="00403AFD" w:rsidP="00493AF0">
      <w:pPr>
        <w:pStyle w:val="ListParagraph"/>
        <w:numPr>
          <w:ilvl w:val="0"/>
          <w:numId w:val="1"/>
        </w:numPr>
        <w:spacing w:before="240" w:after="240"/>
        <w:jc w:val="both"/>
        <w:rPr>
          <w:rFonts w:ascii="Calibri" w:hAnsi="Calibri"/>
          <w:b/>
          <w:sz w:val="22"/>
          <w:szCs w:val="22"/>
        </w:rPr>
      </w:pPr>
      <w:r w:rsidRPr="00403AFD">
        <w:rPr>
          <w:rFonts w:ascii="Calibri" w:hAnsi="Calibri"/>
          <w:b/>
          <w:sz w:val="22"/>
          <w:szCs w:val="22"/>
        </w:rPr>
        <w:t xml:space="preserve">Conditions - </w:t>
      </w:r>
      <w:r w:rsidR="00D9237C">
        <w:rPr>
          <w:rFonts w:ascii="Calibri" w:hAnsi="Calibri"/>
          <w:b/>
          <w:sz w:val="22"/>
          <w:szCs w:val="22"/>
        </w:rPr>
        <w:t>Warning lights and markings</w:t>
      </w:r>
    </w:p>
    <w:p w:rsidR="00D9237C" w:rsidRDefault="00D9237C" w:rsidP="00D9237C">
      <w:pPr>
        <w:pStyle w:val="ListParagraph"/>
        <w:spacing w:before="240" w:after="240"/>
        <w:ind w:left="360"/>
        <w:jc w:val="both"/>
        <w:rPr>
          <w:rFonts w:ascii="Calibri" w:hAnsi="Calibri"/>
          <w:b/>
          <w:sz w:val="22"/>
          <w:szCs w:val="22"/>
        </w:rPr>
      </w:pPr>
    </w:p>
    <w:p w:rsidR="00D9237C" w:rsidRPr="00403AFD" w:rsidRDefault="005A1653" w:rsidP="005D2869">
      <w:pPr>
        <w:pStyle w:val="ListParagraph"/>
        <w:numPr>
          <w:ilvl w:val="0"/>
          <w:numId w:val="50"/>
        </w:numPr>
        <w:spacing w:after="120"/>
        <w:jc w:val="both"/>
        <w:rPr>
          <w:rFonts w:ascii="Calibri" w:hAnsi="Calibri" w:cs="Arial"/>
          <w:sz w:val="22"/>
          <w:szCs w:val="22"/>
        </w:rPr>
      </w:pPr>
      <w:r>
        <w:rPr>
          <w:rFonts w:ascii="Calibri" w:hAnsi="Calibri" w:cs="Arial"/>
          <w:sz w:val="22"/>
          <w:szCs w:val="22"/>
        </w:rPr>
        <w:t>A</w:t>
      </w:r>
      <w:r w:rsidR="00D9237C" w:rsidRPr="00D9237C">
        <w:rPr>
          <w:rFonts w:ascii="Calibri" w:hAnsi="Calibri" w:cs="Arial"/>
          <w:sz w:val="22"/>
          <w:szCs w:val="22"/>
        </w:rPr>
        <w:t xml:space="preserve"> pattern covering an area of at least 0.16m</w:t>
      </w:r>
      <w:r w:rsidR="00D9237C" w:rsidRPr="00D9237C">
        <w:rPr>
          <w:rFonts w:ascii="Calibri" w:hAnsi="Calibri" w:cs="Arial"/>
          <w:sz w:val="22"/>
          <w:szCs w:val="22"/>
          <w:vertAlign w:val="superscript"/>
        </w:rPr>
        <w:t>2</w:t>
      </w:r>
      <w:r w:rsidR="00D9237C" w:rsidRPr="00D9237C">
        <w:rPr>
          <w:rFonts w:ascii="Calibri" w:hAnsi="Calibri" w:cs="Arial"/>
          <w:sz w:val="22"/>
          <w:szCs w:val="22"/>
        </w:rPr>
        <w:t xml:space="preserve"> and consisting of diagonal stripes, at least 150mm wide and alternatively coloured red and white, or black and white, must be marked on the left and right sides and extremity of any rigid projection extending more than 1.2m in front or to the rear of the body of an SPV.</w:t>
      </w:r>
    </w:p>
    <w:p w:rsidR="00D9237C" w:rsidRPr="00403AFD" w:rsidRDefault="00D9237C" w:rsidP="00D9237C">
      <w:pPr>
        <w:pStyle w:val="ListParagraph"/>
        <w:spacing w:after="120"/>
        <w:jc w:val="both"/>
        <w:rPr>
          <w:rFonts w:ascii="Calibri" w:hAnsi="Calibri" w:cs="Arial"/>
          <w:sz w:val="22"/>
          <w:szCs w:val="22"/>
        </w:rPr>
      </w:pPr>
    </w:p>
    <w:p w:rsidR="00D9237C" w:rsidRPr="00D9237C" w:rsidRDefault="00D9237C" w:rsidP="005D2869">
      <w:pPr>
        <w:pStyle w:val="ListParagraph"/>
        <w:numPr>
          <w:ilvl w:val="0"/>
          <w:numId w:val="50"/>
        </w:numPr>
        <w:spacing w:after="120"/>
        <w:rPr>
          <w:rFonts w:ascii="Calibri" w:hAnsi="Calibri" w:cs="Arial"/>
          <w:sz w:val="22"/>
          <w:szCs w:val="22"/>
        </w:rPr>
      </w:pPr>
      <w:r w:rsidRPr="00D9237C">
        <w:rPr>
          <w:rFonts w:ascii="Calibri" w:hAnsi="Calibri" w:cs="Arial"/>
          <w:sz w:val="22"/>
          <w:szCs w:val="22"/>
        </w:rPr>
        <w:t>An SPV with a projection in front of the centre of the steering wheel exceeding 3.5m must have —</w:t>
      </w:r>
    </w:p>
    <w:p w:rsidR="00D9237C" w:rsidRPr="00D9237C" w:rsidRDefault="00D9237C" w:rsidP="00D9237C">
      <w:pPr>
        <w:pStyle w:val="Title"/>
        <w:numPr>
          <w:ilvl w:val="0"/>
          <w:numId w:val="49"/>
        </w:numPr>
        <w:spacing w:after="120"/>
        <w:contextualSpacing/>
        <w:jc w:val="both"/>
        <w:rPr>
          <w:rFonts w:ascii="Calibri" w:hAnsi="Calibri" w:cs="Arial"/>
          <w:b w:val="0"/>
          <w:sz w:val="22"/>
          <w:szCs w:val="22"/>
        </w:rPr>
      </w:pPr>
      <w:proofErr w:type="gramStart"/>
      <w:r w:rsidRPr="00D9237C">
        <w:rPr>
          <w:rFonts w:ascii="Calibri" w:hAnsi="Calibri" w:cs="Arial"/>
          <w:b w:val="0"/>
          <w:sz w:val="22"/>
          <w:szCs w:val="22"/>
        </w:rPr>
        <w:t>side</w:t>
      </w:r>
      <w:proofErr w:type="gramEnd"/>
      <w:r w:rsidRPr="00D9237C">
        <w:rPr>
          <w:rFonts w:ascii="Calibri" w:hAnsi="Calibri" w:cs="Arial"/>
          <w:b w:val="0"/>
          <w:sz w:val="22"/>
          <w:szCs w:val="22"/>
        </w:rPr>
        <w:t xml:space="preserve"> marker lights on both sides of the projection, as far forward as possible. The side marker lights must be shielded from the driver’s view, but be visible to other motorists approaching from the front and sides of the vehicle, and</w:t>
      </w:r>
    </w:p>
    <w:p w:rsidR="00D9237C" w:rsidRPr="00D9237C" w:rsidRDefault="00D9237C" w:rsidP="00D9237C">
      <w:pPr>
        <w:pStyle w:val="Title"/>
        <w:numPr>
          <w:ilvl w:val="0"/>
          <w:numId w:val="49"/>
        </w:numPr>
        <w:spacing w:after="120"/>
        <w:contextualSpacing/>
        <w:jc w:val="both"/>
        <w:rPr>
          <w:rFonts w:ascii="Calibri" w:hAnsi="Calibri" w:cs="Arial"/>
          <w:b w:val="0"/>
          <w:sz w:val="22"/>
          <w:szCs w:val="22"/>
        </w:rPr>
      </w:pPr>
      <w:proofErr w:type="gramStart"/>
      <w:r w:rsidRPr="00D9237C">
        <w:rPr>
          <w:rFonts w:ascii="Calibri" w:hAnsi="Calibri" w:cs="Arial"/>
          <w:b w:val="0"/>
          <w:sz w:val="22"/>
          <w:szCs w:val="22"/>
        </w:rPr>
        <w:t>a</w:t>
      </w:r>
      <w:proofErr w:type="gramEnd"/>
      <w:r w:rsidRPr="00D9237C">
        <w:rPr>
          <w:rFonts w:ascii="Calibri" w:hAnsi="Calibri" w:cs="Arial"/>
          <w:b w:val="0"/>
          <w:sz w:val="22"/>
          <w:szCs w:val="22"/>
        </w:rPr>
        <w:t xml:space="preserve"> yellow rotating warning light attached to the projection, as far forward as possible, that is shielded from the driver’s view.</w:t>
      </w:r>
    </w:p>
    <w:p w:rsidR="00D9237C" w:rsidRPr="00403AFD" w:rsidRDefault="00D9237C" w:rsidP="005D2869">
      <w:pPr>
        <w:pStyle w:val="ListParagraph"/>
        <w:numPr>
          <w:ilvl w:val="0"/>
          <w:numId w:val="50"/>
        </w:numPr>
        <w:spacing w:after="120"/>
        <w:jc w:val="both"/>
        <w:rPr>
          <w:rFonts w:ascii="Calibri" w:hAnsi="Calibri" w:cs="Arial"/>
          <w:sz w:val="22"/>
          <w:szCs w:val="22"/>
        </w:rPr>
      </w:pPr>
      <w:r w:rsidRPr="00D9237C">
        <w:rPr>
          <w:rFonts w:ascii="Calibri" w:hAnsi="Calibri" w:cs="Arial"/>
          <w:sz w:val="22"/>
          <w:szCs w:val="22"/>
        </w:rPr>
        <w:t>Contrary to the requirements set out in Schedule 8, section 4 of the MDL, a warning light must be attached to the vehicle if it is wider than 2.5m or longer than 25m.</w:t>
      </w:r>
    </w:p>
    <w:p w:rsidR="00D9237C" w:rsidRPr="00403AFD" w:rsidRDefault="00D9237C" w:rsidP="00D9237C">
      <w:pPr>
        <w:pStyle w:val="ListParagraph"/>
        <w:spacing w:after="120"/>
        <w:jc w:val="both"/>
        <w:rPr>
          <w:rFonts w:ascii="Calibri" w:hAnsi="Calibri" w:cs="Arial"/>
          <w:sz w:val="22"/>
          <w:szCs w:val="22"/>
        </w:rPr>
      </w:pPr>
    </w:p>
    <w:p w:rsidR="00D9237C" w:rsidRDefault="00D9237C" w:rsidP="00493AF0">
      <w:pPr>
        <w:pStyle w:val="ListParagraph"/>
        <w:numPr>
          <w:ilvl w:val="0"/>
          <w:numId w:val="1"/>
        </w:numPr>
        <w:spacing w:before="240" w:after="240"/>
        <w:jc w:val="both"/>
        <w:rPr>
          <w:rFonts w:ascii="Calibri" w:hAnsi="Calibri"/>
          <w:b/>
          <w:sz w:val="22"/>
          <w:szCs w:val="22"/>
        </w:rPr>
      </w:pPr>
      <w:r w:rsidRPr="00403AFD">
        <w:rPr>
          <w:rFonts w:ascii="Calibri" w:hAnsi="Calibri"/>
          <w:b/>
          <w:sz w:val="22"/>
          <w:szCs w:val="22"/>
        </w:rPr>
        <w:t xml:space="preserve">Conditions - </w:t>
      </w:r>
      <w:r>
        <w:rPr>
          <w:rFonts w:ascii="Calibri" w:hAnsi="Calibri"/>
          <w:b/>
          <w:sz w:val="22"/>
          <w:szCs w:val="22"/>
        </w:rPr>
        <w:t>Driver v</w:t>
      </w:r>
      <w:r w:rsidRPr="00403AFD">
        <w:rPr>
          <w:rFonts w:ascii="Calibri" w:hAnsi="Calibri"/>
          <w:b/>
          <w:sz w:val="22"/>
          <w:szCs w:val="22"/>
        </w:rPr>
        <w:t>isibility</w:t>
      </w:r>
      <w:r>
        <w:rPr>
          <w:rFonts w:ascii="Calibri" w:hAnsi="Calibri"/>
          <w:b/>
          <w:sz w:val="22"/>
          <w:szCs w:val="22"/>
        </w:rPr>
        <w:t xml:space="preserve"> requirements</w:t>
      </w:r>
    </w:p>
    <w:p w:rsidR="00403AFD" w:rsidRPr="00403AFD" w:rsidRDefault="00403AFD" w:rsidP="00493AF0">
      <w:pPr>
        <w:pStyle w:val="ListParagraph"/>
        <w:spacing w:before="240" w:after="240"/>
        <w:ind w:left="360"/>
        <w:jc w:val="both"/>
        <w:rPr>
          <w:rFonts w:ascii="Calibri" w:hAnsi="Calibri"/>
          <w:b/>
          <w:sz w:val="22"/>
          <w:szCs w:val="22"/>
        </w:rPr>
      </w:pPr>
    </w:p>
    <w:p w:rsidR="00403AFD" w:rsidRPr="00403AFD" w:rsidRDefault="00403AFD" w:rsidP="00D9237C">
      <w:pPr>
        <w:pStyle w:val="ListParagraph"/>
        <w:numPr>
          <w:ilvl w:val="0"/>
          <w:numId w:val="46"/>
        </w:numPr>
        <w:spacing w:after="120"/>
        <w:jc w:val="both"/>
        <w:rPr>
          <w:rFonts w:ascii="Calibri" w:hAnsi="Calibri" w:cs="Arial"/>
          <w:sz w:val="22"/>
          <w:szCs w:val="22"/>
        </w:rPr>
      </w:pPr>
      <w:r w:rsidRPr="00403AFD">
        <w:rPr>
          <w:rFonts w:ascii="Calibri" w:hAnsi="Calibri" w:cs="Arial"/>
          <w:sz w:val="22"/>
          <w:szCs w:val="22"/>
        </w:rPr>
        <w:t>An SPV must be designed to allow the driver in the normal driving position, a view of the road, pedestrians and traffic to the front and sides of the vehicle, so the driver can drive safely.</w:t>
      </w:r>
    </w:p>
    <w:p w:rsidR="00403AFD" w:rsidRDefault="00403AFD" w:rsidP="00493AF0">
      <w:pPr>
        <w:pStyle w:val="ListParagraph"/>
        <w:spacing w:after="120"/>
        <w:jc w:val="both"/>
        <w:rPr>
          <w:rFonts w:ascii="Calibri" w:hAnsi="Calibri" w:cs="Arial"/>
          <w:sz w:val="22"/>
          <w:szCs w:val="22"/>
        </w:rPr>
      </w:pPr>
    </w:p>
    <w:p w:rsidR="007D6105" w:rsidRPr="00403AFD" w:rsidRDefault="00803ECF" w:rsidP="00493AF0">
      <w:pPr>
        <w:pStyle w:val="ListParagraph"/>
        <w:spacing w:after="120"/>
        <w:jc w:val="both"/>
        <w:rPr>
          <w:rFonts w:ascii="Calibri" w:hAnsi="Calibri" w:cs="Arial"/>
          <w:sz w:val="22"/>
          <w:szCs w:val="22"/>
        </w:rPr>
      </w:pPr>
      <w:r>
        <w:rPr>
          <w:rFonts w:ascii="Calibri" w:hAnsi="Calibri" w:cs="Arial"/>
          <w:sz w:val="22"/>
          <w:szCs w:val="22"/>
        </w:rPr>
        <w:t xml:space="preserve">  </w:t>
      </w:r>
    </w:p>
    <w:p w:rsidR="00403AFD" w:rsidRPr="00403AFD" w:rsidRDefault="00403AFD" w:rsidP="00D9237C">
      <w:pPr>
        <w:pStyle w:val="ListParagraph"/>
        <w:numPr>
          <w:ilvl w:val="0"/>
          <w:numId w:val="46"/>
        </w:numPr>
        <w:spacing w:after="120"/>
        <w:jc w:val="both"/>
        <w:rPr>
          <w:rFonts w:ascii="Calibri" w:hAnsi="Calibri" w:cs="Arial"/>
          <w:sz w:val="22"/>
          <w:szCs w:val="22"/>
        </w:rPr>
      </w:pPr>
      <w:r w:rsidRPr="00403AFD">
        <w:rPr>
          <w:rFonts w:ascii="Calibri" w:hAnsi="Calibri" w:cs="Arial"/>
          <w:sz w:val="22"/>
          <w:szCs w:val="22"/>
        </w:rPr>
        <w:lastRenderedPageBreak/>
        <w:t>If an SPV has the centre of a steering control to the left of the vehicle which obscures the driver’s vision to the right of the vehicle</w:t>
      </w:r>
      <w:r w:rsidR="00B549C3" w:rsidRPr="00B549C3">
        <w:rPr>
          <w:rFonts w:ascii="Calibri" w:hAnsi="Calibri" w:cs="Arial"/>
          <w:sz w:val="22"/>
          <w:szCs w:val="22"/>
        </w:rPr>
        <w:t xml:space="preserve"> </w:t>
      </w:r>
      <w:r w:rsidR="00B549C3">
        <w:rPr>
          <w:rFonts w:ascii="Calibri" w:hAnsi="Calibri" w:cs="Arial"/>
          <w:sz w:val="22"/>
          <w:szCs w:val="22"/>
        </w:rPr>
        <w:t>due to a minor obstruction</w:t>
      </w:r>
      <w:r w:rsidRPr="00403AFD">
        <w:rPr>
          <w:rFonts w:ascii="Calibri" w:hAnsi="Calibri" w:cs="Arial"/>
          <w:sz w:val="22"/>
          <w:szCs w:val="22"/>
        </w:rPr>
        <w:t>, it must be fitted with mirrors or an indirect vision device (i.e. camera) that counteracts the obstruction and provides the driver with an adequate view of the road, pedestrians and traffic to the right of the vehicle as intended by ADR 14/02.</w:t>
      </w:r>
    </w:p>
    <w:p w:rsidR="00403AFD" w:rsidRPr="00403AFD" w:rsidRDefault="00403AFD" w:rsidP="00493AF0">
      <w:pPr>
        <w:pStyle w:val="ListParagraph"/>
        <w:spacing w:after="120"/>
        <w:jc w:val="both"/>
        <w:rPr>
          <w:rFonts w:ascii="Calibri" w:hAnsi="Calibri" w:cs="Arial"/>
          <w:sz w:val="22"/>
          <w:szCs w:val="22"/>
        </w:rPr>
      </w:pPr>
    </w:p>
    <w:p w:rsidR="00403AFD" w:rsidRDefault="00403AFD" w:rsidP="00D9237C">
      <w:pPr>
        <w:pStyle w:val="ListParagraph"/>
        <w:numPr>
          <w:ilvl w:val="0"/>
          <w:numId w:val="46"/>
        </w:numPr>
        <w:spacing w:after="120"/>
        <w:jc w:val="both"/>
        <w:rPr>
          <w:rFonts w:ascii="Calibri" w:hAnsi="Calibri" w:cs="Arial"/>
          <w:sz w:val="22"/>
          <w:szCs w:val="22"/>
        </w:rPr>
      </w:pPr>
      <w:r w:rsidRPr="00403AFD">
        <w:rPr>
          <w:rFonts w:ascii="Calibri" w:hAnsi="Calibri" w:cs="Arial"/>
          <w:sz w:val="22"/>
          <w:szCs w:val="22"/>
        </w:rPr>
        <w:t>If the driver of an SPV does not ha</w:t>
      </w:r>
      <w:r w:rsidR="003803EF">
        <w:rPr>
          <w:rFonts w:ascii="Calibri" w:hAnsi="Calibri" w:cs="Arial"/>
          <w:sz w:val="22"/>
          <w:szCs w:val="22"/>
        </w:rPr>
        <w:t>ve</w:t>
      </w:r>
      <w:r w:rsidRPr="00403AFD">
        <w:rPr>
          <w:rFonts w:ascii="Calibri" w:hAnsi="Calibri" w:cs="Arial"/>
          <w:sz w:val="22"/>
          <w:szCs w:val="22"/>
        </w:rPr>
        <w:t xml:space="preserve"> an adequate view to the rear </w:t>
      </w:r>
      <w:r w:rsidR="00AF5303">
        <w:rPr>
          <w:rFonts w:ascii="Calibri" w:hAnsi="Calibri" w:cs="Arial"/>
          <w:sz w:val="22"/>
          <w:szCs w:val="22"/>
        </w:rPr>
        <w:t>of the vehicle</w:t>
      </w:r>
      <w:r w:rsidR="00B549C3">
        <w:rPr>
          <w:rFonts w:ascii="Calibri" w:hAnsi="Calibri" w:cs="Arial"/>
          <w:sz w:val="22"/>
          <w:szCs w:val="22"/>
        </w:rPr>
        <w:t xml:space="preserve"> due to a minor obstruction</w:t>
      </w:r>
      <w:r w:rsidR="00AF5303">
        <w:rPr>
          <w:rFonts w:ascii="Calibri" w:hAnsi="Calibri" w:cs="Arial"/>
          <w:sz w:val="22"/>
          <w:szCs w:val="22"/>
        </w:rPr>
        <w:t xml:space="preserve">, it must </w:t>
      </w:r>
      <w:r w:rsidRPr="00AF5303">
        <w:rPr>
          <w:rFonts w:ascii="Calibri" w:hAnsi="Calibri" w:cs="Arial"/>
          <w:sz w:val="22"/>
          <w:szCs w:val="22"/>
        </w:rPr>
        <w:t>be fitted with mirrors or an indirect vision device (i.e. camera) that counteracts the driver’s obstruction and provides them with an adequate view of the road, pedestrians and traffi</w:t>
      </w:r>
      <w:r w:rsidR="00AF5303">
        <w:rPr>
          <w:rFonts w:ascii="Calibri" w:hAnsi="Calibri" w:cs="Arial"/>
          <w:sz w:val="22"/>
          <w:szCs w:val="22"/>
        </w:rPr>
        <w:t>c to the rear of the vehicle.</w:t>
      </w:r>
    </w:p>
    <w:p w:rsidR="005A1653" w:rsidRPr="005A1653" w:rsidRDefault="005A1653" w:rsidP="005A1653">
      <w:pPr>
        <w:pStyle w:val="ListParagraph"/>
        <w:rPr>
          <w:rFonts w:ascii="Calibri" w:hAnsi="Calibri" w:cs="Arial"/>
          <w:sz w:val="22"/>
          <w:szCs w:val="22"/>
        </w:rPr>
      </w:pPr>
    </w:p>
    <w:p w:rsidR="00AF5303" w:rsidRDefault="00AF5303" w:rsidP="00AF5303">
      <w:pPr>
        <w:pStyle w:val="ListParagraph"/>
        <w:numPr>
          <w:ilvl w:val="0"/>
          <w:numId w:val="1"/>
        </w:numPr>
        <w:spacing w:before="240" w:after="240"/>
        <w:jc w:val="both"/>
        <w:rPr>
          <w:rFonts w:ascii="Calibri" w:hAnsi="Calibri"/>
          <w:b/>
          <w:sz w:val="22"/>
          <w:szCs w:val="22"/>
        </w:rPr>
      </w:pPr>
      <w:r w:rsidRPr="00AF5303">
        <w:rPr>
          <w:rFonts w:ascii="Calibri" w:hAnsi="Calibri"/>
          <w:b/>
          <w:sz w:val="22"/>
          <w:szCs w:val="22"/>
        </w:rPr>
        <w:t>Access Requirements</w:t>
      </w:r>
    </w:p>
    <w:p w:rsidR="00AF5303" w:rsidRPr="00042036" w:rsidRDefault="00AF5303" w:rsidP="00042036">
      <w:pPr>
        <w:spacing w:after="120"/>
        <w:ind w:left="360"/>
        <w:jc w:val="both"/>
        <w:rPr>
          <w:rFonts w:ascii="Calibri" w:hAnsi="Calibri" w:cs="Arial"/>
          <w:sz w:val="22"/>
          <w:szCs w:val="22"/>
        </w:rPr>
      </w:pPr>
      <w:r w:rsidRPr="00042036">
        <w:rPr>
          <w:rFonts w:ascii="Calibri" w:hAnsi="Calibri" w:cs="Arial"/>
          <w:sz w:val="22"/>
          <w:szCs w:val="22"/>
        </w:rPr>
        <w:t>This Notice only provides Vehicle Standards exemptions, and does not authorise access to the road network. To gain access to the road network, a vehicle must comply with a current access authorisation, either under Gazetted notice or under permit.</w:t>
      </w:r>
    </w:p>
    <w:p w:rsidR="00735616" w:rsidRPr="00042036" w:rsidRDefault="00EE09D1" w:rsidP="00E30E2A">
      <w:pPr>
        <w:spacing w:after="120"/>
        <w:ind w:left="1440" w:hanging="1080"/>
        <w:jc w:val="both"/>
        <w:rPr>
          <w:rFonts w:ascii="Calibri" w:hAnsi="Calibri"/>
          <w:i/>
          <w:sz w:val="22"/>
          <w:szCs w:val="22"/>
        </w:rPr>
      </w:pPr>
      <w:r w:rsidRPr="00042036">
        <w:rPr>
          <w:rFonts w:ascii="Calibri" w:hAnsi="Calibri"/>
          <w:i/>
          <w:sz w:val="22"/>
          <w:szCs w:val="22"/>
        </w:rPr>
        <w:t>Note:</w:t>
      </w:r>
      <w:r w:rsidRPr="00042036">
        <w:rPr>
          <w:rFonts w:ascii="Calibri" w:hAnsi="Calibri"/>
          <w:i/>
          <w:sz w:val="22"/>
          <w:szCs w:val="22"/>
        </w:rPr>
        <w:tab/>
      </w:r>
      <w:r w:rsidR="00735616" w:rsidRPr="00042036">
        <w:rPr>
          <w:rFonts w:ascii="Calibri" w:hAnsi="Calibri"/>
          <w:i/>
          <w:sz w:val="22"/>
          <w:szCs w:val="22"/>
        </w:rPr>
        <w:t xml:space="preserve">Valid access authorisations include </w:t>
      </w:r>
      <w:r w:rsidR="007A550E" w:rsidRPr="00042036">
        <w:rPr>
          <w:rFonts w:ascii="Calibri" w:hAnsi="Calibri"/>
          <w:i/>
          <w:sz w:val="22"/>
          <w:szCs w:val="22"/>
        </w:rPr>
        <w:t xml:space="preserve">Class 1 mass and dimension exemptions </w:t>
      </w:r>
      <w:r w:rsidR="00735616" w:rsidRPr="00042036">
        <w:rPr>
          <w:rFonts w:ascii="Calibri" w:hAnsi="Calibri"/>
          <w:i/>
          <w:sz w:val="22"/>
          <w:szCs w:val="22"/>
        </w:rPr>
        <w:t>under the Heavy Vehicle National Law</w:t>
      </w:r>
      <w:r w:rsidR="00042036">
        <w:rPr>
          <w:rFonts w:ascii="Calibri" w:hAnsi="Calibri"/>
          <w:i/>
          <w:sz w:val="22"/>
          <w:szCs w:val="22"/>
        </w:rPr>
        <w:t>.</w:t>
      </w:r>
    </w:p>
    <w:p w:rsidR="00AF5303" w:rsidRDefault="00AF5303" w:rsidP="00AF5303">
      <w:pPr>
        <w:pStyle w:val="ListParagraph"/>
        <w:numPr>
          <w:ilvl w:val="0"/>
          <w:numId w:val="1"/>
        </w:numPr>
        <w:spacing w:before="240" w:after="240"/>
        <w:jc w:val="both"/>
        <w:rPr>
          <w:rFonts w:ascii="Calibri" w:hAnsi="Calibri"/>
          <w:b/>
          <w:sz w:val="22"/>
          <w:szCs w:val="22"/>
        </w:rPr>
      </w:pPr>
      <w:r w:rsidRPr="00AF5303">
        <w:rPr>
          <w:rFonts w:ascii="Calibri" w:hAnsi="Calibri"/>
          <w:b/>
          <w:sz w:val="22"/>
          <w:szCs w:val="22"/>
        </w:rPr>
        <w:t>State Schedules</w:t>
      </w:r>
    </w:p>
    <w:p w:rsidR="00EE09D1" w:rsidRPr="00042036" w:rsidRDefault="00EE09D1" w:rsidP="00042036">
      <w:pPr>
        <w:spacing w:after="120"/>
        <w:ind w:left="360"/>
        <w:jc w:val="both"/>
        <w:rPr>
          <w:rFonts w:ascii="Calibri" w:hAnsi="Calibri" w:cs="Arial"/>
          <w:sz w:val="22"/>
          <w:szCs w:val="22"/>
        </w:rPr>
      </w:pPr>
      <w:r w:rsidRPr="00042036">
        <w:rPr>
          <w:rFonts w:ascii="Calibri" w:hAnsi="Calibri" w:cs="Arial"/>
          <w:sz w:val="22"/>
          <w:szCs w:val="22"/>
        </w:rPr>
        <w:t xml:space="preserve">An </w:t>
      </w:r>
      <w:r w:rsidR="004E6475" w:rsidRPr="00042036">
        <w:rPr>
          <w:rFonts w:ascii="Calibri" w:hAnsi="Calibri" w:cs="Arial"/>
          <w:sz w:val="22"/>
          <w:szCs w:val="22"/>
        </w:rPr>
        <w:t>eligible</w:t>
      </w:r>
      <w:r w:rsidRPr="00042036">
        <w:rPr>
          <w:rFonts w:ascii="Calibri" w:hAnsi="Calibri" w:cs="Arial"/>
          <w:sz w:val="22"/>
          <w:szCs w:val="22"/>
        </w:rPr>
        <w:t xml:space="preserve"> vehicle operating under this Notice must comply with the conditions set out in the Schedule and relevant access exemption for a participating jurisdiction where the vehicle is being used.</w:t>
      </w:r>
    </w:p>
    <w:p w:rsidR="00E66F0C" w:rsidRDefault="00E66F0C" w:rsidP="00EE09D1">
      <w:pPr>
        <w:spacing w:after="120"/>
        <w:jc w:val="both"/>
        <w:rPr>
          <w:rFonts w:ascii="Calibri" w:hAnsi="Calibri" w:cs="Arial"/>
          <w:sz w:val="22"/>
          <w:szCs w:val="22"/>
        </w:rPr>
      </w:pPr>
    </w:p>
    <w:p w:rsidR="00E66F0C" w:rsidRDefault="00E66F0C" w:rsidP="00EE09D1">
      <w:pPr>
        <w:spacing w:after="120"/>
        <w:jc w:val="both"/>
        <w:rPr>
          <w:rFonts w:ascii="Calibri" w:hAnsi="Calibri" w:cs="Arial"/>
          <w:sz w:val="22"/>
          <w:szCs w:val="22"/>
        </w:rPr>
      </w:pPr>
    </w:p>
    <w:p w:rsidR="00E66F0C" w:rsidRDefault="00E66F0C" w:rsidP="00AF0516">
      <w:pPr>
        <w:jc w:val="both"/>
        <w:rPr>
          <w:rFonts w:ascii="Calibri" w:hAnsi="Calibri" w:cs="Arial"/>
          <w:sz w:val="22"/>
          <w:szCs w:val="22"/>
        </w:rPr>
      </w:pPr>
      <w:r>
        <w:rPr>
          <w:rFonts w:ascii="Calibri" w:hAnsi="Calibri" w:cs="Arial"/>
          <w:sz w:val="22"/>
          <w:szCs w:val="22"/>
        </w:rPr>
        <w:t>Geoff Casey</w:t>
      </w:r>
    </w:p>
    <w:p w:rsidR="00E66F0C" w:rsidRPr="00797A4E" w:rsidRDefault="00E66F0C" w:rsidP="00AF0516">
      <w:pPr>
        <w:jc w:val="both"/>
        <w:rPr>
          <w:rFonts w:ascii="Calibri" w:hAnsi="Calibri" w:cs="Arial"/>
          <w:i/>
          <w:sz w:val="22"/>
          <w:szCs w:val="22"/>
        </w:rPr>
      </w:pPr>
      <w:r w:rsidRPr="00797A4E">
        <w:rPr>
          <w:rFonts w:ascii="Calibri" w:hAnsi="Calibri" w:cs="Arial"/>
          <w:i/>
          <w:sz w:val="22"/>
          <w:szCs w:val="22"/>
        </w:rPr>
        <w:t>Executive Director</w:t>
      </w:r>
      <w:r w:rsidR="00AF0516" w:rsidRPr="00797A4E">
        <w:rPr>
          <w:rFonts w:ascii="Calibri" w:hAnsi="Calibri" w:cs="Arial"/>
          <w:i/>
          <w:sz w:val="22"/>
          <w:szCs w:val="22"/>
        </w:rPr>
        <w:t xml:space="preserve"> Productivity and Safety</w:t>
      </w:r>
    </w:p>
    <w:p w:rsidR="00AF0516" w:rsidRPr="00AF0516" w:rsidRDefault="00AF0516" w:rsidP="00AF0516">
      <w:pPr>
        <w:jc w:val="both"/>
        <w:rPr>
          <w:rFonts w:ascii="Calibri" w:hAnsi="Calibri" w:cs="Arial"/>
          <w:b/>
          <w:sz w:val="22"/>
          <w:szCs w:val="22"/>
        </w:rPr>
      </w:pPr>
      <w:r w:rsidRPr="00AF0516">
        <w:rPr>
          <w:rFonts w:ascii="Calibri" w:hAnsi="Calibri" w:cs="Arial"/>
          <w:b/>
          <w:sz w:val="22"/>
          <w:szCs w:val="22"/>
        </w:rPr>
        <w:t>National Heavy Vehicle Regulator</w:t>
      </w:r>
    </w:p>
    <w:p w:rsidR="00EE09D1" w:rsidRDefault="00EE09D1">
      <w:pPr>
        <w:rPr>
          <w:rFonts w:ascii="Calibri" w:hAnsi="Calibri" w:cs="Arial"/>
          <w:sz w:val="22"/>
          <w:szCs w:val="22"/>
        </w:rPr>
      </w:pPr>
      <w:r>
        <w:rPr>
          <w:rFonts w:ascii="Calibri" w:hAnsi="Calibri" w:cs="Arial"/>
          <w:sz w:val="22"/>
          <w:szCs w:val="22"/>
        </w:rPr>
        <w:br w:type="page"/>
      </w:r>
    </w:p>
    <w:p w:rsidR="00EE09D1" w:rsidRPr="00EE09D1" w:rsidRDefault="00EE09D1" w:rsidP="00EE09D1">
      <w:pPr>
        <w:spacing w:after="120"/>
        <w:jc w:val="both"/>
        <w:rPr>
          <w:rFonts w:ascii="Calibri" w:hAnsi="Calibri" w:cs="Arial"/>
          <w:b/>
          <w:sz w:val="22"/>
          <w:szCs w:val="22"/>
        </w:rPr>
      </w:pPr>
      <w:r>
        <w:rPr>
          <w:rFonts w:ascii="Calibri" w:hAnsi="Calibri" w:cs="Arial"/>
          <w:b/>
          <w:sz w:val="22"/>
          <w:szCs w:val="22"/>
        </w:rPr>
        <w:lastRenderedPageBreak/>
        <w:t>SCHEDULE 1 – SOUTH AUSTRALIA</w:t>
      </w:r>
    </w:p>
    <w:p w:rsidR="00EE09D1" w:rsidRDefault="00EE09D1" w:rsidP="00EE09D1">
      <w:pPr>
        <w:pStyle w:val="ListParagraph"/>
        <w:numPr>
          <w:ilvl w:val="0"/>
          <w:numId w:val="41"/>
        </w:numPr>
        <w:spacing w:before="240" w:after="240"/>
        <w:jc w:val="both"/>
        <w:rPr>
          <w:rFonts w:ascii="Calibri" w:hAnsi="Calibri"/>
          <w:b/>
          <w:sz w:val="22"/>
          <w:szCs w:val="22"/>
        </w:rPr>
      </w:pPr>
      <w:r w:rsidRPr="00EE09D1">
        <w:rPr>
          <w:rFonts w:ascii="Calibri" w:hAnsi="Calibri"/>
          <w:b/>
          <w:sz w:val="22"/>
          <w:szCs w:val="22"/>
        </w:rPr>
        <w:t>South Australia conditions</w:t>
      </w:r>
    </w:p>
    <w:p w:rsidR="00EE09D1" w:rsidRPr="00EE09D1" w:rsidRDefault="00EE09D1" w:rsidP="00EE09D1">
      <w:pPr>
        <w:pStyle w:val="ListParagraph"/>
        <w:spacing w:before="240" w:after="240"/>
        <w:ind w:left="360"/>
        <w:jc w:val="both"/>
        <w:rPr>
          <w:rFonts w:ascii="Calibri" w:hAnsi="Calibri"/>
          <w:b/>
          <w:sz w:val="22"/>
          <w:szCs w:val="22"/>
        </w:rPr>
      </w:pPr>
    </w:p>
    <w:p w:rsidR="00EE09D1" w:rsidRDefault="00EE09D1" w:rsidP="00042036">
      <w:pPr>
        <w:pStyle w:val="ListParagraph"/>
        <w:numPr>
          <w:ilvl w:val="0"/>
          <w:numId w:val="42"/>
        </w:numPr>
        <w:jc w:val="both"/>
        <w:rPr>
          <w:rFonts w:ascii="Calibri" w:hAnsi="Calibri" w:cs="Arial"/>
          <w:sz w:val="22"/>
          <w:szCs w:val="22"/>
        </w:rPr>
      </w:pPr>
      <w:r w:rsidRPr="00EE09D1">
        <w:rPr>
          <w:rFonts w:ascii="Calibri" w:hAnsi="Calibri" w:cs="Arial"/>
          <w:sz w:val="22"/>
          <w:szCs w:val="22"/>
        </w:rPr>
        <w:t>Truck mounted SPVs (including mobile concrete pumps) must not exceed 2.5m in width.</w:t>
      </w:r>
    </w:p>
    <w:p w:rsidR="00042036" w:rsidRDefault="00042036" w:rsidP="00042036">
      <w:pPr>
        <w:pStyle w:val="ListParagraph"/>
        <w:jc w:val="both"/>
        <w:rPr>
          <w:rFonts w:ascii="Calibri" w:hAnsi="Calibri" w:cs="Arial"/>
          <w:sz w:val="22"/>
          <w:szCs w:val="22"/>
        </w:rPr>
      </w:pPr>
    </w:p>
    <w:p w:rsidR="00EE09D1" w:rsidRDefault="00EE09D1" w:rsidP="00042036">
      <w:pPr>
        <w:pStyle w:val="ListParagraph"/>
        <w:numPr>
          <w:ilvl w:val="0"/>
          <w:numId w:val="42"/>
        </w:numPr>
        <w:jc w:val="both"/>
        <w:rPr>
          <w:rFonts w:ascii="Calibri" w:hAnsi="Calibri" w:cs="Arial"/>
          <w:sz w:val="22"/>
          <w:szCs w:val="22"/>
        </w:rPr>
      </w:pPr>
      <w:r w:rsidRPr="00EE09D1">
        <w:rPr>
          <w:rFonts w:ascii="Calibri" w:hAnsi="Calibri" w:cs="Arial"/>
          <w:sz w:val="22"/>
          <w:szCs w:val="22"/>
        </w:rPr>
        <w:t>All other SPVs covered by this Notice must not exceed a width of 3.1m.</w:t>
      </w:r>
    </w:p>
    <w:p w:rsidR="00042036" w:rsidRDefault="00042036" w:rsidP="00042036">
      <w:pPr>
        <w:pStyle w:val="ListParagraph"/>
        <w:jc w:val="both"/>
        <w:rPr>
          <w:rFonts w:ascii="Calibri" w:hAnsi="Calibri" w:cs="Arial"/>
          <w:sz w:val="22"/>
          <w:szCs w:val="22"/>
        </w:rPr>
      </w:pPr>
    </w:p>
    <w:p w:rsidR="00EE09D1" w:rsidRPr="00EE09D1" w:rsidRDefault="00EE09D1" w:rsidP="00042036">
      <w:pPr>
        <w:pStyle w:val="ListParagraph"/>
        <w:numPr>
          <w:ilvl w:val="0"/>
          <w:numId w:val="42"/>
        </w:numPr>
        <w:jc w:val="both"/>
        <w:rPr>
          <w:rFonts w:ascii="Calibri" w:hAnsi="Calibri" w:cs="Arial"/>
          <w:sz w:val="22"/>
          <w:szCs w:val="22"/>
        </w:rPr>
      </w:pPr>
      <w:r w:rsidRPr="00EE09D1">
        <w:rPr>
          <w:rFonts w:ascii="Calibri" w:hAnsi="Calibri" w:cs="Arial"/>
          <w:sz w:val="22"/>
          <w:szCs w:val="22"/>
        </w:rPr>
        <w:t>The projection in front of the centre of the steering wheel of a SPV must not be greater than 3.5m.</w:t>
      </w:r>
    </w:p>
    <w:p w:rsidR="00EE09D1" w:rsidRPr="00EE09D1" w:rsidRDefault="00EE09D1" w:rsidP="00EE09D1">
      <w:pPr>
        <w:spacing w:after="120"/>
        <w:jc w:val="both"/>
        <w:rPr>
          <w:rFonts w:ascii="Calibri" w:hAnsi="Calibri" w:cs="Arial"/>
          <w:sz w:val="22"/>
          <w:szCs w:val="22"/>
        </w:rPr>
      </w:pPr>
    </w:p>
    <w:p w:rsidR="00EE09D1" w:rsidRPr="00EE09D1" w:rsidRDefault="00EE09D1" w:rsidP="00EE09D1">
      <w:pPr>
        <w:spacing w:after="120"/>
        <w:jc w:val="both"/>
        <w:rPr>
          <w:rFonts w:ascii="Calibri" w:hAnsi="Calibri" w:cs="Arial"/>
          <w:b/>
          <w:sz w:val="22"/>
          <w:szCs w:val="22"/>
        </w:rPr>
      </w:pPr>
      <w:r>
        <w:rPr>
          <w:rFonts w:ascii="Calibri" w:hAnsi="Calibri" w:cs="Arial"/>
          <w:b/>
          <w:sz w:val="22"/>
          <w:szCs w:val="22"/>
        </w:rPr>
        <w:t>SCHEDULE 2 – NEW SOUTH WALES</w:t>
      </w:r>
    </w:p>
    <w:p w:rsidR="00EE09D1" w:rsidRDefault="00EE09D1" w:rsidP="00EE09D1">
      <w:pPr>
        <w:pStyle w:val="ListParagraph"/>
        <w:numPr>
          <w:ilvl w:val="0"/>
          <w:numId w:val="43"/>
        </w:numPr>
        <w:spacing w:before="240" w:after="240"/>
        <w:jc w:val="both"/>
        <w:rPr>
          <w:rFonts w:ascii="Calibri" w:hAnsi="Calibri"/>
          <w:b/>
          <w:sz w:val="22"/>
          <w:szCs w:val="22"/>
        </w:rPr>
      </w:pPr>
      <w:r w:rsidRPr="00EE09D1">
        <w:rPr>
          <w:rFonts w:ascii="Calibri" w:hAnsi="Calibri"/>
          <w:b/>
          <w:sz w:val="22"/>
          <w:szCs w:val="22"/>
        </w:rPr>
        <w:t>NSW conditions</w:t>
      </w:r>
    </w:p>
    <w:p w:rsidR="00EE09D1" w:rsidRPr="00EE09D1" w:rsidRDefault="00EE09D1" w:rsidP="00EE09D1">
      <w:pPr>
        <w:pStyle w:val="ListParagraph"/>
        <w:spacing w:before="240" w:after="240"/>
        <w:ind w:left="360"/>
        <w:jc w:val="both"/>
        <w:rPr>
          <w:rFonts w:ascii="Calibri" w:hAnsi="Calibri"/>
          <w:b/>
          <w:sz w:val="22"/>
          <w:szCs w:val="22"/>
        </w:rPr>
      </w:pPr>
    </w:p>
    <w:p w:rsidR="00EE09D1" w:rsidRPr="00EE09D1" w:rsidRDefault="00EE09D1" w:rsidP="00EE09D1">
      <w:pPr>
        <w:pStyle w:val="ListParagraph"/>
        <w:numPr>
          <w:ilvl w:val="0"/>
          <w:numId w:val="44"/>
        </w:numPr>
        <w:spacing w:after="120"/>
        <w:jc w:val="both"/>
        <w:rPr>
          <w:rFonts w:ascii="Calibri" w:hAnsi="Calibri" w:cs="Arial"/>
          <w:sz w:val="22"/>
          <w:szCs w:val="22"/>
        </w:rPr>
      </w:pPr>
      <w:r w:rsidRPr="00EE09D1">
        <w:rPr>
          <w:rFonts w:ascii="Calibri" w:hAnsi="Calibri" w:cs="Arial"/>
          <w:sz w:val="22"/>
          <w:szCs w:val="22"/>
        </w:rPr>
        <w:t>SPVs, other than a mobile crane, must not exceed 2.5m in width.</w:t>
      </w:r>
    </w:p>
    <w:sectPr w:rsidR="00EE09D1" w:rsidRPr="00EE09D1" w:rsidSect="00446809">
      <w:headerReference w:type="default"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D" w:rsidRDefault="00DF457D" w:rsidP="00FF2DF9">
      <w:r>
        <w:separator/>
      </w:r>
    </w:p>
  </w:endnote>
  <w:endnote w:type="continuationSeparator" w:id="0">
    <w:p w:rsidR="00DF457D" w:rsidRDefault="00DF457D" w:rsidP="00F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ffraLight-Regular">
    <w:altName w:val="Effra Light"/>
    <w:panose1 w:val="00000000000000000000"/>
    <w:charset w:val="4D"/>
    <w:family w:val="auto"/>
    <w:notTrueType/>
    <w:pitch w:val="default"/>
    <w:sig w:usb0="00000003" w:usb1="00000000" w:usb2="00000000" w:usb3="00000000" w:csb0="00000001" w:csb1="00000000"/>
  </w:font>
  <w:font w:name="Effra-Bold">
    <w:altName w:val="Effr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34" w:rsidRDefault="00D94F34" w:rsidP="00D94F34">
    <w:pPr>
      <w:jc w:val="right"/>
      <w:rPr>
        <w:rFonts w:asciiTheme="minorHAnsi" w:hAnsiTheme="minorHAnsi"/>
        <w:sz w:val="22"/>
        <w:szCs w:val="22"/>
      </w:rPr>
    </w:pPr>
  </w:p>
  <w:p w:rsidR="00735616" w:rsidRDefault="00FA7301" w:rsidP="00D94F34">
    <w:pPr>
      <w:jc w:val="right"/>
      <w:rPr>
        <w:rFonts w:asciiTheme="minorHAnsi" w:hAnsiTheme="minorHAnsi"/>
        <w:sz w:val="22"/>
        <w:szCs w:val="22"/>
      </w:rPr>
    </w:pPr>
    <w:r w:rsidRPr="00735616">
      <w:rPr>
        <w:rFonts w:asciiTheme="minorHAnsi" w:hAnsiTheme="minorHAnsi"/>
        <w:sz w:val="22"/>
        <w:szCs w:val="22"/>
      </w:rPr>
      <w:t xml:space="preserve">National Heavy Vehicle Standards (Special Purpose Vehicles Exceeding 40 tonnes Total Mass) </w:t>
    </w:r>
    <w:r>
      <w:rPr>
        <w:rFonts w:asciiTheme="minorHAnsi" w:hAnsiTheme="minorHAnsi"/>
        <w:sz w:val="22"/>
        <w:szCs w:val="22"/>
      </w:rPr>
      <w:t xml:space="preserve">Exemption </w:t>
    </w:r>
    <w:r w:rsidRPr="00735616">
      <w:rPr>
        <w:rFonts w:asciiTheme="minorHAnsi" w:hAnsiTheme="minorHAnsi"/>
        <w:sz w:val="22"/>
        <w:szCs w:val="22"/>
      </w:rPr>
      <w:t>Notice 2018 (No. 1)</w:t>
    </w:r>
  </w:p>
  <w:p w:rsidR="00846613" w:rsidRPr="00D94F34" w:rsidRDefault="00846613" w:rsidP="00D94F34">
    <w:pPr>
      <w:jc w:val="right"/>
      <w:rPr>
        <w:rFonts w:asciiTheme="minorHAnsi" w:hAnsiTheme="minorHAnsi"/>
        <w:sz w:val="22"/>
        <w:szCs w:val="22"/>
      </w:rPr>
    </w:pPr>
    <w:r w:rsidRPr="00D94F34">
      <w:rPr>
        <w:rFonts w:asciiTheme="minorHAnsi" w:hAnsiTheme="minorHAnsi"/>
        <w:sz w:val="22"/>
        <w:szCs w:val="22"/>
      </w:rPr>
      <w:t xml:space="preserve">Page </w:t>
    </w:r>
    <w:r w:rsidRPr="00D94F34">
      <w:rPr>
        <w:rFonts w:asciiTheme="minorHAnsi" w:hAnsiTheme="minorHAnsi"/>
        <w:sz w:val="22"/>
        <w:szCs w:val="22"/>
      </w:rPr>
      <w:fldChar w:fldCharType="begin"/>
    </w:r>
    <w:r w:rsidRPr="00D94F34">
      <w:rPr>
        <w:rFonts w:asciiTheme="minorHAnsi" w:hAnsiTheme="minorHAnsi"/>
        <w:sz w:val="22"/>
        <w:szCs w:val="22"/>
      </w:rPr>
      <w:instrText xml:space="preserve"> PAGE </w:instrText>
    </w:r>
    <w:r w:rsidRPr="00D94F34">
      <w:rPr>
        <w:rFonts w:asciiTheme="minorHAnsi" w:hAnsiTheme="minorHAnsi"/>
        <w:sz w:val="22"/>
        <w:szCs w:val="22"/>
      </w:rPr>
      <w:fldChar w:fldCharType="separate"/>
    </w:r>
    <w:r w:rsidR="008F7C9F">
      <w:rPr>
        <w:rFonts w:asciiTheme="minorHAnsi" w:hAnsiTheme="minorHAnsi"/>
        <w:noProof/>
        <w:sz w:val="22"/>
        <w:szCs w:val="22"/>
      </w:rPr>
      <w:t>9</w:t>
    </w:r>
    <w:r w:rsidRPr="00D94F34">
      <w:rPr>
        <w:rFonts w:asciiTheme="minorHAnsi" w:hAnsiTheme="minorHAnsi"/>
        <w:sz w:val="22"/>
        <w:szCs w:val="22"/>
      </w:rPr>
      <w:fldChar w:fldCharType="end"/>
    </w:r>
    <w:r w:rsidRPr="00D94F34">
      <w:rPr>
        <w:rFonts w:asciiTheme="minorHAnsi" w:hAnsiTheme="minorHAnsi"/>
        <w:sz w:val="22"/>
        <w:szCs w:val="22"/>
      </w:rPr>
      <w:t xml:space="preserve"> of </w:t>
    </w:r>
    <w:r w:rsidRPr="00D94F34">
      <w:rPr>
        <w:rFonts w:asciiTheme="minorHAnsi" w:hAnsiTheme="minorHAnsi"/>
        <w:sz w:val="22"/>
        <w:szCs w:val="22"/>
      </w:rPr>
      <w:fldChar w:fldCharType="begin"/>
    </w:r>
    <w:r w:rsidRPr="00D94F34">
      <w:rPr>
        <w:rFonts w:asciiTheme="minorHAnsi" w:hAnsiTheme="minorHAnsi"/>
        <w:sz w:val="22"/>
        <w:szCs w:val="22"/>
      </w:rPr>
      <w:instrText xml:space="preserve"> NUMPAGES </w:instrText>
    </w:r>
    <w:r w:rsidRPr="00D94F34">
      <w:rPr>
        <w:rFonts w:asciiTheme="minorHAnsi" w:hAnsiTheme="minorHAnsi"/>
        <w:sz w:val="22"/>
        <w:szCs w:val="22"/>
      </w:rPr>
      <w:fldChar w:fldCharType="separate"/>
    </w:r>
    <w:r w:rsidR="008F7C9F">
      <w:rPr>
        <w:rFonts w:asciiTheme="minorHAnsi" w:hAnsiTheme="minorHAnsi"/>
        <w:noProof/>
        <w:sz w:val="22"/>
        <w:szCs w:val="22"/>
      </w:rPr>
      <w:t>9</w:t>
    </w:r>
    <w:r w:rsidRPr="00D94F34">
      <w:rPr>
        <w:rFonts w:asciiTheme="minorHAnsi" w:hAnsiTheme="minorHAns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09" w:rsidRDefault="00446809" w:rsidP="00446809">
    <w:pPr>
      <w:jc w:val="right"/>
      <w:rPr>
        <w:rFonts w:asciiTheme="minorHAnsi" w:hAnsiTheme="minorHAnsi"/>
        <w:sz w:val="22"/>
        <w:szCs w:val="22"/>
      </w:rPr>
    </w:pPr>
  </w:p>
  <w:p w:rsidR="00735616" w:rsidRDefault="00735616" w:rsidP="00446809">
    <w:pPr>
      <w:jc w:val="right"/>
      <w:rPr>
        <w:rFonts w:asciiTheme="minorHAnsi" w:hAnsiTheme="minorHAnsi"/>
        <w:sz w:val="22"/>
        <w:szCs w:val="22"/>
      </w:rPr>
    </w:pPr>
    <w:r w:rsidRPr="00735616">
      <w:rPr>
        <w:rFonts w:asciiTheme="minorHAnsi" w:hAnsiTheme="minorHAnsi"/>
        <w:sz w:val="22"/>
        <w:szCs w:val="22"/>
      </w:rPr>
      <w:t xml:space="preserve">National Heavy Vehicle Standards (Special Purpose Vehicles Exceeding 40 tonnes Total Mass) </w:t>
    </w:r>
    <w:r w:rsidR="00E30E2A">
      <w:rPr>
        <w:rFonts w:asciiTheme="minorHAnsi" w:hAnsiTheme="minorHAnsi"/>
        <w:sz w:val="22"/>
        <w:szCs w:val="22"/>
      </w:rPr>
      <w:t xml:space="preserve">Exemption </w:t>
    </w:r>
    <w:r w:rsidRPr="00735616">
      <w:rPr>
        <w:rFonts w:asciiTheme="minorHAnsi" w:hAnsiTheme="minorHAnsi"/>
        <w:sz w:val="22"/>
        <w:szCs w:val="22"/>
      </w:rPr>
      <w:t>Notice 2018 (No. 1)</w:t>
    </w:r>
  </w:p>
  <w:p w:rsidR="00446809" w:rsidRPr="00446809" w:rsidRDefault="00446809" w:rsidP="00446809">
    <w:pPr>
      <w:jc w:val="right"/>
      <w:rPr>
        <w:rFonts w:asciiTheme="minorHAnsi" w:hAnsiTheme="minorHAnsi"/>
        <w:sz w:val="22"/>
        <w:szCs w:val="22"/>
      </w:rPr>
    </w:pPr>
    <w:r w:rsidRPr="00D94F34">
      <w:rPr>
        <w:rFonts w:asciiTheme="minorHAnsi" w:hAnsiTheme="minorHAnsi"/>
        <w:sz w:val="22"/>
        <w:szCs w:val="22"/>
      </w:rPr>
      <w:t xml:space="preserve">Page </w:t>
    </w:r>
    <w:r w:rsidRPr="00D94F34">
      <w:rPr>
        <w:rFonts w:asciiTheme="minorHAnsi" w:hAnsiTheme="minorHAnsi"/>
        <w:sz w:val="22"/>
        <w:szCs w:val="22"/>
      </w:rPr>
      <w:fldChar w:fldCharType="begin"/>
    </w:r>
    <w:r w:rsidRPr="00D94F34">
      <w:rPr>
        <w:rFonts w:asciiTheme="minorHAnsi" w:hAnsiTheme="minorHAnsi"/>
        <w:sz w:val="22"/>
        <w:szCs w:val="22"/>
      </w:rPr>
      <w:instrText xml:space="preserve"> PAGE </w:instrText>
    </w:r>
    <w:r w:rsidRPr="00D94F34">
      <w:rPr>
        <w:rFonts w:asciiTheme="minorHAnsi" w:hAnsiTheme="minorHAnsi"/>
        <w:sz w:val="22"/>
        <w:szCs w:val="22"/>
      </w:rPr>
      <w:fldChar w:fldCharType="separate"/>
    </w:r>
    <w:r w:rsidR="008F7C9F">
      <w:rPr>
        <w:rFonts w:asciiTheme="minorHAnsi" w:hAnsiTheme="minorHAnsi"/>
        <w:noProof/>
        <w:sz w:val="22"/>
        <w:szCs w:val="22"/>
      </w:rPr>
      <w:t>1</w:t>
    </w:r>
    <w:r w:rsidRPr="00D94F34">
      <w:rPr>
        <w:rFonts w:asciiTheme="minorHAnsi" w:hAnsiTheme="minorHAnsi"/>
        <w:sz w:val="22"/>
        <w:szCs w:val="22"/>
      </w:rPr>
      <w:fldChar w:fldCharType="end"/>
    </w:r>
    <w:r w:rsidRPr="00D94F34">
      <w:rPr>
        <w:rFonts w:asciiTheme="minorHAnsi" w:hAnsiTheme="minorHAnsi"/>
        <w:sz w:val="22"/>
        <w:szCs w:val="22"/>
      </w:rPr>
      <w:t xml:space="preserve"> of </w:t>
    </w:r>
    <w:r w:rsidRPr="00D94F34">
      <w:rPr>
        <w:rFonts w:asciiTheme="minorHAnsi" w:hAnsiTheme="minorHAnsi"/>
        <w:sz w:val="22"/>
        <w:szCs w:val="22"/>
      </w:rPr>
      <w:fldChar w:fldCharType="begin"/>
    </w:r>
    <w:r w:rsidRPr="00D94F34">
      <w:rPr>
        <w:rFonts w:asciiTheme="minorHAnsi" w:hAnsiTheme="minorHAnsi"/>
        <w:sz w:val="22"/>
        <w:szCs w:val="22"/>
      </w:rPr>
      <w:instrText xml:space="preserve"> NUMPAGES </w:instrText>
    </w:r>
    <w:r w:rsidRPr="00D94F34">
      <w:rPr>
        <w:rFonts w:asciiTheme="minorHAnsi" w:hAnsiTheme="minorHAnsi"/>
        <w:sz w:val="22"/>
        <w:szCs w:val="22"/>
      </w:rPr>
      <w:fldChar w:fldCharType="separate"/>
    </w:r>
    <w:r w:rsidR="008F7C9F">
      <w:rPr>
        <w:rFonts w:asciiTheme="minorHAnsi" w:hAnsiTheme="minorHAnsi"/>
        <w:noProof/>
        <w:sz w:val="22"/>
        <w:szCs w:val="22"/>
      </w:rPr>
      <w:t>9</w:t>
    </w:r>
    <w:r w:rsidRPr="00D94F34">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D" w:rsidRDefault="00DF457D" w:rsidP="00FF2DF9">
      <w:r>
        <w:separator/>
      </w:r>
    </w:p>
  </w:footnote>
  <w:footnote w:type="continuationSeparator" w:id="0">
    <w:p w:rsidR="00DF457D" w:rsidRDefault="00DF457D" w:rsidP="00FF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13" w:rsidRPr="00E43B98" w:rsidRDefault="00846613" w:rsidP="00E43B98"/>
  <w:p w:rsidR="00846613" w:rsidRPr="00E43B98" w:rsidRDefault="00846613" w:rsidP="00E43B98"/>
  <w:p w:rsidR="00846613" w:rsidRPr="00CD3584" w:rsidRDefault="00846613" w:rsidP="001C4F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7D6105" w:rsidRPr="00CE796A" w:rsidTr="007B4050">
      <w:trPr>
        <w:trHeight w:val="984"/>
      </w:trPr>
      <w:tc>
        <w:tcPr>
          <w:tcW w:w="1263" w:type="dxa"/>
          <w:tcBorders>
            <w:top w:val="single" w:sz="4" w:space="0" w:color="auto"/>
            <w:left w:val="nil"/>
            <w:bottom w:val="single" w:sz="4" w:space="0" w:color="auto"/>
            <w:right w:val="nil"/>
            <w:tl2br w:val="nil"/>
            <w:tr2bl w:val="nil"/>
          </w:tcBorders>
          <w:shd w:val="clear" w:color="auto" w:fill="auto"/>
        </w:tcPr>
        <w:p w:rsidR="007D6105" w:rsidRPr="00CE796A" w:rsidRDefault="007D6105" w:rsidP="007B4050">
          <w:pPr>
            <w:spacing w:before="60"/>
            <w:ind w:left="-51"/>
            <w:rPr>
              <w:rFonts w:ascii="Arial" w:hAnsi="Arial"/>
              <w:sz w:val="12"/>
            </w:rPr>
          </w:pPr>
          <w:bookmarkStart w:id="2" w:name="OLE_LINK2"/>
          <w:r>
            <w:rPr>
              <w:rFonts w:ascii="Arial" w:hAnsi="Arial"/>
              <w:noProof/>
              <w:sz w:val="12"/>
            </w:rPr>
            <w:drawing>
              <wp:inline distT="0" distB="0" distL="0" distR="0" wp14:anchorId="039D9579" wp14:editId="4F7BF815">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7D6105" w:rsidRPr="00CE796A" w:rsidRDefault="007D6105" w:rsidP="007B4050">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7D6105" w:rsidRPr="00CE796A" w:rsidRDefault="007D6105" w:rsidP="007B4050">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7D6105" w:rsidRPr="00CE796A" w:rsidTr="007B405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7D6105" w:rsidRPr="00CE796A" w:rsidRDefault="007D6105" w:rsidP="007B4050">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7D6105" w:rsidRPr="00840A06" w:rsidRDefault="007D6105" w:rsidP="007B4050">
          <w:pPr>
            <w:jc w:val="right"/>
            <w:rPr>
              <w:rFonts w:ascii="Arial" w:hAnsi="Arial" w:cs="Arial"/>
              <w:b/>
            </w:rPr>
          </w:pPr>
          <w:r w:rsidRPr="00840A06">
            <w:rPr>
              <w:rFonts w:ascii="Arial" w:hAnsi="Arial" w:cs="Arial"/>
              <w:b/>
            </w:rPr>
            <w:t>GOVERNMENT NOTICES</w:t>
          </w:r>
        </w:p>
      </w:tc>
    </w:tr>
    <w:bookmarkEnd w:id="2"/>
  </w:tbl>
  <w:p w:rsidR="007D6105" w:rsidRDefault="007D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D38"/>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9C6AF4"/>
    <w:multiLevelType w:val="hybridMultilevel"/>
    <w:tmpl w:val="1DF6D250"/>
    <w:lvl w:ilvl="0" w:tplc="76A8743E">
      <w:start w:val="1"/>
      <w:numFmt w:val="lowerLetter"/>
      <w:lvlText w:val="(%1)"/>
      <w:lvlJc w:val="left"/>
      <w:pPr>
        <w:ind w:left="1070" w:hanging="360"/>
      </w:pPr>
      <w:rPr>
        <w:rFonts w:hint="default"/>
        <w:b w:val="0"/>
      </w:rPr>
    </w:lvl>
    <w:lvl w:ilvl="1" w:tplc="0C090019" w:tentative="1">
      <w:start w:val="1"/>
      <w:numFmt w:val="lowerLetter"/>
      <w:lvlText w:val="%2."/>
      <w:lvlJc w:val="left"/>
      <w:pPr>
        <w:ind w:left="1070" w:hanging="360"/>
      </w:pPr>
    </w:lvl>
    <w:lvl w:ilvl="2" w:tplc="0C09001B" w:tentative="1">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2">
    <w:nsid w:val="06E35A29"/>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1B6B5B"/>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D25356"/>
    <w:multiLevelType w:val="hybridMultilevel"/>
    <w:tmpl w:val="C7FED466"/>
    <w:lvl w:ilvl="0" w:tplc="8C449990">
      <w:start w:val="1"/>
      <w:numFmt w:val="decimal"/>
      <w:lvlText w:val="(%1)"/>
      <w:lvlJc w:val="left"/>
      <w:pPr>
        <w:ind w:left="720" w:hanging="360"/>
      </w:pPr>
      <w:rPr>
        <w:rFonts w:hint="default"/>
        <w:b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9E5696"/>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65C7511"/>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01073F"/>
    <w:multiLevelType w:val="hybridMultilevel"/>
    <w:tmpl w:val="D73C996A"/>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0F63187"/>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C076B0"/>
    <w:multiLevelType w:val="hybridMultilevel"/>
    <w:tmpl w:val="344A436A"/>
    <w:lvl w:ilvl="0" w:tplc="0C09001B">
      <w:start w:val="1"/>
      <w:numFmt w:val="lowerRoman"/>
      <w:lvlText w:val="%1."/>
      <w:lvlJc w:val="right"/>
      <w:pPr>
        <w:ind w:left="1800" w:hanging="360"/>
      </w:pPr>
      <w:rPr>
        <w:rFonts w:hint="default"/>
      </w:rPr>
    </w:lvl>
    <w:lvl w:ilvl="1" w:tplc="0C09001B">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25514E79"/>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622F6F"/>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A505F2"/>
    <w:multiLevelType w:val="hybridMultilevel"/>
    <w:tmpl w:val="F1EA4A14"/>
    <w:lvl w:ilvl="0" w:tplc="17DA6C6A">
      <w:start w:val="1"/>
      <w:numFmt w:val="decimal"/>
      <w:lvlText w:val="(%1)"/>
      <w:lvlJc w:val="left"/>
      <w:pPr>
        <w:ind w:left="720" w:hanging="360"/>
      </w:pPr>
      <w:rPr>
        <w:rFonts w:hint="default"/>
      </w:rPr>
    </w:lvl>
    <w:lvl w:ilvl="1" w:tplc="5F469D66">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231AD2"/>
    <w:multiLevelType w:val="hybridMultilevel"/>
    <w:tmpl w:val="1DF6D250"/>
    <w:lvl w:ilvl="0" w:tplc="76A8743E">
      <w:start w:val="1"/>
      <w:numFmt w:val="lowerLetter"/>
      <w:lvlText w:val="(%1)"/>
      <w:lvlJc w:val="left"/>
      <w:pPr>
        <w:ind w:left="1070" w:hanging="360"/>
      </w:pPr>
      <w:rPr>
        <w:rFonts w:hint="default"/>
        <w:b w:val="0"/>
      </w:rPr>
    </w:lvl>
    <w:lvl w:ilvl="1" w:tplc="0C090019" w:tentative="1">
      <w:start w:val="1"/>
      <w:numFmt w:val="lowerLetter"/>
      <w:lvlText w:val="%2."/>
      <w:lvlJc w:val="left"/>
      <w:pPr>
        <w:ind w:left="1070" w:hanging="360"/>
      </w:pPr>
    </w:lvl>
    <w:lvl w:ilvl="2" w:tplc="0C09001B" w:tentative="1">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14">
    <w:nsid w:val="2CE0558E"/>
    <w:multiLevelType w:val="hybridMultilevel"/>
    <w:tmpl w:val="535444BE"/>
    <w:lvl w:ilvl="0" w:tplc="3FBC7BE0">
      <w:start w:val="1"/>
      <w:numFmt w:val="decimal"/>
      <w:lvlText w:val="(%1)"/>
      <w:lvlJc w:val="left"/>
      <w:pPr>
        <w:ind w:left="720" w:hanging="360"/>
      </w:pPr>
      <w:rPr>
        <w:rFonts w:hint="default"/>
        <w:b w:val="0"/>
      </w:rPr>
    </w:lvl>
    <w:lvl w:ilvl="1" w:tplc="76A8743E">
      <w:start w:val="1"/>
      <w:numFmt w:val="lowerLetter"/>
      <w:lvlText w:val="(%2)"/>
      <w:lvlJc w:val="left"/>
      <w:pPr>
        <w:ind w:left="107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802F5E"/>
    <w:multiLevelType w:val="hybridMultilevel"/>
    <w:tmpl w:val="C4EE685E"/>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0810CF3"/>
    <w:multiLevelType w:val="hybridMultilevel"/>
    <w:tmpl w:val="D73C996A"/>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67606F1"/>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6610A3"/>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AF2090A"/>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FCA6B6A"/>
    <w:multiLevelType w:val="hybridMultilevel"/>
    <w:tmpl w:val="EBE431EA"/>
    <w:lvl w:ilvl="0" w:tplc="2BF8202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08B46E0"/>
    <w:multiLevelType w:val="hybridMultilevel"/>
    <w:tmpl w:val="85E65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4DA31D7"/>
    <w:multiLevelType w:val="hybridMultilevel"/>
    <w:tmpl w:val="8A348058"/>
    <w:lvl w:ilvl="0" w:tplc="4B3CB96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5411FA7"/>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D353642"/>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000251"/>
    <w:multiLevelType w:val="hybridMultilevel"/>
    <w:tmpl w:val="F4A6210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6">
    <w:nsid w:val="4F400E69"/>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ED420F"/>
    <w:multiLevelType w:val="hybridMultilevel"/>
    <w:tmpl w:val="EBE431EA"/>
    <w:lvl w:ilvl="0" w:tplc="2BF8202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60367FB"/>
    <w:multiLevelType w:val="hybridMultilevel"/>
    <w:tmpl w:val="D73C996A"/>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6F23A20"/>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CB3FC0"/>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2C3933"/>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626C84"/>
    <w:multiLevelType w:val="hybridMultilevel"/>
    <w:tmpl w:val="1848DDEC"/>
    <w:lvl w:ilvl="0" w:tplc="BFF010B6">
      <w:start w:val="1"/>
      <w:numFmt w:val="lowerLetter"/>
      <w:lvlText w:val="(%1)"/>
      <w:lvlJc w:val="left"/>
      <w:pPr>
        <w:ind w:left="1632" w:hanging="360"/>
      </w:pPr>
    </w:lvl>
    <w:lvl w:ilvl="1" w:tplc="0C090019">
      <w:start w:val="1"/>
      <w:numFmt w:val="lowerLetter"/>
      <w:lvlText w:val="%2."/>
      <w:lvlJc w:val="left"/>
      <w:pPr>
        <w:ind w:left="2352" w:hanging="360"/>
      </w:pPr>
    </w:lvl>
    <w:lvl w:ilvl="2" w:tplc="0C09001B">
      <w:start w:val="1"/>
      <w:numFmt w:val="lowerRoman"/>
      <w:lvlText w:val="%3."/>
      <w:lvlJc w:val="right"/>
      <w:pPr>
        <w:ind w:left="3072" w:hanging="180"/>
      </w:pPr>
    </w:lvl>
    <w:lvl w:ilvl="3" w:tplc="0C09000F">
      <w:start w:val="1"/>
      <w:numFmt w:val="decimal"/>
      <w:lvlText w:val="%4."/>
      <w:lvlJc w:val="left"/>
      <w:pPr>
        <w:ind w:left="3792" w:hanging="360"/>
      </w:pPr>
    </w:lvl>
    <w:lvl w:ilvl="4" w:tplc="0C090019">
      <w:start w:val="1"/>
      <w:numFmt w:val="lowerLetter"/>
      <w:lvlText w:val="%5."/>
      <w:lvlJc w:val="left"/>
      <w:pPr>
        <w:ind w:left="4512" w:hanging="360"/>
      </w:pPr>
    </w:lvl>
    <w:lvl w:ilvl="5" w:tplc="0C09001B">
      <w:start w:val="1"/>
      <w:numFmt w:val="lowerRoman"/>
      <w:lvlText w:val="%6."/>
      <w:lvlJc w:val="right"/>
      <w:pPr>
        <w:ind w:left="5232" w:hanging="180"/>
      </w:pPr>
    </w:lvl>
    <w:lvl w:ilvl="6" w:tplc="0C09000F">
      <w:start w:val="1"/>
      <w:numFmt w:val="decimal"/>
      <w:lvlText w:val="%7."/>
      <w:lvlJc w:val="left"/>
      <w:pPr>
        <w:ind w:left="5952" w:hanging="360"/>
      </w:pPr>
    </w:lvl>
    <w:lvl w:ilvl="7" w:tplc="0C090019">
      <w:start w:val="1"/>
      <w:numFmt w:val="lowerLetter"/>
      <w:lvlText w:val="%8."/>
      <w:lvlJc w:val="left"/>
      <w:pPr>
        <w:ind w:left="6672" w:hanging="360"/>
      </w:pPr>
    </w:lvl>
    <w:lvl w:ilvl="8" w:tplc="0C09001B">
      <w:start w:val="1"/>
      <w:numFmt w:val="lowerRoman"/>
      <w:lvlText w:val="%9."/>
      <w:lvlJc w:val="right"/>
      <w:pPr>
        <w:ind w:left="7392" w:hanging="180"/>
      </w:pPr>
    </w:lvl>
  </w:abstractNum>
  <w:abstractNum w:abstractNumId="33">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0B3D80"/>
    <w:multiLevelType w:val="hybridMultilevel"/>
    <w:tmpl w:val="1F8461F4"/>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13569DC"/>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16F2ACF"/>
    <w:multiLevelType w:val="hybridMultilevel"/>
    <w:tmpl w:val="D73C996A"/>
    <w:lvl w:ilvl="0" w:tplc="0C090017">
      <w:start w:val="1"/>
      <w:numFmt w:val="lowerLetter"/>
      <w:lvlText w:val="%1)"/>
      <w:lvlJc w:val="left"/>
      <w:pPr>
        <w:ind w:left="1440" w:hanging="360"/>
      </w:pPr>
      <w:rPr>
        <w:rFonts w:hint="default"/>
      </w:rPr>
    </w:lvl>
    <w:lvl w:ilvl="1" w:tplc="400089E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6517772B"/>
    <w:multiLevelType w:val="hybridMultilevel"/>
    <w:tmpl w:val="EBE431EA"/>
    <w:lvl w:ilvl="0" w:tplc="2BF8202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B166911"/>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DC28B9"/>
    <w:multiLevelType w:val="hybridMultilevel"/>
    <w:tmpl w:val="420A0774"/>
    <w:lvl w:ilvl="0" w:tplc="0824AD76">
      <w:start w:val="1"/>
      <w:numFmt w:val="decimal"/>
      <w:lvlText w:val="(%1)"/>
      <w:lvlJc w:val="left"/>
      <w:pPr>
        <w:ind w:left="1272" w:hanging="360"/>
      </w:pPr>
      <w:rPr>
        <w:b w:val="0"/>
      </w:rPr>
    </w:lvl>
    <w:lvl w:ilvl="1" w:tplc="0C090019">
      <w:start w:val="1"/>
      <w:numFmt w:val="lowerLetter"/>
      <w:lvlText w:val="%2."/>
      <w:lvlJc w:val="left"/>
      <w:pPr>
        <w:ind w:left="1992" w:hanging="360"/>
      </w:pPr>
    </w:lvl>
    <w:lvl w:ilvl="2" w:tplc="0C09001B">
      <w:start w:val="1"/>
      <w:numFmt w:val="lowerRoman"/>
      <w:lvlText w:val="%3."/>
      <w:lvlJc w:val="right"/>
      <w:pPr>
        <w:ind w:left="2712" w:hanging="180"/>
      </w:pPr>
    </w:lvl>
    <w:lvl w:ilvl="3" w:tplc="0C09000F">
      <w:start w:val="1"/>
      <w:numFmt w:val="decimal"/>
      <w:lvlText w:val="%4."/>
      <w:lvlJc w:val="left"/>
      <w:pPr>
        <w:ind w:left="3432" w:hanging="360"/>
      </w:pPr>
    </w:lvl>
    <w:lvl w:ilvl="4" w:tplc="0C090019">
      <w:start w:val="1"/>
      <w:numFmt w:val="lowerLetter"/>
      <w:lvlText w:val="%5."/>
      <w:lvlJc w:val="left"/>
      <w:pPr>
        <w:ind w:left="4152" w:hanging="360"/>
      </w:pPr>
    </w:lvl>
    <w:lvl w:ilvl="5" w:tplc="0C09001B">
      <w:start w:val="1"/>
      <w:numFmt w:val="lowerRoman"/>
      <w:lvlText w:val="%6."/>
      <w:lvlJc w:val="right"/>
      <w:pPr>
        <w:ind w:left="4872" w:hanging="180"/>
      </w:pPr>
    </w:lvl>
    <w:lvl w:ilvl="6" w:tplc="0C09000F">
      <w:start w:val="1"/>
      <w:numFmt w:val="decimal"/>
      <w:lvlText w:val="%7."/>
      <w:lvlJc w:val="left"/>
      <w:pPr>
        <w:ind w:left="5592" w:hanging="360"/>
      </w:pPr>
    </w:lvl>
    <w:lvl w:ilvl="7" w:tplc="0C090019">
      <w:start w:val="1"/>
      <w:numFmt w:val="lowerLetter"/>
      <w:lvlText w:val="%8."/>
      <w:lvlJc w:val="left"/>
      <w:pPr>
        <w:ind w:left="6312" w:hanging="360"/>
      </w:pPr>
    </w:lvl>
    <w:lvl w:ilvl="8" w:tplc="0C09001B">
      <w:start w:val="1"/>
      <w:numFmt w:val="lowerRoman"/>
      <w:lvlText w:val="%9."/>
      <w:lvlJc w:val="right"/>
      <w:pPr>
        <w:ind w:left="7032" w:hanging="180"/>
      </w:pPr>
    </w:lvl>
  </w:abstractNum>
  <w:abstractNum w:abstractNumId="40">
    <w:nsid w:val="6CC927E7"/>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AC07DF"/>
    <w:multiLevelType w:val="hybridMultilevel"/>
    <w:tmpl w:val="8A348058"/>
    <w:lvl w:ilvl="0" w:tplc="4B3CB96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AD1F28"/>
    <w:multiLevelType w:val="hybridMultilevel"/>
    <w:tmpl w:val="3146A22E"/>
    <w:lvl w:ilvl="0" w:tplc="70E2FC56">
      <w:start w:val="1"/>
      <w:numFmt w:val="decimal"/>
      <w:lvlText w:val="(%1)"/>
      <w:lvlJc w:val="left"/>
      <w:pPr>
        <w:ind w:left="644" w:hanging="360"/>
      </w:pPr>
      <w:rPr>
        <w:rFonts w:hint="default"/>
        <w:b w:val="0"/>
      </w:rPr>
    </w:lvl>
    <w:lvl w:ilvl="1" w:tplc="76A8743E">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D514FF"/>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3E27A03"/>
    <w:multiLevelType w:val="hybridMultilevel"/>
    <w:tmpl w:val="42E4A64A"/>
    <w:lvl w:ilvl="0" w:tplc="8D9E716E">
      <w:start w:val="1"/>
      <w:numFmt w:val="decimal"/>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83D1DA2"/>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A042C21"/>
    <w:multiLevelType w:val="hybridMultilevel"/>
    <w:tmpl w:val="665A24EC"/>
    <w:lvl w:ilvl="0" w:tplc="0824AD76">
      <w:start w:val="1"/>
      <w:numFmt w:val="decimal"/>
      <w:lvlText w:val="(%1)"/>
      <w:lvlJc w:val="left"/>
      <w:pPr>
        <w:ind w:left="720" w:hanging="360"/>
      </w:pPr>
      <w:rPr>
        <w:rFonts w:hint="default"/>
        <w:b w:val="0"/>
      </w:rPr>
    </w:lvl>
    <w:lvl w:ilvl="1" w:tplc="BFF010B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C3C518A"/>
    <w:multiLevelType w:val="hybridMultilevel"/>
    <w:tmpl w:val="D73C996A"/>
    <w:lvl w:ilvl="0" w:tplc="0C090017">
      <w:start w:val="1"/>
      <w:numFmt w:val="lowerLetter"/>
      <w:lvlText w:val="%1)"/>
      <w:lvlJc w:val="left"/>
      <w:pPr>
        <w:ind w:left="1080" w:hanging="360"/>
      </w:pPr>
      <w:rPr>
        <w:rFonts w:hint="default"/>
      </w:rPr>
    </w:lvl>
    <w:lvl w:ilvl="1" w:tplc="400089E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42"/>
  </w:num>
  <w:num w:numId="3">
    <w:abstractNumId w:val="33"/>
  </w:num>
  <w:num w:numId="4">
    <w:abstractNumId w:val="49"/>
  </w:num>
  <w:num w:numId="5">
    <w:abstractNumId w:val="41"/>
  </w:num>
  <w:num w:numId="6">
    <w:abstractNumId w:val="14"/>
  </w:num>
  <w:num w:numId="7">
    <w:abstractNumId w:val="2"/>
  </w:num>
  <w:num w:numId="8">
    <w:abstractNumId w:val="12"/>
  </w:num>
  <w:num w:numId="9">
    <w:abstractNumId w:val="45"/>
  </w:num>
  <w:num w:numId="10">
    <w:abstractNumId w:val="43"/>
  </w:num>
  <w:num w:numId="11">
    <w:abstractNumId w:val="13"/>
  </w:num>
  <w:num w:numId="12">
    <w:abstractNumId w:val="1"/>
  </w:num>
  <w:num w:numId="13">
    <w:abstractNumId w:val="22"/>
  </w:num>
  <w:num w:numId="14">
    <w:abstractNumId w:val="48"/>
  </w:num>
  <w:num w:numId="15">
    <w:abstractNumId w:val="28"/>
  </w:num>
  <w:num w:numId="16">
    <w:abstractNumId w:val="15"/>
  </w:num>
  <w:num w:numId="17">
    <w:abstractNumId w:val="9"/>
  </w:num>
  <w:num w:numId="18">
    <w:abstractNumId w:val="16"/>
  </w:num>
  <w:num w:numId="19">
    <w:abstractNumId w:val="4"/>
  </w:num>
  <w:num w:numId="20">
    <w:abstractNumId w:val="29"/>
  </w:num>
  <w:num w:numId="21">
    <w:abstractNumId w:val="38"/>
  </w:num>
  <w:num w:numId="22">
    <w:abstractNumId w:val="11"/>
  </w:num>
  <w:num w:numId="23">
    <w:abstractNumId w:val="17"/>
  </w:num>
  <w:num w:numId="24">
    <w:abstractNumId w:val="19"/>
  </w:num>
  <w:num w:numId="25">
    <w:abstractNumId w:val="18"/>
  </w:num>
  <w:num w:numId="26">
    <w:abstractNumId w:val="36"/>
  </w:num>
  <w:num w:numId="27">
    <w:abstractNumId w:val="3"/>
  </w:num>
  <w:num w:numId="28">
    <w:abstractNumId w:val="44"/>
  </w:num>
  <w:num w:numId="29">
    <w:abstractNumId w:val="47"/>
  </w:num>
  <w:num w:numId="30">
    <w:abstractNumId w:val="34"/>
  </w:num>
  <w:num w:numId="31">
    <w:abstractNumId w:val="7"/>
  </w:num>
  <w:num w:numId="32">
    <w:abstractNumId w:val="23"/>
  </w:num>
  <w:num w:numId="33">
    <w:abstractNumId w:val="40"/>
  </w:num>
  <w:num w:numId="34">
    <w:abstractNumId w:val="46"/>
  </w:num>
  <w:num w:numId="35">
    <w:abstractNumId w:val="31"/>
  </w:num>
  <w:num w:numId="36">
    <w:abstractNumId w:val="24"/>
  </w:num>
  <w:num w:numId="37">
    <w:abstractNumId w:val="10"/>
  </w:num>
  <w:num w:numId="38">
    <w:abstractNumId w:val="35"/>
  </w:num>
  <w:num w:numId="39">
    <w:abstractNumId w:val="21"/>
  </w:num>
  <w:num w:numId="40">
    <w:abstractNumId w:val="8"/>
  </w:num>
  <w:num w:numId="41">
    <w:abstractNumId w:val="27"/>
  </w:num>
  <w:num w:numId="42">
    <w:abstractNumId w:val="0"/>
  </w:num>
  <w:num w:numId="43">
    <w:abstractNumId w:val="20"/>
  </w:num>
  <w:num w:numId="44">
    <w:abstractNumId w:val="6"/>
  </w:num>
  <w:num w:numId="45">
    <w:abstractNumId w:val="25"/>
  </w:num>
  <w:num w:numId="46">
    <w:abstractNumId w:val="3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1DEC"/>
    <w:rsid w:val="0000519A"/>
    <w:rsid w:val="00006ADD"/>
    <w:rsid w:val="0000738B"/>
    <w:rsid w:val="00011BB1"/>
    <w:rsid w:val="00012046"/>
    <w:rsid w:val="000246DB"/>
    <w:rsid w:val="000365B5"/>
    <w:rsid w:val="00042036"/>
    <w:rsid w:val="00055000"/>
    <w:rsid w:val="00063BFE"/>
    <w:rsid w:val="00083127"/>
    <w:rsid w:val="00090BF2"/>
    <w:rsid w:val="000943D6"/>
    <w:rsid w:val="00097E4C"/>
    <w:rsid w:val="000A116A"/>
    <w:rsid w:val="000B05AF"/>
    <w:rsid w:val="000B3D1E"/>
    <w:rsid w:val="000B472D"/>
    <w:rsid w:val="000B5E26"/>
    <w:rsid w:val="000C0AA6"/>
    <w:rsid w:val="000D65B1"/>
    <w:rsid w:val="000F2293"/>
    <w:rsid w:val="001011F8"/>
    <w:rsid w:val="00103B80"/>
    <w:rsid w:val="001044E8"/>
    <w:rsid w:val="001322A4"/>
    <w:rsid w:val="0013487B"/>
    <w:rsid w:val="00134B82"/>
    <w:rsid w:val="00136DD2"/>
    <w:rsid w:val="00152497"/>
    <w:rsid w:val="0015523C"/>
    <w:rsid w:val="001565B1"/>
    <w:rsid w:val="00166F7D"/>
    <w:rsid w:val="001A065E"/>
    <w:rsid w:val="001B432E"/>
    <w:rsid w:val="001C2E57"/>
    <w:rsid w:val="001C37D9"/>
    <w:rsid w:val="001C45C7"/>
    <w:rsid w:val="001C4F71"/>
    <w:rsid w:val="001C65FD"/>
    <w:rsid w:val="001E2114"/>
    <w:rsid w:val="001E6A94"/>
    <w:rsid w:val="001F7963"/>
    <w:rsid w:val="00202039"/>
    <w:rsid w:val="00217681"/>
    <w:rsid w:val="002238D8"/>
    <w:rsid w:val="00237E20"/>
    <w:rsid w:val="00241589"/>
    <w:rsid w:val="00257A4E"/>
    <w:rsid w:val="00260DED"/>
    <w:rsid w:val="002667E6"/>
    <w:rsid w:val="00271D59"/>
    <w:rsid w:val="00281554"/>
    <w:rsid w:val="0029492F"/>
    <w:rsid w:val="0029616B"/>
    <w:rsid w:val="002B0E7F"/>
    <w:rsid w:val="002B5481"/>
    <w:rsid w:val="002C1AF2"/>
    <w:rsid w:val="002D0D47"/>
    <w:rsid w:val="002D6A50"/>
    <w:rsid w:val="002E248D"/>
    <w:rsid w:val="002F7BBF"/>
    <w:rsid w:val="003127AC"/>
    <w:rsid w:val="003146D2"/>
    <w:rsid w:val="00314FF3"/>
    <w:rsid w:val="00320412"/>
    <w:rsid w:val="00362B04"/>
    <w:rsid w:val="003803EF"/>
    <w:rsid w:val="00385060"/>
    <w:rsid w:val="003A3FE1"/>
    <w:rsid w:val="003A491A"/>
    <w:rsid w:val="003B471E"/>
    <w:rsid w:val="003B7564"/>
    <w:rsid w:val="003C4403"/>
    <w:rsid w:val="003C4ADE"/>
    <w:rsid w:val="003E00B8"/>
    <w:rsid w:val="003E2AB1"/>
    <w:rsid w:val="003F1440"/>
    <w:rsid w:val="003F2C19"/>
    <w:rsid w:val="00403AFD"/>
    <w:rsid w:val="0040702E"/>
    <w:rsid w:val="0040737E"/>
    <w:rsid w:val="0041006D"/>
    <w:rsid w:val="00446809"/>
    <w:rsid w:val="004516DD"/>
    <w:rsid w:val="00451F64"/>
    <w:rsid w:val="004528D0"/>
    <w:rsid w:val="004629AB"/>
    <w:rsid w:val="00466352"/>
    <w:rsid w:val="004816AF"/>
    <w:rsid w:val="004922E9"/>
    <w:rsid w:val="00493AF0"/>
    <w:rsid w:val="004C5C3F"/>
    <w:rsid w:val="004E389F"/>
    <w:rsid w:val="004E6475"/>
    <w:rsid w:val="004F71CF"/>
    <w:rsid w:val="0050304A"/>
    <w:rsid w:val="0050475A"/>
    <w:rsid w:val="005064B3"/>
    <w:rsid w:val="00531DCB"/>
    <w:rsid w:val="00540EFA"/>
    <w:rsid w:val="0054300E"/>
    <w:rsid w:val="00543E56"/>
    <w:rsid w:val="005467C7"/>
    <w:rsid w:val="00547BA3"/>
    <w:rsid w:val="005507A5"/>
    <w:rsid w:val="00556049"/>
    <w:rsid w:val="00557754"/>
    <w:rsid w:val="00562B46"/>
    <w:rsid w:val="005632E1"/>
    <w:rsid w:val="00565193"/>
    <w:rsid w:val="005716BE"/>
    <w:rsid w:val="00576B9F"/>
    <w:rsid w:val="00590E86"/>
    <w:rsid w:val="00595061"/>
    <w:rsid w:val="00595CFF"/>
    <w:rsid w:val="00596662"/>
    <w:rsid w:val="005A0B53"/>
    <w:rsid w:val="005A1653"/>
    <w:rsid w:val="005B3328"/>
    <w:rsid w:val="005C42DA"/>
    <w:rsid w:val="005C63FF"/>
    <w:rsid w:val="005D2869"/>
    <w:rsid w:val="005E0AE2"/>
    <w:rsid w:val="005E1840"/>
    <w:rsid w:val="005E31BE"/>
    <w:rsid w:val="005E4B30"/>
    <w:rsid w:val="005E6334"/>
    <w:rsid w:val="00617127"/>
    <w:rsid w:val="006216CE"/>
    <w:rsid w:val="0062260A"/>
    <w:rsid w:val="006228E8"/>
    <w:rsid w:val="00623949"/>
    <w:rsid w:val="00626BA6"/>
    <w:rsid w:val="006410EF"/>
    <w:rsid w:val="00651A73"/>
    <w:rsid w:val="00655932"/>
    <w:rsid w:val="006770C9"/>
    <w:rsid w:val="00681C2B"/>
    <w:rsid w:val="00681F10"/>
    <w:rsid w:val="00690BE8"/>
    <w:rsid w:val="0069184E"/>
    <w:rsid w:val="006A48A7"/>
    <w:rsid w:val="006B7D83"/>
    <w:rsid w:val="006C506A"/>
    <w:rsid w:val="006D3B62"/>
    <w:rsid w:val="006D3C4E"/>
    <w:rsid w:val="006D4D83"/>
    <w:rsid w:val="006E65BD"/>
    <w:rsid w:val="00714B42"/>
    <w:rsid w:val="00715CE3"/>
    <w:rsid w:val="00716D95"/>
    <w:rsid w:val="0072261E"/>
    <w:rsid w:val="0073186D"/>
    <w:rsid w:val="00733E80"/>
    <w:rsid w:val="007352FC"/>
    <w:rsid w:val="00735616"/>
    <w:rsid w:val="00736973"/>
    <w:rsid w:val="00740F1E"/>
    <w:rsid w:val="00755B44"/>
    <w:rsid w:val="00756157"/>
    <w:rsid w:val="00761815"/>
    <w:rsid w:val="00764E6C"/>
    <w:rsid w:val="007709AC"/>
    <w:rsid w:val="007716C3"/>
    <w:rsid w:val="00774BE7"/>
    <w:rsid w:val="00775CC8"/>
    <w:rsid w:val="00782449"/>
    <w:rsid w:val="00786237"/>
    <w:rsid w:val="00797A4E"/>
    <w:rsid w:val="007A0963"/>
    <w:rsid w:val="007A3915"/>
    <w:rsid w:val="007A550E"/>
    <w:rsid w:val="007A6CEB"/>
    <w:rsid w:val="007A7BF2"/>
    <w:rsid w:val="007B3660"/>
    <w:rsid w:val="007B6E5D"/>
    <w:rsid w:val="007C074A"/>
    <w:rsid w:val="007C33F5"/>
    <w:rsid w:val="007C6E96"/>
    <w:rsid w:val="007D1D06"/>
    <w:rsid w:val="007D6105"/>
    <w:rsid w:val="007E39F6"/>
    <w:rsid w:val="008009F1"/>
    <w:rsid w:val="00800D4F"/>
    <w:rsid w:val="00803014"/>
    <w:rsid w:val="00803ECF"/>
    <w:rsid w:val="00807D8F"/>
    <w:rsid w:val="008130C0"/>
    <w:rsid w:val="00821B16"/>
    <w:rsid w:val="00822F89"/>
    <w:rsid w:val="008257A4"/>
    <w:rsid w:val="00831ABB"/>
    <w:rsid w:val="00831ABC"/>
    <w:rsid w:val="00831C59"/>
    <w:rsid w:val="008337D0"/>
    <w:rsid w:val="008350DB"/>
    <w:rsid w:val="008414A5"/>
    <w:rsid w:val="00846613"/>
    <w:rsid w:val="0084681F"/>
    <w:rsid w:val="00850AA5"/>
    <w:rsid w:val="00852245"/>
    <w:rsid w:val="00870541"/>
    <w:rsid w:val="00887962"/>
    <w:rsid w:val="008925F0"/>
    <w:rsid w:val="00892963"/>
    <w:rsid w:val="008A3C21"/>
    <w:rsid w:val="008A3F71"/>
    <w:rsid w:val="008B28D9"/>
    <w:rsid w:val="008C57E2"/>
    <w:rsid w:val="008C72D6"/>
    <w:rsid w:val="008F7C9F"/>
    <w:rsid w:val="009022DC"/>
    <w:rsid w:val="00903132"/>
    <w:rsid w:val="009141B4"/>
    <w:rsid w:val="00916C49"/>
    <w:rsid w:val="00917479"/>
    <w:rsid w:val="00930157"/>
    <w:rsid w:val="00930F57"/>
    <w:rsid w:val="009312D6"/>
    <w:rsid w:val="00934A25"/>
    <w:rsid w:val="00943144"/>
    <w:rsid w:val="00944106"/>
    <w:rsid w:val="00945752"/>
    <w:rsid w:val="0095195E"/>
    <w:rsid w:val="0097084A"/>
    <w:rsid w:val="009908F1"/>
    <w:rsid w:val="00991574"/>
    <w:rsid w:val="009B26C1"/>
    <w:rsid w:val="009B4997"/>
    <w:rsid w:val="009B552A"/>
    <w:rsid w:val="009C3354"/>
    <w:rsid w:val="009C42F5"/>
    <w:rsid w:val="009D2E33"/>
    <w:rsid w:val="009E0227"/>
    <w:rsid w:val="009E376E"/>
    <w:rsid w:val="009E7C7B"/>
    <w:rsid w:val="00A02536"/>
    <w:rsid w:val="00A02DCD"/>
    <w:rsid w:val="00A0353D"/>
    <w:rsid w:val="00A03F9E"/>
    <w:rsid w:val="00A10D9B"/>
    <w:rsid w:val="00A119D0"/>
    <w:rsid w:val="00A3171C"/>
    <w:rsid w:val="00A42E20"/>
    <w:rsid w:val="00A451C2"/>
    <w:rsid w:val="00A45A93"/>
    <w:rsid w:val="00A52CAE"/>
    <w:rsid w:val="00A70D31"/>
    <w:rsid w:val="00A754B4"/>
    <w:rsid w:val="00A8080D"/>
    <w:rsid w:val="00A8712C"/>
    <w:rsid w:val="00A9028D"/>
    <w:rsid w:val="00A905F8"/>
    <w:rsid w:val="00AA52C5"/>
    <w:rsid w:val="00AB2F7C"/>
    <w:rsid w:val="00AE0FED"/>
    <w:rsid w:val="00AE2504"/>
    <w:rsid w:val="00AE6DE0"/>
    <w:rsid w:val="00AF0516"/>
    <w:rsid w:val="00AF07BA"/>
    <w:rsid w:val="00AF5303"/>
    <w:rsid w:val="00B02921"/>
    <w:rsid w:val="00B02F19"/>
    <w:rsid w:val="00B1562B"/>
    <w:rsid w:val="00B16C73"/>
    <w:rsid w:val="00B17F82"/>
    <w:rsid w:val="00B30186"/>
    <w:rsid w:val="00B353F1"/>
    <w:rsid w:val="00B43C85"/>
    <w:rsid w:val="00B46165"/>
    <w:rsid w:val="00B47307"/>
    <w:rsid w:val="00B549C3"/>
    <w:rsid w:val="00B65A11"/>
    <w:rsid w:val="00B673DE"/>
    <w:rsid w:val="00B821AA"/>
    <w:rsid w:val="00B905D5"/>
    <w:rsid w:val="00B96243"/>
    <w:rsid w:val="00BA1D33"/>
    <w:rsid w:val="00BA35D2"/>
    <w:rsid w:val="00BB6726"/>
    <w:rsid w:val="00BC5611"/>
    <w:rsid w:val="00BC6100"/>
    <w:rsid w:val="00C02730"/>
    <w:rsid w:val="00C03442"/>
    <w:rsid w:val="00C07C00"/>
    <w:rsid w:val="00C11009"/>
    <w:rsid w:val="00C1583D"/>
    <w:rsid w:val="00C45C6E"/>
    <w:rsid w:val="00C479AA"/>
    <w:rsid w:val="00C5168B"/>
    <w:rsid w:val="00C6671F"/>
    <w:rsid w:val="00C847C2"/>
    <w:rsid w:val="00C976D8"/>
    <w:rsid w:val="00C97D9E"/>
    <w:rsid w:val="00CA1786"/>
    <w:rsid w:val="00CA279A"/>
    <w:rsid w:val="00CA3F4F"/>
    <w:rsid w:val="00CA579E"/>
    <w:rsid w:val="00CC329E"/>
    <w:rsid w:val="00CD3584"/>
    <w:rsid w:val="00CD3CA8"/>
    <w:rsid w:val="00CD5C01"/>
    <w:rsid w:val="00CD60C7"/>
    <w:rsid w:val="00CD6D53"/>
    <w:rsid w:val="00CE218F"/>
    <w:rsid w:val="00CE6395"/>
    <w:rsid w:val="00CE7D3A"/>
    <w:rsid w:val="00CF595D"/>
    <w:rsid w:val="00D04B92"/>
    <w:rsid w:val="00D074E5"/>
    <w:rsid w:val="00D33E2D"/>
    <w:rsid w:val="00D60CD2"/>
    <w:rsid w:val="00D65E52"/>
    <w:rsid w:val="00D663B6"/>
    <w:rsid w:val="00D67BBD"/>
    <w:rsid w:val="00D755BA"/>
    <w:rsid w:val="00D757A7"/>
    <w:rsid w:val="00D77845"/>
    <w:rsid w:val="00D82810"/>
    <w:rsid w:val="00D83117"/>
    <w:rsid w:val="00D84C4E"/>
    <w:rsid w:val="00D85B8C"/>
    <w:rsid w:val="00D908EA"/>
    <w:rsid w:val="00D9237C"/>
    <w:rsid w:val="00D92817"/>
    <w:rsid w:val="00D92F4F"/>
    <w:rsid w:val="00D94F34"/>
    <w:rsid w:val="00DA0EB1"/>
    <w:rsid w:val="00DA6AEF"/>
    <w:rsid w:val="00DB5FB4"/>
    <w:rsid w:val="00DD4A49"/>
    <w:rsid w:val="00DD69AA"/>
    <w:rsid w:val="00DE3531"/>
    <w:rsid w:val="00DF3C74"/>
    <w:rsid w:val="00DF457D"/>
    <w:rsid w:val="00E0076F"/>
    <w:rsid w:val="00E06DAD"/>
    <w:rsid w:val="00E122E6"/>
    <w:rsid w:val="00E12626"/>
    <w:rsid w:val="00E13889"/>
    <w:rsid w:val="00E15A14"/>
    <w:rsid w:val="00E16DC5"/>
    <w:rsid w:val="00E21444"/>
    <w:rsid w:val="00E22C99"/>
    <w:rsid w:val="00E23943"/>
    <w:rsid w:val="00E30E2A"/>
    <w:rsid w:val="00E32553"/>
    <w:rsid w:val="00E376C0"/>
    <w:rsid w:val="00E4024A"/>
    <w:rsid w:val="00E41140"/>
    <w:rsid w:val="00E436A1"/>
    <w:rsid w:val="00E43B98"/>
    <w:rsid w:val="00E54EEA"/>
    <w:rsid w:val="00E6071E"/>
    <w:rsid w:val="00E62CA0"/>
    <w:rsid w:val="00E66F0C"/>
    <w:rsid w:val="00E71812"/>
    <w:rsid w:val="00E80E11"/>
    <w:rsid w:val="00E9121E"/>
    <w:rsid w:val="00EA0F8A"/>
    <w:rsid w:val="00EB656C"/>
    <w:rsid w:val="00EC04A5"/>
    <w:rsid w:val="00EC5068"/>
    <w:rsid w:val="00ED054D"/>
    <w:rsid w:val="00ED7E54"/>
    <w:rsid w:val="00EE09D1"/>
    <w:rsid w:val="00EE2AA9"/>
    <w:rsid w:val="00EE340E"/>
    <w:rsid w:val="00EF4073"/>
    <w:rsid w:val="00F10080"/>
    <w:rsid w:val="00F21655"/>
    <w:rsid w:val="00F340B5"/>
    <w:rsid w:val="00F41868"/>
    <w:rsid w:val="00F4304C"/>
    <w:rsid w:val="00F53DE6"/>
    <w:rsid w:val="00F557F5"/>
    <w:rsid w:val="00F6713D"/>
    <w:rsid w:val="00F800C1"/>
    <w:rsid w:val="00F864B2"/>
    <w:rsid w:val="00F94555"/>
    <w:rsid w:val="00F958F4"/>
    <w:rsid w:val="00FA7301"/>
    <w:rsid w:val="00FB0061"/>
    <w:rsid w:val="00FB1A2D"/>
    <w:rsid w:val="00FB5681"/>
    <w:rsid w:val="00FB7617"/>
    <w:rsid w:val="00FC4A10"/>
    <w:rsid w:val="00FC57E6"/>
    <w:rsid w:val="00FD06A4"/>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35"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3"/>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4"/>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5"/>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character" w:customStyle="1" w:styleId="Bodylevel2asubheading-QldSIChar">
    <w:name w:val="Body level 2(a) subheading - Qld SI Char"/>
    <w:basedOn w:val="DefaultParagraphFont"/>
    <w:link w:val="Bodylevel2asubheading-QldSI"/>
    <w:uiPriority w:val="1"/>
    <w:locked/>
    <w:rsid w:val="00493AF0"/>
    <w:rPr>
      <w:spacing w:val="-1"/>
    </w:rPr>
  </w:style>
  <w:style w:type="paragraph" w:customStyle="1" w:styleId="Bodylevel2asubheading-QldSI">
    <w:name w:val="Body level 2(a) subheading - Qld SI"/>
    <w:basedOn w:val="Normal"/>
    <w:link w:val="Bodylevel2asubheading-QldSIChar"/>
    <w:uiPriority w:val="1"/>
    <w:qFormat/>
    <w:rsid w:val="00493AF0"/>
    <w:pPr>
      <w:spacing w:before="103" w:line="276" w:lineRule="auto"/>
    </w:pPr>
    <w:rPr>
      <w:rFonts w:ascii="Calibri" w:eastAsia="Calibri" w:hAnsi="Calibri"/>
      <w:spacing w:val="-1"/>
      <w:sz w:val="22"/>
      <w:szCs w:val="22"/>
    </w:rPr>
  </w:style>
  <w:style w:type="paragraph" w:styleId="Caption">
    <w:name w:val="caption"/>
    <w:basedOn w:val="Normal"/>
    <w:next w:val="Normal"/>
    <w:uiPriority w:val="35"/>
    <w:unhideWhenUsed/>
    <w:qFormat/>
    <w:locked/>
    <w:rsid w:val="009B26C1"/>
    <w:pPr>
      <w:spacing w:after="200"/>
    </w:pPr>
    <w:rPr>
      <w:rFonts w:ascii="Calibri" w:eastAsia="Calibri" w:hAnsi="Calibr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35"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3"/>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4"/>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5"/>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character" w:customStyle="1" w:styleId="Bodylevel2asubheading-QldSIChar">
    <w:name w:val="Body level 2(a) subheading - Qld SI Char"/>
    <w:basedOn w:val="DefaultParagraphFont"/>
    <w:link w:val="Bodylevel2asubheading-QldSI"/>
    <w:uiPriority w:val="1"/>
    <w:locked/>
    <w:rsid w:val="00493AF0"/>
    <w:rPr>
      <w:spacing w:val="-1"/>
    </w:rPr>
  </w:style>
  <w:style w:type="paragraph" w:customStyle="1" w:styleId="Bodylevel2asubheading-QldSI">
    <w:name w:val="Body level 2(a) subheading - Qld SI"/>
    <w:basedOn w:val="Normal"/>
    <w:link w:val="Bodylevel2asubheading-QldSIChar"/>
    <w:uiPriority w:val="1"/>
    <w:qFormat/>
    <w:rsid w:val="00493AF0"/>
    <w:pPr>
      <w:spacing w:before="103" w:line="276" w:lineRule="auto"/>
    </w:pPr>
    <w:rPr>
      <w:rFonts w:ascii="Calibri" w:eastAsia="Calibri" w:hAnsi="Calibri"/>
      <w:spacing w:val="-1"/>
      <w:sz w:val="22"/>
      <w:szCs w:val="22"/>
    </w:rPr>
  </w:style>
  <w:style w:type="paragraph" w:styleId="Caption">
    <w:name w:val="caption"/>
    <w:basedOn w:val="Normal"/>
    <w:next w:val="Normal"/>
    <w:uiPriority w:val="35"/>
    <w:unhideWhenUsed/>
    <w:qFormat/>
    <w:locked/>
    <w:rsid w:val="009B26C1"/>
    <w:pPr>
      <w:spacing w:after="200"/>
    </w:pPr>
    <w:rPr>
      <w:rFonts w:ascii="Calibri" w:eastAsia="Calibri" w:hAnsi="Calibr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5970">
      <w:bodyDiv w:val="1"/>
      <w:marLeft w:val="0"/>
      <w:marRight w:val="0"/>
      <w:marTop w:val="0"/>
      <w:marBottom w:val="0"/>
      <w:divBdr>
        <w:top w:val="none" w:sz="0" w:space="0" w:color="auto"/>
        <w:left w:val="none" w:sz="0" w:space="0" w:color="auto"/>
        <w:bottom w:val="none" w:sz="0" w:space="0" w:color="auto"/>
        <w:right w:val="none" w:sz="0" w:space="0" w:color="auto"/>
      </w:divBdr>
    </w:div>
    <w:div w:id="301467567">
      <w:marLeft w:val="0"/>
      <w:marRight w:val="0"/>
      <w:marTop w:val="0"/>
      <w:marBottom w:val="0"/>
      <w:divBdr>
        <w:top w:val="none" w:sz="0" w:space="0" w:color="auto"/>
        <w:left w:val="none" w:sz="0" w:space="0" w:color="auto"/>
        <w:bottom w:val="none" w:sz="0" w:space="0" w:color="auto"/>
        <w:right w:val="none" w:sz="0" w:space="0" w:color="auto"/>
      </w:divBdr>
    </w:div>
    <w:div w:id="620259639">
      <w:bodyDiv w:val="1"/>
      <w:marLeft w:val="0"/>
      <w:marRight w:val="0"/>
      <w:marTop w:val="0"/>
      <w:marBottom w:val="0"/>
      <w:divBdr>
        <w:top w:val="none" w:sz="0" w:space="0" w:color="auto"/>
        <w:left w:val="none" w:sz="0" w:space="0" w:color="auto"/>
        <w:bottom w:val="none" w:sz="0" w:space="0" w:color="auto"/>
        <w:right w:val="none" w:sz="0" w:space="0" w:color="auto"/>
      </w:divBdr>
    </w:div>
    <w:div w:id="994797710">
      <w:bodyDiv w:val="1"/>
      <w:marLeft w:val="0"/>
      <w:marRight w:val="0"/>
      <w:marTop w:val="0"/>
      <w:marBottom w:val="0"/>
      <w:divBdr>
        <w:top w:val="none" w:sz="0" w:space="0" w:color="auto"/>
        <w:left w:val="none" w:sz="0" w:space="0" w:color="auto"/>
        <w:bottom w:val="none" w:sz="0" w:space="0" w:color="auto"/>
        <w:right w:val="none" w:sz="0" w:space="0" w:color="auto"/>
      </w:divBdr>
    </w:div>
    <w:div w:id="1085149298">
      <w:bodyDiv w:val="1"/>
      <w:marLeft w:val="0"/>
      <w:marRight w:val="0"/>
      <w:marTop w:val="0"/>
      <w:marBottom w:val="0"/>
      <w:divBdr>
        <w:top w:val="none" w:sz="0" w:space="0" w:color="auto"/>
        <w:left w:val="none" w:sz="0" w:space="0" w:color="auto"/>
        <w:bottom w:val="none" w:sz="0" w:space="0" w:color="auto"/>
        <w:right w:val="none" w:sz="0" w:space="0" w:color="auto"/>
      </w:divBdr>
    </w:div>
    <w:div w:id="1287813231">
      <w:bodyDiv w:val="1"/>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A580-7E1B-4DBD-8DD5-6A182FB3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2286</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Peter Austin</dc:creator>
  <cp:lastModifiedBy>Robert Crapnell</cp:lastModifiedBy>
  <cp:revision>6</cp:revision>
  <cp:lastPrinted>2018-12-13T21:54:00Z</cp:lastPrinted>
  <dcterms:created xsi:type="dcterms:W3CDTF">2018-12-13T21:54:00Z</dcterms:created>
  <dcterms:modified xsi:type="dcterms:W3CDTF">2018-12-17T05:24:00Z</dcterms:modified>
</cp:coreProperties>
</file>