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90" w:rsidRDefault="00FC7290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1pt;height:81pt" o:ole="" fillcolor="window">
            <v:imagedata r:id="rId9" o:title=""/>
          </v:shape>
          <o:OLEObject Type="Embed" ProgID="Word.Picture.8" ShapeID="_x0000_i1025" DrawAspect="Content" ObjectID="_1623750741" r:id="rId10"/>
        </w:object>
      </w:r>
    </w:p>
    <w:p w:rsidR="00FC7290" w:rsidRDefault="00FC7290"/>
    <w:p w:rsidR="00FC7290" w:rsidRDefault="00FC7290" w:rsidP="00FC7290">
      <w:pPr>
        <w:spacing w:line="240" w:lineRule="auto"/>
      </w:pPr>
    </w:p>
    <w:p w:rsidR="00FC7290" w:rsidRDefault="00FC7290" w:rsidP="00FC7290"/>
    <w:p w:rsidR="00FC7290" w:rsidRDefault="00FC7290" w:rsidP="00FC7290"/>
    <w:p w:rsidR="00FC7290" w:rsidRDefault="00FC7290" w:rsidP="00FC7290"/>
    <w:p w:rsidR="00FC7290" w:rsidRDefault="00FC7290" w:rsidP="00FC7290"/>
    <w:p w:rsidR="00715914" w:rsidRPr="00A5046F" w:rsidRDefault="003F621D" w:rsidP="00715914">
      <w:pPr>
        <w:pStyle w:val="ShortT"/>
      </w:pPr>
      <w:r w:rsidRPr="00A5046F">
        <w:t xml:space="preserve">Government </w:t>
      </w:r>
      <w:r w:rsidR="00414B3D" w:rsidRPr="00A5046F">
        <w:t>Procurement</w:t>
      </w:r>
      <w:r w:rsidR="00A34EBD" w:rsidRPr="00A5046F">
        <w:t xml:space="preserve"> </w:t>
      </w:r>
      <w:r w:rsidRPr="00A5046F">
        <w:t xml:space="preserve">(Judicial </w:t>
      </w:r>
      <w:r w:rsidR="00A34EBD" w:rsidRPr="00A5046F">
        <w:t>Review</w:t>
      </w:r>
      <w:r w:rsidRPr="00A5046F">
        <w:t>)</w:t>
      </w:r>
      <w:r w:rsidR="001F5D5E" w:rsidRPr="00A5046F">
        <w:t xml:space="preserve"> </w:t>
      </w:r>
      <w:r w:rsidR="00FC7290">
        <w:t>Act</w:t>
      </w:r>
      <w:r w:rsidR="001F5D5E" w:rsidRPr="00A5046F">
        <w:t xml:space="preserve"> </w:t>
      </w:r>
      <w:r w:rsidR="0086639E" w:rsidRPr="00A5046F">
        <w:t>201</w:t>
      </w:r>
      <w:r w:rsidR="001A68FD">
        <w:t>8</w:t>
      </w:r>
    </w:p>
    <w:p w:rsidR="00715914" w:rsidRPr="00A5046F" w:rsidRDefault="00715914" w:rsidP="00715914"/>
    <w:p w:rsidR="00715914" w:rsidRPr="00A5046F" w:rsidRDefault="00715914" w:rsidP="00FC7290">
      <w:pPr>
        <w:pStyle w:val="Actno"/>
        <w:spacing w:before="400"/>
      </w:pPr>
      <w:r w:rsidRPr="00A5046F">
        <w:t>No.</w:t>
      </w:r>
      <w:r w:rsidR="00556A28">
        <w:t xml:space="preserve"> 129</w:t>
      </w:r>
      <w:r w:rsidR="001F5D5E" w:rsidRPr="00A5046F">
        <w:t xml:space="preserve">, </w:t>
      </w:r>
      <w:r w:rsidR="0086639E" w:rsidRPr="00A5046F">
        <w:t>201</w:t>
      </w:r>
      <w:r w:rsidR="001A68FD">
        <w:t>8</w:t>
      </w:r>
    </w:p>
    <w:p w:rsidR="00715914" w:rsidRPr="00A5046F" w:rsidRDefault="00715914" w:rsidP="00715914"/>
    <w:p w:rsidR="00FC7290" w:rsidRDefault="00FC7290" w:rsidP="00FC7290"/>
    <w:p w:rsidR="00FC7290" w:rsidRDefault="00FC7290" w:rsidP="00FC7290"/>
    <w:p w:rsidR="00FC7290" w:rsidRDefault="00FC7290" w:rsidP="00FC7290"/>
    <w:p w:rsidR="00FC7290" w:rsidRDefault="00FC7290" w:rsidP="00FC7290"/>
    <w:p w:rsidR="00715914" w:rsidRPr="00A5046F" w:rsidRDefault="00FC7290" w:rsidP="00646776">
      <w:pPr>
        <w:pStyle w:val="LongT"/>
      </w:pPr>
      <w:r>
        <w:t>An Act</w:t>
      </w:r>
      <w:r w:rsidR="00715914" w:rsidRPr="00A5046F">
        <w:t xml:space="preserve"> </w:t>
      </w:r>
      <w:r w:rsidR="00536143" w:rsidRPr="00A5046F">
        <w:t>about</w:t>
      </w:r>
      <w:r w:rsidR="00715914" w:rsidRPr="00A5046F">
        <w:t xml:space="preserve"> </w:t>
      </w:r>
      <w:r w:rsidR="00536143" w:rsidRPr="00A5046F">
        <w:t>government procurement</w:t>
      </w:r>
      <w:r w:rsidR="00715914" w:rsidRPr="00A5046F">
        <w:t>, and for related purposes</w:t>
      </w:r>
    </w:p>
    <w:p w:rsidR="009A62E4" w:rsidRPr="00A5046F" w:rsidRDefault="009A62E4" w:rsidP="009A62E4">
      <w:pPr>
        <w:pStyle w:val="Header"/>
        <w:tabs>
          <w:tab w:val="clear" w:pos="4150"/>
          <w:tab w:val="clear" w:pos="8307"/>
        </w:tabs>
      </w:pPr>
      <w:r w:rsidRPr="00A5046F">
        <w:rPr>
          <w:rStyle w:val="CharChapNo"/>
        </w:rPr>
        <w:t xml:space="preserve"> </w:t>
      </w:r>
      <w:r w:rsidRPr="00A5046F">
        <w:rPr>
          <w:rStyle w:val="CharChapText"/>
        </w:rPr>
        <w:t xml:space="preserve"> </w:t>
      </w:r>
    </w:p>
    <w:p w:rsidR="009A62E4" w:rsidRPr="00A5046F" w:rsidRDefault="009A62E4" w:rsidP="009A62E4">
      <w:pPr>
        <w:pStyle w:val="Header"/>
        <w:tabs>
          <w:tab w:val="clear" w:pos="4150"/>
          <w:tab w:val="clear" w:pos="8307"/>
        </w:tabs>
      </w:pPr>
      <w:r w:rsidRPr="00A5046F">
        <w:rPr>
          <w:rStyle w:val="CharPartNo"/>
        </w:rPr>
        <w:t xml:space="preserve"> </w:t>
      </w:r>
      <w:r w:rsidRPr="00A5046F">
        <w:rPr>
          <w:rStyle w:val="CharPartText"/>
        </w:rPr>
        <w:t xml:space="preserve"> </w:t>
      </w:r>
    </w:p>
    <w:p w:rsidR="00715914" w:rsidRPr="00A5046F" w:rsidRDefault="00715914" w:rsidP="00715914">
      <w:pPr>
        <w:pStyle w:val="Header"/>
        <w:tabs>
          <w:tab w:val="clear" w:pos="4150"/>
          <w:tab w:val="clear" w:pos="8307"/>
        </w:tabs>
      </w:pPr>
      <w:r w:rsidRPr="00A5046F">
        <w:rPr>
          <w:rStyle w:val="CharDivNo"/>
        </w:rPr>
        <w:t xml:space="preserve"> </w:t>
      </w:r>
      <w:r w:rsidRPr="00A5046F">
        <w:rPr>
          <w:rStyle w:val="CharDivText"/>
        </w:rPr>
        <w:t xml:space="preserve"> </w:t>
      </w:r>
    </w:p>
    <w:p w:rsidR="00715914" w:rsidRPr="00A5046F" w:rsidRDefault="00715914" w:rsidP="00715914">
      <w:pPr>
        <w:sectPr w:rsidR="00715914" w:rsidRPr="00A5046F" w:rsidSect="00FC72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715914" w:rsidRPr="00A5046F" w:rsidRDefault="00715914" w:rsidP="00646776">
      <w:pPr>
        <w:rPr>
          <w:sz w:val="36"/>
        </w:rPr>
      </w:pPr>
      <w:r w:rsidRPr="00A5046F">
        <w:rPr>
          <w:sz w:val="36"/>
        </w:rPr>
        <w:lastRenderedPageBreak/>
        <w:t>Contents</w:t>
      </w:r>
    </w:p>
    <w:bookmarkStart w:id="0" w:name="BKCheck15B_1"/>
    <w:bookmarkEnd w:id="0"/>
    <w:p w:rsidR="00FC3C06" w:rsidRDefault="00FC3C0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FC3C06">
        <w:rPr>
          <w:b w:val="0"/>
          <w:noProof/>
          <w:sz w:val="18"/>
        </w:rPr>
        <w:tab/>
      </w:r>
      <w:r w:rsidRPr="00FC3C06">
        <w:rPr>
          <w:b w:val="0"/>
          <w:noProof/>
          <w:sz w:val="18"/>
        </w:rPr>
        <w:fldChar w:fldCharType="begin"/>
      </w:r>
      <w:r w:rsidRPr="00FC3C06">
        <w:rPr>
          <w:b w:val="0"/>
          <w:noProof/>
          <w:sz w:val="18"/>
        </w:rPr>
        <w:instrText xml:space="preserve"> PAGEREF _Toc527982079 \h </w:instrText>
      </w:r>
      <w:r w:rsidRPr="00FC3C06">
        <w:rPr>
          <w:b w:val="0"/>
          <w:noProof/>
          <w:sz w:val="18"/>
        </w:rPr>
      </w:r>
      <w:r w:rsidRPr="00FC3C06">
        <w:rPr>
          <w:b w:val="0"/>
          <w:noProof/>
          <w:sz w:val="18"/>
        </w:rPr>
        <w:fldChar w:fldCharType="separate"/>
      </w:r>
      <w:r w:rsidR="00832742">
        <w:rPr>
          <w:b w:val="0"/>
          <w:noProof/>
          <w:sz w:val="18"/>
        </w:rPr>
        <w:t>2</w:t>
      </w:r>
      <w:r w:rsidRPr="00FC3C06">
        <w:rPr>
          <w:b w:val="0"/>
          <w:noProof/>
          <w:sz w:val="18"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Short title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_Toc527982080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2</w:t>
      </w:r>
      <w:r w:rsidRPr="00FC3C06">
        <w:rPr>
          <w:noProof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_Toc527982081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2</w:t>
      </w:r>
      <w:r w:rsidRPr="00FC3C06">
        <w:rPr>
          <w:noProof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Simplified outline of this Act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_Toc527982082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2</w:t>
      </w:r>
      <w:r w:rsidRPr="00FC3C06">
        <w:rPr>
          <w:noProof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_Toc527982083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3</w:t>
      </w:r>
      <w:r w:rsidRPr="00FC3C06">
        <w:rPr>
          <w:noProof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Covered procurement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_Toc527982084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4</w:t>
      </w:r>
      <w:r w:rsidRPr="00FC3C06">
        <w:rPr>
          <w:noProof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Crown to be bound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_Toc527982085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5</w:t>
      </w:r>
      <w:r w:rsidRPr="00FC3C06">
        <w:rPr>
          <w:noProof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Application of this Act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_Toc527982086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5</w:t>
      </w:r>
      <w:r w:rsidRPr="00FC3C06">
        <w:rPr>
          <w:noProof/>
        </w:rPr>
        <w:fldChar w:fldCharType="end"/>
      </w:r>
    </w:p>
    <w:p w:rsidR="00FC3C06" w:rsidRDefault="00FC3C0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2—Injunctions</w:t>
      </w:r>
      <w:r w:rsidRPr="00FC3C06">
        <w:rPr>
          <w:b w:val="0"/>
          <w:noProof/>
          <w:sz w:val="18"/>
        </w:rPr>
        <w:tab/>
      </w:r>
      <w:r w:rsidRPr="00FC3C06">
        <w:rPr>
          <w:b w:val="0"/>
          <w:noProof/>
          <w:sz w:val="18"/>
        </w:rPr>
        <w:fldChar w:fldCharType="begin"/>
      </w:r>
      <w:r w:rsidRPr="00FC3C06">
        <w:rPr>
          <w:b w:val="0"/>
          <w:noProof/>
          <w:sz w:val="18"/>
        </w:rPr>
        <w:instrText xml:space="preserve"> PAGEREF _Toc527982087 \h </w:instrText>
      </w:r>
      <w:r w:rsidRPr="00FC3C06">
        <w:rPr>
          <w:b w:val="0"/>
          <w:noProof/>
          <w:sz w:val="18"/>
        </w:rPr>
      </w:r>
      <w:r w:rsidRPr="00FC3C06">
        <w:rPr>
          <w:b w:val="0"/>
          <w:noProof/>
          <w:sz w:val="18"/>
        </w:rPr>
        <w:fldChar w:fldCharType="separate"/>
      </w:r>
      <w:r w:rsidR="00832742">
        <w:rPr>
          <w:b w:val="0"/>
          <w:noProof/>
          <w:sz w:val="18"/>
        </w:rPr>
        <w:t>6</w:t>
      </w:r>
      <w:r w:rsidRPr="00FC3C06">
        <w:rPr>
          <w:b w:val="0"/>
          <w:noProof/>
          <w:sz w:val="18"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Simplified outline of this Part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_Toc527982088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6</w:t>
      </w:r>
      <w:r w:rsidRPr="00FC3C06">
        <w:rPr>
          <w:noProof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Injunctions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_Toc527982089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6</w:t>
      </w:r>
      <w:r w:rsidRPr="00FC3C06">
        <w:rPr>
          <w:noProof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Availability of alternative remedy of compensation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_Toc527982090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7</w:t>
      </w:r>
      <w:r w:rsidRPr="00FC3C06">
        <w:rPr>
          <w:noProof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noProof/>
        </w:rPr>
        <w:tab/>
        <w:t>Limits on power to grant an injunction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_Toc527982091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8</w:t>
      </w:r>
      <w:r w:rsidRPr="00FC3C06">
        <w:rPr>
          <w:noProof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</w:t>
      </w:r>
      <w:r>
        <w:rPr>
          <w:noProof/>
        </w:rPr>
        <w:tab/>
        <w:t>Discharge or variation of an injunction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_Toc527982092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9</w:t>
      </w:r>
      <w:r w:rsidRPr="00FC3C06">
        <w:rPr>
          <w:noProof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</w:t>
      </w:r>
      <w:r>
        <w:rPr>
          <w:noProof/>
        </w:rPr>
        <w:tab/>
        <w:t>Certain limits on granting injunctions not to apply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_Toc527982093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9</w:t>
      </w:r>
      <w:r w:rsidRPr="00FC3C06">
        <w:rPr>
          <w:noProof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14</w:t>
      </w:r>
      <w:r>
        <w:rPr>
          <w:noProof/>
        </w:rPr>
        <w:tab/>
        <w:t>Other powers of a court unaffected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_Toc527982094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10</w:t>
      </w:r>
      <w:r w:rsidRPr="00FC3C06">
        <w:rPr>
          <w:noProof/>
        </w:rPr>
        <w:fldChar w:fldCharType="end"/>
      </w:r>
    </w:p>
    <w:p w:rsidR="00FC3C06" w:rsidRDefault="00FC3C0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3—Compensation</w:t>
      </w:r>
      <w:r w:rsidRPr="00FC3C06">
        <w:rPr>
          <w:b w:val="0"/>
          <w:noProof/>
          <w:sz w:val="18"/>
        </w:rPr>
        <w:tab/>
      </w:r>
      <w:r w:rsidRPr="00FC3C06">
        <w:rPr>
          <w:b w:val="0"/>
          <w:noProof/>
          <w:sz w:val="18"/>
        </w:rPr>
        <w:fldChar w:fldCharType="begin"/>
      </w:r>
      <w:r w:rsidRPr="00FC3C06">
        <w:rPr>
          <w:b w:val="0"/>
          <w:noProof/>
          <w:sz w:val="18"/>
        </w:rPr>
        <w:instrText xml:space="preserve"> PAGEREF _Toc527982095 \h </w:instrText>
      </w:r>
      <w:r w:rsidRPr="00FC3C06">
        <w:rPr>
          <w:b w:val="0"/>
          <w:noProof/>
          <w:sz w:val="18"/>
        </w:rPr>
      </w:r>
      <w:r w:rsidRPr="00FC3C06">
        <w:rPr>
          <w:b w:val="0"/>
          <w:noProof/>
          <w:sz w:val="18"/>
        </w:rPr>
        <w:fldChar w:fldCharType="separate"/>
      </w:r>
      <w:r w:rsidR="00832742">
        <w:rPr>
          <w:b w:val="0"/>
          <w:noProof/>
          <w:sz w:val="18"/>
        </w:rPr>
        <w:t>11</w:t>
      </w:r>
      <w:r w:rsidRPr="00FC3C06">
        <w:rPr>
          <w:b w:val="0"/>
          <w:noProof/>
          <w:sz w:val="18"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15</w:t>
      </w:r>
      <w:r>
        <w:rPr>
          <w:noProof/>
        </w:rPr>
        <w:tab/>
        <w:t>Simplified outline of this Part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_Toc527982096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11</w:t>
      </w:r>
      <w:r w:rsidRPr="00FC3C06">
        <w:rPr>
          <w:noProof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16</w:t>
      </w:r>
      <w:r>
        <w:rPr>
          <w:noProof/>
        </w:rPr>
        <w:tab/>
        <w:t>Compensation for a contravention of the relevant Commonwealth Procurement Rules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_Toc527982097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11</w:t>
      </w:r>
      <w:r w:rsidRPr="00FC3C06">
        <w:rPr>
          <w:noProof/>
        </w:rPr>
        <w:fldChar w:fldCharType="end"/>
      </w:r>
    </w:p>
    <w:p w:rsidR="00FC3C06" w:rsidRDefault="00FC3C0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4—Complaints</w:t>
      </w:r>
      <w:r w:rsidRPr="00FC3C06">
        <w:rPr>
          <w:b w:val="0"/>
          <w:noProof/>
          <w:sz w:val="18"/>
        </w:rPr>
        <w:tab/>
      </w:r>
      <w:r w:rsidRPr="00FC3C06">
        <w:rPr>
          <w:b w:val="0"/>
          <w:noProof/>
          <w:sz w:val="18"/>
        </w:rPr>
        <w:fldChar w:fldCharType="begin"/>
      </w:r>
      <w:r w:rsidRPr="00FC3C06">
        <w:rPr>
          <w:b w:val="0"/>
          <w:noProof/>
          <w:sz w:val="18"/>
        </w:rPr>
        <w:instrText xml:space="preserve"> PAGEREF _Toc527982098 \h </w:instrText>
      </w:r>
      <w:r w:rsidRPr="00FC3C06">
        <w:rPr>
          <w:b w:val="0"/>
          <w:noProof/>
          <w:sz w:val="18"/>
        </w:rPr>
      </w:r>
      <w:r w:rsidRPr="00FC3C06">
        <w:rPr>
          <w:b w:val="0"/>
          <w:noProof/>
          <w:sz w:val="18"/>
        </w:rPr>
        <w:fldChar w:fldCharType="separate"/>
      </w:r>
      <w:r w:rsidR="00832742">
        <w:rPr>
          <w:b w:val="0"/>
          <w:noProof/>
          <w:sz w:val="18"/>
        </w:rPr>
        <w:t>13</w:t>
      </w:r>
      <w:r w:rsidRPr="00FC3C06">
        <w:rPr>
          <w:b w:val="0"/>
          <w:noProof/>
          <w:sz w:val="18"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17</w:t>
      </w:r>
      <w:r>
        <w:rPr>
          <w:noProof/>
        </w:rPr>
        <w:tab/>
        <w:t>Simplified outline of this Part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_Toc527982099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13</w:t>
      </w:r>
      <w:r w:rsidRPr="00FC3C06">
        <w:rPr>
          <w:noProof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18</w:t>
      </w:r>
      <w:r>
        <w:rPr>
          <w:noProof/>
        </w:rPr>
        <w:tab/>
        <w:t>Complaint made by supplier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_Toc527982100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13</w:t>
      </w:r>
      <w:r w:rsidRPr="00FC3C06">
        <w:rPr>
          <w:noProof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19</w:t>
      </w:r>
      <w:r>
        <w:rPr>
          <w:noProof/>
        </w:rPr>
        <w:tab/>
        <w:t>Investigation by accountable authority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_Toc527982101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14</w:t>
      </w:r>
      <w:r w:rsidRPr="00FC3C06">
        <w:rPr>
          <w:noProof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20</w:t>
      </w:r>
      <w:r>
        <w:rPr>
          <w:noProof/>
        </w:rPr>
        <w:tab/>
        <w:t>Suspension of procurement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_Toc527982102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14</w:t>
      </w:r>
      <w:r w:rsidRPr="00FC3C06">
        <w:rPr>
          <w:noProof/>
        </w:rPr>
        <w:fldChar w:fldCharType="end"/>
      </w:r>
    </w:p>
    <w:p w:rsidR="00FC3C06" w:rsidRDefault="00FC3C0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5—Miscellaneous</w:t>
      </w:r>
      <w:r w:rsidRPr="00FC3C06">
        <w:rPr>
          <w:b w:val="0"/>
          <w:noProof/>
          <w:sz w:val="18"/>
        </w:rPr>
        <w:tab/>
      </w:r>
      <w:r w:rsidRPr="00FC3C06">
        <w:rPr>
          <w:b w:val="0"/>
          <w:noProof/>
          <w:sz w:val="18"/>
        </w:rPr>
        <w:fldChar w:fldCharType="begin"/>
      </w:r>
      <w:r w:rsidRPr="00FC3C06">
        <w:rPr>
          <w:b w:val="0"/>
          <w:noProof/>
          <w:sz w:val="18"/>
        </w:rPr>
        <w:instrText xml:space="preserve"> PAGEREF _Toc527982103 \h </w:instrText>
      </w:r>
      <w:r w:rsidRPr="00FC3C06">
        <w:rPr>
          <w:b w:val="0"/>
          <w:noProof/>
          <w:sz w:val="18"/>
        </w:rPr>
      </w:r>
      <w:r w:rsidRPr="00FC3C06">
        <w:rPr>
          <w:b w:val="0"/>
          <w:noProof/>
          <w:sz w:val="18"/>
        </w:rPr>
        <w:fldChar w:fldCharType="separate"/>
      </w:r>
      <w:r w:rsidR="00832742">
        <w:rPr>
          <w:b w:val="0"/>
          <w:noProof/>
          <w:sz w:val="18"/>
        </w:rPr>
        <w:t>16</w:t>
      </w:r>
      <w:r w:rsidRPr="00FC3C06">
        <w:rPr>
          <w:b w:val="0"/>
          <w:noProof/>
          <w:sz w:val="18"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21</w:t>
      </w:r>
      <w:r>
        <w:rPr>
          <w:noProof/>
        </w:rPr>
        <w:tab/>
        <w:t>Simplified outline of this Part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_Toc527982104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16</w:t>
      </w:r>
      <w:r w:rsidRPr="00FC3C06">
        <w:rPr>
          <w:noProof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22</w:t>
      </w:r>
      <w:r>
        <w:rPr>
          <w:noProof/>
        </w:rPr>
        <w:tab/>
        <w:t>Public interest certificate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_Toc527982105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16</w:t>
      </w:r>
      <w:r w:rsidRPr="00FC3C06">
        <w:rPr>
          <w:noProof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23</w:t>
      </w:r>
      <w:r>
        <w:rPr>
          <w:noProof/>
        </w:rPr>
        <w:tab/>
        <w:t>Contravention of the Commonwealth Procurement Rules does not affect the validity of a contract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_Toc527982106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17</w:t>
      </w:r>
      <w:r w:rsidRPr="00FC3C06">
        <w:rPr>
          <w:noProof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24</w:t>
      </w:r>
      <w:r>
        <w:rPr>
          <w:noProof/>
        </w:rPr>
        <w:tab/>
        <w:t>Delegation by accountable authority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_Toc527982107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17</w:t>
      </w:r>
      <w:r w:rsidRPr="00FC3C06">
        <w:rPr>
          <w:noProof/>
        </w:rPr>
        <w:fldChar w:fldCharType="end"/>
      </w:r>
    </w:p>
    <w:p w:rsidR="00FC3C06" w:rsidRDefault="00FC3C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25</w:t>
      </w:r>
      <w:r>
        <w:rPr>
          <w:noProof/>
        </w:rPr>
        <w:tab/>
        <w:t>Transitional</w:t>
      </w:r>
      <w:r w:rsidRPr="00FC3C06">
        <w:rPr>
          <w:noProof/>
        </w:rPr>
        <w:tab/>
      </w:r>
      <w:r w:rsidRPr="00FC3C06">
        <w:rPr>
          <w:noProof/>
        </w:rPr>
        <w:fldChar w:fldCharType="begin"/>
      </w:r>
      <w:r w:rsidRPr="00FC3C06">
        <w:rPr>
          <w:noProof/>
        </w:rPr>
        <w:instrText xml:space="preserve"> PAGEREF _Toc527982108 \h </w:instrText>
      </w:r>
      <w:r w:rsidRPr="00FC3C06">
        <w:rPr>
          <w:noProof/>
        </w:rPr>
      </w:r>
      <w:r w:rsidRPr="00FC3C06">
        <w:rPr>
          <w:noProof/>
        </w:rPr>
        <w:fldChar w:fldCharType="separate"/>
      </w:r>
      <w:r w:rsidR="00832742">
        <w:rPr>
          <w:noProof/>
        </w:rPr>
        <w:t>17</w:t>
      </w:r>
      <w:r w:rsidRPr="00FC3C06">
        <w:rPr>
          <w:noProof/>
        </w:rPr>
        <w:fldChar w:fldCharType="end"/>
      </w:r>
    </w:p>
    <w:p w:rsidR="005D7042" w:rsidRPr="00A5046F" w:rsidRDefault="00FC3C06" w:rsidP="00715914">
      <w:r>
        <w:fldChar w:fldCharType="end"/>
      </w:r>
    </w:p>
    <w:p w:rsidR="00374B0A" w:rsidRPr="00A5046F" w:rsidRDefault="00374B0A" w:rsidP="00715914">
      <w:pPr>
        <w:sectPr w:rsidR="00374B0A" w:rsidRPr="00A5046F" w:rsidSect="00FC729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FC7290" w:rsidRDefault="00FC7290">
      <w:r>
        <w:object w:dxaOrig="2146" w:dyaOrig="1561">
          <v:shape id="_x0000_i1026" type="#_x0000_t75" alt="Commonwealth Coat of Arms of Australia" style="width:111pt;height:81pt" o:ole="" fillcolor="window">
            <v:imagedata r:id="rId9" o:title=""/>
          </v:shape>
          <o:OLEObject Type="Embed" ProgID="Word.Picture.8" ShapeID="_x0000_i1026" DrawAspect="Content" ObjectID="_1623750742" r:id="rId22"/>
        </w:object>
      </w:r>
    </w:p>
    <w:p w:rsidR="00FC7290" w:rsidRDefault="00FC7290"/>
    <w:p w:rsidR="00FC7290" w:rsidRDefault="00FC7290" w:rsidP="00FC7290">
      <w:pPr>
        <w:spacing w:line="240" w:lineRule="auto"/>
      </w:pPr>
    </w:p>
    <w:p w:rsidR="00FC7290" w:rsidRDefault="00832742" w:rsidP="00FC7290">
      <w:pPr>
        <w:pStyle w:val="ShortTP1"/>
      </w:pPr>
      <w:fldSimple w:instr=" STYLEREF ShortT ">
        <w:r>
          <w:rPr>
            <w:noProof/>
          </w:rPr>
          <w:t>Government Procurement (Judicial Review) Act 2018</w:t>
        </w:r>
      </w:fldSimple>
    </w:p>
    <w:p w:rsidR="00FC7290" w:rsidRDefault="00832742" w:rsidP="00FC7290">
      <w:pPr>
        <w:pStyle w:val="ActNoP1"/>
      </w:pPr>
      <w:fldSimple w:instr=" STYLEREF Actno ">
        <w:r>
          <w:rPr>
            <w:noProof/>
          </w:rPr>
          <w:t>No. 129, 2018</w:t>
        </w:r>
      </w:fldSimple>
    </w:p>
    <w:p w:rsidR="00FC7290" w:rsidRPr="009A0728" w:rsidRDefault="00FC7290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FC7290" w:rsidRPr="009A0728" w:rsidRDefault="00FC7290" w:rsidP="009A0728">
      <w:pPr>
        <w:spacing w:line="40" w:lineRule="exact"/>
        <w:rPr>
          <w:rFonts w:eastAsia="Calibri"/>
          <w:b/>
          <w:sz w:val="28"/>
        </w:rPr>
      </w:pPr>
    </w:p>
    <w:p w:rsidR="00FC7290" w:rsidRPr="009A0728" w:rsidRDefault="00FC7290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536143" w:rsidRPr="00A5046F" w:rsidRDefault="00FC7290" w:rsidP="00A5046F">
      <w:pPr>
        <w:pStyle w:val="Page1"/>
      </w:pPr>
      <w:r>
        <w:t>An Act</w:t>
      </w:r>
      <w:r w:rsidR="00A5046F" w:rsidRPr="00A5046F">
        <w:t xml:space="preserve"> about government procurement, and for related purposes</w:t>
      </w:r>
    </w:p>
    <w:p w:rsidR="00556A28" w:rsidRDefault="00556A28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19 October 2018</w:t>
      </w:r>
      <w:r>
        <w:rPr>
          <w:sz w:val="24"/>
        </w:rPr>
        <w:t>]</w:t>
      </w:r>
    </w:p>
    <w:p w:rsidR="00715914" w:rsidRPr="00A5046F" w:rsidRDefault="00715914" w:rsidP="00A5046F">
      <w:pPr>
        <w:spacing w:before="240" w:line="240" w:lineRule="auto"/>
        <w:rPr>
          <w:sz w:val="32"/>
        </w:rPr>
      </w:pPr>
      <w:r w:rsidRPr="00A5046F">
        <w:rPr>
          <w:sz w:val="32"/>
        </w:rPr>
        <w:t>The Parliament of Australia enacts:</w:t>
      </w:r>
    </w:p>
    <w:p w:rsidR="00715914" w:rsidRPr="00A5046F" w:rsidRDefault="00715914" w:rsidP="00A5046F">
      <w:pPr>
        <w:pStyle w:val="ActHead2"/>
      </w:pPr>
      <w:bookmarkStart w:id="1" w:name="_Toc527982079"/>
      <w:r w:rsidRPr="00A5046F">
        <w:rPr>
          <w:rStyle w:val="CharPartNo"/>
        </w:rPr>
        <w:t>Part</w:t>
      </w:r>
      <w:r w:rsidR="00A5046F" w:rsidRPr="00A5046F">
        <w:rPr>
          <w:rStyle w:val="CharPartNo"/>
        </w:rPr>
        <w:t> </w:t>
      </w:r>
      <w:r w:rsidRPr="00A5046F">
        <w:rPr>
          <w:rStyle w:val="CharPartNo"/>
        </w:rPr>
        <w:t>1</w:t>
      </w:r>
      <w:r w:rsidRPr="00A5046F">
        <w:t>—</w:t>
      </w:r>
      <w:r w:rsidRPr="00A5046F">
        <w:rPr>
          <w:rStyle w:val="CharPartText"/>
        </w:rPr>
        <w:t>Preliminary</w:t>
      </w:r>
      <w:bookmarkEnd w:id="1"/>
    </w:p>
    <w:p w:rsidR="00715914" w:rsidRPr="00A5046F" w:rsidRDefault="00715914" w:rsidP="00A5046F">
      <w:pPr>
        <w:pStyle w:val="Header"/>
      </w:pPr>
      <w:r w:rsidRPr="00A5046F">
        <w:rPr>
          <w:rStyle w:val="CharDivNo"/>
        </w:rPr>
        <w:t xml:space="preserve"> </w:t>
      </w:r>
      <w:r w:rsidRPr="00A5046F">
        <w:rPr>
          <w:rStyle w:val="CharDivText"/>
        </w:rPr>
        <w:t xml:space="preserve"> </w:t>
      </w:r>
    </w:p>
    <w:p w:rsidR="00715914" w:rsidRPr="00A5046F" w:rsidRDefault="006611C9" w:rsidP="00A5046F">
      <w:pPr>
        <w:pStyle w:val="ActHead5"/>
      </w:pPr>
      <w:bookmarkStart w:id="2" w:name="_Toc527982080"/>
      <w:r w:rsidRPr="00A5046F">
        <w:rPr>
          <w:rStyle w:val="CharSectno"/>
        </w:rPr>
        <w:t>1</w:t>
      </w:r>
      <w:r w:rsidR="00715914" w:rsidRPr="00A5046F">
        <w:t xml:space="preserve">  Short title</w:t>
      </w:r>
      <w:bookmarkEnd w:id="2"/>
    </w:p>
    <w:p w:rsidR="00715914" w:rsidRPr="00A5046F" w:rsidRDefault="00DD0DD0" w:rsidP="00A5046F">
      <w:pPr>
        <w:pStyle w:val="subsection"/>
      </w:pPr>
      <w:r w:rsidRPr="00A5046F">
        <w:tab/>
      </w:r>
      <w:r w:rsidRPr="00A5046F">
        <w:tab/>
        <w:t>This Act is</w:t>
      </w:r>
      <w:r w:rsidR="00715914" w:rsidRPr="00A5046F">
        <w:t xml:space="preserve"> the </w:t>
      </w:r>
      <w:r w:rsidR="00D23F7E" w:rsidRPr="00A5046F">
        <w:rPr>
          <w:i/>
        </w:rPr>
        <w:t xml:space="preserve">Government Procurement (Judicial Review) </w:t>
      </w:r>
      <w:r w:rsidR="001F5D5E" w:rsidRPr="00A5046F">
        <w:rPr>
          <w:i/>
        </w:rPr>
        <w:t xml:space="preserve">Act </w:t>
      </w:r>
      <w:r w:rsidR="0086639E" w:rsidRPr="00A5046F">
        <w:rPr>
          <w:i/>
        </w:rPr>
        <w:t>201</w:t>
      </w:r>
      <w:r w:rsidR="001A68FD">
        <w:rPr>
          <w:i/>
        </w:rPr>
        <w:t>8</w:t>
      </w:r>
      <w:r w:rsidR="00715914" w:rsidRPr="00A5046F">
        <w:t>.</w:t>
      </w:r>
    </w:p>
    <w:p w:rsidR="00715914" w:rsidRPr="00A5046F" w:rsidRDefault="006611C9" w:rsidP="00A5046F">
      <w:pPr>
        <w:pStyle w:val="ActHead5"/>
      </w:pPr>
      <w:bookmarkStart w:id="3" w:name="_Toc527982081"/>
      <w:r w:rsidRPr="00A5046F">
        <w:rPr>
          <w:rStyle w:val="CharSectno"/>
        </w:rPr>
        <w:t>2</w:t>
      </w:r>
      <w:r w:rsidR="00715914" w:rsidRPr="00A5046F">
        <w:t xml:space="preserve">  Commencement</w:t>
      </w:r>
      <w:bookmarkEnd w:id="3"/>
    </w:p>
    <w:p w:rsidR="00D23F7E" w:rsidRPr="00A5046F" w:rsidRDefault="00D23F7E" w:rsidP="00A5046F">
      <w:pPr>
        <w:pStyle w:val="subsection"/>
      </w:pPr>
      <w:r w:rsidRPr="00A5046F">
        <w:tab/>
        <w:t>(1)</w:t>
      </w:r>
      <w:r w:rsidRPr="00A5046F">
        <w:tab/>
        <w:t>Each provision of this Act specified in column 1 of the table commences, or is taken to have commenced, in accordance with column 2 of the table. Any other statement in column 2 has effect according to its terms.</w:t>
      </w:r>
      <w:bookmarkStart w:id="4" w:name="_GoBack"/>
      <w:bookmarkEnd w:id="4"/>
    </w:p>
    <w:p w:rsidR="00D23F7E" w:rsidRPr="00A5046F" w:rsidRDefault="00D23F7E" w:rsidP="00A5046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D23F7E" w:rsidRPr="00A5046F" w:rsidTr="00772FFB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D23F7E" w:rsidRPr="00A5046F" w:rsidRDefault="00D23F7E" w:rsidP="00A5046F">
            <w:pPr>
              <w:pStyle w:val="TableHeading"/>
            </w:pPr>
            <w:r w:rsidRPr="00A5046F">
              <w:t>Commencement information</w:t>
            </w:r>
          </w:p>
        </w:tc>
      </w:tr>
      <w:tr w:rsidR="00D23F7E" w:rsidRPr="00A5046F" w:rsidTr="00772FFB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23F7E" w:rsidRPr="00A5046F" w:rsidRDefault="00D23F7E" w:rsidP="00A5046F">
            <w:pPr>
              <w:pStyle w:val="TableHeading"/>
            </w:pPr>
            <w:r w:rsidRPr="00A5046F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23F7E" w:rsidRPr="00A5046F" w:rsidRDefault="00D23F7E" w:rsidP="00A5046F">
            <w:pPr>
              <w:pStyle w:val="TableHeading"/>
            </w:pPr>
            <w:r w:rsidRPr="00A5046F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D23F7E" w:rsidRPr="00A5046F" w:rsidRDefault="00D23F7E" w:rsidP="00A5046F">
            <w:pPr>
              <w:pStyle w:val="TableHeading"/>
            </w:pPr>
            <w:r w:rsidRPr="00A5046F">
              <w:t>Column 3</w:t>
            </w:r>
          </w:p>
        </w:tc>
      </w:tr>
      <w:tr w:rsidR="00D23F7E" w:rsidRPr="00A5046F" w:rsidTr="00772FFB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23F7E" w:rsidRPr="00A5046F" w:rsidRDefault="00D23F7E" w:rsidP="00A5046F">
            <w:pPr>
              <w:pStyle w:val="TableHeading"/>
            </w:pPr>
            <w:r w:rsidRPr="00A5046F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23F7E" w:rsidRPr="00A5046F" w:rsidRDefault="00D23F7E" w:rsidP="00A5046F">
            <w:pPr>
              <w:pStyle w:val="TableHeading"/>
            </w:pPr>
            <w:r w:rsidRPr="00A5046F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D23F7E" w:rsidRPr="00A5046F" w:rsidRDefault="00D23F7E" w:rsidP="00A5046F">
            <w:pPr>
              <w:pStyle w:val="TableHeading"/>
            </w:pPr>
            <w:r w:rsidRPr="00A5046F">
              <w:t>Date/Details</w:t>
            </w:r>
          </w:p>
        </w:tc>
      </w:tr>
      <w:tr w:rsidR="00D23F7E" w:rsidRPr="00A5046F" w:rsidTr="00772FFB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D23F7E" w:rsidRPr="00A5046F" w:rsidRDefault="00D23F7E" w:rsidP="00A5046F">
            <w:pPr>
              <w:pStyle w:val="Tabletext"/>
            </w:pPr>
            <w:r w:rsidRPr="00A5046F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D571C" w:rsidRPr="00A5046F" w:rsidRDefault="00FD571C" w:rsidP="00A5046F">
            <w:pPr>
              <w:pStyle w:val="Tabletext"/>
            </w:pPr>
            <w:r w:rsidRPr="00A5046F">
              <w:t>A single day to be fixed by Proclamation.</w:t>
            </w:r>
          </w:p>
          <w:p w:rsidR="00D23F7E" w:rsidRPr="00A5046F" w:rsidRDefault="00FD571C" w:rsidP="00A5046F">
            <w:pPr>
              <w:pStyle w:val="Tabletext"/>
            </w:pPr>
            <w:r w:rsidRPr="00A5046F">
              <w:t xml:space="preserve">However, if the provisions do not commence within the period </w:t>
            </w:r>
            <w:r w:rsidR="00F80534" w:rsidRPr="00A5046F">
              <w:t>of 6</w:t>
            </w:r>
            <w:r w:rsidRPr="00A5046F">
              <w:t xml:space="preserve"> months beginning on the day this Act receives the Royal Assent, they commence on the day after the end of that period.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23F7E" w:rsidRPr="00A5046F" w:rsidRDefault="005E0B2A" w:rsidP="00A5046F">
            <w:pPr>
              <w:pStyle w:val="Tabletext"/>
            </w:pPr>
            <w:r>
              <w:t>19 April 2019</w:t>
            </w:r>
          </w:p>
        </w:tc>
      </w:tr>
    </w:tbl>
    <w:p w:rsidR="00D23F7E" w:rsidRPr="00A5046F" w:rsidRDefault="00D23F7E" w:rsidP="00A5046F">
      <w:pPr>
        <w:pStyle w:val="notetext"/>
      </w:pPr>
      <w:r w:rsidRPr="00A5046F">
        <w:rPr>
          <w:snapToGrid w:val="0"/>
          <w:lang w:eastAsia="en-US"/>
        </w:rPr>
        <w:t>Note:</w:t>
      </w:r>
      <w:r w:rsidRPr="00A5046F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D23F7E" w:rsidRPr="00A5046F" w:rsidRDefault="00D23F7E" w:rsidP="00A5046F">
      <w:pPr>
        <w:pStyle w:val="subsection"/>
      </w:pPr>
      <w:r w:rsidRPr="00A5046F">
        <w:tab/>
        <w:t>(2)</w:t>
      </w:r>
      <w:r w:rsidRPr="00A5046F">
        <w:tab/>
        <w:t>Any information in column 3 of the table is not part of this Act. Information may be inserted in this column, or information in it may be edited, in any published version of this Act.</w:t>
      </w:r>
    </w:p>
    <w:p w:rsidR="00F91403" w:rsidRPr="00A5046F" w:rsidRDefault="006611C9" w:rsidP="00A5046F">
      <w:pPr>
        <w:pStyle w:val="ActHead5"/>
      </w:pPr>
      <w:bookmarkStart w:id="5" w:name="_Toc527982082"/>
      <w:r w:rsidRPr="00A5046F">
        <w:rPr>
          <w:rStyle w:val="CharSectno"/>
        </w:rPr>
        <w:t>3</w:t>
      </w:r>
      <w:r w:rsidR="00F91403" w:rsidRPr="00A5046F">
        <w:t xml:space="preserve">  Simplified outline of this Act</w:t>
      </w:r>
      <w:bookmarkEnd w:id="5"/>
    </w:p>
    <w:p w:rsidR="00902C39" w:rsidRPr="00A5046F" w:rsidRDefault="00902C39" w:rsidP="00A5046F">
      <w:pPr>
        <w:pStyle w:val="SOBullet"/>
      </w:pPr>
      <w:r w:rsidRPr="00A5046F">
        <w:t>•</w:t>
      </w:r>
      <w:r w:rsidRPr="00A5046F">
        <w:tab/>
      </w:r>
      <w:r w:rsidR="00536143" w:rsidRPr="00A5046F">
        <w:t>The</w:t>
      </w:r>
      <w:r w:rsidR="00EA25BB" w:rsidRPr="00A5046F">
        <w:t xml:space="preserve"> Federal Court or the</w:t>
      </w:r>
      <w:r w:rsidR="00536143" w:rsidRPr="00A5046F">
        <w:t xml:space="preserve"> Federal Circuit Court</w:t>
      </w:r>
      <w:r w:rsidR="004E6C26" w:rsidRPr="00A5046F">
        <w:t xml:space="preserve"> may grant an injunction</w:t>
      </w:r>
      <w:r w:rsidR="00536143" w:rsidRPr="00A5046F">
        <w:t xml:space="preserve"> in relation to a contravention of the </w:t>
      </w:r>
      <w:r w:rsidR="00AF7FE6" w:rsidRPr="00A5046F">
        <w:t>relevant Commonwealth Procurement Rules</w:t>
      </w:r>
      <w:r w:rsidR="00314D5D" w:rsidRPr="00A5046F">
        <w:t xml:space="preserve"> (so far as those rules relate to a covered procurement).</w:t>
      </w:r>
    </w:p>
    <w:p w:rsidR="00902C39" w:rsidRPr="00A5046F" w:rsidRDefault="00902C39" w:rsidP="00A5046F">
      <w:pPr>
        <w:pStyle w:val="SOBullet"/>
      </w:pPr>
      <w:r w:rsidRPr="00A5046F">
        <w:t>•</w:t>
      </w:r>
      <w:r w:rsidRPr="00A5046F">
        <w:tab/>
      </w:r>
      <w:r w:rsidR="00536143" w:rsidRPr="00A5046F">
        <w:t xml:space="preserve">The </w:t>
      </w:r>
      <w:r w:rsidR="00EA25BB" w:rsidRPr="00A5046F">
        <w:t>Federal Court or the Federal Circuit Court</w:t>
      </w:r>
      <w:r w:rsidR="00536143" w:rsidRPr="00A5046F">
        <w:t xml:space="preserve"> may order the payment of compensation for a contravention of the</w:t>
      </w:r>
      <w:r w:rsidR="00A918A2" w:rsidRPr="00A5046F">
        <w:t xml:space="preserve"> </w:t>
      </w:r>
      <w:r w:rsidR="00AF7FE6" w:rsidRPr="00A5046F">
        <w:t>relevant Commonwealth Procurement Rules</w:t>
      </w:r>
      <w:r w:rsidR="00314D5D" w:rsidRPr="00A5046F">
        <w:t xml:space="preserve"> (so far as those rules relate to a covered procurement).</w:t>
      </w:r>
    </w:p>
    <w:p w:rsidR="007D351B" w:rsidRPr="00A5046F" w:rsidRDefault="007D351B" w:rsidP="00A5046F">
      <w:pPr>
        <w:pStyle w:val="SOBullet"/>
      </w:pPr>
      <w:r w:rsidRPr="00A5046F">
        <w:t>•</w:t>
      </w:r>
      <w:r w:rsidRPr="00A5046F">
        <w:tab/>
        <w:t>A supplier may complain</w:t>
      </w:r>
      <w:r w:rsidR="00103E31" w:rsidRPr="00A5046F">
        <w:t xml:space="preserve"> to the accountable authority of a relevant Commonwealth entity</w:t>
      </w:r>
      <w:r w:rsidRPr="00A5046F">
        <w:t xml:space="preserve"> </w:t>
      </w:r>
      <w:r w:rsidR="00103E31" w:rsidRPr="00A5046F">
        <w:t xml:space="preserve">about </w:t>
      </w:r>
      <w:r w:rsidRPr="00A5046F">
        <w:t>a contravention of the relevant Commonwealth Procurement Rules (so far as those rules relate to a covered procurement).</w:t>
      </w:r>
    </w:p>
    <w:p w:rsidR="00A96188" w:rsidRPr="00A5046F" w:rsidRDefault="00A96188" w:rsidP="00A5046F">
      <w:pPr>
        <w:pStyle w:val="SOBullet"/>
      </w:pPr>
      <w:r w:rsidRPr="00A5046F">
        <w:t>•</w:t>
      </w:r>
      <w:r w:rsidRPr="00A5046F">
        <w:tab/>
        <w:t>If a supplier makes a complaint, the accountable authority must:</w:t>
      </w:r>
    </w:p>
    <w:p w:rsidR="00A96188" w:rsidRPr="00A5046F" w:rsidRDefault="00A96188" w:rsidP="00A5046F">
      <w:pPr>
        <w:pStyle w:val="SOPara"/>
      </w:pPr>
      <w:r w:rsidRPr="00A5046F">
        <w:tab/>
        <w:t>(a)</w:t>
      </w:r>
      <w:r w:rsidRPr="00A5046F">
        <w:tab/>
        <w:t>investigate the conduct the subject of the complaint; and</w:t>
      </w:r>
    </w:p>
    <w:p w:rsidR="00A96188" w:rsidRPr="00A5046F" w:rsidRDefault="00A96188" w:rsidP="00A5046F">
      <w:pPr>
        <w:pStyle w:val="SOPara"/>
      </w:pPr>
      <w:r w:rsidRPr="00A5046F">
        <w:tab/>
        <w:t>(b)</w:t>
      </w:r>
      <w:r w:rsidRPr="00A5046F">
        <w:tab/>
        <w:t>if no public interest certificate is in force in relation to the procurement—suspend the procurement.</w:t>
      </w:r>
    </w:p>
    <w:p w:rsidR="00902C39" w:rsidRPr="00A5046F" w:rsidRDefault="00902C39" w:rsidP="00A5046F">
      <w:pPr>
        <w:pStyle w:val="SOBullet"/>
      </w:pPr>
      <w:r w:rsidRPr="00A5046F">
        <w:t>•</w:t>
      </w:r>
      <w:r w:rsidRPr="00A5046F">
        <w:tab/>
      </w:r>
      <w:r w:rsidR="00536143" w:rsidRPr="00A5046F">
        <w:t xml:space="preserve">A contravention of </w:t>
      </w:r>
      <w:r w:rsidR="007507FC" w:rsidRPr="00A5046F">
        <w:t xml:space="preserve">the </w:t>
      </w:r>
      <w:r w:rsidR="00536143" w:rsidRPr="00A5046F">
        <w:t>Commonwealth Procurement Rules does not affect the validity of a contract.</w:t>
      </w:r>
    </w:p>
    <w:p w:rsidR="0067672D" w:rsidRPr="00A5046F" w:rsidRDefault="0067672D" w:rsidP="00A5046F">
      <w:pPr>
        <w:pStyle w:val="notetext"/>
      </w:pPr>
      <w:r w:rsidRPr="00A5046F">
        <w:rPr>
          <w:snapToGrid w:val="0"/>
          <w:lang w:eastAsia="en-US"/>
        </w:rPr>
        <w:t>Note:</w:t>
      </w:r>
      <w:r w:rsidRPr="00A5046F">
        <w:rPr>
          <w:snapToGrid w:val="0"/>
          <w:lang w:eastAsia="en-US"/>
        </w:rPr>
        <w:tab/>
        <w:t xml:space="preserve">For </w:t>
      </w:r>
      <w:r w:rsidRPr="00A5046F">
        <w:rPr>
          <w:b/>
          <w:i/>
        </w:rPr>
        <w:t>relevant Commonwealth Procurement Rules</w:t>
      </w:r>
      <w:r w:rsidRPr="00A5046F">
        <w:t>, see section</w:t>
      </w:r>
      <w:r w:rsidR="00A5046F" w:rsidRPr="00A5046F">
        <w:t> </w:t>
      </w:r>
      <w:r w:rsidR="006611C9" w:rsidRPr="00A5046F">
        <w:t>4</w:t>
      </w:r>
      <w:r w:rsidRPr="00A5046F">
        <w:rPr>
          <w:snapToGrid w:val="0"/>
          <w:lang w:eastAsia="en-US"/>
        </w:rPr>
        <w:t>.</w:t>
      </w:r>
    </w:p>
    <w:p w:rsidR="00F4653E" w:rsidRPr="00A5046F" w:rsidRDefault="006611C9" w:rsidP="00A5046F">
      <w:pPr>
        <w:pStyle w:val="ActHead5"/>
      </w:pPr>
      <w:bookmarkStart w:id="6" w:name="_Toc527982083"/>
      <w:r w:rsidRPr="00A5046F">
        <w:rPr>
          <w:rStyle w:val="CharSectno"/>
        </w:rPr>
        <w:t>4</w:t>
      </w:r>
      <w:r w:rsidR="00F4653E" w:rsidRPr="00A5046F">
        <w:t xml:space="preserve">  Definitions</w:t>
      </w:r>
      <w:bookmarkEnd w:id="6"/>
    </w:p>
    <w:p w:rsidR="00F4653E" w:rsidRPr="00A5046F" w:rsidRDefault="00F4653E" w:rsidP="00A5046F">
      <w:pPr>
        <w:pStyle w:val="subsection"/>
      </w:pPr>
      <w:r w:rsidRPr="00A5046F">
        <w:tab/>
      </w:r>
      <w:r w:rsidRPr="00A5046F">
        <w:tab/>
        <w:t>In this Act:</w:t>
      </w:r>
    </w:p>
    <w:p w:rsidR="00D5084A" w:rsidRPr="00A5046F" w:rsidRDefault="00D5084A" w:rsidP="00A5046F">
      <w:pPr>
        <w:pStyle w:val="Definition"/>
      </w:pPr>
      <w:r w:rsidRPr="00A5046F">
        <w:rPr>
          <w:b/>
          <w:i/>
        </w:rPr>
        <w:t>accountable authority</w:t>
      </w:r>
      <w:r w:rsidRPr="00A5046F">
        <w:t xml:space="preserve"> has the same meaning as in the </w:t>
      </w:r>
      <w:r w:rsidRPr="00A5046F">
        <w:rPr>
          <w:i/>
        </w:rPr>
        <w:t>Public Governance, Performance and Accountability Act 2013</w:t>
      </w:r>
      <w:r w:rsidRPr="00A5046F">
        <w:t>.</w:t>
      </w:r>
    </w:p>
    <w:p w:rsidR="00F4653E" w:rsidRPr="00A5046F" w:rsidRDefault="00F4653E" w:rsidP="00A5046F">
      <w:pPr>
        <w:pStyle w:val="Definition"/>
      </w:pPr>
      <w:r w:rsidRPr="00A5046F">
        <w:rPr>
          <w:b/>
          <w:i/>
        </w:rPr>
        <w:t>Commonwealth Procurement Rules</w:t>
      </w:r>
      <w:r w:rsidRPr="00A5046F">
        <w:t xml:space="preserve"> means the Commonwealth Procurement Rules in force under subsection</w:t>
      </w:r>
      <w:r w:rsidR="00A5046F" w:rsidRPr="00A5046F">
        <w:t> </w:t>
      </w:r>
      <w:r w:rsidRPr="00A5046F">
        <w:t xml:space="preserve">105B(1) of the </w:t>
      </w:r>
      <w:r w:rsidRPr="00A5046F">
        <w:rPr>
          <w:i/>
        </w:rPr>
        <w:t>Public Governance, Performance and Accountability Act 2013</w:t>
      </w:r>
      <w:r w:rsidRPr="00A5046F">
        <w:t>.</w:t>
      </w:r>
    </w:p>
    <w:p w:rsidR="004A7C56" w:rsidRPr="00A5046F" w:rsidRDefault="004A7C56" w:rsidP="00A5046F">
      <w:pPr>
        <w:pStyle w:val="Definition"/>
      </w:pPr>
      <w:r w:rsidRPr="00A5046F">
        <w:rPr>
          <w:b/>
          <w:i/>
        </w:rPr>
        <w:t>corporate Commonwealth entity</w:t>
      </w:r>
      <w:r w:rsidRPr="00A5046F">
        <w:t xml:space="preserve"> has the same meaning as in the </w:t>
      </w:r>
      <w:r w:rsidRPr="00A5046F">
        <w:rPr>
          <w:i/>
        </w:rPr>
        <w:t>Public Governance, Performance and Accountability Act 2013</w:t>
      </w:r>
      <w:r w:rsidRPr="00A5046F">
        <w:t>.</w:t>
      </w:r>
    </w:p>
    <w:p w:rsidR="00B4099B" w:rsidRPr="00A5046F" w:rsidRDefault="00B4099B" w:rsidP="00A5046F">
      <w:pPr>
        <w:pStyle w:val="Definition"/>
      </w:pPr>
      <w:r w:rsidRPr="00A5046F">
        <w:rPr>
          <w:b/>
          <w:i/>
        </w:rPr>
        <w:t>covered procurement</w:t>
      </w:r>
      <w:r w:rsidRPr="00A5046F">
        <w:t xml:space="preserve"> has the meaning given by section</w:t>
      </w:r>
      <w:r w:rsidR="00A5046F" w:rsidRPr="00A5046F">
        <w:t> </w:t>
      </w:r>
      <w:r w:rsidR="006611C9" w:rsidRPr="00A5046F">
        <w:t>5</w:t>
      </w:r>
      <w:r w:rsidRPr="00A5046F">
        <w:t>.</w:t>
      </w:r>
    </w:p>
    <w:p w:rsidR="00B4099B" w:rsidRPr="00A5046F" w:rsidRDefault="00B4099B" w:rsidP="00A5046F">
      <w:pPr>
        <w:pStyle w:val="Definition"/>
      </w:pPr>
      <w:r w:rsidRPr="00A5046F">
        <w:rPr>
          <w:b/>
          <w:i/>
        </w:rPr>
        <w:t>Federal Circuit Court</w:t>
      </w:r>
      <w:r w:rsidRPr="00A5046F">
        <w:t xml:space="preserve"> means the Federal Circuit</w:t>
      </w:r>
      <w:r w:rsidRPr="00A5046F">
        <w:rPr>
          <w:b/>
          <w:i/>
        </w:rPr>
        <w:t xml:space="preserve"> </w:t>
      </w:r>
      <w:r w:rsidRPr="00A5046F">
        <w:t>Court of Australia.</w:t>
      </w:r>
    </w:p>
    <w:p w:rsidR="00B4099B" w:rsidRPr="00A5046F" w:rsidRDefault="00B4099B" w:rsidP="00A5046F">
      <w:pPr>
        <w:pStyle w:val="Definition"/>
      </w:pPr>
      <w:r w:rsidRPr="00A5046F">
        <w:rPr>
          <w:b/>
          <w:i/>
        </w:rPr>
        <w:t>Federal Court</w:t>
      </w:r>
      <w:r w:rsidRPr="00A5046F">
        <w:t xml:space="preserve"> means the Federal Court of Australia.</w:t>
      </w:r>
    </w:p>
    <w:p w:rsidR="00D23F7E" w:rsidRPr="00A5046F" w:rsidRDefault="00D23F7E" w:rsidP="00A5046F">
      <w:pPr>
        <w:pStyle w:val="Definition"/>
      </w:pPr>
      <w:r w:rsidRPr="00A5046F">
        <w:rPr>
          <w:b/>
          <w:i/>
        </w:rPr>
        <w:t xml:space="preserve">goods </w:t>
      </w:r>
      <w:r w:rsidRPr="00A5046F">
        <w:t>has the same meaning as in the Commonwealth Procurement Rules</w:t>
      </w:r>
      <w:r w:rsidR="00A918A2" w:rsidRPr="00A5046F">
        <w:t>.</w:t>
      </w:r>
    </w:p>
    <w:p w:rsidR="004A7C56" w:rsidRPr="00A5046F" w:rsidRDefault="004A7C56" w:rsidP="00A5046F">
      <w:pPr>
        <w:pStyle w:val="Definition"/>
      </w:pPr>
      <w:r w:rsidRPr="00A5046F">
        <w:rPr>
          <w:b/>
          <w:i/>
        </w:rPr>
        <w:t>non</w:t>
      </w:r>
      <w:r w:rsidR="001A68FD">
        <w:rPr>
          <w:b/>
          <w:i/>
        </w:rPr>
        <w:noBreakHyphen/>
      </w:r>
      <w:r w:rsidRPr="00A5046F">
        <w:rPr>
          <w:b/>
          <w:i/>
        </w:rPr>
        <w:t>corporate Commonwealth entity</w:t>
      </w:r>
      <w:r w:rsidRPr="00A5046F">
        <w:t xml:space="preserve"> has the same meaning as in the </w:t>
      </w:r>
      <w:r w:rsidRPr="00A5046F">
        <w:rPr>
          <w:i/>
        </w:rPr>
        <w:t>Public Governance, Performance and Accountability Act 2013</w:t>
      </w:r>
      <w:r w:rsidRPr="00A5046F">
        <w:t>.</w:t>
      </w:r>
    </w:p>
    <w:p w:rsidR="004A7C56" w:rsidRPr="00A5046F" w:rsidRDefault="004A7C56" w:rsidP="00A5046F">
      <w:pPr>
        <w:pStyle w:val="Definition"/>
      </w:pPr>
      <w:r w:rsidRPr="00A5046F">
        <w:rPr>
          <w:b/>
          <w:i/>
        </w:rPr>
        <w:t>official</w:t>
      </w:r>
      <w:r w:rsidRPr="00A5046F">
        <w:t xml:space="preserve"> has the same meaning as in the </w:t>
      </w:r>
      <w:r w:rsidRPr="00A5046F">
        <w:rPr>
          <w:i/>
        </w:rPr>
        <w:t>Public Governance, Performance and Accountability Act 2013</w:t>
      </w:r>
      <w:r w:rsidRPr="00A5046F">
        <w:t>.</w:t>
      </w:r>
    </w:p>
    <w:p w:rsidR="00D23F7E" w:rsidRPr="00A5046F" w:rsidRDefault="00D23F7E" w:rsidP="00A5046F">
      <w:pPr>
        <w:pStyle w:val="Definition"/>
      </w:pPr>
      <w:r w:rsidRPr="00A5046F">
        <w:rPr>
          <w:b/>
          <w:i/>
        </w:rPr>
        <w:t xml:space="preserve">procurement </w:t>
      </w:r>
      <w:r w:rsidRPr="00A5046F">
        <w:t>has the same meaning as in the Commonwealth Procurement Rules</w:t>
      </w:r>
      <w:r w:rsidR="00A918A2" w:rsidRPr="00A5046F">
        <w:t>.</w:t>
      </w:r>
    </w:p>
    <w:p w:rsidR="008441DC" w:rsidRPr="00A5046F" w:rsidRDefault="008441DC" w:rsidP="00A5046F">
      <w:pPr>
        <w:pStyle w:val="Definition"/>
      </w:pPr>
      <w:r w:rsidRPr="00A5046F">
        <w:rPr>
          <w:b/>
          <w:i/>
        </w:rPr>
        <w:t xml:space="preserve">public interest certificate </w:t>
      </w:r>
      <w:r w:rsidRPr="00A5046F">
        <w:t>has t</w:t>
      </w:r>
      <w:r w:rsidR="00003166" w:rsidRPr="00A5046F">
        <w:t>he meaning given by section</w:t>
      </w:r>
      <w:r w:rsidR="00A5046F" w:rsidRPr="00A5046F">
        <w:t> </w:t>
      </w:r>
      <w:r w:rsidR="006611C9" w:rsidRPr="00A5046F">
        <w:t>22</w:t>
      </w:r>
      <w:r w:rsidRPr="00A5046F">
        <w:t>.</w:t>
      </w:r>
    </w:p>
    <w:p w:rsidR="004A7C56" w:rsidRPr="00A5046F" w:rsidRDefault="00244E25" w:rsidP="00A5046F">
      <w:pPr>
        <w:pStyle w:val="Definition"/>
      </w:pPr>
      <w:r w:rsidRPr="00A5046F">
        <w:rPr>
          <w:b/>
          <w:i/>
        </w:rPr>
        <w:t>relevant Commonwealth entity</w:t>
      </w:r>
      <w:r w:rsidR="004A7C56" w:rsidRPr="00A5046F">
        <w:t xml:space="preserve"> means:</w:t>
      </w:r>
    </w:p>
    <w:p w:rsidR="004A7C56" w:rsidRPr="00A5046F" w:rsidRDefault="004A7C56" w:rsidP="00A5046F">
      <w:pPr>
        <w:pStyle w:val="paragraph"/>
      </w:pPr>
      <w:r w:rsidRPr="00A5046F">
        <w:tab/>
        <w:t>(a)</w:t>
      </w:r>
      <w:r w:rsidRPr="00A5046F">
        <w:tab/>
        <w:t>a non</w:t>
      </w:r>
      <w:r w:rsidR="001A68FD">
        <w:noBreakHyphen/>
      </w:r>
      <w:r w:rsidRPr="00A5046F">
        <w:t>corporate Commonwealth entity; or</w:t>
      </w:r>
    </w:p>
    <w:p w:rsidR="004A7C56" w:rsidRPr="00A5046F" w:rsidRDefault="004A7C56" w:rsidP="00A5046F">
      <w:pPr>
        <w:pStyle w:val="paragraph"/>
      </w:pPr>
      <w:r w:rsidRPr="00A5046F">
        <w:tab/>
        <w:t>(b)</w:t>
      </w:r>
      <w:r w:rsidRPr="00A5046F">
        <w:tab/>
        <w:t>a corporate Commonwealth entity prescribed by rules made for the purposes of paragraph</w:t>
      </w:r>
      <w:r w:rsidR="00A5046F" w:rsidRPr="00A5046F">
        <w:t> </w:t>
      </w:r>
      <w:r w:rsidRPr="00A5046F">
        <w:t xml:space="preserve">105B(1)(b) of the </w:t>
      </w:r>
      <w:r w:rsidRPr="00A5046F">
        <w:rPr>
          <w:i/>
        </w:rPr>
        <w:t>Public Governance, Performance and Accountability Act 2013</w:t>
      </w:r>
      <w:r w:rsidRPr="00A5046F">
        <w:t>.</w:t>
      </w:r>
    </w:p>
    <w:p w:rsidR="00E6158D" w:rsidRPr="00A5046F" w:rsidRDefault="00E6158D" w:rsidP="00A5046F">
      <w:pPr>
        <w:pStyle w:val="Definition"/>
      </w:pPr>
      <w:r w:rsidRPr="00A5046F">
        <w:rPr>
          <w:b/>
          <w:i/>
        </w:rPr>
        <w:t>relevant Commonwealth Procurement Rules</w:t>
      </w:r>
      <w:r w:rsidRPr="00A5046F">
        <w:t xml:space="preserve"> means:</w:t>
      </w:r>
    </w:p>
    <w:p w:rsidR="00E6158D" w:rsidRPr="00A5046F" w:rsidRDefault="00E6158D" w:rsidP="00A5046F">
      <w:pPr>
        <w:pStyle w:val="paragraph"/>
      </w:pPr>
      <w:r w:rsidRPr="00A5046F">
        <w:tab/>
        <w:t>(a)</w:t>
      </w:r>
      <w:r w:rsidRPr="00A5046F">
        <w:tab/>
        <w:t>a provision of Division</w:t>
      </w:r>
      <w:r w:rsidR="00A5046F" w:rsidRPr="00A5046F">
        <w:t> </w:t>
      </w:r>
      <w:r w:rsidRPr="00A5046F">
        <w:t xml:space="preserve">1 of the Commonwealth Procurement Rules that is declared by those rules to be a relevant provision for the purposes of this </w:t>
      </w:r>
      <w:r w:rsidR="00AF7FE6" w:rsidRPr="00A5046F">
        <w:t>paragraph; or</w:t>
      </w:r>
    </w:p>
    <w:p w:rsidR="00E6158D" w:rsidRPr="00A5046F" w:rsidRDefault="00E6158D" w:rsidP="00A5046F">
      <w:pPr>
        <w:pStyle w:val="paragraph"/>
      </w:pPr>
      <w:r w:rsidRPr="00A5046F">
        <w:tab/>
        <w:t>(b)</w:t>
      </w:r>
      <w:r w:rsidRPr="00A5046F">
        <w:tab/>
        <w:t>Division</w:t>
      </w:r>
      <w:r w:rsidR="00A5046F" w:rsidRPr="00A5046F">
        <w:t> </w:t>
      </w:r>
      <w:r w:rsidRPr="00A5046F">
        <w:t>2 of the Commonwealth Procurement Rules.</w:t>
      </w:r>
    </w:p>
    <w:p w:rsidR="007507FC" w:rsidRPr="00A5046F" w:rsidRDefault="00F4653E" w:rsidP="00A5046F">
      <w:pPr>
        <w:pStyle w:val="Definition"/>
      </w:pPr>
      <w:r w:rsidRPr="00A5046F">
        <w:rPr>
          <w:b/>
          <w:i/>
        </w:rPr>
        <w:t>supplier</w:t>
      </w:r>
      <w:r w:rsidRPr="00A5046F">
        <w:t xml:space="preserve"> </w:t>
      </w:r>
      <w:r w:rsidR="00B758C3" w:rsidRPr="00A5046F">
        <w:t>means</w:t>
      </w:r>
      <w:r w:rsidR="007507FC" w:rsidRPr="00A5046F">
        <w:t>:</w:t>
      </w:r>
    </w:p>
    <w:p w:rsidR="00F4653E" w:rsidRPr="00A5046F" w:rsidRDefault="007507FC" w:rsidP="00A5046F">
      <w:pPr>
        <w:pStyle w:val="paragraph"/>
      </w:pPr>
      <w:r w:rsidRPr="00A5046F">
        <w:tab/>
        <w:t>(a)</w:t>
      </w:r>
      <w:r w:rsidRPr="00A5046F">
        <w:tab/>
      </w:r>
      <w:r w:rsidR="00427B2D" w:rsidRPr="00A5046F">
        <w:t xml:space="preserve">a person who supplies, or </w:t>
      </w:r>
      <w:r w:rsidR="00B758C3" w:rsidRPr="00A5046F">
        <w:t xml:space="preserve">could </w:t>
      </w:r>
      <w:r w:rsidR="00427B2D" w:rsidRPr="00A5046F">
        <w:t>supply, goods or services</w:t>
      </w:r>
      <w:r w:rsidRPr="00A5046F">
        <w:t>; or</w:t>
      </w:r>
    </w:p>
    <w:p w:rsidR="007507FC" w:rsidRPr="00A5046F" w:rsidRDefault="007507FC" w:rsidP="00A5046F">
      <w:pPr>
        <w:pStyle w:val="paragraph"/>
      </w:pPr>
      <w:r w:rsidRPr="00A5046F">
        <w:tab/>
        <w:t>(b)</w:t>
      </w:r>
      <w:r w:rsidRPr="00A5046F">
        <w:tab/>
        <w:t>a partnership (or other group) of 2 or more persons that supplies, or could supply, goods or services.</w:t>
      </w:r>
    </w:p>
    <w:p w:rsidR="00B4099B" w:rsidRPr="00A5046F" w:rsidRDefault="006611C9" w:rsidP="00A5046F">
      <w:pPr>
        <w:pStyle w:val="ActHead5"/>
      </w:pPr>
      <w:bookmarkStart w:id="7" w:name="_Toc527982084"/>
      <w:r w:rsidRPr="00A5046F">
        <w:rPr>
          <w:rStyle w:val="CharSectno"/>
        </w:rPr>
        <w:t>5</w:t>
      </w:r>
      <w:r w:rsidR="00B4099B" w:rsidRPr="00A5046F">
        <w:t xml:space="preserve">  Covered procurement</w:t>
      </w:r>
      <w:bookmarkEnd w:id="7"/>
    </w:p>
    <w:p w:rsidR="00B4099B" w:rsidRPr="00A5046F" w:rsidRDefault="00902C39" w:rsidP="00A5046F">
      <w:pPr>
        <w:pStyle w:val="subsection"/>
      </w:pPr>
      <w:r w:rsidRPr="00A5046F">
        <w:tab/>
        <w:t>(1)</w:t>
      </w:r>
      <w:r w:rsidRPr="00A5046F">
        <w:tab/>
      </w:r>
      <w:r w:rsidR="00B4099B" w:rsidRPr="00A5046F">
        <w:t>For the purposes of this Act,</w:t>
      </w:r>
      <w:r w:rsidR="00D01609" w:rsidRPr="00A5046F">
        <w:t xml:space="preserve"> </w:t>
      </w:r>
      <w:r w:rsidR="00D5084A" w:rsidRPr="00A5046F">
        <w:t xml:space="preserve">a </w:t>
      </w:r>
      <w:r w:rsidR="00D01609" w:rsidRPr="00A5046F">
        <w:t xml:space="preserve">procurement is a </w:t>
      </w:r>
      <w:r w:rsidR="00B4099B" w:rsidRPr="00A5046F">
        <w:rPr>
          <w:b/>
          <w:i/>
        </w:rPr>
        <w:t>covered procurement</w:t>
      </w:r>
      <w:r w:rsidR="00B4099B" w:rsidRPr="00A5046F">
        <w:t xml:space="preserve"> </w:t>
      </w:r>
      <w:r w:rsidR="00D01609" w:rsidRPr="00A5046F">
        <w:t>if</w:t>
      </w:r>
      <w:r w:rsidR="00B4099B" w:rsidRPr="00A5046F">
        <w:t>:</w:t>
      </w:r>
    </w:p>
    <w:p w:rsidR="00D01609" w:rsidRPr="00A5046F" w:rsidRDefault="009532F3" w:rsidP="00A5046F">
      <w:pPr>
        <w:pStyle w:val="paragraph"/>
      </w:pPr>
      <w:r w:rsidRPr="00A5046F">
        <w:tab/>
        <w:t>(a)</w:t>
      </w:r>
      <w:r w:rsidRPr="00A5046F">
        <w:tab/>
      </w:r>
      <w:r w:rsidR="00D01609" w:rsidRPr="00A5046F">
        <w:t>the rules in Division</w:t>
      </w:r>
      <w:r w:rsidRPr="00A5046F">
        <w:t>s</w:t>
      </w:r>
      <w:r w:rsidR="00A5046F" w:rsidRPr="00A5046F">
        <w:t> </w:t>
      </w:r>
      <w:r w:rsidRPr="00A5046F">
        <w:t xml:space="preserve">1 and </w:t>
      </w:r>
      <w:r w:rsidR="00D01609" w:rsidRPr="00A5046F">
        <w:t>2 of the Commonwealth Procurement Rules apply to the procurement; and</w:t>
      </w:r>
    </w:p>
    <w:p w:rsidR="00D01609" w:rsidRPr="00A5046F" w:rsidRDefault="00902C39" w:rsidP="00A5046F">
      <w:pPr>
        <w:pStyle w:val="paragraph"/>
      </w:pPr>
      <w:r w:rsidRPr="00A5046F">
        <w:tab/>
        <w:t>(b</w:t>
      </w:r>
      <w:r w:rsidR="009532F3" w:rsidRPr="00A5046F">
        <w:t>)</w:t>
      </w:r>
      <w:r w:rsidR="009532F3" w:rsidRPr="00A5046F">
        <w:tab/>
        <w:t>the</w:t>
      </w:r>
      <w:r w:rsidR="009532F3" w:rsidRPr="00A5046F">
        <w:rPr>
          <w:i/>
        </w:rPr>
        <w:t xml:space="preserve"> </w:t>
      </w:r>
      <w:r w:rsidR="009532F3" w:rsidRPr="00A5046F">
        <w:t>procurement is not included in a class of</w:t>
      </w:r>
      <w:r w:rsidR="009532F3" w:rsidRPr="00A5046F">
        <w:rPr>
          <w:i/>
        </w:rPr>
        <w:t xml:space="preserve"> </w:t>
      </w:r>
      <w:r w:rsidR="009532F3" w:rsidRPr="00A5046F">
        <w:t xml:space="preserve">procurements </w:t>
      </w:r>
      <w:r w:rsidRPr="00A5046F">
        <w:t>specified in</w:t>
      </w:r>
      <w:r w:rsidR="009532F3" w:rsidRPr="00A5046F">
        <w:t xml:space="preserve"> </w:t>
      </w:r>
      <w:r w:rsidRPr="00A5046F">
        <w:t xml:space="preserve">a determination under </w:t>
      </w:r>
      <w:r w:rsidR="00A5046F" w:rsidRPr="00A5046F">
        <w:t>subsection (</w:t>
      </w:r>
      <w:r w:rsidR="00886988" w:rsidRPr="00A5046F">
        <w:t>2</w:t>
      </w:r>
      <w:r w:rsidRPr="00A5046F">
        <w:t>)</w:t>
      </w:r>
      <w:r w:rsidR="009532F3" w:rsidRPr="00A5046F">
        <w:t>.</w:t>
      </w:r>
    </w:p>
    <w:p w:rsidR="00886988" w:rsidRPr="00A5046F" w:rsidRDefault="00886988" w:rsidP="00A5046F">
      <w:pPr>
        <w:pStyle w:val="notetext"/>
      </w:pPr>
      <w:r w:rsidRPr="00A5046F">
        <w:t>Note:</w:t>
      </w:r>
      <w:r w:rsidRPr="00A5046F">
        <w:tab/>
        <w:t>The rules in Divisions</w:t>
      </w:r>
      <w:r w:rsidR="00A5046F" w:rsidRPr="00A5046F">
        <w:t> </w:t>
      </w:r>
      <w:r w:rsidRPr="00A5046F">
        <w:t>1 and 2 of the Commonwealth Procurement Rules do not to apply to a procurement for a purpose set out in paragraph</w:t>
      </w:r>
      <w:r w:rsidR="00A5046F" w:rsidRPr="00A5046F">
        <w:t> </w:t>
      </w:r>
      <w:r w:rsidRPr="00A5046F">
        <w:t>2.6 of the Commonwealth Procurement Rules</w:t>
      </w:r>
      <w:r w:rsidR="007507FC" w:rsidRPr="00A5046F">
        <w:t>.</w:t>
      </w:r>
    </w:p>
    <w:p w:rsidR="00902C39" w:rsidRPr="00A5046F" w:rsidRDefault="00902C39" w:rsidP="00A5046F">
      <w:pPr>
        <w:pStyle w:val="subsection"/>
        <w:rPr>
          <w:bCs/>
        </w:rPr>
      </w:pPr>
      <w:r w:rsidRPr="00A5046F">
        <w:tab/>
        <w:t>(</w:t>
      </w:r>
      <w:r w:rsidR="00886988" w:rsidRPr="00A5046F">
        <w:t>2</w:t>
      </w:r>
      <w:r w:rsidRPr="00A5046F">
        <w:t>)</w:t>
      </w:r>
      <w:r w:rsidRPr="00A5046F">
        <w:tab/>
        <w:t xml:space="preserve">The Minister may, by legislative instrument, make a determination </w:t>
      </w:r>
      <w:r w:rsidRPr="00A5046F">
        <w:rPr>
          <w:bCs/>
        </w:rPr>
        <w:t xml:space="preserve">for the purposes of </w:t>
      </w:r>
      <w:r w:rsidR="00A5046F" w:rsidRPr="00A5046F">
        <w:rPr>
          <w:bCs/>
        </w:rPr>
        <w:t>paragraph (</w:t>
      </w:r>
      <w:r w:rsidRPr="00A5046F">
        <w:rPr>
          <w:bCs/>
        </w:rPr>
        <w:t>1)(b).</w:t>
      </w:r>
    </w:p>
    <w:p w:rsidR="00E41BC8" w:rsidRPr="00A5046F" w:rsidRDefault="006611C9" w:rsidP="00A5046F">
      <w:pPr>
        <w:pStyle w:val="ActHead5"/>
      </w:pPr>
      <w:bookmarkStart w:id="8" w:name="_Toc527982085"/>
      <w:r w:rsidRPr="00A5046F">
        <w:rPr>
          <w:rStyle w:val="CharSectno"/>
        </w:rPr>
        <w:t>6</w:t>
      </w:r>
      <w:r w:rsidR="00E41BC8" w:rsidRPr="00A5046F">
        <w:t xml:space="preserve">  Crown to be bound</w:t>
      </w:r>
      <w:bookmarkEnd w:id="8"/>
    </w:p>
    <w:p w:rsidR="00E41BC8" w:rsidRPr="00A5046F" w:rsidRDefault="00E41BC8" w:rsidP="00A5046F">
      <w:pPr>
        <w:pStyle w:val="subsection"/>
      </w:pPr>
      <w:r w:rsidRPr="00A5046F">
        <w:tab/>
      </w:r>
      <w:r w:rsidRPr="00A5046F">
        <w:tab/>
        <w:t>This Act binds the Crown in each of its capacities.</w:t>
      </w:r>
    </w:p>
    <w:p w:rsidR="00E41BC8" w:rsidRPr="00A5046F" w:rsidRDefault="006611C9" w:rsidP="00A5046F">
      <w:pPr>
        <w:pStyle w:val="ActHead5"/>
      </w:pPr>
      <w:bookmarkStart w:id="9" w:name="_Toc527982086"/>
      <w:r w:rsidRPr="00A5046F">
        <w:rPr>
          <w:rStyle w:val="CharSectno"/>
        </w:rPr>
        <w:t>7</w:t>
      </w:r>
      <w:r w:rsidR="00E41BC8" w:rsidRPr="00A5046F">
        <w:t xml:space="preserve">  Application of this Act</w:t>
      </w:r>
      <w:bookmarkEnd w:id="9"/>
    </w:p>
    <w:p w:rsidR="00E41BC8" w:rsidRPr="00A5046F" w:rsidRDefault="00E41BC8" w:rsidP="00A5046F">
      <w:pPr>
        <w:pStyle w:val="subsection"/>
      </w:pPr>
      <w:r w:rsidRPr="00A5046F">
        <w:tab/>
        <w:t>(1)</w:t>
      </w:r>
      <w:r w:rsidRPr="00A5046F">
        <w:tab/>
        <w:t>This Act extends to every external Territory.</w:t>
      </w:r>
    </w:p>
    <w:p w:rsidR="00E41BC8" w:rsidRPr="00A5046F" w:rsidRDefault="00E41BC8" w:rsidP="00A5046F">
      <w:pPr>
        <w:pStyle w:val="subsection"/>
      </w:pPr>
      <w:r w:rsidRPr="00A5046F">
        <w:tab/>
        <w:t>(2)</w:t>
      </w:r>
      <w:r w:rsidRPr="00A5046F">
        <w:tab/>
        <w:t>This Act extends to acts, omissions, matters and things outside Australia.</w:t>
      </w:r>
    </w:p>
    <w:p w:rsidR="00D23F7E" w:rsidRPr="00A5046F" w:rsidRDefault="00D23F7E" w:rsidP="00A5046F">
      <w:pPr>
        <w:pStyle w:val="ActHead2"/>
        <w:pageBreakBefore/>
      </w:pPr>
      <w:bookmarkStart w:id="10" w:name="_Toc527982087"/>
      <w:r w:rsidRPr="00A5046F">
        <w:rPr>
          <w:rStyle w:val="CharPartNo"/>
        </w:rPr>
        <w:t>Part</w:t>
      </w:r>
      <w:r w:rsidR="00A5046F" w:rsidRPr="00A5046F">
        <w:rPr>
          <w:rStyle w:val="CharPartNo"/>
        </w:rPr>
        <w:t> </w:t>
      </w:r>
      <w:r w:rsidRPr="00A5046F">
        <w:rPr>
          <w:rStyle w:val="CharPartNo"/>
        </w:rPr>
        <w:t>2</w:t>
      </w:r>
      <w:r w:rsidRPr="00A5046F">
        <w:t>—</w:t>
      </w:r>
      <w:r w:rsidRPr="00A5046F">
        <w:rPr>
          <w:rStyle w:val="CharPartText"/>
        </w:rPr>
        <w:t>Injunctions</w:t>
      </w:r>
      <w:bookmarkEnd w:id="10"/>
    </w:p>
    <w:p w:rsidR="00D23F7E" w:rsidRPr="00A5046F" w:rsidRDefault="00D23F7E" w:rsidP="00A5046F">
      <w:pPr>
        <w:pStyle w:val="Header"/>
      </w:pPr>
      <w:r w:rsidRPr="00A5046F">
        <w:rPr>
          <w:rStyle w:val="CharDivNo"/>
        </w:rPr>
        <w:t xml:space="preserve"> </w:t>
      </w:r>
      <w:r w:rsidRPr="00A5046F">
        <w:rPr>
          <w:rStyle w:val="CharDivText"/>
        </w:rPr>
        <w:t xml:space="preserve"> </w:t>
      </w:r>
    </w:p>
    <w:p w:rsidR="00555866" w:rsidRPr="00A5046F" w:rsidRDefault="006611C9" w:rsidP="00A5046F">
      <w:pPr>
        <w:pStyle w:val="ActHead5"/>
      </w:pPr>
      <w:bookmarkStart w:id="11" w:name="_Toc527982088"/>
      <w:r w:rsidRPr="00A5046F">
        <w:rPr>
          <w:rStyle w:val="CharSectno"/>
        </w:rPr>
        <w:t>8</w:t>
      </w:r>
      <w:r w:rsidR="00555866" w:rsidRPr="00A5046F">
        <w:t xml:space="preserve">  Simplified outline of this Part</w:t>
      </w:r>
      <w:bookmarkEnd w:id="11"/>
    </w:p>
    <w:p w:rsidR="00555866" w:rsidRPr="00A5046F" w:rsidRDefault="00555866" w:rsidP="00A5046F">
      <w:pPr>
        <w:pStyle w:val="SOBullet"/>
      </w:pPr>
      <w:r w:rsidRPr="00A5046F">
        <w:t>•</w:t>
      </w:r>
      <w:r w:rsidRPr="00A5046F">
        <w:tab/>
        <w:t xml:space="preserve">The </w:t>
      </w:r>
      <w:r w:rsidR="00EA25BB" w:rsidRPr="00A5046F">
        <w:t>Federal Court or the Federal Circuit Court</w:t>
      </w:r>
      <w:r w:rsidRPr="00A5046F">
        <w:t xml:space="preserve"> may grant </w:t>
      </w:r>
      <w:r w:rsidR="004E6C26" w:rsidRPr="00A5046F">
        <w:t>an injunction</w:t>
      </w:r>
      <w:r w:rsidR="00902C39" w:rsidRPr="00A5046F">
        <w:t xml:space="preserve"> </w:t>
      </w:r>
      <w:r w:rsidRPr="00A5046F">
        <w:t xml:space="preserve">in relation to </w:t>
      </w:r>
      <w:r w:rsidR="00902C39" w:rsidRPr="00A5046F">
        <w:t xml:space="preserve">a </w:t>
      </w:r>
      <w:r w:rsidRPr="00A5046F">
        <w:t xml:space="preserve">contravention of the </w:t>
      </w:r>
      <w:r w:rsidR="00AF7FE6" w:rsidRPr="00A5046F">
        <w:t>relevant Commonwealth Procurement Rules</w:t>
      </w:r>
      <w:r w:rsidR="00314D5D" w:rsidRPr="00A5046F">
        <w:t xml:space="preserve"> (so far as those rules relate to a covered procurement).</w:t>
      </w:r>
    </w:p>
    <w:p w:rsidR="00D23F7E" w:rsidRPr="00A5046F" w:rsidRDefault="006611C9" w:rsidP="00A5046F">
      <w:pPr>
        <w:pStyle w:val="ActHead5"/>
      </w:pPr>
      <w:bookmarkStart w:id="12" w:name="_Toc527982089"/>
      <w:r w:rsidRPr="00A5046F">
        <w:rPr>
          <w:rStyle w:val="CharSectno"/>
        </w:rPr>
        <w:t>9</w:t>
      </w:r>
      <w:r w:rsidR="00D23F7E" w:rsidRPr="00A5046F">
        <w:t xml:space="preserve">  Injunctions</w:t>
      </w:r>
      <w:bookmarkEnd w:id="12"/>
    </w:p>
    <w:p w:rsidR="00D23F7E" w:rsidRPr="00A5046F" w:rsidRDefault="00D23F7E" w:rsidP="00A5046F">
      <w:pPr>
        <w:pStyle w:val="SubsectionHead"/>
      </w:pPr>
      <w:r w:rsidRPr="00A5046F">
        <w:t>Restraining injunctions</w:t>
      </w:r>
    </w:p>
    <w:p w:rsidR="009532F3" w:rsidRPr="00A5046F" w:rsidRDefault="00D5084A" w:rsidP="00A5046F">
      <w:pPr>
        <w:pStyle w:val="subsection"/>
      </w:pPr>
      <w:r w:rsidRPr="00A5046F">
        <w:tab/>
        <w:t>(1)</w:t>
      </w:r>
      <w:r w:rsidRPr="00A5046F">
        <w:tab/>
      </w:r>
      <w:r w:rsidR="00D23F7E" w:rsidRPr="00A5046F">
        <w:t>If</w:t>
      </w:r>
      <w:r w:rsidR="009532F3" w:rsidRPr="00A5046F">
        <w:t>:</w:t>
      </w:r>
    </w:p>
    <w:p w:rsidR="009532F3" w:rsidRPr="00A5046F" w:rsidRDefault="009532F3" w:rsidP="00A5046F">
      <w:pPr>
        <w:pStyle w:val="paragraph"/>
      </w:pPr>
      <w:r w:rsidRPr="00A5046F">
        <w:tab/>
        <w:t>(a)</w:t>
      </w:r>
      <w:r w:rsidRPr="00A5046F">
        <w:tab/>
        <w:t>a relevant Commonwealth entity; or</w:t>
      </w:r>
    </w:p>
    <w:p w:rsidR="009532F3" w:rsidRPr="00A5046F" w:rsidRDefault="009532F3" w:rsidP="00A5046F">
      <w:pPr>
        <w:pStyle w:val="paragraph"/>
      </w:pPr>
      <w:r w:rsidRPr="00A5046F">
        <w:tab/>
        <w:t>(b)</w:t>
      </w:r>
      <w:r w:rsidRPr="00A5046F">
        <w:tab/>
        <w:t>an official of a relevant Commonwealth entity;</w:t>
      </w:r>
    </w:p>
    <w:p w:rsidR="00D23F7E" w:rsidRPr="00A5046F" w:rsidRDefault="009532F3" w:rsidP="00A5046F">
      <w:pPr>
        <w:pStyle w:val="subsection2"/>
      </w:pPr>
      <w:r w:rsidRPr="00A5046F">
        <w:t>has engaged, is engaging or is proposing to engage, in any conduct in contravention of the</w:t>
      </w:r>
      <w:r w:rsidR="004F56DF" w:rsidRPr="00A5046F">
        <w:t xml:space="preserve"> </w:t>
      </w:r>
      <w:r w:rsidR="00AF7FE6" w:rsidRPr="00A5046F">
        <w:t>relevant Commonwealth Procurement Rules</w:t>
      </w:r>
      <w:r w:rsidR="00314D5D" w:rsidRPr="00A5046F">
        <w:t xml:space="preserve"> (so far as those rules relate to a covered procurement)</w:t>
      </w:r>
      <w:r w:rsidR="00A0134E" w:rsidRPr="00A5046F">
        <w:t>,</w:t>
      </w:r>
      <w:r w:rsidRPr="00A5046F">
        <w:t xml:space="preserve"> the </w:t>
      </w:r>
      <w:r w:rsidR="00EA25BB" w:rsidRPr="00A5046F">
        <w:t>Federal Court or the Federal Circuit Court</w:t>
      </w:r>
      <w:r w:rsidR="007507FC" w:rsidRPr="00A5046F">
        <w:t xml:space="preserve"> </w:t>
      </w:r>
      <w:r w:rsidRPr="00A5046F">
        <w:t xml:space="preserve">may, on the application of a supplier whose interests are affected by the conduct, </w:t>
      </w:r>
      <w:r w:rsidR="00D23F7E" w:rsidRPr="00A5046F">
        <w:t>grant an injunction:</w:t>
      </w:r>
    </w:p>
    <w:p w:rsidR="00D23F7E" w:rsidRPr="00A5046F" w:rsidRDefault="009532F3" w:rsidP="00A5046F">
      <w:pPr>
        <w:pStyle w:val="paragraph"/>
      </w:pPr>
      <w:r w:rsidRPr="00A5046F">
        <w:tab/>
        <w:t>(c)</w:t>
      </w:r>
      <w:r w:rsidRPr="00A5046F">
        <w:tab/>
      </w:r>
      <w:r w:rsidR="00D23F7E" w:rsidRPr="00A5046F">
        <w:t xml:space="preserve">restraining the </w:t>
      </w:r>
      <w:r w:rsidRPr="00A5046F">
        <w:t>entity or official</w:t>
      </w:r>
      <w:r w:rsidR="00D23F7E" w:rsidRPr="00A5046F">
        <w:t xml:space="preserve"> from engaging in the conduct; and</w:t>
      </w:r>
    </w:p>
    <w:p w:rsidR="00D23F7E" w:rsidRPr="00A5046F" w:rsidRDefault="009532F3" w:rsidP="00A5046F">
      <w:pPr>
        <w:pStyle w:val="paragraph"/>
      </w:pPr>
      <w:r w:rsidRPr="00A5046F">
        <w:tab/>
        <w:t>(d)</w:t>
      </w:r>
      <w:r w:rsidRPr="00A5046F">
        <w:tab/>
      </w:r>
      <w:r w:rsidR="00D23F7E" w:rsidRPr="00A5046F">
        <w:t>if, in the court</w:t>
      </w:r>
      <w:r w:rsidR="00D5084A" w:rsidRPr="00A5046F">
        <w:t>’</w:t>
      </w:r>
      <w:r w:rsidR="00D23F7E" w:rsidRPr="00A5046F">
        <w:t xml:space="preserve">s opinion, it is desirable to do so—requiring the </w:t>
      </w:r>
      <w:r w:rsidRPr="00A5046F">
        <w:t xml:space="preserve">entity or official </w:t>
      </w:r>
      <w:r w:rsidR="00D23F7E" w:rsidRPr="00A5046F">
        <w:t>to do something.</w:t>
      </w:r>
    </w:p>
    <w:p w:rsidR="00D23F7E" w:rsidRPr="00A5046F" w:rsidRDefault="00D23F7E" w:rsidP="00A5046F">
      <w:pPr>
        <w:pStyle w:val="SubsectionHead"/>
      </w:pPr>
      <w:r w:rsidRPr="00A5046F">
        <w:t>Performance injunctions</w:t>
      </w:r>
    </w:p>
    <w:p w:rsidR="00D23F7E" w:rsidRPr="00A5046F" w:rsidRDefault="00D5084A" w:rsidP="00A5046F">
      <w:pPr>
        <w:pStyle w:val="subsection"/>
      </w:pPr>
      <w:r w:rsidRPr="00A5046F">
        <w:tab/>
        <w:t>(2)</w:t>
      </w:r>
      <w:r w:rsidRPr="00A5046F">
        <w:tab/>
      </w:r>
      <w:r w:rsidR="00D23F7E" w:rsidRPr="00A5046F">
        <w:t>If:</w:t>
      </w:r>
    </w:p>
    <w:p w:rsidR="00FA7BBB" w:rsidRPr="00A5046F" w:rsidRDefault="009532F3" w:rsidP="00A5046F">
      <w:pPr>
        <w:pStyle w:val="paragraph"/>
      </w:pPr>
      <w:r w:rsidRPr="00A5046F">
        <w:tab/>
        <w:t>(a)</w:t>
      </w:r>
      <w:r w:rsidRPr="00A5046F">
        <w:tab/>
      </w:r>
      <w:r w:rsidR="00FA7BBB" w:rsidRPr="00A5046F">
        <w:t>either:</w:t>
      </w:r>
    </w:p>
    <w:p w:rsidR="00FA7BBB" w:rsidRPr="00A5046F" w:rsidRDefault="00FA7BBB" w:rsidP="00A5046F">
      <w:pPr>
        <w:pStyle w:val="paragraphsub"/>
      </w:pPr>
      <w:r w:rsidRPr="00A5046F">
        <w:tab/>
        <w:t>(i)</w:t>
      </w:r>
      <w:r w:rsidRPr="00A5046F">
        <w:tab/>
      </w:r>
      <w:r w:rsidR="009532F3" w:rsidRPr="00A5046F">
        <w:t>a relevant Commonwealth entity</w:t>
      </w:r>
      <w:r w:rsidRPr="00A5046F">
        <w:t>;</w:t>
      </w:r>
      <w:r w:rsidR="009532F3" w:rsidRPr="00A5046F">
        <w:t xml:space="preserve"> or</w:t>
      </w:r>
    </w:p>
    <w:p w:rsidR="00FA7BBB" w:rsidRPr="00A5046F" w:rsidRDefault="00FA7BBB" w:rsidP="00A5046F">
      <w:pPr>
        <w:pStyle w:val="paragraphsub"/>
      </w:pPr>
      <w:r w:rsidRPr="00A5046F">
        <w:tab/>
        <w:t>(ii)</w:t>
      </w:r>
      <w:r w:rsidRPr="00A5046F">
        <w:tab/>
      </w:r>
      <w:r w:rsidR="009532F3" w:rsidRPr="00A5046F">
        <w:t>an official of a relevant Commonwealth entity</w:t>
      </w:r>
      <w:r w:rsidRPr="00A5046F">
        <w:t>;</w:t>
      </w:r>
    </w:p>
    <w:p w:rsidR="00D23F7E" w:rsidRPr="00A5046F" w:rsidRDefault="00FA7BBB" w:rsidP="00A5046F">
      <w:pPr>
        <w:pStyle w:val="paragraph"/>
      </w:pPr>
      <w:r w:rsidRPr="00A5046F">
        <w:tab/>
      </w:r>
      <w:r w:rsidRPr="00A5046F">
        <w:tab/>
      </w:r>
      <w:r w:rsidR="00D23F7E" w:rsidRPr="00A5046F">
        <w:t>has refused or failed, or is refusing or failing, or is proposing to refuse or fail, to do an act or thing; and</w:t>
      </w:r>
    </w:p>
    <w:p w:rsidR="00D23F7E" w:rsidRPr="00A5046F" w:rsidRDefault="009532F3" w:rsidP="00A5046F">
      <w:pPr>
        <w:pStyle w:val="paragraph"/>
      </w:pPr>
      <w:r w:rsidRPr="00A5046F">
        <w:tab/>
        <w:t>(b)</w:t>
      </w:r>
      <w:r w:rsidRPr="00A5046F">
        <w:tab/>
      </w:r>
      <w:r w:rsidR="00D23F7E" w:rsidRPr="00A5046F">
        <w:t xml:space="preserve">the refusal </w:t>
      </w:r>
      <w:r w:rsidR="00C05B24" w:rsidRPr="00A5046F">
        <w:t>or failure was, is or would be in</w:t>
      </w:r>
      <w:r w:rsidR="00D23F7E" w:rsidRPr="00A5046F">
        <w:t xml:space="preserve"> contravention of</w:t>
      </w:r>
      <w:r w:rsidR="00555866" w:rsidRPr="00A5046F">
        <w:t xml:space="preserve"> </w:t>
      </w:r>
      <w:r w:rsidR="00772FFB" w:rsidRPr="00A5046F">
        <w:t xml:space="preserve">the </w:t>
      </w:r>
      <w:r w:rsidR="00AF7FE6" w:rsidRPr="00A5046F">
        <w:t>relevant Commonwealth Procurement Rules</w:t>
      </w:r>
      <w:r w:rsidR="004F56DF" w:rsidRPr="00A5046F">
        <w:t xml:space="preserve"> </w:t>
      </w:r>
      <w:r w:rsidR="00314D5D" w:rsidRPr="00A5046F">
        <w:t>(</w:t>
      </w:r>
      <w:r w:rsidR="004F56DF" w:rsidRPr="00A5046F">
        <w:t xml:space="preserve">so far as </w:t>
      </w:r>
      <w:r w:rsidR="00A3461E" w:rsidRPr="00A5046F">
        <w:t>those rules relate</w:t>
      </w:r>
      <w:r w:rsidR="004F56DF" w:rsidRPr="00A5046F">
        <w:t xml:space="preserve"> </w:t>
      </w:r>
      <w:r w:rsidR="00314D5D" w:rsidRPr="00A5046F">
        <w:t xml:space="preserve">to </w:t>
      </w:r>
      <w:r w:rsidR="00772FFB" w:rsidRPr="00A5046F">
        <w:t>a covered procurement</w:t>
      </w:r>
      <w:r w:rsidR="00314D5D" w:rsidRPr="00A5046F">
        <w:t>)</w:t>
      </w:r>
      <w:r w:rsidR="00D23F7E" w:rsidRPr="00A5046F">
        <w:t>;</w:t>
      </w:r>
    </w:p>
    <w:p w:rsidR="00D23F7E" w:rsidRPr="00A5046F" w:rsidRDefault="007507FC" w:rsidP="00A5046F">
      <w:pPr>
        <w:pStyle w:val="subsection2"/>
      </w:pPr>
      <w:r w:rsidRPr="00A5046F">
        <w:t xml:space="preserve">the </w:t>
      </w:r>
      <w:r w:rsidR="00EA25BB" w:rsidRPr="00A5046F">
        <w:t>Federal Court or the Federal Circuit Court</w:t>
      </w:r>
      <w:r w:rsidR="00D23F7E" w:rsidRPr="00A5046F">
        <w:t xml:space="preserve"> may, on the application of </w:t>
      </w:r>
      <w:r w:rsidR="00772FFB" w:rsidRPr="00A5046F">
        <w:t>a supplier whose interests are affected by the refusal or failure</w:t>
      </w:r>
      <w:r w:rsidR="00D23F7E" w:rsidRPr="00A5046F">
        <w:t xml:space="preserve">, grant an injunction requiring the </w:t>
      </w:r>
      <w:r w:rsidR="00772FFB" w:rsidRPr="00A5046F">
        <w:t xml:space="preserve">entity or official </w:t>
      </w:r>
      <w:r w:rsidR="00D23F7E" w:rsidRPr="00A5046F">
        <w:t>to do that act or thing.</w:t>
      </w:r>
    </w:p>
    <w:p w:rsidR="005C61FA" w:rsidRPr="00A5046F" w:rsidRDefault="006611C9" w:rsidP="00A5046F">
      <w:pPr>
        <w:pStyle w:val="ActHead5"/>
      </w:pPr>
      <w:bookmarkStart w:id="13" w:name="_Toc527982090"/>
      <w:r w:rsidRPr="00A5046F">
        <w:rPr>
          <w:rStyle w:val="CharSectno"/>
        </w:rPr>
        <w:t>10</w:t>
      </w:r>
      <w:r w:rsidR="00D63A4C" w:rsidRPr="00A5046F">
        <w:t xml:space="preserve">  </w:t>
      </w:r>
      <w:r w:rsidR="005C61FA" w:rsidRPr="00A5046F">
        <w:t>Availability of alternative remedy of compensation</w:t>
      </w:r>
      <w:bookmarkEnd w:id="13"/>
    </w:p>
    <w:p w:rsidR="005C61FA" w:rsidRPr="00A5046F" w:rsidRDefault="00D63A4C" w:rsidP="00A5046F">
      <w:pPr>
        <w:pStyle w:val="subsection"/>
      </w:pPr>
      <w:r w:rsidRPr="00A5046F">
        <w:tab/>
      </w:r>
      <w:r w:rsidR="000D6EE2" w:rsidRPr="00A5046F">
        <w:t>(1)</w:t>
      </w:r>
      <w:r w:rsidR="005C61FA" w:rsidRPr="00A5046F">
        <w:tab/>
        <w:t>If:</w:t>
      </w:r>
    </w:p>
    <w:p w:rsidR="005C61FA" w:rsidRPr="00A5046F" w:rsidRDefault="006611C9" w:rsidP="00A5046F">
      <w:pPr>
        <w:pStyle w:val="paragraph"/>
      </w:pPr>
      <w:r w:rsidRPr="00A5046F">
        <w:tab/>
        <w:t>(a)</w:t>
      </w:r>
      <w:r w:rsidRPr="00A5046F">
        <w:tab/>
      </w:r>
      <w:r w:rsidR="005C61FA" w:rsidRPr="00A5046F">
        <w:t>a supplier has made an application</w:t>
      </w:r>
      <w:r w:rsidR="000C0F0F" w:rsidRPr="00A5046F">
        <w:t xml:space="preserve"> to the Federal Court or the Federal Circuit Court</w:t>
      </w:r>
      <w:r w:rsidR="005C61FA" w:rsidRPr="00A5046F">
        <w:t xml:space="preserve"> for an injunction under </w:t>
      </w:r>
      <w:r w:rsidR="00D63A4C" w:rsidRPr="00A5046F">
        <w:t>this Part</w:t>
      </w:r>
      <w:r w:rsidR="005C61FA" w:rsidRPr="00A5046F">
        <w:t xml:space="preserve"> </w:t>
      </w:r>
      <w:r w:rsidR="002B6F7E" w:rsidRPr="00A5046F">
        <w:t>in relation to a contravention</w:t>
      </w:r>
      <w:r w:rsidR="00D63A4C" w:rsidRPr="00A5046F">
        <w:t xml:space="preserve"> or proposed contravention</w:t>
      </w:r>
      <w:r w:rsidR="005C61FA" w:rsidRPr="00A5046F">
        <w:t>; and</w:t>
      </w:r>
    </w:p>
    <w:p w:rsidR="005C61FA" w:rsidRPr="00A5046F" w:rsidRDefault="006611C9" w:rsidP="00A5046F">
      <w:pPr>
        <w:pStyle w:val="paragraph"/>
      </w:pPr>
      <w:r w:rsidRPr="00A5046F">
        <w:tab/>
        <w:t>(b)</w:t>
      </w:r>
      <w:r w:rsidRPr="00A5046F">
        <w:tab/>
      </w:r>
      <w:r w:rsidR="005C61FA" w:rsidRPr="00A5046F">
        <w:t>the supplier has made an application</w:t>
      </w:r>
      <w:r w:rsidR="000C0F0F" w:rsidRPr="00A5046F">
        <w:t xml:space="preserve"> to the court</w:t>
      </w:r>
      <w:r w:rsidR="002B332C" w:rsidRPr="00A5046F">
        <w:t xml:space="preserve"> for an order</w:t>
      </w:r>
      <w:r w:rsidR="005C61FA" w:rsidRPr="00A5046F">
        <w:t xml:space="preserve"> under section</w:t>
      </w:r>
      <w:r w:rsidR="00A5046F" w:rsidRPr="00A5046F">
        <w:t> </w:t>
      </w:r>
      <w:r w:rsidRPr="00A5046F">
        <w:t>16</w:t>
      </w:r>
      <w:r w:rsidR="002B332C" w:rsidRPr="00A5046F">
        <w:t xml:space="preserve"> (compensation)</w:t>
      </w:r>
      <w:r w:rsidR="005C61FA" w:rsidRPr="00A5046F">
        <w:t xml:space="preserve"> in relation to </w:t>
      </w:r>
      <w:r w:rsidR="002B6F7E" w:rsidRPr="00A5046F">
        <w:t>the contravention</w:t>
      </w:r>
      <w:r w:rsidR="00D63A4C" w:rsidRPr="00A5046F">
        <w:t xml:space="preserve"> or proposed contravention</w:t>
      </w:r>
      <w:r w:rsidR="005C61FA" w:rsidRPr="00A5046F">
        <w:t>;</w:t>
      </w:r>
      <w:r w:rsidR="00EF2827" w:rsidRPr="00A5046F">
        <w:t xml:space="preserve"> and</w:t>
      </w:r>
    </w:p>
    <w:p w:rsidR="00EF2827" w:rsidRPr="00A5046F" w:rsidRDefault="006611C9" w:rsidP="00A5046F">
      <w:pPr>
        <w:pStyle w:val="paragraph"/>
      </w:pPr>
      <w:r w:rsidRPr="00A5046F">
        <w:tab/>
        <w:t>(c)</w:t>
      </w:r>
      <w:r w:rsidRPr="00A5046F">
        <w:tab/>
      </w:r>
      <w:r w:rsidR="00EF2827" w:rsidRPr="00A5046F">
        <w:t>a public interest certificate is in force in relation to the procurement concerned;</w:t>
      </w:r>
      <w:r w:rsidRPr="00A5046F">
        <w:t xml:space="preserve"> and</w:t>
      </w:r>
    </w:p>
    <w:p w:rsidR="006611C9" w:rsidRPr="00A5046F" w:rsidRDefault="006611C9" w:rsidP="00A5046F">
      <w:pPr>
        <w:pStyle w:val="paragraph"/>
      </w:pPr>
      <w:r w:rsidRPr="00A5046F">
        <w:tab/>
        <w:t>(d)</w:t>
      </w:r>
      <w:r w:rsidRPr="00A5046F">
        <w:tab/>
        <w:t xml:space="preserve">the procurement concerned has not </w:t>
      </w:r>
      <w:r w:rsidR="00C85BEA" w:rsidRPr="00A5046F">
        <w:t>reached the stage where a contract has been entered into with a supplier</w:t>
      </w:r>
      <w:r w:rsidRPr="00A5046F">
        <w:t>;</w:t>
      </w:r>
    </w:p>
    <w:p w:rsidR="00D63A4C" w:rsidRPr="00A5046F" w:rsidRDefault="00D63A4C" w:rsidP="00A5046F">
      <w:pPr>
        <w:pStyle w:val="subsection2"/>
      </w:pPr>
      <w:r w:rsidRPr="00A5046F">
        <w:t>t</w:t>
      </w:r>
      <w:r w:rsidR="005C61FA" w:rsidRPr="00A5046F">
        <w:t>he</w:t>
      </w:r>
      <w:r w:rsidRPr="00A5046F">
        <w:t>n:</w:t>
      </w:r>
    </w:p>
    <w:p w:rsidR="00BB6E58" w:rsidRPr="00A5046F" w:rsidRDefault="006611C9" w:rsidP="00A5046F">
      <w:pPr>
        <w:pStyle w:val="paragraph"/>
      </w:pPr>
      <w:r w:rsidRPr="00A5046F">
        <w:tab/>
        <w:t>(e)</w:t>
      </w:r>
      <w:r w:rsidRPr="00A5046F">
        <w:tab/>
      </w:r>
      <w:r w:rsidR="00D63A4C" w:rsidRPr="00A5046F">
        <w:t>the court must consider</w:t>
      </w:r>
      <w:r w:rsidR="00BB6E58" w:rsidRPr="00A5046F">
        <w:t>:</w:t>
      </w:r>
    </w:p>
    <w:p w:rsidR="00BB6E58" w:rsidRPr="00A5046F" w:rsidRDefault="00BB6E58" w:rsidP="00A5046F">
      <w:pPr>
        <w:pStyle w:val="paragraphsub"/>
      </w:pPr>
      <w:r w:rsidRPr="00A5046F">
        <w:tab/>
        <w:t>(i)</w:t>
      </w:r>
      <w:r w:rsidRPr="00A5046F">
        <w:tab/>
        <w:t>whether the grant of the injunction would result in a significant delay to the procurement concerned; and</w:t>
      </w:r>
    </w:p>
    <w:p w:rsidR="00D63A4C" w:rsidRPr="00A5046F" w:rsidRDefault="00BB6E58" w:rsidP="00A5046F">
      <w:pPr>
        <w:pStyle w:val="paragraphsub"/>
      </w:pPr>
      <w:r w:rsidRPr="00A5046F">
        <w:tab/>
        <w:t>(ii)</w:t>
      </w:r>
      <w:r w:rsidRPr="00A5046F">
        <w:tab/>
        <w:t>if so,</w:t>
      </w:r>
      <w:r w:rsidR="002B332C" w:rsidRPr="00A5046F">
        <w:t xml:space="preserve"> </w:t>
      </w:r>
      <w:r w:rsidR="00D63A4C" w:rsidRPr="00A5046F">
        <w:t>whether the making of an order under section</w:t>
      </w:r>
      <w:r w:rsidR="00A5046F" w:rsidRPr="00A5046F">
        <w:t> </w:t>
      </w:r>
      <w:r w:rsidR="006611C9" w:rsidRPr="00A5046F">
        <w:t>16</w:t>
      </w:r>
      <w:r w:rsidR="00D63A4C" w:rsidRPr="00A5046F">
        <w:t xml:space="preserve"> would be a more appropria</w:t>
      </w:r>
      <w:r w:rsidR="002B6F7E" w:rsidRPr="00A5046F">
        <w:t>te remedy for the contravention</w:t>
      </w:r>
      <w:r w:rsidR="00D63A4C" w:rsidRPr="00A5046F">
        <w:t xml:space="preserve"> or proposed contravention than </w:t>
      </w:r>
      <w:r w:rsidR="002B332C" w:rsidRPr="00A5046F">
        <w:t>the grant</w:t>
      </w:r>
      <w:r w:rsidR="00FC39BD" w:rsidRPr="00A5046F">
        <w:t xml:space="preserve"> of </w:t>
      </w:r>
      <w:r w:rsidR="000C0F0F" w:rsidRPr="00A5046F">
        <w:t>the injunction</w:t>
      </w:r>
      <w:r w:rsidR="00FC39BD" w:rsidRPr="00A5046F">
        <w:t>; and</w:t>
      </w:r>
    </w:p>
    <w:p w:rsidR="00BB6E58" w:rsidRPr="00A5046F" w:rsidRDefault="006611C9" w:rsidP="00A5046F">
      <w:pPr>
        <w:pStyle w:val="paragraph"/>
      </w:pPr>
      <w:r w:rsidRPr="00A5046F">
        <w:tab/>
        <w:t>(f)</w:t>
      </w:r>
      <w:r w:rsidRPr="00A5046F">
        <w:tab/>
      </w:r>
      <w:r w:rsidR="00D63A4C" w:rsidRPr="00A5046F">
        <w:t>if the court is satisfied</w:t>
      </w:r>
      <w:r w:rsidR="002B332C" w:rsidRPr="00A5046F">
        <w:t xml:space="preserve"> </w:t>
      </w:r>
      <w:r w:rsidR="00D63A4C" w:rsidRPr="00A5046F">
        <w:t>that</w:t>
      </w:r>
      <w:r w:rsidR="00BB6E58" w:rsidRPr="00A5046F">
        <w:t>:</w:t>
      </w:r>
    </w:p>
    <w:p w:rsidR="00BB6E58" w:rsidRPr="00A5046F" w:rsidRDefault="00BB6E58" w:rsidP="00A5046F">
      <w:pPr>
        <w:pStyle w:val="paragraphsub"/>
      </w:pPr>
      <w:r w:rsidRPr="00A5046F">
        <w:tab/>
        <w:t>(i)</w:t>
      </w:r>
      <w:r w:rsidRPr="00A5046F">
        <w:tab/>
        <w:t>the grant of the injunction would result in a significant delay to the procurement concerned; and</w:t>
      </w:r>
    </w:p>
    <w:p w:rsidR="00D63A4C" w:rsidRPr="00A5046F" w:rsidRDefault="00BB6E58" w:rsidP="00A5046F">
      <w:pPr>
        <w:pStyle w:val="paragraphsub"/>
      </w:pPr>
      <w:r w:rsidRPr="00A5046F">
        <w:tab/>
        <w:t>(ii)</w:t>
      </w:r>
      <w:r w:rsidRPr="00A5046F">
        <w:tab/>
      </w:r>
      <w:r w:rsidR="00D63A4C" w:rsidRPr="00A5046F">
        <w:t>the making of an order under section</w:t>
      </w:r>
      <w:r w:rsidR="00A5046F" w:rsidRPr="00A5046F">
        <w:t> </w:t>
      </w:r>
      <w:r w:rsidR="006611C9" w:rsidRPr="00A5046F">
        <w:t>16</w:t>
      </w:r>
      <w:r w:rsidR="00D63A4C" w:rsidRPr="00A5046F">
        <w:t xml:space="preserve"> would be a more appropriate remedy for </w:t>
      </w:r>
      <w:r w:rsidR="002B6F7E" w:rsidRPr="00A5046F">
        <w:t>the contravention</w:t>
      </w:r>
      <w:r w:rsidR="00D63A4C" w:rsidRPr="00A5046F">
        <w:t xml:space="preserve"> or proposed contravention</w:t>
      </w:r>
      <w:r w:rsidR="002B332C" w:rsidRPr="00A5046F">
        <w:t xml:space="preserve"> than the grant</w:t>
      </w:r>
      <w:r w:rsidR="00FC39BD" w:rsidRPr="00A5046F">
        <w:t xml:space="preserve"> of </w:t>
      </w:r>
      <w:r w:rsidR="000C0F0F" w:rsidRPr="00A5046F">
        <w:t>the injunction</w:t>
      </w:r>
      <w:r w:rsidRPr="00A5046F">
        <w:t>;</w:t>
      </w:r>
    </w:p>
    <w:p w:rsidR="00BB6E58" w:rsidRPr="00A5046F" w:rsidRDefault="00BB6E58" w:rsidP="00A5046F">
      <w:pPr>
        <w:pStyle w:val="paragraph"/>
      </w:pPr>
      <w:r w:rsidRPr="00A5046F">
        <w:tab/>
      </w:r>
      <w:r w:rsidRPr="00A5046F">
        <w:tab/>
        <w:t>the court may refuse to grant the injunction.</w:t>
      </w:r>
    </w:p>
    <w:p w:rsidR="000D6EE2" w:rsidRPr="00A5046F" w:rsidRDefault="000D6EE2" w:rsidP="00A5046F">
      <w:pPr>
        <w:pStyle w:val="subsection"/>
      </w:pPr>
      <w:r w:rsidRPr="00A5046F">
        <w:tab/>
        <w:t>(2)</w:t>
      </w:r>
      <w:r w:rsidRPr="00A5046F">
        <w:tab/>
      </w:r>
      <w:r w:rsidR="00A5046F" w:rsidRPr="00A5046F">
        <w:t>Subsection (</w:t>
      </w:r>
      <w:r w:rsidRPr="00A5046F">
        <w:t>1) does not, by implication, limit the power of a court to refuse to grant an injunction.</w:t>
      </w:r>
    </w:p>
    <w:p w:rsidR="0060438C" w:rsidRPr="00A5046F" w:rsidRDefault="006611C9" w:rsidP="00A5046F">
      <w:pPr>
        <w:pStyle w:val="ActHead5"/>
      </w:pPr>
      <w:bookmarkStart w:id="14" w:name="_Toc527982091"/>
      <w:r w:rsidRPr="00A5046F">
        <w:rPr>
          <w:rStyle w:val="CharSectno"/>
        </w:rPr>
        <w:t>11</w:t>
      </w:r>
      <w:r w:rsidR="0060438C" w:rsidRPr="00A5046F">
        <w:t xml:space="preserve">  Limits on power to grant an injunction</w:t>
      </w:r>
      <w:bookmarkEnd w:id="14"/>
    </w:p>
    <w:p w:rsidR="00314D5D" w:rsidRPr="00A5046F" w:rsidRDefault="00314D5D" w:rsidP="00A5046F">
      <w:pPr>
        <w:pStyle w:val="SubsectionHead"/>
      </w:pPr>
      <w:r w:rsidRPr="00A5046F">
        <w:t>Complaint made by applicant to relevant Commonwealth entity</w:t>
      </w:r>
    </w:p>
    <w:p w:rsidR="00A3461E" w:rsidRPr="00A5046F" w:rsidRDefault="00851CD7" w:rsidP="00A5046F">
      <w:pPr>
        <w:pStyle w:val="subsection"/>
      </w:pPr>
      <w:r w:rsidRPr="00A5046F">
        <w:tab/>
        <w:t>(1)</w:t>
      </w:r>
      <w:r w:rsidRPr="00A5046F">
        <w:tab/>
      </w:r>
      <w:r w:rsidR="0060438C" w:rsidRPr="00A5046F">
        <w:t xml:space="preserve">The </w:t>
      </w:r>
      <w:r w:rsidR="00EA25BB" w:rsidRPr="00A5046F">
        <w:t>Federal Court or the Federal Circuit Court</w:t>
      </w:r>
      <w:r w:rsidR="0060438C" w:rsidRPr="00A5046F">
        <w:t xml:space="preserve"> must not grant an injunction under this Part in relation to a contravention</w:t>
      </w:r>
      <w:r w:rsidR="00A3461E" w:rsidRPr="00A5046F">
        <w:t>,</w:t>
      </w:r>
      <w:r w:rsidR="0060438C" w:rsidRPr="00A5046F">
        <w:t xml:space="preserve"> </w:t>
      </w:r>
      <w:r w:rsidR="00555866" w:rsidRPr="00A5046F">
        <w:t>or proposed contravention</w:t>
      </w:r>
      <w:r w:rsidR="00A3461E" w:rsidRPr="00A5046F">
        <w:t>,</w:t>
      </w:r>
      <w:r w:rsidR="00555866" w:rsidRPr="00A5046F">
        <w:t xml:space="preserve"> </w:t>
      </w:r>
      <w:r w:rsidR="00A3461E" w:rsidRPr="00A5046F">
        <w:t>by:</w:t>
      </w:r>
    </w:p>
    <w:p w:rsidR="00A3461E" w:rsidRPr="00A5046F" w:rsidRDefault="00A3461E" w:rsidP="00A5046F">
      <w:pPr>
        <w:pStyle w:val="paragraph"/>
      </w:pPr>
      <w:r w:rsidRPr="00A5046F">
        <w:tab/>
        <w:t>(a)</w:t>
      </w:r>
      <w:r w:rsidRPr="00A5046F">
        <w:tab/>
        <w:t>a relevant Commonwealth entity; or</w:t>
      </w:r>
    </w:p>
    <w:p w:rsidR="00A3461E" w:rsidRPr="00A5046F" w:rsidRDefault="00A3461E" w:rsidP="00A5046F">
      <w:pPr>
        <w:pStyle w:val="paragraph"/>
      </w:pPr>
      <w:r w:rsidRPr="00A5046F">
        <w:tab/>
        <w:t>(b)</w:t>
      </w:r>
      <w:r w:rsidRPr="00A5046F">
        <w:tab/>
        <w:t>an official of a relevant Commonwealth entity;</w:t>
      </w:r>
    </w:p>
    <w:p w:rsidR="0060438C" w:rsidRPr="00A5046F" w:rsidRDefault="007507FC" w:rsidP="00A5046F">
      <w:pPr>
        <w:pStyle w:val="subsection2"/>
      </w:pPr>
      <w:r w:rsidRPr="00A5046F">
        <w:t>unless</w:t>
      </w:r>
      <w:r w:rsidR="0060438C" w:rsidRPr="00A5046F">
        <w:t>:</w:t>
      </w:r>
    </w:p>
    <w:p w:rsidR="0060438C" w:rsidRPr="00A5046F" w:rsidRDefault="00A3461E" w:rsidP="00A5046F">
      <w:pPr>
        <w:pStyle w:val="paragraph"/>
      </w:pPr>
      <w:r w:rsidRPr="00A5046F">
        <w:tab/>
        <w:t>(c)</w:t>
      </w:r>
      <w:r w:rsidRPr="00A5046F">
        <w:tab/>
      </w:r>
      <w:r w:rsidR="007507FC" w:rsidRPr="00A5046F">
        <w:t xml:space="preserve">the court is satisfied that the applicant for the injunction </w:t>
      </w:r>
      <w:r w:rsidR="0060438C" w:rsidRPr="00A5046F">
        <w:t>has made a complaint</w:t>
      </w:r>
      <w:r w:rsidR="00103E31" w:rsidRPr="00A5046F">
        <w:t xml:space="preserve"> under section</w:t>
      </w:r>
      <w:r w:rsidR="00A5046F" w:rsidRPr="00A5046F">
        <w:t> </w:t>
      </w:r>
      <w:r w:rsidR="006611C9" w:rsidRPr="00A5046F">
        <w:t>18</w:t>
      </w:r>
      <w:r w:rsidR="0060438C" w:rsidRPr="00A5046F">
        <w:t xml:space="preserve"> to</w:t>
      </w:r>
      <w:r w:rsidR="00003166" w:rsidRPr="00A5046F">
        <w:t xml:space="preserve"> the accountable authority of</w:t>
      </w:r>
      <w:r w:rsidR="0060438C" w:rsidRPr="00A5046F">
        <w:t xml:space="preserve"> the relevant Commonwealth entity about the contravention</w:t>
      </w:r>
      <w:r w:rsidR="00555866" w:rsidRPr="00A5046F">
        <w:t xml:space="preserve"> or proposed contravention</w:t>
      </w:r>
      <w:r w:rsidR="0060438C" w:rsidRPr="00A5046F">
        <w:t>; and</w:t>
      </w:r>
    </w:p>
    <w:p w:rsidR="0060438C" w:rsidRPr="00A5046F" w:rsidRDefault="00A3461E" w:rsidP="00A5046F">
      <w:pPr>
        <w:pStyle w:val="paragraph"/>
      </w:pPr>
      <w:r w:rsidRPr="00A5046F">
        <w:tab/>
        <w:t>(d)</w:t>
      </w:r>
      <w:r w:rsidRPr="00A5046F">
        <w:tab/>
      </w:r>
      <w:r w:rsidR="007507FC" w:rsidRPr="00A5046F">
        <w:t xml:space="preserve">if </w:t>
      </w:r>
      <w:r w:rsidR="003B0A94" w:rsidRPr="00A5046F">
        <w:t xml:space="preserve">the court considers that </w:t>
      </w:r>
      <w:r w:rsidR="007507FC" w:rsidRPr="00A5046F">
        <w:t xml:space="preserve">it would have been reasonable for the applicant </w:t>
      </w:r>
      <w:r w:rsidR="00FA7BBB" w:rsidRPr="00A5046F">
        <w:t xml:space="preserve">for the injunction </w:t>
      </w:r>
      <w:r w:rsidR="007507FC" w:rsidRPr="00A5046F">
        <w:t xml:space="preserve">to have attempted to resolve the complaint—the court is satisfied that the applicant </w:t>
      </w:r>
      <w:r w:rsidR="0060438C" w:rsidRPr="00A5046F">
        <w:t>has made a reasonable attempt to resolve the complaint.</w:t>
      </w:r>
    </w:p>
    <w:p w:rsidR="00314D5D" w:rsidRPr="00A5046F" w:rsidRDefault="00314D5D" w:rsidP="00A5046F">
      <w:pPr>
        <w:pStyle w:val="SubsectionHead"/>
      </w:pPr>
      <w:r w:rsidRPr="00A5046F">
        <w:t>Time limits for application</w:t>
      </w:r>
    </w:p>
    <w:p w:rsidR="0060438C" w:rsidRPr="00A5046F" w:rsidRDefault="00851CD7" w:rsidP="00A5046F">
      <w:pPr>
        <w:pStyle w:val="subsection"/>
      </w:pPr>
      <w:r w:rsidRPr="00A5046F">
        <w:tab/>
        <w:t>(2)</w:t>
      </w:r>
      <w:r w:rsidRPr="00A5046F">
        <w:tab/>
      </w:r>
      <w:r w:rsidR="0060438C" w:rsidRPr="00A5046F">
        <w:t xml:space="preserve">The </w:t>
      </w:r>
      <w:r w:rsidR="00EA25BB" w:rsidRPr="00A5046F">
        <w:t>Federal Court or the Federal Circuit Court</w:t>
      </w:r>
      <w:r w:rsidR="0060438C" w:rsidRPr="00A5046F">
        <w:t xml:space="preserve"> must not grant an injunction under this Part in relation to a contravention that has occurred unless</w:t>
      </w:r>
      <w:r w:rsidR="00EA7CAD" w:rsidRPr="00A5046F">
        <w:t xml:space="preserve"> </w:t>
      </w:r>
      <w:r w:rsidR="00021126" w:rsidRPr="00A5046F">
        <w:t xml:space="preserve">the court is satisfied that </w:t>
      </w:r>
      <w:r w:rsidR="00EA7CAD" w:rsidRPr="00A5046F">
        <w:t>the application for the injunction was made</w:t>
      </w:r>
      <w:r w:rsidR="0060438C" w:rsidRPr="00A5046F">
        <w:t>:</w:t>
      </w:r>
    </w:p>
    <w:p w:rsidR="0060438C" w:rsidRPr="00A5046F" w:rsidRDefault="00A3461E" w:rsidP="00A5046F">
      <w:pPr>
        <w:pStyle w:val="paragraph"/>
      </w:pPr>
      <w:r w:rsidRPr="00A5046F">
        <w:tab/>
        <w:t>(a)</w:t>
      </w:r>
      <w:r w:rsidRPr="00A5046F">
        <w:tab/>
      </w:r>
      <w:r w:rsidR="0060438C" w:rsidRPr="00A5046F">
        <w:t>within 10 days after the later of the following days:</w:t>
      </w:r>
    </w:p>
    <w:p w:rsidR="0060438C" w:rsidRPr="00A5046F" w:rsidRDefault="0060438C" w:rsidP="00A5046F">
      <w:pPr>
        <w:pStyle w:val="paragraphsub"/>
      </w:pPr>
      <w:r w:rsidRPr="00A5046F">
        <w:tab/>
        <w:t>(i)</w:t>
      </w:r>
      <w:r w:rsidRPr="00A5046F">
        <w:tab/>
        <w:t>the day on which the contravention occurred;</w:t>
      </w:r>
    </w:p>
    <w:p w:rsidR="0060438C" w:rsidRPr="00A5046F" w:rsidRDefault="0060438C" w:rsidP="00A5046F">
      <w:pPr>
        <w:pStyle w:val="paragraphsub"/>
      </w:pPr>
      <w:r w:rsidRPr="00A5046F">
        <w:tab/>
        <w:t>(ii)</w:t>
      </w:r>
      <w:r w:rsidRPr="00A5046F">
        <w:tab/>
        <w:t xml:space="preserve">the day on which the applicant </w:t>
      </w:r>
      <w:r w:rsidR="00A3461E" w:rsidRPr="00A5046F">
        <w:t>became aware</w:t>
      </w:r>
      <w:r w:rsidRPr="00A5046F">
        <w:t xml:space="preserve">, or ought reasonably to have </w:t>
      </w:r>
      <w:r w:rsidR="00A3461E" w:rsidRPr="00A5046F">
        <w:t>become aware</w:t>
      </w:r>
      <w:r w:rsidRPr="00A5046F">
        <w:t>, of the contravention; or</w:t>
      </w:r>
    </w:p>
    <w:p w:rsidR="0060438C" w:rsidRPr="00A5046F" w:rsidRDefault="00A3461E" w:rsidP="00A5046F">
      <w:pPr>
        <w:pStyle w:val="paragraph"/>
      </w:pPr>
      <w:r w:rsidRPr="00A5046F">
        <w:tab/>
        <w:t>(b)</w:t>
      </w:r>
      <w:r w:rsidRPr="00A5046F">
        <w:tab/>
      </w:r>
      <w:r w:rsidR="0060438C" w:rsidRPr="00A5046F">
        <w:t>within such longer period as the court allows.</w:t>
      </w:r>
    </w:p>
    <w:p w:rsidR="00851CD7" w:rsidRPr="00A5046F" w:rsidRDefault="00851CD7" w:rsidP="00A5046F">
      <w:pPr>
        <w:pStyle w:val="subsection"/>
      </w:pPr>
      <w:r w:rsidRPr="00A5046F">
        <w:tab/>
        <w:t>(3)</w:t>
      </w:r>
      <w:r w:rsidRPr="00A5046F">
        <w:tab/>
        <w:t xml:space="preserve">The </w:t>
      </w:r>
      <w:r w:rsidR="00EA25BB" w:rsidRPr="00A5046F">
        <w:t>Federal Court or the Federal Circuit Court</w:t>
      </w:r>
      <w:r w:rsidRPr="00A5046F">
        <w:t xml:space="preserve"> must not grant an injunction under this Part in relation to a contravention that is occurring unless</w:t>
      </w:r>
      <w:r w:rsidR="00EA7CAD" w:rsidRPr="00A5046F">
        <w:t xml:space="preserve"> </w:t>
      </w:r>
      <w:r w:rsidR="00021126" w:rsidRPr="00A5046F">
        <w:t xml:space="preserve">the court is satisfied that </w:t>
      </w:r>
      <w:r w:rsidR="00EA7CAD" w:rsidRPr="00A5046F">
        <w:t>the application for the injunction was made</w:t>
      </w:r>
      <w:r w:rsidRPr="00A5046F">
        <w:t>:</w:t>
      </w:r>
    </w:p>
    <w:p w:rsidR="00851CD7" w:rsidRPr="00A5046F" w:rsidRDefault="00A3461E" w:rsidP="00A5046F">
      <w:pPr>
        <w:pStyle w:val="paragraph"/>
      </w:pPr>
      <w:r w:rsidRPr="00A5046F">
        <w:tab/>
        <w:t>(a)</w:t>
      </w:r>
      <w:r w:rsidRPr="00A5046F">
        <w:tab/>
      </w:r>
      <w:r w:rsidR="00851CD7" w:rsidRPr="00A5046F">
        <w:t xml:space="preserve">within 10 days after the day on which the applicant </w:t>
      </w:r>
      <w:r w:rsidRPr="00A5046F">
        <w:t>became aware</w:t>
      </w:r>
      <w:r w:rsidR="00851CD7" w:rsidRPr="00A5046F">
        <w:t xml:space="preserve">, or ought reasonably to have </w:t>
      </w:r>
      <w:r w:rsidRPr="00A5046F">
        <w:t>become aware</w:t>
      </w:r>
      <w:r w:rsidR="00851CD7" w:rsidRPr="00A5046F">
        <w:t>, of the contravention; or</w:t>
      </w:r>
    </w:p>
    <w:p w:rsidR="00851CD7" w:rsidRPr="00A5046F" w:rsidRDefault="00A3461E" w:rsidP="00A5046F">
      <w:pPr>
        <w:pStyle w:val="paragraph"/>
      </w:pPr>
      <w:r w:rsidRPr="00A5046F">
        <w:tab/>
        <w:t>(b)</w:t>
      </w:r>
      <w:r w:rsidRPr="00A5046F">
        <w:tab/>
      </w:r>
      <w:r w:rsidR="00851CD7" w:rsidRPr="00A5046F">
        <w:t>within such longer period as the court allows.</w:t>
      </w:r>
    </w:p>
    <w:p w:rsidR="00851CD7" w:rsidRPr="00A5046F" w:rsidRDefault="00851CD7" w:rsidP="00A5046F">
      <w:pPr>
        <w:pStyle w:val="subsection"/>
      </w:pPr>
      <w:r w:rsidRPr="00A5046F">
        <w:tab/>
        <w:t>(4)</w:t>
      </w:r>
      <w:r w:rsidRPr="00A5046F">
        <w:tab/>
        <w:t xml:space="preserve">The </w:t>
      </w:r>
      <w:r w:rsidR="00EA25BB" w:rsidRPr="00A5046F">
        <w:t>Federal Court or the Federal Circuit Court</w:t>
      </w:r>
      <w:r w:rsidRPr="00A5046F">
        <w:t xml:space="preserve"> must not grant an injunction under this Part in relation to a proposed contravention unless</w:t>
      </w:r>
      <w:r w:rsidR="00EA7CAD" w:rsidRPr="00A5046F">
        <w:t xml:space="preserve"> </w:t>
      </w:r>
      <w:r w:rsidR="00021126" w:rsidRPr="00A5046F">
        <w:t xml:space="preserve">the court is satisfied that </w:t>
      </w:r>
      <w:r w:rsidR="00EA7CAD" w:rsidRPr="00A5046F">
        <w:t>the application for the injunction was made</w:t>
      </w:r>
      <w:r w:rsidRPr="00A5046F">
        <w:t>:</w:t>
      </w:r>
    </w:p>
    <w:p w:rsidR="00851CD7" w:rsidRPr="00A5046F" w:rsidRDefault="00A3461E" w:rsidP="00A5046F">
      <w:pPr>
        <w:pStyle w:val="paragraph"/>
      </w:pPr>
      <w:r w:rsidRPr="00A5046F">
        <w:tab/>
        <w:t>(a)</w:t>
      </w:r>
      <w:r w:rsidRPr="00A5046F">
        <w:tab/>
      </w:r>
      <w:r w:rsidR="00851CD7" w:rsidRPr="00A5046F">
        <w:t xml:space="preserve">within 10 days after the day on which the applicant </w:t>
      </w:r>
      <w:r w:rsidRPr="00A5046F">
        <w:t>became aware</w:t>
      </w:r>
      <w:r w:rsidR="00851CD7" w:rsidRPr="00A5046F">
        <w:t xml:space="preserve">, or ought reasonably to have </w:t>
      </w:r>
      <w:r w:rsidRPr="00A5046F">
        <w:t>become aware</w:t>
      </w:r>
      <w:r w:rsidR="00851CD7" w:rsidRPr="00A5046F">
        <w:t>, of the proposed contravention; or</w:t>
      </w:r>
    </w:p>
    <w:p w:rsidR="00851CD7" w:rsidRPr="00A5046F" w:rsidRDefault="00A3461E" w:rsidP="00A5046F">
      <w:pPr>
        <w:pStyle w:val="paragraph"/>
      </w:pPr>
      <w:r w:rsidRPr="00A5046F">
        <w:tab/>
        <w:t>(b)</w:t>
      </w:r>
      <w:r w:rsidRPr="00A5046F">
        <w:tab/>
      </w:r>
      <w:r w:rsidR="00851CD7" w:rsidRPr="00A5046F">
        <w:t>within such longer period as the court allows.</w:t>
      </w:r>
    </w:p>
    <w:p w:rsidR="0060438C" w:rsidRPr="00A5046F" w:rsidRDefault="00851CD7" w:rsidP="00A5046F">
      <w:pPr>
        <w:pStyle w:val="subsection"/>
      </w:pPr>
      <w:r w:rsidRPr="00A5046F">
        <w:tab/>
        <w:t>(5)</w:t>
      </w:r>
      <w:r w:rsidRPr="00A5046F">
        <w:tab/>
      </w:r>
      <w:r w:rsidR="0060438C" w:rsidRPr="00A5046F">
        <w:t xml:space="preserve">The </w:t>
      </w:r>
      <w:r w:rsidR="00EA25BB" w:rsidRPr="00A5046F">
        <w:t>Federal Court or the Federal Circuit Court</w:t>
      </w:r>
      <w:r w:rsidR="0060438C" w:rsidRPr="00A5046F">
        <w:t xml:space="preserve"> must not allow a longer period </w:t>
      </w:r>
      <w:r w:rsidRPr="00A5046F">
        <w:t xml:space="preserve">under </w:t>
      </w:r>
      <w:r w:rsidR="00A5046F" w:rsidRPr="00A5046F">
        <w:t>paragraph (</w:t>
      </w:r>
      <w:r w:rsidR="00A3461E" w:rsidRPr="00A5046F">
        <w:t>2)(b), (3)(b) or (4)(b</w:t>
      </w:r>
      <w:r w:rsidRPr="00A5046F">
        <w:t xml:space="preserve">) </w:t>
      </w:r>
      <w:r w:rsidR="0060438C" w:rsidRPr="00A5046F">
        <w:t>unless the court is satisfied that:</w:t>
      </w:r>
    </w:p>
    <w:p w:rsidR="0060438C" w:rsidRPr="00A5046F" w:rsidRDefault="00A3461E" w:rsidP="00A5046F">
      <w:pPr>
        <w:pStyle w:val="paragraph"/>
      </w:pPr>
      <w:r w:rsidRPr="00A5046F">
        <w:tab/>
        <w:t>(a)</w:t>
      </w:r>
      <w:r w:rsidRPr="00A5046F">
        <w:tab/>
      </w:r>
      <w:r w:rsidR="0060438C" w:rsidRPr="00A5046F">
        <w:t>the applicant’s failure to make the application within the 10</w:t>
      </w:r>
      <w:r w:rsidR="001A68FD">
        <w:noBreakHyphen/>
      </w:r>
      <w:r w:rsidR="0060438C" w:rsidRPr="00A5046F">
        <w:t xml:space="preserve">day period mentioned in </w:t>
      </w:r>
      <w:r w:rsidR="00A5046F" w:rsidRPr="00A5046F">
        <w:t>paragraph (</w:t>
      </w:r>
      <w:r w:rsidR="00851CD7" w:rsidRPr="00A5046F">
        <w:t>2)(a), (3)(a) or (4)(a)</w:t>
      </w:r>
      <w:r w:rsidR="0060438C" w:rsidRPr="00A5046F">
        <w:t xml:space="preserve"> is attributable to the applicant’s </w:t>
      </w:r>
      <w:r w:rsidR="00FA7BBB" w:rsidRPr="00A5046F">
        <w:t xml:space="preserve">reasonable </w:t>
      </w:r>
      <w:r w:rsidR="0060438C" w:rsidRPr="00A5046F">
        <w:t xml:space="preserve">attempt to resolve the complaint mentioned in </w:t>
      </w:r>
      <w:r w:rsidR="00A5046F" w:rsidRPr="00A5046F">
        <w:t>paragraph (</w:t>
      </w:r>
      <w:r w:rsidR="007507FC" w:rsidRPr="00A5046F">
        <w:t>1)(c</w:t>
      </w:r>
      <w:r w:rsidR="0060438C" w:rsidRPr="00A5046F">
        <w:t>); or</w:t>
      </w:r>
    </w:p>
    <w:p w:rsidR="0060438C" w:rsidRPr="00A5046F" w:rsidRDefault="00A3461E" w:rsidP="00A5046F">
      <w:pPr>
        <w:pStyle w:val="paragraph"/>
      </w:pPr>
      <w:r w:rsidRPr="00A5046F">
        <w:tab/>
        <w:t>(b)</w:t>
      </w:r>
      <w:r w:rsidRPr="00A5046F">
        <w:tab/>
      </w:r>
      <w:r w:rsidR="0060438C" w:rsidRPr="00A5046F">
        <w:t>there are special circumstances that warrant allowing a longer period.</w:t>
      </w:r>
    </w:p>
    <w:p w:rsidR="00D23F7E" w:rsidRPr="00A5046F" w:rsidRDefault="006611C9" w:rsidP="00A5046F">
      <w:pPr>
        <w:pStyle w:val="ActHead5"/>
      </w:pPr>
      <w:bookmarkStart w:id="15" w:name="_Toc527982092"/>
      <w:r w:rsidRPr="00A5046F">
        <w:rPr>
          <w:rStyle w:val="CharSectno"/>
        </w:rPr>
        <w:t>12</w:t>
      </w:r>
      <w:r w:rsidR="00C05B24" w:rsidRPr="00A5046F">
        <w:t xml:space="preserve">  Discharge or variation</w:t>
      </w:r>
      <w:r w:rsidR="00D23F7E" w:rsidRPr="00A5046F">
        <w:t xml:space="preserve"> of </w:t>
      </w:r>
      <w:r w:rsidR="00103E31" w:rsidRPr="00A5046F">
        <w:t xml:space="preserve">an </w:t>
      </w:r>
      <w:r w:rsidR="00D23F7E" w:rsidRPr="00A5046F">
        <w:t>injunction</w:t>
      </w:r>
      <w:bookmarkEnd w:id="15"/>
    </w:p>
    <w:p w:rsidR="00D23F7E" w:rsidRPr="00A5046F" w:rsidRDefault="00D23F7E" w:rsidP="00A5046F">
      <w:pPr>
        <w:pStyle w:val="subsection"/>
      </w:pPr>
      <w:r w:rsidRPr="00A5046F">
        <w:tab/>
      </w:r>
      <w:r w:rsidRPr="00A5046F">
        <w:tab/>
      </w:r>
      <w:r w:rsidR="00772FFB" w:rsidRPr="00A5046F">
        <w:t>A</w:t>
      </w:r>
      <w:r w:rsidRPr="00A5046F">
        <w:t xml:space="preserve"> court may discharge or vary an injunction granted </w:t>
      </w:r>
      <w:r w:rsidR="00772FFB" w:rsidRPr="00A5046F">
        <w:t xml:space="preserve">by it </w:t>
      </w:r>
      <w:r w:rsidRPr="00A5046F">
        <w:t>under this Part.</w:t>
      </w:r>
    </w:p>
    <w:p w:rsidR="00D23F7E" w:rsidRPr="00A5046F" w:rsidRDefault="006611C9" w:rsidP="00A5046F">
      <w:pPr>
        <w:pStyle w:val="ActHead5"/>
      </w:pPr>
      <w:bookmarkStart w:id="16" w:name="_Toc527982093"/>
      <w:r w:rsidRPr="00A5046F">
        <w:rPr>
          <w:rStyle w:val="CharSectno"/>
        </w:rPr>
        <w:t>13</w:t>
      </w:r>
      <w:r w:rsidR="00D23F7E" w:rsidRPr="00A5046F">
        <w:t xml:space="preserve">  Certain limits on granting injunctions not to apply</w:t>
      </w:r>
      <w:bookmarkEnd w:id="16"/>
    </w:p>
    <w:p w:rsidR="00D23F7E" w:rsidRPr="00A5046F" w:rsidRDefault="00D23F7E" w:rsidP="00A5046F">
      <w:pPr>
        <w:pStyle w:val="SubsectionHead"/>
      </w:pPr>
      <w:r w:rsidRPr="00A5046F">
        <w:t>Restraining injunctions</w:t>
      </w:r>
    </w:p>
    <w:p w:rsidR="003B0A94" w:rsidRPr="00A5046F" w:rsidRDefault="00D23F7E" w:rsidP="00A5046F">
      <w:pPr>
        <w:pStyle w:val="subsection"/>
      </w:pPr>
      <w:r w:rsidRPr="00A5046F">
        <w:tab/>
        <w:t>(1)</w:t>
      </w:r>
      <w:r w:rsidRPr="00A5046F">
        <w:tab/>
        <w:t xml:space="preserve">The power of </w:t>
      </w:r>
      <w:r w:rsidR="00772FFB" w:rsidRPr="00A5046F">
        <w:t>a</w:t>
      </w:r>
      <w:r w:rsidRPr="00A5046F">
        <w:t xml:space="preserve"> court under this Part to grant an injunction restraining</w:t>
      </w:r>
      <w:r w:rsidR="003B0A94" w:rsidRPr="00A5046F">
        <w:t>:</w:t>
      </w:r>
    </w:p>
    <w:p w:rsidR="003B0A94" w:rsidRPr="00A5046F" w:rsidRDefault="003B0A94" w:rsidP="00A5046F">
      <w:pPr>
        <w:pStyle w:val="paragraph"/>
      </w:pPr>
      <w:r w:rsidRPr="00A5046F">
        <w:tab/>
        <w:t>(a)</w:t>
      </w:r>
      <w:r w:rsidRPr="00A5046F">
        <w:tab/>
        <w:t>a relevant Commonwealth entity; or</w:t>
      </w:r>
    </w:p>
    <w:p w:rsidR="003B0A94" w:rsidRPr="00A5046F" w:rsidRDefault="003B0A94" w:rsidP="00A5046F">
      <w:pPr>
        <w:pStyle w:val="paragraph"/>
      </w:pPr>
      <w:r w:rsidRPr="00A5046F">
        <w:tab/>
        <w:t>(b)</w:t>
      </w:r>
      <w:r w:rsidRPr="00A5046F">
        <w:tab/>
        <w:t>an official of a relevant Commonwealth entity;</w:t>
      </w:r>
    </w:p>
    <w:p w:rsidR="00D23F7E" w:rsidRPr="00A5046F" w:rsidRDefault="00D23F7E" w:rsidP="00A5046F">
      <w:pPr>
        <w:pStyle w:val="subsection2"/>
      </w:pPr>
      <w:r w:rsidRPr="00A5046F">
        <w:t>from engaging in conduct of a particular kind may be exercised:</w:t>
      </w:r>
    </w:p>
    <w:p w:rsidR="00D23F7E" w:rsidRPr="00A5046F" w:rsidRDefault="003B0A94" w:rsidP="00A5046F">
      <w:pPr>
        <w:pStyle w:val="paragraph"/>
      </w:pPr>
      <w:r w:rsidRPr="00A5046F">
        <w:tab/>
        <w:t>(c)</w:t>
      </w:r>
      <w:r w:rsidRPr="00A5046F">
        <w:tab/>
      </w:r>
      <w:r w:rsidR="00D23F7E" w:rsidRPr="00A5046F">
        <w:t xml:space="preserve">if the court is satisfied that the </w:t>
      </w:r>
      <w:r w:rsidR="0060438C" w:rsidRPr="00A5046F">
        <w:t>entity or official</w:t>
      </w:r>
      <w:r w:rsidR="00D23F7E" w:rsidRPr="00A5046F">
        <w:t xml:space="preserve"> has engaged in conduct of that kind—whether or not it appears to the court that the </w:t>
      </w:r>
      <w:r w:rsidR="0060438C" w:rsidRPr="00A5046F">
        <w:t>entity or official</w:t>
      </w:r>
      <w:r w:rsidR="00D23F7E" w:rsidRPr="00A5046F">
        <w:t xml:space="preserve"> intends to engage again, or to continue to engage, in conduct of that kind; or</w:t>
      </w:r>
    </w:p>
    <w:p w:rsidR="00C708E5" w:rsidRPr="00A5046F" w:rsidRDefault="003B0A94" w:rsidP="00A5046F">
      <w:pPr>
        <w:pStyle w:val="paragraph"/>
      </w:pPr>
      <w:r w:rsidRPr="00A5046F">
        <w:tab/>
        <w:t>(d)</w:t>
      </w:r>
      <w:r w:rsidRPr="00A5046F">
        <w:tab/>
      </w:r>
      <w:r w:rsidR="00D23F7E" w:rsidRPr="00A5046F">
        <w:t xml:space="preserve">if it appears to the court that, if an injunction is not granted, it is likely that the </w:t>
      </w:r>
      <w:r w:rsidR="0060438C" w:rsidRPr="00A5046F">
        <w:t>entity or official</w:t>
      </w:r>
      <w:r w:rsidR="00D23F7E" w:rsidRPr="00A5046F">
        <w:t xml:space="preserve"> will engage in conduct of that kind</w:t>
      </w:r>
      <w:r w:rsidR="00C708E5" w:rsidRPr="00A5046F">
        <w:t>:</w:t>
      </w:r>
    </w:p>
    <w:p w:rsidR="00C708E5" w:rsidRPr="00A5046F" w:rsidRDefault="00C708E5" w:rsidP="00A5046F">
      <w:pPr>
        <w:pStyle w:val="paragraphsub"/>
      </w:pPr>
      <w:r w:rsidRPr="00A5046F">
        <w:tab/>
        <w:t>(i)</w:t>
      </w:r>
      <w:r w:rsidRPr="00A5046F">
        <w:tab/>
      </w:r>
      <w:r w:rsidR="00D23F7E" w:rsidRPr="00A5046F">
        <w:t xml:space="preserve">whether or not the </w:t>
      </w:r>
      <w:r w:rsidR="0060438C" w:rsidRPr="00A5046F">
        <w:t>entity or official</w:t>
      </w:r>
      <w:r w:rsidR="00D23F7E" w:rsidRPr="00A5046F">
        <w:t xml:space="preserve"> has previously engaged in conduct of that kind</w:t>
      </w:r>
      <w:r w:rsidRPr="00A5046F">
        <w:t>;</w:t>
      </w:r>
      <w:r w:rsidR="00D23F7E" w:rsidRPr="00A5046F">
        <w:t xml:space="preserve"> and</w:t>
      </w:r>
    </w:p>
    <w:p w:rsidR="00D23F7E" w:rsidRPr="00A5046F" w:rsidRDefault="00C708E5" w:rsidP="00A5046F">
      <w:pPr>
        <w:pStyle w:val="paragraphsub"/>
      </w:pPr>
      <w:r w:rsidRPr="00A5046F">
        <w:tab/>
        <w:t>(ii)</w:t>
      </w:r>
      <w:r w:rsidRPr="00A5046F">
        <w:tab/>
      </w:r>
      <w:r w:rsidR="00D23F7E" w:rsidRPr="00A5046F">
        <w:t xml:space="preserve">whether or not there is an imminent danger of substantial damage to any </w:t>
      </w:r>
      <w:r w:rsidR="007507FC" w:rsidRPr="00A5046F">
        <w:t xml:space="preserve">person </w:t>
      </w:r>
      <w:r w:rsidR="00D23F7E" w:rsidRPr="00A5046F">
        <w:t xml:space="preserve">if the </w:t>
      </w:r>
      <w:r w:rsidR="0060438C" w:rsidRPr="00A5046F">
        <w:t>entity or official</w:t>
      </w:r>
      <w:r w:rsidR="00D23F7E" w:rsidRPr="00A5046F">
        <w:t xml:space="preserve"> engages in conduct of that kind.</w:t>
      </w:r>
    </w:p>
    <w:p w:rsidR="00D23F7E" w:rsidRPr="00A5046F" w:rsidRDefault="00D23F7E" w:rsidP="00A5046F">
      <w:pPr>
        <w:pStyle w:val="SubsectionHead"/>
      </w:pPr>
      <w:r w:rsidRPr="00A5046F">
        <w:t>Performance injunctions</w:t>
      </w:r>
    </w:p>
    <w:p w:rsidR="003B0A94" w:rsidRPr="00A5046F" w:rsidRDefault="00D23F7E" w:rsidP="00A5046F">
      <w:pPr>
        <w:pStyle w:val="subsection"/>
      </w:pPr>
      <w:r w:rsidRPr="00A5046F">
        <w:tab/>
        <w:t>(2)</w:t>
      </w:r>
      <w:r w:rsidRPr="00A5046F">
        <w:tab/>
        <w:t xml:space="preserve">The power of </w:t>
      </w:r>
      <w:r w:rsidR="00772FFB" w:rsidRPr="00A5046F">
        <w:t>a</w:t>
      </w:r>
      <w:r w:rsidRPr="00A5046F">
        <w:t xml:space="preserve"> court </w:t>
      </w:r>
      <w:r w:rsidR="00A3461E" w:rsidRPr="00A5046F">
        <w:t xml:space="preserve">under this Part </w:t>
      </w:r>
      <w:r w:rsidRPr="00A5046F">
        <w:t>to grant an injunction requiring</w:t>
      </w:r>
      <w:r w:rsidR="003B0A94" w:rsidRPr="00A5046F">
        <w:t>:</w:t>
      </w:r>
    </w:p>
    <w:p w:rsidR="003B0A94" w:rsidRPr="00A5046F" w:rsidRDefault="003B0A94" w:rsidP="00A5046F">
      <w:pPr>
        <w:pStyle w:val="paragraph"/>
      </w:pPr>
      <w:r w:rsidRPr="00A5046F">
        <w:tab/>
        <w:t>(a)</w:t>
      </w:r>
      <w:r w:rsidRPr="00A5046F">
        <w:tab/>
        <w:t>a relevant Commonwealth entity; or</w:t>
      </w:r>
    </w:p>
    <w:p w:rsidR="003B0A94" w:rsidRPr="00A5046F" w:rsidRDefault="003B0A94" w:rsidP="00A5046F">
      <w:pPr>
        <w:pStyle w:val="paragraph"/>
      </w:pPr>
      <w:r w:rsidRPr="00A5046F">
        <w:tab/>
        <w:t>(b)</w:t>
      </w:r>
      <w:r w:rsidRPr="00A5046F">
        <w:tab/>
        <w:t>an official of a relevant Commonwealth entity;</w:t>
      </w:r>
    </w:p>
    <w:p w:rsidR="00D23F7E" w:rsidRPr="00A5046F" w:rsidRDefault="00D23F7E" w:rsidP="00A5046F">
      <w:pPr>
        <w:pStyle w:val="subsection2"/>
      </w:pPr>
      <w:r w:rsidRPr="00A5046F">
        <w:t>to do an act or thing may be exercised:</w:t>
      </w:r>
    </w:p>
    <w:p w:rsidR="00D23F7E" w:rsidRPr="00A5046F" w:rsidRDefault="003B0A94" w:rsidP="00A5046F">
      <w:pPr>
        <w:pStyle w:val="paragraph"/>
      </w:pPr>
      <w:r w:rsidRPr="00A5046F">
        <w:tab/>
        <w:t>(c)</w:t>
      </w:r>
      <w:r w:rsidRPr="00A5046F">
        <w:tab/>
      </w:r>
      <w:r w:rsidR="00D23F7E" w:rsidRPr="00A5046F">
        <w:t xml:space="preserve">if the court is satisfied that the </w:t>
      </w:r>
      <w:r w:rsidR="0060438C" w:rsidRPr="00A5046F">
        <w:t>entity or official</w:t>
      </w:r>
      <w:r w:rsidR="00D23F7E" w:rsidRPr="00A5046F">
        <w:t xml:space="preserve"> has refused or failed to do that act or thing—whether or not it appears to the court that the </w:t>
      </w:r>
      <w:r w:rsidR="0060438C" w:rsidRPr="00A5046F">
        <w:t>entity or official</w:t>
      </w:r>
      <w:r w:rsidR="00D23F7E" w:rsidRPr="00A5046F">
        <w:t xml:space="preserve"> intends to refuse or fail again, or to continue to refuse or fail, to do that act or thing; or</w:t>
      </w:r>
    </w:p>
    <w:p w:rsidR="00C708E5" w:rsidRPr="00A5046F" w:rsidRDefault="003B0A94" w:rsidP="00A5046F">
      <w:pPr>
        <w:pStyle w:val="paragraph"/>
        <w:keepLines/>
      </w:pPr>
      <w:r w:rsidRPr="00A5046F">
        <w:tab/>
        <w:t>(d)</w:t>
      </w:r>
      <w:r w:rsidRPr="00A5046F">
        <w:tab/>
      </w:r>
      <w:r w:rsidR="00D23F7E" w:rsidRPr="00A5046F">
        <w:t xml:space="preserve">if it appears to the court that, if an injunction is not granted, it is likely that the </w:t>
      </w:r>
      <w:r w:rsidR="0060438C" w:rsidRPr="00A5046F">
        <w:t>entity or official</w:t>
      </w:r>
      <w:r w:rsidR="00D23F7E" w:rsidRPr="00A5046F">
        <w:t xml:space="preserve"> will refuse or fail to do that act or thing</w:t>
      </w:r>
      <w:r w:rsidR="00C708E5" w:rsidRPr="00A5046F">
        <w:t>:</w:t>
      </w:r>
    </w:p>
    <w:p w:rsidR="00C708E5" w:rsidRPr="00A5046F" w:rsidRDefault="00C708E5" w:rsidP="00A5046F">
      <w:pPr>
        <w:pStyle w:val="paragraphsub"/>
      </w:pPr>
      <w:r w:rsidRPr="00A5046F">
        <w:tab/>
        <w:t>(i)</w:t>
      </w:r>
      <w:r w:rsidRPr="00A5046F">
        <w:tab/>
      </w:r>
      <w:r w:rsidR="00D23F7E" w:rsidRPr="00A5046F">
        <w:t xml:space="preserve">whether or not the </w:t>
      </w:r>
      <w:r w:rsidR="0060438C" w:rsidRPr="00A5046F">
        <w:t>entity or official</w:t>
      </w:r>
      <w:r w:rsidR="00D23F7E" w:rsidRPr="00A5046F">
        <w:t xml:space="preserve"> has previously refused or failed to do that act or thing</w:t>
      </w:r>
      <w:r w:rsidRPr="00A5046F">
        <w:t>; and</w:t>
      </w:r>
    </w:p>
    <w:p w:rsidR="00D23F7E" w:rsidRPr="00A5046F" w:rsidRDefault="00C708E5" w:rsidP="00A5046F">
      <w:pPr>
        <w:pStyle w:val="paragraphsub"/>
      </w:pPr>
      <w:r w:rsidRPr="00A5046F">
        <w:tab/>
        <w:t>(ii)</w:t>
      </w:r>
      <w:r w:rsidRPr="00A5046F">
        <w:tab/>
      </w:r>
      <w:r w:rsidR="00D23F7E" w:rsidRPr="00A5046F">
        <w:t xml:space="preserve">whether or not there is an imminent danger of substantial damage to any </w:t>
      </w:r>
      <w:r w:rsidR="007507FC" w:rsidRPr="00A5046F">
        <w:t xml:space="preserve">person </w:t>
      </w:r>
      <w:r w:rsidR="00D23F7E" w:rsidRPr="00A5046F">
        <w:t xml:space="preserve">if the </w:t>
      </w:r>
      <w:r w:rsidR="0060438C" w:rsidRPr="00A5046F">
        <w:t>entity or official</w:t>
      </w:r>
      <w:r w:rsidR="00D23F7E" w:rsidRPr="00A5046F">
        <w:t xml:space="preserve"> refuses or fails to do that act or thing.</w:t>
      </w:r>
    </w:p>
    <w:p w:rsidR="00D23F7E" w:rsidRPr="00A5046F" w:rsidRDefault="006611C9" w:rsidP="00A5046F">
      <w:pPr>
        <w:pStyle w:val="ActHead5"/>
      </w:pPr>
      <w:bookmarkStart w:id="17" w:name="_Toc527982094"/>
      <w:r w:rsidRPr="00A5046F">
        <w:rPr>
          <w:rStyle w:val="CharSectno"/>
        </w:rPr>
        <w:t>14</w:t>
      </w:r>
      <w:r w:rsidR="00D23F7E" w:rsidRPr="00A5046F">
        <w:t xml:space="preserve">  Other powers of </w:t>
      </w:r>
      <w:r w:rsidR="00772FFB" w:rsidRPr="00A5046F">
        <w:t>a</w:t>
      </w:r>
      <w:r w:rsidR="00D23F7E" w:rsidRPr="00A5046F">
        <w:t xml:space="preserve"> court unaffected</w:t>
      </w:r>
      <w:bookmarkEnd w:id="17"/>
    </w:p>
    <w:p w:rsidR="00D23F7E" w:rsidRPr="00A5046F" w:rsidRDefault="00D23F7E" w:rsidP="00A5046F">
      <w:pPr>
        <w:pStyle w:val="subsection"/>
      </w:pPr>
      <w:r w:rsidRPr="00A5046F">
        <w:tab/>
      </w:r>
      <w:r w:rsidRPr="00A5046F">
        <w:tab/>
        <w:t xml:space="preserve">The powers conferred on </w:t>
      </w:r>
      <w:r w:rsidR="00772FFB" w:rsidRPr="00A5046F">
        <w:t xml:space="preserve">the </w:t>
      </w:r>
      <w:r w:rsidR="00EA25BB" w:rsidRPr="00A5046F">
        <w:t>Federal Court or the Federal Circuit Court</w:t>
      </w:r>
      <w:r w:rsidR="00772FFB" w:rsidRPr="00A5046F">
        <w:t xml:space="preserve"> </w:t>
      </w:r>
      <w:r w:rsidRPr="00A5046F">
        <w:t>under this Part are in addition to, and not instead of, any other powers of the court.</w:t>
      </w:r>
    </w:p>
    <w:p w:rsidR="00646776" w:rsidRPr="00A5046F" w:rsidRDefault="0060438C" w:rsidP="00A5046F">
      <w:pPr>
        <w:pStyle w:val="ActHead2"/>
        <w:pageBreakBefore/>
      </w:pPr>
      <w:bookmarkStart w:id="18" w:name="_Toc527982095"/>
      <w:r w:rsidRPr="00A5046F">
        <w:rPr>
          <w:rStyle w:val="CharPartNo"/>
        </w:rPr>
        <w:t>Part</w:t>
      </w:r>
      <w:r w:rsidR="00A5046F" w:rsidRPr="00A5046F">
        <w:rPr>
          <w:rStyle w:val="CharPartNo"/>
        </w:rPr>
        <w:t> </w:t>
      </w:r>
      <w:r w:rsidRPr="00A5046F">
        <w:rPr>
          <w:rStyle w:val="CharPartNo"/>
        </w:rPr>
        <w:t>3</w:t>
      </w:r>
      <w:r w:rsidR="00646776" w:rsidRPr="00A5046F">
        <w:t>—</w:t>
      </w:r>
      <w:r w:rsidRPr="00A5046F">
        <w:rPr>
          <w:rStyle w:val="CharPartText"/>
        </w:rPr>
        <w:t>Compensation</w:t>
      </w:r>
      <w:bookmarkEnd w:id="18"/>
    </w:p>
    <w:p w:rsidR="00646776" w:rsidRPr="00A5046F" w:rsidRDefault="00646776" w:rsidP="00A5046F">
      <w:pPr>
        <w:pStyle w:val="Header"/>
      </w:pPr>
      <w:r w:rsidRPr="00A5046F">
        <w:rPr>
          <w:rStyle w:val="CharDivNo"/>
        </w:rPr>
        <w:t xml:space="preserve"> </w:t>
      </w:r>
      <w:r w:rsidRPr="00A5046F">
        <w:rPr>
          <w:rStyle w:val="CharDivText"/>
        </w:rPr>
        <w:t xml:space="preserve"> </w:t>
      </w:r>
    </w:p>
    <w:p w:rsidR="00555866" w:rsidRPr="00A5046F" w:rsidRDefault="006611C9" w:rsidP="00A5046F">
      <w:pPr>
        <w:pStyle w:val="ActHead5"/>
      </w:pPr>
      <w:bookmarkStart w:id="19" w:name="_Toc527982096"/>
      <w:r w:rsidRPr="00A5046F">
        <w:rPr>
          <w:rStyle w:val="CharSectno"/>
        </w:rPr>
        <w:t>15</w:t>
      </w:r>
      <w:r w:rsidR="00555866" w:rsidRPr="00A5046F">
        <w:t xml:space="preserve">  Simplified outline of this Part</w:t>
      </w:r>
      <w:bookmarkEnd w:id="19"/>
    </w:p>
    <w:p w:rsidR="00555866" w:rsidRPr="00A5046F" w:rsidRDefault="00555866" w:rsidP="00A5046F">
      <w:pPr>
        <w:pStyle w:val="SOBullet"/>
      </w:pPr>
      <w:r w:rsidRPr="00A5046F">
        <w:t>•</w:t>
      </w:r>
      <w:r w:rsidRPr="00A5046F">
        <w:tab/>
        <w:t xml:space="preserve">The </w:t>
      </w:r>
      <w:r w:rsidR="00EA25BB" w:rsidRPr="00A5046F">
        <w:t>Federal Court or the Federal Circuit Court</w:t>
      </w:r>
      <w:r w:rsidRPr="00A5046F">
        <w:t xml:space="preserve"> may order the payment of compensation for a contravention of the </w:t>
      </w:r>
      <w:r w:rsidR="00AF7FE6" w:rsidRPr="00A5046F">
        <w:t>relevant Commonwealth Procurement Rules</w:t>
      </w:r>
      <w:r w:rsidR="00314D5D" w:rsidRPr="00A5046F">
        <w:t xml:space="preserve"> (so far as those rules relate to a covered procurement).</w:t>
      </w:r>
    </w:p>
    <w:p w:rsidR="00F91403" w:rsidRPr="00A5046F" w:rsidRDefault="006611C9" w:rsidP="00A5046F">
      <w:pPr>
        <w:pStyle w:val="ActHead5"/>
      </w:pPr>
      <w:bookmarkStart w:id="20" w:name="_Toc527982097"/>
      <w:r w:rsidRPr="00A5046F">
        <w:rPr>
          <w:rStyle w:val="CharSectno"/>
        </w:rPr>
        <w:t>16</w:t>
      </w:r>
      <w:r w:rsidR="00521DE9" w:rsidRPr="00A5046F">
        <w:t xml:space="preserve">  </w:t>
      </w:r>
      <w:r w:rsidR="00555866" w:rsidRPr="00A5046F">
        <w:t xml:space="preserve">Compensation for a contravention </w:t>
      </w:r>
      <w:r w:rsidR="004E11CC" w:rsidRPr="00A5046F">
        <w:t xml:space="preserve">of </w:t>
      </w:r>
      <w:r w:rsidR="00555866" w:rsidRPr="00A5046F">
        <w:t xml:space="preserve">the </w:t>
      </w:r>
      <w:r w:rsidR="00AF7FE6" w:rsidRPr="00A5046F">
        <w:t>relevant Commonwealth Procurement Rules</w:t>
      </w:r>
      <w:bookmarkEnd w:id="20"/>
    </w:p>
    <w:p w:rsidR="004E11CC" w:rsidRPr="00A5046F" w:rsidRDefault="003277BF" w:rsidP="00A5046F">
      <w:pPr>
        <w:pStyle w:val="subsection"/>
      </w:pPr>
      <w:r w:rsidRPr="00A5046F">
        <w:tab/>
      </w:r>
      <w:r w:rsidR="00427B2D" w:rsidRPr="00A5046F">
        <w:tab/>
      </w:r>
      <w:r w:rsidR="004E11CC" w:rsidRPr="00A5046F">
        <w:t>If:</w:t>
      </w:r>
    </w:p>
    <w:p w:rsidR="004E11CC" w:rsidRPr="00A5046F" w:rsidRDefault="00555866" w:rsidP="00A5046F">
      <w:pPr>
        <w:pStyle w:val="paragraph"/>
      </w:pPr>
      <w:r w:rsidRPr="00A5046F">
        <w:tab/>
        <w:t>(a)</w:t>
      </w:r>
      <w:r w:rsidRPr="00A5046F">
        <w:tab/>
      </w:r>
      <w:r w:rsidR="004A7C56" w:rsidRPr="00A5046F">
        <w:t xml:space="preserve">a </w:t>
      </w:r>
      <w:r w:rsidR="00244E25" w:rsidRPr="00A5046F">
        <w:t>relevant Commonwealth entity</w:t>
      </w:r>
      <w:r w:rsidR="004E11CC" w:rsidRPr="00A5046F">
        <w:t>; or</w:t>
      </w:r>
    </w:p>
    <w:p w:rsidR="004E11CC" w:rsidRPr="00A5046F" w:rsidRDefault="00555866" w:rsidP="00A5046F">
      <w:pPr>
        <w:pStyle w:val="paragraph"/>
      </w:pPr>
      <w:r w:rsidRPr="00A5046F">
        <w:tab/>
        <w:t>(b)</w:t>
      </w:r>
      <w:r w:rsidRPr="00A5046F">
        <w:tab/>
      </w:r>
      <w:r w:rsidR="004E11CC" w:rsidRPr="00A5046F">
        <w:t>a</w:t>
      </w:r>
      <w:r w:rsidR="004A7C56" w:rsidRPr="00A5046F">
        <w:t>n official</w:t>
      </w:r>
      <w:r w:rsidR="00244E25" w:rsidRPr="00A5046F">
        <w:t xml:space="preserve"> of a relevant Commonwealth entity</w:t>
      </w:r>
      <w:r w:rsidR="004A7C56" w:rsidRPr="00A5046F">
        <w:t>;</w:t>
      </w:r>
    </w:p>
    <w:p w:rsidR="00B33D28" w:rsidRPr="00A5046F" w:rsidRDefault="00555866" w:rsidP="00A5046F">
      <w:pPr>
        <w:pStyle w:val="subsection2"/>
      </w:pPr>
      <w:r w:rsidRPr="00A5046F">
        <w:t xml:space="preserve">has contravened, is contravening, or is proposing to contravene, the </w:t>
      </w:r>
      <w:r w:rsidR="00AF7FE6" w:rsidRPr="00A5046F">
        <w:t>relevant Commonwealth Procurement Rules</w:t>
      </w:r>
      <w:r w:rsidR="00314D5D" w:rsidRPr="00A5046F">
        <w:t xml:space="preserve"> (so far as those rules relate to a covered procurement)</w:t>
      </w:r>
      <w:r w:rsidR="00A0134E" w:rsidRPr="00A5046F">
        <w:t>,</w:t>
      </w:r>
      <w:r w:rsidRPr="00A5046F">
        <w:t xml:space="preserve"> </w:t>
      </w:r>
      <w:r w:rsidR="009954A2" w:rsidRPr="00A5046F">
        <w:t xml:space="preserve">the </w:t>
      </w:r>
      <w:r w:rsidR="00EA25BB" w:rsidRPr="00A5046F">
        <w:t>Federal Court or the Federal Circuit Court</w:t>
      </w:r>
      <w:r w:rsidR="009954A2" w:rsidRPr="00A5046F">
        <w:t xml:space="preserve"> </w:t>
      </w:r>
      <w:r w:rsidR="00B33D28" w:rsidRPr="00A5046F">
        <w:t>may, on the application of a supplier whose interests are affected by the contrav</w:t>
      </w:r>
      <w:r w:rsidRPr="00A5046F">
        <w:t>ention or proposed contravention</w:t>
      </w:r>
      <w:r w:rsidR="004F56DF" w:rsidRPr="00A5046F">
        <w:t>, make whichever of the following orders is applicable</w:t>
      </w:r>
      <w:r w:rsidR="00B33D28" w:rsidRPr="00A5046F">
        <w:t>:</w:t>
      </w:r>
    </w:p>
    <w:p w:rsidR="006221F0" w:rsidRPr="00A5046F" w:rsidRDefault="00555866" w:rsidP="00A5046F">
      <w:pPr>
        <w:pStyle w:val="paragraph"/>
      </w:pPr>
      <w:r w:rsidRPr="00A5046F">
        <w:tab/>
        <w:t>(c)</w:t>
      </w:r>
      <w:r w:rsidRPr="00A5046F">
        <w:tab/>
      </w:r>
      <w:r w:rsidR="00244E25" w:rsidRPr="00A5046F">
        <w:t>if the relevant Commonwealth entity is a non</w:t>
      </w:r>
      <w:r w:rsidR="001A68FD">
        <w:noBreakHyphen/>
      </w:r>
      <w:r w:rsidR="00244E25" w:rsidRPr="00A5046F">
        <w:t>corporate Commonwealth entity—</w:t>
      </w:r>
      <w:r w:rsidR="00886988" w:rsidRPr="00A5046F">
        <w:t xml:space="preserve">an </w:t>
      </w:r>
      <w:r w:rsidR="006221F0" w:rsidRPr="00A5046F">
        <w:t xml:space="preserve">order directing the </w:t>
      </w:r>
      <w:r w:rsidR="00244E25" w:rsidRPr="00A5046F">
        <w:t xml:space="preserve">Commonwealth </w:t>
      </w:r>
      <w:r w:rsidR="006221F0" w:rsidRPr="00A5046F">
        <w:t xml:space="preserve">to pay to the supplier, by way of compensation, an amount not exceeding </w:t>
      </w:r>
      <w:r w:rsidR="00244E25" w:rsidRPr="00A5046F">
        <w:t xml:space="preserve">the </w:t>
      </w:r>
      <w:r w:rsidR="006221F0" w:rsidRPr="00A5046F">
        <w:t>sum of:</w:t>
      </w:r>
    </w:p>
    <w:p w:rsidR="006221F0" w:rsidRPr="00A5046F" w:rsidRDefault="006221F0" w:rsidP="00A5046F">
      <w:pPr>
        <w:pStyle w:val="paragraphsub"/>
      </w:pPr>
      <w:r w:rsidRPr="00A5046F">
        <w:tab/>
        <w:t>(i)</w:t>
      </w:r>
      <w:r w:rsidRPr="00A5046F">
        <w:tab/>
        <w:t xml:space="preserve">reasonable expenditure incurred by </w:t>
      </w:r>
      <w:r w:rsidR="007A03B1" w:rsidRPr="00A5046F">
        <w:t xml:space="preserve">the </w:t>
      </w:r>
      <w:r w:rsidRPr="00A5046F">
        <w:t>supplier in preparing</w:t>
      </w:r>
      <w:r w:rsidR="003B0A94" w:rsidRPr="00A5046F">
        <w:t xml:space="preserve"> </w:t>
      </w:r>
      <w:r w:rsidRPr="00A5046F">
        <w:t>a tender for the procurement; and</w:t>
      </w:r>
    </w:p>
    <w:p w:rsidR="006221F0" w:rsidRPr="00A5046F" w:rsidRDefault="006221F0" w:rsidP="00A5046F">
      <w:pPr>
        <w:pStyle w:val="paragraphsub"/>
      </w:pPr>
      <w:r w:rsidRPr="00A5046F">
        <w:tab/>
        <w:t>(ii)</w:t>
      </w:r>
      <w:r w:rsidRPr="00A5046F">
        <w:tab/>
        <w:t xml:space="preserve">reasonable expenditure incurred by </w:t>
      </w:r>
      <w:r w:rsidR="007A03B1" w:rsidRPr="00A5046F">
        <w:t xml:space="preserve">the </w:t>
      </w:r>
      <w:r w:rsidRPr="00A5046F">
        <w:t xml:space="preserve">supplier in connection with making a complaint </w:t>
      </w:r>
      <w:r w:rsidR="009C33E0" w:rsidRPr="00A5046F">
        <w:t>under section</w:t>
      </w:r>
      <w:r w:rsidR="00A5046F" w:rsidRPr="00A5046F">
        <w:t> </w:t>
      </w:r>
      <w:r w:rsidR="009C33E0" w:rsidRPr="00A5046F">
        <w:t xml:space="preserve">18 to the accountable authority of the relevant Commonwealth entity </w:t>
      </w:r>
      <w:r w:rsidRPr="00A5046F">
        <w:t>about the contravention</w:t>
      </w:r>
      <w:r w:rsidR="007A03B1" w:rsidRPr="00A5046F">
        <w:t xml:space="preserve"> or proposed contravention</w:t>
      </w:r>
      <w:r w:rsidR="00F4653E" w:rsidRPr="00A5046F">
        <w:t>;</w:t>
      </w:r>
      <w:r w:rsidR="00244E25" w:rsidRPr="00A5046F">
        <w:t xml:space="preserve"> and</w:t>
      </w:r>
    </w:p>
    <w:p w:rsidR="00244E25" w:rsidRPr="00A5046F" w:rsidRDefault="00244E25" w:rsidP="00A5046F">
      <w:pPr>
        <w:pStyle w:val="paragraphsub"/>
      </w:pPr>
      <w:r w:rsidRPr="00A5046F">
        <w:tab/>
        <w:t>(iii)</w:t>
      </w:r>
      <w:r w:rsidRPr="00A5046F">
        <w:tab/>
        <w:t xml:space="preserve">reasonable expenditure incurred by </w:t>
      </w:r>
      <w:r w:rsidR="007A03B1" w:rsidRPr="00A5046F">
        <w:t xml:space="preserve">the </w:t>
      </w:r>
      <w:r w:rsidRPr="00A5046F">
        <w:t>supplier in connection with making a reasonable attempt to resolve such a complaint;</w:t>
      </w:r>
    </w:p>
    <w:p w:rsidR="00244E25" w:rsidRPr="00A5046F" w:rsidRDefault="00555866" w:rsidP="00A5046F">
      <w:pPr>
        <w:pStyle w:val="paragraph"/>
      </w:pPr>
      <w:r w:rsidRPr="00A5046F">
        <w:tab/>
        <w:t>(d)</w:t>
      </w:r>
      <w:r w:rsidRPr="00A5046F">
        <w:tab/>
      </w:r>
      <w:r w:rsidR="00244E25" w:rsidRPr="00A5046F">
        <w:t>if the relevant Commonwealth entity is a corporate Commonwealth entity—</w:t>
      </w:r>
      <w:r w:rsidRPr="00A5046F">
        <w:t xml:space="preserve">an </w:t>
      </w:r>
      <w:r w:rsidR="00244E25" w:rsidRPr="00A5046F">
        <w:t>order directing the corporate Commonwealth entity to pay to the supplier, by way of compensation, an amount not exceeding the sum of:</w:t>
      </w:r>
    </w:p>
    <w:p w:rsidR="00244E25" w:rsidRPr="00A5046F" w:rsidRDefault="00244E25" w:rsidP="00A5046F">
      <w:pPr>
        <w:pStyle w:val="paragraphsub"/>
      </w:pPr>
      <w:r w:rsidRPr="00A5046F">
        <w:tab/>
        <w:t>(i)</w:t>
      </w:r>
      <w:r w:rsidRPr="00A5046F">
        <w:tab/>
        <w:t xml:space="preserve">reasonable expenditure incurred by </w:t>
      </w:r>
      <w:r w:rsidR="007A03B1" w:rsidRPr="00A5046F">
        <w:t xml:space="preserve">the </w:t>
      </w:r>
      <w:r w:rsidRPr="00A5046F">
        <w:t>supplier in preparing a tender for the procurement; and</w:t>
      </w:r>
    </w:p>
    <w:p w:rsidR="00244E25" w:rsidRPr="00A5046F" w:rsidRDefault="00244E25" w:rsidP="00A5046F">
      <w:pPr>
        <w:pStyle w:val="paragraphsub"/>
      </w:pPr>
      <w:r w:rsidRPr="00A5046F">
        <w:tab/>
        <w:t>(ii)</w:t>
      </w:r>
      <w:r w:rsidRPr="00A5046F">
        <w:tab/>
        <w:t xml:space="preserve">reasonable expenditure incurred by </w:t>
      </w:r>
      <w:r w:rsidR="003277BF" w:rsidRPr="00A5046F">
        <w:t xml:space="preserve">the </w:t>
      </w:r>
      <w:r w:rsidRPr="00A5046F">
        <w:t xml:space="preserve">supplier in connection with making a complaint </w:t>
      </w:r>
      <w:r w:rsidR="009C33E0" w:rsidRPr="00A5046F">
        <w:t>under section</w:t>
      </w:r>
      <w:r w:rsidR="00A5046F" w:rsidRPr="00A5046F">
        <w:t> </w:t>
      </w:r>
      <w:r w:rsidR="009C33E0" w:rsidRPr="00A5046F">
        <w:t xml:space="preserve">18 to the accountable authority of the relevant Commonwealth entity </w:t>
      </w:r>
      <w:r w:rsidRPr="00A5046F">
        <w:t>about the contravention</w:t>
      </w:r>
      <w:r w:rsidR="007A03B1" w:rsidRPr="00A5046F">
        <w:t xml:space="preserve"> or proposed contravention</w:t>
      </w:r>
      <w:r w:rsidRPr="00A5046F">
        <w:t>; and</w:t>
      </w:r>
    </w:p>
    <w:p w:rsidR="00244E25" w:rsidRPr="00A5046F" w:rsidRDefault="00244E25" w:rsidP="00A5046F">
      <w:pPr>
        <w:pStyle w:val="paragraphsub"/>
      </w:pPr>
      <w:r w:rsidRPr="00A5046F">
        <w:tab/>
        <w:t>(iii)</w:t>
      </w:r>
      <w:r w:rsidRPr="00A5046F">
        <w:tab/>
        <w:t xml:space="preserve">reasonable expenditure incurred by </w:t>
      </w:r>
      <w:r w:rsidR="007A03B1" w:rsidRPr="00A5046F">
        <w:t xml:space="preserve">the </w:t>
      </w:r>
      <w:r w:rsidRPr="00A5046F">
        <w:t xml:space="preserve">supplier in connection with making a reasonable attempt to resolve such a </w:t>
      </w:r>
      <w:r w:rsidR="00555866" w:rsidRPr="00A5046F">
        <w:t>complaint.</w:t>
      </w:r>
    </w:p>
    <w:p w:rsidR="00FD5CBB" w:rsidRPr="00A5046F" w:rsidRDefault="00FD5CBB" w:rsidP="00A5046F">
      <w:pPr>
        <w:pStyle w:val="ActHead2"/>
        <w:pageBreakBefore/>
      </w:pPr>
      <w:bookmarkStart w:id="21" w:name="_Toc527982098"/>
      <w:r w:rsidRPr="00A5046F">
        <w:rPr>
          <w:rStyle w:val="CharPartNo"/>
        </w:rPr>
        <w:t>Part</w:t>
      </w:r>
      <w:r w:rsidR="00A5046F" w:rsidRPr="00A5046F">
        <w:rPr>
          <w:rStyle w:val="CharPartNo"/>
        </w:rPr>
        <w:t> </w:t>
      </w:r>
      <w:r w:rsidR="00BC2D1C" w:rsidRPr="00A5046F">
        <w:rPr>
          <w:rStyle w:val="CharPartNo"/>
        </w:rPr>
        <w:t>4</w:t>
      </w:r>
      <w:r w:rsidRPr="00A5046F">
        <w:t>—</w:t>
      </w:r>
      <w:r w:rsidRPr="00A5046F">
        <w:rPr>
          <w:rStyle w:val="CharPartText"/>
        </w:rPr>
        <w:t>Complaints</w:t>
      </w:r>
      <w:bookmarkEnd w:id="21"/>
    </w:p>
    <w:p w:rsidR="00F90AAE" w:rsidRPr="00A5046F" w:rsidRDefault="00F90AAE" w:rsidP="00A5046F">
      <w:pPr>
        <w:pStyle w:val="Header"/>
      </w:pPr>
      <w:r w:rsidRPr="00A5046F">
        <w:rPr>
          <w:rStyle w:val="CharDivNo"/>
        </w:rPr>
        <w:t xml:space="preserve"> </w:t>
      </w:r>
      <w:r w:rsidRPr="00A5046F">
        <w:rPr>
          <w:rStyle w:val="CharDivText"/>
        </w:rPr>
        <w:t xml:space="preserve"> </w:t>
      </w:r>
    </w:p>
    <w:p w:rsidR="00BC2D1C" w:rsidRPr="00A5046F" w:rsidRDefault="006611C9" w:rsidP="00A5046F">
      <w:pPr>
        <w:pStyle w:val="ActHead5"/>
      </w:pPr>
      <w:bookmarkStart w:id="22" w:name="_Toc527982099"/>
      <w:r w:rsidRPr="00A5046F">
        <w:rPr>
          <w:rStyle w:val="CharSectno"/>
        </w:rPr>
        <w:t>17</w:t>
      </w:r>
      <w:r w:rsidR="00BC2D1C" w:rsidRPr="00A5046F">
        <w:t xml:space="preserve">  Simplified outline of this Part</w:t>
      </w:r>
      <w:bookmarkEnd w:id="22"/>
    </w:p>
    <w:p w:rsidR="006C2A68" w:rsidRPr="00A5046F" w:rsidRDefault="006C2A68" w:rsidP="00A5046F">
      <w:pPr>
        <w:pStyle w:val="SOBullet"/>
      </w:pPr>
      <w:r w:rsidRPr="00A5046F">
        <w:t>•</w:t>
      </w:r>
      <w:r w:rsidRPr="00A5046F">
        <w:tab/>
        <w:t>A supplier may complain to the accountable authority of a relevant Commonwealth entity about a contravention of the relevant Commonwealth Procurement Rules (so far as those rules relate to a covered procurement).</w:t>
      </w:r>
    </w:p>
    <w:p w:rsidR="006C2A68" w:rsidRPr="00A5046F" w:rsidRDefault="00EA25BB" w:rsidP="00A5046F">
      <w:pPr>
        <w:pStyle w:val="SOBullet"/>
      </w:pPr>
      <w:r w:rsidRPr="00A5046F">
        <w:t>•</w:t>
      </w:r>
      <w:r w:rsidR="006C2A68" w:rsidRPr="00A5046F">
        <w:tab/>
        <w:t>If a supplier makes a complaint, the accountable authority must:</w:t>
      </w:r>
    </w:p>
    <w:p w:rsidR="006C2A68" w:rsidRPr="00A5046F" w:rsidRDefault="006C2A68" w:rsidP="00A5046F">
      <w:pPr>
        <w:pStyle w:val="SOPara"/>
      </w:pPr>
      <w:r w:rsidRPr="00A5046F">
        <w:tab/>
        <w:t>(a)</w:t>
      </w:r>
      <w:r w:rsidRPr="00A5046F">
        <w:tab/>
        <w:t>investigate the conduct the subject of the complaint; and</w:t>
      </w:r>
    </w:p>
    <w:p w:rsidR="006C2A68" w:rsidRPr="00A5046F" w:rsidRDefault="006C2A68" w:rsidP="00A5046F">
      <w:pPr>
        <w:pStyle w:val="SOPara"/>
      </w:pPr>
      <w:r w:rsidRPr="00A5046F">
        <w:tab/>
        <w:t>(b)</w:t>
      </w:r>
      <w:r w:rsidRPr="00A5046F">
        <w:tab/>
      </w:r>
      <w:r w:rsidR="00C05B24" w:rsidRPr="00A5046F">
        <w:t>if no public interest certificate is in force in relation to the procurement—</w:t>
      </w:r>
      <w:r w:rsidRPr="00A5046F">
        <w:t>suspend the procurement.</w:t>
      </w:r>
    </w:p>
    <w:p w:rsidR="00FD5CBB" w:rsidRPr="00A5046F" w:rsidRDefault="006611C9" w:rsidP="00A5046F">
      <w:pPr>
        <w:pStyle w:val="ActHead5"/>
      </w:pPr>
      <w:bookmarkStart w:id="23" w:name="_Toc527982100"/>
      <w:r w:rsidRPr="00A5046F">
        <w:rPr>
          <w:rStyle w:val="CharSectno"/>
        </w:rPr>
        <w:t>18</w:t>
      </w:r>
      <w:r w:rsidR="00F90AAE" w:rsidRPr="00A5046F">
        <w:t xml:space="preserve">  </w:t>
      </w:r>
      <w:r w:rsidR="00103E31" w:rsidRPr="00A5046F">
        <w:t>Complaint</w:t>
      </w:r>
      <w:r w:rsidR="00681180" w:rsidRPr="00A5046F">
        <w:t xml:space="preserve"> made by supplier</w:t>
      </w:r>
      <w:bookmarkEnd w:id="23"/>
    </w:p>
    <w:p w:rsidR="00F90AAE" w:rsidRPr="00A5046F" w:rsidRDefault="00F90AAE" w:rsidP="00A5046F">
      <w:pPr>
        <w:pStyle w:val="subsection"/>
      </w:pPr>
      <w:r w:rsidRPr="00A5046F">
        <w:tab/>
      </w:r>
      <w:r w:rsidR="00AF1F9A" w:rsidRPr="00A5046F">
        <w:t>(1)</w:t>
      </w:r>
      <w:r w:rsidRPr="00A5046F">
        <w:tab/>
        <w:t>If:</w:t>
      </w:r>
    </w:p>
    <w:p w:rsidR="00F90AAE" w:rsidRPr="00A5046F" w:rsidRDefault="00F90AAE" w:rsidP="00A5046F">
      <w:pPr>
        <w:pStyle w:val="paragraph"/>
      </w:pPr>
      <w:r w:rsidRPr="00A5046F">
        <w:tab/>
        <w:t>(a)</w:t>
      </w:r>
      <w:r w:rsidRPr="00A5046F">
        <w:tab/>
        <w:t>a supplier has reason to believe that:</w:t>
      </w:r>
    </w:p>
    <w:p w:rsidR="00661A03" w:rsidRPr="00A5046F" w:rsidRDefault="00F90AAE" w:rsidP="00A5046F">
      <w:pPr>
        <w:pStyle w:val="paragraphsub"/>
      </w:pPr>
      <w:r w:rsidRPr="00A5046F">
        <w:tab/>
      </w:r>
      <w:r w:rsidR="00661A03" w:rsidRPr="00A5046F">
        <w:t>(i)</w:t>
      </w:r>
      <w:r w:rsidR="00661A03" w:rsidRPr="00A5046F">
        <w:tab/>
        <w:t>a relevant Commonwealth entity; or</w:t>
      </w:r>
    </w:p>
    <w:p w:rsidR="00661A03" w:rsidRPr="00A5046F" w:rsidRDefault="00661A03" w:rsidP="00A5046F">
      <w:pPr>
        <w:pStyle w:val="paragraphsub"/>
      </w:pPr>
      <w:r w:rsidRPr="00A5046F">
        <w:tab/>
        <w:t>(ii)</w:t>
      </w:r>
      <w:r w:rsidRPr="00A5046F">
        <w:tab/>
        <w:t>an official of a relevant Commonwealth entity;</w:t>
      </w:r>
    </w:p>
    <w:p w:rsidR="00F90AAE" w:rsidRPr="00A5046F" w:rsidRDefault="00661A03" w:rsidP="00A5046F">
      <w:pPr>
        <w:pStyle w:val="paragraph"/>
      </w:pPr>
      <w:r w:rsidRPr="00A5046F">
        <w:tab/>
      </w:r>
      <w:r w:rsidRPr="00A5046F">
        <w:tab/>
        <w:t>has engaged, is engaging or is proposing to engage, in any conduct in contravention of the relevant Commonwealth Procurement Rules (so far as those rules relate to a covered procurement)</w:t>
      </w:r>
      <w:r w:rsidR="00903E4C" w:rsidRPr="00A5046F">
        <w:t>; and</w:t>
      </w:r>
    </w:p>
    <w:p w:rsidR="00903E4C" w:rsidRPr="00A5046F" w:rsidRDefault="00903E4C" w:rsidP="00A5046F">
      <w:pPr>
        <w:pStyle w:val="paragraph"/>
      </w:pPr>
      <w:r w:rsidRPr="00A5046F">
        <w:tab/>
        <w:t>(b)</w:t>
      </w:r>
      <w:r w:rsidRPr="00A5046F">
        <w:tab/>
        <w:t xml:space="preserve">the interests of the supplier are affected by the </w:t>
      </w:r>
      <w:r w:rsidR="00661A03" w:rsidRPr="00A5046F">
        <w:t>conduct</w:t>
      </w:r>
      <w:r w:rsidRPr="00A5046F">
        <w:t>;</w:t>
      </w:r>
    </w:p>
    <w:p w:rsidR="00661A03" w:rsidRPr="00A5046F" w:rsidRDefault="00903E4C" w:rsidP="00A5046F">
      <w:pPr>
        <w:pStyle w:val="subsection2"/>
      </w:pPr>
      <w:r w:rsidRPr="00A5046F">
        <w:t>the supplier may make a</w:t>
      </w:r>
      <w:r w:rsidR="00661A03" w:rsidRPr="00A5046F">
        <w:t xml:space="preserve"> written</w:t>
      </w:r>
      <w:r w:rsidRPr="00A5046F">
        <w:t xml:space="preserve"> complaint</w:t>
      </w:r>
      <w:r w:rsidR="003147B2" w:rsidRPr="00A5046F">
        <w:t xml:space="preserve"> about the conduct</w:t>
      </w:r>
      <w:r w:rsidRPr="00A5046F">
        <w:t xml:space="preserve"> to the</w:t>
      </w:r>
      <w:r w:rsidR="00112FD7" w:rsidRPr="00A5046F">
        <w:t xml:space="preserve"> accountable authority of the</w:t>
      </w:r>
      <w:r w:rsidR="00F7048C" w:rsidRPr="00A5046F">
        <w:t xml:space="preserve"> </w:t>
      </w:r>
      <w:r w:rsidRPr="00A5046F">
        <w:t>entity</w:t>
      </w:r>
      <w:r w:rsidR="00661A03" w:rsidRPr="00A5046F">
        <w:t>.</w:t>
      </w:r>
    </w:p>
    <w:p w:rsidR="00AF1F9A" w:rsidRPr="00A5046F" w:rsidRDefault="00AF1F9A" w:rsidP="00A5046F">
      <w:pPr>
        <w:pStyle w:val="subsection"/>
      </w:pPr>
      <w:r w:rsidRPr="00A5046F">
        <w:tab/>
        <w:t>(2)</w:t>
      </w:r>
      <w:r w:rsidRPr="00A5046F">
        <w:tab/>
        <w:t>A supplier may withdraw a complaint made</w:t>
      </w:r>
      <w:r w:rsidR="00C05B24" w:rsidRPr="00A5046F">
        <w:t xml:space="preserve"> by the supplier</w:t>
      </w:r>
      <w:r w:rsidRPr="00A5046F">
        <w:t xml:space="preserve"> under </w:t>
      </w:r>
      <w:r w:rsidR="00A5046F" w:rsidRPr="00A5046F">
        <w:t>subsection (</w:t>
      </w:r>
      <w:r w:rsidRPr="00A5046F">
        <w:t>1).</w:t>
      </w:r>
    </w:p>
    <w:p w:rsidR="00681180" w:rsidRPr="00A5046F" w:rsidRDefault="006611C9" w:rsidP="00A5046F">
      <w:pPr>
        <w:pStyle w:val="ActHead5"/>
      </w:pPr>
      <w:bookmarkStart w:id="24" w:name="_Toc527982101"/>
      <w:r w:rsidRPr="00A5046F">
        <w:rPr>
          <w:rStyle w:val="CharSectno"/>
        </w:rPr>
        <w:t>19</w:t>
      </w:r>
      <w:r w:rsidR="00103E31" w:rsidRPr="00A5046F">
        <w:t xml:space="preserve">  Investigation</w:t>
      </w:r>
      <w:r w:rsidR="00BC2D1C" w:rsidRPr="00A5046F">
        <w:t xml:space="preserve"> by accountable authority</w:t>
      </w:r>
      <w:bookmarkEnd w:id="24"/>
    </w:p>
    <w:p w:rsidR="00504B7D" w:rsidRPr="00A5046F" w:rsidRDefault="00681180" w:rsidP="00A5046F">
      <w:pPr>
        <w:pStyle w:val="subsection"/>
      </w:pPr>
      <w:r w:rsidRPr="00A5046F">
        <w:tab/>
      </w:r>
      <w:r w:rsidR="00BF6BEE" w:rsidRPr="00A5046F">
        <w:t>(1)</w:t>
      </w:r>
      <w:r w:rsidRPr="00A5046F">
        <w:tab/>
        <w:t>If a supplier makes a complaint</w:t>
      </w:r>
      <w:r w:rsidR="00103E31" w:rsidRPr="00A5046F">
        <w:t xml:space="preserve"> under section</w:t>
      </w:r>
      <w:r w:rsidR="00A5046F" w:rsidRPr="00A5046F">
        <w:t> </w:t>
      </w:r>
      <w:r w:rsidR="006611C9" w:rsidRPr="00A5046F">
        <w:t>18</w:t>
      </w:r>
      <w:r w:rsidR="00661A03" w:rsidRPr="00A5046F">
        <w:t xml:space="preserve"> </w:t>
      </w:r>
      <w:r w:rsidRPr="00A5046F">
        <w:t>to</w:t>
      </w:r>
      <w:r w:rsidR="00112FD7" w:rsidRPr="00A5046F">
        <w:t xml:space="preserve"> the accountable authority of </w:t>
      </w:r>
      <w:r w:rsidR="00103E31" w:rsidRPr="00A5046F">
        <w:t>a relevant Commonwealth entity</w:t>
      </w:r>
      <w:r w:rsidR="00112FD7" w:rsidRPr="00A5046F">
        <w:t>, the accountable authority</w:t>
      </w:r>
      <w:r w:rsidRPr="00A5046F">
        <w:t xml:space="preserve"> must</w:t>
      </w:r>
      <w:r w:rsidR="00504B7D" w:rsidRPr="00A5046F">
        <w:t>:</w:t>
      </w:r>
    </w:p>
    <w:p w:rsidR="00681180" w:rsidRPr="00A5046F" w:rsidRDefault="00504B7D" w:rsidP="00A5046F">
      <w:pPr>
        <w:pStyle w:val="paragraph"/>
      </w:pPr>
      <w:r w:rsidRPr="00A5046F">
        <w:tab/>
        <w:t>(a)</w:t>
      </w:r>
      <w:r w:rsidRPr="00A5046F">
        <w:tab/>
        <w:t>investigate the conduct the subject of the complaint; and</w:t>
      </w:r>
    </w:p>
    <w:p w:rsidR="00504B7D" w:rsidRPr="00A5046F" w:rsidRDefault="00504B7D" w:rsidP="00A5046F">
      <w:pPr>
        <w:pStyle w:val="paragraph"/>
      </w:pPr>
      <w:r w:rsidRPr="00A5046F">
        <w:tab/>
        <w:t>(b)</w:t>
      </w:r>
      <w:r w:rsidRPr="00A5046F">
        <w:tab/>
        <w:t>prepare a report of the investigation.</w:t>
      </w:r>
    </w:p>
    <w:p w:rsidR="00504B7D" w:rsidRPr="00A5046F" w:rsidRDefault="00BF6BEE" w:rsidP="00A5046F">
      <w:pPr>
        <w:pStyle w:val="subsection"/>
      </w:pPr>
      <w:r w:rsidRPr="00A5046F">
        <w:tab/>
        <w:t>(2)</w:t>
      </w:r>
      <w:r w:rsidRPr="00A5046F">
        <w:tab/>
        <w:t xml:space="preserve">The </w:t>
      </w:r>
      <w:r w:rsidR="00112FD7" w:rsidRPr="00A5046F">
        <w:t>accountable authority</w:t>
      </w:r>
      <w:r w:rsidRPr="00A5046F">
        <w:t xml:space="preserve"> may discontinue the investigation if</w:t>
      </w:r>
      <w:r w:rsidR="00504B7D" w:rsidRPr="00A5046F">
        <w:t>:</w:t>
      </w:r>
    </w:p>
    <w:p w:rsidR="00BF6BEE" w:rsidRPr="00A5046F" w:rsidRDefault="00504B7D" w:rsidP="00A5046F">
      <w:pPr>
        <w:pStyle w:val="paragraph"/>
      </w:pPr>
      <w:r w:rsidRPr="00A5046F">
        <w:tab/>
        <w:t>(a)</w:t>
      </w:r>
      <w:r w:rsidRPr="00A5046F">
        <w:tab/>
      </w:r>
      <w:r w:rsidR="00BF6BEE" w:rsidRPr="00A5046F">
        <w:t>the supplier withdraws the</w:t>
      </w:r>
      <w:r w:rsidR="00B5006C" w:rsidRPr="00A5046F">
        <w:t xml:space="preserve"> complaint</w:t>
      </w:r>
      <w:r w:rsidRPr="00A5046F">
        <w:t>; or</w:t>
      </w:r>
    </w:p>
    <w:p w:rsidR="00504B7D" w:rsidRPr="00A5046F" w:rsidRDefault="00504B7D" w:rsidP="00A5046F">
      <w:pPr>
        <w:pStyle w:val="paragraph"/>
      </w:pPr>
      <w:r w:rsidRPr="00A5046F">
        <w:tab/>
        <w:t>(b)</w:t>
      </w:r>
      <w:r w:rsidRPr="00A5046F">
        <w:tab/>
        <w:t>the supplier informs the accountable authority that the supplier considers the complaint to be resolved; or</w:t>
      </w:r>
    </w:p>
    <w:p w:rsidR="00504B7D" w:rsidRPr="00A5046F" w:rsidRDefault="00BA03CB" w:rsidP="00A5046F">
      <w:pPr>
        <w:pStyle w:val="paragraph"/>
      </w:pPr>
      <w:r w:rsidRPr="00A5046F">
        <w:tab/>
        <w:t>(c)</w:t>
      </w:r>
      <w:r w:rsidRPr="00A5046F">
        <w:tab/>
        <w:t>in proceedings instituted in a court under this Act in relation to the conduct the subject of the complaint, the court makes either of the following findings:</w:t>
      </w:r>
    </w:p>
    <w:p w:rsidR="00BA03CB" w:rsidRPr="00A5046F" w:rsidRDefault="00C05B24" w:rsidP="00A5046F">
      <w:pPr>
        <w:pStyle w:val="paragraphsub"/>
      </w:pPr>
      <w:r w:rsidRPr="00A5046F">
        <w:tab/>
        <w:t>(i)</w:t>
      </w:r>
      <w:r w:rsidRPr="00A5046F">
        <w:tab/>
        <w:t>that the conduct was in</w:t>
      </w:r>
      <w:r w:rsidR="00BA03CB" w:rsidRPr="00A5046F">
        <w:t xml:space="preserve"> contravention of the relevant Commonwealth Procurement Rules (so far as those rules relate to a covered procurement);</w:t>
      </w:r>
    </w:p>
    <w:p w:rsidR="00C05B24" w:rsidRPr="00A5046F" w:rsidRDefault="00BA03CB" w:rsidP="00A5046F">
      <w:pPr>
        <w:pStyle w:val="paragraphsub"/>
      </w:pPr>
      <w:r w:rsidRPr="00A5046F">
        <w:tab/>
        <w:t>(ii)</w:t>
      </w:r>
      <w:r w:rsidRPr="00A5046F">
        <w:tab/>
        <w:t xml:space="preserve">that the conduct </w:t>
      </w:r>
      <w:r w:rsidR="00C05B24" w:rsidRPr="00A5046F">
        <w:t>was not in</w:t>
      </w:r>
      <w:r w:rsidRPr="00A5046F">
        <w:t xml:space="preserve"> contravention of the relevant Commonwealth Procurement Rules (so far as those rules relate to a covered procurement)</w:t>
      </w:r>
      <w:r w:rsidR="00C05B24" w:rsidRPr="00A5046F">
        <w:t>.</w:t>
      </w:r>
    </w:p>
    <w:p w:rsidR="00304494" w:rsidRPr="00A5046F" w:rsidRDefault="00C05B24" w:rsidP="00A5046F">
      <w:pPr>
        <w:pStyle w:val="subsection"/>
      </w:pPr>
      <w:r w:rsidRPr="00A5046F">
        <w:tab/>
        <w:t>(3)</w:t>
      </w:r>
      <w:r w:rsidRPr="00A5046F">
        <w:tab/>
        <w:t>If</w:t>
      </w:r>
      <w:r w:rsidR="00304494" w:rsidRPr="00A5046F">
        <w:t>:</w:t>
      </w:r>
    </w:p>
    <w:p w:rsidR="00304494" w:rsidRPr="00A5046F" w:rsidRDefault="00304494" w:rsidP="00A5046F">
      <w:pPr>
        <w:pStyle w:val="paragraph"/>
      </w:pPr>
      <w:r w:rsidRPr="00A5046F">
        <w:tab/>
        <w:t>(a)</w:t>
      </w:r>
      <w:r w:rsidRPr="00A5046F">
        <w:tab/>
        <w:t>proceedings are instituted in a court under this Act in relation to the conduct the subject of the complaint; and</w:t>
      </w:r>
    </w:p>
    <w:p w:rsidR="00304494" w:rsidRPr="00A5046F" w:rsidRDefault="00304494" w:rsidP="00A5046F">
      <w:pPr>
        <w:pStyle w:val="paragraph"/>
      </w:pPr>
      <w:r w:rsidRPr="00A5046F">
        <w:tab/>
        <w:t>(b)</w:t>
      </w:r>
      <w:r w:rsidRPr="00A5046F">
        <w:tab/>
      </w:r>
      <w:r w:rsidR="00C05B24" w:rsidRPr="00A5046F">
        <w:t>the continuation of the investigation would</w:t>
      </w:r>
      <w:r w:rsidRPr="00A5046F">
        <w:t xml:space="preserve"> be likely to</w:t>
      </w:r>
      <w:r w:rsidR="00C05B24" w:rsidRPr="00A5046F">
        <w:t xml:space="preserve"> result in prejudice to the p</w:t>
      </w:r>
      <w:r w:rsidRPr="00A5046F">
        <w:t>roper administration of justice;</w:t>
      </w:r>
    </w:p>
    <w:p w:rsidR="00C05B24" w:rsidRPr="00A5046F" w:rsidRDefault="00C05B24" w:rsidP="00A5046F">
      <w:pPr>
        <w:pStyle w:val="subsection2"/>
      </w:pPr>
      <w:r w:rsidRPr="00A5046F">
        <w:t>the accountable authority must discontinue the investigation.</w:t>
      </w:r>
    </w:p>
    <w:p w:rsidR="00681180" w:rsidRPr="00A5046F" w:rsidRDefault="006611C9" w:rsidP="00A5046F">
      <w:pPr>
        <w:pStyle w:val="ActHead5"/>
      </w:pPr>
      <w:bookmarkStart w:id="25" w:name="_Toc527982102"/>
      <w:r w:rsidRPr="00A5046F">
        <w:rPr>
          <w:rStyle w:val="CharSectno"/>
        </w:rPr>
        <w:t>20</w:t>
      </w:r>
      <w:r w:rsidR="00BA03CB" w:rsidRPr="00A5046F">
        <w:t xml:space="preserve">  Suspension</w:t>
      </w:r>
      <w:r w:rsidR="00BC2D1C" w:rsidRPr="00A5046F">
        <w:t xml:space="preserve"> of procurement</w:t>
      </w:r>
      <w:bookmarkEnd w:id="25"/>
    </w:p>
    <w:p w:rsidR="00AF1F9A" w:rsidRPr="00A5046F" w:rsidRDefault="00681180" w:rsidP="00A5046F">
      <w:pPr>
        <w:pStyle w:val="subsection"/>
      </w:pPr>
      <w:r w:rsidRPr="00A5046F">
        <w:tab/>
      </w:r>
      <w:r w:rsidRPr="00A5046F">
        <w:tab/>
      </w:r>
      <w:r w:rsidR="00661A03" w:rsidRPr="00A5046F">
        <w:t>If</w:t>
      </w:r>
      <w:r w:rsidR="00AF1F9A" w:rsidRPr="00A5046F">
        <w:t>:</w:t>
      </w:r>
    </w:p>
    <w:p w:rsidR="00AF1F9A" w:rsidRPr="00A5046F" w:rsidRDefault="005C61FA" w:rsidP="00A5046F">
      <w:pPr>
        <w:pStyle w:val="paragraph"/>
      </w:pPr>
      <w:r w:rsidRPr="00A5046F">
        <w:tab/>
        <w:t>(a)</w:t>
      </w:r>
      <w:r w:rsidRPr="00A5046F">
        <w:tab/>
      </w:r>
      <w:r w:rsidR="00661A03" w:rsidRPr="00A5046F">
        <w:t>a supplier makes a complaint</w:t>
      </w:r>
      <w:r w:rsidR="00504B7D" w:rsidRPr="00A5046F">
        <w:t xml:space="preserve"> under section</w:t>
      </w:r>
      <w:r w:rsidR="00A5046F" w:rsidRPr="00A5046F">
        <w:t> </w:t>
      </w:r>
      <w:r w:rsidR="006611C9" w:rsidRPr="00A5046F">
        <w:t>18</w:t>
      </w:r>
      <w:r w:rsidR="00661A03" w:rsidRPr="00A5046F">
        <w:t xml:space="preserve"> to</w:t>
      </w:r>
      <w:r w:rsidR="00112FD7" w:rsidRPr="00A5046F">
        <w:t xml:space="preserve"> the accountable authority of</w:t>
      </w:r>
      <w:r w:rsidR="00661A03" w:rsidRPr="00A5046F">
        <w:t xml:space="preserve"> a relevant Commonwealth entity </w:t>
      </w:r>
      <w:r w:rsidR="00B5006C" w:rsidRPr="00A5046F">
        <w:t>about conduct</w:t>
      </w:r>
      <w:r w:rsidR="00661A03" w:rsidRPr="00A5046F">
        <w:t xml:space="preserve"> in relation to a procurement</w:t>
      </w:r>
      <w:r w:rsidR="00AF1F9A" w:rsidRPr="00A5046F">
        <w:t>; and</w:t>
      </w:r>
    </w:p>
    <w:p w:rsidR="00AF1F9A" w:rsidRPr="00A5046F" w:rsidRDefault="005C61FA" w:rsidP="00A5046F">
      <w:pPr>
        <w:pStyle w:val="paragraph"/>
      </w:pPr>
      <w:r w:rsidRPr="00A5046F">
        <w:tab/>
        <w:t>(b)</w:t>
      </w:r>
      <w:r w:rsidRPr="00A5046F">
        <w:tab/>
      </w:r>
      <w:r w:rsidR="00504B7D" w:rsidRPr="00A5046F">
        <w:t xml:space="preserve">when the complaint is made, </w:t>
      </w:r>
      <w:r w:rsidR="00AF1F9A" w:rsidRPr="00A5046F">
        <w:t>no public interest certificate is in force in relation to the procurement;</w:t>
      </w:r>
    </w:p>
    <w:p w:rsidR="00AF1F9A" w:rsidRPr="00A5046F" w:rsidRDefault="00661A03" w:rsidP="00A5046F">
      <w:pPr>
        <w:pStyle w:val="subsection2"/>
      </w:pPr>
      <w:r w:rsidRPr="00A5046F">
        <w:t xml:space="preserve">the </w:t>
      </w:r>
      <w:r w:rsidR="00112FD7" w:rsidRPr="00A5046F">
        <w:t>accountable authority</w:t>
      </w:r>
      <w:r w:rsidRPr="00A5046F">
        <w:t xml:space="preserve"> must suspend the procurement</w:t>
      </w:r>
      <w:r w:rsidR="00CE4E29" w:rsidRPr="00A5046F">
        <w:t xml:space="preserve"> </w:t>
      </w:r>
      <w:r w:rsidR="00504B7D" w:rsidRPr="00A5046F">
        <w:t>until</w:t>
      </w:r>
      <w:r w:rsidR="00BE11E1" w:rsidRPr="00A5046F">
        <w:t xml:space="preserve"> the earliest </w:t>
      </w:r>
      <w:r w:rsidR="00CE4E29" w:rsidRPr="00A5046F">
        <w:t>of the following times:</w:t>
      </w:r>
    </w:p>
    <w:p w:rsidR="00504B7D" w:rsidRPr="00A5046F" w:rsidRDefault="005C61FA" w:rsidP="00A5046F">
      <w:pPr>
        <w:pStyle w:val="paragraph"/>
      </w:pPr>
      <w:r w:rsidRPr="00A5046F">
        <w:tab/>
        <w:t>(c)</w:t>
      </w:r>
      <w:r w:rsidRPr="00A5046F">
        <w:tab/>
      </w:r>
      <w:r w:rsidR="00504B7D" w:rsidRPr="00A5046F">
        <w:t>if the supplier informs the accountable authority that the supplier considers the complaint to be resolved—the time</w:t>
      </w:r>
      <w:r w:rsidR="003F0404" w:rsidRPr="00A5046F">
        <w:t xml:space="preserve"> when</w:t>
      </w:r>
      <w:r w:rsidR="00504B7D" w:rsidRPr="00A5046F">
        <w:t xml:space="preserve"> the supplier so informs the accountable authority;</w:t>
      </w:r>
    </w:p>
    <w:p w:rsidR="00504B7D" w:rsidRPr="00A5046F" w:rsidRDefault="005C61FA" w:rsidP="00A5046F">
      <w:pPr>
        <w:pStyle w:val="paragraph"/>
      </w:pPr>
      <w:r w:rsidRPr="00A5046F">
        <w:tab/>
        <w:t>(d)</w:t>
      </w:r>
      <w:r w:rsidRPr="00A5046F">
        <w:tab/>
      </w:r>
      <w:r w:rsidR="00504B7D" w:rsidRPr="00A5046F">
        <w:t>if the supplier withdraws the complaint—the time when the supplier withdraws the complaint;</w:t>
      </w:r>
    </w:p>
    <w:p w:rsidR="00BF6BEE" w:rsidRPr="00A5046F" w:rsidRDefault="005C61FA" w:rsidP="00A5046F">
      <w:pPr>
        <w:pStyle w:val="paragraph"/>
      </w:pPr>
      <w:r w:rsidRPr="00A5046F">
        <w:tab/>
        <w:t>(e)</w:t>
      </w:r>
      <w:r w:rsidRPr="00A5046F">
        <w:tab/>
      </w:r>
      <w:r w:rsidR="00CE4E29" w:rsidRPr="00A5046F">
        <w:t xml:space="preserve">if </w:t>
      </w:r>
      <w:r w:rsidR="00BF6BEE" w:rsidRPr="00A5046F">
        <w:t xml:space="preserve">the </w:t>
      </w:r>
      <w:r w:rsidR="00112FD7" w:rsidRPr="00A5046F">
        <w:t>accountable authority</w:t>
      </w:r>
      <w:r w:rsidR="00BF6BEE" w:rsidRPr="00A5046F">
        <w:t xml:space="preserve"> issues a public interest certificate</w:t>
      </w:r>
      <w:r w:rsidR="00BE11E1" w:rsidRPr="00A5046F">
        <w:t xml:space="preserve"> in relation to the procurement</w:t>
      </w:r>
      <w:r w:rsidR="00CE4E29" w:rsidRPr="00A5046F">
        <w:t xml:space="preserve">—the time when the </w:t>
      </w:r>
      <w:r w:rsidR="00112FD7" w:rsidRPr="00A5046F">
        <w:t>accountable authority</w:t>
      </w:r>
      <w:r w:rsidR="00CE4E29" w:rsidRPr="00A5046F">
        <w:t xml:space="preserve"> issues the certificate</w:t>
      </w:r>
      <w:r w:rsidR="00BE11E1" w:rsidRPr="00A5046F">
        <w:t>;</w:t>
      </w:r>
    </w:p>
    <w:p w:rsidR="00A96188" w:rsidRPr="00A5046F" w:rsidRDefault="005C61FA" w:rsidP="00A5046F">
      <w:pPr>
        <w:pStyle w:val="paragraph"/>
      </w:pPr>
      <w:r w:rsidRPr="00A5046F">
        <w:tab/>
        <w:t>(f)</w:t>
      </w:r>
      <w:r w:rsidRPr="00A5046F">
        <w:tab/>
      </w:r>
      <w:r w:rsidR="00CE4E29" w:rsidRPr="00A5046F">
        <w:t>if</w:t>
      </w:r>
      <w:r w:rsidR="00A96188" w:rsidRPr="00A5046F">
        <w:t>,</w:t>
      </w:r>
      <w:r w:rsidR="003F0404" w:rsidRPr="00A5046F">
        <w:t xml:space="preserve"> </w:t>
      </w:r>
      <w:r w:rsidR="00A96188" w:rsidRPr="00A5046F">
        <w:t xml:space="preserve">in proceedings instituted in a court under this Act </w:t>
      </w:r>
      <w:r w:rsidR="00304494" w:rsidRPr="00A5046F">
        <w:t>in relation to the conduct</w:t>
      </w:r>
      <w:r w:rsidR="00A96188" w:rsidRPr="00A5046F">
        <w:t>, the court makes either of the following findings:</w:t>
      </w:r>
    </w:p>
    <w:p w:rsidR="00A96188" w:rsidRPr="00A5046F" w:rsidRDefault="00A96188" w:rsidP="00A5046F">
      <w:pPr>
        <w:pStyle w:val="paragraphsub"/>
      </w:pPr>
      <w:r w:rsidRPr="00A5046F">
        <w:tab/>
        <w:t>(i)</w:t>
      </w:r>
      <w:r w:rsidRPr="00A5046F">
        <w:tab/>
        <w:t>that the conduct was in contravention of the relevant Commonwealth Procurement Rules (so far as those rules relate to a covered procurement);</w:t>
      </w:r>
    </w:p>
    <w:p w:rsidR="00A96188" w:rsidRPr="00A5046F" w:rsidRDefault="00A96188" w:rsidP="00A5046F">
      <w:pPr>
        <w:pStyle w:val="paragraphsub"/>
      </w:pPr>
      <w:r w:rsidRPr="00A5046F">
        <w:tab/>
        <w:t>(ii)</w:t>
      </w:r>
      <w:r w:rsidRPr="00A5046F">
        <w:tab/>
        <w:t>that the conduct was not in contravention of the relevant Commonwealth Procurement Rules (so far as those rules relate to a covered procurement);</w:t>
      </w:r>
    </w:p>
    <w:p w:rsidR="00A96188" w:rsidRPr="00A5046F" w:rsidRDefault="00A96188" w:rsidP="00A5046F">
      <w:pPr>
        <w:pStyle w:val="paragraph"/>
      </w:pPr>
      <w:r w:rsidRPr="00A5046F">
        <w:tab/>
      </w:r>
      <w:r w:rsidRPr="00A5046F">
        <w:tab/>
        <w:t>the time when the court makes the finding concerned.</w:t>
      </w:r>
    </w:p>
    <w:p w:rsidR="00646776" w:rsidRPr="00A5046F" w:rsidRDefault="00536143" w:rsidP="00A5046F">
      <w:pPr>
        <w:pStyle w:val="ActHead2"/>
        <w:pageBreakBefore/>
      </w:pPr>
      <w:bookmarkStart w:id="26" w:name="_Toc527982103"/>
      <w:r w:rsidRPr="00A5046F">
        <w:rPr>
          <w:rStyle w:val="CharPartNo"/>
        </w:rPr>
        <w:t>Part</w:t>
      </w:r>
      <w:r w:rsidR="00A5046F" w:rsidRPr="00A5046F">
        <w:rPr>
          <w:rStyle w:val="CharPartNo"/>
        </w:rPr>
        <w:t> </w:t>
      </w:r>
      <w:r w:rsidR="00BC2D1C" w:rsidRPr="00A5046F">
        <w:rPr>
          <w:rStyle w:val="CharPartNo"/>
        </w:rPr>
        <w:t>5</w:t>
      </w:r>
      <w:r w:rsidR="00646776" w:rsidRPr="00A5046F">
        <w:t>—</w:t>
      </w:r>
      <w:r w:rsidR="00B4099B" w:rsidRPr="00A5046F">
        <w:rPr>
          <w:rStyle w:val="CharPartText"/>
        </w:rPr>
        <w:t>Miscellaneous</w:t>
      </w:r>
      <w:bookmarkEnd w:id="26"/>
    </w:p>
    <w:p w:rsidR="00646776" w:rsidRPr="00A5046F" w:rsidRDefault="00646776" w:rsidP="00A5046F">
      <w:pPr>
        <w:pStyle w:val="Header"/>
      </w:pPr>
      <w:r w:rsidRPr="00A5046F">
        <w:rPr>
          <w:rStyle w:val="CharDivNo"/>
        </w:rPr>
        <w:t xml:space="preserve"> </w:t>
      </w:r>
      <w:r w:rsidRPr="00A5046F">
        <w:rPr>
          <w:rStyle w:val="CharDivText"/>
        </w:rPr>
        <w:t xml:space="preserve"> </w:t>
      </w:r>
    </w:p>
    <w:p w:rsidR="00536143" w:rsidRPr="00A5046F" w:rsidRDefault="006611C9" w:rsidP="00A5046F">
      <w:pPr>
        <w:pStyle w:val="ActHead5"/>
      </w:pPr>
      <w:bookmarkStart w:id="27" w:name="_Toc527982104"/>
      <w:r w:rsidRPr="00A5046F">
        <w:rPr>
          <w:rStyle w:val="CharSectno"/>
        </w:rPr>
        <w:t>21</w:t>
      </w:r>
      <w:r w:rsidR="00536143" w:rsidRPr="00A5046F">
        <w:t xml:space="preserve">  Simplified outline of this Part</w:t>
      </w:r>
      <w:bookmarkEnd w:id="27"/>
    </w:p>
    <w:p w:rsidR="00452043" w:rsidRPr="00A5046F" w:rsidRDefault="00536143" w:rsidP="00A5046F">
      <w:pPr>
        <w:pStyle w:val="SOBullet"/>
      </w:pPr>
      <w:r w:rsidRPr="00A5046F">
        <w:t>•</w:t>
      </w:r>
      <w:r w:rsidRPr="00A5046F">
        <w:tab/>
      </w:r>
      <w:r w:rsidR="00452043" w:rsidRPr="00A5046F">
        <w:t>The accountable authority of a relevant Commonwealth entity may issue a public interest certificate in relation to a specified procurement.</w:t>
      </w:r>
    </w:p>
    <w:p w:rsidR="00536143" w:rsidRPr="00A5046F" w:rsidRDefault="00452043" w:rsidP="00A5046F">
      <w:pPr>
        <w:pStyle w:val="SOBullet"/>
      </w:pPr>
      <w:r w:rsidRPr="00A5046F">
        <w:t>•</w:t>
      </w:r>
      <w:r w:rsidRPr="00A5046F">
        <w:tab/>
      </w:r>
      <w:r w:rsidR="00536143" w:rsidRPr="00A5046F">
        <w:t xml:space="preserve">A contravention of </w:t>
      </w:r>
      <w:r w:rsidR="004F56DF" w:rsidRPr="00A5046F">
        <w:t xml:space="preserve">the </w:t>
      </w:r>
      <w:r w:rsidR="00536143" w:rsidRPr="00A5046F">
        <w:t>Commonwealth Procurement Rules does not affect the validity of a contract.</w:t>
      </w:r>
    </w:p>
    <w:p w:rsidR="005934B6" w:rsidRPr="00A5046F" w:rsidRDefault="006F20F9" w:rsidP="00A5046F">
      <w:pPr>
        <w:pStyle w:val="SOBullet"/>
      </w:pPr>
      <w:r w:rsidRPr="00A5046F">
        <w:t>•</w:t>
      </w:r>
      <w:r w:rsidR="005934B6" w:rsidRPr="00A5046F">
        <w:tab/>
      </w:r>
      <w:r w:rsidR="00EA25BB" w:rsidRPr="00A5046F">
        <w:t xml:space="preserve">The delegation provisions in the </w:t>
      </w:r>
      <w:r w:rsidR="00EA25BB" w:rsidRPr="00A5046F">
        <w:rPr>
          <w:i/>
        </w:rPr>
        <w:t xml:space="preserve">Public Governance, Performance and Accountability Act 2013 </w:t>
      </w:r>
      <w:r w:rsidR="00EA25BB" w:rsidRPr="00A5046F">
        <w:t>apply</w:t>
      </w:r>
      <w:r w:rsidR="00BA03CB" w:rsidRPr="00A5046F">
        <w:t xml:space="preserve"> in relation</w:t>
      </w:r>
      <w:r w:rsidR="00EA25BB" w:rsidRPr="00A5046F">
        <w:t xml:space="preserve"> to the </w:t>
      </w:r>
      <w:r w:rsidRPr="00A5046F">
        <w:t xml:space="preserve">functions and powers </w:t>
      </w:r>
      <w:r w:rsidR="00A96188" w:rsidRPr="00A5046F">
        <w:t>conferred on the accountable authority of a non</w:t>
      </w:r>
      <w:r w:rsidR="001A68FD">
        <w:noBreakHyphen/>
      </w:r>
      <w:r w:rsidR="00A96188" w:rsidRPr="00A5046F">
        <w:t>corporate Commonwealth entity by this Act.</w:t>
      </w:r>
    </w:p>
    <w:p w:rsidR="003B0A94" w:rsidRPr="00A5046F" w:rsidRDefault="003B0A94" w:rsidP="00A5046F">
      <w:pPr>
        <w:pStyle w:val="SOBullet"/>
      </w:pPr>
      <w:r w:rsidRPr="00A5046F">
        <w:t>•</w:t>
      </w:r>
      <w:r w:rsidRPr="00A5046F">
        <w:tab/>
      </w:r>
      <w:r w:rsidR="00E742B7" w:rsidRPr="00A5046F">
        <w:t>Parts</w:t>
      </w:r>
      <w:r w:rsidR="00A5046F" w:rsidRPr="00A5046F">
        <w:t> </w:t>
      </w:r>
      <w:r w:rsidR="00E742B7" w:rsidRPr="00A5046F">
        <w:t>2</w:t>
      </w:r>
      <w:r w:rsidR="00B02265" w:rsidRPr="00A5046F">
        <w:t>, 3</w:t>
      </w:r>
      <w:r w:rsidR="00BC2D1C" w:rsidRPr="00A5046F">
        <w:t xml:space="preserve"> and 4</w:t>
      </w:r>
      <w:r w:rsidR="00E742B7" w:rsidRPr="00A5046F">
        <w:t xml:space="preserve"> do not</w:t>
      </w:r>
      <w:r w:rsidRPr="00A5046F">
        <w:t xml:space="preserve"> apply to a contravention of the </w:t>
      </w:r>
      <w:r w:rsidR="00AF7FE6" w:rsidRPr="00A5046F">
        <w:t>relevant Commonwealth Procurement Rules</w:t>
      </w:r>
      <w:r w:rsidRPr="00A5046F">
        <w:t xml:space="preserve"> that occurred before the commencement o</w:t>
      </w:r>
      <w:r w:rsidR="00A96188" w:rsidRPr="00A5046F">
        <w:t>f this Act</w:t>
      </w:r>
      <w:r w:rsidRPr="00A5046F">
        <w:t>.</w:t>
      </w:r>
    </w:p>
    <w:p w:rsidR="00EF2827" w:rsidRPr="00A5046F" w:rsidRDefault="006611C9" w:rsidP="00A5046F">
      <w:pPr>
        <w:pStyle w:val="ActHead5"/>
      </w:pPr>
      <w:bookmarkStart w:id="28" w:name="_Toc527982105"/>
      <w:r w:rsidRPr="00A5046F">
        <w:rPr>
          <w:rStyle w:val="CharSectno"/>
        </w:rPr>
        <w:t>22</w:t>
      </w:r>
      <w:r w:rsidR="00EF2827" w:rsidRPr="00A5046F">
        <w:t xml:space="preserve">  Public interest certificate</w:t>
      </w:r>
      <w:bookmarkEnd w:id="28"/>
    </w:p>
    <w:p w:rsidR="00EF2827" w:rsidRPr="00A5046F" w:rsidRDefault="00EF2827" w:rsidP="00A5046F">
      <w:pPr>
        <w:pStyle w:val="subsection"/>
      </w:pPr>
      <w:r w:rsidRPr="00A5046F">
        <w:tab/>
        <w:t>(1)</w:t>
      </w:r>
      <w:r w:rsidRPr="00A5046F">
        <w:tab/>
        <w:t xml:space="preserve">The accountable authority of a relevant Commonwealth entity may issue a written certificate stating that it is not in the public interest for a specified procurement by the entity to be </w:t>
      </w:r>
      <w:r w:rsidR="006611C9" w:rsidRPr="00A5046F">
        <w:t>suspended while</w:t>
      </w:r>
      <w:r w:rsidRPr="00A5046F">
        <w:t>:</w:t>
      </w:r>
    </w:p>
    <w:p w:rsidR="00EF2827" w:rsidRPr="00A5046F" w:rsidRDefault="00EF2827" w:rsidP="00A5046F">
      <w:pPr>
        <w:pStyle w:val="paragraph"/>
      </w:pPr>
      <w:r w:rsidRPr="00A5046F">
        <w:tab/>
        <w:t>(a)</w:t>
      </w:r>
      <w:r w:rsidRPr="00A5046F">
        <w:tab/>
        <w:t>applications for injunctions under</w:t>
      </w:r>
      <w:r w:rsidR="000D6EE2" w:rsidRPr="00A5046F">
        <w:t xml:space="preserve"> Part</w:t>
      </w:r>
      <w:r w:rsidR="00A5046F" w:rsidRPr="00A5046F">
        <w:t> </w:t>
      </w:r>
      <w:r w:rsidR="000D6EE2" w:rsidRPr="00A5046F">
        <w:t>2</w:t>
      </w:r>
      <w:r w:rsidR="006611C9" w:rsidRPr="00A5046F">
        <w:t xml:space="preserve"> are being considered</w:t>
      </w:r>
      <w:r w:rsidRPr="00A5046F">
        <w:t>; or</w:t>
      </w:r>
    </w:p>
    <w:p w:rsidR="00EF2827" w:rsidRPr="00A5046F" w:rsidRDefault="00EF2827" w:rsidP="00A5046F">
      <w:pPr>
        <w:pStyle w:val="paragraph"/>
      </w:pPr>
      <w:r w:rsidRPr="00A5046F">
        <w:tab/>
        <w:t>(b)</w:t>
      </w:r>
      <w:r w:rsidRPr="00A5046F">
        <w:tab/>
        <w:t>complaints under section</w:t>
      </w:r>
      <w:r w:rsidR="00A5046F" w:rsidRPr="00A5046F">
        <w:t> </w:t>
      </w:r>
      <w:r w:rsidR="006611C9" w:rsidRPr="00A5046F">
        <w:t>18 are being investigated</w:t>
      </w:r>
      <w:r w:rsidRPr="00A5046F">
        <w:t>.</w:t>
      </w:r>
    </w:p>
    <w:p w:rsidR="00EF2827" w:rsidRPr="00A5046F" w:rsidRDefault="00EF2827" w:rsidP="00A5046F">
      <w:pPr>
        <w:pStyle w:val="subsection"/>
      </w:pPr>
      <w:r w:rsidRPr="00A5046F">
        <w:tab/>
        <w:t>(2)</w:t>
      </w:r>
      <w:r w:rsidRPr="00A5046F">
        <w:tab/>
        <w:t xml:space="preserve">A certificate issued under </w:t>
      </w:r>
      <w:r w:rsidR="00A5046F" w:rsidRPr="00A5046F">
        <w:t>subsection (</w:t>
      </w:r>
      <w:r w:rsidRPr="00A5046F">
        <w:t xml:space="preserve">1) is to be known as a </w:t>
      </w:r>
      <w:r w:rsidRPr="00A5046F">
        <w:rPr>
          <w:b/>
          <w:i/>
        </w:rPr>
        <w:t>public interest certificate</w:t>
      </w:r>
      <w:r w:rsidRPr="00A5046F">
        <w:t>.</w:t>
      </w:r>
    </w:p>
    <w:p w:rsidR="00427B2D" w:rsidRPr="00A5046F" w:rsidRDefault="006611C9" w:rsidP="00A5046F">
      <w:pPr>
        <w:pStyle w:val="ActHead5"/>
      </w:pPr>
      <w:bookmarkStart w:id="29" w:name="_Toc527982106"/>
      <w:r w:rsidRPr="00A5046F">
        <w:rPr>
          <w:rStyle w:val="CharSectno"/>
        </w:rPr>
        <w:t>23</w:t>
      </w:r>
      <w:r w:rsidR="00427B2D" w:rsidRPr="00A5046F">
        <w:t xml:space="preserve">  Contravention of </w:t>
      </w:r>
      <w:r w:rsidR="004F56DF" w:rsidRPr="00A5046F">
        <w:t xml:space="preserve">the </w:t>
      </w:r>
      <w:r w:rsidR="00427B2D" w:rsidRPr="00A5046F">
        <w:t>Commonwealth Procurement Rules does not affect the validity of a contract</w:t>
      </w:r>
      <w:bookmarkEnd w:id="29"/>
    </w:p>
    <w:p w:rsidR="00427B2D" w:rsidRPr="00A5046F" w:rsidRDefault="00427B2D" w:rsidP="00A5046F">
      <w:pPr>
        <w:pStyle w:val="subsection"/>
      </w:pPr>
      <w:r w:rsidRPr="00A5046F">
        <w:tab/>
      </w:r>
      <w:r w:rsidR="0017211E" w:rsidRPr="00A5046F">
        <w:t>(1)</w:t>
      </w:r>
      <w:r w:rsidRPr="00A5046F">
        <w:tab/>
        <w:t xml:space="preserve">A contravention of </w:t>
      </w:r>
      <w:r w:rsidR="004F56DF" w:rsidRPr="00A5046F">
        <w:t xml:space="preserve">the </w:t>
      </w:r>
      <w:r w:rsidRPr="00A5046F">
        <w:t>Commonwealth Procurement Rules does not affect the validity of a contract.</w:t>
      </w:r>
    </w:p>
    <w:p w:rsidR="0017211E" w:rsidRPr="00A5046F" w:rsidRDefault="0017211E" w:rsidP="00A5046F">
      <w:pPr>
        <w:pStyle w:val="subsection"/>
      </w:pPr>
      <w:r w:rsidRPr="00A5046F">
        <w:tab/>
        <w:t>(2)</w:t>
      </w:r>
      <w:r w:rsidRPr="00A5046F">
        <w:tab/>
        <w:t xml:space="preserve">For the purposes of </w:t>
      </w:r>
      <w:r w:rsidR="00A5046F" w:rsidRPr="00A5046F">
        <w:t>subsection (</w:t>
      </w:r>
      <w:r w:rsidRPr="00A5046F">
        <w:t>1), it is immaterial whether the contravention occurred before, at or after the comme</w:t>
      </w:r>
      <w:r w:rsidR="00A96188" w:rsidRPr="00A5046F">
        <w:t>ncement of this Act</w:t>
      </w:r>
      <w:r w:rsidRPr="00A5046F">
        <w:t>.</w:t>
      </w:r>
    </w:p>
    <w:p w:rsidR="005934B6" w:rsidRPr="00A5046F" w:rsidRDefault="006611C9" w:rsidP="00A5046F">
      <w:pPr>
        <w:pStyle w:val="ActHead5"/>
      </w:pPr>
      <w:bookmarkStart w:id="30" w:name="_Toc527982107"/>
      <w:r w:rsidRPr="00A5046F">
        <w:rPr>
          <w:rStyle w:val="CharSectno"/>
        </w:rPr>
        <w:t>24</w:t>
      </w:r>
      <w:r w:rsidR="005934B6" w:rsidRPr="00A5046F">
        <w:t xml:space="preserve">  Delegation by accountable authority</w:t>
      </w:r>
      <w:bookmarkEnd w:id="30"/>
    </w:p>
    <w:p w:rsidR="005934B6" w:rsidRPr="00A5046F" w:rsidRDefault="005934B6" w:rsidP="00A5046F">
      <w:pPr>
        <w:pStyle w:val="subsection"/>
      </w:pPr>
      <w:r w:rsidRPr="00A5046F">
        <w:tab/>
      </w:r>
      <w:r w:rsidRPr="00A5046F">
        <w:tab/>
        <w:t>Section</w:t>
      </w:r>
      <w:r w:rsidR="00A5046F" w:rsidRPr="00A5046F">
        <w:t> </w:t>
      </w:r>
      <w:r w:rsidRPr="00A5046F">
        <w:t xml:space="preserve">110 of the </w:t>
      </w:r>
      <w:r w:rsidRPr="00A5046F">
        <w:rPr>
          <w:i/>
        </w:rPr>
        <w:t>Public Governance, Performance and Accountability Act 2013</w:t>
      </w:r>
      <w:r w:rsidRPr="00A5046F">
        <w:t xml:space="preserve"> has effect as if the functions and powers conferred on the accountable authority of a non</w:t>
      </w:r>
      <w:r w:rsidR="001A68FD">
        <w:noBreakHyphen/>
      </w:r>
      <w:r w:rsidRPr="00A5046F">
        <w:t>corporate Commonwealth entity by this Act were functions or powers conferred by that Act.</w:t>
      </w:r>
    </w:p>
    <w:p w:rsidR="003B0A94" w:rsidRPr="00A5046F" w:rsidRDefault="006611C9" w:rsidP="00A5046F">
      <w:pPr>
        <w:pStyle w:val="ActHead5"/>
      </w:pPr>
      <w:bookmarkStart w:id="31" w:name="_Toc527982108"/>
      <w:r w:rsidRPr="00A5046F">
        <w:rPr>
          <w:rStyle w:val="CharSectno"/>
        </w:rPr>
        <w:t>25</w:t>
      </w:r>
      <w:r w:rsidR="003B0A94" w:rsidRPr="00A5046F">
        <w:t xml:space="preserve">  Transitional</w:t>
      </w:r>
      <w:bookmarkEnd w:id="31"/>
    </w:p>
    <w:p w:rsidR="001A68FD" w:rsidRDefault="00E742B7" w:rsidP="00A5046F">
      <w:pPr>
        <w:pStyle w:val="subsection"/>
      </w:pPr>
      <w:r w:rsidRPr="00A5046F">
        <w:tab/>
      </w:r>
      <w:r w:rsidRPr="00A5046F">
        <w:tab/>
        <w:t>Parts</w:t>
      </w:r>
      <w:r w:rsidR="00A5046F" w:rsidRPr="00A5046F">
        <w:t> </w:t>
      </w:r>
      <w:r w:rsidR="00B02265" w:rsidRPr="00A5046F">
        <w:t>2,</w:t>
      </w:r>
      <w:r w:rsidRPr="00A5046F">
        <w:t xml:space="preserve"> 3</w:t>
      </w:r>
      <w:r w:rsidR="00BC2D1C" w:rsidRPr="00A5046F">
        <w:t xml:space="preserve"> and 4</w:t>
      </w:r>
      <w:r w:rsidRPr="00A5046F">
        <w:t xml:space="preserve"> do</w:t>
      </w:r>
      <w:r w:rsidR="003B0A94" w:rsidRPr="00A5046F">
        <w:t xml:space="preserve"> not apply to a contravention of the </w:t>
      </w:r>
      <w:r w:rsidR="00AF7FE6" w:rsidRPr="00A5046F">
        <w:t>relevant Commonwealth Procurement Rules</w:t>
      </w:r>
      <w:r w:rsidR="003B0A94" w:rsidRPr="00A5046F">
        <w:t xml:space="preserve"> that occurred before </w:t>
      </w:r>
      <w:r w:rsidR="00A96188" w:rsidRPr="00A5046F">
        <w:t>the commencement of this Act</w:t>
      </w:r>
      <w:r w:rsidR="003B0A94" w:rsidRPr="00A5046F">
        <w:t>.</w:t>
      </w:r>
    </w:p>
    <w:p w:rsidR="00556A28" w:rsidRDefault="00556A28" w:rsidP="00556A28"/>
    <w:p w:rsidR="00556A28" w:rsidRDefault="00556A28" w:rsidP="00556A28">
      <w:pPr>
        <w:pStyle w:val="AssentBk"/>
        <w:keepNext/>
      </w:pPr>
    </w:p>
    <w:p w:rsidR="00556A28" w:rsidRDefault="00556A28" w:rsidP="00556A28">
      <w:pPr>
        <w:pStyle w:val="AssentBk"/>
        <w:keepNext/>
      </w:pPr>
    </w:p>
    <w:p w:rsidR="00556A28" w:rsidRDefault="00556A28" w:rsidP="00556A28">
      <w:pPr>
        <w:pStyle w:val="2ndRd"/>
        <w:keepNext/>
        <w:pBdr>
          <w:top w:val="single" w:sz="2" w:space="1" w:color="auto"/>
        </w:pBdr>
      </w:pPr>
    </w:p>
    <w:p w:rsidR="00556A28" w:rsidRDefault="00556A28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556A28" w:rsidRDefault="00556A28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25 May 2017</w:t>
      </w:r>
    </w:p>
    <w:p w:rsidR="00556A28" w:rsidRDefault="00556A28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20 September 2018</w:t>
      </w:r>
      <w:r>
        <w:t>]</w:t>
      </w:r>
    </w:p>
    <w:p w:rsidR="00556A28" w:rsidRDefault="00556A28" w:rsidP="000C5962"/>
    <w:p w:rsidR="00556A28" w:rsidRPr="00FC7290" w:rsidRDefault="00556A28" w:rsidP="00556A28">
      <w:pPr>
        <w:framePr w:hSpace="180" w:wrap="around" w:vAnchor="text" w:hAnchor="page" w:x="2341" w:y="2277"/>
      </w:pPr>
      <w:r>
        <w:t>(89/17)</w:t>
      </w:r>
    </w:p>
    <w:p w:rsidR="00556A28" w:rsidRDefault="00556A28"/>
    <w:sectPr w:rsidR="00556A28" w:rsidSect="00FC729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238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E0C" w:rsidRDefault="00253E0C" w:rsidP="00715914">
      <w:pPr>
        <w:spacing w:line="240" w:lineRule="auto"/>
      </w:pPr>
      <w:r>
        <w:separator/>
      </w:r>
    </w:p>
  </w:endnote>
  <w:endnote w:type="continuationSeparator" w:id="0">
    <w:p w:rsidR="00253E0C" w:rsidRDefault="00253E0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0C" w:rsidRPr="005F1388" w:rsidRDefault="00253E0C" w:rsidP="00A5046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A28" w:rsidRDefault="00556A28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556A28" w:rsidRDefault="00556A28" w:rsidP="00CD12A5"/>
  <w:p w:rsidR="00253E0C" w:rsidRDefault="00253E0C" w:rsidP="00A5046F">
    <w:pPr>
      <w:pStyle w:val="Footer"/>
      <w:spacing w:before="120"/>
    </w:pPr>
  </w:p>
  <w:p w:rsidR="00253E0C" w:rsidRPr="005F1388" w:rsidRDefault="00253E0C" w:rsidP="00857780">
    <w:pPr>
      <w:pStyle w:val="Footer"/>
      <w:tabs>
        <w:tab w:val="clear" w:pos="4153"/>
        <w:tab w:val="clear" w:pos="8306"/>
        <w:tab w:val="center" w:pos="4150"/>
        <w:tab w:val="right" w:pos="8307"/>
      </w:tabs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0C" w:rsidRPr="00ED79B6" w:rsidRDefault="00253E0C" w:rsidP="00A5046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0C" w:rsidRDefault="00253E0C" w:rsidP="00A5046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253E0C" w:rsidTr="00253E0C">
      <w:tc>
        <w:tcPr>
          <w:tcW w:w="646" w:type="dxa"/>
        </w:tcPr>
        <w:p w:rsidR="00253E0C" w:rsidRDefault="00253E0C" w:rsidP="00253E0C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32742">
            <w:rPr>
              <w:i/>
              <w:noProof/>
              <w:sz w:val="18"/>
            </w:rPr>
            <w:t>xvii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53E0C" w:rsidRDefault="00253E0C" w:rsidP="00253E0C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32742">
            <w:rPr>
              <w:i/>
              <w:sz w:val="18"/>
            </w:rPr>
            <w:t>Government Procurement (Judicial Review)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253E0C" w:rsidRDefault="00253E0C" w:rsidP="00253E0C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32742">
            <w:rPr>
              <w:i/>
              <w:sz w:val="18"/>
            </w:rPr>
            <w:t>No. 129, 2018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53E0C" w:rsidRPr="00ED79B6" w:rsidRDefault="00253E0C" w:rsidP="0085778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0C" w:rsidRPr="00ED79B6" w:rsidRDefault="00253E0C" w:rsidP="00A5046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53E0C" w:rsidTr="00253E0C">
      <w:tc>
        <w:tcPr>
          <w:tcW w:w="1247" w:type="dxa"/>
        </w:tcPr>
        <w:p w:rsidR="00253E0C" w:rsidRDefault="00253E0C" w:rsidP="00253E0C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832742">
            <w:rPr>
              <w:i/>
              <w:sz w:val="18"/>
            </w:rPr>
            <w:t>No. 129,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53E0C" w:rsidRDefault="00253E0C" w:rsidP="00253E0C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832742">
            <w:rPr>
              <w:i/>
              <w:sz w:val="18"/>
            </w:rPr>
            <w:t>Government Procurement (Judicial Review) Act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253E0C" w:rsidRDefault="00253E0C" w:rsidP="00253E0C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E0B2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53E0C" w:rsidRPr="00ED79B6" w:rsidRDefault="00253E0C" w:rsidP="00857780">
    <w:pPr>
      <w:jc w:val="right"/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0C" w:rsidRDefault="00253E0C" w:rsidP="00A5046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253E0C" w:rsidTr="00A5046F">
      <w:tc>
        <w:tcPr>
          <w:tcW w:w="646" w:type="dxa"/>
        </w:tcPr>
        <w:p w:rsidR="00253E0C" w:rsidRDefault="00253E0C" w:rsidP="00253E0C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5E0B2A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53E0C" w:rsidRDefault="00253E0C" w:rsidP="00253E0C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32742">
            <w:rPr>
              <w:i/>
              <w:sz w:val="18"/>
            </w:rPr>
            <w:t>Government Procurement (Judicial Review)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253E0C" w:rsidRDefault="00253E0C" w:rsidP="00253E0C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32742">
            <w:rPr>
              <w:i/>
              <w:sz w:val="18"/>
            </w:rPr>
            <w:t>No. 129,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253E0C" w:rsidRPr="007A1328" w:rsidRDefault="00253E0C" w:rsidP="00857780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0C" w:rsidRDefault="00253E0C" w:rsidP="00A5046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53E0C" w:rsidTr="00A5046F">
      <w:tc>
        <w:tcPr>
          <w:tcW w:w="1247" w:type="dxa"/>
        </w:tcPr>
        <w:p w:rsidR="00253E0C" w:rsidRDefault="00253E0C" w:rsidP="00253E0C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32742">
            <w:rPr>
              <w:i/>
              <w:sz w:val="18"/>
            </w:rPr>
            <w:t>No. 129,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53E0C" w:rsidRDefault="00253E0C" w:rsidP="00253E0C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32742">
            <w:rPr>
              <w:i/>
              <w:sz w:val="18"/>
            </w:rPr>
            <w:t>Government Procurement (Judicial Review)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253E0C" w:rsidRDefault="00253E0C" w:rsidP="00253E0C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5E0B2A">
            <w:rPr>
              <w:i/>
              <w:noProof/>
              <w:sz w:val="18"/>
            </w:rPr>
            <w:t>17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253E0C" w:rsidRPr="007A1328" w:rsidRDefault="00253E0C" w:rsidP="00857780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0C" w:rsidRDefault="00253E0C" w:rsidP="00A5046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53E0C" w:rsidTr="00A5046F">
      <w:tc>
        <w:tcPr>
          <w:tcW w:w="1247" w:type="dxa"/>
        </w:tcPr>
        <w:p w:rsidR="00253E0C" w:rsidRDefault="00253E0C" w:rsidP="00253E0C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832742">
            <w:rPr>
              <w:i/>
              <w:sz w:val="18"/>
            </w:rPr>
            <w:t>No. 129,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253E0C" w:rsidRDefault="00253E0C" w:rsidP="00253E0C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832742">
            <w:rPr>
              <w:i/>
              <w:sz w:val="18"/>
            </w:rPr>
            <w:t>Government Procurement (Judicial Review) Act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253E0C" w:rsidRDefault="00253E0C" w:rsidP="00253E0C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5E0B2A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253E0C" w:rsidRPr="007A1328" w:rsidRDefault="00253E0C" w:rsidP="0085778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E0C" w:rsidRDefault="00253E0C" w:rsidP="00715914">
      <w:pPr>
        <w:spacing w:line="240" w:lineRule="auto"/>
      </w:pPr>
      <w:r>
        <w:separator/>
      </w:r>
    </w:p>
  </w:footnote>
  <w:footnote w:type="continuationSeparator" w:id="0">
    <w:p w:rsidR="00253E0C" w:rsidRDefault="00253E0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0C" w:rsidRPr="005F1388" w:rsidRDefault="00253E0C" w:rsidP="00857780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0C" w:rsidRPr="005F1388" w:rsidRDefault="00253E0C" w:rsidP="00857780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0C" w:rsidRPr="005F1388" w:rsidRDefault="00253E0C" w:rsidP="00857780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0C" w:rsidRPr="00ED79B6" w:rsidRDefault="00253E0C" w:rsidP="00857780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0C" w:rsidRPr="00ED79B6" w:rsidRDefault="00253E0C" w:rsidP="00857780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0C" w:rsidRPr="00ED79B6" w:rsidRDefault="00253E0C" w:rsidP="00857780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0C" w:rsidRDefault="00253E0C" w:rsidP="00857780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253E0C" w:rsidRDefault="00253E0C" w:rsidP="00857780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5E0B2A">
      <w:rPr>
        <w:b/>
        <w:noProof/>
        <w:sz w:val="20"/>
      </w:rPr>
      <w:t>Part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5E0B2A">
      <w:rPr>
        <w:noProof/>
        <w:sz w:val="20"/>
      </w:rPr>
      <w:t>Preliminary</w:t>
    </w:r>
    <w:r>
      <w:rPr>
        <w:sz w:val="20"/>
      </w:rPr>
      <w:fldChar w:fldCharType="end"/>
    </w:r>
  </w:p>
  <w:p w:rsidR="00253E0C" w:rsidRPr="007A1328" w:rsidRDefault="00253E0C" w:rsidP="00857780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253E0C" w:rsidRPr="007A1328" w:rsidRDefault="00253E0C" w:rsidP="00857780">
    <w:pPr>
      <w:rPr>
        <w:b/>
        <w:sz w:val="24"/>
      </w:rPr>
    </w:pPr>
  </w:p>
  <w:p w:rsidR="00253E0C" w:rsidRPr="007A1328" w:rsidRDefault="00253E0C" w:rsidP="00857780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E0B2A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0C" w:rsidRPr="007A1328" w:rsidRDefault="00253E0C" w:rsidP="00857780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253E0C" w:rsidRPr="007A1328" w:rsidRDefault="00253E0C" w:rsidP="00857780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5E0B2A">
      <w:rPr>
        <w:noProof/>
        <w:sz w:val="20"/>
      </w:rPr>
      <w:t>Miscellaneous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5E0B2A">
      <w:rPr>
        <w:b/>
        <w:noProof/>
        <w:sz w:val="20"/>
      </w:rPr>
      <w:t>Part 5</w:t>
    </w:r>
    <w:r>
      <w:rPr>
        <w:b/>
        <w:sz w:val="20"/>
      </w:rPr>
      <w:fldChar w:fldCharType="end"/>
    </w:r>
  </w:p>
  <w:p w:rsidR="00253E0C" w:rsidRPr="007A1328" w:rsidRDefault="00253E0C" w:rsidP="00857780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253E0C" w:rsidRPr="007A1328" w:rsidRDefault="00253E0C" w:rsidP="00857780">
    <w:pPr>
      <w:jc w:val="right"/>
      <w:rPr>
        <w:b/>
        <w:sz w:val="24"/>
      </w:rPr>
    </w:pPr>
  </w:p>
  <w:p w:rsidR="00253E0C" w:rsidRPr="007A1328" w:rsidRDefault="00253E0C" w:rsidP="00857780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5E0B2A">
      <w:rPr>
        <w:noProof/>
        <w:sz w:val="24"/>
      </w:rPr>
      <w:t>23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E0C" w:rsidRPr="007A1328" w:rsidRDefault="00253E0C" w:rsidP="008577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C643C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E833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DA8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3E2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76C55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C888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A8D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7452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A67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E2C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FCCDE0F-072A-41E6-8B45-7C506457ECBA}"/>
    <w:docVar w:name="dgnword-eventsink" w:val="82143520"/>
  </w:docVars>
  <w:rsids>
    <w:rsidRoot w:val="00A34EBD"/>
    <w:rsid w:val="00003166"/>
    <w:rsid w:val="0001280E"/>
    <w:rsid w:val="000136AF"/>
    <w:rsid w:val="00021126"/>
    <w:rsid w:val="0003377B"/>
    <w:rsid w:val="00052671"/>
    <w:rsid w:val="000567F2"/>
    <w:rsid w:val="000614BF"/>
    <w:rsid w:val="00076C74"/>
    <w:rsid w:val="000873EE"/>
    <w:rsid w:val="00087D46"/>
    <w:rsid w:val="00094328"/>
    <w:rsid w:val="000A556A"/>
    <w:rsid w:val="000C0F0F"/>
    <w:rsid w:val="000D05EF"/>
    <w:rsid w:val="000D0EB7"/>
    <w:rsid w:val="000D57AB"/>
    <w:rsid w:val="000D6EE2"/>
    <w:rsid w:val="000E2261"/>
    <w:rsid w:val="000E3F92"/>
    <w:rsid w:val="000F21C1"/>
    <w:rsid w:val="00103E31"/>
    <w:rsid w:val="0010745C"/>
    <w:rsid w:val="00112FD7"/>
    <w:rsid w:val="00122FE1"/>
    <w:rsid w:val="0013072E"/>
    <w:rsid w:val="00132F27"/>
    <w:rsid w:val="001464BD"/>
    <w:rsid w:val="00147D62"/>
    <w:rsid w:val="00153FCC"/>
    <w:rsid w:val="00157865"/>
    <w:rsid w:val="00166C2F"/>
    <w:rsid w:val="001671E9"/>
    <w:rsid w:val="0017211E"/>
    <w:rsid w:val="001936DB"/>
    <w:rsid w:val="001939E1"/>
    <w:rsid w:val="00195382"/>
    <w:rsid w:val="001A3C78"/>
    <w:rsid w:val="001A45D5"/>
    <w:rsid w:val="001A68FD"/>
    <w:rsid w:val="001B782B"/>
    <w:rsid w:val="001C1159"/>
    <w:rsid w:val="001C236E"/>
    <w:rsid w:val="001C5484"/>
    <w:rsid w:val="001C69C4"/>
    <w:rsid w:val="001D11E9"/>
    <w:rsid w:val="001D37EF"/>
    <w:rsid w:val="001E3590"/>
    <w:rsid w:val="001E7407"/>
    <w:rsid w:val="001E7F6E"/>
    <w:rsid w:val="001F0324"/>
    <w:rsid w:val="001F5D5E"/>
    <w:rsid w:val="001F6219"/>
    <w:rsid w:val="00204748"/>
    <w:rsid w:val="002065DA"/>
    <w:rsid w:val="00212DDD"/>
    <w:rsid w:val="002269FF"/>
    <w:rsid w:val="0024010F"/>
    <w:rsid w:val="00240749"/>
    <w:rsid w:val="00244E25"/>
    <w:rsid w:val="00253E0C"/>
    <w:rsid w:val="002564A4"/>
    <w:rsid w:val="00277EAE"/>
    <w:rsid w:val="00297ECB"/>
    <w:rsid w:val="002A47FA"/>
    <w:rsid w:val="002A5994"/>
    <w:rsid w:val="002B332C"/>
    <w:rsid w:val="002B6F7E"/>
    <w:rsid w:val="002D043A"/>
    <w:rsid w:val="002D1446"/>
    <w:rsid w:val="002D6224"/>
    <w:rsid w:val="002F3096"/>
    <w:rsid w:val="00304494"/>
    <w:rsid w:val="003147B2"/>
    <w:rsid w:val="00314D5D"/>
    <w:rsid w:val="003213F0"/>
    <w:rsid w:val="00324BDF"/>
    <w:rsid w:val="0032591D"/>
    <w:rsid w:val="003277BF"/>
    <w:rsid w:val="003304A9"/>
    <w:rsid w:val="00330595"/>
    <w:rsid w:val="00340F07"/>
    <w:rsid w:val="003415D3"/>
    <w:rsid w:val="0034382B"/>
    <w:rsid w:val="00352B0F"/>
    <w:rsid w:val="00355469"/>
    <w:rsid w:val="00356B3D"/>
    <w:rsid w:val="00360459"/>
    <w:rsid w:val="00364EFF"/>
    <w:rsid w:val="0036694F"/>
    <w:rsid w:val="00374B0A"/>
    <w:rsid w:val="003875DB"/>
    <w:rsid w:val="003B0A94"/>
    <w:rsid w:val="003B0BDD"/>
    <w:rsid w:val="003D0BFE"/>
    <w:rsid w:val="003D5700"/>
    <w:rsid w:val="003F0404"/>
    <w:rsid w:val="003F621D"/>
    <w:rsid w:val="003F66D5"/>
    <w:rsid w:val="00410A84"/>
    <w:rsid w:val="004116CD"/>
    <w:rsid w:val="00414B3D"/>
    <w:rsid w:val="004172DA"/>
    <w:rsid w:val="00417EB9"/>
    <w:rsid w:val="00424CA9"/>
    <w:rsid w:val="00427B2D"/>
    <w:rsid w:val="00431A1F"/>
    <w:rsid w:val="0044291A"/>
    <w:rsid w:val="004511D0"/>
    <w:rsid w:val="00452043"/>
    <w:rsid w:val="00463233"/>
    <w:rsid w:val="00463EC0"/>
    <w:rsid w:val="0046601D"/>
    <w:rsid w:val="004678E8"/>
    <w:rsid w:val="00477FB9"/>
    <w:rsid w:val="00481861"/>
    <w:rsid w:val="0048585C"/>
    <w:rsid w:val="00496F97"/>
    <w:rsid w:val="004A7C56"/>
    <w:rsid w:val="004B38C1"/>
    <w:rsid w:val="004C525F"/>
    <w:rsid w:val="004E11CC"/>
    <w:rsid w:val="004E6C26"/>
    <w:rsid w:val="004E7BEC"/>
    <w:rsid w:val="004F56DF"/>
    <w:rsid w:val="00502192"/>
    <w:rsid w:val="00504B7D"/>
    <w:rsid w:val="00516B8D"/>
    <w:rsid w:val="00521DE9"/>
    <w:rsid w:val="00530183"/>
    <w:rsid w:val="00536143"/>
    <w:rsid w:val="00537FBC"/>
    <w:rsid w:val="0054178C"/>
    <w:rsid w:val="00541E2B"/>
    <w:rsid w:val="00544776"/>
    <w:rsid w:val="00555866"/>
    <w:rsid w:val="00556A28"/>
    <w:rsid w:val="00580B11"/>
    <w:rsid w:val="00584811"/>
    <w:rsid w:val="005934B6"/>
    <w:rsid w:val="00593AA6"/>
    <w:rsid w:val="00594161"/>
    <w:rsid w:val="00594749"/>
    <w:rsid w:val="005A0E72"/>
    <w:rsid w:val="005A6928"/>
    <w:rsid w:val="005B19EB"/>
    <w:rsid w:val="005B4067"/>
    <w:rsid w:val="005C2289"/>
    <w:rsid w:val="005C3F41"/>
    <w:rsid w:val="005C61FA"/>
    <w:rsid w:val="005C7DF8"/>
    <w:rsid w:val="005D4663"/>
    <w:rsid w:val="005D7042"/>
    <w:rsid w:val="005D74DB"/>
    <w:rsid w:val="005E0B2A"/>
    <w:rsid w:val="005F0A35"/>
    <w:rsid w:val="00600219"/>
    <w:rsid w:val="00601309"/>
    <w:rsid w:val="00602388"/>
    <w:rsid w:val="0060438C"/>
    <w:rsid w:val="00607FB5"/>
    <w:rsid w:val="006221F0"/>
    <w:rsid w:val="0064433E"/>
    <w:rsid w:val="00646776"/>
    <w:rsid w:val="00646E75"/>
    <w:rsid w:val="00656D85"/>
    <w:rsid w:val="00661091"/>
    <w:rsid w:val="006611C9"/>
    <w:rsid w:val="00661A03"/>
    <w:rsid w:val="00673FB6"/>
    <w:rsid w:val="0067672D"/>
    <w:rsid w:val="00677CC2"/>
    <w:rsid w:val="00681180"/>
    <w:rsid w:val="006905DE"/>
    <w:rsid w:val="0069168E"/>
    <w:rsid w:val="0069207B"/>
    <w:rsid w:val="0069210F"/>
    <w:rsid w:val="006B6E88"/>
    <w:rsid w:val="006C1B23"/>
    <w:rsid w:val="006C2748"/>
    <w:rsid w:val="006C2A68"/>
    <w:rsid w:val="006C7F8C"/>
    <w:rsid w:val="006D1607"/>
    <w:rsid w:val="006F20F9"/>
    <w:rsid w:val="006F318F"/>
    <w:rsid w:val="006F6D10"/>
    <w:rsid w:val="00700B2C"/>
    <w:rsid w:val="00711918"/>
    <w:rsid w:val="00713084"/>
    <w:rsid w:val="00715914"/>
    <w:rsid w:val="007235EF"/>
    <w:rsid w:val="00731E00"/>
    <w:rsid w:val="007440B7"/>
    <w:rsid w:val="007507FC"/>
    <w:rsid w:val="007715C9"/>
    <w:rsid w:val="00772FFB"/>
    <w:rsid w:val="00774EDD"/>
    <w:rsid w:val="007757EC"/>
    <w:rsid w:val="007924FC"/>
    <w:rsid w:val="007A03B1"/>
    <w:rsid w:val="007B75F4"/>
    <w:rsid w:val="007D351B"/>
    <w:rsid w:val="007D795A"/>
    <w:rsid w:val="007E17EC"/>
    <w:rsid w:val="007E6F83"/>
    <w:rsid w:val="007E7636"/>
    <w:rsid w:val="007F7465"/>
    <w:rsid w:val="00832742"/>
    <w:rsid w:val="008422C3"/>
    <w:rsid w:val="0084395C"/>
    <w:rsid w:val="008441DC"/>
    <w:rsid w:val="00851CD7"/>
    <w:rsid w:val="0085473A"/>
    <w:rsid w:val="00856A31"/>
    <w:rsid w:val="00857780"/>
    <w:rsid w:val="0086639E"/>
    <w:rsid w:val="008754D0"/>
    <w:rsid w:val="00881B8F"/>
    <w:rsid w:val="00886988"/>
    <w:rsid w:val="0089107B"/>
    <w:rsid w:val="008D0EE0"/>
    <w:rsid w:val="008D165D"/>
    <w:rsid w:val="008D2DF7"/>
    <w:rsid w:val="008E3FD4"/>
    <w:rsid w:val="008E4F42"/>
    <w:rsid w:val="008F13A7"/>
    <w:rsid w:val="008F54E7"/>
    <w:rsid w:val="009005E2"/>
    <w:rsid w:val="00902C39"/>
    <w:rsid w:val="00903422"/>
    <w:rsid w:val="00903E4C"/>
    <w:rsid w:val="00904A28"/>
    <w:rsid w:val="00906678"/>
    <w:rsid w:val="00906983"/>
    <w:rsid w:val="00913EEB"/>
    <w:rsid w:val="00915871"/>
    <w:rsid w:val="009213B7"/>
    <w:rsid w:val="009265BF"/>
    <w:rsid w:val="00932377"/>
    <w:rsid w:val="00940885"/>
    <w:rsid w:val="00947D5A"/>
    <w:rsid w:val="009532A5"/>
    <w:rsid w:val="009532F3"/>
    <w:rsid w:val="00973BBD"/>
    <w:rsid w:val="00974577"/>
    <w:rsid w:val="00977E4B"/>
    <w:rsid w:val="009851AC"/>
    <w:rsid w:val="009868E9"/>
    <w:rsid w:val="00990ED3"/>
    <w:rsid w:val="009954A2"/>
    <w:rsid w:val="009A62E4"/>
    <w:rsid w:val="009B3E0B"/>
    <w:rsid w:val="009C33E0"/>
    <w:rsid w:val="009C6470"/>
    <w:rsid w:val="009C7CFE"/>
    <w:rsid w:val="009D006B"/>
    <w:rsid w:val="009D2CDD"/>
    <w:rsid w:val="009D2D07"/>
    <w:rsid w:val="009F374D"/>
    <w:rsid w:val="00A0134E"/>
    <w:rsid w:val="00A03DF4"/>
    <w:rsid w:val="00A15C98"/>
    <w:rsid w:val="00A22C98"/>
    <w:rsid w:val="00A231E2"/>
    <w:rsid w:val="00A3461E"/>
    <w:rsid w:val="00A34EBD"/>
    <w:rsid w:val="00A35601"/>
    <w:rsid w:val="00A36813"/>
    <w:rsid w:val="00A5046F"/>
    <w:rsid w:val="00A64912"/>
    <w:rsid w:val="00A70A74"/>
    <w:rsid w:val="00A733B3"/>
    <w:rsid w:val="00A7407D"/>
    <w:rsid w:val="00A81C46"/>
    <w:rsid w:val="00A918A2"/>
    <w:rsid w:val="00A930F1"/>
    <w:rsid w:val="00A96188"/>
    <w:rsid w:val="00AA09F5"/>
    <w:rsid w:val="00AC4BB2"/>
    <w:rsid w:val="00AC719E"/>
    <w:rsid w:val="00AD5641"/>
    <w:rsid w:val="00AE5CA2"/>
    <w:rsid w:val="00AF06CF"/>
    <w:rsid w:val="00AF1F9A"/>
    <w:rsid w:val="00AF7FE6"/>
    <w:rsid w:val="00B02265"/>
    <w:rsid w:val="00B3217B"/>
    <w:rsid w:val="00B33B3C"/>
    <w:rsid w:val="00B33D28"/>
    <w:rsid w:val="00B40105"/>
    <w:rsid w:val="00B4099B"/>
    <w:rsid w:val="00B5006C"/>
    <w:rsid w:val="00B56088"/>
    <w:rsid w:val="00B63834"/>
    <w:rsid w:val="00B646E3"/>
    <w:rsid w:val="00B758C3"/>
    <w:rsid w:val="00B80199"/>
    <w:rsid w:val="00B86188"/>
    <w:rsid w:val="00B93F3D"/>
    <w:rsid w:val="00B9706F"/>
    <w:rsid w:val="00BA03CB"/>
    <w:rsid w:val="00BA0A66"/>
    <w:rsid w:val="00BA220B"/>
    <w:rsid w:val="00BA25FA"/>
    <w:rsid w:val="00BA4CDD"/>
    <w:rsid w:val="00BB6E58"/>
    <w:rsid w:val="00BC2084"/>
    <w:rsid w:val="00BC2D1C"/>
    <w:rsid w:val="00BE11E1"/>
    <w:rsid w:val="00BE719A"/>
    <w:rsid w:val="00BE720A"/>
    <w:rsid w:val="00BF6BCB"/>
    <w:rsid w:val="00BF6BEE"/>
    <w:rsid w:val="00C05B24"/>
    <w:rsid w:val="00C122FF"/>
    <w:rsid w:val="00C25299"/>
    <w:rsid w:val="00C3307F"/>
    <w:rsid w:val="00C349E6"/>
    <w:rsid w:val="00C42BF8"/>
    <w:rsid w:val="00C43896"/>
    <w:rsid w:val="00C449E7"/>
    <w:rsid w:val="00C50043"/>
    <w:rsid w:val="00C512A0"/>
    <w:rsid w:val="00C70138"/>
    <w:rsid w:val="00C708E5"/>
    <w:rsid w:val="00C74FD3"/>
    <w:rsid w:val="00C7573B"/>
    <w:rsid w:val="00C85BEA"/>
    <w:rsid w:val="00C971C2"/>
    <w:rsid w:val="00CE4E29"/>
    <w:rsid w:val="00CF0BB2"/>
    <w:rsid w:val="00CF3EE8"/>
    <w:rsid w:val="00D01609"/>
    <w:rsid w:val="00D13141"/>
    <w:rsid w:val="00D13441"/>
    <w:rsid w:val="00D23F7E"/>
    <w:rsid w:val="00D256F3"/>
    <w:rsid w:val="00D473B5"/>
    <w:rsid w:val="00D5084A"/>
    <w:rsid w:val="00D62ABB"/>
    <w:rsid w:val="00D63A4C"/>
    <w:rsid w:val="00D67B08"/>
    <w:rsid w:val="00D70DFB"/>
    <w:rsid w:val="00D73A2E"/>
    <w:rsid w:val="00D73C01"/>
    <w:rsid w:val="00D74249"/>
    <w:rsid w:val="00D766DF"/>
    <w:rsid w:val="00D8280A"/>
    <w:rsid w:val="00D866CB"/>
    <w:rsid w:val="00DA6185"/>
    <w:rsid w:val="00DA61E6"/>
    <w:rsid w:val="00DB0271"/>
    <w:rsid w:val="00DB2238"/>
    <w:rsid w:val="00DC4F88"/>
    <w:rsid w:val="00DD0DD0"/>
    <w:rsid w:val="00DD51EA"/>
    <w:rsid w:val="00DE5491"/>
    <w:rsid w:val="00DF2145"/>
    <w:rsid w:val="00DF65E5"/>
    <w:rsid w:val="00E0135D"/>
    <w:rsid w:val="00E05704"/>
    <w:rsid w:val="00E1069F"/>
    <w:rsid w:val="00E118B9"/>
    <w:rsid w:val="00E159D1"/>
    <w:rsid w:val="00E17108"/>
    <w:rsid w:val="00E30FCA"/>
    <w:rsid w:val="00E338EF"/>
    <w:rsid w:val="00E41BC8"/>
    <w:rsid w:val="00E6158D"/>
    <w:rsid w:val="00E62B22"/>
    <w:rsid w:val="00E742B7"/>
    <w:rsid w:val="00E74DC7"/>
    <w:rsid w:val="00E75AEA"/>
    <w:rsid w:val="00E85670"/>
    <w:rsid w:val="00E94D5E"/>
    <w:rsid w:val="00EA25BB"/>
    <w:rsid w:val="00EA7100"/>
    <w:rsid w:val="00EA7CAD"/>
    <w:rsid w:val="00EB1780"/>
    <w:rsid w:val="00EB433C"/>
    <w:rsid w:val="00EB7AC1"/>
    <w:rsid w:val="00EB7C50"/>
    <w:rsid w:val="00EC08FF"/>
    <w:rsid w:val="00EC3721"/>
    <w:rsid w:val="00EC4ECE"/>
    <w:rsid w:val="00EC5E84"/>
    <w:rsid w:val="00EE02DC"/>
    <w:rsid w:val="00EF2827"/>
    <w:rsid w:val="00EF2E3A"/>
    <w:rsid w:val="00F01FE4"/>
    <w:rsid w:val="00F072A7"/>
    <w:rsid w:val="00F078DC"/>
    <w:rsid w:val="00F12083"/>
    <w:rsid w:val="00F15DFA"/>
    <w:rsid w:val="00F3299C"/>
    <w:rsid w:val="00F44729"/>
    <w:rsid w:val="00F4653E"/>
    <w:rsid w:val="00F52330"/>
    <w:rsid w:val="00F549DE"/>
    <w:rsid w:val="00F7048C"/>
    <w:rsid w:val="00F71650"/>
    <w:rsid w:val="00F73BD6"/>
    <w:rsid w:val="00F75BA9"/>
    <w:rsid w:val="00F80534"/>
    <w:rsid w:val="00F83989"/>
    <w:rsid w:val="00F85BC0"/>
    <w:rsid w:val="00F90AAE"/>
    <w:rsid w:val="00F91403"/>
    <w:rsid w:val="00F95A47"/>
    <w:rsid w:val="00FA0241"/>
    <w:rsid w:val="00FA7BBB"/>
    <w:rsid w:val="00FB40BA"/>
    <w:rsid w:val="00FB7186"/>
    <w:rsid w:val="00FB7B36"/>
    <w:rsid w:val="00FC39BD"/>
    <w:rsid w:val="00FC3C06"/>
    <w:rsid w:val="00FC3D6B"/>
    <w:rsid w:val="00FC6E0E"/>
    <w:rsid w:val="00FC7290"/>
    <w:rsid w:val="00FD571C"/>
    <w:rsid w:val="00FD5CBB"/>
    <w:rsid w:val="00FE2E33"/>
    <w:rsid w:val="00FE3D08"/>
    <w:rsid w:val="00FE6714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046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F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F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F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F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F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F7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F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F7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5046F"/>
  </w:style>
  <w:style w:type="paragraph" w:customStyle="1" w:styleId="OPCParaBase">
    <w:name w:val="OPCParaBase"/>
    <w:link w:val="OPCParaBaseChar"/>
    <w:qFormat/>
    <w:rsid w:val="00A5046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A5046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5046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link w:val="ActHead2Char"/>
    <w:qFormat/>
    <w:rsid w:val="00A5046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5046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5046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5046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5046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5046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5046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5046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A5046F"/>
  </w:style>
  <w:style w:type="paragraph" w:customStyle="1" w:styleId="Blocks">
    <w:name w:val="Blocks"/>
    <w:aliases w:val="bb"/>
    <w:basedOn w:val="OPCParaBase"/>
    <w:qFormat/>
    <w:rsid w:val="00A5046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504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5046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5046F"/>
    <w:rPr>
      <w:i/>
    </w:rPr>
  </w:style>
  <w:style w:type="paragraph" w:customStyle="1" w:styleId="BoxList">
    <w:name w:val="BoxList"/>
    <w:aliases w:val="bl"/>
    <w:basedOn w:val="BoxText"/>
    <w:qFormat/>
    <w:rsid w:val="00A5046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5046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5046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5046F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5046F"/>
  </w:style>
  <w:style w:type="character" w:customStyle="1" w:styleId="CharAmPartText">
    <w:name w:val="CharAmPartText"/>
    <w:basedOn w:val="OPCCharBase"/>
    <w:uiPriority w:val="1"/>
    <w:qFormat/>
    <w:rsid w:val="00A5046F"/>
  </w:style>
  <w:style w:type="character" w:customStyle="1" w:styleId="CharAmSchNo">
    <w:name w:val="CharAmSchNo"/>
    <w:basedOn w:val="OPCCharBase"/>
    <w:uiPriority w:val="1"/>
    <w:qFormat/>
    <w:rsid w:val="00A5046F"/>
  </w:style>
  <w:style w:type="character" w:customStyle="1" w:styleId="CharAmSchText">
    <w:name w:val="CharAmSchText"/>
    <w:basedOn w:val="OPCCharBase"/>
    <w:uiPriority w:val="1"/>
    <w:qFormat/>
    <w:rsid w:val="00A5046F"/>
  </w:style>
  <w:style w:type="character" w:customStyle="1" w:styleId="CharBoldItalic">
    <w:name w:val="CharBoldItalic"/>
    <w:basedOn w:val="OPCCharBase"/>
    <w:uiPriority w:val="1"/>
    <w:qFormat/>
    <w:rsid w:val="00A5046F"/>
    <w:rPr>
      <w:b/>
      <w:i/>
    </w:rPr>
  </w:style>
  <w:style w:type="character" w:customStyle="1" w:styleId="CharChapNo">
    <w:name w:val="CharChapNo"/>
    <w:basedOn w:val="OPCCharBase"/>
    <w:qFormat/>
    <w:rsid w:val="00A5046F"/>
  </w:style>
  <w:style w:type="character" w:customStyle="1" w:styleId="CharChapText">
    <w:name w:val="CharChapText"/>
    <w:basedOn w:val="OPCCharBase"/>
    <w:qFormat/>
    <w:rsid w:val="00A5046F"/>
  </w:style>
  <w:style w:type="character" w:customStyle="1" w:styleId="CharDivNo">
    <w:name w:val="CharDivNo"/>
    <w:basedOn w:val="OPCCharBase"/>
    <w:qFormat/>
    <w:rsid w:val="00A5046F"/>
  </w:style>
  <w:style w:type="character" w:customStyle="1" w:styleId="CharDivText">
    <w:name w:val="CharDivText"/>
    <w:basedOn w:val="OPCCharBase"/>
    <w:qFormat/>
    <w:rsid w:val="00A5046F"/>
  </w:style>
  <w:style w:type="character" w:customStyle="1" w:styleId="CharItalic">
    <w:name w:val="CharItalic"/>
    <w:basedOn w:val="OPCCharBase"/>
    <w:uiPriority w:val="1"/>
    <w:qFormat/>
    <w:rsid w:val="00A5046F"/>
    <w:rPr>
      <w:i/>
    </w:rPr>
  </w:style>
  <w:style w:type="character" w:customStyle="1" w:styleId="CharPartNo">
    <w:name w:val="CharPartNo"/>
    <w:basedOn w:val="OPCCharBase"/>
    <w:qFormat/>
    <w:rsid w:val="00A5046F"/>
  </w:style>
  <w:style w:type="character" w:customStyle="1" w:styleId="CharPartText">
    <w:name w:val="CharPartText"/>
    <w:basedOn w:val="OPCCharBase"/>
    <w:qFormat/>
    <w:rsid w:val="00A5046F"/>
  </w:style>
  <w:style w:type="character" w:customStyle="1" w:styleId="CharSectno">
    <w:name w:val="CharSectno"/>
    <w:basedOn w:val="OPCCharBase"/>
    <w:qFormat/>
    <w:rsid w:val="00A5046F"/>
  </w:style>
  <w:style w:type="character" w:customStyle="1" w:styleId="CharSubdNo">
    <w:name w:val="CharSubdNo"/>
    <w:basedOn w:val="OPCCharBase"/>
    <w:uiPriority w:val="1"/>
    <w:qFormat/>
    <w:rsid w:val="00A5046F"/>
  </w:style>
  <w:style w:type="character" w:customStyle="1" w:styleId="CharSubdText">
    <w:name w:val="CharSubdText"/>
    <w:basedOn w:val="OPCCharBase"/>
    <w:uiPriority w:val="1"/>
    <w:qFormat/>
    <w:rsid w:val="00A5046F"/>
  </w:style>
  <w:style w:type="paragraph" w:customStyle="1" w:styleId="CTA--">
    <w:name w:val="CTA --"/>
    <w:basedOn w:val="OPCParaBase"/>
    <w:next w:val="Normal"/>
    <w:rsid w:val="00A5046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5046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5046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5046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5046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5046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5046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5046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5046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5046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5046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5046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5046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5046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5046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A5046F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A5046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5046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5046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5046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5046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5046F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5046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5046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5046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5046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5046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5046F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5046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5046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5046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5046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5046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5046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5046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5046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5046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5046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5046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5046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5046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5046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5046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5046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5046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5046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5046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504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5046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5046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5046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5046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5046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5046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5046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5046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5046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5046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5046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5046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5046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5046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5046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5046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5046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5046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5046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5046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5046F"/>
    <w:rPr>
      <w:sz w:val="16"/>
    </w:rPr>
  </w:style>
  <w:style w:type="table" w:customStyle="1" w:styleId="CFlag">
    <w:name w:val="CFlag"/>
    <w:basedOn w:val="TableNormal"/>
    <w:uiPriority w:val="99"/>
    <w:rsid w:val="00A5046F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A5046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5046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A5046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5046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5046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5046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5046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5046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5046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5046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5046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5046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5046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5046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A5046F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A5046F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A5046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A5046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5046F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A5046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5046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A5046F"/>
  </w:style>
  <w:style w:type="character" w:customStyle="1" w:styleId="CharSubPartTextCASA">
    <w:name w:val="CharSubPartText(CASA)"/>
    <w:basedOn w:val="OPCCharBase"/>
    <w:uiPriority w:val="1"/>
    <w:rsid w:val="00A5046F"/>
  </w:style>
  <w:style w:type="paragraph" w:customStyle="1" w:styleId="SubPartCASA">
    <w:name w:val="SubPart(CASA)"/>
    <w:aliases w:val="csp"/>
    <w:basedOn w:val="OPCParaBase"/>
    <w:next w:val="ActHead3"/>
    <w:rsid w:val="00A5046F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A5046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5046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5046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5046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5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A5046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22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504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5046F"/>
    <w:rPr>
      <w:sz w:val="22"/>
    </w:rPr>
  </w:style>
  <w:style w:type="paragraph" w:customStyle="1" w:styleId="SOTextNote">
    <w:name w:val="SO TextNote"/>
    <w:aliases w:val="sont"/>
    <w:basedOn w:val="SOText"/>
    <w:qFormat/>
    <w:rsid w:val="00A5046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5046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5046F"/>
    <w:rPr>
      <w:sz w:val="22"/>
    </w:rPr>
  </w:style>
  <w:style w:type="paragraph" w:customStyle="1" w:styleId="SOBullet">
    <w:name w:val="SO Bullet"/>
    <w:aliases w:val="sotb"/>
    <w:basedOn w:val="Normal"/>
    <w:link w:val="SOBulletChar"/>
    <w:qFormat/>
    <w:rsid w:val="00A504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5046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5046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5046F"/>
    <w:rPr>
      <w:sz w:val="18"/>
    </w:rPr>
  </w:style>
  <w:style w:type="paragraph" w:customStyle="1" w:styleId="FileName">
    <w:name w:val="FileName"/>
    <w:basedOn w:val="Normal"/>
    <w:rsid w:val="00A5046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5046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5046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5046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5046F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A504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5046F"/>
    <w:rPr>
      <w:sz w:val="22"/>
    </w:rPr>
  </w:style>
  <w:style w:type="character" w:customStyle="1" w:styleId="subsectionChar">
    <w:name w:val="subsection Char"/>
    <w:aliases w:val="ss Char"/>
    <w:link w:val="subsection"/>
    <w:rsid w:val="00E41BC8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locked/>
    <w:rsid w:val="00E41BC8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link w:val="notetext"/>
    <w:rsid w:val="002F309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23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F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F7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F7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F7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F7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F7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F7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F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D23F7E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B4099B"/>
    <w:rPr>
      <w:rFonts w:eastAsia="Times New Roman" w:cs="Times New Roman"/>
      <w:sz w:val="22"/>
      <w:lang w:eastAsia="en-AU"/>
    </w:rPr>
  </w:style>
  <w:style w:type="character" w:customStyle="1" w:styleId="ActHead2Char">
    <w:name w:val="ActHead 2 Char"/>
    <w:aliases w:val="p Char"/>
    <w:link w:val="ActHead2"/>
    <w:rsid w:val="00B4099B"/>
    <w:rPr>
      <w:rFonts w:eastAsia="Times New Roman" w:cs="Times New Roman"/>
      <w:b/>
      <w:kern w:val="28"/>
      <w:sz w:val="3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B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B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D2C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DD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FC7290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C7290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C7290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C7290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C7290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C7290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C7290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C7290"/>
  </w:style>
  <w:style w:type="character" w:customStyle="1" w:styleId="ShortTCPChar">
    <w:name w:val="ShortTCP Char"/>
    <w:basedOn w:val="ShortTChar"/>
    <w:link w:val="ShortTCP"/>
    <w:rsid w:val="00FC7290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C7290"/>
    <w:pPr>
      <w:spacing w:before="400"/>
    </w:pPr>
  </w:style>
  <w:style w:type="character" w:customStyle="1" w:styleId="ActNoCPChar">
    <w:name w:val="ActNoCP Char"/>
    <w:basedOn w:val="ActnoChar"/>
    <w:link w:val="ActNoCP"/>
    <w:rsid w:val="00FC7290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C729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56A2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56A2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56A28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046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3F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F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F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F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F7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F7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F7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F7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F7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5046F"/>
  </w:style>
  <w:style w:type="paragraph" w:customStyle="1" w:styleId="OPCParaBase">
    <w:name w:val="OPCParaBase"/>
    <w:link w:val="OPCParaBaseChar"/>
    <w:qFormat/>
    <w:rsid w:val="00A5046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A5046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5046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link w:val="ActHead2Char"/>
    <w:qFormat/>
    <w:rsid w:val="00A5046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5046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5046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5046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5046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5046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5046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5046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A5046F"/>
  </w:style>
  <w:style w:type="paragraph" w:customStyle="1" w:styleId="Blocks">
    <w:name w:val="Blocks"/>
    <w:aliases w:val="bb"/>
    <w:basedOn w:val="OPCParaBase"/>
    <w:qFormat/>
    <w:rsid w:val="00A5046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504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5046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5046F"/>
    <w:rPr>
      <w:i/>
    </w:rPr>
  </w:style>
  <w:style w:type="paragraph" w:customStyle="1" w:styleId="BoxList">
    <w:name w:val="BoxList"/>
    <w:aliases w:val="bl"/>
    <w:basedOn w:val="BoxText"/>
    <w:qFormat/>
    <w:rsid w:val="00A5046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5046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5046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5046F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5046F"/>
  </w:style>
  <w:style w:type="character" w:customStyle="1" w:styleId="CharAmPartText">
    <w:name w:val="CharAmPartText"/>
    <w:basedOn w:val="OPCCharBase"/>
    <w:uiPriority w:val="1"/>
    <w:qFormat/>
    <w:rsid w:val="00A5046F"/>
  </w:style>
  <w:style w:type="character" w:customStyle="1" w:styleId="CharAmSchNo">
    <w:name w:val="CharAmSchNo"/>
    <w:basedOn w:val="OPCCharBase"/>
    <w:uiPriority w:val="1"/>
    <w:qFormat/>
    <w:rsid w:val="00A5046F"/>
  </w:style>
  <w:style w:type="character" w:customStyle="1" w:styleId="CharAmSchText">
    <w:name w:val="CharAmSchText"/>
    <w:basedOn w:val="OPCCharBase"/>
    <w:uiPriority w:val="1"/>
    <w:qFormat/>
    <w:rsid w:val="00A5046F"/>
  </w:style>
  <w:style w:type="character" w:customStyle="1" w:styleId="CharBoldItalic">
    <w:name w:val="CharBoldItalic"/>
    <w:basedOn w:val="OPCCharBase"/>
    <w:uiPriority w:val="1"/>
    <w:qFormat/>
    <w:rsid w:val="00A5046F"/>
    <w:rPr>
      <w:b/>
      <w:i/>
    </w:rPr>
  </w:style>
  <w:style w:type="character" w:customStyle="1" w:styleId="CharChapNo">
    <w:name w:val="CharChapNo"/>
    <w:basedOn w:val="OPCCharBase"/>
    <w:qFormat/>
    <w:rsid w:val="00A5046F"/>
  </w:style>
  <w:style w:type="character" w:customStyle="1" w:styleId="CharChapText">
    <w:name w:val="CharChapText"/>
    <w:basedOn w:val="OPCCharBase"/>
    <w:qFormat/>
    <w:rsid w:val="00A5046F"/>
  </w:style>
  <w:style w:type="character" w:customStyle="1" w:styleId="CharDivNo">
    <w:name w:val="CharDivNo"/>
    <w:basedOn w:val="OPCCharBase"/>
    <w:qFormat/>
    <w:rsid w:val="00A5046F"/>
  </w:style>
  <w:style w:type="character" w:customStyle="1" w:styleId="CharDivText">
    <w:name w:val="CharDivText"/>
    <w:basedOn w:val="OPCCharBase"/>
    <w:qFormat/>
    <w:rsid w:val="00A5046F"/>
  </w:style>
  <w:style w:type="character" w:customStyle="1" w:styleId="CharItalic">
    <w:name w:val="CharItalic"/>
    <w:basedOn w:val="OPCCharBase"/>
    <w:uiPriority w:val="1"/>
    <w:qFormat/>
    <w:rsid w:val="00A5046F"/>
    <w:rPr>
      <w:i/>
    </w:rPr>
  </w:style>
  <w:style w:type="character" w:customStyle="1" w:styleId="CharPartNo">
    <w:name w:val="CharPartNo"/>
    <w:basedOn w:val="OPCCharBase"/>
    <w:qFormat/>
    <w:rsid w:val="00A5046F"/>
  </w:style>
  <w:style w:type="character" w:customStyle="1" w:styleId="CharPartText">
    <w:name w:val="CharPartText"/>
    <w:basedOn w:val="OPCCharBase"/>
    <w:qFormat/>
    <w:rsid w:val="00A5046F"/>
  </w:style>
  <w:style w:type="character" w:customStyle="1" w:styleId="CharSectno">
    <w:name w:val="CharSectno"/>
    <w:basedOn w:val="OPCCharBase"/>
    <w:qFormat/>
    <w:rsid w:val="00A5046F"/>
  </w:style>
  <w:style w:type="character" w:customStyle="1" w:styleId="CharSubdNo">
    <w:name w:val="CharSubdNo"/>
    <w:basedOn w:val="OPCCharBase"/>
    <w:uiPriority w:val="1"/>
    <w:qFormat/>
    <w:rsid w:val="00A5046F"/>
  </w:style>
  <w:style w:type="character" w:customStyle="1" w:styleId="CharSubdText">
    <w:name w:val="CharSubdText"/>
    <w:basedOn w:val="OPCCharBase"/>
    <w:uiPriority w:val="1"/>
    <w:qFormat/>
    <w:rsid w:val="00A5046F"/>
  </w:style>
  <w:style w:type="paragraph" w:customStyle="1" w:styleId="CTA--">
    <w:name w:val="CTA --"/>
    <w:basedOn w:val="OPCParaBase"/>
    <w:next w:val="Normal"/>
    <w:rsid w:val="00A5046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5046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5046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5046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5046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5046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5046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5046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5046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5046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5046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5046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5046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5046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5046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A5046F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A5046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5046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5046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5046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5046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5046F"/>
    <w:pPr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5046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5046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5046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5046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5046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5046F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5046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5046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5046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5046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5046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5046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5046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5046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5046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5046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5046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5046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5046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5046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5046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5046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5046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5046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5046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504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5046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5046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5046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5046F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5046F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5046F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5046F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5046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5046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5046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5046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5046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5046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5046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5046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5046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5046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5046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5046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5046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5046F"/>
    <w:rPr>
      <w:sz w:val="16"/>
    </w:rPr>
  </w:style>
  <w:style w:type="table" w:customStyle="1" w:styleId="CFlag">
    <w:name w:val="CFlag"/>
    <w:basedOn w:val="TableNormal"/>
    <w:uiPriority w:val="99"/>
    <w:rsid w:val="00A5046F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A5046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5046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A5046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5046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5046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5046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5046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5046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5046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5046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5046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5046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5046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5046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A5046F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A5046F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A5046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A5046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5046F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A5046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5046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A5046F"/>
  </w:style>
  <w:style w:type="character" w:customStyle="1" w:styleId="CharSubPartTextCASA">
    <w:name w:val="CharSubPartText(CASA)"/>
    <w:basedOn w:val="OPCCharBase"/>
    <w:uiPriority w:val="1"/>
    <w:rsid w:val="00A5046F"/>
  </w:style>
  <w:style w:type="paragraph" w:customStyle="1" w:styleId="SubPartCASA">
    <w:name w:val="SubPart(CASA)"/>
    <w:aliases w:val="csp"/>
    <w:basedOn w:val="OPCParaBase"/>
    <w:next w:val="ActHead3"/>
    <w:rsid w:val="00A5046F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A5046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5046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5046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5046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A5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A5046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22C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504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5046F"/>
    <w:rPr>
      <w:sz w:val="22"/>
    </w:rPr>
  </w:style>
  <w:style w:type="paragraph" w:customStyle="1" w:styleId="SOTextNote">
    <w:name w:val="SO TextNote"/>
    <w:aliases w:val="sont"/>
    <w:basedOn w:val="SOText"/>
    <w:qFormat/>
    <w:rsid w:val="00A5046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5046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5046F"/>
    <w:rPr>
      <w:sz w:val="22"/>
    </w:rPr>
  </w:style>
  <w:style w:type="paragraph" w:customStyle="1" w:styleId="SOBullet">
    <w:name w:val="SO Bullet"/>
    <w:aliases w:val="sotb"/>
    <w:basedOn w:val="Normal"/>
    <w:link w:val="SOBulletChar"/>
    <w:qFormat/>
    <w:rsid w:val="00A504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5046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5046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5046F"/>
    <w:rPr>
      <w:sz w:val="18"/>
    </w:rPr>
  </w:style>
  <w:style w:type="paragraph" w:customStyle="1" w:styleId="FileName">
    <w:name w:val="FileName"/>
    <w:basedOn w:val="Normal"/>
    <w:rsid w:val="00A5046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5046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5046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5046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5046F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A5046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5046F"/>
    <w:rPr>
      <w:sz w:val="22"/>
    </w:rPr>
  </w:style>
  <w:style w:type="character" w:customStyle="1" w:styleId="subsectionChar">
    <w:name w:val="subsection Char"/>
    <w:aliases w:val="ss Char"/>
    <w:link w:val="subsection"/>
    <w:rsid w:val="00E41BC8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locked/>
    <w:rsid w:val="00E41BC8"/>
    <w:rPr>
      <w:rFonts w:eastAsia="Times New Roman" w:cs="Times New Roman"/>
      <w:b/>
      <w:kern w:val="28"/>
      <w:sz w:val="24"/>
      <w:lang w:eastAsia="en-AU"/>
    </w:rPr>
  </w:style>
  <w:style w:type="character" w:customStyle="1" w:styleId="notetextChar">
    <w:name w:val="note(text) Char"/>
    <w:aliases w:val="n Char"/>
    <w:link w:val="notetext"/>
    <w:rsid w:val="002F309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23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F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F7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F7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F7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F7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F7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F7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F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link w:val="paragraph"/>
    <w:rsid w:val="00D23F7E"/>
    <w:rPr>
      <w:rFonts w:eastAsia="Times New Roman" w:cs="Times New Roman"/>
      <w:sz w:val="22"/>
      <w:lang w:eastAsia="en-AU"/>
    </w:rPr>
  </w:style>
  <w:style w:type="character" w:customStyle="1" w:styleId="DefinitionChar">
    <w:name w:val="Definition Char"/>
    <w:aliases w:val="dd Char"/>
    <w:link w:val="Definition"/>
    <w:rsid w:val="00B4099B"/>
    <w:rPr>
      <w:rFonts w:eastAsia="Times New Roman" w:cs="Times New Roman"/>
      <w:sz w:val="22"/>
      <w:lang w:eastAsia="en-AU"/>
    </w:rPr>
  </w:style>
  <w:style w:type="character" w:customStyle="1" w:styleId="ActHead2Char">
    <w:name w:val="ActHead 2 Char"/>
    <w:aliases w:val="p Char"/>
    <w:link w:val="ActHead2"/>
    <w:rsid w:val="00B4099B"/>
    <w:rPr>
      <w:rFonts w:eastAsia="Times New Roman" w:cs="Times New Roman"/>
      <w:b/>
      <w:kern w:val="28"/>
      <w:sz w:val="32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B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B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D2C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DD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FC7290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FC7290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FC7290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FC7290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FC7290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FC7290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FC7290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FC7290"/>
  </w:style>
  <w:style w:type="character" w:customStyle="1" w:styleId="ShortTCPChar">
    <w:name w:val="ShortTCP Char"/>
    <w:basedOn w:val="ShortTChar"/>
    <w:link w:val="ShortTCP"/>
    <w:rsid w:val="00FC7290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FC7290"/>
    <w:pPr>
      <w:spacing w:before="400"/>
    </w:pPr>
  </w:style>
  <w:style w:type="character" w:customStyle="1" w:styleId="ActNoCPChar">
    <w:name w:val="ActNoCP Char"/>
    <w:basedOn w:val="ActnoChar"/>
    <w:link w:val="ActNoCP"/>
    <w:rsid w:val="00FC7290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FC7290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556A2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556A2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556A28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24069-4620-46EB-A39F-920A72E38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BILL_NEW.dotx</Template>
  <TotalTime>0</TotalTime>
  <Pages>21</Pages>
  <Words>3776</Words>
  <Characters>19222</Characters>
  <Application>Microsoft Office Word</Application>
  <DocSecurity>0</DocSecurity>
  <PresentationFormat/>
  <Lines>519</Lines>
  <Paragraphs>338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2016-08-16T00:57:00Z</cp:lastPrinted>
  <dcterms:created xsi:type="dcterms:W3CDTF">2019-07-04T03:04:00Z</dcterms:created>
  <dcterms:modified xsi:type="dcterms:W3CDTF">2019-07-04T03:04:00Z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Government Procurement (Judicial Review) Act 2018</vt:lpwstr>
  </property>
  <property fmtid="{D5CDD505-2E9C-101B-9397-08002B2CF9AE}" pid="3" name="Class">
    <vt:lpwstr>BILL</vt:lpwstr>
  </property>
  <property fmtid="{D5CDD505-2E9C-101B-9397-08002B2CF9AE}" pid="4" name="Type">
    <vt:lpwstr>BILL</vt:lpwstr>
  </property>
  <property fmtid="{D5CDD505-2E9C-101B-9397-08002B2CF9AE}" pid="5" name="DocType">
    <vt:lpwstr>NEW</vt:lpwstr>
  </property>
  <property fmtid="{D5CDD505-2E9C-101B-9397-08002B2CF9AE}" pid="6" name="Header">
    <vt:lpwstr>Section</vt:lpwstr>
  </property>
  <property fmtid="{D5CDD505-2E9C-101B-9397-08002B2CF9AE}" pid="7" name="ID">
    <vt:lpwstr>OPC5826</vt:lpwstr>
  </property>
  <property fmtid="{D5CDD505-2E9C-101B-9397-08002B2CF9AE}" pid="8" name="ActNo">
    <vt:lpwstr>No. 129, 2018</vt:lpwstr>
  </property>
  <property fmtid="{D5CDD505-2E9C-101B-9397-08002B2CF9AE}" pid="9" name="Classification">
    <vt:lpwstr> </vt:lpwstr>
  </property>
  <property fmtid="{D5CDD505-2E9C-101B-9397-08002B2CF9AE}" pid="10" name="DLM">
    <vt:lpwstr> </vt:lpwstr>
  </property>
  <property fmtid="{D5CDD505-2E9C-101B-9397-08002B2CF9AE}" pid="11" name="DoNotAsk">
    <vt:lpwstr>0</vt:lpwstr>
  </property>
  <property fmtid="{D5CDD505-2E9C-101B-9397-08002B2CF9AE}" pid="12" name="ChangedTitle">
    <vt:lpwstr/>
  </property>
</Properties>
</file>