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B5" w:rsidRDefault="004A20B5">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581855054" r:id="rId9"/>
        </w:object>
      </w:r>
    </w:p>
    <w:p w:rsidR="004A20B5" w:rsidRDefault="004A20B5"/>
    <w:p w:rsidR="004A20B5" w:rsidRDefault="004A20B5" w:rsidP="004A20B5">
      <w:pPr>
        <w:spacing w:line="240" w:lineRule="auto"/>
      </w:pPr>
    </w:p>
    <w:p w:rsidR="004A20B5" w:rsidRDefault="004A20B5" w:rsidP="004A20B5"/>
    <w:p w:rsidR="004A20B5" w:rsidRDefault="004A20B5" w:rsidP="004A20B5"/>
    <w:p w:rsidR="004A20B5" w:rsidRDefault="004A20B5" w:rsidP="004A20B5"/>
    <w:p w:rsidR="004A20B5" w:rsidRDefault="004A20B5" w:rsidP="004A20B5"/>
    <w:p w:rsidR="009101D8" w:rsidRPr="009714E7" w:rsidRDefault="00796AC4" w:rsidP="00796AC4">
      <w:pPr>
        <w:pStyle w:val="ShortT"/>
      </w:pPr>
      <w:r w:rsidRPr="009714E7">
        <w:t>Treasury Laws Amendment (Banking Measures No.</w:t>
      </w:r>
      <w:r w:rsidR="009714E7" w:rsidRPr="009714E7">
        <w:t> </w:t>
      </w:r>
      <w:r w:rsidRPr="009714E7">
        <w:t xml:space="preserve">1) </w:t>
      </w:r>
      <w:r w:rsidR="004A20B5">
        <w:t>Act</w:t>
      </w:r>
      <w:r w:rsidRPr="009714E7">
        <w:t xml:space="preserve"> 201</w:t>
      </w:r>
      <w:r w:rsidR="00D860F4">
        <w:t>8</w:t>
      </w:r>
    </w:p>
    <w:p w:rsidR="009101D8" w:rsidRPr="009714E7" w:rsidRDefault="009101D8" w:rsidP="009101D8">
      <w:pPr>
        <w:rPr>
          <w:lang w:eastAsia="en-AU"/>
        </w:rPr>
      </w:pPr>
    </w:p>
    <w:p w:rsidR="009101D8" w:rsidRPr="009714E7" w:rsidRDefault="009101D8" w:rsidP="004A20B5">
      <w:pPr>
        <w:pStyle w:val="Actno"/>
        <w:spacing w:before="400"/>
      </w:pPr>
      <w:r w:rsidRPr="009714E7">
        <w:t>No.</w:t>
      </w:r>
      <w:r w:rsidR="00880EED">
        <w:t xml:space="preserve"> 9</w:t>
      </w:r>
      <w:r w:rsidRPr="009714E7">
        <w:t>, 201</w:t>
      </w:r>
      <w:r w:rsidR="00D860F4">
        <w:t>8</w:t>
      </w:r>
    </w:p>
    <w:p w:rsidR="009101D8" w:rsidRPr="009714E7" w:rsidRDefault="009101D8" w:rsidP="009101D8">
      <w:pPr>
        <w:rPr>
          <w:lang w:eastAsia="en-AU"/>
        </w:rPr>
      </w:pPr>
    </w:p>
    <w:p w:rsidR="004A20B5" w:rsidRDefault="004A20B5" w:rsidP="004A20B5"/>
    <w:p w:rsidR="004A20B5" w:rsidRDefault="004A20B5" w:rsidP="004A20B5"/>
    <w:p w:rsidR="004A20B5" w:rsidRDefault="004A20B5" w:rsidP="004A20B5"/>
    <w:p w:rsidR="004A20B5" w:rsidRDefault="004A20B5" w:rsidP="004A20B5"/>
    <w:p w:rsidR="00796AC4" w:rsidRPr="009714E7" w:rsidRDefault="004A20B5" w:rsidP="00796AC4">
      <w:pPr>
        <w:pStyle w:val="LongT"/>
      </w:pPr>
      <w:r>
        <w:t>An Act</w:t>
      </w:r>
      <w:r w:rsidR="00796AC4" w:rsidRPr="009714E7">
        <w:t xml:space="preserve"> to amend the law </w:t>
      </w:r>
      <w:r w:rsidR="008678D7" w:rsidRPr="009714E7">
        <w:t>relating</w:t>
      </w:r>
      <w:r w:rsidR="00796AC4" w:rsidRPr="009714E7">
        <w:t xml:space="preserve"> to </w:t>
      </w:r>
      <w:r w:rsidR="008678D7" w:rsidRPr="009714E7">
        <w:t xml:space="preserve">banking, insurance, credit, </w:t>
      </w:r>
      <w:r w:rsidR="00796AC4" w:rsidRPr="009714E7">
        <w:t>registrable corporations</w:t>
      </w:r>
      <w:r w:rsidR="008A235F" w:rsidRPr="009714E7">
        <w:t xml:space="preserve"> and financial system regulation</w:t>
      </w:r>
      <w:r w:rsidR="00796AC4" w:rsidRPr="009714E7">
        <w:t>, and for related purposes</w:t>
      </w:r>
    </w:p>
    <w:p w:rsidR="009101D8" w:rsidRPr="009714E7" w:rsidRDefault="009101D8" w:rsidP="00644D9C">
      <w:pPr>
        <w:pStyle w:val="Header"/>
      </w:pPr>
      <w:r w:rsidRPr="009714E7">
        <w:rPr>
          <w:rStyle w:val="CharAmSchNo"/>
        </w:rPr>
        <w:t xml:space="preserve"> </w:t>
      </w:r>
      <w:r w:rsidRPr="009714E7">
        <w:rPr>
          <w:rStyle w:val="CharAmSchText"/>
        </w:rPr>
        <w:t xml:space="preserve"> </w:t>
      </w:r>
      <w:r w:rsidR="00644D9C" w:rsidRPr="009714E7">
        <w:t xml:space="preserve">  </w:t>
      </w:r>
    </w:p>
    <w:p w:rsidR="00644D9C" w:rsidRPr="009714E7" w:rsidRDefault="00644D9C" w:rsidP="009101D8">
      <w:pPr>
        <w:pStyle w:val="Header"/>
        <w:tabs>
          <w:tab w:val="clear" w:pos="4150"/>
          <w:tab w:val="clear" w:pos="8307"/>
        </w:tabs>
        <w:rPr>
          <w:rStyle w:val="CharAmPartNo"/>
        </w:rPr>
      </w:pPr>
    </w:p>
    <w:p w:rsidR="009101D8" w:rsidRPr="009714E7" w:rsidRDefault="009101D8" w:rsidP="009101D8">
      <w:pPr>
        <w:rPr>
          <w:rStyle w:val="CharAmPartText"/>
        </w:rPr>
        <w:sectPr w:rsidR="009101D8" w:rsidRPr="009714E7" w:rsidSect="004A20B5">
          <w:headerReference w:type="even" r:id="rId10"/>
          <w:headerReference w:type="default"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105874" w:rsidRPr="00A05311" w:rsidRDefault="00105874" w:rsidP="00105874">
      <w:pPr>
        <w:rPr>
          <w:sz w:val="36"/>
        </w:rPr>
      </w:pPr>
      <w:r w:rsidRPr="00A05311">
        <w:rPr>
          <w:sz w:val="36"/>
        </w:rPr>
        <w:lastRenderedPageBreak/>
        <w:t>Contents</w:t>
      </w:r>
    </w:p>
    <w:p w:rsidR="00A179CB" w:rsidRPr="009714E7" w:rsidRDefault="00A179CB" w:rsidP="00A179CB"/>
    <w:p w:rsidR="00274654" w:rsidRDefault="0027465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74654">
        <w:rPr>
          <w:noProof/>
        </w:rPr>
        <w:tab/>
      </w:r>
      <w:r w:rsidRPr="00274654">
        <w:rPr>
          <w:noProof/>
        </w:rPr>
        <w:fldChar w:fldCharType="begin"/>
      </w:r>
      <w:r w:rsidRPr="00274654">
        <w:rPr>
          <w:noProof/>
        </w:rPr>
        <w:instrText xml:space="preserve"> PAGEREF _Toc508110049 \h </w:instrText>
      </w:r>
      <w:r w:rsidRPr="00274654">
        <w:rPr>
          <w:noProof/>
        </w:rPr>
      </w:r>
      <w:r w:rsidRPr="00274654">
        <w:rPr>
          <w:noProof/>
        </w:rPr>
        <w:fldChar w:fldCharType="separate"/>
      </w:r>
      <w:r w:rsidR="00D539DD">
        <w:rPr>
          <w:noProof/>
        </w:rPr>
        <w:t>1</w:t>
      </w:r>
      <w:r w:rsidRPr="00274654">
        <w:rPr>
          <w:noProof/>
        </w:rPr>
        <w:fldChar w:fldCharType="end"/>
      </w:r>
    </w:p>
    <w:p w:rsidR="00274654" w:rsidRDefault="00274654">
      <w:pPr>
        <w:pStyle w:val="TOC5"/>
        <w:rPr>
          <w:rFonts w:asciiTheme="minorHAnsi" w:eastAsiaTheme="minorEastAsia" w:hAnsiTheme="minorHAnsi" w:cstheme="minorBidi"/>
          <w:noProof/>
          <w:kern w:val="0"/>
          <w:sz w:val="22"/>
          <w:szCs w:val="22"/>
        </w:rPr>
      </w:pPr>
      <w:r>
        <w:rPr>
          <w:noProof/>
        </w:rPr>
        <w:t>2</w:t>
      </w:r>
      <w:r>
        <w:rPr>
          <w:noProof/>
        </w:rPr>
        <w:tab/>
        <w:t>Commencement</w:t>
      </w:r>
      <w:r w:rsidRPr="00274654">
        <w:rPr>
          <w:noProof/>
        </w:rPr>
        <w:tab/>
      </w:r>
      <w:r w:rsidRPr="00274654">
        <w:rPr>
          <w:noProof/>
        </w:rPr>
        <w:fldChar w:fldCharType="begin"/>
      </w:r>
      <w:r w:rsidRPr="00274654">
        <w:rPr>
          <w:noProof/>
        </w:rPr>
        <w:instrText xml:space="preserve"> PAGEREF _Toc508110050 \h </w:instrText>
      </w:r>
      <w:r w:rsidRPr="00274654">
        <w:rPr>
          <w:noProof/>
        </w:rPr>
      </w:r>
      <w:r w:rsidRPr="00274654">
        <w:rPr>
          <w:noProof/>
        </w:rPr>
        <w:fldChar w:fldCharType="separate"/>
      </w:r>
      <w:r w:rsidR="00D539DD">
        <w:rPr>
          <w:noProof/>
        </w:rPr>
        <w:t>2</w:t>
      </w:r>
      <w:r w:rsidRPr="00274654">
        <w:rPr>
          <w:noProof/>
        </w:rPr>
        <w:fldChar w:fldCharType="end"/>
      </w:r>
    </w:p>
    <w:p w:rsidR="00274654" w:rsidRDefault="00274654">
      <w:pPr>
        <w:pStyle w:val="TOC5"/>
        <w:rPr>
          <w:rFonts w:asciiTheme="minorHAnsi" w:eastAsiaTheme="minorEastAsia" w:hAnsiTheme="minorHAnsi" w:cstheme="minorBidi"/>
          <w:noProof/>
          <w:kern w:val="0"/>
          <w:sz w:val="22"/>
          <w:szCs w:val="22"/>
        </w:rPr>
      </w:pPr>
      <w:r>
        <w:rPr>
          <w:noProof/>
        </w:rPr>
        <w:t>3</w:t>
      </w:r>
      <w:r>
        <w:rPr>
          <w:noProof/>
        </w:rPr>
        <w:tab/>
        <w:t>Schedules</w:t>
      </w:r>
      <w:r w:rsidRPr="00274654">
        <w:rPr>
          <w:noProof/>
        </w:rPr>
        <w:tab/>
      </w:r>
      <w:r w:rsidRPr="00274654">
        <w:rPr>
          <w:noProof/>
        </w:rPr>
        <w:fldChar w:fldCharType="begin"/>
      </w:r>
      <w:r w:rsidRPr="00274654">
        <w:rPr>
          <w:noProof/>
        </w:rPr>
        <w:instrText xml:space="preserve"> PAGEREF _Toc508110051 \h </w:instrText>
      </w:r>
      <w:r w:rsidRPr="00274654">
        <w:rPr>
          <w:noProof/>
        </w:rPr>
      </w:r>
      <w:r w:rsidRPr="00274654">
        <w:rPr>
          <w:noProof/>
        </w:rPr>
        <w:fldChar w:fldCharType="separate"/>
      </w:r>
      <w:r w:rsidR="00D539DD">
        <w:rPr>
          <w:noProof/>
        </w:rPr>
        <w:t>3</w:t>
      </w:r>
      <w:r w:rsidRPr="00274654">
        <w:rPr>
          <w:noProof/>
        </w:rPr>
        <w:fldChar w:fldCharType="end"/>
      </w:r>
    </w:p>
    <w:p w:rsidR="00274654" w:rsidRDefault="00274654">
      <w:pPr>
        <w:pStyle w:val="TOC6"/>
        <w:rPr>
          <w:rFonts w:asciiTheme="minorHAnsi" w:eastAsiaTheme="minorEastAsia" w:hAnsiTheme="minorHAnsi" w:cstheme="minorBidi"/>
          <w:b w:val="0"/>
          <w:noProof/>
          <w:kern w:val="0"/>
          <w:sz w:val="22"/>
          <w:szCs w:val="22"/>
        </w:rPr>
      </w:pPr>
      <w:r>
        <w:rPr>
          <w:noProof/>
        </w:rPr>
        <w:t>Schedule 1—Non</w:t>
      </w:r>
      <w:r>
        <w:rPr>
          <w:noProof/>
        </w:rPr>
        <w:noBreakHyphen/>
        <w:t>ADI lender rules</w:t>
      </w:r>
      <w:r w:rsidRPr="00274654">
        <w:rPr>
          <w:b w:val="0"/>
          <w:noProof/>
          <w:sz w:val="18"/>
        </w:rPr>
        <w:tab/>
      </w:r>
      <w:r w:rsidRPr="00274654">
        <w:rPr>
          <w:b w:val="0"/>
          <w:noProof/>
          <w:sz w:val="18"/>
        </w:rPr>
        <w:fldChar w:fldCharType="begin"/>
      </w:r>
      <w:r w:rsidRPr="00274654">
        <w:rPr>
          <w:b w:val="0"/>
          <w:noProof/>
          <w:sz w:val="18"/>
        </w:rPr>
        <w:instrText xml:space="preserve"> PAGEREF _Toc508110052 \h </w:instrText>
      </w:r>
      <w:r w:rsidRPr="00274654">
        <w:rPr>
          <w:b w:val="0"/>
          <w:noProof/>
          <w:sz w:val="18"/>
        </w:rPr>
      </w:r>
      <w:r w:rsidRPr="00274654">
        <w:rPr>
          <w:b w:val="0"/>
          <w:noProof/>
          <w:sz w:val="18"/>
        </w:rPr>
        <w:fldChar w:fldCharType="separate"/>
      </w:r>
      <w:r w:rsidR="00D539DD">
        <w:rPr>
          <w:b w:val="0"/>
          <w:noProof/>
          <w:sz w:val="18"/>
        </w:rPr>
        <w:t>4</w:t>
      </w:r>
      <w:r w:rsidRPr="00274654">
        <w:rPr>
          <w:b w:val="0"/>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t>Banking Act 1959</w:t>
      </w:r>
      <w:r w:rsidRPr="00274654">
        <w:rPr>
          <w:i w:val="0"/>
          <w:noProof/>
          <w:sz w:val="18"/>
        </w:rPr>
        <w:tab/>
      </w:r>
      <w:r w:rsidRPr="00274654">
        <w:rPr>
          <w:i w:val="0"/>
          <w:noProof/>
          <w:sz w:val="18"/>
        </w:rPr>
        <w:fldChar w:fldCharType="begin"/>
      </w:r>
      <w:r w:rsidRPr="00274654">
        <w:rPr>
          <w:i w:val="0"/>
          <w:noProof/>
          <w:sz w:val="18"/>
        </w:rPr>
        <w:instrText xml:space="preserve"> PAGEREF _Toc508110053 \h </w:instrText>
      </w:r>
      <w:r w:rsidRPr="00274654">
        <w:rPr>
          <w:i w:val="0"/>
          <w:noProof/>
          <w:sz w:val="18"/>
        </w:rPr>
      </w:r>
      <w:r w:rsidRPr="00274654">
        <w:rPr>
          <w:i w:val="0"/>
          <w:noProof/>
          <w:sz w:val="18"/>
        </w:rPr>
        <w:fldChar w:fldCharType="separate"/>
      </w:r>
      <w:r w:rsidR="00D539DD">
        <w:rPr>
          <w:i w:val="0"/>
          <w:noProof/>
          <w:sz w:val="18"/>
        </w:rPr>
        <w:t>4</w:t>
      </w:r>
      <w:r w:rsidRPr="00274654">
        <w:rPr>
          <w:i w:val="0"/>
          <w:noProof/>
          <w:sz w:val="18"/>
        </w:rPr>
        <w:fldChar w:fldCharType="end"/>
      </w:r>
    </w:p>
    <w:p w:rsidR="00274654" w:rsidRDefault="00274654">
      <w:pPr>
        <w:pStyle w:val="TOC6"/>
        <w:rPr>
          <w:rFonts w:asciiTheme="minorHAnsi" w:eastAsiaTheme="minorEastAsia" w:hAnsiTheme="minorHAnsi" w:cstheme="minorBidi"/>
          <w:b w:val="0"/>
          <w:noProof/>
          <w:kern w:val="0"/>
          <w:sz w:val="22"/>
          <w:szCs w:val="22"/>
        </w:rPr>
      </w:pPr>
      <w:r>
        <w:rPr>
          <w:noProof/>
        </w:rPr>
        <w:t>Schedule 2—Registrable corporations</w:t>
      </w:r>
      <w:r w:rsidRPr="00274654">
        <w:rPr>
          <w:b w:val="0"/>
          <w:noProof/>
          <w:sz w:val="18"/>
        </w:rPr>
        <w:tab/>
      </w:r>
      <w:r w:rsidRPr="00274654">
        <w:rPr>
          <w:b w:val="0"/>
          <w:noProof/>
          <w:sz w:val="18"/>
        </w:rPr>
        <w:fldChar w:fldCharType="begin"/>
      </w:r>
      <w:r w:rsidRPr="00274654">
        <w:rPr>
          <w:b w:val="0"/>
          <w:noProof/>
          <w:sz w:val="18"/>
        </w:rPr>
        <w:instrText xml:space="preserve"> PAGEREF _Toc508110068 \h </w:instrText>
      </w:r>
      <w:r w:rsidRPr="00274654">
        <w:rPr>
          <w:b w:val="0"/>
          <w:noProof/>
          <w:sz w:val="18"/>
        </w:rPr>
      </w:r>
      <w:r w:rsidRPr="00274654">
        <w:rPr>
          <w:b w:val="0"/>
          <w:noProof/>
          <w:sz w:val="18"/>
        </w:rPr>
        <w:fldChar w:fldCharType="separate"/>
      </w:r>
      <w:r w:rsidR="00D539DD">
        <w:rPr>
          <w:b w:val="0"/>
          <w:noProof/>
          <w:sz w:val="18"/>
        </w:rPr>
        <w:t>11</w:t>
      </w:r>
      <w:r w:rsidRPr="00274654">
        <w:rPr>
          <w:b w:val="0"/>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t>Financial Sector (Collection of Data) Act 2001</w:t>
      </w:r>
      <w:r w:rsidRPr="00274654">
        <w:rPr>
          <w:i w:val="0"/>
          <w:noProof/>
          <w:sz w:val="18"/>
        </w:rPr>
        <w:tab/>
      </w:r>
      <w:r w:rsidRPr="00274654">
        <w:rPr>
          <w:i w:val="0"/>
          <w:noProof/>
          <w:sz w:val="18"/>
        </w:rPr>
        <w:fldChar w:fldCharType="begin"/>
      </w:r>
      <w:r w:rsidRPr="00274654">
        <w:rPr>
          <w:i w:val="0"/>
          <w:noProof/>
          <w:sz w:val="18"/>
        </w:rPr>
        <w:instrText xml:space="preserve"> PAGEREF _Toc508110069 \h </w:instrText>
      </w:r>
      <w:r w:rsidRPr="00274654">
        <w:rPr>
          <w:i w:val="0"/>
          <w:noProof/>
          <w:sz w:val="18"/>
        </w:rPr>
      </w:r>
      <w:r w:rsidRPr="00274654">
        <w:rPr>
          <w:i w:val="0"/>
          <w:noProof/>
          <w:sz w:val="18"/>
        </w:rPr>
        <w:fldChar w:fldCharType="separate"/>
      </w:r>
      <w:r w:rsidR="00D539DD">
        <w:rPr>
          <w:i w:val="0"/>
          <w:noProof/>
          <w:sz w:val="18"/>
        </w:rPr>
        <w:t>11</w:t>
      </w:r>
      <w:r w:rsidRPr="00274654">
        <w:rPr>
          <w:i w:val="0"/>
          <w:noProof/>
          <w:sz w:val="18"/>
        </w:rPr>
        <w:fldChar w:fldCharType="end"/>
      </w:r>
    </w:p>
    <w:p w:rsidR="00274654" w:rsidRDefault="00274654">
      <w:pPr>
        <w:pStyle w:val="TOC6"/>
        <w:rPr>
          <w:rFonts w:asciiTheme="minorHAnsi" w:eastAsiaTheme="minorEastAsia" w:hAnsiTheme="minorHAnsi" w:cstheme="minorBidi"/>
          <w:b w:val="0"/>
          <w:noProof/>
          <w:kern w:val="0"/>
          <w:sz w:val="22"/>
          <w:szCs w:val="22"/>
        </w:rPr>
      </w:pPr>
      <w:r>
        <w:rPr>
          <w:noProof/>
        </w:rPr>
        <w:t>Schedule 3—Restricted words</w:t>
      </w:r>
      <w:r w:rsidRPr="00274654">
        <w:rPr>
          <w:b w:val="0"/>
          <w:noProof/>
          <w:sz w:val="18"/>
        </w:rPr>
        <w:tab/>
      </w:r>
      <w:r w:rsidRPr="00274654">
        <w:rPr>
          <w:b w:val="0"/>
          <w:noProof/>
          <w:sz w:val="18"/>
        </w:rPr>
        <w:fldChar w:fldCharType="begin"/>
      </w:r>
      <w:r w:rsidRPr="00274654">
        <w:rPr>
          <w:b w:val="0"/>
          <w:noProof/>
          <w:sz w:val="18"/>
        </w:rPr>
        <w:instrText xml:space="preserve"> PAGEREF _Toc508110070 \h </w:instrText>
      </w:r>
      <w:r w:rsidRPr="00274654">
        <w:rPr>
          <w:b w:val="0"/>
          <w:noProof/>
          <w:sz w:val="18"/>
        </w:rPr>
      </w:r>
      <w:r w:rsidRPr="00274654">
        <w:rPr>
          <w:b w:val="0"/>
          <w:noProof/>
          <w:sz w:val="18"/>
        </w:rPr>
        <w:fldChar w:fldCharType="separate"/>
      </w:r>
      <w:r w:rsidR="00D539DD">
        <w:rPr>
          <w:b w:val="0"/>
          <w:noProof/>
          <w:sz w:val="18"/>
        </w:rPr>
        <w:t>15</w:t>
      </w:r>
      <w:r w:rsidRPr="00274654">
        <w:rPr>
          <w:b w:val="0"/>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t>Banking Act 1959</w:t>
      </w:r>
      <w:r w:rsidRPr="00274654">
        <w:rPr>
          <w:i w:val="0"/>
          <w:noProof/>
          <w:sz w:val="18"/>
        </w:rPr>
        <w:tab/>
      </w:r>
      <w:r w:rsidRPr="00274654">
        <w:rPr>
          <w:i w:val="0"/>
          <w:noProof/>
          <w:sz w:val="18"/>
        </w:rPr>
        <w:fldChar w:fldCharType="begin"/>
      </w:r>
      <w:r w:rsidRPr="00274654">
        <w:rPr>
          <w:i w:val="0"/>
          <w:noProof/>
          <w:sz w:val="18"/>
        </w:rPr>
        <w:instrText xml:space="preserve"> PAGEREF _Toc508110071 \h </w:instrText>
      </w:r>
      <w:r w:rsidRPr="00274654">
        <w:rPr>
          <w:i w:val="0"/>
          <w:noProof/>
          <w:sz w:val="18"/>
        </w:rPr>
      </w:r>
      <w:r w:rsidRPr="00274654">
        <w:rPr>
          <w:i w:val="0"/>
          <w:noProof/>
          <w:sz w:val="18"/>
        </w:rPr>
        <w:fldChar w:fldCharType="separate"/>
      </w:r>
      <w:r w:rsidR="00D539DD">
        <w:rPr>
          <w:i w:val="0"/>
          <w:noProof/>
          <w:sz w:val="18"/>
        </w:rPr>
        <w:t>15</w:t>
      </w:r>
      <w:r w:rsidRPr="00274654">
        <w:rPr>
          <w:i w:val="0"/>
          <w:noProof/>
          <w:sz w:val="18"/>
        </w:rPr>
        <w:fldChar w:fldCharType="end"/>
      </w:r>
    </w:p>
    <w:p w:rsidR="00274654" w:rsidRDefault="00274654">
      <w:pPr>
        <w:pStyle w:val="TOC6"/>
        <w:rPr>
          <w:rFonts w:asciiTheme="minorHAnsi" w:eastAsiaTheme="minorEastAsia" w:hAnsiTheme="minorHAnsi" w:cstheme="minorBidi"/>
          <w:b w:val="0"/>
          <w:noProof/>
          <w:kern w:val="0"/>
          <w:sz w:val="22"/>
          <w:szCs w:val="22"/>
        </w:rPr>
      </w:pPr>
      <w:r>
        <w:rPr>
          <w:noProof/>
        </w:rPr>
        <w:t>Schedule 4—Objects provisions</w:t>
      </w:r>
      <w:r w:rsidRPr="00274654">
        <w:rPr>
          <w:b w:val="0"/>
          <w:noProof/>
          <w:sz w:val="18"/>
        </w:rPr>
        <w:tab/>
      </w:r>
      <w:r w:rsidRPr="00274654">
        <w:rPr>
          <w:b w:val="0"/>
          <w:noProof/>
          <w:sz w:val="18"/>
        </w:rPr>
        <w:fldChar w:fldCharType="begin"/>
      </w:r>
      <w:r w:rsidRPr="00274654">
        <w:rPr>
          <w:b w:val="0"/>
          <w:noProof/>
          <w:sz w:val="18"/>
        </w:rPr>
        <w:instrText xml:space="preserve"> PAGEREF _Toc508110073 \h </w:instrText>
      </w:r>
      <w:r w:rsidRPr="00274654">
        <w:rPr>
          <w:b w:val="0"/>
          <w:noProof/>
          <w:sz w:val="18"/>
        </w:rPr>
      </w:r>
      <w:r w:rsidRPr="00274654">
        <w:rPr>
          <w:b w:val="0"/>
          <w:noProof/>
          <w:sz w:val="18"/>
        </w:rPr>
        <w:fldChar w:fldCharType="separate"/>
      </w:r>
      <w:r w:rsidR="00D539DD">
        <w:rPr>
          <w:b w:val="0"/>
          <w:noProof/>
          <w:sz w:val="18"/>
        </w:rPr>
        <w:t>18</w:t>
      </w:r>
      <w:r w:rsidRPr="00274654">
        <w:rPr>
          <w:b w:val="0"/>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t>Banking Act 1959</w:t>
      </w:r>
      <w:r w:rsidRPr="00274654">
        <w:rPr>
          <w:i w:val="0"/>
          <w:noProof/>
          <w:sz w:val="18"/>
        </w:rPr>
        <w:tab/>
      </w:r>
      <w:r w:rsidRPr="00274654">
        <w:rPr>
          <w:i w:val="0"/>
          <w:noProof/>
          <w:sz w:val="18"/>
        </w:rPr>
        <w:fldChar w:fldCharType="begin"/>
      </w:r>
      <w:r w:rsidRPr="00274654">
        <w:rPr>
          <w:i w:val="0"/>
          <w:noProof/>
          <w:sz w:val="18"/>
        </w:rPr>
        <w:instrText xml:space="preserve"> PAGEREF _Toc508110074 \h </w:instrText>
      </w:r>
      <w:r w:rsidRPr="00274654">
        <w:rPr>
          <w:i w:val="0"/>
          <w:noProof/>
          <w:sz w:val="18"/>
        </w:rPr>
      </w:r>
      <w:r w:rsidRPr="00274654">
        <w:rPr>
          <w:i w:val="0"/>
          <w:noProof/>
          <w:sz w:val="18"/>
        </w:rPr>
        <w:fldChar w:fldCharType="separate"/>
      </w:r>
      <w:r w:rsidR="00D539DD">
        <w:rPr>
          <w:i w:val="0"/>
          <w:noProof/>
          <w:sz w:val="18"/>
        </w:rPr>
        <w:t>18</w:t>
      </w:r>
      <w:r w:rsidRPr="00274654">
        <w:rPr>
          <w:i w:val="0"/>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t>Insurance Act 1973</w:t>
      </w:r>
      <w:r w:rsidRPr="00274654">
        <w:rPr>
          <w:i w:val="0"/>
          <w:noProof/>
          <w:sz w:val="18"/>
        </w:rPr>
        <w:tab/>
      </w:r>
      <w:r w:rsidRPr="00274654">
        <w:rPr>
          <w:i w:val="0"/>
          <w:noProof/>
          <w:sz w:val="18"/>
        </w:rPr>
        <w:fldChar w:fldCharType="begin"/>
      </w:r>
      <w:r w:rsidRPr="00274654">
        <w:rPr>
          <w:i w:val="0"/>
          <w:noProof/>
          <w:sz w:val="18"/>
        </w:rPr>
        <w:instrText xml:space="preserve"> PAGEREF _Toc508110076 \h </w:instrText>
      </w:r>
      <w:r w:rsidRPr="00274654">
        <w:rPr>
          <w:i w:val="0"/>
          <w:noProof/>
          <w:sz w:val="18"/>
        </w:rPr>
      </w:r>
      <w:r w:rsidRPr="00274654">
        <w:rPr>
          <w:i w:val="0"/>
          <w:noProof/>
          <w:sz w:val="18"/>
        </w:rPr>
        <w:fldChar w:fldCharType="separate"/>
      </w:r>
      <w:r w:rsidR="00D539DD">
        <w:rPr>
          <w:i w:val="0"/>
          <w:noProof/>
          <w:sz w:val="18"/>
        </w:rPr>
        <w:t>19</w:t>
      </w:r>
      <w:r w:rsidRPr="00274654">
        <w:rPr>
          <w:i w:val="0"/>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t>Life Insurance Act 1995</w:t>
      </w:r>
      <w:r w:rsidRPr="00274654">
        <w:rPr>
          <w:i w:val="0"/>
          <w:noProof/>
          <w:sz w:val="18"/>
        </w:rPr>
        <w:tab/>
      </w:r>
      <w:r w:rsidRPr="00274654">
        <w:rPr>
          <w:i w:val="0"/>
          <w:noProof/>
          <w:sz w:val="18"/>
        </w:rPr>
        <w:fldChar w:fldCharType="begin"/>
      </w:r>
      <w:r w:rsidRPr="00274654">
        <w:rPr>
          <w:i w:val="0"/>
          <w:noProof/>
          <w:sz w:val="18"/>
        </w:rPr>
        <w:instrText xml:space="preserve"> PAGEREF _Toc508110078 \h </w:instrText>
      </w:r>
      <w:r w:rsidRPr="00274654">
        <w:rPr>
          <w:i w:val="0"/>
          <w:noProof/>
          <w:sz w:val="18"/>
        </w:rPr>
      </w:r>
      <w:r w:rsidRPr="00274654">
        <w:rPr>
          <w:i w:val="0"/>
          <w:noProof/>
          <w:sz w:val="18"/>
        </w:rPr>
        <w:fldChar w:fldCharType="separate"/>
      </w:r>
      <w:r w:rsidR="00D539DD">
        <w:rPr>
          <w:i w:val="0"/>
          <w:noProof/>
          <w:sz w:val="18"/>
        </w:rPr>
        <w:t>19</w:t>
      </w:r>
      <w:r w:rsidRPr="00274654">
        <w:rPr>
          <w:i w:val="0"/>
          <w:noProof/>
          <w:sz w:val="18"/>
        </w:rPr>
        <w:fldChar w:fldCharType="end"/>
      </w:r>
    </w:p>
    <w:p w:rsidR="00274654" w:rsidRDefault="00274654">
      <w:pPr>
        <w:pStyle w:val="TOC6"/>
        <w:rPr>
          <w:rFonts w:asciiTheme="minorHAnsi" w:eastAsiaTheme="minorEastAsia" w:hAnsiTheme="minorHAnsi" w:cstheme="minorBidi"/>
          <w:b w:val="0"/>
          <w:noProof/>
          <w:kern w:val="0"/>
          <w:sz w:val="22"/>
          <w:szCs w:val="22"/>
        </w:rPr>
      </w:pPr>
      <w:r>
        <w:rPr>
          <w:noProof/>
        </w:rPr>
        <w:t>Schedule 5—Credit card reforms</w:t>
      </w:r>
      <w:r w:rsidRPr="00274654">
        <w:rPr>
          <w:b w:val="0"/>
          <w:noProof/>
          <w:sz w:val="18"/>
        </w:rPr>
        <w:tab/>
      </w:r>
      <w:r w:rsidRPr="00274654">
        <w:rPr>
          <w:b w:val="0"/>
          <w:noProof/>
          <w:sz w:val="18"/>
        </w:rPr>
        <w:fldChar w:fldCharType="begin"/>
      </w:r>
      <w:r w:rsidRPr="00274654">
        <w:rPr>
          <w:b w:val="0"/>
          <w:noProof/>
          <w:sz w:val="18"/>
        </w:rPr>
        <w:instrText xml:space="preserve"> PAGEREF _Toc508110079 \h </w:instrText>
      </w:r>
      <w:r w:rsidRPr="00274654">
        <w:rPr>
          <w:b w:val="0"/>
          <w:noProof/>
          <w:sz w:val="18"/>
        </w:rPr>
      </w:r>
      <w:r w:rsidRPr="00274654">
        <w:rPr>
          <w:b w:val="0"/>
          <w:noProof/>
          <w:sz w:val="18"/>
        </w:rPr>
        <w:fldChar w:fldCharType="separate"/>
      </w:r>
      <w:r w:rsidR="00D539DD">
        <w:rPr>
          <w:b w:val="0"/>
          <w:noProof/>
          <w:sz w:val="18"/>
        </w:rPr>
        <w:t>21</w:t>
      </w:r>
      <w:r w:rsidRPr="00274654">
        <w:rPr>
          <w:b w:val="0"/>
          <w:noProof/>
          <w:sz w:val="18"/>
        </w:rPr>
        <w:fldChar w:fldCharType="end"/>
      </w:r>
    </w:p>
    <w:p w:rsidR="00274654" w:rsidRDefault="00274654">
      <w:pPr>
        <w:pStyle w:val="TOC7"/>
        <w:rPr>
          <w:rFonts w:asciiTheme="minorHAnsi" w:eastAsiaTheme="minorEastAsia" w:hAnsiTheme="minorHAnsi" w:cstheme="minorBidi"/>
          <w:noProof/>
          <w:kern w:val="0"/>
          <w:sz w:val="22"/>
          <w:szCs w:val="22"/>
        </w:rPr>
      </w:pPr>
      <w:r>
        <w:rPr>
          <w:noProof/>
        </w:rPr>
        <w:t>Part 1—When a credit card contract, or a credit limit increase, is unsuitable</w:t>
      </w:r>
      <w:r w:rsidRPr="00274654">
        <w:rPr>
          <w:noProof/>
          <w:sz w:val="18"/>
        </w:rPr>
        <w:tab/>
      </w:r>
      <w:r w:rsidRPr="00274654">
        <w:rPr>
          <w:noProof/>
          <w:sz w:val="18"/>
        </w:rPr>
        <w:fldChar w:fldCharType="begin"/>
      </w:r>
      <w:r w:rsidRPr="00274654">
        <w:rPr>
          <w:noProof/>
          <w:sz w:val="18"/>
        </w:rPr>
        <w:instrText xml:space="preserve"> PAGEREF _Toc508110080 \h </w:instrText>
      </w:r>
      <w:r w:rsidRPr="00274654">
        <w:rPr>
          <w:noProof/>
          <w:sz w:val="18"/>
        </w:rPr>
      </w:r>
      <w:r w:rsidRPr="00274654">
        <w:rPr>
          <w:noProof/>
          <w:sz w:val="18"/>
        </w:rPr>
        <w:fldChar w:fldCharType="separate"/>
      </w:r>
      <w:r w:rsidR="00D539DD">
        <w:rPr>
          <w:noProof/>
          <w:sz w:val="18"/>
        </w:rPr>
        <w:t>21</w:t>
      </w:r>
      <w:r w:rsidRPr="00274654">
        <w:rPr>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t>National Consumer Credit Protection Act 2009</w:t>
      </w:r>
      <w:r w:rsidRPr="00274654">
        <w:rPr>
          <w:i w:val="0"/>
          <w:noProof/>
          <w:sz w:val="18"/>
        </w:rPr>
        <w:tab/>
      </w:r>
      <w:r w:rsidRPr="00274654">
        <w:rPr>
          <w:i w:val="0"/>
          <w:noProof/>
          <w:sz w:val="18"/>
        </w:rPr>
        <w:fldChar w:fldCharType="begin"/>
      </w:r>
      <w:r w:rsidRPr="00274654">
        <w:rPr>
          <w:i w:val="0"/>
          <w:noProof/>
          <w:sz w:val="18"/>
        </w:rPr>
        <w:instrText xml:space="preserve"> PAGEREF _Toc508110081 \h </w:instrText>
      </w:r>
      <w:r w:rsidRPr="00274654">
        <w:rPr>
          <w:i w:val="0"/>
          <w:noProof/>
          <w:sz w:val="18"/>
        </w:rPr>
      </w:r>
      <w:r w:rsidRPr="00274654">
        <w:rPr>
          <w:i w:val="0"/>
          <w:noProof/>
          <w:sz w:val="18"/>
        </w:rPr>
        <w:fldChar w:fldCharType="separate"/>
      </w:r>
      <w:r w:rsidR="00D539DD">
        <w:rPr>
          <w:i w:val="0"/>
          <w:noProof/>
          <w:sz w:val="18"/>
        </w:rPr>
        <w:t>21</w:t>
      </w:r>
      <w:r w:rsidRPr="00274654">
        <w:rPr>
          <w:i w:val="0"/>
          <w:noProof/>
          <w:sz w:val="18"/>
        </w:rPr>
        <w:fldChar w:fldCharType="end"/>
      </w:r>
    </w:p>
    <w:p w:rsidR="00274654" w:rsidRDefault="00274654">
      <w:pPr>
        <w:pStyle w:val="TOC7"/>
        <w:rPr>
          <w:rFonts w:asciiTheme="minorHAnsi" w:eastAsiaTheme="minorEastAsia" w:hAnsiTheme="minorHAnsi" w:cstheme="minorBidi"/>
          <w:noProof/>
          <w:kern w:val="0"/>
          <w:sz w:val="22"/>
          <w:szCs w:val="22"/>
        </w:rPr>
      </w:pPr>
      <w:r>
        <w:rPr>
          <w:noProof/>
        </w:rPr>
        <w:t>Part 2—Credit limits</w:t>
      </w:r>
      <w:r w:rsidRPr="00274654">
        <w:rPr>
          <w:noProof/>
          <w:sz w:val="18"/>
        </w:rPr>
        <w:tab/>
      </w:r>
      <w:r w:rsidRPr="00274654">
        <w:rPr>
          <w:noProof/>
          <w:sz w:val="18"/>
        </w:rPr>
        <w:fldChar w:fldCharType="begin"/>
      </w:r>
      <w:r w:rsidRPr="00274654">
        <w:rPr>
          <w:noProof/>
          <w:sz w:val="18"/>
        </w:rPr>
        <w:instrText xml:space="preserve"> PAGEREF _Toc508110084 \h </w:instrText>
      </w:r>
      <w:r w:rsidRPr="00274654">
        <w:rPr>
          <w:noProof/>
          <w:sz w:val="18"/>
        </w:rPr>
      </w:r>
      <w:r w:rsidRPr="00274654">
        <w:rPr>
          <w:noProof/>
          <w:sz w:val="18"/>
        </w:rPr>
        <w:fldChar w:fldCharType="separate"/>
      </w:r>
      <w:r w:rsidR="00D539DD">
        <w:rPr>
          <w:noProof/>
          <w:sz w:val="18"/>
        </w:rPr>
        <w:t>24</w:t>
      </w:r>
      <w:r w:rsidRPr="00274654">
        <w:rPr>
          <w:noProof/>
          <w:sz w:val="18"/>
        </w:rPr>
        <w:fldChar w:fldCharType="end"/>
      </w:r>
    </w:p>
    <w:p w:rsidR="00274654" w:rsidRDefault="00274654">
      <w:pPr>
        <w:pStyle w:val="TOC8"/>
        <w:rPr>
          <w:rFonts w:asciiTheme="minorHAnsi" w:eastAsiaTheme="minorEastAsia" w:hAnsiTheme="minorHAnsi" w:cstheme="minorBidi"/>
          <w:noProof/>
          <w:kern w:val="0"/>
          <w:sz w:val="22"/>
          <w:szCs w:val="22"/>
        </w:rPr>
      </w:pPr>
      <w:r>
        <w:rPr>
          <w:noProof/>
        </w:rPr>
        <w:t>Division 1—Credit limit increases</w:t>
      </w:r>
      <w:r w:rsidRPr="00274654">
        <w:rPr>
          <w:noProof/>
          <w:sz w:val="18"/>
        </w:rPr>
        <w:tab/>
      </w:r>
      <w:r w:rsidRPr="00274654">
        <w:rPr>
          <w:noProof/>
          <w:sz w:val="18"/>
        </w:rPr>
        <w:fldChar w:fldCharType="begin"/>
      </w:r>
      <w:r w:rsidRPr="00274654">
        <w:rPr>
          <w:noProof/>
          <w:sz w:val="18"/>
        </w:rPr>
        <w:instrText xml:space="preserve"> PAGEREF _Toc508110085 \h </w:instrText>
      </w:r>
      <w:r w:rsidRPr="00274654">
        <w:rPr>
          <w:noProof/>
          <w:sz w:val="18"/>
        </w:rPr>
      </w:r>
      <w:r w:rsidRPr="00274654">
        <w:rPr>
          <w:noProof/>
          <w:sz w:val="18"/>
        </w:rPr>
        <w:fldChar w:fldCharType="separate"/>
      </w:r>
      <w:r w:rsidR="00D539DD">
        <w:rPr>
          <w:noProof/>
          <w:sz w:val="18"/>
        </w:rPr>
        <w:t>24</w:t>
      </w:r>
      <w:r w:rsidRPr="00274654">
        <w:rPr>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t>National Consumer Credit Protection Act 2009</w:t>
      </w:r>
      <w:r w:rsidRPr="00274654">
        <w:rPr>
          <w:i w:val="0"/>
          <w:noProof/>
          <w:sz w:val="18"/>
        </w:rPr>
        <w:tab/>
      </w:r>
      <w:r w:rsidRPr="00274654">
        <w:rPr>
          <w:i w:val="0"/>
          <w:noProof/>
          <w:sz w:val="18"/>
        </w:rPr>
        <w:fldChar w:fldCharType="begin"/>
      </w:r>
      <w:r w:rsidRPr="00274654">
        <w:rPr>
          <w:i w:val="0"/>
          <w:noProof/>
          <w:sz w:val="18"/>
        </w:rPr>
        <w:instrText xml:space="preserve"> PAGEREF _Toc508110086 \h </w:instrText>
      </w:r>
      <w:r w:rsidRPr="00274654">
        <w:rPr>
          <w:i w:val="0"/>
          <w:noProof/>
          <w:sz w:val="18"/>
        </w:rPr>
      </w:r>
      <w:r w:rsidRPr="00274654">
        <w:rPr>
          <w:i w:val="0"/>
          <w:noProof/>
          <w:sz w:val="18"/>
        </w:rPr>
        <w:fldChar w:fldCharType="separate"/>
      </w:r>
      <w:r w:rsidR="00D539DD">
        <w:rPr>
          <w:i w:val="0"/>
          <w:noProof/>
          <w:sz w:val="18"/>
        </w:rPr>
        <w:t>24</w:t>
      </w:r>
      <w:r w:rsidRPr="00274654">
        <w:rPr>
          <w:i w:val="0"/>
          <w:noProof/>
          <w:sz w:val="18"/>
        </w:rPr>
        <w:fldChar w:fldCharType="end"/>
      </w:r>
    </w:p>
    <w:p w:rsidR="00274654" w:rsidRDefault="00274654">
      <w:pPr>
        <w:pStyle w:val="TOC8"/>
        <w:rPr>
          <w:rFonts w:asciiTheme="minorHAnsi" w:eastAsiaTheme="minorEastAsia" w:hAnsiTheme="minorHAnsi" w:cstheme="minorBidi"/>
          <w:noProof/>
          <w:kern w:val="0"/>
          <w:sz w:val="22"/>
          <w:szCs w:val="22"/>
        </w:rPr>
      </w:pPr>
      <w:r>
        <w:rPr>
          <w:noProof/>
        </w:rPr>
        <w:t>Division 2—Credit limit reductions</w:t>
      </w:r>
      <w:r w:rsidRPr="00274654">
        <w:rPr>
          <w:noProof/>
          <w:sz w:val="18"/>
        </w:rPr>
        <w:tab/>
      </w:r>
      <w:r w:rsidRPr="00274654">
        <w:rPr>
          <w:noProof/>
          <w:sz w:val="18"/>
        </w:rPr>
        <w:fldChar w:fldCharType="begin"/>
      </w:r>
      <w:r w:rsidRPr="00274654">
        <w:rPr>
          <w:noProof/>
          <w:sz w:val="18"/>
        </w:rPr>
        <w:instrText xml:space="preserve"> PAGEREF _Toc508110087 \h </w:instrText>
      </w:r>
      <w:r w:rsidRPr="00274654">
        <w:rPr>
          <w:noProof/>
          <w:sz w:val="18"/>
        </w:rPr>
      </w:r>
      <w:r w:rsidRPr="00274654">
        <w:rPr>
          <w:noProof/>
          <w:sz w:val="18"/>
        </w:rPr>
        <w:fldChar w:fldCharType="separate"/>
      </w:r>
      <w:r w:rsidR="00D539DD">
        <w:rPr>
          <w:noProof/>
          <w:sz w:val="18"/>
        </w:rPr>
        <w:t>24</w:t>
      </w:r>
      <w:r w:rsidRPr="00274654">
        <w:rPr>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t>National Consumer Credit Protection Act 2009</w:t>
      </w:r>
      <w:r w:rsidRPr="00274654">
        <w:rPr>
          <w:i w:val="0"/>
          <w:noProof/>
          <w:sz w:val="18"/>
        </w:rPr>
        <w:tab/>
      </w:r>
      <w:r w:rsidRPr="00274654">
        <w:rPr>
          <w:i w:val="0"/>
          <w:noProof/>
          <w:sz w:val="18"/>
        </w:rPr>
        <w:fldChar w:fldCharType="begin"/>
      </w:r>
      <w:r w:rsidRPr="00274654">
        <w:rPr>
          <w:i w:val="0"/>
          <w:noProof/>
          <w:sz w:val="18"/>
        </w:rPr>
        <w:instrText xml:space="preserve"> PAGEREF _Toc508110088 \h </w:instrText>
      </w:r>
      <w:r w:rsidRPr="00274654">
        <w:rPr>
          <w:i w:val="0"/>
          <w:noProof/>
          <w:sz w:val="18"/>
        </w:rPr>
      </w:r>
      <w:r w:rsidRPr="00274654">
        <w:rPr>
          <w:i w:val="0"/>
          <w:noProof/>
          <w:sz w:val="18"/>
        </w:rPr>
        <w:fldChar w:fldCharType="separate"/>
      </w:r>
      <w:r w:rsidR="00D539DD">
        <w:rPr>
          <w:i w:val="0"/>
          <w:noProof/>
          <w:sz w:val="18"/>
        </w:rPr>
        <w:t>24</w:t>
      </w:r>
      <w:r w:rsidRPr="00274654">
        <w:rPr>
          <w:i w:val="0"/>
          <w:noProof/>
          <w:sz w:val="18"/>
        </w:rPr>
        <w:fldChar w:fldCharType="end"/>
      </w:r>
    </w:p>
    <w:p w:rsidR="00274654" w:rsidRDefault="00274654">
      <w:pPr>
        <w:pStyle w:val="TOC7"/>
        <w:rPr>
          <w:rFonts w:asciiTheme="minorHAnsi" w:eastAsiaTheme="minorEastAsia" w:hAnsiTheme="minorHAnsi" w:cstheme="minorBidi"/>
          <w:noProof/>
          <w:kern w:val="0"/>
          <w:sz w:val="22"/>
          <w:szCs w:val="22"/>
        </w:rPr>
      </w:pPr>
      <w:r>
        <w:rPr>
          <w:noProof/>
        </w:rPr>
        <w:t>Part 3—Interest charges</w:t>
      </w:r>
      <w:r w:rsidRPr="00274654">
        <w:rPr>
          <w:noProof/>
          <w:sz w:val="18"/>
        </w:rPr>
        <w:tab/>
      </w:r>
      <w:r w:rsidRPr="00274654">
        <w:rPr>
          <w:noProof/>
          <w:sz w:val="18"/>
        </w:rPr>
        <w:fldChar w:fldCharType="begin"/>
      </w:r>
      <w:r w:rsidRPr="00274654">
        <w:rPr>
          <w:noProof/>
          <w:sz w:val="18"/>
        </w:rPr>
        <w:instrText xml:space="preserve"> PAGEREF _Toc508110094 \h </w:instrText>
      </w:r>
      <w:r w:rsidRPr="00274654">
        <w:rPr>
          <w:noProof/>
          <w:sz w:val="18"/>
        </w:rPr>
      </w:r>
      <w:r w:rsidRPr="00274654">
        <w:rPr>
          <w:noProof/>
          <w:sz w:val="18"/>
        </w:rPr>
        <w:fldChar w:fldCharType="separate"/>
      </w:r>
      <w:r w:rsidR="00D539DD">
        <w:rPr>
          <w:noProof/>
          <w:sz w:val="18"/>
        </w:rPr>
        <w:t>29</w:t>
      </w:r>
      <w:r w:rsidRPr="00274654">
        <w:rPr>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t>National Consumer Credit Protection Act 2009</w:t>
      </w:r>
      <w:r w:rsidRPr="00274654">
        <w:rPr>
          <w:i w:val="0"/>
          <w:noProof/>
          <w:sz w:val="18"/>
        </w:rPr>
        <w:tab/>
      </w:r>
      <w:r w:rsidRPr="00274654">
        <w:rPr>
          <w:i w:val="0"/>
          <w:noProof/>
          <w:sz w:val="18"/>
        </w:rPr>
        <w:fldChar w:fldCharType="begin"/>
      </w:r>
      <w:r w:rsidRPr="00274654">
        <w:rPr>
          <w:i w:val="0"/>
          <w:noProof/>
          <w:sz w:val="18"/>
        </w:rPr>
        <w:instrText xml:space="preserve"> PAGEREF _Toc508110095 \h </w:instrText>
      </w:r>
      <w:r w:rsidRPr="00274654">
        <w:rPr>
          <w:i w:val="0"/>
          <w:noProof/>
          <w:sz w:val="18"/>
        </w:rPr>
      </w:r>
      <w:r w:rsidRPr="00274654">
        <w:rPr>
          <w:i w:val="0"/>
          <w:noProof/>
          <w:sz w:val="18"/>
        </w:rPr>
        <w:fldChar w:fldCharType="separate"/>
      </w:r>
      <w:r w:rsidR="00D539DD">
        <w:rPr>
          <w:i w:val="0"/>
          <w:noProof/>
          <w:sz w:val="18"/>
        </w:rPr>
        <w:t>29</w:t>
      </w:r>
      <w:r w:rsidRPr="00274654">
        <w:rPr>
          <w:i w:val="0"/>
          <w:noProof/>
          <w:sz w:val="18"/>
        </w:rPr>
        <w:fldChar w:fldCharType="end"/>
      </w:r>
    </w:p>
    <w:p w:rsidR="00274654" w:rsidRDefault="00274654">
      <w:pPr>
        <w:pStyle w:val="TOC7"/>
        <w:rPr>
          <w:rFonts w:asciiTheme="minorHAnsi" w:eastAsiaTheme="minorEastAsia" w:hAnsiTheme="minorHAnsi" w:cstheme="minorBidi"/>
          <w:noProof/>
          <w:kern w:val="0"/>
          <w:sz w:val="22"/>
          <w:szCs w:val="22"/>
        </w:rPr>
      </w:pPr>
      <w:r>
        <w:rPr>
          <w:noProof/>
        </w:rPr>
        <w:t>Part 4—Ending credit card contracts</w:t>
      </w:r>
      <w:r w:rsidRPr="00274654">
        <w:rPr>
          <w:noProof/>
          <w:sz w:val="18"/>
        </w:rPr>
        <w:tab/>
      </w:r>
      <w:r w:rsidRPr="00274654">
        <w:rPr>
          <w:noProof/>
          <w:sz w:val="18"/>
        </w:rPr>
        <w:fldChar w:fldCharType="begin"/>
      </w:r>
      <w:r w:rsidRPr="00274654">
        <w:rPr>
          <w:noProof/>
          <w:sz w:val="18"/>
        </w:rPr>
        <w:instrText xml:space="preserve"> PAGEREF _Toc508110098 \h </w:instrText>
      </w:r>
      <w:r w:rsidRPr="00274654">
        <w:rPr>
          <w:noProof/>
          <w:sz w:val="18"/>
        </w:rPr>
      </w:r>
      <w:r w:rsidRPr="00274654">
        <w:rPr>
          <w:noProof/>
          <w:sz w:val="18"/>
        </w:rPr>
        <w:fldChar w:fldCharType="separate"/>
      </w:r>
      <w:r w:rsidR="00D539DD">
        <w:rPr>
          <w:noProof/>
          <w:sz w:val="18"/>
        </w:rPr>
        <w:t>31</w:t>
      </w:r>
      <w:r w:rsidRPr="00274654">
        <w:rPr>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t>National Consumer Credit Protection Act 2009</w:t>
      </w:r>
      <w:r w:rsidRPr="00274654">
        <w:rPr>
          <w:i w:val="0"/>
          <w:noProof/>
          <w:sz w:val="18"/>
        </w:rPr>
        <w:tab/>
      </w:r>
      <w:r w:rsidRPr="00274654">
        <w:rPr>
          <w:i w:val="0"/>
          <w:noProof/>
          <w:sz w:val="18"/>
        </w:rPr>
        <w:fldChar w:fldCharType="begin"/>
      </w:r>
      <w:r w:rsidRPr="00274654">
        <w:rPr>
          <w:i w:val="0"/>
          <w:noProof/>
          <w:sz w:val="18"/>
        </w:rPr>
        <w:instrText xml:space="preserve"> PAGEREF _Toc508110099 \h </w:instrText>
      </w:r>
      <w:r w:rsidRPr="00274654">
        <w:rPr>
          <w:i w:val="0"/>
          <w:noProof/>
          <w:sz w:val="18"/>
        </w:rPr>
      </w:r>
      <w:r w:rsidRPr="00274654">
        <w:rPr>
          <w:i w:val="0"/>
          <w:noProof/>
          <w:sz w:val="18"/>
        </w:rPr>
        <w:fldChar w:fldCharType="separate"/>
      </w:r>
      <w:r w:rsidR="00D539DD">
        <w:rPr>
          <w:i w:val="0"/>
          <w:noProof/>
          <w:sz w:val="18"/>
        </w:rPr>
        <w:t>31</w:t>
      </w:r>
      <w:r w:rsidRPr="00274654">
        <w:rPr>
          <w:i w:val="0"/>
          <w:noProof/>
          <w:sz w:val="18"/>
        </w:rPr>
        <w:fldChar w:fldCharType="end"/>
      </w:r>
    </w:p>
    <w:p w:rsidR="00274654" w:rsidRDefault="00274654">
      <w:pPr>
        <w:pStyle w:val="TOC7"/>
        <w:rPr>
          <w:rFonts w:asciiTheme="minorHAnsi" w:eastAsiaTheme="minorEastAsia" w:hAnsiTheme="minorHAnsi" w:cstheme="minorBidi"/>
          <w:noProof/>
          <w:kern w:val="0"/>
          <w:sz w:val="22"/>
          <w:szCs w:val="22"/>
        </w:rPr>
      </w:pPr>
      <w:r>
        <w:rPr>
          <w:noProof/>
        </w:rPr>
        <w:t>Part 5—Application provisions</w:t>
      </w:r>
      <w:r w:rsidRPr="00274654">
        <w:rPr>
          <w:noProof/>
          <w:sz w:val="18"/>
        </w:rPr>
        <w:tab/>
      </w:r>
      <w:r w:rsidRPr="00274654">
        <w:rPr>
          <w:noProof/>
          <w:sz w:val="18"/>
        </w:rPr>
        <w:fldChar w:fldCharType="begin"/>
      </w:r>
      <w:r w:rsidRPr="00274654">
        <w:rPr>
          <w:noProof/>
          <w:sz w:val="18"/>
        </w:rPr>
        <w:instrText xml:space="preserve"> PAGEREF _Toc508110105 \h </w:instrText>
      </w:r>
      <w:r w:rsidRPr="00274654">
        <w:rPr>
          <w:noProof/>
          <w:sz w:val="18"/>
        </w:rPr>
      </w:r>
      <w:r w:rsidRPr="00274654">
        <w:rPr>
          <w:noProof/>
          <w:sz w:val="18"/>
        </w:rPr>
        <w:fldChar w:fldCharType="separate"/>
      </w:r>
      <w:r w:rsidR="00D539DD">
        <w:rPr>
          <w:noProof/>
          <w:sz w:val="18"/>
        </w:rPr>
        <w:t>35</w:t>
      </w:r>
      <w:r w:rsidRPr="00274654">
        <w:rPr>
          <w:noProof/>
          <w:sz w:val="18"/>
        </w:rPr>
        <w:fldChar w:fldCharType="end"/>
      </w:r>
    </w:p>
    <w:p w:rsidR="00274654" w:rsidRDefault="00274654">
      <w:pPr>
        <w:pStyle w:val="TOC9"/>
        <w:rPr>
          <w:rFonts w:asciiTheme="minorHAnsi" w:eastAsiaTheme="minorEastAsia" w:hAnsiTheme="minorHAnsi" w:cstheme="minorBidi"/>
          <w:i w:val="0"/>
          <w:noProof/>
          <w:kern w:val="0"/>
          <w:sz w:val="22"/>
          <w:szCs w:val="22"/>
        </w:rPr>
      </w:pPr>
      <w:r>
        <w:rPr>
          <w:noProof/>
        </w:rPr>
        <w:lastRenderedPageBreak/>
        <w:t>National Consumer Credit Protection (Transitional and Consequential Provisions) Act 2009</w:t>
      </w:r>
      <w:r w:rsidRPr="00274654">
        <w:rPr>
          <w:i w:val="0"/>
          <w:noProof/>
          <w:sz w:val="18"/>
        </w:rPr>
        <w:tab/>
      </w:r>
      <w:r w:rsidRPr="00274654">
        <w:rPr>
          <w:i w:val="0"/>
          <w:noProof/>
          <w:sz w:val="18"/>
        </w:rPr>
        <w:fldChar w:fldCharType="begin"/>
      </w:r>
      <w:r w:rsidRPr="00274654">
        <w:rPr>
          <w:i w:val="0"/>
          <w:noProof/>
          <w:sz w:val="18"/>
        </w:rPr>
        <w:instrText xml:space="preserve"> PAGEREF _Toc508110106 \h </w:instrText>
      </w:r>
      <w:r w:rsidRPr="00274654">
        <w:rPr>
          <w:i w:val="0"/>
          <w:noProof/>
          <w:sz w:val="18"/>
        </w:rPr>
      </w:r>
      <w:r w:rsidRPr="00274654">
        <w:rPr>
          <w:i w:val="0"/>
          <w:noProof/>
          <w:sz w:val="18"/>
        </w:rPr>
        <w:fldChar w:fldCharType="separate"/>
      </w:r>
      <w:r w:rsidR="00D539DD">
        <w:rPr>
          <w:i w:val="0"/>
          <w:noProof/>
          <w:sz w:val="18"/>
        </w:rPr>
        <w:t>35</w:t>
      </w:r>
      <w:r w:rsidRPr="00274654">
        <w:rPr>
          <w:i w:val="0"/>
          <w:noProof/>
          <w:sz w:val="18"/>
        </w:rPr>
        <w:fldChar w:fldCharType="end"/>
      </w:r>
    </w:p>
    <w:p w:rsidR="009101D8" w:rsidRDefault="00274654" w:rsidP="009101D8">
      <w:r>
        <w:fldChar w:fldCharType="end"/>
      </w:r>
    </w:p>
    <w:p w:rsidR="008B132D" w:rsidRPr="009714E7" w:rsidRDefault="008B132D" w:rsidP="009101D8">
      <w:pPr>
        <w:sectPr w:rsidR="008B132D" w:rsidRPr="009714E7" w:rsidSect="004A20B5">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bookmarkStart w:id="0" w:name="_GoBack"/>
      <w:bookmarkEnd w:id="0"/>
    </w:p>
    <w:p w:rsidR="004A20B5" w:rsidRDefault="004A20B5">
      <w:r>
        <w:object w:dxaOrig="2146" w:dyaOrig="1561">
          <v:shape id="_x0000_i1026" type="#_x0000_t75" alt="Commonwealth Coat of Arms of Australia" style="width:111pt;height:80.25pt" o:ole="" fillcolor="window">
            <v:imagedata r:id="rId8" o:title=""/>
          </v:shape>
          <o:OLEObject Type="Embed" ProgID="Word.Picture.8" ShapeID="_x0000_i1026" DrawAspect="Content" ObjectID="_1581855055" r:id="rId20"/>
        </w:object>
      </w:r>
    </w:p>
    <w:p w:rsidR="004A20B5" w:rsidRDefault="004A20B5"/>
    <w:p w:rsidR="004A20B5" w:rsidRDefault="004A20B5" w:rsidP="004A20B5">
      <w:pPr>
        <w:spacing w:line="240" w:lineRule="auto"/>
      </w:pPr>
    </w:p>
    <w:p w:rsidR="004A20B5" w:rsidRDefault="00D539DD" w:rsidP="004A20B5">
      <w:pPr>
        <w:pStyle w:val="ShortTP1"/>
      </w:pPr>
      <w:fldSimple w:instr=" STYLEREF ShortT ">
        <w:r>
          <w:rPr>
            <w:noProof/>
          </w:rPr>
          <w:t>Treasury Laws Amendment (Banking Measures No. 1) Act 2018</w:t>
        </w:r>
      </w:fldSimple>
    </w:p>
    <w:p w:rsidR="004A20B5" w:rsidRDefault="00D539DD" w:rsidP="004A20B5">
      <w:pPr>
        <w:pStyle w:val="ActNoP1"/>
      </w:pPr>
      <w:fldSimple w:instr=" STYLEREF Actno ">
        <w:r>
          <w:rPr>
            <w:noProof/>
          </w:rPr>
          <w:t>No. 9, 2018</w:t>
        </w:r>
      </w:fldSimple>
    </w:p>
    <w:p w:rsidR="004A20B5" w:rsidRPr="009A0728" w:rsidRDefault="004A20B5" w:rsidP="00880EED">
      <w:pPr>
        <w:pBdr>
          <w:bottom w:val="single" w:sz="6" w:space="0" w:color="auto"/>
        </w:pBdr>
        <w:spacing w:before="400" w:line="240" w:lineRule="auto"/>
        <w:rPr>
          <w:rFonts w:eastAsia="Times New Roman"/>
          <w:b/>
          <w:sz w:val="28"/>
        </w:rPr>
      </w:pPr>
    </w:p>
    <w:p w:rsidR="004A20B5" w:rsidRPr="009A0728" w:rsidRDefault="004A20B5" w:rsidP="00880EED">
      <w:pPr>
        <w:spacing w:line="40" w:lineRule="exact"/>
        <w:rPr>
          <w:rFonts w:eastAsia="Calibri"/>
          <w:b/>
          <w:sz w:val="28"/>
        </w:rPr>
      </w:pPr>
    </w:p>
    <w:p w:rsidR="004A20B5" w:rsidRPr="009A0728" w:rsidRDefault="004A20B5" w:rsidP="00880EED">
      <w:pPr>
        <w:pBdr>
          <w:top w:val="single" w:sz="12" w:space="0" w:color="auto"/>
        </w:pBdr>
        <w:spacing w:line="240" w:lineRule="auto"/>
        <w:rPr>
          <w:rFonts w:eastAsia="Times New Roman"/>
          <w:b/>
          <w:sz w:val="28"/>
        </w:rPr>
      </w:pPr>
    </w:p>
    <w:p w:rsidR="008678D7" w:rsidRPr="009714E7" w:rsidRDefault="004A20B5" w:rsidP="009714E7">
      <w:pPr>
        <w:pStyle w:val="Page1"/>
      </w:pPr>
      <w:r>
        <w:t>An Act</w:t>
      </w:r>
      <w:r w:rsidR="009714E7" w:rsidRPr="009714E7">
        <w:t xml:space="preserve"> to amend the law relating to banking, insurance, credit, registrable corporations and financial system regulation, and for related purposes</w:t>
      </w:r>
    </w:p>
    <w:p w:rsidR="00880EED" w:rsidRDefault="00880EED" w:rsidP="00880EED">
      <w:pPr>
        <w:pStyle w:val="AssentDt"/>
        <w:spacing w:before="240"/>
        <w:rPr>
          <w:sz w:val="24"/>
        </w:rPr>
      </w:pPr>
      <w:r>
        <w:rPr>
          <w:sz w:val="24"/>
        </w:rPr>
        <w:t>[</w:t>
      </w:r>
      <w:r>
        <w:rPr>
          <w:i/>
          <w:sz w:val="24"/>
        </w:rPr>
        <w:t>Assented to 5 March 2018</w:t>
      </w:r>
      <w:r>
        <w:rPr>
          <w:sz w:val="24"/>
        </w:rPr>
        <w:t>]</w:t>
      </w:r>
    </w:p>
    <w:p w:rsidR="009101D8" w:rsidRPr="009714E7" w:rsidRDefault="009101D8" w:rsidP="009714E7">
      <w:pPr>
        <w:spacing w:before="240" w:line="240" w:lineRule="auto"/>
        <w:rPr>
          <w:sz w:val="32"/>
        </w:rPr>
      </w:pPr>
      <w:r w:rsidRPr="009714E7">
        <w:rPr>
          <w:sz w:val="32"/>
        </w:rPr>
        <w:t>The Parliament of Australia enacts:</w:t>
      </w:r>
    </w:p>
    <w:p w:rsidR="009101D8" w:rsidRPr="009714E7" w:rsidRDefault="009101D8" w:rsidP="009714E7">
      <w:pPr>
        <w:pStyle w:val="ActHead5"/>
      </w:pPr>
      <w:bookmarkStart w:id="1" w:name="_Toc508110049"/>
      <w:r w:rsidRPr="009714E7">
        <w:rPr>
          <w:rStyle w:val="CharSectno"/>
        </w:rPr>
        <w:t>1</w:t>
      </w:r>
      <w:r w:rsidRPr="009714E7">
        <w:t xml:space="preserve">  Short title</w:t>
      </w:r>
      <w:bookmarkEnd w:id="1"/>
    </w:p>
    <w:p w:rsidR="009101D8" w:rsidRPr="009714E7" w:rsidRDefault="009101D8" w:rsidP="009714E7">
      <w:pPr>
        <w:pStyle w:val="subsection"/>
      </w:pPr>
      <w:r w:rsidRPr="009714E7">
        <w:tab/>
      </w:r>
      <w:r w:rsidRPr="009714E7">
        <w:tab/>
        <w:t xml:space="preserve">This Act is the </w:t>
      </w:r>
      <w:r w:rsidR="00796AC4" w:rsidRPr="009714E7">
        <w:rPr>
          <w:i/>
        </w:rPr>
        <w:t>Treasury Laws Amendment (Banking Measures No.</w:t>
      </w:r>
      <w:r w:rsidR="009714E7" w:rsidRPr="009714E7">
        <w:rPr>
          <w:i/>
        </w:rPr>
        <w:t> </w:t>
      </w:r>
      <w:r w:rsidR="00796AC4" w:rsidRPr="009714E7">
        <w:rPr>
          <w:i/>
        </w:rPr>
        <w:t>1) Act 201</w:t>
      </w:r>
      <w:r w:rsidR="00BC25DE">
        <w:rPr>
          <w:i/>
        </w:rPr>
        <w:t>8</w:t>
      </w:r>
      <w:r w:rsidRPr="009714E7">
        <w:t>.</w:t>
      </w:r>
    </w:p>
    <w:p w:rsidR="009101D8" w:rsidRPr="009714E7" w:rsidRDefault="009101D8" w:rsidP="009714E7">
      <w:pPr>
        <w:pStyle w:val="ActHead5"/>
      </w:pPr>
      <w:bookmarkStart w:id="2" w:name="_Toc508110050"/>
      <w:r w:rsidRPr="009714E7">
        <w:rPr>
          <w:rStyle w:val="CharSectno"/>
        </w:rPr>
        <w:lastRenderedPageBreak/>
        <w:t>2</w:t>
      </w:r>
      <w:r w:rsidRPr="009714E7">
        <w:t xml:space="preserve">  Commencement</w:t>
      </w:r>
      <w:bookmarkEnd w:id="2"/>
    </w:p>
    <w:p w:rsidR="009101D8" w:rsidRPr="009714E7" w:rsidRDefault="009101D8" w:rsidP="009714E7">
      <w:pPr>
        <w:pStyle w:val="subsection"/>
      </w:pPr>
      <w:r w:rsidRPr="009714E7">
        <w:tab/>
        <w:t>(1)</w:t>
      </w:r>
      <w:r w:rsidRPr="009714E7">
        <w:tab/>
        <w:t>Each provision of this Act specified in column 1 of the table commences, or is taken to have commenced, in accordance with column 2 of the table. Any other statement in column 2 has effect according to its terms.</w:t>
      </w:r>
    </w:p>
    <w:p w:rsidR="009101D8" w:rsidRPr="009714E7" w:rsidRDefault="009101D8" w:rsidP="009714E7">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101D8" w:rsidRPr="009714E7" w:rsidTr="003B2257">
        <w:trPr>
          <w:tblHeader/>
        </w:trPr>
        <w:tc>
          <w:tcPr>
            <w:tcW w:w="7111" w:type="dxa"/>
            <w:gridSpan w:val="3"/>
            <w:tcBorders>
              <w:top w:val="single" w:sz="12" w:space="0" w:color="auto"/>
              <w:bottom w:val="single" w:sz="6" w:space="0" w:color="auto"/>
            </w:tcBorders>
            <w:shd w:val="clear" w:color="auto" w:fill="auto"/>
          </w:tcPr>
          <w:p w:rsidR="009101D8" w:rsidRPr="009714E7" w:rsidRDefault="009101D8" w:rsidP="009714E7">
            <w:pPr>
              <w:pStyle w:val="TableHeading"/>
            </w:pPr>
            <w:r w:rsidRPr="009714E7">
              <w:t>Commencement information</w:t>
            </w:r>
          </w:p>
        </w:tc>
      </w:tr>
      <w:tr w:rsidR="009101D8" w:rsidRPr="009714E7" w:rsidTr="003B2257">
        <w:trPr>
          <w:tblHeader/>
        </w:trPr>
        <w:tc>
          <w:tcPr>
            <w:tcW w:w="1701" w:type="dxa"/>
            <w:tcBorders>
              <w:top w:val="single" w:sz="6" w:space="0" w:color="auto"/>
              <w:bottom w:val="single" w:sz="6" w:space="0" w:color="auto"/>
            </w:tcBorders>
            <w:shd w:val="clear" w:color="auto" w:fill="auto"/>
          </w:tcPr>
          <w:p w:rsidR="009101D8" w:rsidRPr="009714E7" w:rsidRDefault="009101D8" w:rsidP="009714E7">
            <w:pPr>
              <w:pStyle w:val="TableHeading"/>
            </w:pPr>
            <w:r w:rsidRPr="009714E7">
              <w:t>Column 1</w:t>
            </w:r>
          </w:p>
        </w:tc>
        <w:tc>
          <w:tcPr>
            <w:tcW w:w="3828" w:type="dxa"/>
            <w:tcBorders>
              <w:top w:val="single" w:sz="6" w:space="0" w:color="auto"/>
              <w:bottom w:val="single" w:sz="6" w:space="0" w:color="auto"/>
            </w:tcBorders>
            <w:shd w:val="clear" w:color="auto" w:fill="auto"/>
          </w:tcPr>
          <w:p w:rsidR="009101D8" w:rsidRPr="009714E7" w:rsidRDefault="009101D8" w:rsidP="009714E7">
            <w:pPr>
              <w:pStyle w:val="TableHeading"/>
            </w:pPr>
            <w:r w:rsidRPr="009714E7">
              <w:t>Column 2</w:t>
            </w:r>
          </w:p>
        </w:tc>
        <w:tc>
          <w:tcPr>
            <w:tcW w:w="1582" w:type="dxa"/>
            <w:tcBorders>
              <w:top w:val="single" w:sz="6" w:space="0" w:color="auto"/>
              <w:bottom w:val="single" w:sz="6" w:space="0" w:color="auto"/>
            </w:tcBorders>
            <w:shd w:val="clear" w:color="auto" w:fill="auto"/>
          </w:tcPr>
          <w:p w:rsidR="009101D8" w:rsidRPr="009714E7" w:rsidRDefault="009101D8" w:rsidP="009714E7">
            <w:pPr>
              <w:pStyle w:val="TableHeading"/>
            </w:pPr>
            <w:r w:rsidRPr="009714E7">
              <w:t>Column 3</w:t>
            </w:r>
          </w:p>
        </w:tc>
      </w:tr>
      <w:tr w:rsidR="009101D8" w:rsidRPr="009714E7" w:rsidTr="003B2257">
        <w:trPr>
          <w:tblHeader/>
        </w:trPr>
        <w:tc>
          <w:tcPr>
            <w:tcW w:w="1701" w:type="dxa"/>
            <w:tcBorders>
              <w:top w:val="single" w:sz="6" w:space="0" w:color="auto"/>
              <w:bottom w:val="single" w:sz="12" w:space="0" w:color="auto"/>
            </w:tcBorders>
            <w:shd w:val="clear" w:color="auto" w:fill="auto"/>
          </w:tcPr>
          <w:p w:rsidR="009101D8" w:rsidRPr="009714E7" w:rsidRDefault="009101D8" w:rsidP="009714E7">
            <w:pPr>
              <w:pStyle w:val="TableHeading"/>
            </w:pPr>
            <w:r w:rsidRPr="009714E7">
              <w:t>Provisions</w:t>
            </w:r>
          </w:p>
        </w:tc>
        <w:tc>
          <w:tcPr>
            <w:tcW w:w="3828" w:type="dxa"/>
            <w:tcBorders>
              <w:top w:val="single" w:sz="6" w:space="0" w:color="auto"/>
              <w:bottom w:val="single" w:sz="12" w:space="0" w:color="auto"/>
            </w:tcBorders>
            <w:shd w:val="clear" w:color="auto" w:fill="auto"/>
          </w:tcPr>
          <w:p w:rsidR="009101D8" w:rsidRPr="009714E7" w:rsidRDefault="009101D8" w:rsidP="009714E7">
            <w:pPr>
              <w:pStyle w:val="TableHeading"/>
            </w:pPr>
            <w:r w:rsidRPr="009714E7">
              <w:t>Commencement</w:t>
            </w:r>
          </w:p>
        </w:tc>
        <w:tc>
          <w:tcPr>
            <w:tcW w:w="1582" w:type="dxa"/>
            <w:tcBorders>
              <w:top w:val="single" w:sz="6" w:space="0" w:color="auto"/>
              <w:bottom w:val="single" w:sz="12" w:space="0" w:color="auto"/>
            </w:tcBorders>
            <w:shd w:val="clear" w:color="auto" w:fill="auto"/>
          </w:tcPr>
          <w:p w:rsidR="009101D8" w:rsidRPr="009714E7" w:rsidRDefault="009101D8" w:rsidP="009714E7">
            <w:pPr>
              <w:pStyle w:val="TableHeading"/>
            </w:pPr>
            <w:r w:rsidRPr="009714E7">
              <w:t>Date/Details</w:t>
            </w:r>
          </w:p>
        </w:tc>
      </w:tr>
      <w:tr w:rsidR="009101D8" w:rsidRPr="009714E7" w:rsidTr="003B2257">
        <w:tc>
          <w:tcPr>
            <w:tcW w:w="1701" w:type="dxa"/>
            <w:tcBorders>
              <w:top w:val="single" w:sz="12" w:space="0" w:color="auto"/>
            </w:tcBorders>
            <w:shd w:val="clear" w:color="auto" w:fill="auto"/>
          </w:tcPr>
          <w:p w:rsidR="009101D8" w:rsidRPr="009714E7" w:rsidRDefault="009101D8" w:rsidP="009714E7">
            <w:pPr>
              <w:pStyle w:val="Tabletext"/>
            </w:pPr>
            <w:r w:rsidRPr="009714E7">
              <w:t>1.  Sections</w:t>
            </w:r>
            <w:r w:rsidR="009714E7" w:rsidRPr="009714E7">
              <w:t> </w:t>
            </w:r>
            <w:r w:rsidRPr="009714E7">
              <w:t>1 to 3 and anything in this Act not elsewhere covered by this table</w:t>
            </w:r>
          </w:p>
        </w:tc>
        <w:tc>
          <w:tcPr>
            <w:tcW w:w="3828" w:type="dxa"/>
            <w:tcBorders>
              <w:top w:val="single" w:sz="12" w:space="0" w:color="auto"/>
            </w:tcBorders>
            <w:shd w:val="clear" w:color="auto" w:fill="auto"/>
          </w:tcPr>
          <w:p w:rsidR="009101D8" w:rsidRPr="009714E7" w:rsidRDefault="009101D8" w:rsidP="009714E7">
            <w:pPr>
              <w:pStyle w:val="Tabletext"/>
            </w:pPr>
            <w:r w:rsidRPr="009714E7">
              <w:t>The day this Act receives the Royal Assent.</w:t>
            </w:r>
          </w:p>
        </w:tc>
        <w:tc>
          <w:tcPr>
            <w:tcW w:w="1582" w:type="dxa"/>
            <w:tcBorders>
              <w:top w:val="single" w:sz="12" w:space="0" w:color="auto"/>
            </w:tcBorders>
            <w:shd w:val="clear" w:color="auto" w:fill="auto"/>
          </w:tcPr>
          <w:p w:rsidR="009101D8" w:rsidRPr="009714E7" w:rsidRDefault="00880EED" w:rsidP="009714E7">
            <w:pPr>
              <w:pStyle w:val="Tabletext"/>
            </w:pPr>
            <w:r>
              <w:t>5 March 2018</w:t>
            </w:r>
          </w:p>
        </w:tc>
      </w:tr>
      <w:tr w:rsidR="009101D8" w:rsidRPr="009714E7" w:rsidTr="004B0EFE">
        <w:tc>
          <w:tcPr>
            <w:tcW w:w="1701" w:type="dxa"/>
            <w:shd w:val="clear" w:color="auto" w:fill="auto"/>
          </w:tcPr>
          <w:p w:rsidR="009101D8" w:rsidRPr="009714E7" w:rsidRDefault="009101D8" w:rsidP="009714E7">
            <w:pPr>
              <w:pStyle w:val="Tabletext"/>
            </w:pPr>
            <w:r w:rsidRPr="009714E7">
              <w:t>2.  Schedules</w:t>
            </w:r>
            <w:r w:rsidR="009714E7" w:rsidRPr="009714E7">
              <w:t> </w:t>
            </w:r>
            <w:r w:rsidRPr="009714E7">
              <w:t>1 and 2</w:t>
            </w:r>
          </w:p>
        </w:tc>
        <w:tc>
          <w:tcPr>
            <w:tcW w:w="3828" w:type="dxa"/>
            <w:shd w:val="clear" w:color="auto" w:fill="auto"/>
          </w:tcPr>
          <w:p w:rsidR="009101D8" w:rsidRPr="009714E7" w:rsidRDefault="009101D8" w:rsidP="009714E7">
            <w:pPr>
              <w:pStyle w:val="Tabletext"/>
            </w:pPr>
            <w:r w:rsidRPr="009714E7">
              <w:t>The day this Act receives the Royal Assent.</w:t>
            </w:r>
          </w:p>
        </w:tc>
        <w:tc>
          <w:tcPr>
            <w:tcW w:w="1582" w:type="dxa"/>
            <w:shd w:val="clear" w:color="auto" w:fill="auto"/>
          </w:tcPr>
          <w:p w:rsidR="009101D8" w:rsidRPr="009714E7" w:rsidRDefault="00880EED" w:rsidP="009714E7">
            <w:pPr>
              <w:pStyle w:val="Tabletext"/>
            </w:pPr>
            <w:r>
              <w:t>5 March 2018</w:t>
            </w:r>
          </w:p>
        </w:tc>
      </w:tr>
      <w:tr w:rsidR="004B0EFE" w:rsidRPr="009714E7" w:rsidTr="004B0EFE">
        <w:tc>
          <w:tcPr>
            <w:tcW w:w="1701" w:type="dxa"/>
            <w:shd w:val="clear" w:color="auto" w:fill="auto"/>
          </w:tcPr>
          <w:p w:rsidR="004B0EFE" w:rsidRPr="009714E7" w:rsidRDefault="004B0EFE" w:rsidP="009714E7">
            <w:pPr>
              <w:pStyle w:val="Tabletext"/>
            </w:pPr>
            <w:r w:rsidRPr="009714E7">
              <w:t>3.  Schedule</w:t>
            </w:r>
            <w:r w:rsidR="009714E7" w:rsidRPr="009714E7">
              <w:t> </w:t>
            </w:r>
            <w:r w:rsidRPr="009714E7">
              <w:t>3</w:t>
            </w:r>
          </w:p>
        </w:tc>
        <w:tc>
          <w:tcPr>
            <w:tcW w:w="3828" w:type="dxa"/>
            <w:shd w:val="clear" w:color="auto" w:fill="auto"/>
          </w:tcPr>
          <w:p w:rsidR="004B0EFE" w:rsidRPr="009714E7" w:rsidRDefault="004B0EFE" w:rsidP="009714E7">
            <w:pPr>
              <w:pStyle w:val="Tabletext"/>
            </w:pPr>
            <w:r w:rsidRPr="009714E7">
              <w:t>The day after the end of the period of 2 months beginning on the day this Act receives the Royal Assent.</w:t>
            </w:r>
          </w:p>
        </w:tc>
        <w:tc>
          <w:tcPr>
            <w:tcW w:w="1582" w:type="dxa"/>
            <w:shd w:val="clear" w:color="auto" w:fill="auto"/>
          </w:tcPr>
          <w:p w:rsidR="004B0EFE" w:rsidRPr="009714E7" w:rsidRDefault="00880EED" w:rsidP="009714E7">
            <w:pPr>
              <w:pStyle w:val="Tabletext"/>
            </w:pPr>
            <w:r>
              <w:t>5 May 2018</w:t>
            </w:r>
          </w:p>
        </w:tc>
      </w:tr>
      <w:tr w:rsidR="008A235F" w:rsidRPr="009714E7" w:rsidTr="004B0EFE">
        <w:tc>
          <w:tcPr>
            <w:tcW w:w="1701" w:type="dxa"/>
            <w:shd w:val="clear" w:color="auto" w:fill="auto"/>
          </w:tcPr>
          <w:p w:rsidR="008A235F" w:rsidRPr="009714E7" w:rsidRDefault="008A235F" w:rsidP="009714E7">
            <w:pPr>
              <w:pStyle w:val="Tabletext"/>
            </w:pPr>
            <w:r w:rsidRPr="009714E7">
              <w:t>4.  Schedule</w:t>
            </w:r>
            <w:r w:rsidR="009714E7" w:rsidRPr="009714E7">
              <w:t> </w:t>
            </w:r>
            <w:r w:rsidRPr="009714E7">
              <w:t>4</w:t>
            </w:r>
          </w:p>
        </w:tc>
        <w:tc>
          <w:tcPr>
            <w:tcW w:w="3828" w:type="dxa"/>
            <w:shd w:val="clear" w:color="auto" w:fill="auto"/>
          </w:tcPr>
          <w:p w:rsidR="008A235F" w:rsidRPr="009714E7" w:rsidRDefault="008A235F" w:rsidP="009714E7">
            <w:pPr>
              <w:pStyle w:val="Tabletext"/>
            </w:pPr>
            <w:r w:rsidRPr="009714E7">
              <w:t>The day this Act receives the Royal Assent.</w:t>
            </w:r>
          </w:p>
        </w:tc>
        <w:tc>
          <w:tcPr>
            <w:tcW w:w="1582" w:type="dxa"/>
            <w:shd w:val="clear" w:color="auto" w:fill="auto"/>
          </w:tcPr>
          <w:p w:rsidR="008A235F" w:rsidRPr="009714E7" w:rsidRDefault="00880EED" w:rsidP="009714E7">
            <w:pPr>
              <w:pStyle w:val="Tabletext"/>
            </w:pPr>
            <w:r>
              <w:t>5 March 2018</w:t>
            </w:r>
          </w:p>
        </w:tc>
      </w:tr>
      <w:tr w:rsidR="008A235F" w:rsidRPr="009714E7" w:rsidTr="00796AC4">
        <w:tblPrEx>
          <w:tblBorders>
            <w:insideH w:val="single" w:sz="2" w:space="0" w:color="auto"/>
          </w:tblBorders>
        </w:tblPrEx>
        <w:tc>
          <w:tcPr>
            <w:tcW w:w="1701" w:type="dxa"/>
            <w:shd w:val="clear" w:color="auto" w:fill="auto"/>
          </w:tcPr>
          <w:p w:rsidR="008A235F" w:rsidRPr="009714E7" w:rsidRDefault="008A235F" w:rsidP="009714E7">
            <w:pPr>
              <w:pStyle w:val="Tabletext"/>
            </w:pPr>
            <w:r w:rsidRPr="009714E7">
              <w:t>5.  Schedule</w:t>
            </w:r>
            <w:r w:rsidR="009714E7" w:rsidRPr="009714E7">
              <w:t> </w:t>
            </w:r>
            <w:r w:rsidRPr="009714E7">
              <w:t>5, Part</w:t>
            </w:r>
            <w:r w:rsidR="009714E7" w:rsidRPr="009714E7">
              <w:t> </w:t>
            </w:r>
            <w:r w:rsidRPr="009714E7">
              <w:t>1</w:t>
            </w:r>
          </w:p>
        </w:tc>
        <w:tc>
          <w:tcPr>
            <w:tcW w:w="3828" w:type="dxa"/>
            <w:shd w:val="clear" w:color="auto" w:fill="auto"/>
          </w:tcPr>
          <w:p w:rsidR="008A235F" w:rsidRPr="009714E7" w:rsidRDefault="008A235F" w:rsidP="009714E7">
            <w:pPr>
              <w:pStyle w:val="Tabletext"/>
            </w:pPr>
            <w:r w:rsidRPr="009714E7">
              <w:t>1</w:t>
            </w:r>
            <w:r w:rsidR="009714E7" w:rsidRPr="009714E7">
              <w:t> </w:t>
            </w:r>
            <w:r w:rsidRPr="009714E7">
              <w:t>January 2019.</w:t>
            </w:r>
          </w:p>
        </w:tc>
        <w:tc>
          <w:tcPr>
            <w:tcW w:w="1582" w:type="dxa"/>
            <w:shd w:val="clear" w:color="auto" w:fill="auto"/>
          </w:tcPr>
          <w:p w:rsidR="008A235F" w:rsidRPr="009714E7" w:rsidRDefault="008A235F" w:rsidP="009714E7">
            <w:pPr>
              <w:pStyle w:val="Tabletext"/>
            </w:pPr>
            <w:r w:rsidRPr="009714E7">
              <w:t>1</w:t>
            </w:r>
            <w:r w:rsidR="009714E7" w:rsidRPr="009714E7">
              <w:t> </w:t>
            </w:r>
            <w:r w:rsidRPr="009714E7">
              <w:t>January 2019</w:t>
            </w:r>
          </w:p>
        </w:tc>
      </w:tr>
      <w:tr w:rsidR="008A235F" w:rsidRPr="009714E7" w:rsidTr="00796AC4">
        <w:tblPrEx>
          <w:tblBorders>
            <w:insideH w:val="single" w:sz="2" w:space="0" w:color="auto"/>
          </w:tblBorders>
        </w:tblPrEx>
        <w:tc>
          <w:tcPr>
            <w:tcW w:w="1701" w:type="dxa"/>
            <w:shd w:val="clear" w:color="auto" w:fill="auto"/>
          </w:tcPr>
          <w:p w:rsidR="008A235F" w:rsidRPr="009714E7" w:rsidRDefault="008A235F" w:rsidP="009714E7">
            <w:pPr>
              <w:pStyle w:val="Tabletext"/>
            </w:pPr>
            <w:r w:rsidRPr="009714E7">
              <w:t>6.  Schedule</w:t>
            </w:r>
            <w:r w:rsidR="009714E7" w:rsidRPr="009714E7">
              <w:t> </w:t>
            </w:r>
            <w:r w:rsidRPr="009714E7">
              <w:t>5, Part</w:t>
            </w:r>
            <w:r w:rsidR="009714E7" w:rsidRPr="009714E7">
              <w:t> </w:t>
            </w:r>
            <w:r w:rsidRPr="009714E7">
              <w:t>2, Division</w:t>
            </w:r>
            <w:r w:rsidR="009714E7" w:rsidRPr="009714E7">
              <w:t> </w:t>
            </w:r>
            <w:r w:rsidRPr="009714E7">
              <w:t>1</w:t>
            </w:r>
          </w:p>
        </w:tc>
        <w:tc>
          <w:tcPr>
            <w:tcW w:w="3828" w:type="dxa"/>
            <w:shd w:val="clear" w:color="auto" w:fill="auto"/>
          </w:tcPr>
          <w:p w:rsidR="008A235F" w:rsidRPr="009714E7" w:rsidRDefault="008A235F" w:rsidP="009714E7">
            <w:pPr>
              <w:pStyle w:val="Tabletext"/>
            </w:pPr>
            <w:r w:rsidRPr="009714E7">
              <w:t>1</w:t>
            </w:r>
            <w:r w:rsidR="009714E7" w:rsidRPr="009714E7">
              <w:t> </w:t>
            </w:r>
            <w:r w:rsidRPr="009714E7">
              <w:t>July 2018.</w:t>
            </w:r>
          </w:p>
        </w:tc>
        <w:tc>
          <w:tcPr>
            <w:tcW w:w="1582" w:type="dxa"/>
            <w:shd w:val="clear" w:color="auto" w:fill="auto"/>
          </w:tcPr>
          <w:p w:rsidR="008A235F" w:rsidRPr="009714E7" w:rsidRDefault="008A235F" w:rsidP="009714E7">
            <w:pPr>
              <w:pStyle w:val="Tabletext"/>
            </w:pPr>
            <w:r w:rsidRPr="009714E7">
              <w:t>1</w:t>
            </w:r>
            <w:r w:rsidR="009714E7" w:rsidRPr="009714E7">
              <w:t> </w:t>
            </w:r>
            <w:r w:rsidRPr="009714E7">
              <w:t>July 2018</w:t>
            </w:r>
          </w:p>
        </w:tc>
      </w:tr>
      <w:tr w:rsidR="008A235F" w:rsidRPr="009714E7" w:rsidTr="00796AC4">
        <w:tblPrEx>
          <w:tblBorders>
            <w:insideH w:val="single" w:sz="2" w:space="0" w:color="auto"/>
          </w:tblBorders>
        </w:tblPrEx>
        <w:tc>
          <w:tcPr>
            <w:tcW w:w="1701" w:type="dxa"/>
            <w:shd w:val="clear" w:color="auto" w:fill="auto"/>
          </w:tcPr>
          <w:p w:rsidR="008A235F" w:rsidRPr="009714E7" w:rsidRDefault="008A235F" w:rsidP="009714E7">
            <w:pPr>
              <w:pStyle w:val="Tabletext"/>
            </w:pPr>
            <w:r w:rsidRPr="009714E7">
              <w:t>7.  Schedule</w:t>
            </w:r>
            <w:r w:rsidR="009714E7" w:rsidRPr="009714E7">
              <w:t> </w:t>
            </w:r>
            <w:r w:rsidRPr="009714E7">
              <w:t>5, Part</w:t>
            </w:r>
            <w:r w:rsidR="009714E7" w:rsidRPr="009714E7">
              <w:t> </w:t>
            </w:r>
            <w:r w:rsidRPr="009714E7">
              <w:t>2, Division</w:t>
            </w:r>
            <w:r w:rsidR="009714E7" w:rsidRPr="009714E7">
              <w:t> </w:t>
            </w:r>
            <w:r w:rsidRPr="009714E7">
              <w:t>2</w:t>
            </w:r>
          </w:p>
        </w:tc>
        <w:tc>
          <w:tcPr>
            <w:tcW w:w="3828" w:type="dxa"/>
            <w:shd w:val="clear" w:color="auto" w:fill="auto"/>
          </w:tcPr>
          <w:p w:rsidR="008A235F" w:rsidRPr="009714E7" w:rsidRDefault="008A235F" w:rsidP="009714E7">
            <w:pPr>
              <w:pStyle w:val="Tabletext"/>
            </w:pPr>
            <w:r w:rsidRPr="009714E7">
              <w:t>1</w:t>
            </w:r>
            <w:r w:rsidR="009714E7" w:rsidRPr="009714E7">
              <w:t> </w:t>
            </w:r>
            <w:r w:rsidRPr="009714E7">
              <w:t>January 2019.</w:t>
            </w:r>
          </w:p>
        </w:tc>
        <w:tc>
          <w:tcPr>
            <w:tcW w:w="1582" w:type="dxa"/>
            <w:shd w:val="clear" w:color="auto" w:fill="auto"/>
          </w:tcPr>
          <w:p w:rsidR="008A235F" w:rsidRPr="009714E7" w:rsidRDefault="008A235F" w:rsidP="009714E7">
            <w:pPr>
              <w:pStyle w:val="Tabletext"/>
            </w:pPr>
            <w:r w:rsidRPr="009714E7">
              <w:t>1</w:t>
            </w:r>
            <w:r w:rsidR="009714E7" w:rsidRPr="009714E7">
              <w:t> </w:t>
            </w:r>
            <w:r w:rsidRPr="009714E7">
              <w:t>January 2019</w:t>
            </w:r>
          </w:p>
        </w:tc>
      </w:tr>
      <w:tr w:rsidR="008A235F" w:rsidRPr="009714E7" w:rsidTr="00796AC4">
        <w:tblPrEx>
          <w:tblBorders>
            <w:insideH w:val="single" w:sz="2" w:space="0" w:color="auto"/>
          </w:tblBorders>
        </w:tblPrEx>
        <w:tc>
          <w:tcPr>
            <w:tcW w:w="1701" w:type="dxa"/>
            <w:shd w:val="clear" w:color="auto" w:fill="auto"/>
          </w:tcPr>
          <w:p w:rsidR="008A235F" w:rsidRPr="009714E7" w:rsidRDefault="008A235F" w:rsidP="009714E7">
            <w:pPr>
              <w:pStyle w:val="Tabletext"/>
            </w:pPr>
            <w:r w:rsidRPr="009714E7">
              <w:t>8.  Schedule</w:t>
            </w:r>
            <w:r w:rsidR="009714E7" w:rsidRPr="009714E7">
              <w:t> </w:t>
            </w:r>
            <w:r w:rsidRPr="009714E7">
              <w:t>5, Parts</w:t>
            </w:r>
            <w:r w:rsidR="009714E7" w:rsidRPr="009714E7">
              <w:t> </w:t>
            </w:r>
            <w:r w:rsidRPr="009714E7">
              <w:t>3 and 4</w:t>
            </w:r>
          </w:p>
        </w:tc>
        <w:tc>
          <w:tcPr>
            <w:tcW w:w="3828" w:type="dxa"/>
            <w:shd w:val="clear" w:color="auto" w:fill="auto"/>
          </w:tcPr>
          <w:p w:rsidR="008A235F" w:rsidRPr="009714E7" w:rsidRDefault="008A235F" w:rsidP="009714E7">
            <w:pPr>
              <w:pStyle w:val="Tabletext"/>
            </w:pPr>
            <w:r w:rsidRPr="009714E7">
              <w:t>1</w:t>
            </w:r>
            <w:r w:rsidR="009714E7" w:rsidRPr="009714E7">
              <w:t> </w:t>
            </w:r>
            <w:r w:rsidRPr="009714E7">
              <w:t>January 2019.</w:t>
            </w:r>
          </w:p>
        </w:tc>
        <w:tc>
          <w:tcPr>
            <w:tcW w:w="1582" w:type="dxa"/>
            <w:shd w:val="clear" w:color="auto" w:fill="auto"/>
          </w:tcPr>
          <w:p w:rsidR="008A235F" w:rsidRPr="009714E7" w:rsidRDefault="008A235F" w:rsidP="009714E7">
            <w:pPr>
              <w:pStyle w:val="Tabletext"/>
            </w:pPr>
            <w:r w:rsidRPr="009714E7">
              <w:t>1</w:t>
            </w:r>
            <w:r w:rsidR="009714E7" w:rsidRPr="009714E7">
              <w:t> </w:t>
            </w:r>
            <w:r w:rsidRPr="009714E7">
              <w:t>January 2019</w:t>
            </w:r>
          </w:p>
        </w:tc>
      </w:tr>
      <w:tr w:rsidR="008A235F" w:rsidRPr="009714E7" w:rsidTr="00796AC4">
        <w:tblPrEx>
          <w:tblBorders>
            <w:insideH w:val="single" w:sz="2" w:space="0" w:color="auto"/>
          </w:tblBorders>
        </w:tblPrEx>
        <w:tc>
          <w:tcPr>
            <w:tcW w:w="1701" w:type="dxa"/>
            <w:shd w:val="clear" w:color="auto" w:fill="auto"/>
          </w:tcPr>
          <w:p w:rsidR="008A235F" w:rsidRPr="009714E7" w:rsidRDefault="008A235F" w:rsidP="009714E7">
            <w:pPr>
              <w:pStyle w:val="Tabletext"/>
            </w:pPr>
            <w:r w:rsidRPr="009714E7">
              <w:t>9.  Schedule</w:t>
            </w:r>
            <w:r w:rsidR="009714E7" w:rsidRPr="009714E7">
              <w:t> </w:t>
            </w:r>
            <w:r w:rsidRPr="009714E7">
              <w:t>5,  item</w:t>
            </w:r>
            <w:r w:rsidR="009714E7" w:rsidRPr="009714E7">
              <w:t> </w:t>
            </w:r>
            <w:r w:rsidRPr="009714E7">
              <w:t>24</w:t>
            </w:r>
          </w:p>
        </w:tc>
        <w:tc>
          <w:tcPr>
            <w:tcW w:w="3828" w:type="dxa"/>
            <w:shd w:val="clear" w:color="auto" w:fill="auto"/>
          </w:tcPr>
          <w:p w:rsidR="008A235F" w:rsidRPr="009714E7" w:rsidRDefault="008A235F" w:rsidP="009714E7">
            <w:pPr>
              <w:pStyle w:val="Tabletext"/>
            </w:pPr>
            <w:r w:rsidRPr="009714E7">
              <w:t>1</w:t>
            </w:r>
            <w:r w:rsidR="009714E7" w:rsidRPr="009714E7">
              <w:t> </w:t>
            </w:r>
            <w:r w:rsidRPr="009714E7">
              <w:t>July 2018.</w:t>
            </w:r>
          </w:p>
        </w:tc>
        <w:tc>
          <w:tcPr>
            <w:tcW w:w="1582" w:type="dxa"/>
            <w:shd w:val="clear" w:color="auto" w:fill="auto"/>
          </w:tcPr>
          <w:p w:rsidR="008A235F" w:rsidRPr="009714E7" w:rsidRDefault="008A235F" w:rsidP="009714E7">
            <w:pPr>
              <w:pStyle w:val="Tabletext"/>
            </w:pPr>
            <w:r w:rsidRPr="009714E7">
              <w:t>1</w:t>
            </w:r>
            <w:r w:rsidR="009714E7" w:rsidRPr="009714E7">
              <w:t> </w:t>
            </w:r>
            <w:r w:rsidRPr="009714E7">
              <w:t>July 2018</w:t>
            </w:r>
          </w:p>
        </w:tc>
      </w:tr>
      <w:tr w:rsidR="008A235F" w:rsidRPr="009714E7" w:rsidTr="003B2257">
        <w:tc>
          <w:tcPr>
            <w:tcW w:w="1701" w:type="dxa"/>
            <w:tcBorders>
              <w:bottom w:val="single" w:sz="12" w:space="0" w:color="auto"/>
            </w:tcBorders>
            <w:shd w:val="clear" w:color="auto" w:fill="auto"/>
          </w:tcPr>
          <w:p w:rsidR="008A235F" w:rsidRPr="009714E7" w:rsidRDefault="008A235F" w:rsidP="009714E7">
            <w:pPr>
              <w:pStyle w:val="Tabletext"/>
            </w:pPr>
            <w:r w:rsidRPr="009714E7">
              <w:t>10.  Schedule</w:t>
            </w:r>
            <w:r w:rsidR="009714E7" w:rsidRPr="009714E7">
              <w:t> </w:t>
            </w:r>
            <w:r w:rsidR="000E20E4" w:rsidRPr="009714E7">
              <w:t xml:space="preserve">5, </w:t>
            </w:r>
            <w:r w:rsidRPr="009714E7">
              <w:t>item</w:t>
            </w:r>
            <w:r w:rsidR="009714E7" w:rsidRPr="009714E7">
              <w:t> </w:t>
            </w:r>
            <w:r w:rsidRPr="009714E7">
              <w:t>25</w:t>
            </w:r>
          </w:p>
        </w:tc>
        <w:tc>
          <w:tcPr>
            <w:tcW w:w="3828" w:type="dxa"/>
            <w:tcBorders>
              <w:bottom w:val="single" w:sz="12" w:space="0" w:color="auto"/>
            </w:tcBorders>
            <w:shd w:val="clear" w:color="auto" w:fill="auto"/>
          </w:tcPr>
          <w:p w:rsidR="008A235F" w:rsidRPr="009714E7" w:rsidRDefault="008A235F" w:rsidP="009714E7">
            <w:pPr>
              <w:pStyle w:val="Tabletext"/>
            </w:pPr>
            <w:r w:rsidRPr="009714E7">
              <w:t>1</w:t>
            </w:r>
            <w:r w:rsidR="009714E7" w:rsidRPr="009714E7">
              <w:t> </w:t>
            </w:r>
            <w:r w:rsidRPr="009714E7">
              <w:t>January 2019.</w:t>
            </w:r>
          </w:p>
        </w:tc>
        <w:tc>
          <w:tcPr>
            <w:tcW w:w="1582" w:type="dxa"/>
            <w:tcBorders>
              <w:bottom w:val="single" w:sz="12" w:space="0" w:color="auto"/>
            </w:tcBorders>
            <w:shd w:val="clear" w:color="auto" w:fill="auto"/>
          </w:tcPr>
          <w:p w:rsidR="008A235F" w:rsidRPr="009714E7" w:rsidRDefault="008A235F" w:rsidP="009714E7">
            <w:pPr>
              <w:pStyle w:val="Tabletext"/>
            </w:pPr>
            <w:r w:rsidRPr="009714E7">
              <w:t>1</w:t>
            </w:r>
            <w:r w:rsidR="009714E7" w:rsidRPr="009714E7">
              <w:t> </w:t>
            </w:r>
            <w:r w:rsidRPr="009714E7">
              <w:t>January 2019</w:t>
            </w:r>
          </w:p>
        </w:tc>
      </w:tr>
    </w:tbl>
    <w:p w:rsidR="009101D8" w:rsidRPr="009714E7" w:rsidRDefault="009101D8" w:rsidP="009714E7">
      <w:pPr>
        <w:pStyle w:val="notetext"/>
      </w:pPr>
      <w:r w:rsidRPr="009714E7">
        <w:t>Note:</w:t>
      </w:r>
      <w:r w:rsidRPr="009714E7">
        <w:tab/>
        <w:t>This table relates only to the provisions of this Act as originally enacted. It will not be amended to deal with any later amendments of this Act.</w:t>
      </w:r>
    </w:p>
    <w:p w:rsidR="009101D8" w:rsidRPr="009714E7" w:rsidRDefault="009101D8" w:rsidP="009714E7">
      <w:pPr>
        <w:pStyle w:val="subsection"/>
      </w:pPr>
      <w:r w:rsidRPr="009714E7">
        <w:lastRenderedPageBreak/>
        <w:tab/>
        <w:t>(2)</w:t>
      </w:r>
      <w:r w:rsidRPr="009714E7">
        <w:tab/>
        <w:t>Any information in column 3 of the table is not part of this Act. Information may be inserted in this column, or information in it may be edited, in any published version of this Act.</w:t>
      </w:r>
    </w:p>
    <w:p w:rsidR="009101D8" w:rsidRPr="009714E7" w:rsidRDefault="009101D8" w:rsidP="009714E7">
      <w:pPr>
        <w:pStyle w:val="ActHead5"/>
      </w:pPr>
      <w:bookmarkStart w:id="3" w:name="_Toc508110051"/>
      <w:r w:rsidRPr="009714E7">
        <w:rPr>
          <w:rStyle w:val="CharSectno"/>
        </w:rPr>
        <w:t>3</w:t>
      </w:r>
      <w:r w:rsidRPr="009714E7">
        <w:t xml:space="preserve">  Schedules</w:t>
      </w:r>
      <w:bookmarkEnd w:id="3"/>
    </w:p>
    <w:p w:rsidR="009101D8" w:rsidRPr="009714E7" w:rsidRDefault="009101D8" w:rsidP="009714E7">
      <w:pPr>
        <w:pStyle w:val="subsection"/>
      </w:pPr>
      <w:r w:rsidRPr="009714E7">
        <w:tab/>
      </w:r>
      <w:r w:rsidRPr="009714E7">
        <w:tab/>
        <w:t>Legislation that is specified in a Schedule to this Act is amended or repealed as set out in the applicable items in the Schedule concerned, and any other item in a Schedule to this Act has effect according to its terms.</w:t>
      </w:r>
    </w:p>
    <w:p w:rsidR="009101D8" w:rsidRPr="009714E7" w:rsidRDefault="009101D8" w:rsidP="009714E7">
      <w:pPr>
        <w:pStyle w:val="ActHead6"/>
        <w:pageBreakBefore/>
      </w:pPr>
      <w:bookmarkStart w:id="4" w:name="_Toc508110052"/>
      <w:bookmarkStart w:id="5" w:name="opcAmSched"/>
      <w:r w:rsidRPr="009714E7">
        <w:rPr>
          <w:rStyle w:val="CharAmSchNo"/>
        </w:rPr>
        <w:lastRenderedPageBreak/>
        <w:t>Schedule</w:t>
      </w:r>
      <w:r w:rsidR="009714E7" w:rsidRPr="009714E7">
        <w:rPr>
          <w:rStyle w:val="CharAmSchNo"/>
        </w:rPr>
        <w:t> </w:t>
      </w:r>
      <w:r w:rsidRPr="009714E7">
        <w:rPr>
          <w:rStyle w:val="CharAmSchNo"/>
        </w:rPr>
        <w:t>1</w:t>
      </w:r>
      <w:r w:rsidRPr="009714E7">
        <w:t>—</w:t>
      </w:r>
      <w:r w:rsidRPr="009714E7">
        <w:rPr>
          <w:rStyle w:val="CharAmSchText"/>
        </w:rPr>
        <w:t>Non</w:t>
      </w:r>
      <w:r w:rsidR="00C83714">
        <w:rPr>
          <w:rStyle w:val="CharAmSchText"/>
        </w:rPr>
        <w:noBreakHyphen/>
      </w:r>
      <w:r w:rsidRPr="009714E7">
        <w:rPr>
          <w:rStyle w:val="CharAmSchText"/>
        </w:rPr>
        <w:t>ADI lender rules</w:t>
      </w:r>
      <w:bookmarkEnd w:id="4"/>
    </w:p>
    <w:bookmarkEnd w:id="5"/>
    <w:p w:rsidR="009101D8" w:rsidRPr="009714E7" w:rsidRDefault="009101D8" w:rsidP="009714E7">
      <w:pPr>
        <w:pStyle w:val="Header"/>
      </w:pPr>
      <w:r w:rsidRPr="009714E7">
        <w:rPr>
          <w:rStyle w:val="CharAmPartNo"/>
        </w:rPr>
        <w:t xml:space="preserve"> </w:t>
      </w:r>
      <w:r w:rsidRPr="009714E7">
        <w:rPr>
          <w:rStyle w:val="CharAmPartText"/>
        </w:rPr>
        <w:t xml:space="preserve"> </w:t>
      </w:r>
    </w:p>
    <w:p w:rsidR="009101D8" w:rsidRPr="009714E7" w:rsidRDefault="009101D8" w:rsidP="009714E7">
      <w:pPr>
        <w:pStyle w:val="ActHead9"/>
        <w:rPr>
          <w:i w:val="0"/>
        </w:rPr>
      </w:pPr>
      <w:bookmarkStart w:id="6" w:name="_Toc508110053"/>
      <w:r w:rsidRPr="009714E7">
        <w:t>Banking Act 1959</w:t>
      </w:r>
      <w:bookmarkEnd w:id="6"/>
    </w:p>
    <w:p w:rsidR="009101D8" w:rsidRPr="009714E7" w:rsidRDefault="009101D8" w:rsidP="009714E7">
      <w:pPr>
        <w:pStyle w:val="ItemHead"/>
      </w:pPr>
      <w:r w:rsidRPr="009714E7">
        <w:t>1  Subsection</w:t>
      </w:r>
      <w:r w:rsidR="009714E7" w:rsidRPr="009714E7">
        <w:t> </w:t>
      </w:r>
      <w:r w:rsidRPr="009714E7">
        <w:t>5(1)</w:t>
      </w:r>
    </w:p>
    <w:p w:rsidR="009101D8" w:rsidRPr="009714E7" w:rsidRDefault="009101D8" w:rsidP="009714E7">
      <w:pPr>
        <w:pStyle w:val="Item"/>
      </w:pPr>
      <w:r w:rsidRPr="009714E7">
        <w:t>Insert:</w:t>
      </w:r>
    </w:p>
    <w:p w:rsidR="00195731" w:rsidRPr="009714E7" w:rsidRDefault="00195731" w:rsidP="009714E7">
      <w:pPr>
        <w:pStyle w:val="Definition"/>
        <w:keepNext/>
      </w:pPr>
      <w:r w:rsidRPr="009714E7">
        <w:rPr>
          <w:b/>
          <w:i/>
        </w:rPr>
        <w:t>non</w:t>
      </w:r>
      <w:r w:rsidR="00C83714">
        <w:rPr>
          <w:b/>
          <w:i/>
        </w:rPr>
        <w:noBreakHyphen/>
      </w:r>
      <w:r w:rsidRPr="009714E7">
        <w:rPr>
          <w:b/>
          <w:i/>
        </w:rPr>
        <w:t>ADI lender</w:t>
      </w:r>
      <w:r w:rsidRPr="009714E7">
        <w:t xml:space="preserve"> has the meaning given by section</w:t>
      </w:r>
      <w:r w:rsidR="009714E7" w:rsidRPr="009714E7">
        <w:t> </w:t>
      </w:r>
      <w:r w:rsidRPr="009714E7">
        <w:t>38B.</w:t>
      </w:r>
    </w:p>
    <w:p w:rsidR="009101D8" w:rsidRPr="009714E7" w:rsidRDefault="009101D8" w:rsidP="009714E7">
      <w:pPr>
        <w:pStyle w:val="Definition"/>
        <w:keepNext/>
      </w:pPr>
      <w:r w:rsidRPr="009714E7">
        <w:rPr>
          <w:b/>
          <w:i/>
        </w:rPr>
        <w:t>non</w:t>
      </w:r>
      <w:r w:rsidR="00C83714">
        <w:rPr>
          <w:b/>
          <w:i/>
        </w:rPr>
        <w:noBreakHyphen/>
      </w:r>
      <w:r w:rsidRPr="009714E7">
        <w:rPr>
          <w:b/>
          <w:i/>
        </w:rPr>
        <w:t>ADI lender rule</w:t>
      </w:r>
      <w:r w:rsidRPr="009714E7">
        <w:t xml:space="preserve"> means a rule under section</w:t>
      </w:r>
      <w:r w:rsidR="009714E7" w:rsidRPr="009714E7">
        <w:t> </w:t>
      </w:r>
      <w:r w:rsidRPr="009714E7">
        <w:t>38C.</w:t>
      </w:r>
    </w:p>
    <w:p w:rsidR="00195731" w:rsidRPr="009714E7" w:rsidRDefault="00195731" w:rsidP="009714E7">
      <w:pPr>
        <w:pStyle w:val="Definition"/>
        <w:keepNext/>
      </w:pPr>
      <w:r w:rsidRPr="009714E7">
        <w:rPr>
          <w:b/>
          <w:i/>
        </w:rPr>
        <w:t>Part</w:t>
      </w:r>
      <w:r w:rsidR="009714E7" w:rsidRPr="009714E7">
        <w:rPr>
          <w:b/>
          <w:i/>
        </w:rPr>
        <w:t> </w:t>
      </w:r>
      <w:r w:rsidRPr="009714E7">
        <w:rPr>
          <w:b/>
          <w:i/>
        </w:rPr>
        <w:t>IIB provision of finance</w:t>
      </w:r>
      <w:r w:rsidRPr="009714E7">
        <w:t xml:space="preserve"> has the meaning given by section</w:t>
      </w:r>
      <w:r w:rsidR="009714E7" w:rsidRPr="009714E7">
        <w:t> </w:t>
      </w:r>
      <w:r w:rsidRPr="009714E7">
        <w:t>38B.</w:t>
      </w:r>
    </w:p>
    <w:p w:rsidR="009101D8" w:rsidRPr="009714E7" w:rsidRDefault="009101D8" w:rsidP="009714E7">
      <w:pPr>
        <w:pStyle w:val="ItemHead"/>
      </w:pPr>
      <w:r w:rsidRPr="009714E7">
        <w:t>2  After Part</w:t>
      </w:r>
      <w:r w:rsidR="009714E7" w:rsidRPr="009714E7">
        <w:t> </w:t>
      </w:r>
      <w:r w:rsidRPr="009714E7">
        <w:t>IIA</w:t>
      </w:r>
    </w:p>
    <w:p w:rsidR="009101D8" w:rsidRPr="009714E7" w:rsidRDefault="009101D8" w:rsidP="009714E7">
      <w:pPr>
        <w:pStyle w:val="Item"/>
      </w:pPr>
      <w:r w:rsidRPr="009714E7">
        <w:t>Insert:</w:t>
      </w:r>
    </w:p>
    <w:p w:rsidR="009101D8" w:rsidRPr="009714E7" w:rsidRDefault="009101D8" w:rsidP="009714E7">
      <w:pPr>
        <w:pStyle w:val="ActHead2"/>
      </w:pPr>
      <w:bookmarkStart w:id="7" w:name="_Toc508110054"/>
      <w:r w:rsidRPr="009714E7">
        <w:rPr>
          <w:rStyle w:val="CharPartNo"/>
        </w:rPr>
        <w:t>Part</w:t>
      </w:r>
      <w:r w:rsidR="009714E7" w:rsidRPr="009714E7">
        <w:rPr>
          <w:rStyle w:val="CharPartNo"/>
        </w:rPr>
        <w:t> </w:t>
      </w:r>
      <w:r w:rsidRPr="009714E7">
        <w:rPr>
          <w:rStyle w:val="CharPartNo"/>
        </w:rPr>
        <w:t>IIB</w:t>
      </w:r>
      <w:r w:rsidRPr="009714E7">
        <w:t>—</w:t>
      </w:r>
      <w:r w:rsidRPr="009714E7">
        <w:rPr>
          <w:rStyle w:val="CharPartText"/>
        </w:rPr>
        <w:t>Provisions relating to the non</w:t>
      </w:r>
      <w:r w:rsidR="00C83714">
        <w:rPr>
          <w:rStyle w:val="CharPartText"/>
        </w:rPr>
        <w:noBreakHyphen/>
      </w:r>
      <w:r w:rsidRPr="009714E7">
        <w:rPr>
          <w:rStyle w:val="CharPartText"/>
        </w:rPr>
        <w:t>ADI lenders</w:t>
      </w:r>
      <w:bookmarkEnd w:id="7"/>
    </w:p>
    <w:p w:rsidR="009101D8" w:rsidRPr="009714E7" w:rsidRDefault="009101D8" w:rsidP="009714E7">
      <w:pPr>
        <w:pStyle w:val="ActHead3"/>
      </w:pPr>
      <w:bookmarkStart w:id="8" w:name="_Toc508110055"/>
      <w:r w:rsidRPr="009714E7">
        <w:rPr>
          <w:rStyle w:val="CharDivNo"/>
        </w:rPr>
        <w:t>Division</w:t>
      </w:r>
      <w:r w:rsidR="009714E7" w:rsidRPr="009714E7">
        <w:rPr>
          <w:rStyle w:val="CharDivNo"/>
        </w:rPr>
        <w:t> </w:t>
      </w:r>
      <w:r w:rsidRPr="009714E7">
        <w:rPr>
          <w:rStyle w:val="CharDivNo"/>
        </w:rPr>
        <w:t>1</w:t>
      </w:r>
      <w:r w:rsidRPr="009714E7">
        <w:t>—</w:t>
      </w:r>
      <w:r w:rsidR="00195731" w:rsidRPr="009714E7">
        <w:rPr>
          <w:rStyle w:val="CharDivText"/>
        </w:rPr>
        <w:t>Main concepts</w:t>
      </w:r>
      <w:bookmarkEnd w:id="8"/>
    </w:p>
    <w:p w:rsidR="009101D8" w:rsidRPr="009714E7" w:rsidRDefault="009101D8" w:rsidP="009714E7">
      <w:pPr>
        <w:pStyle w:val="ActHead5"/>
      </w:pPr>
      <w:bookmarkStart w:id="9" w:name="_Toc508110056"/>
      <w:r w:rsidRPr="009714E7">
        <w:rPr>
          <w:rStyle w:val="CharSectno"/>
        </w:rPr>
        <w:t>38B</w:t>
      </w:r>
      <w:r w:rsidRPr="009714E7">
        <w:t xml:space="preserve">  Meaning of </w:t>
      </w:r>
      <w:r w:rsidRPr="009714E7">
        <w:rPr>
          <w:i/>
        </w:rPr>
        <w:t>non</w:t>
      </w:r>
      <w:r w:rsidR="00C83714">
        <w:rPr>
          <w:i/>
        </w:rPr>
        <w:noBreakHyphen/>
      </w:r>
      <w:r w:rsidRPr="009714E7">
        <w:rPr>
          <w:i/>
        </w:rPr>
        <w:t>ADI lender</w:t>
      </w:r>
      <w:r w:rsidR="00195731" w:rsidRPr="009714E7">
        <w:rPr>
          <w:i/>
        </w:rPr>
        <w:t xml:space="preserve"> </w:t>
      </w:r>
      <w:r w:rsidR="00195731" w:rsidRPr="009714E7">
        <w:t xml:space="preserve">and </w:t>
      </w:r>
      <w:r w:rsidR="00195731" w:rsidRPr="009714E7">
        <w:rPr>
          <w:i/>
        </w:rPr>
        <w:t>Part</w:t>
      </w:r>
      <w:r w:rsidR="009714E7" w:rsidRPr="009714E7">
        <w:rPr>
          <w:i/>
        </w:rPr>
        <w:t> </w:t>
      </w:r>
      <w:r w:rsidR="00195731" w:rsidRPr="009714E7">
        <w:rPr>
          <w:i/>
        </w:rPr>
        <w:t>IIB provision of finance</w:t>
      </w:r>
      <w:bookmarkEnd w:id="9"/>
    </w:p>
    <w:p w:rsidR="009101D8" w:rsidRPr="009714E7" w:rsidRDefault="009101D8" w:rsidP="009714E7">
      <w:pPr>
        <w:pStyle w:val="subsection"/>
      </w:pPr>
      <w:r w:rsidRPr="009714E7">
        <w:tab/>
      </w:r>
      <w:r w:rsidR="00195731" w:rsidRPr="009714E7">
        <w:t>(1)</w:t>
      </w:r>
      <w:r w:rsidRPr="009714E7">
        <w:tab/>
        <w:t xml:space="preserve">A </w:t>
      </w:r>
      <w:r w:rsidRPr="009714E7">
        <w:rPr>
          <w:b/>
          <w:i/>
        </w:rPr>
        <w:t>non</w:t>
      </w:r>
      <w:r w:rsidR="00C83714">
        <w:rPr>
          <w:b/>
          <w:i/>
        </w:rPr>
        <w:noBreakHyphen/>
      </w:r>
      <w:r w:rsidRPr="009714E7">
        <w:rPr>
          <w:b/>
          <w:i/>
        </w:rPr>
        <w:t>ADI lender</w:t>
      </w:r>
      <w:r w:rsidRPr="009714E7">
        <w:t xml:space="preserve"> is a registrable corporation (within the meaning of the </w:t>
      </w:r>
      <w:r w:rsidRPr="009714E7">
        <w:rPr>
          <w:i/>
        </w:rPr>
        <w:t>Financial Sector (Collection of Data) Act 2001</w:t>
      </w:r>
      <w:r w:rsidRPr="009714E7">
        <w:t>)</w:t>
      </w:r>
      <w:r w:rsidR="00195731" w:rsidRPr="009714E7">
        <w:t xml:space="preserve"> that is engaged in the Part</w:t>
      </w:r>
      <w:r w:rsidR="009714E7" w:rsidRPr="009714E7">
        <w:t> </w:t>
      </w:r>
      <w:r w:rsidR="00195731" w:rsidRPr="009714E7">
        <w:t>IIB provision of finance</w:t>
      </w:r>
      <w:r w:rsidRPr="009714E7">
        <w:t>.</w:t>
      </w:r>
    </w:p>
    <w:p w:rsidR="00195731" w:rsidRPr="009714E7" w:rsidRDefault="00195731" w:rsidP="009714E7">
      <w:pPr>
        <w:pStyle w:val="subsection"/>
      </w:pPr>
      <w:r w:rsidRPr="009714E7">
        <w:tab/>
        <w:t>(2)</w:t>
      </w:r>
      <w:r w:rsidRPr="009714E7">
        <w:tab/>
      </w:r>
      <w:r w:rsidRPr="009714E7">
        <w:rPr>
          <w:b/>
          <w:i/>
        </w:rPr>
        <w:t>Part</w:t>
      </w:r>
      <w:r w:rsidR="009714E7" w:rsidRPr="009714E7">
        <w:rPr>
          <w:b/>
          <w:i/>
        </w:rPr>
        <w:t> </w:t>
      </w:r>
      <w:r w:rsidRPr="009714E7">
        <w:rPr>
          <w:b/>
          <w:i/>
        </w:rPr>
        <w:t>IIB provision of finance</w:t>
      </w:r>
      <w:r w:rsidRPr="009714E7">
        <w:t xml:space="preserve"> means the provision of finance (within the meaning of the </w:t>
      </w:r>
      <w:r w:rsidRPr="009714E7">
        <w:rPr>
          <w:i/>
        </w:rPr>
        <w:t>Financial Sector (Collection of Data) Act 2001</w:t>
      </w:r>
      <w:r w:rsidRPr="009714E7">
        <w:t>), other than:</w:t>
      </w:r>
    </w:p>
    <w:p w:rsidR="00195731" w:rsidRPr="009714E7" w:rsidRDefault="00195731" w:rsidP="009714E7">
      <w:pPr>
        <w:pStyle w:val="paragraph"/>
      </w:pPr>
      <w:r w:rsidRPr="009714E7">
        <w:tab/>
        <w:t>(a)</w:t>
      </w:r>
      <w:r w:rsidRPr="009714E7">
        <w:tab/>
      </w:r>
      <w:r w:rsidR="00C822B3" w:rsidRPr="009714E7">
        <w:t xml:space="preserve">the </w:t>
      </w:r>
      <w:r w:rsidRPr="009714E7">
        <w:t xml:space="preserve">activities </w:t>
      </w:r>
      <w:r w:rsidR="00C822B3" w:rsidRPr="009714E7">
        <w:t>mentioned in paragraphs 32(1)(e), (f), (g) and (h) of that Act; and</w:t>
      </w:r>
    </w:p>
    <w:p w:rsidR="00C822B3" w:rsidRPr="009714E7" w:rsidRDefault="00C822B3" w:rsidP="009714E7">
      <w:pPr>
        <w:pStyle w:val="paragraph"/>
      </w:pPr>
      <w:r w:rsidRPr="009714E7">
        <w:tab/>
        <w:t>(b)</w:t>
      </w:r>
      <w:r w:rsidRPr="009714E7">
        <w:tab/>
        <w:t>the provision of finance (within the meaning of that Act) outside Australia; and</w:t>
      </w:r>
    </w:p>
    <w:p w:rsidR="00C822B3" w:rsidRPr="009714E7" w:rsidRDefault="00C822B3" w:rsidP="009714E7">
      <w:pPr>
        <w:pStyle w:val="paragraph"/>
      </w:pPr>
      <w:r w:rsidRPr="009714E7">
        <w:tab/>
        <w:t>(c)</w:t>
      </w:r>
      <w:r w:rsidRPr="009714E7">
        <w:tab/>
        <w:t>the entry into an arrang</w:t>
      </w:r>
      <w:r w:rsidR="00176711" w:rsidRPr="009714E7">
        <w:t>e</w:t>
      </w:r>
      <w:r w:rsidRPr="009714E7">
        <w:t xml:space="preserve">ment that is a derivative (within the meaning of the </w:t>
      </w:r>
      <w:r w:rsidRPr="009714E7">
        <w:rPr>
          <w:i/>
        </w:rPr>
        <w:t>Corporations Act 2001</w:t>
      </w:r>
      <w:r w:rsidRPr="009714E7">
        <w:t>).</w:t>
      </w:r>
    </w:p>
    <w:p w:rsidR="009101D8" w:rsidRPr="009714E7" w:rsidRDefault="009101D8" w:rsidP="009714E7">
      <w:pPr>
        <w:pStyle w:val="ActHead3"/>
      </w:pPr>
      <w:bookmarkStart w:id="10" w:name="_Toc508110057"/>
      <w:r w:rsidRPr="009714E7">
        <w:rPr>
          <w:rStyle w:val="CharDivNo"/>
        </w:rPr>
        <w:lastRenderedPageBreak/>
        <w:t>Division</w:t>
      </w:r>
      <w:r w:rsidR="009714E7" w:rsidRPr="009714E7">
        <w:rPr>
          <w:rStyle w:val="CharDivNo"/>
        </w:rPr>
        <w:t> </w:t>
      </w:r>
      <w:r w:rsidRPr="009714E7">
        <w:rPr>
          <w:rStyle w:val="CharDivNo"/>
        </w:rPr>
        <w:t>2</w:t>
      </w:r>
      <w:r w:rsidRPr="009714E7">
        <w:t>—</w:t>
      </w:r>
      <w:r w:rsidRPr="009714E7">
        <w:rPr>
          <w:rStyle w:val="CharDivText"/>
        </w:rPr>
        <w:t>Non</w:t>
      </w:r>
      <w:r w:rsidR="00C83714">
        <w:rPr>
          <w:rStyle w:val="CharDivText"/>
        </w:rPr>
        <w:noBreakHyphen/>
      </w:r>
      <w:r w:rsidRPr="009714E7">
        <w:rPr>
          <w:rStyle w:val="CharDivText"/>
        </w:rPr>
        <w:t>ADI lender rules</w:t>
      </w:r>
      <w:bookmarkEnd w:id="10"/>
    </w:p>
    <w:p w:rsidR="009101D8" w:rsidRPr="009714E7" w:rsidRDefault="009101D8" w:rsidP="009714E7">
      <w:pPr>
        <w:pStyle w:val="ActHead5"/>
      </w:pPr>
      <w:bookmarkStart w:id="11" w:name="_Toc508110058"/>
      <w:r w:rsidRPr="009714E7">
        <w:rPr>
          <w:rStyle w:val="CharSectno"/>
        </w:rPr>
        <w:t>38C</w:t>
      </w:r>
      <w:r w:rsidRPr="009714E7">
        <w:t xml:space="preserve">  APRA may make non</w:t>
      </w:r>
      <w:r w:rsidR="00C83714">
        <w:noBreakHyphen/>
      </w:r>
      <w:r w:rsidRPr="009714E7">
        <w:t>ADI lender rules for non</w:t>
      </w:r>
      <w:r w:rsidR="00C83714">
        <w:noBreakHyphen/>
      </w:r>
      <w:r w:rsidRPr="009714E7">
        <w:t>ADI lenders</w:t>
      </w:r>
      <w:bookmarkEnd w:id="11"/>
    </w:p>
    <w:p w:rsidR="00093612" w:rsidRPr="009714E7" w:rsidRDefault="009101D8" w:rsidP="009714E7">
      <w:pPr>
        <w:pStyle w:val="subsection"/>
      </w:pPr>
      <w:r w:rsidRPr="009714E7">
        <w:tab/>
        <w:t>(</w:t>
      </w:r>
      <w:r w:rsidR="00AB520E" w:rsidRPr="009714E7">
        <w:t>1</w:t>
      </w:r>
      <w:r w:rsidRPr="009714E7">
        <w:t>)</w:t>
      </w:r>
      <w:r w:rsidRPr="009714E7">
        <w:tab/>
      </w:r>
      <w:r w:rsidR="009714E7" w:rsidRPr="009714E7">
        <w:t>Subsection (</w:t>
      </w:r>
      <w:r w:rsidR="00AB520E" w:rsidRPr="009714E7">
        <w:t>2</w:t>
      </w:r>
      <w:r w:rsidR="00093612" w:rsidRPr="009714E7">
        <w:t>) applies if:</w:t>
      </w:r>
    </w:p>
    <w:p w:rsidR="00093612" w:rsidRPr="009714E7" w:rsidRDefault="00093612" w:rsidP="009714E7">
      <w:pPr>
        <w:pStyle w:val="paragraph"/>
      </w:pPr>
      <w:r w:rsidRPr="009714E7">
        <w:tab/>
        <w:t>(a)</w:t>
      </w:r>
      <w:r w:rsidRPr="009714E7">
        <w:tab/>
        <w:t xml:space="preserve">APRA considers that </w:t>
      </w:r>
      <w:r w:rsidR="00C44690" w:rsidRPr="009714E7">
        <w:t>the Part</w:t>
      </w:r>
      <w:r w:rsidR="009714E7" w:rsidRPr="009714E7">
        <w:t> </w:t>
      </w:r>
      <w:r w:rsidR="00C44690" w:rsidRPr="009714E7">
        <w:t>IIB</w:t>
      </w:r>
      <w:r w:rsidRPr="009714E7">
        <w:t xml:space="preserve"> provision of finance </w:t>
      </w:r>
      <w:r w:rsidR="009101D8" w:rsidRPr="009714E7">
        <w:t>by one or more non</w:t>
      </w:r>
      <w:r w:rsidR="00C83714">
        <w:noBreakHyphen/>
      </w:r>
      <w:r w:rsidR="009101D8" w:rsidRPr="009714E7">
        <w:t>ADI lenders</w:t>
      </w:r>
      <w:r w:rsidRPr="009714E7">
        <w:t xml:space="preserve"> </w:t>
      </w:r>
      <w:r w:rsidR="009101D8" w:rsidRPr="009714E7">
        <w:t>materially contribute</w:t>
      </w:r>
      <w:r w:rsidRPr="009714E7">
        <w:t>s</w:t>
      </w:r>
      <w:r w:rsidR="009101D8" w:rsidRPr="009714E7">
        <w:t xml:space="preserve"> to risks of instability in the Australian financial system</w:t>
      </w:r>
      <w:r w:rsidRPr="009714E7">
        <w:t>; and</w:t>
      </w:r>
    </w:p>
    <w:p w:rsidR="00093612" w:rsidRPr="009714E7" w:rsidRDefault="00093612" w:rsidP="009714E7">
      <w:pPr>
        <w:pStyle w:val="paragraph"/>
      </w:pPr>
      <w:r w:rsidRPr="009714E7">
        <w:tab/>
        <w:t>(b)</w:t>
      </w:r>
      <w:r w:rsidRPr="009714E7">
        <w:tab/>
        <w:t>APRA considers that it is necessary</w:t>
      </w:r>
      <w:r w:rsidR="00E0276E" w:rsidRPr="009714E7">
        <w:t>, in order to address those risks,</w:t>
      </w:r>
      <w:r w:rsidRPr="009714E7">
        <w:t xml:space="preserve"> to</w:t>
      </w:r>
      <w:r w:rsidR="008F70D0" w:rsidRPr="009714E7">
        <w:t xml:space="preserve"> make rules under </w:t>
      </w:r>
      <w:r w:rsidR="009714E7" w:rsidRPr="009714E7">
        <w:t>subsection (</w:t>
      </w:r>
      <w:r w:rsidR="00AB520E" w:rsidRPr="009714E7">
        <w:t>2</w:t>
      </w:r>
      <w:r w:rsidR="00903464" w:rsidRPr="009714E7">
        <w:t>)</w:t>
      </w:r>
      <w:r w:rsidR="005E5325" w:rsidRPr="009714E7">
        <w:t>.</w:t>
      </w:r>
    </w:p>
    <w:p w:rsidR="009101D8" w:rsidRPr="009714E7" w:rsidRDefault="008F70D0" w:rsidP="009714E7">
      <w:pPr>
        <w:pStyle w:val="subsection"/>
      </w:pPr>
      <w:r w:rsidRPr="009714E7">
        <w:tab/>
        <w:t>(</w:t>
      </w:r>
      <w:r w:rsidR="00AB520E" w:rsidRPr="009714E7">
        <w:t>2</w:t>
      </w:r>
      <w:r w:rsidR="00093612" w:rsidRPr="009714E7">
        <w:t>)</w:t>
      </w:r>
      <w:r w:rsidR="00093612" w:rsidRPr="009714E7">
        <w:tab/>
      </w:r>
      <w:r w:rsidR="009101D8" w:rsidRPr="009714E7">
        <w:t>APRA may, in writing, determine rules</w:t>
      </w:r>
      <w:r w:rsidR="00093612" w:rsidRPr="009714E7">
        <w:t xml:space="preserve"> for the purpose of addressing those risks</w:t>
      </w:r>
      <w:r w:rsidR="009101D8" w:rsidRPr="009714E7">
        <w:t>, to be complied with by:</w:t>
      </w:r>
    </w:p>
    <w:p w:rsidR="009101D8" w:rsidRPr="009714E7" w:rsidRDefault="009101D8" w:rsidP="009714E7">
      <w:pPr>
        <w:pStyle w:val="paragraph"/>
      </w:pPr>
      <w:r w:rsidRPr="009714E7">
        <w:tab/>
        <w:t>(a)</w:t>
      </w:r>
      <w:r w:rsidRPr="009714E7">
        <w:tab/>
        <w:t>all non</w:t>
      </w:r>
      <w:r w:rsidR="00C83714">
        <w:noBreakHyphen/>
      </w:r>
      <w:r w:rsidRPr="009714E7">
        <w:t>ADI lenders; or</w:t>
      </w:r>
    </w:p>
    <w:p w:rsidR="009101D8" w:rsidRPr="009714E7" w:rsidRDefault="009101D8" w:rsidP="009714E7">
      <w:pPr>
        <w:pStyle w:val="paragraph"/>
      </w:pPr>
      <w:r w:rsidRPr="009714E7">
        <w:tab/>
        <w:t>(b)</w:t>
      </w:r>
      <w:r w:rsidRPr="009714E7">
        <w:tab/>
        <w:t>a specified class of non</w:t>
      </w:r>
      <w:r w:rsidR="00C83714">
        <w:noBreakHyphen/>
      </w:r>
      <w:r w:rsidRPr="009714E7">
        <w:t>ADI lenders; or</w:t>
      </w:r>
    </w:p>
    <w:p w:rsidR="009101D8" w:rsidRPr="009714E7" w:rsidRDefault="009101D8" w:rsidP="009714E7">
      <w:pPr>
        <w:pStyle w:val="paragraph"/>
      </w:pPr>
      <w:r w:rsidRPr="009714E7">
        <w:tab/>
        <w:t>(c)</w:t>
      </w:r>
      <w:r w:rsidRPr="009714E7">
        <w:tab/>
        <w:t>one or more specified non</w:t>
      </w:r>
      <w:r w:rsidR="00C83714">
        <w:noBreakHyphen/>
      </w:r>
      <w:r w:rsidRPr="009714E7">
        <w:t>ADI lenders.</w:t>
      </w:r>
    </w:p>
    <w:p w:rsidR="00093612" w:rsidRPr="009714E7" w:rsidRDefault="00AB520E" w:rsidP="009714E7">
      <w:pPr>
        <w:pStyle w:val="subsection"/>
      </w:pPr>
      <w:r w:rsidRPr="009714E7">
        <w:tab/>
        <w:t>(3</w:t>
      </w:r>
      <w:r w:rsidR="008F70D0" w:rsidRPr="009714E7">
        <w:t>)</w:t>
      </w:r>
      <w:r w:rsidR="008F70D0" w:rsidRPr="009714E7">
        <w:tab/>
      </w:r>
      <w:r w:rsidR="00A606AD" w:rsidRPr="009714E7">
        <w:t>To avoid doubt, a rule cannot require a non</w:t>
      </w:r>
      <w:r w:rsidR="00C83714">
        <w:noBreakHyphen/>
      </w:r>
      <w:r w:rsidR="00A606AD" w:rsidRPr="009714E7">
        <w:t>ADI lender to conduct its business and activities in a particular way to the extent that the business and activities are unrelated to the Part</w:t>
      </w:r>
      <w:r w:rsidR="009714E7" w:rsidRPr="009714E7">
        <w:t> </w:t>
      </w:r>
      <w:r w:rsidR="00A606AD" w:rsidRPr="009714E7">
        <w:t>II</w:t>
      </w:r>
      <w:r w:rsidR="00C44690" w:rsidRPr="009714E7">
        <w:t>B</w:t>
      </w:r>
      <w:r w:rsidR="00A606AD" w:rsidRPr="009714E7">
        <w:t xml:space="preserve"> provision of finance.</w:t>
      </w:r>
    </w:p>
    <w:p w:rsidR="009101D8" w:rsidRPr="009714E7" w:rsidRDefault="009101D8" w:rsidP="009714E7">
      <w:pPr>
        <w:pStyle w:val="subsection"/>
      </w:pPr>
      <w:r w:rsidRPr="009714E7">
        <w:tab/>
        <w:t>(</w:t>
      </w:r>
      <w:r w:rsidR="00264A89" w:rsidRPr="009714E7">
        <w:t>4</w:t>
      </w:r>
      <w:r w:rsidRPr="009714E7">
        <w:t>)</w:t>
      </w:r>
      <w:r w:rsidRPr="009714E7">
        <w:tab/>
        <w:t>A rule may impose different requirements to be complied with in different situations or in respect of different activities.</w:t>
      </w:r>
    </w:p>
    <w:p w:rsidR="009101D8" w:rsidRPr="009714E7" w:rsidRDefault="009101D8" w:rsidP="009714E7">
      <w:pPr>
        <w:pStyle w:val="subsection"/>
      </w:pPr>
      <w:r w:rsidRPr="009714E7">
        <w:tab/>
        <w:t>(</w:t>
      </w:r>
      <w:r w:rsidR="00264A89" w:rsidRPr="009714E7">
        <w:t>5</w:t>
      </w:r>
      <w:r w:rsidRPr="009714E7">
        <w:t>)</w:t>
      </w:r>
      <w:r w:rsidRPr="009714E7">
        <w:tab/>
        <w:t>Without limiting the matters in relation to which APRA may determine a rule, a rule may require:</w:t>
      </w:r>
    </w:p>
    <w:p w:rsidR="009101D8" w:rsidRPr="009714E7" w:rsidRDefault="009101D8" w:rsidP="009714E7">
      <w:pPr>
        <w:pStyle w:val="paragraph"/>
      </w:pPr>
      <w:r w:rsidRPr="009714E7">
        <w:tab/>
        <w:t>(a)</w:t>
      </w:r>
      <w:r w:rsidRPr="009714E7">
        <w:tab/>
        <w:t>each non</w:t>
      </w:r>
      <w:r w:rsidR="00C83714">
        <w:noBreakHyphen/>
      </w:r>
      <w:r w:rsidRPr="009714E7">
        <w:t>ADI lender; or</w:t>
      </w:r>
    </w:p>
    <w:p w:rsidR="009101D8" w:rsidRPr="009714E7" w:rsidRDefault="009101D8" w:rsidP="009714E7">
      <w:pPr>
        <w:pStyle w:val="paragraph"/>
      </w:pPr>
      <w:r w:rsidRPr="009714E7">
        <w:tab/>
        <w:t>(b)</w:t>
      </w:r>
      <w:r w:rsidRPr="009714E7">
        <w:tab/>
        <w:t>each non</w:t>
      </w:r>
      <w:r w:rsidR="00C83714">
        <w:noBreakHyphen/>
      </w:r>
      <w:r w:rsidRPr="009714E7">
        <w:t>ADI lender included in a specified class of non</w:t>
      </w:r>
      <w:r w:rsidR="00C83714">
        <w:noBreakHyphen/>
      </w:r>
      <w:r w:rsidRPr="009714E7">
        <w:t>ADI lenders; or</w:t>
      </w:r>
    </w:p>
    <w:p w:rsidR="009101D8" w:rsidRPr="009714E7" w:rsidRDefault="009101D8" w:rsidP="009714E7">
      <w:pPr>
        <w:pStyle w:val="paragraph"/>
      </w:pPr>
      <w:r w:rsidRPr="009714E7">
        <w:tab/>
        <w:t>(c)</w:t>
      </w:r>
      <w:r w:rsidRPr="009714E7">
        <w:tab/>
        <w:t>a specified non</w:t>
      </w:r>
      <w:r w:rsidR="00C83714">
        <w:noBreakHyphen/>
      </w:r>
      <w:r w:rsidRPr="009714E7">
        <w:t>ADI lender; or</w:t>
      </w:r>
    </w:p>
    <w:p w:rsidR="009101D8" w:rsidRPr="009714E7" w:rsidRDefault="009101D8" w:rsidP="009714E7">
      <w:pPr>
        <w:pStyle w:val="paragraph"/>
      </w:pPr>
      <w:r w:rsidRPr="009714E7">
        <w:tab/>
        <w:t>(d)</w:t>
      </w:r>
      <w:r w:rsidRPr="009714E7">
        <w:tab/>
        <w:t>each of 2 or more specified non</w:t>
      </w:r>
      <w:r w:rsidR="00C83714">
        <w:noBreakHyphen/>
      </w:r>
      <w:r w:rsidRPr="009714E7">
        <w:t>ADI lenders;</w:t>
      </w:r>
    </w:p>
    <w:p w:rsidR="009101D8" w:rsidRPr="009714E7" w:rsidRDefault="009101D8" w:rsidP="009714E7">
      <w:pPr>
        <w:pStyle w:val="subsection2"/>
      </w:pPr>
      <w:r w:rsidRPr="009714E7">
        <w:t>to ensure that its subsidiaries (or particular subsidiaries), or it and its subsidiaries (or particular subsidiaries), collectively satisfy particular requirements</w:t>
      </w:r>
      <w:r w:rsidR="005B7D4C" w:rsidRPr="009714E7">
        <w:t xml:space="preserve"> in relation to the risks mentioned in </w:t>
      </w:r>
      <w:r w:rsidR="009714E7" w:rsidRPr="009714E7">
        <w:t>subsection (</w:t>
      </w:r>
      <w:r w:rsidR="00AB520E" w:rsidRPr="009714E7">
        <w:t>1</w:t>
      </w:r>
      <w:r w:rsidR="005B7D4C" w:rsidRPr="009714E7">
        <w:t>)</w:t>
      </w:r>
      <w:r w:rsidRPr="009714E7">
        <w:t>.</w:t>
      </w:r>
    </w:p>
    <w:p w:rsidR="009101D8" w:rsidRPr="009714E7" w:rsidRDefault="009101D8" w:rsidP="009714E7">
      <w:pPr>
        <w:pStyle w:val="subsection"/>
      </w:pPr>
      <w:r w:rsidRPr="009714E7">
        <w:tab/>
        <w:t>(</w:t>
      </w:r>
      <w:r w:rsidR="00264A89" w:rsidRPr="009714E7">
        <w:t>6</w:t>
      </w:r>
      <w:r w:rsidRPr="009714E7">
        <w:t>)</w:t>
      </w:r>
      <w:r w:rsidRPr="009714E7">
        <w:tab/>
        <w:t>A rule may provide for APRA to exercise powers and discretions under the rule, including (but not limited to) discretions to approve, impose, adjust or exclude specific requirements in relation to one or more specified non</w:t>
      </w:r>
      <w:r w:rsidR="00C83714">
        <w:noBreakHyphen/>
      </w:r>
      <w:r w:rsidRPr="009714E7">
        <w:t>ADI lenders.</w:t>
      </w:r>
    </w:p>
    <w:p w:rsidR="00D0277E" w:rsidRPr="009714E7" w:rsidRDefault="00D0277E" w:rsidP="009714E7">
      <w:pPr>
        <w:pStyle w:val="subsection"/>
      </w:pPr>
      <w:r w:rsidRPr="009714E7">
        <w:lastRenderedPageBreak/>
        <w:tab/>
        <w:t>(</w:t>
      </w:r>
      <w:r w:rsidR="00264A89" w:rsidRPr="009714E7">
        <w:t>7</w:t>
      </w:r>
      <w:r w:rsidRPr="009714E7">
        <w:t>)</w:t>
      </w:r>
      <w:r w:rsidRPr="009714E7">
        <w:tab/>
        <w:t>A rule may provide for a matter by applying, adopting or incorporating, with or without modification, any matter contained in an instrument or other writing as in force or existing from time to time, despite:</w:t>
      </w:r>
    </w:p>
    <w:p w:rsidR="00D0277E" w:rsidRPr="009714E7" w:rsidRDefault="00D0277E" w:rsidP="009714E7">
      <w:pPr>
        <w:pStyle w:val="paragraph"/>
      </w:pPr>
      <w:r w:rsidRPr="009714E7">
        <w:tab/>
        <w:t>(a)</w:t>
      </w:r>
      <w:r w:rsidRPr="009714E7">
        <w:tab/>
        <w:t>section</w:t>
      </w:r>
      <w:r w:rsidR="009714E7" w:rsidRPr="009714E7">
        <w:t> </w:t>
      </w:r>
      <w:r w:rsidRPr="009714E7">
        <w:t xml:space="preserve">46AA of the </w:t>
      </w:r>
      <w:r w:rsidRPr="009714E7">
        <w:rPr>
          <w:i/>
        </w:rPr>
        <w:t>Acts Interpretation Act 1901</w:t>
      </w:r>
      <w:r w:rsidRPr="009714E7">
        <w:t>; and</w:t>
      </w:r>
    </w:p>
    <w:p w:rsidR="00D0277E" w:rsidRPr="009714E7" w:rsidRDefault="00D0277E" w:rsidP="009714E7">
      <w:pPr>
        <w:pStyle w:val="paragraph"/>
        <w:rPr>
          <w:caps/>
        </w:rPr>
      </w:pPr>
      <w:r w:rsidRPr="009714E7">
        <w:tab/>
        <w:t>(b)</w:t>
      </w:r>
      <w:r w:rsidRPr="009714E7">
        <w:tab/>
        <w:t>section</w:t>
      </w:r>
      <w:r w:rsidR="009714E7" w:rsidRPr="009714E7">
        <w:t> </w:t>
      </w:r>
      <w:r w:rsidRPr="009714E7">
        <w:t xml:space="preserve">14 of the </w:t>
      </w:r>
      <w:r w:rsidRPr="009714E7">
        <w:rPr>
          <w:i/>
        </w:rPr>
        <w:t>Legislation Act 2003</w:t>
      </w:r>
      <w:r w:rsidRPr="009714E7">
        <w:t>.</w:t>
      </w:r>
    </w:p>
    <w:p w:rsidR="00D4594E" w:rsidRPr="009714E7" w:rsidRDefault="00D4594E" w:rsidP="009714E7">
      <w:pPr>
        <w:pStyle w:val="subsection"/>
      </w:pPr>
      <w:r w:rsidRPr="009714E7">
        <w:tab/>
        <w:t>(</w:t>
      </w:r>
      <w:r w:rsidR="00264A89" w:rsidRPr="009714E7">
        <w:t>8</w:t>
      </w:r>
      <w:r w:rsidRPr="009714E7">
        <w:t>)</w:t>
      </w:r>
      <w:r w:rsidRPr="009714E7">
        <w:tab/>
        <w:t xml:space="preserve">A rule referred to in </w:t>
      </w:r>
      <w:r w:rsidR="009714E7" w:rsidRPr="009714E7">
        <w:t>paragraph (</w:t>
      </w:r>
      <w:r w:rsidR="00AB520E" w:rsidRPr="009714E7">
        <w:t>2</w:t>
      </w:r>
      <w:r w:rsidRPr="009714E7">
        <w:t>)(c</w:t>
      </w:r>
      <w:r w:rsidR="000D5CAA" w:rsidRPr="009714E7">
        <w:t xml:space="preserve">) </w:t>
      </w:r>
      <w:r w:rsidRPr="009714E7">
        <w:t>has effect:</w:t>
      </w:r>
    </w:p>
    <w:p w:rsidR="00D4594E" w:rsidRPr="009714E7" w:rsidRDefault="00D4594E" w:rsidP="009714E7">
      <w:pPr>
        <w:pStyle w:val="paragraph"/>
      </w:pPr>
      <w:r w:rsidRPr="009714E7">
        <w:tab/>
        <w:t>(a)</w:t>
      </w:r>
      <w:r w:rsidRPr="009714E7">
        <w:tab/>
        <w:t>from the day on which the rule</w:t>
      </w:r>
      <w:r w:rsidR="00637D0D" w:rsidRPr="009714E7">
        <w:t xml:space="preserve"> </w:t>
      </w:r>
      <w:r w:rsidRPr="009714E7">
        <w:t>is made; or</w:t>
      </w:r>
    </w:p>
    <w:p w:rsidR="00D4594E" w:rsidRPr="009714E7" w:rsidRDefault="00D4594E" w:rsidP="009714E7">
      <w:pPr>
        <w:pStyle w:val="paragraph"/>
      </w:pPr>
      <w:r w:rsidRPr="009714E7">
        <w:tab/>
        <w:t>(b)</w:t>
      </w:r>
      <w:r w:rsidRPr="009714E7">
        <w:tab/>
        <w:t>if the rule</w:t>
      </w:r>
      <w:r w:rsidR="00637D0D" w:rsidRPr="009714E7">
        <w:t xml:space="preserve"> </w:t>
      </w:r>
      <w:r w:rsidRPr="009714E7">
        <w:t>specifies a later day—from that later day.</w:t>
      </w:r>
    </w:p>
    <w:p w:rsidR="00D0277E" w:rsidRPr="009714E7" w:rsidRDefault="00D0277E" w:rsidP="009714E7">
      <w:pPr>
        <w:pStyle w:val="ActHead5"/>
      </w:pPr>
      <w:bookmarkStart w:id="12" w:name="_Toc508110059"/>
      <w:r w:rsidRPr="009714E7">
        <w:rPr>
          <w:rStyle w:val="CharSectno"/>
        </w:rPr>
        <w:t>38</w:t>
      </w:r>
      <w:r w:rsidR="00227DC9" w:rsidRPr="009714E7">
        <w:rPr>
          <w:rStyle w:val="CharSectno"/>
        </w:rPr>
        <w:t>D</w:t>
      </w:r>
      <w:r w:rsidRPr="009714E7">
        <w:t xml:space="preserve">  Non</w:t>
      </w:r>
      <w:r w:rsidR="00C83714">
        <w:noBreakHyphen/>
      </w:r>
      <w:r w:rsidRPr="009714E7">
        <w:t>ADI lender rules revoked after 2 years</w:t>
      </w:r>
      <w:bookmarkEnd w:id="12"/>
    </w:p>
    <w:p w:rsidR="00D0277E" w:rsidRPr="009714E7" w:rsidRDefault="00D0277E" w:rsidP="009714E7">
      <w:pPr>
        <w:pStyle w:val="subsection"/>
      </w:pPr>
      <w:r w:rsidRPr="009714E7">
        <w:tab/>
        <w:t>(1)</w:t>
      </w:r>
      <w:r w:rsidRPr="009714E7">
        <w:tab/>
        <w:t xml:space="preserve">A </w:t>
      </w:r>
      <w:r w:rsidR="00FD1CBA" w:rsidRPr="009714E7">
        <w:t>non</w:t>
      </w:r>
      <w:r w:rsidR="00C83714">
        <w:noBreakHyphen/>
      </w:r>
      <w:r w:rsidR="00FD1CBA" w:rsidRPr="009714E7">
        <w:t xml:space="preserve">ADI lender </w:t>
      </w:r>
      <w:r w:rsidRPr="009714E7">
        <w:t>rule is revoked at the end of the period of 2 years beginning</w:t>
      </w:r>
      <w:r w:rsidR="00591F24" w:rsidRPr="009714E7">
        <w:t xml:space="preserve"> on the day the rule is made.</w:t>
      </w:r>
    </w:p>
    <w:p w:rsidR="00D0277E" w:rsidRPr="009714E7" w:rsidRDefault="00D0277E" w:rsidP="009714E7">
      <w:pPr>
        <w:pStyle w:val="subsection"/>
      </w:pPr>
      <w:r w:rsidRPr="009714E7">
        <w:tab/>
        <w:t>(2)</w:t>
      </w:r>
      <w:r w:rsidRPr="009714E7">
        <w:tab/>
        <w:t>If, at any time during that period, APRA considers that the conditions in subsection</w:t>
      </w:r>
      <w:r w:rsidR="009714E7" w:rsidRPr="009714E7">
        <w:t> </w:t>
      </w:r>
      <w:r w:rsidRPr="009714E7">
        <w:t xml:space="preserve">38C(1) still apply in relation to the </w:t>
      </w:r>
      <w:r w:rsidR="00FD1CBA" w:rsidRPr="009714E7">
        <w:t>non</w:t>
      </w:r>
      <w:r w:rsidR="00C83714">
        <w:noBreakHyphen/>
      </w:r>
      <w:r w:rsidR="00FD1CBA" w:rsidRPr="009714E7">
        <w:t xml:space="preserve">ADI lender </w:t>
      </w:r>
      <w:r w:rsidRPr="009714E7">
        <w:t>rule, APRA may, by written instrument, extend (or further extend) the period for a period of 2 years beginning on the day the instrument is made.</w:t>
      </w:r>
    </w:p>
    <w:p w:rsidR="00D0277E" w:rsidRPr="009714E7" w:rsidRDefault="00D0277E" w:rsidP="009714E7">
      <w:pPr>
        <w:pStyle w:val="notetext"/>
      </w:pPr>
      <w:r w:rsidRPr="009714E7">
        <w:t>Note:</w:t>
      </w:r>
      <w:r w:rsidRPr="009714E7">
        <w:tab/>
        <w:t>An extension under this subsection does not affect the operation of Part</w:t>
      </w:r>
      <w:r w:rsidR="009714E7" w:rsidRPr="009714E7">
        <w:t> </w:t>
      </w:r>
      <w:r w:rsidRPr="009714E7">
        <w:t>4 of Chapter</w:t>
      </w:r>
      <w:r w:rsidR="009714E7" w:rsidRPr="009714E7">
        <w:t> </w:t>
      </w:r>
      <w:r w:rsidRPr="009714E7">
        <w:t xml:space="preserve">3 (sunsetting) of the </w:t>
      </w:r>
      <w:r w:rsidRPr="009714E7">
        <w:rPr>
          <w:i/>
        </w:rPr>
        <w:t>Legislation Act 2003</w:t>
      </w:r>
      <w:r w:rsidRPr="009714E7">
        <w:t>.</w:t>
      </w:r>
    </w:p>
    <w:p w:rsidR="00D0277E" w:rsidRPr="009714E7" w:rsidRDefault="00D0277E" w:rsidP="009714E7">
      <w:pPr>
        <w:pStyle w:val="ActHead5"/>
      </w:pPr>
      <w:bookmarkStart w:id="13" w:name="_Toc508110060"/>
      <w:r w:rsidRPr="009714E7">
        <w:rPr>
          <w:rStyle w:val="CharSectno"/>
        </w:rPr>
        <w:t>38</w:t>
      </w:r>
      <w:r w:rsidR="00227DC9" w:rsidRPr="009714E7">
        <w:rPr>
          <w:rStyle w:val="CharSectno"/>
        </w:rPr>
        <w:t>E</w:t>
      </w:r>
      <w:r w:rsidRPr="009714E7">
        <w:t xml:space="preserve">  Variation and revocation of non</w:t>
      </w:r>
      <w:r w:rsidR="00C83714">
        <w:noBreakHyphen/>
      </w:r>
      <w:r w:rsidRPr="009714E7">
        <w:t>ADI lender rules</w:t>
      </w:r>
      <w:bookmarkEnd w:id="13"/>
    </w:p>
    <w:p w:rsidR="009101D8" w:rsidRPr="009714E7" w:rsidRDefault="009101D8" w:rsidP="009714E7">
      <w:pPr>
        <w:pStyle w:val="subsection"/>
      </w:pPr>
      <w:r w:rsidRPr="009714E7">
        <w:tab/>
        <w:t>(</w:t>
      </w:r>
      <w:r w:rsidR="00D4594E" w:rsidRPr="009714E7">
        <w:t>1</w:t>
      </w:r>
      <w:r w:rsidRPr="009714E7">
        <w:t>)</w:t>
      </w:r>
      <w:r w:rsidRPr="009714E7">
        <w:tab/>
        <w:t xml:space="preserve">APRA may, in writing, vary or revoke a </w:t>
      </w:r>
      <w:r w:rsidR="00D0277E" w:rsidRPr="009714E7">
        <w:t>non</w:t>
      </w:r>
      <w:r w:rsidR="00C83714">
        <w:noBreakHyphen/>
      </w:r>
      <w:r w:rsidR="00D0277E" w:rsidRPr="009714E7">
        <w:t xml:space="preserve">ADI lender </w:t>
      </w:r>
      <w:r w:rsidRPr="009714E7">
        <w:t>rule.</w:t>
      </w:r>
    </w:p>
    <w:p w:rsidR="009101D8" w:rsidRPr="009714E7" w:rsidRDefault="009101D8" w:rsidP="009714E7">
      <w:pPr>
        <w:pStyle w:val="subsection"/>
      </w:pPr>
      <w:r w:rsidRPr="009714E7">
        <w:tab/>
        <w:t>(</w:t>
      </w:r>
      <w:r w:rsidR="00D4594E" w:rsidRPr="009714E7">
        <w:t>2</w:t>
      </w:r>
      <w:r w:rsidRPr="009714E7">
        <w:t>)</w:t>
      </w:r>
      <w:r w:rsidRPr="009714E7">
        <w:tab/>
        <w:t>A</w:t>
      </w:r>
      <w:r w:rsidR="00D24EB7" w:rsidRPr="009714E7">
        <w:t>n instrument varying or revoking</w:t>
      </w:r>
      <w:r w:rsidRPr="009714E7">
        <w:t xml:space="preserve"> </w:t>
      </w:r>
      <w:r w:rsidR="00D24EB7" w:rsidRPr="009714E7">
        <w:t xml:space="preserve">a </w:t>
      </w:r>
      <w:r w:rsidR="00D0277E" w:rsidRPr="009714E7">
        <w:t>non</w:t>
      </w:r>
      <w:r w:rsidR="00C83714">
        <w:noBreakHyphen/>
      </w:r>
      <w:r w:rsidR="00D0277E" w:rsidRPr="009714E7">
        <w:t xml:space="preserve">ADI lender </w:t>
      </w:r>
      <w:r w:rsidRPr="009714E7">
        <w:t xml:space="preserve">rule </w:t>
      </w:r>
      <w:r w:rsidR="00152C58" w:rsidRPr="009714E7">
        <w:t>referred to in paragraph</w:t>
      </w:r>
      <w:r w:rsidR="009714E7" w:rsidRPr="009714E7">
        <w:t> </w:t>
      </w:r>
      <w:r w:rsidR="00152C58" w:rsidRPr="009714E7">
        <w:t xml:space="preserve">38C(2)(c) </w:t>
      </w:r>
      <w:r w:rsidRPr="009714E7">
        <w:t>has effect:</w:t>
      </w:r>
    </w:p>
    <w:p w:rsidR="009101D8" w:rsidRPr="009714E7" w:rsidRDefault="009101D8" w:rsidP="009714E7">
      <w:pPr>
        <w:pStyle w:val="paragraph"/>
      </w:pPr>
      <w:r w:rsidRPr="009714E7">
        <w:tab/>
        <w:t>(a)</w:t>
      </w:r>
      <w:r w:rsidRPr="009714E7">
        <w:tab/>
        <w:t>from the day on which the</w:t>
      </w:r>
      <w:r w:rsidR="00D24EB7" w:rsidRPr="009714E7">
        <w:t xml:space="preserve"> instrument </w:t>
      </w:r>
      <w:r w:rsidRPr="009714E7">
        <w:t>is made; or</w:t>
      </w:r>
    </w:p>
    <w:p w:rsidR="009101D8" w:rsidRPr="009714E7" w:rsidRDefault="009101D8" w:rsidP="009714E7">
      <w:pPr>
        <w:pStyle w:val="paragraph"/>
      </w:pPr>
      <w:r w:rsidRPr="009714E7">
        <w:tab/>
        <w:t>(b)</w:t>
      </w:r>
      <w:r w:rsidRPr="009714E7">
        <w:tab/>
        <w:t>if the</w:t>
      </w:r>
      <w:r w:rsidR="00D24EB7" w:rsidRPr="009714E7">
        <w:t xml:space="preserve"> instrument </w:t>
      </w:r>
      <w:r w:rsidRPr="009714E7">
        <w:t>specifies a later day—from that later day.</w:t>
      </w:r>
    </w:p>
    <w:p w:rsidR="00FB1143" w:rsidRPr="009714E7" w:rsidRDefault="00FB1143" w:rsidP="009714E7">
      <w:pPr>
        <w:pStyle w:val="ActHead5"/>
      </w:pPr>
      <w:bookmarkStart w:id="14" w:name="_Toc508110061"/>
      <w:r w:rsidRPr="009714E7">
        <w:rPr>
          <w:rStyle w:val="CharSectno"/>
        </w:rPr>
        <w:t>38</w:t>
      </w:r>
      <w:r w:rsidR="00227DC9" w:rsidRPr="009714E7">
        <w:rPr>
          <w:rStyle w:val="CharSectno"/>
        </w:rPr>
        <w:t>F</w:t>
      </w:r>
      <w:r w:rsidRPr="009714E7">
        <w:t xml:space="preserve">  Notification and consultation regarding non</w:t>
      </w:r>
      <w:r w:rsidR="00C83714">
        <w:noBreakHyphen/>
      </w:r>
      <w:r w:rsidRPr="009714E7">
        <w:t>ADI lender rules</w:t>
      </w:r>
      <w:bookmarkEnd w:id="14"/>
    </w:p>
    <w:p w:rsidR="00E13A57" w:rsidRPr="009714E7" w:rsidRDefault="00E13A57" w:rsidP="009714E7">
      <w:pPr>
        <w:pStyle w:val="SubsectionHead"/>
      </w:pPr>
      <w:r w:rsidRPr="009714E7">
        <w:t>Notification</w:t>
      </w:r>
    </w:p>
    <w:p w:rsidR="00FB1143" w:rsidRPr="009714E7" w:rsidRDefault="00FB1143" w:rsidP="009714E7">
      <w:pPr>
        <w:pStyle w:val="subsection"/>
      </w:pPr>
      <w:r w:rsidRPr="009714E7">
        <w:tab/>
        <w:t>(1)</w:t>
      </w:r>
      <w:r w:rsidRPr="009714E7">
        <w:tab/>
        <w:t>If APRA makes or varies a non</w:t>
      </w:r>
      <w:r w:rsidR="00C83714">
        <w:noBreakHyphen/>
      </w:r>
      <w:r w:rsidRPr="009714E7">
        <w:t>ADI lender rule referred to in paragraph</w:t>
      </w:r>
      <w:r w:rsidR="009714E7" w:rsidRPr="009714E7">
        <w:t> </w:t>
      </w:r>
      <w:r w:rsidRPr="009714E7">
        <w:t>38C(</w:t>
      </w:r>
      <w:r w:rsidR="00AB520E" w:rsidRPr="009714E7">
        <w:t>2</w:t>
      </w:r>
      <w:r w:rsidRPr="009714E7">
        <w:t>)(c) it must, as soon as practicable, give a copy of the rule, or of the variation, to the non</w:t>
      </w:r>
      <w:r w:rsidR="00C83714">
        <w:noBreakHyphen/>
      </w:r>
      <w:r w:rsidRPr="009714E7">
        <w:t>ADI lender, or to each non</w:t>
      </w:r>
      <w:r w:rsidR="00C83714">
        <w:noBreakHyphen/>
      </w:r>
      <w:r w:rsidRPr="009714E7">
        <w:t>ADI lender, to which the rule applies.</w:t>
      </w:r>
    </w:p>
    <w:p w:rsidR="00FB1143" w:rsidRPr="009714E7" w:rsidRDefault="00FB1143" w:rsidP="009714E7">
      <w:pPr>
        <w:pStyle w:val="subsection"/>
      </w:pPr>
      <w:r w:rsidRPr="009714E7">
        <w:lastRenderedPageBreak/>
        <w:tab/>
        <w:t>(2)</w:t>
      </w:r>
      <w:r w:rsidRPr="009714E7">
        <w:tab/>
        <w:t>If APRA revokes a non</w:t>
      </w:r>
      <w:r w:rsidR="00C83714">
        <w:noBreakHyphen/>
      </w:r>
      <w:r w:rsidRPr="009714E7">
        <w:t>ADI lender rule referred to in paragraph</w:t>
      </w:r>
      <w:r w:rsidR="009714E7" w:rsidRPr="009714E7">
        <w:t> </w:t>
      </w:r>
      <w:r w:rsidRPr="009714E7">
        <w:t>38C(</w:t>
      </w:r>
      <w:r w:rsidR="00AB520E" w:rsidRPr="009714E7">
        <w:t>2</w:t>
      </w:r>
      <w:r w:rsidRPr="009714E7">
        <w:t>)(c) it must, as soon as practicable, give notice of the revocation to the non</w:t>
      </w:r>
      <w:r w:rsidR="00C83714">
        <w:noBreakHyphen/>
      </w:r>
      <w:r w:rsidRPr="009714E7">
        <w:t>ADI lender, or to each non</w:t>
      </w:r>
      <w:r w:rsidR="00C83714">
        <w:noBreakHyphen/>
      </w:r>
      <w:r w:rsidRPr="009714E7">
        <w:t>ADI lender, to which the rule applied.</w:t>
      </w:r>
    </w:p>
    <w:p w:rsidR="00591F24" w:rsidRPr="009714E7" w:rsidRDefault="00591F24" w:rsidP="009714E7">
      <w:pPr>
        <w:pStyle w:val="subsection"/>
      </w:pPr>
      <w:r w:rsidRPr="009714E7">
        <w:tab/>
        <w:t>(3)</w:t>
      </w:r>
      <w:r w:rsidRPr="009714E7">
        <w:tab/>
        <w:t>If APRA extends the period mentioned in subsection</w:t>
      </w:r>
      <w:r w:rsidR="009714E7" w:rsidRPr="009714E7">
        <w:t> </w:t>
      </w:r>
      <w:r w:rsidRPr="009714E7">
        <w:t>38</w:t>
      </w:r>
      <w:r w:rsidR="00227DC9" w:rsidRPr="009714E7">
        <w:t>D</w:t>
      </w:r>
      <w:r w:rsidRPr="009714E7">
        <w:t>(1) in relation to a non</w:t>
      </w:r>
      <w:r w:rsidR="00C83714">
        <w:noBreakHyphen/>
      </w:r>
      <w:r w:rsidRPr="009714E7">
        <w:t>ADI lender rule referred to in paragraph</w:t>
      </w:r>
      <w:r w:rsidR="009714E7" w:rsidRPr="009714E7">
        <w:t> </w:t>
      </w:r>
      <w:r w:rsidRPr="009714E7">
        <w:t>38C(</w:t>
      </w:r>
      <w:r w:rsidR="00AB520E" w:rsidRPr="009714E7">
        <w:t>2</w:t>
      </w:r>
      <w:r w:rsidRPr="009714E7">
        <w:t xml:space="preserve">)(c) it must, as soon as practicable, give notice of the </w:t>
      </w:r>
      <w:r w:rsidR="00903464" w:rsidRPr="009714E7">
        <w:t>extension</w:t>
      </w:r>
      <w:r w:rsidRPr="009714E7">
        <w:t xml:space="preserve"> to the non</w:t>
      </w:r>
      <w:r w:rsidR="00C83714">
        <w:noBreakHyphen/>
      </w:r>
      <w:r w:rsidRPr="009714E7">
        <w:t>ADI lender, or to each non</w:t>
      </w:r>
      <w:r w:rsidR="00C83714">
        <w:noBreakHyphen/>
      </w:r>
      <w:r w:rsidRPr="009714E7">
        <w:t>ADI lender, to which the rule applies.</w:t>
      </w:r>
    </w:p>
    <w:p w:rsidR="00E13A57" w:rsidRPr="009714E7" w:rsidRDefault="00E13A57" w:rsidP="009714E7">
      <w:pPr>
        <w:pStyle w:val="SubsectionHead"/>
      </w:pPr>
      <w:r w:rsidRPr="009714E7">
        <w:t>Consultation</w:t>
      </w:r>
    </w:p>
    <w:p w:rsidR="00FB1143" w:rsidRPr="009714E7" w:rsidRDefault="00FB1143" w:rsidP="009714E7">
      <w:pPr>
        <w:pStyle w:val="subsection"/>
      </w:pPr>
      <w:r w:rsidRPr="009714E7">
        <w:tab/>
        <w:t>(</w:t>
      </w:r>
      <w:r w:rsidR="00591F24" w:rsidRPr="009714E7">
        <w:t>4</w:t>
      </w:r>
      <w:r w:rsidRPr="009714E7">
        <w:t>)</w:t>
      </w:r>
      <w:r w:rsidRPr="009714E7">
        <w:tab/>
        <w:t>Before making a non</w:t>
      </w:r>
      <w:r w:rsidR="00C83714">
        <w:noBreakHyphen/>
      </w:r>
      <w:r w:rsidRPr="009714E7">
        <w:t>ADI lender rule, or varying or revoking a non</w:t>
      </w:r>
      <w:r w:rsidR="00C83714">
        <w:noBreakHyphen/>
      </w:r>
      <w:r w:rsidRPr="009714E7">
        <w:t>ADI lender rule, APRA must consult with ASIC.</w:t>
      </w:r>
    </w:p>
    <w:p w:rsidR="00FB1143" w:rsidRPr="009714E7" w:rsidRDefault="00FB1143" w:rsidP="009714E7">
      <w:pPr>
        <w:pStyle w:val="subsection"/>
      </w:pPr>
      <w:r w:rsidRPr="009714E7">
        <w:tab/>
        <w:t>(</w:t>
      </w:r>
      <w:r w:rsidR="00591F24" w:rsidRPr="009714E7">
        <w:t>5</w:t>
      </w:r>
      <w:r w:rsidRPr="009714E7">
        <w:t>)</w:t>
      </w:r>
      <w:r w:rsidRPr="009714E7">
        <w:tab/>
        <w:t xml:space="preserve">A failure to comply with </w:t>
      </w:r>
      <w:r w:rsidR="009714E7" w:rsidRPr="009714E7">
        <w:t>subsection (</w:t>
      </w:r>
      <w:r w:rsidR="00591F24" w:rsidRPr="009714E7">
        <w:t>4</w:t>
      </w:r>
      <w:r w:rsidRPr="009714E7">
        <w:t>) does not affect the validity of the action concerned.</w:t>
      </w:r>
    </w:p>
    <w:p w:rsidR="00D0277E" w:rsidRPr="009714E7" w:rsidRDefault="00D0277E" w:rsidP="009714E7">
      <w:pPr>
        <w:pStyle w:val="ActHead5"/>
      </w:pPr>
      <w:bookmarkStart w:id="15" w:name="_Toc508110062"/>
      <w:r w:rsidRPr="009714E7">
        <w:rPr>
          <w:rStyle w:val="CharSectno"/>
        </w:rPr>
        <w:t>38</w:t>
      </w:r>
      <w:r w:rsidR="00227DC9" w:rsidRPr="009714E7">
        <w:rPr>
          <w:rStyle w:val="CharSectno"/>
        </w:rPr>
        <w:t>G</w:t>
      </w:r>
      <w:r w:rsidRPr="009714E7">
        <w:t xml:space="preserve">  </w:t>
      </w:r>
      <w:r w:rsidR="00D4594E" w:rsidRPr="009714E7">
        <w:t>Which n</w:t>
      </w:r>
      <w:r w:rsidRPr="009714E7">
        <w:t>on</w:t>
      </w:r>
      <w:r w:rsidR="00C83714">
        <w:noBreakHyphen/>
      </w:r>
      <w:r w:rsidRPr="009714E7">
        <w:t>ADI lender rules</w:t>
      </w:r>
      <w:r w:rsidR="00D4594E" w:rsidRPr="009714E7">
        <w:t>, etc., are legislative instruments</w:t>
      </w:r>
      <w:bookmarkEnd w:id="15"/>
    </w:p>
    <w:p w:rsidR="009101D8" w:rsidRPr="009714E7" w:rsidRDefault="00D0277E" w:rsidP="009714E7">
      <w:pPr>
        <w:pStyle w:val="subsection"/>
      </w:pPr>
      <w:r w:rsidRPr="009714E7">
        <w:tab/>
        <w:t>(</w:t>
      </w:r>
      <w:r w:rsidR="009101D8" w:rsidRPr="009714E7">
        <w:t>1)</w:t>
      </w:r>
      <w:r w:rsidR="009101D8" w:rsidRPr="009714E7">
        <w:tab/>
        <w:t>The following instruments are not legislative instruments:</w:t>
      </w:r>
    </w:p>
    <w:p w:rsidR="009101D8" w:rsidRPr="009714E7" w:rsidRDefault="009101D8" w:rsidP="009714E7">
      <w:pPr>
        <w:pStyle w:val="paragraph"/>
      </w:pPr>
      <w:r w:rsidRPr="009714E7">
        <w:tab/>
        <w:t>(a)</w:t>
      </w:r>
      <w:r w:rsidRPr="009714E7">
        <w:tab/>
        <w:t xml:space="preserve">a </w:t>
      </w:r>
      <w:r w:rsidR="00D0277E" w:rsidRPr="009714E7">
        <w:t>non</w:t>
      </w:r>
      <w:r w:rsidR="00C83714">
        <w:noBreakHyphen/>
      </w:r>
      <w:r w:rsidR="00D0277E" w:rsidRPr="009714E7">
        <w:t xml:space="preserve">ADI lender </w:t>
      </w:r>
      <w:r w:rsidRPr="009714E7">
        <w:t>rule referred to in paragraph</w:t>
      </w:r>
      <w:r w:rsidR="009714E7" w:rsidRPr="009714E7">
        <w:t> </w:t>
      </w:r>
      <w:r w:rsidR="00D0277E" w:rsidRPr="009714E7">
        <w:t>38C</w:t>
      </w:r>
      <w:r w:rsidRPr="009714E7">
        <w:t>(</w:t>
      </w:r>
      <w:r w:rsidR="00AB520E" w:rsidRPr="009714E7">
        <w:t>2</w:t>
      </w:r>
      <w:r w:rsidRPr="009714E7">
        <w:t>)(c);</w:t>
      </w:r>
    </w:p>
    <w:p w:rsidR="009101D8" w:rsidRPr="009714E7" w:rsidRDefault="009101D8" w:rsidP="009714E7">
      <w:pPr>
        <w:pStyle w:val="paragraph"/>
      </w:pPr>
      <w:r w:rsidRPr="009714E7">
        <w:tab/>
        <w:t>(b)</w:t>
      </w:r>
      <w:r w:rsidRPr="009714E7">
        <w:tab/>
        <w:t xml:space="preserve">an instrument </w:t>
      </w:r>
      <w:r w:rsidR="00D0277E" w:rsidRPr="009714E7">
        <w:t>under section</w:t>
      </w:r>
      <w:r w:rsidR="009714E7" w:rsidRPr="009714E7">
        <w:t> </w:t>
      </w:r>
      <w:r w:rsidR="00D0277E" w:rsidRPr="009714E7">
        <w:t>38</w:t>
      </w:r>
      <w:r w:rsidR="00227DC9" w:rsidRPr="009714E7">
        <w:t>E</w:t>
      </w:r>
      <w:r w:rsidR="00D0277E" w:rsidRPr="009714E7">
        <w:t xml:space="preserve"> </w:t>
      </w:r>
      <w:r w:rsidRPr="009714E7">
        <w:t xml:space="preserve">varying or revoking a </w:t>
      </w:r>
      <w:r w:rsidR="00D0277E" w:rsidRPr="009714E7">
        <w:t>non</w:t>
      </w:r>
      <w:r w:rsidR="00C83714">
        <w:noBreakHyphen/>
      </w:r>
      <w:r w:rsidR="00D0277E" w:rsidRPr="009714E7">
        <w:t xml:space="preserve">ADI lender </w:t>
      </w:r>
      <w:r w:rsidRPr="009714E7">
        <w:t>rule referr</w:t>
      </w:r>
      <w:r w:rsidR="00857265" w:rsidRPr="009714E7">
        <w:t>ed to in paragraph</w:t>
      </w:r>
      <w:r w:rsidR="009714E7" w:rsidRPr="009714E7">
        <w:t> </w:t>
      </w:r>
      <w:r w:rsidR="00D0277E" w:rsidRPr="009714E7">
        <w:t>38C</w:t>
      </w:r>
      <w:r w:rsidR="00857265" w:rsidRPr="009714E7">
        <w:t>(</w:t>
      </w:r>
      <w:r w:rsidR="00AB520E" w:rsidRPr="009714E7">
        <w:t>2</w:t>
      </w:r>
      <w:r w:rsidR="00857265" w:rsidRPr="009714E7">
        <w:t>)(c);</w:t>
      </w:r>
    </w:p>
    <w:p w:rsidR="00857265" w:rsidRPr="009714E7" w:rsidRDefault="00857265" w:rsidP="009714E7">
      <w:pPr>
        <w:pStyle w:val="paragraph"/>
      </w:pPr>
      <w:r w:rsidRPr="009714E7">
        <w:tab/>
        <w:t>(c)</w:t>
      </w:r>
      <w:r w:rsidRPr="009714E7">
        <w:tab/>
        <w:t xml:space="preserve">an instrument </w:t>
      </w:r>
      <w:r w:rsidR="00D0277E" w:rsidRPr="009714E7">
        <w:t>under subsection</w:t>
      </w:r>
      <w:r w:rsidR="009714E7" w:rsidRPr="009714E7">
        <w:t> </w:t>
      </w:r>
      <w:r w:rsidR="00D4594E" w:rsidRPr="009714E7">
        <w:t>38</w:t>
      </w:r>
      <w:r w:rsidR="00227DC9" w:rsidRPr="009714E7">
        <w:t>D</w:t>
      </w:r>
      <w:r w:rsidR="00D4594E" w:rsidRPr="009714E7">
        <w:t xml:space="preserve">(2) </w:t>
      </w:r>
      <w:r w:rsidRPr="009714E7">
        <w:t xml:space="preserve">extending the period </w:t>
      </w:r>
      <w:r w:rsidR="00C54342" w:rsidRPr="009714E7">
        <w:t xml:space="preserve">mentioned </w:t>
      </w:r>
      <w:r w:rsidRPr="009714E7">
        <w:t>in subsection</w:t>
      </w:r>
      <w:r w:rsidR="009714E7" w:rsidRPr="009714E7">
        <w:t> </w:t>
      </w:r>
      <w:r w:rsidR="00227DC9" w:rsidRPr="009714E7">
        <w:t>38D</w:t>
      </w:r>
      <w:r w:rsidRPr="009714E7">
        <w:t>(</w:t>
      </w:r>
      <w:r w:rsidR="00C54342" w:rsidRPr="009714E7">
        <w:t>1</w:t>
      </w:r>
      <w:r w:rsidRPr="009714E7">
        <w:t xml:space="preserve">) in relation to a </w:t>
      </w:r>
      <w:r w:rsidR="00D0277E" w:rsidRPr="009714E7">
        <w:t>non</w:t>
      </w:r>
      <w:r w:rsidR="00C83714">
        <w:noBreakHyphen/>
      </w:r>
      <w:r w:rsidR="00D0277E" w:rsidRPr="009714E7">
        <w:t xml:space="preserve">ADI lender </w:t>
      </w:r>
      <w:r w:rsidRPr="009714E7">
        <w:t>rule referred to in paragraph</w:t>
      </w:r>
      <w:r w:rsidR="009714E7" w:rsidRPr="009714E7">
        <w:t> </w:t>
      </w:r>
      <w:r w:rsidR="00D0277E" w:rsidRPr="009714E7">
        <w:t>38C</w:t>
      </w:r>
      <w:r w:rsidRPr="009714E7">
        <w:t>(</w:t>
      </w:r>
      <w:r w:rsidR="00AB520E" w:rsidRPr="009714E7">
        <w:t>2</w:t>
      </w:r>
      <w:r w:rsidRPr="009714E7">
        <w:t>)(c).</w:t>
      </w:r>
    </w:p>
    <w:p w:rsidR="009101D8" w:rsidRPr="009714E7" w:rsidRDefault="00D0277E" w:rsidP="009714E7">
      <w:pPr>
        <w:pStyle w:val="subsection"/>
      </w:pPr>
      <w:r w:rsidRPr="009714E7">
        <w:tab/>
        <w:t>(</w:t>
      </w:r>
      <w:r w:rsidR="009101D8" w:rsidRPr="009714E7">
        <w:t>2)</w:t>
      </w:r>
      <w:r w:rsidR="009101D8" w:rsidRPr="009714E7">
        <w:tab/>
        <w:t>Otherwise, an instrument made under section</w:t>
      </w:r>
      <w:r w:rsidR="009714E7" w:rsidRPr="009714E7">
        <w:t> </w:t>
      </w:r>
      <w:r w:rsidRPr="009714E7">
        <w:t>38C</w:t>
      </w:r>
      <w:r w:rsidR="00C535E1" w:rsidRPr="009714E7">
        <w:t>, 38D</w:t>
      </w:r>
      <w:r w:rsidRPr="009714E7">
        <w:t xml:space="preserve"> or </w:t>
      </w:r>
      <w:r w:rsidR="00227DC9" w:rsidRPr="009714E7">
        <w:t xml:space="preserve">38E </w:t>
      </w:r>
      <w:r w:rsidR="009101D8" w:rsidRPr="009714E7">
        <w:t>is a legislative instrument.</w:t>
      </w:r>
    </w:p>
    <w:p w:rsidR="00D0277E" w:rsidRPr="009714E7" w:rsidRDefault="00D0277E" w:rsidP="009714E7">
      <w:pPr>
        <w:pStyle w:val="ActHead5"/>
      </w:pPr>
      <w:bookmarkStart w:id="16" w:name="_Toc508110063"/>
      <w:r w:rsidRPr="009714E7">
        <w:rPr>
          <w:rStyle w:val="CharSectno"/>
        </w:rPr>
        <w:t>38</w:t>
      </w:r>
      <w:r w:rsidR="00227DC9" w:rsidRPr="009714E7">
        <w:rPr>
          <w:rStyle w:val="CharSectno"/>
        </w:rPr>
        <w:t>H</w:t>
      </w:r>
      <w:r w:rsidRPr="009714E7">
        <w:t xml:space="preserve">  Review of decisions relating to non</w:t>
      </w:r>
      <w:r w:rsidR="00C83714">
        <w:noBreakHyphen/>
      </w:r>
      <w:r w:rsidRPr="009714E7">
        <w:t>ADI lender rules</w:t>
      </w:r>
      <w:bookmarkEnd w:id="16"/>
    </w:p>
    <w:p w:rsidR="009101D8" w:rsidRPr="009714E7" w:rsidRDefault="009101D8" w:rsidP="009714E7">
      <w:pPr>
        <w:pStyle w:val="subsection"/>
      </w:pPr>
      <w:r w:rsidRPr="009714E7">
        <w:tab/>
      </w:r>
      <w:r w:rsidRPr="009714E7">
        <w:tab/>
        <w:t>Part</w:t>
      </w:r>
      <w:r w:rsidR="009714E7" w:rsidRPr="009714E7">
        <w:t> </w:t>
      </w:r>
      <w:r w:rsidRPr="009714E7">
        <w:t>VI applies to the following decisions:</w:t>
      </w:r>
    </w:p>
    <w:p w:rsidR="009101D8" w:rsidRPr="009714E7" w:rsidRDefault="009101D8" w:rsidP="009714E7">
      <w:pPr>
        <w:pStyle w:val="paragraph"/>
      </w:pPr>
      <w:r w:rsidRPr="009714E7">
        <w:tab/>
        <w:t>(a)</w:t>
      </w:r>
      <w:r w:rsidRPr="009714E7">
        <w:tab/>
        <w:t xml:space="preserve">a decision to </w:t>
      </w:r>
      <w:r w:rsidR="00C54342" w:rsidRPr="009714E7">
        <w:t>make</w:t>
      </w:r>
      <w:r w:rsidRPr="009714E7">
        <w:t xml:space="preserve"> a </w:t>
      </w:r>
      <w:r w:rsidR="00D0277E" w:rsidRPr="009714E7">
        <w:t>non</w:t>
      </w:r>
      <w:r w:rsidR="00C83714">
        <w:noBreakHyphen/>
      </w:r>
      <w:r w:rsidR="00D0277E" w:rsidRPr="009714E7">
        <w:t xml:space="preserve">ADI lender </w:t>
      </w:r>
      <w:r w:rsidRPr="009714E7">
        <w:t>rule referred to in paragraph</w:t>
      </w:r>
      <w:r w:rsidR="009714E7" w:rsidRPr="009714E7">
        <w:t> </w:t>
      </w:r>
      <w:r w:rsidR="00D0277E" w:rsidRPr="009714E7">
        <w:t>38C</w:t>
      </w:r>
      <w:r w:rsidRPr="009714E7">
        <w:t>(</w:t>
      </w:r>
      <w:r w:rsidR="00AB520E" w:rsidRPr="009714E7">
        <w:t>2</w:t>
      </w:r>
      <w:r w:rsidRPr="009714E7">
        <w:t>)(c);</w:t>
      </w:r>
    </w:p>
    <w:p w:rsidR="009101D8" w:rsidRPr="009714E7" w:rsidRDefault="009101D8" w:rsidP="009714E7">
      <w:pPr>
        <w:pStyle w:val="paragraph"/>
      </w:pPr>
      <w:r w:rsidRPr="009714E7">
        <w:tab/>
        <w:t>(b)</w:t>
      </w:r>
      <w:r w:rsidR="00857265" w:rsidRPr="009714E7">
        <w:tab/>
        <w:t>a decision to vary such a rule;</w:t>
      </w:r>
    </w:p>
    <w:p w:rsidR="00857265" w:rsidRPr="009714E7" w:rsidRDefault="00857265" w:rsidP="009714E7">
      <w:pPr>
        <w:pStyle w:val="paragraph"/>
      </w:pPr>
      <w:r w:rsidRPr="009714E7">
        <w:tab/>
        <w:t>(c)</w:t>
      </w:r>
      <w:r w:rsidRPr="009714E7">
        <w:tab/>
        <w:t xml:space="preserve">a decision </w:t>
      </w:r>
      <w:r w:rsidR="00591F24" w:rsidRPr="009714E7">
        <w:t xml:space="preserve">to </w:t>
      </w:r>
      <w:r w:rsidR="00D4594E" w:rsidRPr="009714E7">
        <w:t>make an instrument under subsection</w:t>
      </w:r>
      <w:r w:rsidR="009714E7" w:rsidRPr="009714E7">
        <w:t> </w:t>
      </w:r>
      <w:r w:rsidR="00227DC9" w:rsidRPr="009714E7">
        <w:t>38D</w:t>
      </w:r>
      <w:r w:rsidR="00D4594E" w:rsidRPr="009714E7">
        <w:t xml:space="preserve">(2) </w:t>
      </w:r>
      <w:r w:rsidRPr="009714E7">
        <w:t>in relation to such a rule.</w:t>
      </w:r>
    </w:p>
    <w:p w:rsidR="009101D8" w:rsidRPr="009714E7" w:rsidRDefault="009101D8" w:rsidP="009714E7">
      <w:pPr>
        <w:pStyle w:val="ActHead5"/>
      </w:pPr>
      <w:bookmarkStart w:id="17" w:name="_Toc508110064"/>
      <w:r w:rsidRPr="009714E7">
        <w:rPr>
          <w:rStyle w:val="CharSectno"/>
        </w:rPr>
        <w:lastRenderedPageBreak/>
        <w:t>38</w:t>
      </w:r>
      <w:r w:rsidR="00227DC9" w:rsidRPr="009714E7">
        <w:rPr>
          <w:rStyle w:val="CharSectno"/>
        </w:rPr>
        <w:t>J</w:t>
      </w:r>
      <w:r w:rsidRPr="009714E7">
        <w:t xml:space="preserve"> </w:t>
      </w:r>
      <w:r w:rsidRPr="009714E7">
        <w:rPr>
          <w:i/>
        </w:rPr>
        <w:t xml:space="preserve"> </w:t>
      </w:r>
      <w:r w:rsidRPr="009714E7">
        <w:t>Division not to limit operation of other provisions</w:t>
      </w:r>
      <w:bookmarkEnd w:id="17"/>
    </w:p>
    <w:p w:rsidR="009101D8" w:rsidRPr="009714E7" w:rsidRDefault="009101D8" w:rsidP="009714E7">
      <w:pPr>
        <w:pStyle w:val="subsection"/>
      </w:pPr>
      <w:r w:rsidRPr="009714E7">
        <w:tab/>
      </w:r>
      <w:r w:rsidRPr="009714E7">
        <w:tab/>
        <w:t xml:space="preserve">Nothing in this Division is intended to limit the operation of any other provision of this Act or of the </w:t>
      </w:r>
      <w:r w:rsidRPr="009714E7">
        <w:rPr>
          <w:i/>
        </w:rPr>
        <w:t>Reserve Bank Act 1959</w:t>
      </w:r>
      <w:r w:rsidRPr="009714E7">
        <w:t>.</w:t>
      </w:r>
    </w:p>
    <w:p w:rsidR="009101D8" w:rsidRPr="009714E7" w:rsidRDefault="009101D8" w:rsidP="009714E7">
      <w:pPr>
        <w:pStyle w:val="ActHead3"/>
      </w:pPr>
      <w:bookmarkStart w:id="18" w:name="_Toc508110065"/>
      <w:r w:rsidRPr="009714E7">
        <w:rPr>
          <w:rStyle w:val="CharDivNo"/>
        </w:rPr>
        <w:t>Division</w:t>
      </w:r>
      <w:r w:rsidR="009714E7" w:rsidRPr="009714E7">
        <w:rPr>
          <w:rStyle w:val="CharDivNo"/>
        </w:rPr>
        <w:t> </w:t>
      </w:r>
      <w:r w:rsidRPr="009714E7">
        <w:rPr>
          <w:rStyle w:val="CharDivNo"/>
        </w:rPr>
        <w:t>3</w:t>
      </w:r>
      <w:r w:rsidRPr="009714E7">
        <w:t>—</w:t>
      </w:r>
      <w:r w:rsidRPr="009714E7">
        <w:rPr>
          <w:rStyle w:val="CharDivText"/>
        </w:rPr>
        <w:t>APRA’s power to issue directions</w:t>
      </w:r>
      <w:bookmarkEnd w:id="18"/>
    </w:p>
    <w:p w:rsidR="009101D8" w:rsidRPr="009714E7" w:rsidRDefault="00227DC9" w:rsidP="009714E7">
      <w:pPr>
        <w:pStyle w:val="ActHead5"/>
      </w:pPr>
      <w:bookmarkStart w:id="19" w:name="_Toc508110066"/>
      <w:r w:rsidRPr="009714E7">
        <w:rPr>
          <w:rStyle w:val="CharSectno"/>
        </w:rPr>
        <w:t>38K</w:t>
      </w:r>
      <w:r w:rsidR="009101D8" w:rsidRPr="009714E7">
        <w:t xml:space="preserve">  APRA may give directions in certain circumstances</w:t>
      </w:r>
      <w:bookmarkEnd w:id="19"/>
    </w:p>
    <w:p w:rsidR="003D4384" w:rsidRPr="009714E7" w:rsidRDefault="003D4384" w:rsidP="009714E7">
      <w:pPr>
        <w:pStyle w:val="subsection"/>
      </w:pPr>
      <w:r w:rsidRPr="009714E7">
        <w:tab/>
        <w:t>(1)</w:t>
      </w:r>
      <w:r w:rsidRPr="009714E7">
        <w:tab/>
        <w:t>APRA may give a body corporate that is a non</w:t>
      </w:r>
      <w:r w:rsidR="00C83714">
        <w:noBreakHyphen/>
      </w:r>
      <w:r w:rsidRPr="009714E7">
        <w:t>ADI lender a direction to take specified action to comp</w:t>
      </w:r>
      <w:r w:rsidR="004C6D7A" w:rsidRPr="009714E7">
        <w:t xml:space="preserve">ly with the whole or a part of a </w:t>
      </w:r>
      <w:r w:rsidRPr="009714E7">
        <w:t>non</w:t>
      </w:r>
      <w:r w:rsidR="00C83714">
        <w:noBreakHyphen/>
      </w:r>
      <w:r w:rsidRPr="009714E7">
        <w:t>ADI lender rule if APRA has reason to believe that:</w:t>
      </w:r>
    </w:p>
    <w:p w:rsidR="003D4384" w:rsidRPr="009714E7" w:rsidRDefault="003D4384" w:rsidP="009714E7">
      <w:pPr>
        <w:pStyle w:val="paragraph"/>
      </w:pPr>
      <w:r w:rsidRPr="009714E7">
        <w:tab/>
        <w:t>(a)</w:t>
      </w:r>
      <w:r w:rsidRPr="009714E7">
        <w:tab/>
        <w:t>the body corporate has contravened the non</w:t>
      </w:r>
      <w:r w:rsidR="00C83714">
        <w:noBreakHyphen/>
      </w:r>
      <w:r w:rsidRPr="009714E7">
        <w:t>ADI lender rule; or</w:t>
      </w:r>
    </w:p>
    <w:p w:rsidR="003D4384" w:rsidRPr="009714E7" w:rsidRDefault="003D4384" w:rsidP="009714E7">
      <w:pPr>
        <w:pStyle w:val="paragraph"/>
      </w:pPr>
      <w:r w:rsidRPr="009714E7">
        <w:tab/>
        <w:t>(b)</w:t>
      </w:r>
      <w:r w:rsidRPr="009714E7">
        <w:tab/>
        <w:t>the body corporate is likely to contravene the non</w:t>
      </w:r>
      <w:r w:rsidR="00C83714">
        <w:noBreakHyphen/>
      </w:r>
      <w:r w:rsidRPr="009714E7">
        <w:t>ADI lender rule.</w:t>
      </w:r>
    </w:p>
    <w:p w:rsidR="009101D8" w:rsidRPr="009714E7" w:rsidRDefault="009101D8" w:rsidP="009714E7">
      <w:pPr>
        <w:pStyle w:val="subsection"/>
      </w:pPr>
      <w:r w:rsidRPr="009714E7">
        <w:tab/>
        <w:t>(2)</w:t>
      </w:r>
      <w:r w:rsidRPr="009714E7">
        <w:tab/>
        <w:t>The direction must:</w:t>
      </w:r>
    </w:p>
    <w:p w:rsidR="009101D8" w:rsidRPr="009714E7" w:rsidRDefault="009101D8" w:rsidP="009714E7">
      <w:pPr>
        <w:pStyle w:val="paragraph"/>
      </w:pPr>
      <w:r w:rsidRPr="009714E7">
        <w:tab/>
        <w:t>(a)</w:t>
      </w:r>
      <w:r w:rsidRPr="009714E7">
        <w:tab/>
        <w:t>be given by notice in writing to the body corporate; and</w:t>
      </w:r>
    </w:p>
    <w:p w:rsidR="009101D8" w:rsidRPr="009714E7" w:rsidRDefault="009101D8" w:rsidP="009714E7">
      <w:pPr>
        <w:pStyle w:val="paragraph"/>
      </w:pPr>
      <w:r w:rsidRPr="009714E7">
        <w:tab/>
        <w:t>(b)</w:t>
      </w:r>
      <w:r w:rsidRPr="009714E7">
        <w:tab/>
        <w:t xml:space="preserve">specify the ground referred to in </w:t>
      </w:r>
      <w:r w:rsidR="009714E7" w:rsidRPr="009714E7">
        <w:t>subsection (</w:t>
      </w:r>
      <w:r w:rsidRPr="009714E7">
        <w:t>1) as a result of which the direction is given.</w:t>
      </w:r>
    </w:p>
    <w:p w:rsidR="00EA63BA" w:rsidRPr="009714E7" w:rsidRDefault="00EA63BA" w:rsidP="009714E7">
      <w:pPr>
        <w:pStyle w:val="subsection"/>
      </w:pPr>
      <w:r w:rsidRPr="009714E7">
        <w:tab/>
        <w:t>(</w:t>
      </w:r>
      <w:r w:rsidR="004C6D7A" w:rsidRPr="009714E7">
        <w:t>3</w:t>
      </w:r>
      <w:r w:rsidRPr="009714E7">
        <w:t>)</w:t>
      </w:r>
      <w:r w:rsidRPr="009714E7">
        <w:tab/>
        <w:t>In deciding whether to give a direction</w:t>
      </w:r>
      <w:r w:rsidR="00D4594E" w:rsidRPr="009714E7">
        <w:t xml:space="preserve"> under </w:t>
      </w:r>
      <w:r w:rsidR="009714E7" w:rsidRPr="009714E7">
        <w:t>subsection (</w:t>
      </w:r>
      <w:r w:rsidR="00D4594E" w:rsidRPr="009714E7">
        <w:t>1</w:t>
      </w:r>
      <w:r w:rsidRPr="009714E7">
        <w:t>), APRA must consider</w:t>
      </w:r>
      <w:r w:rsidR="00F154BE" w:rsidRPr="009714E7">
        <w:t xml:space="preserve"> whether </w:t>
      </w:r>
      <w:r w:rsidRPr="009714E7">
        <w:t>the body corporate has taken reasonable steps in the past to comply with the non</w:t>
      </w:r>
      <w:r w:rsidR="00C83714">
        <w:noBreakHyphen/>
      </w:r>
      <w:r w:rsidRPr="009714E7">
        <w:t>ADI lender rule.</w:t>
      </w:r>
    </w:p>
    <w:p w:rsidR="009101D8" w:rsidRPr="009714E7" w:rsidRDefault="009101D8" w:rsidP="009714E7">
      <w:pPr>
        <w:pStyle w:val="subsection"/>
      </w:pPr>
      <w:r w:rsidRPr="009714E7">
        <w:tab/>
        <w:t>(</w:t>
      </w:r>
      <w:r w:rsidR="004C6D7A" w:rsidRPr="009714E7">
        <w:t>4</w:t>
      </w:r>
      <w:r w:rsidRPr="009714E7">
        <w:t>)</w:t>
      </w:r>
      <w:r w:rsidRPr="009714E7">
        <w:tab/>
        <w:t>The direction may deal with the time by which, or period during which, it is to be complied with.</w:t>
      </w:r>
    </w:p>
    <w:p w:rsidR="009101D8" w:rsidRPr="009714E7" w:rsidRDefault="009101D8" w:rsidP="009714E7">
      <w:pPr>
        <w:pStyle w:val="subsection"/>
      </w:pPr>
      <w:r w:rsidRPr="009714E7">
        <w:tab/>
        <w:t>(</w:t>
      </w:r>
      <w:r w:rsidR="004C6D7A" w:rsidRPr="009714E7">
        <w:t>5</w:t>
      </w:r>
      <w:r w:rsidRPr="009714E7">
        <w:t>)</w:t>
      </w:r>
      <w:r w:rsidRPr="009714E7">
        <w:tab/>
        <w:t>The body corporate has power to comply with the direction despite anything in its constitution or any contract or arrangement to which it is a party.</w:t>
      </w:r>
    </w:p>
    <w:p w:rsidR="009101D8" w:rsidRPr="009714E7" w:rsidRDefault="009101D8" w:rsidP="009714E7">
      <w:pPr>
        <w:pStyle w:val="subsection"/>
      </w:pPr>
      <w:r w:rsidRPr="009714E7">
        <w:tab/>
        <w:t>(</w:t>
      </w:r>
      <w:r w:rsidR="004C6D7A" w:rsidRPr="009714E7">
        <w:t>6</w:t>
      </w:r>
      <w:r w:rsidRPr="009714E7">
        <w:t>)</w:t>
      </w:r>
      <w:r w:rsidRPr="009714E7">
        <w:tab/>
        <w:t>APRA may, by notice in writing to the body corporate, vary the direction if, at the time of the variation, it considers that the variation is necessary and appropriate.</w:t>
      </w:r>
    </w:p>
    <w:p w:rsidR="009101D8" w:rsidRPr="009714E7" w:rsidRDefault="009101D8" w:rsidP="009714E7">
      <w:pPr>
        <w:pStyle w:val="subsection"/>
      </w:pPr>
      <w:r w:rsidRPr="009714E7">
        <w:tab/>
        <w:t>(</w:t>
      </w:r>
      <w:r w:rsidR="004C6D7A" w:rsidRPr="009714E7">
        <w:t>7</w:t>
      </w:r>
      <w:r w:rsidRPr="009714E7">
        <w:t>)</w:t>
      </w:r>
      <w:r w:rsidRPr="009714E7">
        <w:tab/>
        <w:t>The direction has effect until APRA revokes it by notice in writing to the body corporate. APRA may revoke the direction if, at the time of revocation, it considers that the direction is no longer necessary or appropriate.</w:t>
      </w:r>
    </w:p>
    <w:p w:rsidR="009101D8" w:rsidRPr="009714E7" w:rsidRDefault="009101D8" w:rsidP="009714E7">
      <w:pPr>
        <w:pStyle w:val="subsection"/>
      </w:pPr>
      <w:r w:rsidRPr="009714E7">
        <w:lastRenderedPageBreak/>
        <w:tab/>
        <w:t>(</w:t>
      </w:r>
      <w:r w:rsidR="004C6D7A" w:rsidRPr="009714E7">
        <w:t>8</w:t>
      </w:r>
      <w:r w:rsidRPr="009714E7">
        <w:t>)</w:t>
      </w:r>
      <w:r w:rsidRPr="009714E7">
        <w:tab/>
        <w:t>Part</w:t>
      </w:r>
      <w:r w:rsidR="009714E7" w:rsidRPr="009714E7">
        <w:t> </w:t>
      </w:r>
      <w:r w:rsidRPr="009714E7">
        <w:t xml:space="preserve">VI applies to a decision to give a direction under </w:t>
      </w:r>
      <w:r w:rsidR="009714E7" w:rsidRPr="009714E7">
        <w:t>subsection (</w:t>
      </w:r>
      <w:r w:rsidRPr="009714E7">
        <w:t>1).</w:t>
      </w:r>
    </w:p>
    <w:p w:rsidR="009101D8" w:rsidRPr="009714E7" w:rsidRDefault="009101D8" w:rsidP="009714E7">
      <w:pPr>
        <w:pStyle w:val="ActHead5"/>
      </w:pPr>
      <w:bookmarkStart w:id="20" w:name="_Toc508110067"/>
      <w:r w:rsidRPr="009714E7">
        <w:rPr>
          <w:rStyle w:val="CharSectno"/>
        </w:rPr>
        <w:t>38</w:t>
      </w:r>
      <w:r w:rsidR="00227DC9" w:rsidRPr="009714E7">
        <w:rPr>
          <w:rStyle w:val="CharSectno"/>
        </w:rPr>
        <w:t>L</w:t>
      </w:r>
      <w:r w:rsidRPr="009714E7">
        <w:t xml:space="preserve">  Non</w:t>
      </w:r>
      <w:r w:rsidR="00C83714">
        <w:noBreakHyphen/>
      </w:r>
      <w:r w:rsidRPr="009714E7">
        <w:t>compliance with a direction under section</w:t>
      </w:r>
      <w:r w:rsidR="009714E7" w:rsidRPr="009714E7">
        <w:t> </w:t>
      </w:r>
      <w:r w:rsidRPr="009714E7">
        <w:t>38</w:t>
      </w:r>
      <w:r w:rsidR="00227DC9" w:rsidRPr="009714E7">
        <w:t>K</w:t>
      </w:r>
      <w:bookmarkEnd w:id="20"/>
    </w:p>
    <w:p w:rsidR="009101D8" w:rsidRPr="009714E7" w:rsidRDefault="009101D8" w:rsidP="009714E7">
      <w:pPr>
        <w:pStyle w:val="subsection"/>
      </w:pPr>
      <w:r w:rsidRPr="009714E7">
        <w:tab/>
        <w:t>(1)</w:t>
      </w:r>
      <w:r w:rsidRPr="009714E7">
        <w:tab/>
        <w:t>A non</w:t>
      </w:r>
      <w:r w:rsidR="00C83714">
        <w:noBreakHyphen/>
      </w:r>
      <w:r w:rsidRPr="009714E7">
        <w:t>ADI lender commits an offence if:</w:t>
      </w:r>
    </w:p>
    <w:p w:rsidR="009101D8" w:rsidRPr="009714E7" w:rsidRDefault="009101D8" w:rsidP="009714E7">
      <w:pPr>
        <w:pStyle w:val="paragraph"/>
      </w:pPr>
      <w:r w:rsidRPr="009714E7">
        <w:tab/>
        <w:t>(a)</w:t>
      </w:r>
      <w:r w:rsidRPr="009714E7">
        <w:tab/>
        <w:t>it does, or fails to do, an act; and</w:t>
      </w:r>
    </w:p>
    <w:p w:rsidR="009101D8" w:rsidRPr="009714E7" w:rsidRDefault="009101D8" w:rsidP="009714E7">
      <w:pPr>
        <w:pStyle w:val="paragraph"/>
      </w:pPr>
      <w:r w:rsidRPr="009714E7">
        <w:tab/>
        <w:t>(b)</w:t>
      </w:r>
      <w:r w:rsidRPr="009714E7">
        <w:tab/>
        <w:t>doing, or failing to do, the act results in a contravention of a direction given to it under section</w:t>
      </w:r>
      <w:r w:rsidR="009714E7" w:rsidRPr="009714E7">
        <w:t> </w:t>
      </w:r>
      <w:r w:rsidRPr="009714E7">
        <w:t>38</w:t>
      </w:r>
      <w:r w:rsidR="00227DC9" w:rsidRPr="009714E7">
        <w:t>K</w:t>
      </w:r>
      <w:r w:rsidRPr="009714E7">
        <w:t>.</w:t>
      </w:r>
    </w:p>
    <w:p w:rsidR="009101D8" w:rsidRPr="009714E7" w:rsidRDefault="009101D8" w:rsidP="009714E7">
      <w:pPr>
        <w:pStyle w:val="Penalty"/>
      </w:pPr>
      <w:r w:rsidRPr="009714E7">
        <w:t>Penalty:</w:t>
      </w:r>
      <w:r w:rsidRPr="009714E7">
        <w:tab/>
        <w:t>50 penalty units.</w:t>
      </w:r>
    </w:p>
    <w:p w:rsidR="009101D8" w:rsidRPr="009714E7" w:rsidRDefault="009101D8" w:rsidP="009714E7">
      <w:pPr>
        <w:pStyle w:val="notetext"/>
      </w:pPr>
      <w:r w:rsidRPr="009714E7">
        <w:t>Note:</w:t>
      </w:r>
      <w:r w:rsidRPr="009714E7">
        <w:tab/>
        <w:t>If a body corporate is convicted of an offence against this subsection, subsection</w:t>
      </w:r>
      <w:r w:rsidR="009714E7" w:rsidRPr="009714E7">
        <w:t> </w:t>
      </w:r>
      <w:r w:rsidRPr="009714E7">
        <w:t xml:space="preserve">4B(3) of the </w:t>
      </w:r>
      <w:r w:rsidRPr="009714E7">
        <w:rPr>
          <w:i/>
        </w:rPr>
        <w:t>Crimes Act 1914</w:t>
      </w:r>
      <w:r w:rsidRPr="009714E7">
        <w:t xml:space="preserve"> allows a court to impose a fine of up to 5 times the penalty stated above.</w:t>
      </w:r>
    </w:p>
    <w:p w:rsidR="009101D8" w:rsidRPr="009714E7" w:rsidRDefault="009101D8" w:rsidP="009714E7">
      <w:pPr>
        <w:pStyle w:val="subsection"/>
      </w:pPr>
      <w:r w:rsidRPr="009714E7">
        <w:tab/>
        <w:t>(2)</w:t>
      </w:r>
      <w:r w:rsidRPr="009714E7">
        <w:tab/>
        <w:t>If a non</w:t>
      </w:r>
      <w:r w:rsidR="00C83714">
        <w:noBreakHyphen/>
      </w:r>
      <w:r w:rsidRPr="009714E7">
        <w:t>ADI lender does or fails to do an act in circumstances that give rise to the non</w:t>
      </w:r>
      <w:r w:rsidR="00C83714">
        <w:noBreakHyphen/>
      </w:r>
      <w:r w:rsidRPr="009714E7">
        <w:t xml:space="preserve">ADI lender committing an offence against </w:t>
      </w:r>
      <w:r w:rsidR="009714E7" w:rsidRPr="009714E7">
        <w:t>subsection (</w:t>
      </w:r>
      <w:r w:rsidRPr="009714E7">
        <w:t>1), the non</w:t>
      </w:r>
      <w:r w:rsidR="00C83714">
        <w:noBreakHyphen/>
      </w:r>
      <w:r w:rsidRPr="009714E7">
        <w:t>ADI lender commits an offence against that subsection in respect of:</w:t>
      </w:r>
    </w:p>
    <w:p w:rsidR="009101D8" w:rsidRPr="009714E7" w:rsidRDefault="009101D8" w:rsidP="009714E7">
      <w:pPr>
        <w:pStyle w:val="paragraph"/>
      </w:pPr>
      <w:r w:rsidRPr="009714E7">
        <w:tab/>
        <w:t>(a)</w:t>
      </w:r>
      <w:r w:rsidRPr="009714E7">
        <w:tab/>
        <w:t>the first day on which the offence is committed; and</w:t>
      </w:r>
    </w:p>
    <w:p w:rsidR="009101D8" w:rsidRPr="009714E7" w:rsidRDefault="009101D8" w:rsidP="009714E7">
      <w:pPr>
        <w:pStyle w:val="paragraph"/>
      </w:pPr>
      <w:r w:rsidRPr="009714E7">
        <w:tab/>
        <w:t>(b)</w:t>
      </w:r>
      <w:r w:rsidRPr="009714E7">
        <w:tab/>
        <w:t>each subsequent day (if any) on which the circumstances that gave rise to the non</w:t>
      </w:r>
      <w:r w:rsidR="00C83714">
        <w:noBreakHyphen/>
      </w:r>
      <w:r w:rsidRPr="009714E7">
        <w:t>ADI lender committing the offence continue (including the day of conviction for any such offence or any later day).</w:t>
      </w:r>
    </w:p>
    <w:p w:rsidR="009101D8" w:rsidRPr="009714E7" w:rsidRDefault="009101D8" w:rsidP="009714E7">
      <w:pPr>
        <w:pStyle w:val="notetext"/>
      </w:pPr>
      <w:r w:rsidRPr="009714E7">
        <w:t>Note:</w:t>
      </w:r>
      <w:r w:rsidRPr="009714E7">
        <w:tab/>
        <w:t>This subsection is not intended to imply that section</w:t>
      </w:r>
      <w:r w:rsidR="009714E7" w:rsidRPr="009714E7">
        <w:t> </w:t>
      </w:r>
      <w:r w:rsidRPr="009714E7">
        <w:t xml:space="preserve">4K of the </w:t>
      </w:r>
      <w:r w:rsidRPr="009714E7">
        <w:rPr>
          <w:i/>
        </w:rPr>
        <w:t>Crimes Act 1914</w:t>
      </w:r>
      <w:r w:rsidRPr="009714E7">
        <w:t xml:space="preserve"> does not apply to offences against this Act or the regulations.</w:t>
      </w:r>
    </w:p>
    <w:p w:rsidR="009101D8" w:rsidRPr="009714E7" w:rsidRDefault="009101D8" w:rsidP="009714E7">
      <w:pPr>
        <w:pStyle w:val="subsection"/>
      </w:pPr>
      <w:r w:rsidRPr="009714E7">
        <w:tab/>
        <w:t>(3)</w:t>
      </w:r>
      <w:r w:rsidRPr="009714E7">
        <w:tab/>
        <w:t>An officer of a non</w:t>
      </w:r>
      <w:r w:rsidR="00C83714">
        <w:noBreakHyphen/>
      </w:r>
      <w:r w:rsidRPr="009714E7">
        <w:t>ADI lender commits an offence if:</w:t>
      </w:r>
    </w:p>
    <w:p w:rsidR="009101D8" w:rsidRPr="009714E7" w:rsidRDefault="009101D8" w:rsidP="009714E7">
      <w:pPr>
        <w:pStyle w:val="paragraph"/>
      </w:pPr>
      <w:r w:rsidRPr="009714E7">
        <w:tab/>
        <w:t>(a)</w:t>
      </w:r>
      <w:r w:rsidRPr="009714E7">
        <w:tab/>
        <w:t>the officer fails to take reasonable steps to ensure that the non</w:t>
      </w:r>
      <w:r w:rsidR="00C83714">
        <w:noBreakHyphen/>
      </w:r>
      <w:r w:rsidRPr="009714E7">
        <w:t>ADI lender complies with a direction given to it under section</w:t>
      </w:r>
      <w:r w:rsidR="009714E7" w:rsidRPr="009714E7">
        <w:t> </w:t>
      </w:r>
      <w:r w:rsidRPr="009714E7">
        <w:t>38</w:t>
      </w:r>
      <w:r w:rsidR="00227DC9" w:rsidRPr="009714E7">
        <w:t>K</w:t>
      </w:r>
      <w:r w:rsidRPr="009714E7">
        <w:t>; and</w:t>
      </w:r>
    </w:p>
    <w:p w:rsidR="009101D8" w:rsidRPr="009714E7" w:rsidRDefault="009101D8" w:rsidP="009714E7">
      <w:pPr>
        <w:pStyle w:val="paragraph"/>
      </w:pPr>
      <w:r w:rsidRPr="009714E7">
        <w:tab/>
        <w:t>(b)</w:t>
      </w:r>
      <w:r w:rsidRPr="009714E7">
        <w:tab/>
        <w:t>the officer’s duties include ensuring that the non</w:t>
      </w:r>
      <w:r w:rsidR="00C83714">
        <w:noBreakHyphen/>
      </w:r>
      <w:r w:rsidRPr="009714E7">
        <w:t>ADI lender complies with the direction, or with a class of directions that includes the direction.</w:t>
      </w:r>
    </w:p>
    <w:p w:rsidR="009101D8" w:rsidRPr="009714E7" w:rsidRDefault="009101D8" w:rsidP="009714E7">
      <w:pPr>
        <w:pStyle w:val="Penalty"/>
      </w:pPr>
      <w:r w:rsidRPr="009714E7">
        <w:t>Penalty:</w:t>
      </w:r>
      <w:r w:rsidRPr="009714E7">
        <w:tab/>
        <w:t>50 penalty units.</w:t>
      </w:r>
    </w:p>
    <w:p w:rsidR="009101D8" w:rsidRPr="009714E7" w:rsidRDefault="009101D8" w:rsidP="009714E7">
      <w:pPr>
        <w:pStyle w:val="notetext"/>
      </w:pPr>
      <w:r w:rsidRPr="009714E7">
        <w:t>Note:</w:t>
      </w:r>
      <w:r w:rsidRPr="009714E7">
        <w:tab/>
        <w:t>If a body corporate is convicted of an offence against this subsection, subsection</w:t>
      </w:r>
      <w:r w:rsidR="009714E7" w:rsidRPr="009714E7">
        <w:t> </w:t>
      </w:r>
      <w:r w:rsidRPr="009714E7">
        <w:t xml:space="preserve">4B(3) of the </w:t>
      </w:r>
      <w:r w:rsidRPr="009714E7">
        <w:rPr>
          <w:i/>
        </w:rPr>
        <w:t>Crimes Act 1914</w:t>
      </w:r>
      <w:r w:rsidRPr="009714E7">
        <w:t xml:space="preserve"> allows a court to impose a fine of up to 5 times the penalty stated above.</w:t>
      </w:r>
    </w:p>
    <w:p w:rsidR="009101D8" w:rsidRPr="009714E7" w:rsidRDefault="009101D8" w:rsidP="009714E7">
      <w:pPr>
        <w:pStyle w:val="subsection"/>
      </w:pPr>
      <w:r w:rsidRPr="009714E7">
        <w:tab/>
        <w:t>(4)</w:t>
      </w:r>
      <w:r w:rsidRPr="009714E7">
        <w:tab/>
        <w:t>If an officer of a non</w:t>
      </w:r>
      <w:r w:rsidR="00C83714">
        <w:noBreakHyphen/>
      </w:r>
      <w:r w:rsidRPr="009714E7">
        <w:t>ADI lender fails to take reasonable steps to ensure that the non</w:t>
      </w:r>
      <w:r w:rsidR="00C83714">
        <w:noBreakHyphen/>
      </w:r>
      <w:r w:rsidRPr="009714E7">
        <w:t xml:space="preserve">ADI lender complies with a direction given to </w:t>
      </w:r>
      <w:r w:rsidRPr="009714E7">
        <w:lastRenderedPageBreak/>
        <w:t>it under section</w:t>
      </w:r>
      <w:r w:rsidR="009714E7" w:rsidRPr="009714E7">
        <w:t> </w:t>
      </w:r>
      <w:r w:rsidRPr="009714E7">
        <w:t>38</w:t>
      </w:r>
      <w:r w:rsidR="00227DC9" w:rsidRPr="009714E7">
        <w:t>K</w:t>
      </w:r>
      <w:r w:rsidRPr="009714E7">
        <w:t xml:space="preserve"> in circumstances that give rise to the officer committing an offence against </w:t>
      </w:r>
      <w:r w:rsidR="009714E7" w:rsidRPr="009714E7">
        <w:t>subsection (</w:t>
      </w:r>
      <w:r w:rsidRPr="009714E7">
        <w:t>3), the officer commits an offence against that subsection in respect of:</w:t>
      </w:r>
    </w:p>
    <w:p w:rsidR="009101D8" w:rsidRPr="009714E7" w:rsidRDefault="009101D8" w:rsidP="009714E7">
      <w:pPr>
        <w:pStyle w:val="paragraph"/>
      </w:pPr>
      <w:r w:rsidRPr="009714E7">
        <w:tab/>
        <w:t>(a)</w:t>
      </w:r>
      <w:r w:rsidRPr="009714E7">
        <w:tab/>
        <w:t>the first day on which the offence is committed; and</w:t>
      </w:r>
    </w:p>
    <w:p w:rsidR="009101D8" w:rsidRPr="009714E7" w:rsidRDefault="009101D8" w:rsidP="009714E7">
      <w:pPr>
        <w:pStyle w:val="paragraph"/>
      </w:pPr>
      <w:r w:rsidRPr="009714E7">
        <w:tab/>
        <w:t>(b)</w:t>
      </w:r>
      <w:r w:rsidRPr="009714E7">
        <w:tab/>
        <w:t>each subsequent day (if any) on which the circumstances that gave rise to the officer committing the offence continue (including the day of conviction for any such offence or any later day).</w:t>
      </w:r>
    </w:p>
    <w:p w:rsidR="009101D8" w:rsidRPr="009714E7" w:rsidRDefault="009101D8" w:rsidP="009714E7">
      <w:pPr>
        <w:pStyle w:val="notetext"/>
      </w:pPr>
      <w:r w:rsidRPr="009714E7">
        <w:t>Note:</w:t>
      </w:r>
      <w:r w:rsidRPr="009714E7">
        <w:tab/>
        <w:t>This subsection is not intended to imply that section</w:t>
      </w:r>
      <w:r w:rsidR="009714E7" w:rsidRPr="009714E7">
        <w:t> </w:t>
      </w:r>
      <w:r w:rsidRPr="009714E7">
        <w:t xml:space="preserve">4K of the </w:t>
      </w:r>
      <w:r w:rsidRPr="009714E7">
        <w:rPr>
          <w:i/>
        </w:rPr>
        <w:t>Crimes Act 1914</w:t>
      </w:r>
      <w:r w:rsidRPr="009714E7">
        <w:t xml:space="preserve"> does not apply to offences against this Act or the regulations.</w:t>
      </w:r>
    </w:p>
    <w:p w:rsidR="009101D8" w:rsidRPr="009714E7" w:rsidRDefault="009101D8" w:rsidP="009714E7">
      <w:pPr>
        <w:pStyle w:val="subsection"/>
      </w:pPr>
      <w:r w:rsidRPr="009714E7">
        <w:tab/>
        <w:t>(5)</w:t>
      </w:r>
      <w:r w:rsidRPr="009714E7">
        <w:tab/>
        <w:t xml:space="preserve">In this section, </w:t>
      </w:r>
      <w:r w:rsidRPr="009714E7">
        <w:rPr>
          <w:b/>
          <w:i/>
        </w:rPr>
        <w:t>officer</w:t>
      </w:r>
      <w:r w:rsidRPr="009714E7">
        <w:t xml:space="preserve"> has the meaning given by section</w:t>
      </w:r>
      <w:r w:rsidR="009714E7" w:rsidRPr="009714E7">
        <w:t> </w:t>
      </w:r>
      <w:r w:rsidRPr="009714E7">
        <w:t xml:space="preserve">9 of the </w:t>
      </w:r>
      <w:r w:rsidRPr="009714E7">
        <w:rPr>
          <w:i/>
        </w:rPr>
        <w:t>Corporations Act 2001</w:t>
      </w:r>
      <w:r w:rsidRPr="009714E7">
        <w:t>.</w:t>
      </w:r>
    </w:p>
    <w:p w:rsidR="009101D8" w:rsidRPr="009714E7" w:rsidRDefault="009101D8" w:rsidP="009714E7">
      <w:pPr>
        <w:pStyle w:val="ItemHead"/>
      </w:pPr>
      <w:r w:rsidRPr="009714E7">
        <w:t>3  Subparagraph 65A(1)(a)(i)</w:t>
      </w:r>
    </w:p>
    <w:p w:rsidR="009101D8" w:rsidRPr="009714E7" w:rsidRDefault="009101D8" w:rsidP="009714E7">
      <w:pPr>
        <w:pStyle w:val="Item"/>
      </w:pPr>
      <w:r w:rsidRPr="009714E7">
        <w:t>Repeal the subparagraph, substitute:</w:t>
      </w:r>
    </w:p>
    <w:p w:rsidR="009101D8" w:rsidRPr="009714E7" w:rsidRDefault="009101D8" w:rsidP="009714E7">
      <w:pPr>
        <w:pStyle w:val="paragraphsub"/>
      </w:pPr>
      <w:r w:rsidRPr="009714E7">
        <w:tab/>
        <w:t>(i)</w:t>
      </w:r>
      <w:r w:rsidRPr="009714E7">
        <w:tab/>
        <w:t>a provision of this Act, the regulations, the prudential standards or the non</w:t>
      </w:r>
      <w:r w:rsidR="00C83714">
        <w:noBreakHyphen/>
      </w:r>
      <w:r w:rsidRPr="009714E7">
        <w:t>ADI lender rules; or</w:t>
      </w:r>
    </w:p>
    <w:p w:rsidR="009101D8" w:rsidRPr="009714E7" w:rsidRDefault="009101D8" w:rsidP="009714E7">
      <w:pPr>
        <w:pStyle w:val="ItemHead"/>
      </w:pPr>
      <w:r w:rsidRPr="009714E7">
        <w:t>4  Paragraph 65A(4)(a)</w:t>
      </w:r>
    </w:p>
    <w:p w:rsidR="009101D8" w:rsidRPr="009714E7" w:rsidRDefault="009101D8" w:rsidP="009714E7">
      <w:pPr>
        <w:pStyle w:val="Item"/>
      </w:pPr>
      <w:r w:rsidRPr="009714E7">
        <w:t>Repeal the paragraph, substitute:</w:t>
      </w:r>
    </w:p>
    <w:p w:rsidR="009101D8" w:rsidRPr="009714E7" w:rsidRDefault="009101D8" w:rsidP="009714E7">
      <w:pPr>
        <w:pStyle w:val="paragraph"/>
      </w:pPr>
      <w:r w:rsidRPr="009714E7">
        <w:tab/>
        <w:t>(a)</w:t>
      </w:r>
      <w:r w:rsidRPr="009714E7">
        <w:tab/>
        <w:t>by a provision of this Act, the regulations, the prudential standards or the non</w:t>
      </w:r>
      <w:r w:rsidR="00C83714">
        <w:noBreakHyphen/>
      </w:r>
      <w:r w:rsidRPr="009714E7">
        <w:t>ADI lender rules</w:t>
      </w:r>
      <w:r w:rsidR="0057137D" w:rsidRPr="009714E7">
        <w:t xml:space="preserve"> to do</w:t>
      </w:r>
      <w:r w:rsidRPr="009714E7">
        <w:t>; or</w:t>
      </w:r>
    </w:p>
    <w:p w:rsidR="009101D8" w:rsidRPr="009714E7" w:rsidRDefault="009101D8" w:rsidP="009714E7">
      <w:pPr>
        <w:pStyle w:val="ActHead6"/>
        <w:pageBreakBefore/>
      </w:pPr>
      <w:bookmarkStart w:id="21" w:name="_Toc508110068"/>
      <w:r w:rsidRPr="009714E7">
        <w:rPr>
          <w:rStyle w:val="CharAmSchNo"/>
        </w:rPr>
        <w:lastRenderedPageBreak/>
        <w:t>Schedule</w:t>
      </w:r>
      <w:r w:rsidR="009714E7" w:rsidRPr="009714E7">
        <w:rPr>
          <w:rStyle w:val="CharAmSchNo"/>
        </w:rPr>
        <w:t> </w:t>
      </w:r>
      <w:r w:rsidRPr="009714E7">
        <w:rPr>
          <w:rStyle w:val="CharAmSchNo"/>
        </w:rPr>
        <w:t>2</w:t>
      </w:r>
      <w:r w:rsidRPr="009714E7">
        <w:t>—</w:t>
      </w:r>
      <w:r w:rsidRPr="009714E7">
        <w:rPr>
          <w:rStyle w:val="CharAmSchText"/>
        </w:rPr>
        <w:t>Registrable corporations</w:t>
      </w:r>
      <w:bookmarkEnd w:id="21"/>
    </w:p>
    <w:p w:rsidR="009101D8" w:rsidRPr="009714E7" w:rsidRDefault="009101D8" w:rsidP="009714E7">
      <w:pPr>
        <w:pStyle w:val="Header"/>
      </w:pPr>
      <w:r w:rsidRPr="009714E7">
        <w:rPr>
          <w:rStyle w:val="CharAmPartNo"/>
        </w:rPr>
        <w:t xml:space="preserve"> </w:t>
      </w:r>
      <w:r w:rsidRPr="009714E7">
        <w:rPr>
          <w:rStyle w:val="CharAmPartText"/>
        </w:rPr>
        <w:t xml:space="preserve"> </w:t>
      </w:r>
    </w:p>
    <w:p w:rsidR="009101D8" w:rsidRPr="009714E7" w:rsidRDefault="009101D8" w:rsidP="009714E7">
      <w:pPr>
        <w:pStyle w:val="ActHead9"/>
        <w:rPr>
          <w:i w:val="0"/>
        </w:rPr>
      </w:pPr>
      <w:bookmarkStart w:id="22" w:name="_Toc508110069"/>
      <w:r w:rsidRPr="009714E7">
        <w:t>Financial Sector (Collection of Data) Act 2001</w:t>
      </w:r>
      <w:bookmarkEnd w:id="22"/>
    </w:p>
    <w:p w:rsidR="009101D8" w:rsidRPr="009714E7" w:rsidRDefault="009101D8" w:rsidP="009714E7">
      <w:pPr>
        <w:pStyle w:val="ItemHead"/>
      </w:pPr>
      <w:r w:rsidRPr="009714E7">
        <w:t>1  Subsection</w:t>
      </w:r>
      <w:r w:rsidR="009714E7" w:rsidRPr="009714E7">
        <w:t> </w:t>
      </w:r>
      <w:r w:rsidRPr="009714E7">
        <w:t>7(1)</w:t>
      </w:r>
    </w:p>
    <w:p w:rsidR="009101D8" w:rsidRPr="009714E7" w:rsidRDefault="009101D8" w:rsidP="009714E7">
      <w:pPr>
        <w:pStyle w:val="Item"/>
      </w:pPr>
      <w:r w:rsidRPr="009714E7">
        <w:t>After “so formed and”, insert “any of the following requirements are satisfied”.</w:t>
      </w:r>
    </w:p>
    <w:p w:rsidR="009101D8" w:rsidRPr="009714E7" w:rsidRDefault="009101D8" w:rsidP="009714E7">
      <w:pPr>
        <w:pStyle w:val="ItemHead"/>
      </w:pPr>
      <w:r w:rsidRPr="009714E7">
        <w:t>2  Paragraphs 7(1)(a), (b) and (c)</w:t>
      </w:r>
    </w:p>
    <w:p w:rsidR="009101D8" w:rsidRPr="009714E7" w:rsidRDefault="009101D8" w:rsidP="009714E7">
      <w:pPr>
        <w:pStyle w:val="Item"/>
      </w:pPr>
      <w:r w:rsidRPr="009714E7">
        <w:t>Repeal the paragraphs, substitute:</w:t>
      </w:r>
    </w:p>
    <w:p w:rsidR="00B1076B" w:rsidRPr="009714E7" w:rsidRDefault="00B1076B" w:rsidP="009714E7">
      <w:pPr>
        <w:pStyle w:val="paragraph"/>
      </w:pPr>
      <w:r w:rsidRPr="009714E7">
        <w:tab/>
        <w:t>(a)</w:t>
      </w:r>
      <w:r w:rsidRPr="009714E7">
        <w:tab/>
        <w:t xml:space="preserve">the corporation </w:t>
      </w:r>
      <w:r w:rsidR="007B0ECB" w:rsidRPr="009714E7">
        <w:t>engages in</w:t>
      </w:r>
      <w:r w:rsidRPr="009714E7">
        <w:t xml:space="preserve"> the provision of finance in the course of carrying on business in Australia;</w:t>
      </w:r>
    </w:p>
    <w:p w:rsidR="009101D8" w:rsidRPr="009714E7" w:rsidRDefault="009101D8" w:rsidP="009714E7">
      <w:pPr>
        <w:pStyle w:val="paragraph"/>
      </w:pPr>
      <w:r w:rsidRPr="009714E7">
        <w:tab/>
        <w:t>(b)</w:t>
      </w:r>
      <w:r w:rsidRPr="009714E7">
        <w:tab/>
        <w:t xml:space="preserve">the corporation is specified in a determination under </w:t>
      </w:r>
      <w:r w:rsidR="009714E7" w:rsidRPr="009714E7">
        <w:t>subsection (</w:t>
      </w:r>
      <w:r w:rsidRPr="009714E7">
        <w:t xml:space="preserve">1A), or is in a class of corporations specified in a determination under </w:t>
      </w:r>
      <w:r w:rsidR="009714E7" w:rsidRPr="009714E7">
        <w:t>subsection (</w:t>
      </w:r>
      <w:r w:rsidRPr="009714E7">
        <w:t>1A).</w:t>
      </w:r>
    </w:p>
    <w:p w:rsidR="009101D8" w:rsidRPr="009714E7" w:rsidRDefault="009101D8" w:rsidP="009714E7">
      <w:pPr>
        <w:pStyle w:val="ItemHead"/>
      </w:pPr>
      <w:r w:rsidRPr="009714E7">
        <w:t>3  After subsection</w:t>
      </w:r>
      <w:r w:rsidR="009714E7" w:rsidRPr="009714E7">
        <w:t> </w:t>
      </w:r>
      <w:r w:rsidRPr="009714E7">
        <w:t>7(1)</w:t>
      </w:r>
    </w:p>
    <w:p w:rsidR="009101D8" w:rsidRPr="009714E7" w:rsidRDefault="009101D8" w:rsidP="009714E7">
      <w:pPr>
        <w:pStyle w:val="Item"/>
      </w:pPr>
      <w:r w:rsidRPr="009714E7">
        <w:t>Insert:</w:t>
      </w:r>
    </w:p>
    <w:p w:rsidR="009101D8" w:rsidRPr="009714E7" w:rsidRDefault="009101D8" w:rsidP="009714E7">
      <w:pPr>
        <w:pStyle w:val="subsection"/>
      </w:pPr>
      <w:r w:rsidRPr="009714E7">
        <w:tab/>
        <w:t>(1A)</w:t>
      </w:r>
      <w:r w:rsidRPr="009714E7">
        <w:tab/>
        <w:t xml:space="preserve">For the purposes of </w:t>
      </w:r>
      <w:r w:rsidR="009714E7" w:rsidRPr="009714E7">
        <w:t>paragraph (</w:t>
      </w:r>
      <w:r w:rsidRPr="009714E7">
        <w:t>1)(b), APRA may:</w:t>
      </w:r>
    </w:p>
    <w:p w:rsidR="009101D8" w:rsidRPr="009714E7" w:rsidRDefault="009101D8" w:rsidP="009714E7">
      <w:pPr>
        <w:pStyle w:val="paragraph"/>
      </w:pPr>
      <w:r w:rsidRPr="009714E7">
        <w:tab/>
        <w:t>(a)</w:t>
      </w:r>
      <w:r w:rsidRPr="009714E7">
        <w:tab/>
        <w:t>make a determination in writing specifying a particular corporation or corporations;</w:t>
      </w:r>
    </w:p>
    <w:p w:rsidR="009101D8" w:rsidRPr="009714E7" w:rsidRDefault="009101D8" w:rsidP="009714E7">
      <w:pPr>
        <w:pStyle w:val="paragraph"/>
      </w:pPr>
      <w:r w:rsidRPr="009714E7">
        <w:tab/>
        <w:t>(b)</w:t>
      </w:r>
      <w:r w:rsidRPr="009714E7">
        <w:tab/>
        <w:t>make a determination in writing specifying a class of corporations or classes of corporations.</w:t>
      </w:r>
    </w:p>
    <w:p w:rsidR="009101D8" w:rsidRPr="009714E7" w:rsidRDefault="009101D8" w:rsidP="009714E7">
      <w:pPr>
        <w:pStyle w:val="subsection"/>
      </w:pPr>
      <w:r w:rsidRPr="009714E7">
        <w:tab/>
        <w:t>(1B)</w:t>
      </w:r>
      <w:r w:rsidRPr="009714E7">
        <w:tab/>
        <w:t xml:space="preserve">A determination made under </w:t>
      </w:r>
      <w:r w:rsidR="009714E7" w:rsidRPr="009714E7">
        <w:t>paragraph (</w:t>
      </w:r>
      <w:r w:rsidRPr="009714E7">
        <w:t>1A)(a) is not a legislative instrument.</w:t>
      </w:r>
    </w:p>
    <w:p w:rsidR="009101D8" w:rsidRPr="009714E7" w:rsidRDefault="009101D8" w:rsidP="009714E7">
      <w:pPr>
        <w:pStyle w:val="subsection"/>
      </w:pPr>
      <w:r w:rsidRPr="009714E7">
        <w:tab/>
        <w:t>(1C)</w:t>
      </w:r>
      <w:r w:rsidRPr="009714E7">
        <w:tab/>
        <w:t xml:space="preserve">A determination made under </w:t>
      </w:r>
      <w:r w:rsidR="009714E7" w:rsidRPr="009714E7">
        <w:t>paragraph (</w:t>
      </w:r>
      <w:r w:rsidRPr="009714E7">
        <w:t>1A)(b) is a legislative instrument.</w:t>
      </w:r>
    </w:p>
    <w:p w:rsidR="009101D8" w:rsidRPr="009714E7" w:rsidRDefault="009101D8" w:rsidP="009714E7">
      <w:pPr>
        <w:pStyle w:val="subsection"/>
      </w:pPr>
      <w:r w:rsidRPr="009714E7">
        <w:tab/>
        <w:t>(1D)</w:t>
      </w:r>
      <w:r w:rsidRPr="009714E7">
        <w:tab/>
        <w:t xml:space="preserve">Before making a determination under </w:t>
      </w:r>
      <w:r w:rsidR="009714E7" w:rsidRPr="009714E7">
        <w:t>paragraph (</w:t>
      </w:r>
      <w:r w:rsidRPr="009714E7">
        <w:t>1A)(a) or (b), APRA must consider:</w:t>
      </w:r>
    </w:p>
    <w:p w:rsidR="009101D8" w:rsidRPr="009714E7" w:rsidRDefault="009101D8" w:rsidP="009714E7">
      <w:pPr>
        <w:pStyle w:val="paragraph"/>
      </w:pPr>
      <w:r w:rsidRPr="009714E7">
        <w:tab/>
        <w:t>(a)</w:t>
      </w:r>
      <w:r w:rsidRPr="009714E7">
        <w:tab/>
        <w:t xml:space="preserve">in the case of a determination under </w:t>
      </w:r>
      <w:r w:rsidR="009714E7" w:rsidRPr="009714E7">
        <w:t>paragraph (</w:t>
      </w:r>
      <w:r w:rsidRPr="009714E7">
        <w:t>1A)(a)—whether the corporation or each of the corporations specified in the determination has business activities in Australia that include the provision of finance; or</w:t>
      </w:r>
    </w:p>
    <w:p w:rsidR="009101D8" w:rsidRPr="009714E7" w:rsidRDefault="009101D8" w:rsidP="009714E7">
      <w:pPr>
        <w:pStyle w:val="paragraph"/>
      </w:pPr>
      <w:r w:rsidRPr="009714E7">
        <w:tab/>
        <w:t>(b)</w:t>
      </w:r>
      <w:r w:rsidRPr="009714E7">
        <w:tab/>
        <w:t xml:space="preserve">in the case of a determination under </w:t>
      </w:r>
      <w:r w:rsidR="009714E7" w:rsidRPr="009714E7">
        <w:t>paragraph (</w:t>
      </w:r>
      <w:r w:rsidRPr="009714E7">
        <w:t xml:space="preserve">1A)(b)—whether each corporation in the class of corporations or </w:t>
      </w:r>
      <w:r w:rsidRPr="009714E7">
        <w:lastRenderedPageBreak/>
        <w:t>classes of corporations specified in the determination has business activities in Australia that include the provision of finance.</w:t>
      </w:r>
    </w:p>
    <w:p w:rsidR="009101D8" w:rsidRPr="009714E7" w:rsidRDefault="009101D8" w:rsidP="009714E7">
      <w:pPr>
        <w:pStyle w:val="subsection"/>
      </w:pPr>
      <w:r w:rsidRPr="009714E7">
        <w:tab/>
        <w:t>(1E)</w:t>
      </w:r>
      <w:r w:rsidRPr="009714E7">
        <w:tab/>
        <w:t xml:space="preserve">A failure to comply with </w:t>
      </w:r>
      <w:r w:rsidR="009714E7" w:rsidRPr="009714E7">
        <w:t>subsection (</w:t>
      </w:r>
      <w:r w:rsidRPr="009714E7">
        <w:t>1D) does not affect the validity of the determination.</w:t>
      </w:r>
    </w:p>
    <w:p w:rsidR="009101D8" w:rsidRPr="009714E7" w:rsidRDefault="009101D8" w:rsidP="009714E7">
      <w:pPr>
        <w:pStyle w:val="subsection"/>
      </w:pPr>
      <w:r w:rsidRPr="009714E7">
        <w:tab/>
        <w:t>(1F)</w:t>
      </w:r>
      <w:r w:rsidRPr="009714E7">
        <w:tab/>
        <w:t xml:space="preserve">As soon as practicable after making a determination under </w:t>
      </w:r>
      <w:r w:rsidR="009714E7" w:rsidRPr="009714E7">
        <w:t>paragraph (</w:t>
      </w:r>
      <w:r w:rsidRPr="009714E7">
        <w:t>1A)(a), APRA must give a copy of the determination to each corporation specified in the determination.</w:t>
      </w:r>
    </w:p>
    <w:p w:rsidR="009101D8" w:rsidRPr="009714E7" w:rsidRDefault="009101D8" w:rsidP="009714E7">
      <w:pPr>
        <w:pStyle w:val="subsection"/>
      </w:pPr>
      <w:r w:rsidRPr="009714E7">
        <w:tab/>
        <w:t>(1G)</w:t>
      </w:r>
      <w:r w:rsidRPr="009714E7">
        <w:tab/>
        <w:t xml:space="preserve">A failure to comply with </w:t>
      </w:r>
      <w:r w:rsidR="009714E7" w:rsidRPr="009714E7">
        <w:t>subsection (</w:t>
      </w:r>
      <w:r w:rsidRPr="009714E7">
        <w:t>1F) does not affect the validity of the determination.</w:t>
      </w:r>
    </w:p>
    <w:p w:rsidR="009101D8" w:rsidRPr="009714E7" w:rsidRDefault="009101D8" w:rsidP="009714E7">
      <w:pPr>
        <w:pStyle w:val="ItemHead"/>
      </w:pPr>
      <w:r w:rsidRPr="009714E7">
        <w:t>4  Paragraph 7(2)(h)</w:t>
      </w:r>
    </w:p>
    <w:p w:rsidR="009101D8" w:rsidRPr="009714E7" w:rsidRDefault="009101D8" w:rsidP="009714E7">
      <w:pPr>
        <w:pStyle w:val="Item"/>
      </w:pPr>
      <w:r w:rsidRPr="009714E7">
        <w:t>Repeal the paragraph.</w:t>
      </w:r>
    </w:p>
    <w:p w:rsidR="009101D8" w:rsidRPr="009714E7" w:rsidRDefault="009101D8" w:rsidP="009714E7">
      <w:pPr>
        <w:pStyle w:val="ItemHead"/>
      </w:pPr>
      <w:r w:rsidRPr="009714E7">
        <w:t>5  Paragraph 7(2)(i)</w:t>
      </w:r>
    </w:p>
    <w:p w:rsidR="009101D8" w:rsidRPr="009714E7" w:rsidRDefault="009101D8" w:rsidP="009714E7">
      <w:pPr>
        <w:pStyle w:val="Item"/>
      </w:pPr>
      <w:r w:rsidRPr="009714E7">
        <w:t>Repeal the paragraph, substitute:</w:t>
      </w:r>
    </w:p>
    <w:p w:rsidR="009101D8" w:rsidRPr="009714E7" w:rsidRDefault="009101D8" w:rsidP="009714E7">
      <w:pPr>
        <w:pStyle w:val="paragraph"/>
      </w:pPr>
      <w:r w:rsidRPr="009714E7">
        <w:tab/>
        <w:t>(i)</w:t>
      </w:r>
      <w:r w:rsidRPr="009714E7">
        <w:tab/>
        <w:t xml:space="preserve">the corporation is covered under </w:t>
      </w:r>
      <w:r w:rsidR="009714E7" w:rsidRPr="009714E7">
        <w:t>subsection (</w:t>
      </w:r>
      <w:r w:rsidRPr="009714E7">
        <w:t>2A); or</w:t>
      </w:r>
    </w:p>
    <w:p w:rsidR="009101D8" w:rsidRPr="009714E7" w:rsidRDefault="009101D8" w:rsidP="009714E7">
      <w:pPr>
        <w:pStyle w:val="paragraph"/>
      </w:pPr>
      <w:r w:rsidRPr="009714E7">
        <w:tab/>
        <w:t>(ia)</w:t>
      </w:r>
      <w:r w:rsidRPr="009714E7">
        <w:tab/>
        <w:t xml:space="preserve">the corporation is specified in a determination under </w:t>
      </w:r>
      <w:r w:rsidR="009714E7" w:rsidRPr="009714E7">
        <w:t>subsection (</w:t>
      </w:r>
      <w:r w:rsidRPr="009714E7">
        <w:t>2</w:t>
      </w:r>
      <w:r w:rsidR="004C6D7A" w:rsidRPr="009714E7">
        <w:t>F</w:t>
      </w:r>
      <w:r w:rsidRPr="009714E7">
        <w:t xml:space="preserve">), or is in a class of corporations specified in a determination under </w:t>
      </w:r>
      <w:r w:rsidR="009714E7" w:rsidRPr="009714E7">
        <w:t>subsection (</w:t>
      </w:r>
      <w:r w:rsidRPr="009714E7">
        <w:t>2</w:t>
      </w:r>
      <w:r w:rsidR="004C6D7A" w:rsidRPr="009714E7">
        <w:t>F</w:t>
      </w:r>
      <w:r w:rsidRPr="009714E7">
        <w:t>); or</w:t>
      </w:r>
    </w:p>
    <w:p w:rsidR="009101D8" w:rsidRPr="009714E7" w:rsidRDefault="009101D8" w:rsidP="009714E7">
      <w:pPr>
        <w:pStyle w:val="ItemHead"/>
      </w:pPr>
      <w:r w:rsidRPr="009714E7">
        <w:t>6  After subsection</w:t>
      </w:r>
      <w:r w:rsidR="009714E7" w:rsidRPr="009714E7">
        <w:t> </w:t>
      </w:r>
      <w:r w:rsidRPr="009714E7">
        <w:t>7(2)</w:t>
      </w:r>
    </w:p>
    <w:p w:rsidR="009101D8" w:rsidRPr="009714E7" w:rsidRDefault="009101D8" w:rsidP="009714E7">
      <w:pPr>
        <w:pStyle w:val="Item"/>
      </w:pPr>
      <w:r w:rsidRPr="009714E7">
        <w:t>Insert:</w:t>
      </w:r>
    </w:p>
    <w:p w:rsidR="009101D8" w:rsidRPr="009714E7" w:rsidRDefault="009101D8" w:rsidP="009714E7">
      <w:pPr>
        <w:pStyle w:val="subsection"/>
      </w:pPr>
      <w:r w:rsidRPr="009714E7">
        <w:tab/>
        <w:t>(2A)</w:t>
      </w:r>
      <w:r w:rsidRPr="009714E7">
        <w:tab/>
        <w:t xml:space="preserve">For the purposes of </w:t>
      </w:r>
      <w:r w:rsidR="009714E7" w:rsidRPr="009714E7">
        <w:t>paragraph (</w:t>
      </w:r>
      <w:r w:rsidRPr="009714E7">
        <w:t>2)(i), a corporation is covered under this subsection if:</w:t>
      </w:r>
    </w:p>
    <w:p w:rsidR="009101D8" w:rsidRPr="009714E7" w:rsidRDefault="009101D8" w:rsidP="009714E7">
      <w:pPr>
        <w:pStyle w:val="paragraph"/>
      </w:pPr>
      <w:r w:rsidRPr="009714E7">
        <w:tab/>
        <w:t>(a)</w:t>
      </w:r>
      <w:r w:rsidRPr="009714E7">
        <w:tab/>
        <w:t>the sum of the values of the corporation’s assets in Australia that consist of debts due to the corporation resulting from transactions entered into in the course of the provision of finance by the corporation does not exceed:</w:t>
      </w:r>
    </w:p>
    <w:p w:rsidR="009101D8" w:rsidRPr="009714E7" w:rsidRDefault="009101D8" w:rsidP="009714E7">
      <w:pPr>
        <w:pStyle w:val="paragraphsub"/>
      </w:pPr>
      <w:r w:rsidRPr="009714E7">
        <w:tab/>
        <w:t>(i)</w:t>
      </w:r>
      <w:r w:rsidRPr="009714E7">
        <w:tab/>
        <w:t>$50,000,000; or</w:t>
      </w:r>
    </w:p>
    <w:p w:rsidR="009101D8" w:rsidRPr="009714E7" w:rsidRDefault="009101D8" w:rsidP="009714E7">
      <w:pPr>
        <w:pStyle w:val="paragraphsub"/>
      </w:pPr>
      <w:r w:rsidRPr="009714E7">
        <w:tab/>
        <w:t>(ii)</w:t>
      </w:r>
      <w:r w:rsidRPr="009714E7">
        <w:tab/>
        <w:t>if a greater or lesser amount is prescribed by the regulations—the amount so prescribed; and</w:t>
      </w:r>
    </w:p>
    <w:p w:rsidR="009101D8" w:rsidRPr="009714E7" w:rsidRDefault="009101D8" w:rsidP="009714E7">
      <w:pPr>
        <w:pStyle w:val="paragraph"/>
      </w:pPr>
      <w:r w:rsidRPr="009714E7">
        <w:tab/>
        <w:t>(b)</w:t>
      </w:r>
      <w:r w:rsidRPr="009714E7">
        <w:tab/>
        <w:t xml:space="preserve">the sum of the values of the principal amounts outstanding on loans or other financing covered by </w:t>
      </w:r>
      <w:r w:rsidR="009714E7" w:rsidRPr="009714E7">
        <w:t>subsection (</w:t>
      </w:r>
      <w:r w:rsidRPr="009714E7">
        <w:t>2</w:t>
      </w:r>
      <w:r w:rsidR="004C6D7A" w:rsidRPr="009714E7">
        <w:t>C</w:t>
      </w:r>
      <w:r w:rsidRPr="009714E7">
        <w:t>) does not exceed:</w:t>
      </w:r>
    </w:p>
    <w:p w:rsidR="009101D8" w:rsidRPr="009714E7" w:rsidRDefault="009101D8" w:rsidP="009714E7">
      <w:pPr>
        <w:pStyle w:val="paragraphsub"/>
      </w:pPr>
      <w:r w:rsidRPr="009714E7">
        <w:tab/>
        <w:t>(i)</w:t>
      </w:r>
      <w:r w:rsidRPr="009714E7">
        <w:tab/>
        <w:t>$50,000,000; or</w:t>
      </w:r>
    </w:p>
    <w:p w:rsidR="009101D8" w:rsidRPr="009714E7" w:rsidRDefault="009101D8" w:rsidP="009714E7">
      <w:pPr>
        <w:pStyle w:val="paragraphsub"/>
      </w:pPr>
      <w:r w:rsidRPr="009714E7">
        <w:lastRenderedPageBreak/>
        <w:tab/>
        <w:t>(ii)</w:t>
      </w:r>
      <w:r w:rsidRPr="009714E7">
        <w:tab/>
        <w:t>if a greater or lesser amount is prescribed by the regulations—the amount so prescribed.</w:t>
      </w:r>
    </w:p>
    <w:p w:rsidR="009101D8" w:rsidRPr="009714E7" w:rsidRDefault="009101D8" w:rsidP="009714E7">
      <w:pPr>
        <w:pStyle w:val="subsection"/>
      </w:pPr>
      <w:r w:rsidRPr="009714E7">
        <w:tab/>
        <w:t>(</w:t>
      </w:r>
      <w:r w:rsidR="004C6D7A" w:rsidRPr="009714E7">
        <w:t>2B</w:t>
      </w:r>
      <w:r w:rsidRPr="009714E7">
        <w:t>)</w:t>
      </w:r>
      <w:r w:rsidRPr="009714E7">
        <w:tab/>
        <w:t xml:space="preserve">For the purposes of </w:t>
      </w:r>
      <w:r w:rsidR="009714E7" w:rsidRPr="009714E7">
        <w:t>paragraph (</w:t>
      </w:r>
      <w:r w:rsidRPr="009714E7">
        <w:t xml:space="preserve">2A)(b), determine the value of </w:t>
      </w:r>
      <w:r w:rsidR="0057137D" w:rsidRPr="009714E7">
        <w:t xml:space="preserve">the principal amount outstanding on </w:t>
      </w:r>
      <w:r w:rsidRPr="009714E7">
        <w:t>a loan or other financing at the time the loan or other financing arose.</w:t>
      </w:r>
    </w:p>
    <w:p w:rsidR="009101D8" w:rsidRPr="009714E7" w:rsidRDefault="004C6D7A" w:rsidP="009714E7">
      <w:pPr>
        <w:pStyle w:val="subsection"/>
      </w:pPr>
      <w:r w:rsidRPr="009714E7">
        <w:tab/>
        <w:t>(2C</w:t>
      </w:r>
      <w:r w:rsidR="009101D8" w:rsidRPr="009714E7">
        <w:t>)</w:t>
      </w:r>
      <w:r w:rsidR="009101D8" w:rsidRPr="009714E7">
        <w:tab/>
        <w:t xml:space="preserve">For the purposes of </w:t>
      </w:r>
      <w:r w:rsidR="009714E7" w:rsidRPr="009714E7">
        <w:t>paragraph (</w:t>
      </w:r>
      <w:r w:rsidR="009101D8" w:rsidRPr="009714E7">
        <w:t>2A)(b), a loan or other financing is covered by this subsection if:</w:t>
      </w:r>
    </w:p>
    <w:p w:rsidR="009101D8" w:rsidRPr="009714E7" w:rsidRDefault="009101D8" w:rsidP="009714E7">
      <w:pPr>
        <w:pStyle w:val="paragraph"/>
      </w:pPr>
      <w:r w:rsidRPr="009714E7">
        <w:tab/>
        <w:t>(a)</w:t>
      </w:r>
      <w:r w:rsidRPr="009714E7">
        <w:tab/>
        <w:t xml:space="preserve">the loan or other financing arose in the relevant financial year mentioned in </w:t>
      </w:r>
      <w:r w:rsidR="009714E7" w:rsidRPr="009714E7">
        <w:t>subsection (</w:t>
      </w:r>
      <w:r w:rsidRPr="009714E7">
        <w:t>2</w:t>
      </w:r>
      <w:r w:rsidR="004C6D7A" w:rsidRPr="009714E7">
        <w:t>D</w:t>
      </w:r>
      <w:r w:rsidRPr="009714E7">
        <w:t>); and</w:t>
      </w:r>
    </w:p>
    <w:p w:rsidR="009101D8" w:rsidRPr="009714E7" w:rsidRDefault="009101D8" w:rsidP="009714E7">
      <w:pPr>
        <w:pStyle w:val="paragraph"/>
      </w:pPr>
      <w:r w:rsidRPr="009714E7">
        <w:tab/>
        <w:t>(b)</w:t>
      </w:r>
      <w:r w:rsidRPr="009714E7">
        <w:tab/>
        <w:t>the funding or originating of the loan or other financing resulted from the carrying out, whether directly or indirectly, o</w:t>
      </w:r>
      <w:r w:rsidR="004F78D7" w:rsidRPr="009714E7">
        <w:t>f activities by the corporation</w:t>
      </w:r>
      <w:r w:rsidR="00B1076B" w:rsidRPr="009714E7">
        <w:t>.</w:t>
      </w:r>
    </w:p>
    <w:p w:rsidR="009101D8" w:rsidRPr="009714E7" w:rsidRDefault="004C6D7A" w:rsidP="009714E7">
      <w:pPr>
        <w:pStyle w:val="subsection"/>
      </w:pPr>
      <w:r w:rsidRPr="009714E7">
        <w:tab/>
        <w:t>(2D</w:t>
      </w:r>
      <w:r w:rsidR="009101D8" w:rsidRPr="009714E7">
        <w:t>)</w:t>
      </w:r>
      <w:r w:rsidR="009101D8" w:rsidRPr="009714E7">
        <w:tab/>
        <w:t xml:space="preserve">In determining whether the corporation is a registrable corporation at a time, for the purposes of </w:t>
      </w:r>
      <w:r w:rsidR="009714E7" w:rsidRPr="009714E7">
        <w:t>paragraph (</w:t>
      </w:r>
      <w:r w:rsidR="009101D8" w:rsidRPr="009714E7">
        <w:t>2</w:t>
      </w:r>
      <w:r w:rsidRPr="009714E7">
        <w:t>C</w:t>
      </w:r>
      <w:r w:rsidR="009101D8" w:rsidRPr="009714E7">
        <w:t>)(a), the relevant financial year is the most recent financial year ending before that time.</w:t>
      </w:r>
    </w:p>
    <w:p w:rsidR="009101D8" w:rsidRPr="009714E7" w:rsidRDefault="004C6D7A" w:rsidP="009714E7">
      <w:pPr>
        <w:pStyle w:val="subsection"/>
      </w:pPr>
      <w:r w:rsidRPr="009714E7">
        <w:tab/>
        <w:t>(2E</w:t>
      </w:r>
      <w:r w:rsidR="009101D8" w:rsidRPr="009714E7">
        <w:t>)</w:t>
      </w:r>
      <w:r w:rsidR="009101D8" w:rsidRPr="009714E7">
        <w:tab/>
        <w:t xml:space="preserve">For the purposes of working out whether a corporation (the </w:t>
      </w:r>
      <w:r w:rsidR="009101D8" w:rsidRPr="009714E7">
        <w:rPr>
          <w:b/>
          <w:i/>
        </w:rPr>
        <w:t>test corporation</w:t>
      </w:r>
      <w:r w:rsidR="009101D8" w:rsidRPr="009714E7">
        <w:t xml:space="preserve">) is covered under </w:t>
      </w:r>
      <w:r w:rsidR="009714E7" w:rsidRPr="009714E7">
        <w:t>subsection (</w:t>
      </w:r>
      <w:r w:rsidR="009101D8" w:rsidRPr="009714E7">
        <w:t>2A):</w:t>
      </w:r>
    </w:p>
    <w:p w:rsidR="009101D8" w:rsidRPr="009714E7" w:rsidRDefault="009101D8" w:rsidP="009714E7">
      <w:pPr>
        <w:pStyle w:val="paragraph"/>
      </w:pPr>
      <w:r w:rsidRPr="009714E7">
        <w:tab/>
        <w:t>(a)</w:t>
      </w:r>
      <w:r w:rsidRPr="009714E7">
        <w:tab/>
        <w:t>identify each other corporation (if any) that is related to the test corporation</w:t>
      </w:r>
      <w:r w:rsidR="00B1076B" w:rsidRPr="009714E7">
        <w:t xml:space="preserve"> (disregard</w:t>
      </w:r>
      <w:r w:rsidR="007B0ECB" w:rsidRPr="009714E7">
        <w:t>ing</w:t>
      </w:r>
      <w:r w:rsidR="00B1076B" w:rsidRPr="009714E7">
        <w:t xml:space="preserve"> subsections</w:t>
      </w:r>
      <w:r w:rsidR="009714E7" w:rsidRPr="009714E7">
        <w:t> </w:t>
      </w:r>
      <w:r w:rsidR="00B1076B" w:rsidRPr="009714E7">
        <w:t>34(2) and (3))</w:t>
      </w:r>
      <w:r w:rsidRPr="009714E7">
        <w:t>; and</w:t>
      </w:r>
    </w:p>
    <w:p w:rsidR="009101D8" w:rsidRPr="009714E7" w:rsidRDefault="009101D8" w:rsidP="009714E7">
      <w:pPr>
        <w:pStyle w:val="paragraph"/>
      </w:pPr>
      <w:r w:rsidRPr="009714E7">
        <w:tab/>
        <w:t>(b)</w:t>
      </w:r>
      <w:r w:rsidRPr="009714E7">
        <w:tab/>
        <w:t>treat those other corporations as not being a separate entity, but rather as being a part of the test corporation.</w:t>
      </w:r>
    </w:p>
    <w:p w:rsidR="009101D8" w:rsidRPr="009714E7" w:rsidRDefault="004C6D7A" w:rsidP="009714E7">
      <w:pPr>
        <w:pStyle w:val="subsection"/>
      </w:pPr>
      <w:r w:rsidRPr="009714E7">
        <w:tab/>
        <w:t>(2F</w:t>
      </w:r>
      <w:r w:rsidR="009101D8" w:rsidRPr="009714E7">
        <w:t>)</w:t>
      </w:r>
      <w:r w:rsidR="009101D8" w:rsidRPr="009714E7">
        <w:tab/>
        <w:t xml:space="preserve">For the purposes of </w:t>
      </w:r>
      <w:r w:rsidR="009714E7" w:rsidRPr="009714E7">
        <w:t>paragraph (</w:t>
      </w:r>
      <w:r w:rsidR="009101D8" w:rsidRPr="009714E7">
        <w:t>2)(ia), APRA may:</w:t>
      </w:r>
    </w:p>
    <w:p w:rsidR="009101D8" w:rsidRPr="009714E7" w:rsidRDefault="009101D8" w:rsidP="009714E7">
      <w:pPr>
        <w:pStyle w:val="paragraph"/>
      </w:pPr>
      <w:r w:rsidRPr="009714E7">
        <w:tab/>
        <w:t>(a)</w:t>
      </w:r>
      <w:r w:rsidRPr="009714E7">
        <w:tab/>
        <w:t>make a determination in writing specifying a particular corporation or corporations;</w:t>
      </w:r>
    </w:p>
    <w:p w:rsidR="009101D8" w:rsidRPr="009714E7" w:rsidRDefault="009101D8" w:rsidP="009714E7">
      <w:pPr>
        <w:pStyle w:val="paragraph"/>
      </w:pPr>
      <w:r w:rsidRPr="009714E7">
        <w:tab/>
        <w:t>(b)</w:t>
      </w:r>
      <w:r w:rsidRPr="009714E7">
        <w:tab/>
        <w:t>make a determination in writing specifying a class of corporations or classes of corporations.</w:t>
      </w:r>
    </w:p>
    <w:p w:rsidR="009101D8" w:rsidRPr="009714E7" w:rsidRDefault="004C6D7A" w:rsidP="009714E7">
      <w:pPr>
        <w:pStyle w:val="subsection"/>
      </w:pPr>
      <w:r w:rsidRPr="009714E7">
        <w:tab/>
        <w:t>(2G</w:t>
      </w:r>
      <w:r w:rsidR="009101D8" w:rsidRPr="009714E7">
        <w:t>)</w:t>
      </w:r>
      <w:r w:rsidR="009101D8" w:rsidRPr="009714E7">
        <w:tab/>
        <w:t xml:space="preserve">A determination made under </w:t>
      </w:r>
      <w:r w:rsidR="009714E7" w:rsidRPr="009714E7">
        <w:t>paragraph (</w:t>
      </w:r>
      <w:r w:rsidR="009101D8" w:rsidRPr="009714E7">
        <w:t>2</w:t>
      </w:r>
      <w:r w:rsidRPr="009714E7">
        <w:t>F</w:t>
      </w:r>
      <w:r w:rsidR="009101D8" w:rsidRPr="009714E7">
        <w:t>)(a) is not a legislative instrument.</w:t>
      </w:r>
    </w:p>
    <w:p w:rsidR="009101D8" w:rsidRPr="009714E7" w:rsidRDefault="004C6D7A" w:rsidP="009714E7">
      <w:pPr>
        <w:pStyle w:val="subsection"/>
      </w:pPr>
      <w:r w:rsidRPr="009714E7">
        <w:tab/>
        <w:t>(2H</w:t>
      </w:r>
      <w:r w:rsidR="009101D8" w:rsidRPr="009714E7">
        <w:t>)</w:t>
      </w:r>
      <w:r w:rsidR="009101D8" w:rsidRPr="009714E7">
        <w:tab/>
        <w:t xml:space="preserve">A determination made under </w:t>
      </w:r>
      <w:r w:rsidR="009714E7" w:rsidRPr="009714E7">
        <w:t>paragraph (</w:t>
      </w:r>
      <w:r w:rsidR="009101D8" w:rsidRPr="009714E7">
        <w:t>2</w:t>
      </w:r>
      <w:r w:rsidRPr="009714E7">
        <w:t>F</w:t>
      </w:r>
      <w:r w:rsidR="009101D8" w:rsidRPr="009714E7">
        <w:t>)(b) is a legislative instrument.</w:t>
      </w:r>
    </w:p>
    <w:p w:rsidR="009101D8" w:rsidRPr="009714E7" w:rsidRDefault="004C6D7A" w:rsidP="009714E7">
      <w:pPr>
        <w:pStyle w:val="subsection"/>
      </w:pPr>
      <w:r w:rsidRPr="009714E7">
        <w:tab/>
        <w:t>(2J</w:t>
      </w:r>
      <w:r w:rsidR="009101D8" w:rsidRPr="009714E7">
        <w:t>)</w:t>
      </w:r>
      <w:r w:rsidR="009101D8" w:rsidRPr="009714E7">
        <w:tab/>
        <w:t xml:space="preserve">As soon as practicable after making a determination under </w:t>
      </w:r>
      <w:r w:rsidR="009714E7" w:rsidRPr="009714E7">
        <w:t>paragraph (</w:t>
      </w:r>
      <w:r w:rsidR="009101D8" w:rsidRPr="009714E7">
        <w:t>2</w:t>
      </w:r>
      <w:r w:rsidRPr="009714E7">
        <w:t>F</w:t>
      </w:r>
      <w:r w:rsidR="009101D8" w:rsidRPr="009714E7">
        <w:t>)(a), APRA must give a copy of the determination to each corporation specified in the determination.</w:t>
      </w:r>
    </w:p>
    <w:p w:rsidR="009101D8" w:rsidRPr="009714E7" w:rsidRDefault="004C6D7A" w:rsidP="009714E7">
      <w:pPr>
        <w:pStyle w:val="subsection"/>
      </w:pPr>
      <w:r w:rsidRPr="009714E7">
        <w:lastRenderedPageBreak/>
        <w:tab/>
        <w:t>(2K</w:t>
      </w:r>
      <w:r w:rsidR="009101D8" w:rsidRPr="009714E7">
        <w:t>)</w:t>
      </w:r>
      <w:r w:rsidR="009101D8" w:rsidRPr="009714E7">
        <w:tab/>
        <w:t xml:space="preserve">A failure to comply with </w:t>
      </w:r>
      <w:r w:rsidR="009714E7" w:rsidRPr="009714E7">
        <w:t>subsection (</w:t>
      </w:r>
      <w:r w:rsidR="009101D8" w:rsidRPr="009714E7">
        <w:t>2</w:t>
      </w:r>
      <w:r w:rsidRPr="009714E7">
        <w:t>J</w:t>
      </w:r>
      <w:r w:rsidR="009101D8" w:rsidRPr="009714E7">
        <w:t>) does not affect the validity of the determination.</w:t>
      </w:r>
    </w:p>
    <w:p w:rsidR="009101D8" w:rsidRPr="009714E7" w:rsidRDefault="009101D8" w:rsidP="009714E7">
      <w:pPr>
        <w:pStyle w:val="ItemHead"/>
      </w:pPr>
      <w:r w:rsidRPr="009714E7">
        <w:t>7  Subsection</w:t>
      </w:r>
      <w:r w:rsidR="009714E7" w:rsidRPr="009714E7">
        <w:t> </w:t>
      </w:r>
      <w:r w:rsidRPr="009714E7">
        <w:t>7(3)</w:t>
      </w:r>
    </w:p>
    <w:p w:rsidR="009101D8" w:rsidRPr="009714E7" w:rsidRDefault="009101D8" w:rsidP="009714E7">
      <w:pPr>
        <w:pStyle w:val="Item"/>
      </w:pPr>
      <w:r w:rsidRPr="009714E7">
        <w:t>Repeal the subsection.</w:t>
      </w:r>
    </w:p>
    <w:p w:rsidR="009101D8" w:rsidRPr="009714E7" w:rsidRDefault="009101D8" w:rsidP="009714E7">
      <w:pPr>
        <w:pStyle w:val="ItemHead"/>
      </w:pPr>
      <w:r w:rsidRPr="009714E7">
        <w:t>8  Section</w:t>
      </w:r>
      <w:r w:rsidR="009714E7" w:rsidRPr="009714E7">
        <w:t> </w:t>
      </w:r>
      <w:r w:rsidRPr="009714E7">
        <w:t xml:space="preserve">31 (after </w:t>
      </w:r>
      <w:r w:rsidR="009714E7" w:rsidRPr="009714E7">
        <w:t>paragraph (</w:t>
      </w:r>
      <w:r w:rsidRPr="009714E7">
        <w:t xml:space="preserve">a) of the definition of </w:t>
      </w:r>
      <w:r w:rsidRPr="009714E7">
        <w:rPr>
          <w:i/>
        </w:rPr>
        <w:t>reviewable decision</w:t>
      </w:r>
      <w:r w:rsidRPr="009714E7">
        <w:t>)</w:t>
      </w:r>
    </w:p>
    <w:p w:rsidR="009101D8" w:rsidRPr="009714E7" w:rsidRDefault="009101D8" w:rsidP="009714E7">
      <w:pPr>
        <w:pStyle w:val="Item"/>
      </w:pPr>
      <w:r w:rsidRPr="009714E7">
        <w:t>Insert:</w:t>
      </w:r>
    </w:p>
    <w:p w:rsidR="009101D8" w:rsidRPr="009714E7" w:rsidRDefault="009101D8" w:rsidP="009714E7">
      <w:pPr>
        <w:pStyle w:val="paragraph"/>
      </w:pPr>
      <w:r w:rsidRPr="009714E7">
        <w:tab/>
        <w:t>(aa)</w:t>
      </w:r>
      <w:r w:rsidRPr="009714E7">
        <w:tab/>
        <w:t>a decision to make a determination under paragraph</w:t>
      </w:r>
      <w:r w:rsidR="009714E7" w:rsidRPr="009714E7">
        <w:t> </w:t>
      </w:r>
      <w:r w:rsidRPr="009714E7">
        <w:t>7(1A)(a);</w:t>
      </w:r>
    </w:p>
    <w:p w:rsidR="009101D8" w:rsidRPr="009714E7" w:rsidRDefault="009101D8" w:rsidP="009714E7">
      <w:pPr>
        <w:pStyle w:val="paragraph"/>
      </w:pPr>
      <w:r w:rsidRPr="009714E7">
        <w:tab/>
        <w:t>(ab)</w:t>
      </w:r>
      <w:r w:rsidRPr="009714E7">
        <w:tab/>
        <w:t>a decision not to make a determination under paragraph</w:t>
      </w:r>
      <w:r w:rsidR="009714E7" w:rsidRPr="009714E7">
        <w:t> </w:t>
      </w:r>
      <w:r w:rsidRPr="009714E7">
        <w:t>7(2</w:t>
      </w:r>
      <w:r w:rsidR="004C6D7A" w:rsidRPr="009714E7">
        <w:t>F</w:t>
      </w:r>
      <w:r w:rsidRPr="009714E7">
        <w:t>)(a);</w:t>
      </w:r>
    </w:p>
    <w:p w:rsidR="009101D8" w:rsidRPr="009714E7" w:rsidRDefault="009101D8" w:rsidP="009714E7">
      <w:pPr>
        <w:pStyle w:val="ItemHead"/>
      </w:pPr>
      <w:r w:rsidRPr="009714E7">
        <w:t>9  After paragraph</w:t>
      </w:r>
      <w:r w:rsidR="009714E7" w:rsidRPr="009714E7">
        <w:t> </w:t>
      </w:r>
      <w:r w:rsidRPr="009714E7">
        <w:t>32(1)(a)</w:t>
      </w:r>
    </w:p>
    <w:p w:rsidR="009101D8" w:rsidRPr="009714E7" w:rsidRDefault="009101D8" w:rsidP="009714E7">
      <w:pPr>
        <w:pStyle w:val="Item"/>
      </w:pPr>
      <w:r w:rsidRPr="009714E7">
        <w:t>Insert:</w:t>
      </w:r>
    </w:p>
    <w:p w:rsidR="009101D8" w:rsidRPr="009714E7" w:rsidRDefault="009101D8" w:rsidP="009714E7">
      <w:pPr>
        <w:pStyle w:val="paragraph"/>
      </w:pPr>
      <w:r w:rsidRPr="009714E7">
        <w:tab/>
        <w:t>(aa)</w:t>
      </w:r>
      <w:r w:rsidRPr="009714E7">
        <w:tab/>
        <w:t>the carrying out of activities, whether directly or indirectly, that result in the funding or originating of loans or other financing;</w:t>
      </w:r>
    </w:p>
    <w:p w:rsidR="009101D8" w:rsidRPr="009714E7" w:rsidRDefault="009101D8" w:rsidP="009714E7">
      <w:pPr>
        <w:pStyle w:val="ItemHead"/>
      </w:pPr>
      <w:r w:rsidRPr="009714E7">
        <w:t>10  After subsection</w:t>
      </w:r>
      <w:r w:rsidR="009714E7" w:rsidRPr="009714E7">
        <w:t> </w:t>
      </w:r>
      <w:r w:rsidRPr="009714E7">
        <w:t>32(1)</w:t>
      </w:r>
    </w:p>
    <w:p w:rsidR="009101D8" w:rsidRPr="009714E7" w:rsidRDefault="009101D8" w:rsidP="009714E7">
      <w:pPr>
        <w:pStyle w:val="Item"/>
      </w:pPr>
      <w:r w:rsidRPr="009714E7">
        <w:t>Insert:</w:t>
      </w:r>
    </w:p>
    <w:p w:rsidR="009101D8" w:rsidRPr="009714E7" w:rsidRDefault="009101D8" w:rsidP="009714E7">
      <w:pPr>
        <w:pStyle w:val="subsection"/>
      </w:pPr>
      <w:r w:rsidRPr="009714E7">
        <w:tab/>
        <w:t>(1A)</w:t>
      </w:r>
      <w:r w:rsidRPr="009714E7">
        <w:tab/>
        <w:t>A reference in this Act to the provision of finance does not include a reference to the following:</w:t>
      </w:r>
    </w:p>
    <w:p w:rsidR="009101D8" w:rsidRPr="009714E7" w:rsidRDefault="009101D8" w:rsidP="009714E7">
      <w:pPr>
        <w:pStyle w:val="paragraph"/>
      </w:pPr>
      <w:r w:rsidRPr="009714E7">
        <w:tab/>
        <w:t>(a)</w:t>
      </w:r>
      <w:r w:rsidRPr="009714E7">
        <w:tab/>
        <w:t>the provision of financial advice;</w:t>
      </w:r>
    </w:p>
    <w:p w:rsidR="009101D8" w:rsidRPr="009714E7" w:rsidRDefault="009101D8" w:rsidP="009714E7">
      <w:pPr>
        <w:pStyle w:val="paragraph"/>
      </w:pPr>
      <w:r w:rsidRPr="009714E7">
        <w:tab/>
        <w:t>(b)</w:t>
      </w:r>
      <w:r w:rsidRPr="009714E7">
        <w:tab/>
        <w:t>intra</w:t>
      </w:r>
      <w:r w:rsidR="00C83714">
        <w:noBreakHyphen/>
      </w:r>
      <w:r w:rsidRPr="009714E7">
        <w:t>group financing activity between corporations that are related to one another.</w:t>
      </w:r>
    </w:p>
    <w:p w:rsidR="00115E40" w:rsidRPr="009714E7" w:rsidRDefault="00115E40" w:rsidP="009714E7">
      <w:pPr>
        <w:pStyle w:val="ActHead6"/>
        <w:pageBreakBefore/>
      </w:pPr>
      <w:bookmarkStart w:id="23" w:name="_Toc508110070"/>
      <w:r w:rsidRPr="009714E7">
        <w:rPr>
          <w:rStyle w:val="CharAmSchNo"/>
        </w:rPr>
        <w:lastRenderedPageBreak/>
        <w:t>Schedule</w:t>
      </w:r>
      <w:r w:rsidR="009714E7" w:rsidRPr="009714E7">
        <w:rPr>
          <w:rStyle w:val="CharAmSchNo"/>
        </w:rPr>
        <w:t> </w:t>
      </w:r>
      <w:r w:rsidRPr="009714E7">
        <w:rPr>
          <w:rStyle w:val="CharAmSchNo"/>
        </w:rPr>
        <w:t>3</w:t>
      </w:r>
      <w:r w:rsidRPr="009714E7">
        <w:t>—</w:t>
      </w:r>
      <w:r w:rsidRPr="009714E7">
        <w:rPr>
          <w:rStyle w:val="CharAmSchText"/>
        </w:rPr>
        <w:t>Restricted words</w:t>
      </w:r>
      <w:bookmarkEnd w:id="23"/>
    </w:p>
    <w:p w:rsidR="00115E40" w:rsidRPr="009714E7" w:rsidRDefault="00115E40" w:rsidP="009714E7">
      <w:pPr>
        <w:pStyle w:val="Header"/>
      </w:pPr>
      <w:r w:rsidRPr="009714E7">
        <w:rPr>
          <w:rStyle w:val="CharAmPartNo"/>
        </w:rPr>
        <w:t xml:space="preserve"> </w:t>
      </w:r>
      <w:r w:rsidRPr="009714E7">
        <w:rPr>
          <w:rStyle w:val="CharAmPartText"/>
        </w:rPr>
        <w:t xml:space="preserve"> </w:t>
      </w:r>
    </w:p>
    <w:p w:rsidR="001863E2" w:rsidRPr="009714E7" w:rsidRDefault="001863E2" w:rsidP="009714E7">
      <w:pPr>
        <w:pStyle w:val="ActHead9"/>
        <w:rPr>
          <w:i w:val="0"/>
        </w:rPr>
      </w:pPr>
      <w:bookmarkStart w:id="24" w:name="_Toc508110071"/>
      <w:r w:rsidRPr="009714E7">
        <w:t>Banking Act 1959</w:t>
      </w:r>
      <w:bookmarkEnd w:id="24"/>
    </w:p>
    <w:p w:rsidR="001863E2" w:rsidRPr="009714E7" w:rsidRDefault="001863E2" w:rsidP="009714E7">
      <w:pPr>
        <w:pStyle w:val="ItemHead"/>
      </w:pPr>
      <w:r w:rsidRPr="009714E7">
        <w:t>1  Subsection</w:t>
      </w:r>
      <w:r w:rsidR="009714E7" w:rsidRPr="009714E7">
        <w:t> </w:t>
      </w:r>
      <w:r w:rsidRPr="009714E7">
        <w:t>9(3) (note 1)</w:t>
      </w:r>
    </w:p>
    <w:p w:rsidR="001863E2" w:rsidRPr="009714E7" w:rsidRDefault="001863E2" w:rsidP="009714E7">
      <w:pPr>
        <w:pStyle w:val="Item"/>
      </w:pPr>
      <w:r w:rsidRPr="009714E7">
        <w:t>Repeal the note.</w:t>
      </w:r>
    </w:p>
    <w:p w:rsidR="001863E2" w:rsidRPr="009714E7" w:rsidRDefault="001863E2" w:rsidP="009714E7">
      <w:pPr>
        <w:pStyle w:val="ItemHead"/>
      </w:pPr>
      <w:r w:rsidRPr="009714E7">
        <w:t>2  Subsection</w:t>
      </w:r>
      <w:r w:rsidR="009714E7" w:rsidRPr="009714E7">
        <w:t> </w:t>
      </w:r>
      <w:r w:rsidRPr="009714E7">
        <w:t>9(3) (note 2)</w:t>
      </w:r>
    </w:p>
    <w:p w:rsidR="001863E2" w:rsidRPr="009714E7" w:rsidRDefault="001863E2" w:rsidP="009714E7">
      <w:pPr>
        <w:pStyle w:val="Item"/>
      </w:pPr>
      <w:r w:rsidRPr="009714E7">
        <w:t>Omit “Note 2”, substitute “Note”.</w:t>
      </w:r>
    </w:p>
    <w:p w:rsidR="001863E2" w:rsidRPr="009714E7" w:rsidRDefault="001863E2" w:rsidP="009714E7">
      <w:pPr>
        <w:pStyle w:val="ItemHead"/>
      </w:pPr>
      <w:r w:rsidRPr="009714E7">
        <w:t>3  Subsection</w:t>
      </w:r>
      <w:r w:rsidR="009714E7" w:rsidRPr="009714E7">
        <w:t> </w:t>
      </w:r>
      <w:r w:rsidRPr="009714E7">
        <w:t>66(1AC)</w:t>
      </w:r>
    </w:p>
    <w:p w:rsidR="001863E2" w:rsidRPr="009714E7" w:rsidRDefault="001863E2" w:rsidP="009714E7">
      <w:pPr>
        <w:pStyle w:val="Item"/>
      </w:pPr>
      <w:r w:rsidRPr="009714E7">
        <w:t>Repeal the subsection, substitute:</w:t>
      </w:r>
    </w:p>
    <w:p w:rsidR="001863E2" w:rsidRPr="009714E7" w:rsidRDefault="001863E2" w:rsidP="009714E7">
      <w:pPr>
        <w:pStyle w:val="subsection"/>
      </w:pPr>
      <w:r w:rsidRPr="009714E7">
        <w:tab/>
        <w:t>(1AC)</w:t>
      </w:r>
      <w:r w:rsidRPr="009714E7">
        <w:tab/>
        <w:t xml:space="preserve">It is not an offence against </w:t>
      </w:r>
      <w:r w:rsidR="009714E7" w:rsidRPr="009714E7">
        <w:t>subsection (</w:t>
      </w:r>
      <w:r w:rsidRPr="009714E7">
        <w:t xml:space="preserve">1) for an ADI to assume or use the words </w:t>
      </w:r>
      <w:r w:rsidRPr="009714E7">
        <w:rPr>
          <w:b/>
          <w:i/>
        </w:rPr>
        <w:t>bank</w:t>
      </w:r>
      <w:r w:rsidRPr="009714E7">
        <w:t xml:space="preserve">, </w:t>
      </w:r>
      <w:r w:rsidRPr="009714E7">
        <w:rPr>
          <w:b/>
          <w:i/>
        </w:rPr>
        <w:t>banker</w:t>
      </w:r>
      <w:r w:rsidRPr="009714E7">
        <w:t xml:space="preserve"> or </w:t>
      </w:r>
      <w:r w:rsidRPr="009714E7">
        <w:rPr>
          <w:b/>
          <w:i/>
        </w:rPr>
        <w:t>banking</w:t>
      </w:r>
      <w:r w:rsidRPr="009714E7">
        <w:t xml:space="preserve"> in relation to the ADI’s financial business.</w:t>
      </w:r>
    </w:p>
    <w:p w:rsidR="001863E2" w:rsidRPr="009714E7" w:rsidRDefault="001863E2" w:rsidP="009714E7">
      <w:pPr>
        <w:pStyle w:val="notetext"/>
      </w:pPr>
      <w:r w:rsidRPr="009714E7">
        <w:t>Note:</w:t>
      </w:r>
      <w:r w:rsidRPr="009714E7">
        <w:tab/>
        <w:t>See also section</w:t>
      </w:r>
      <w:r w:rsidR="009714E7" w:rsidRPr="009714E7">
        <w:t> </w:t>
      </w:r>
      <w:r w:rsidRPr="009714E7">
        <w:t xml:space="preserve">66AA, which deals with the use of the word </w:t>
      </w:r>
      <w:r w:rsidRPr="009714E7">
        <w:rPr>
          <w:b/>
          <w:i/>
        </w:rPr>
        <w:t>bank</w:t>
      </w:r>
      <w:r w:rsidRPr="009714E7">
        <w:t xml:space="preserve"> by ADIs.</w:t>
      </w:r>
    </w:p>
    <w:p w:rsidR="001863E2" w:rsidRPr="009714E7" w:rsidRDefault="001863E2" w:rsidP="009714E7">
      <w:pPr>
        <w:pStyle w:val="ItemHead"/>
      </w:pPr>
      <w:r w:rsidRPr="009714E7">
        <w:t>4  Subsection</w:t>
      </w:r>
      <w:r w:rsidR="009714E7" w:rsidRPr="009714E7">
        <w:t> </w:t>
      </w:r>
      <w:r w:rsidRPr="009714E7">
        <w:t>66(2C)</w:t>
      </w:r>
    </w:p>
    <w:p w:rsidR="001863E2" w:rsidRPr="009714E7" w:rsidRDefault="001863E2" w:rsidP="009714E7">
      <w:pPr>
        <w:pStyle w:val="Item"/>
      </w:pPr>
      <w:r w:rsidRPr="009714E7">
        <w:t>Repeal the subsection.</w:t>
      </w:r>
    </w:p>
    <w:p w:rsidR="001863E2" w:rsidRPr="009714E7" w:rsidRDefault="001863E2" w:rsidP="009714E7">
      <w:pPr>
        <w:pStyle w:val="ItemHead"/>
      </w:pPr>
      <w:r w:rsidRPr="009714E7">
        <w:t>5  After section</w:t>
      </w:r>
      <w:r w:rsidR="009714E7" w:rsidRPr="009714E7">
        <w:t> </w:t>
      </w:r>
      <w:r w:rsidRPr="009714E7">
        <w:t>66</w:t>
      </w:r>
    </w:p>
    <w:p w:rsidR="001863E2" w:rsidRPr="009714E7" w:rsidRDefault="001863E2" w:rsidP="009714E7">
      <w:pPr>
        <w:pStyle w:val="Item"/>
      </w:pPr>
      <w:r w:rsidRPr="009714E7">
        <w:t>Insert:</w:t>
      </w:r>
    </w:p>
    <w:p w:rsidR="001863E2" w:rsidRPr="009714E7" w:rsidRDefault="001863E2" w:rsidP="009714E7">
      <w:pPr>
        <w:pStyle w:val="ActHead5"/>
      </w:pPr>
      <w:bookmarkStart w:id="25" w:name="_Toc508110072"/>
      <w:r w:rsidRPr="009714E7">
        <w:rPr>
          <w:rStyle w:val="CharSectno"/>
        </w:rPr>
        <w:t>66AA</w:t>
      </w:r>
      <w:r w:rsidRPr="009714E7">
        <w:t xml:space="preserve">  Use of the word </w:t>
      </w:r>
      <w:r w:rsidRPr="009714E7">
        <w:rPr>
          <w:i/>
        </w:rPr>
        <w:t>bank</w:t>
      </w:r>
      <w:r w:rsidRPr="009714E7">
        <w:t xml:space="preserve"> by ADIs</w:t>
      </w:r>
      <w:bookmarkEnd w:id="25"/>
    </w:p>
    <w:p w:rsidR="001863E2" w:rsidRPr="009714E7" w:rsidRDefault="001863E2" w:rsidP="009714E7">
      <w:pPr>
        <w:pStyle w:val="subsection"/>
      </w:pPr>
      <w:r w:rsidRPr="009714E7">
        <w:tab/>
        <w:t>(1)</w:t>
      </w:r>
      <w:r w:rsidRPr="009714E7">
        <w:tab/>
        <w:t>A person commits an offence if:</w:t>
      </w:r>
    </w:p>
    <w:p w:rsidR="001863E2" w:rsidRPr="009714E7" w:rsidRDefault="001863E2" w:rsidP="009714E7">
      <w:pPr>
        <w:pStyle w:val="paragraph"/>
      </w:pPr>
      <w:r w:rsidRPr="009714E7">
        <w:tab/>
        <w:t>(a)</w:t>
      </w:r>
      <w:r w:rsidRPr="009714E7">
        <w:tab/>
        <w:t>the person is an ADI; and</w:t>
      </w:r>
    </w:p>
    <w:p w:rsidR="001863E2" w:rsidRPr="009714E7" w:rsidRDefault="001863E2" w:rsidP="009714E7">
      <w:pPr>
        <w:pStyle w:val="paragraph"/>
      </w:pPr>
      <w:r w:rsidRPr="009714E7">
        <w:tab/>
        <w:t>(b)</w:t>
      </w:r>
      <w:r w:rsidRPr="009714E7">
        <w:tab/>
        <w:t>the ADI carries on a financial business, whether or not in Australia; and</w:t>
      </w:r>
    </w:p>
    <w:p w:rsidR="001863E2" w:rsidRPr="009714E7" w:rsidRDefault="001863E2" w:rsidP="009714E7">
      <w:pPr>
        <w:pStyle w:val="paragraph"/>
      </w:pPr>
      <w:r w:rsidRPr="009714E7">
        <w:tab/>
        <w:t>(c)</w:t>
      </w:r>
      <w:r w:rsidRPr="009714E7">
        <w:tab/>
        <w:t xml:space="preserve">the person assumes or uses, in Australia, the word </w:t>
      </w:r>
      <w:r w:rsidRPr="009714E7">
        <w:rPr>
          <w:b/>
          <w:i/>
        </w:rPr>
        <w:t>bank</w:t>
      </w:r>
      <w:r w:rsidRPr="009714E7">
        <w:t xml:space="preserve"> in relation to that financial business; and</w:t>
      </w:r>
    </w:p>
    <w:p w:rsidR="001863E2" w:rsidRPr="009714E7" w:rsidRDefault="001863E2" w:rsidP="009714E7">
      <w:pPr>
        <w:pStyle w:val="paragraph"/>
      </w:pPr>
      <w:r w:rsidRPr="009714E7">
        <w:tab/>
        <w:t>(d)</w:t>
      </w:r>
      <w:r w:rsidRPr="009714E7">
        <w:tab/>
        <w:t xml:space="preserve">a determination under </w:t>
      </w:r>
      <w:r w:rsidR="009714E7" w:rsidRPr="009714E7">
        <w:t>subsection (</w:t>
      </w:r>
      <w:r w:rsidRPr="009714E7">
        <w:t>3) is in force that specifies that this section applies to the ADI.</w:t>
      </w:r>
    </w:p>
    <w:p w:rsidR="001863E2" w:rsidRPr="009714E7" w:rsidRDefault="001863E2" w:rsidP="009714E7">
      <w:pPr>
        <w:pStyle w:val="Penalty"/>
      </w:pPr>
      <w:r w:rsidRPr="009714E7">
        <w:t>Penalty:</w:t>
      </w:r>
      <w:r w:rsidRPr="009714E7">
        <w:tab/>
        <w:t>50 penalty units.</w:t>
      </w:r>
    </w:p>
    <w:p w:rsidR="001863E2" w:rsidRPr="009714E7" w:rsidRDefault="001863E2" w:rsidP="009714E7">
      <w:pPr>
        <w:pStyle w:val="notetext"/>
      </w:pPr>
      <w:r w:rsidRPr="009714E7">
        <w:lastRenderedPageBreak/>
        <w:t>Note 1:</w:t>
      </w:r>
      <w:r w:rsidRPr="009714E7">
        <w:tab/>
        <w:t xml:space="preserve">For the meanings of </w:t>
      </w:r>
      <w:r w:rsidRPr="009714E7">
        <w:rPr>
          <w:b/>
          <w:i/>
        </w:rPr>
        <w:t>assume or use</w:t>
      </w:r>
      <w:r w:rsidRPr="009714E7">
        <w:t xml:space="preserve"> and </w:t>
      </w:r>
      <w:r w:rsidRPr="009714E7">
        <w:rPr>
          <w:b/>
          <w:i/>
        </w:rPr>
        <w:t>financial business</w:t>
      </w:r>
      <w:r w:rsidRPr="009714E7">
        <w:t xml:space="preserve">, see </w:t>
      </w:r>
      <w:r w:rsidR="009714E7" w:rsidRPr="009714E7">
        <w:t>subsection (</w:t>
      </w:r>
      <w:r w:rsidRPr="009714E7">
        <w:t>10).</w:t>
      </w:r>
    </w:p>
    <w:p w:rsidR="001863E2" w:rsidRPr="009714E7" w:rsidRDefault="001863E2" w:rsidP="009714E7">
      <w:pPr>
        <w:pStyle w:val="notetext"/>
      </w:pPr>
      <w:r w:rsidRPr="009714E7">
        <w:t>Note 2:</w:t>
      </w:r>
      <w:r w:rsidRPr="009714E7">
        <w:tab/>
        <w:t>Chapter</w:t>
      </w:r>
      <w:r w:rsidR="009714E7" w:rsidRPr="009714E7">
        <w:t> </w:t>
      </w:r>
      <w:r w:rsidRPr="009714E7">
        <w:t xml:space="preserve">2 of the </w:t>
      </w:r>
      <w:r w:rsidRPr="009714E7">
        <w:rPr>
          <w:i/>
        </w:rPr>
        <w:t>Criminal Code</w:t>
      </w:r>
      <w:r w:rsidRPr="009714E7">
        <w:t xml:space="preserve"> sets out the general principles of criminal responsibility.</w:t>
      </w:r>
    </w:p>
    <w:p w:rsidR="001863E2" w:rsidRPr="009714E7" w:rsidRDefault="001863E2" w:rsidP="009714E7">
      <w:pPr>
        <w:pStyle w:val="notetext"/>
      </w:pPr>
      <w:r w:rsidRPr="009714E7">
        <w:t>Note 3:</w:t>
      </w:r>
      <w:r w:rsidRPr="009714E7">
        <w:tab/>
        <w:t>If a body corporate is convicted of an offence against this subsection, subsection</w:t>
      </w:r>
      <w:r w:rsidR="009714E7" w:rsidRPr="009714E7">
        <w:t> </w:t>
      </w:r>
      <w:r w:rsidRPr="009714E7">
        <w:t xml:space="preserve">4B(3) of the </w:t>
      </w:r>
      <w:r w:rsidRPr="009714E7">
        <w:rPr>
          <w:i/>
        </w:rPr>
        <w:t>Crimes Act 1914</w:t>
      </w:r>
      <w:r w:rsidRPr="009714E7">
        <w:t xml:space="preserve"> allows a court to impose a fine of up to 5 times the penalty stated above.</w:t>
      </w:r>
    </w:p>
    <w:p w:rsidR="001863E2" w:rsidRPr="009714E7" w:rsidRDefault="001863E2" w:rsidP="009714E7">
      <w:pPr>
        <w:pStyle w:val="subsection"/>
      </w:pPr>
      <w:r w:rsidRPr="009714E7">
        <w:tab/>
        <w:t>(2)</w:t>
      </w:r>
      <w:r w:rsidRPr="009714E7">
        <w:tab/>
        <w:t xml:space="preserve">If a person assumes or uses the word </w:t>
      </w:r>
      <w:r w:rsidRPr="009714E7">
        <w:rPr>
          <w:b/>
          <w:i/>
        </w:rPr>
        <w:t>bank</w:t>
      </w:r>
      <w:r w:rsidRPr="009714E7">
        <w:t xml:space="preserve"> in circumstances that give rise to the person committing an offence against </w:t>
      </w:r>
      <w:r w:rsidR="009714E7" w:rsidRPr="009714E7">
        <w:t>subsection (</w:t>
      </w:r>
      <w:r w:rsidRPr="009714E7">
        <w:t>1), the person commits an offence against that subsection in respect of:</w:t>
      </w:r>
    </w:p>
    <w:p w:rsidR="001863E2" w:rsidRPr="009714E7" w:rsidRDefault="001863E2" w:rsidP="009714E7">
      <w:pPr>
        <w:pStyle w:val="paragraph"/>
      </w:pPr>
      <w:r w:rsidRPr="009714E7">
        <w:tab/>
        <w:t>(a)</w:t>
      </w:r>
      <w:r w:rsidRPr="009714E7">
        <w:tab/>
        <w:t>the first day on which the offence is committed; and</w:t>
      </w:r>
    </w:p>
    <w:p w:rsidR="001863E2" w:rsidRPr="009714E7" w:rsidRDefault="001863E2" w:rsidP="009714E7">
      <w:pPr>
        <w:pStyle w:val="paragraph"/>
      </w:pPr>
      <w:r w:rsidRPr="009714E7">
        <w:tab/>
        <w:t>(b)</w:t>
      </w:r>
      <w:r w:rsidRPr="009714E7">
        <w:tab/>
        <w:t>each subsequent day (if any) on which the circumstances that gave rise to the person committing the offence continue (including the day of conviction for any such offence or any later day).</w:t>
      </w:r>
    </w:p>
    <w:p w:rsidR="001863E2" w:rsidRPr="009714E7" w:rsidRDefault="001863E2" w:rsidP="009714E7">
      <w:pPr>
        <w:pStyle w:val="notetext"/>
      </w:pPr>
      <w:r w:rsidRPr="009714E7">
        <w:t>Note:</w:t>
      </w:r>
      <w:r w:rsidRPr="009714E7">
        <w:tab/>
        <w:t>This subsection is not intended to imply that section</w:t>
      </w:r>
      <w:r w:rsidR="009714E7" w:rsidRPr="009714E7">
        <w:t> </w:t>
      </w:r>
      <w:r w:rsidRPr="009714E7">
        <w:t xml:space="preserve">4K of the </w:t>
      </w:r>
      <w:r w:rsidRPr="009714E7">
        <w:rPr>
          <w:i/>
        </w:rPr>
        <w:t>Crimes Act 1914</w:t>
      </w:r>
      <w:r w:rsidRPr="009714E7">
        <w:t xml:space="preserve"> does not apply to offences against this Act or the regulations.</w:t>
      </w:r>
    </w:p>
    <w:p w:rsidR="001863E2" w:rsidRPr="009714E7" w:rsidRDefault="001863E2" w:rsidP="009714E7">
      <w:pPr>
        <w:pStyle w:val="subsection"/>
      </w:pPr>
      <w:r w:rsidRPr="009714E7">
        <w:tab/>
        <w:t>(3)</w:t>
      </w:r>
      <w:r w:rsidRPr="009714E7">
        <w:tab/>
        <w:t>APRA may, in writing, determine that this section applies to an ADI while the determination is in force.</w:t>
      </w:r>
    </w:p>
    <w:p w:rsidR="001863E2" w:rsidRPr="009714E7" w:rsidRDefault="001863E2" w:rsidP="009714E7">
      <w:pPr>
        <w:pStyle w:val="subsection"/>
      </w:pPr>
      <w:r w:rsidRPr="009714E7">
        <w:tab/>
        <w:t>(4)</w:t>
      </w:r>
      <w:r w:rsidRPr="009714E7">
        <w:tab/>
        <w:t xml:space="preserve">A determination under </w:t>
      </w:r>
      <w:r w:rsidR="009714E7" w:rsidRPr="009714E7">
        <w:t>subsection (</w:t>
      </w:r>
      <w:r w:rsidRPr="009714E7">
        <w:t>3):</w:t>
      </w:r>
    </w:p>
    <w:p w:rsidR="001863E2" w:rsidRPr="009714E7" w:rsidRDefault="001863E2" w:rsidP="009714E7">
      <w:pPr>
        <w:pStyle w:val="paragraph"/>
      </w:pPr>
      <w:r w:rsidRPr="009714E7">
        <w:tab/>
        <w:t>(a)</w:t>
      </w:r>
      <w:r w:rsidRPr="009714E7">
        <w:tab/>
        <w:t>may be expressed to apply:</w:t>
      </w:r>
    </w:p>
    <w:p w:rsidR="001863E2" w:rsidRPr="009714E7" w:rsidRDefault="001863E2" w:rsidP="009714E7">
      <w:pPr>
        <w:pStyle w:val="paragraphsub"/>
      </w:pPr>
      <w:r w:rsidRPr="009714E7">
        <w:tab/>
        <w:t>(i)</w:t>
      </w:r>
      <w:r w:rsidRPr="009714E7">
        <w:tab/>
        <w:t>to a particular ADI; or</w:t>
      </w:r>
    </w:p>
    <w:p w:rsidR="001863E2" w:rsidRPr="009714E7" w:rsidRDefault="001863E2" w:rsidP="009714E7">
      <w:pPr>
        <w:pStyle w:val="paragraphsub"/>
      </w:pPr>
      <w:r w:rsidRPr="009714E7">
        <w:tab/>
        <w:t>(ii)</w:t>
      </w:r>
      <w:r w:rsidRPr="009714E7">
        <w:tab/>
        <w:t>to a class, or classes, of ADIs; and</w:t>
      </w:r>
    </w:p>
    <w:p w:rsidR="001863E2" w:rsidRPr="009714E7" w:rsidRDefault="001863E2" w:rsidP="009714E7">
      <w:pPr>
        <w:pStyle w:val="paragraph"/>
      </w:pPr>
      <w:r w:rsidRPr="009714E7">
        <w:tab/>
        <w:t>(b)</w:t>
      </w:r>
      <w:r w:rsidRPr="009714E7">
        <w:tab/>
        <w:t>may specify the period during which the determination is in force.</w:t>
      </w:r>
    </w:p>
    <w:p w:rsidR="001863E2" w:rsidRPr="009714E7" w:rsidRDefault="001863E2" w:rsidP="009714E7">
      <w:pPr>
        <w:pStyle w:val="subsection2"/>
      </w:pPr>
      <w:r w:rsidRPr="009714E7">
        <w:t xml:space="preserve">A period specified under </w:t>
      </w:r>
      <w:r w:rsidR="009714E7" w:rsidRPr="009714E7">
        <w:t>paragraph (</w:t>
      </w:r>
      <w:r w:rsidRPr="009714E7">
        <w:t>b) must not begin before the day on which the determination is made.</w:t>
      </w:r>
    </w:p>
    <w:p w:rsidR="001863E2" w:rsidRPr="009714E7" w:rsidRDefault="001863E2" w:rsidP="009714E7">
      <w:pPr>
        <w:pStyle w:val="subsection"/>
      </w:pPr>
      <w:r w:rsidRPr="009714E7">
        <w:tab/>
        <w:t>(5)</w:t>
      </w:r>
      <w:r w:rsidRPr="009714E7">
        <w:tab/>
        <w:t xml:space="preserve">If APRA makes a determination under </w:t>
      </w:r>
      <w:r w:rsidR="009714E7" w:rsidRPr="009714E7">
        <w:t>subsection (</w:t>
      </w:r>
      <w:r w:rsidRPr="009714E7">
        <w:t>3) that applies to a particular ADI, APRA must also give the ADI written notice of the determination.</w:t>
      </w:r>
    </w:p>
    <w:p w:rsidR="001863E2" w:rsidRPr="009714E7" w:rsidRDefault="001863E2" w:rsidP="009714E7">
      <w:pPr>
        <w:pStyle w:val="subsection"/>
      </w:pPr>
      <w:r w:rsidRPr="009714E7">
        <w:tab/>
        <w:t>(6)</w:t>
      </w:r>
      <w:r w:rsidRPr="009714E7">
        <w:tab/>
        <w:t xml:space="preserve">APRA may, in writing, vary or revoke a determination made under </w:t>
      </w:r>
      <w:r w:rsidR="009714E7" w:rsidRPr="009714E7">
        <w:t>subsection (</w:t>
      </w:r>
      <w:r w:rsidRPr="009714E7">
        <w:t>3).</w:t>
      </w:r>
    </w:p>
    <w:p w:rsidR="001863E2" w:rsidRPr="009714E7" w:rsidRDefault="001863E2" w:rsidP="009714E7">
      <w:pPr>
        <w:pStyle w:val="subsection"/>
      </w:pPr>
      <w:r w:rsidRPr="009714E7">
        <w:tab/>
        <w:t>(7)</w:t>
      </w:r>
      <w:r w:rsidRPr="009714E7">
        <w:tab/>
        <w:t>The following instruments are not legislative instruments:</w:t>
      </w:r>
    </w:p>
    <w:p w:rsidR="001863E2" w:rsidRPr="009714E7" w:rsidRDefault="001863E2" w:rsidP="009714E7">
      <w:pPr>
        <w:pStyle w:val="paragraph"/>
      </w:pPr>
      <w:r w:rsidRPr="009714E7">
        <w:tab/>
        <w:t>(a)</w:t>
      </w:r>
      <w:r w:rsidRPr="009714E7">
        <w:tab/>
        <w:t xml:space="preserve">a determination under </w:t>
      </w:r>
      <w:r w:rsidR="009714E7" w:rsidRPr="009714E7">
        <w:t>subsection (</w:t>
      </w:r>
      <w:r w:rsidRPr="009714E7">
        <w:t>3) that applies to a particular ADI;</w:t>
      </w:r>
    </w:p>
    <w:p w:rsidR="001863E2" w:rsidRPr="009714E7" w:rsidRDefault="001863E2" w:rsidP="009714E7">
      <w:pPr>
        <w:pStyle w:val="paragraph"/>
      </w:pPr>
      <w:r w:rsidRPr="009714E7">
        <w:lastRenderedPageBreak/>
        <w:tab/>
        <w:t>(b)</w:t>
      </w:r>
      <w:r w:rsidRPr="009714E7">
        <w:tab/>
        <w:t xml:space="preserve">an instrument made under </w:t>
      </w:r>
      <w:r w:rsidR="009714E7" w:rsidRPr="009714E7">
        <w:t>subsection (</w:t>
      </w:r>
      <w:r w:rsidRPr="009714E7">
        <w:t>6) varying or revoking a determination that applies to a particular ADI.</w:t>
      </w:r>
    </w:p>
    <w:p w:rsidR="001863E2" w:rsidRPr="009714E7" w:rsidRDefault="001863E2" w:rsidP="009714E7">
      <w:pPr>
        <w:pStyle w:val="subsection"/>
      </w:pPr>
      <w:r w:rsidRPr="009714E7">
        <w:tab/>
        <w:t>(8)</w:t>
      </w:r>
      <w:r w:rsidRPr="009714E7">
        <w:tab/>
        <w:t xml:space="preserve">Otherwise, a determination under </w:t>
      </w:r>
      <w:r w:rsidR="009714E7" w:rsidRPr="009714E7">
        <w:t>subsection (</w:t>
      </w:r>
      <w:r w:rsidRPr="009714E7">
        <w:t xml:space="preserve">3) or an instrument under </w:t>
      </w:r>
      <w:r w:rsidR="009714E7" w:rsidRPr="009714E7">
        <w:t>subsection (</w:t>
      </w:r>
      <w:r w:rsidRPr="009714E7">
        <w:t>6) is a legislative instrument.</w:t>
      </w:r>
    </w:p>
    <w:p w:rsidR="001863E2" w:rsidRPr="009714E7" w:rsidRDefault="001863E2" w:rsidP="009714E7">
      <w:pPr>
        <w:pStyle w:val="subsection"/>
      </w:pPr>
      <w:r w:rsidRPr="009714E7">
        <w:tab/>
        <w:t>(9)</w:t>
      </w:r>
      <w:r w:rsidRPr="009714E7">
        <w:tab/>
        <w:t>Part</w:t>
      </w:r>
      <w:r w:rsidR="009714E7" w:rsidRPr="009714E7">
        <w:t> </w:t>
      </w:r>
      <w:r w:rsidRPr="009714E7">
        <w:t>VI applies to the following decisions under this section:</w:t>
      </w:r>
    </w:p>
    <w:p w:rsidR="001863E2" w:rsidRPr="009714E7" w:rsidRDefault="001863E2" w:rsidP="009714E7">
      <w:pPr>
        <w:pStyle w:val="paragraph"/>
      </w:pPr>
      <w:r w:rsidRPr="009714E7">
        <w:tab/>
        <w:t>(a)</w:t>
      </w:r>
      <w:r w:rsidRPr="009714E7">
        <w:tab/>
        <w:t>a decision to determine that this section applies to a particular ADI;</w:t>
      </w:r>
    </w:p>
    <w:p w:rsidR="001863E2" w:rsidRPr="009714E7" w:rsidRDefault="001863E2" w:rsidP="009714E7">
      <w:pPr>
        <w:pStyle w:val="paragraph"/>
      </w:pPr>
      <w:r w:rsidRPr="009714E7">
        <w:tab/>
        <w:t>(b)</w:t>
      </w:r>
      <w:r w:rsidRPr="009714E7">
        <w:tab/>
        <w:t>a decision to vary a determination that applies to a particular ADI.</w:t>
      </w:r>
    </w:p>
    <w:p w:rsidR="001863E2" w:rsidRPr="009714E7" w:rsidRDefault="001863E2" w:rsidP="009714E7">
      <w:pPr>
        <w:pStyle w:val="subsection"/>
      </w:pPr>
      <w:r w:rsidRPr="009714E7">
        <w:tab/>
        <w:t>(10)</w:t>
      </w:r>
      <w:r w:rsidRPr="009714E7">
        <w:tab/>
        <w:t>In this section:</w:t>
      </w:r>
    </w:p>
    <w:p w:rsidR="001863E2" w:rsidRPr="009714E7" w:rsidRDefault="001863E2" w:rsidP="009714E7">
      <w:pPr>
        <w:pStyle w:val="paragraph"/>
      </w:pPr>
      <w:r w:rsidRPr="009714E7">
        <w:tab/>
        <w:t>(a)</w:t>
      </w:r>
      <w:r w:rsidRPr="009714E7">
        <w:tab/>
        <w:t xml:space="preserve">a reference to the word </w:t>
      </w:r>
      <w:r w:rsidRPr="009714E7">
        <w:rPr>
          <w:b/>
          <w:i/>
        </w:rPr>
        <w:t>bank</w:t>
      </w:r>
      <w:r w:rsidRPr="009714E7">
        <w:t xml:space="preserve"> being assumed or used includes a reference to the word being assumed or used:</w:t>
      </w:r>
    </w:p>
    <w:p w:rsidR="001863E2" w:rsidRPr="009714E7" w:rsidRDefault="001863E2" w:rsidP="009714E7">
      <w:pPr>
        <w:pStyle w:val="paragraphsub"/>
      </w:pPr>
      <w:r w:rsidRPr="009714E7">
        <w:tab/>
        <w:t>(i)</w:t>
      </w:r>
      <w:r w:rsidRPr="009714E7">
        <w:tab/>
        <w:t>as part of another word or expression; or</w:t>
      </w:r>
    </w:p>
    <w:p w:rsidR="001863E2" w:rsidRPr="009714E7" w:rsidRDefault="001863E2" w:rsidP="009714E7">
      <w:pPr>
        <w:pStyle w:val="paragraphsub"/>
      </w:pPr>
      <w:r w:rsidRPr="009714E7">
        <w:tab/>
        <w:t>(ii)</w:t>
      </w:r>
      <w:r w:rsidRPr="009714E7">
        <w:tab/>
        <w:t>in combination with other words, letters or other symbols; and</w:t>
      </w:r>
    </w:p>
    <w:p w:rsidR="001863E2" w:rsidRPr="009714E7" w:rsidRDefault="001863E2" w:rsidP="009714E7">
      <w:pPr>
        <w:pStyle w:val="paragraph"/>
      </w:pPr>
      <w:r w:rsidRPr="009714E7">
        <w:tab/>
        <w:t>(b)</w:t>
      </w:r>
      <w:r w:rsidRPr="009714E7">
        <w:tab/>
        <w:t>a reference to a financial business is a reference to a business that:</w:t>
      </w:r>
    </w:p>
    <w:p w:rsidR="001863E2" w:rsidRPr="009714E7" w:rsidRDefault="001863E2" w:rsidP="009714E7">
      <w:pPr>
        <w:pStyle w:val="paragraphsub"/>
      </w:pPr>
      <w:r w:rsidRPr="009714E7">
        <w:tab/>
        <w:t>(i)</w:t>
      </w:r>
      <w:r w:rsidRPr="009714E7">
        <w:tab/>
        <w:t>consists of, or includes, the provision of financial services; or</w:t>
      </w:r>
    </w:p>
    <w:p w:rsidR="00115E40" w:rsidRPr="009714E7" w:rsidRDefault="001863E2" w:rsidP="009714E7">
      <w:pPr>
        <w:pStyle w:val="paragraphsub"/>
      </w:pPr>
      <w:r w:rsidRPr="009714E7">
        <w:tab/>
        <w:t>(ii)</w:t>
      </w:r>
      <w:r w:rsidRPr="009714E7">
        <w:tab/>
        <w:t>relates, in whole or in part, to the provision of financial services.</w:t>
      </w:r>
    </w:p>
    <w:p w:rsidR="00115E40" w:rsidRPr="009714E7" w:rsidRDefault="00115E40" w:rsidP="009714E7">
      <w:pPr>
        <w:pStyle w:val="ActHead6"/>
        <w:pageBreakBefore/>
      </w:pPr>
      <w:bookmarkStart w:id="26" w:name="_Toc508110073"/>
      <w:r w:rsidRPr="009714E7">
        <w:rPr>
          <w:rStyle w:val="CharAmSchNo"/>
        </w:rPr>
        <w:lastRenderedPageBreak/>
        <w:t>Schedule</w:t>
      </w:r>
      <w:r w:rsidR="009714E7" w:rsidRPr="009714E7">
        <w:rPr>
          <w:rStyle w:val="CharAmSchNo"/>
        </w:rPr>
        <w:t> </w:t>
      </w:r>
      <w:r w:rsidRPr="009714E7">
        <w:rPr>
          <w:rStyle w:val="CharAmSchNo"/>
        </w:rPr>
        <w:t>4</w:t>
      </w:r>
      <w:r w:rsidRPr="009714E7">
        <w:t>—</w:t>
      </w:r>
      <w:r w:rsidRPr="009714E7">
        <w:rPr>
          <w:rStyle w:val="CharAmSchText"/>
        </w:rPr>
        <w:t>Objects provisions</w:t>
      </w:r>
      <w:bookmarkEnd w:id="26"/>
    </w:p>
    <w:p w:rsidR="00115E40" w:rsidRPr="009714E7" w:rsidRDefault="00115E40" w:rsidP="009714E7">
      <w:pPr>
        <w:pStyle w:val="Header"/>
      </w:pPr>
      <w:r w:rsidRPr="009714E7">
        <w:rPr>
          <w:rStyle w:val="CharAmPartNo"/>
        </w:rPr>
        <w:t xml:space="preserve"> </w:t>
      </w:r>
      <w:r w:rsidRPr="009714E7">
        <w:rPr>
          <w:rStyle w:val="CharAmPartText"/>
        </w:rPr>
        <w:t xml:space="preserve"> </w:t>
      </w:r>
    </w:p>
    <w:p w:rsidR="001863E2" w:rsidRPr="009714E7" w:rsidRDefault="001863E2" w:rsidP="009714E7">
      <w:pPr>
        <w:pStyle w:val="ActHead9"/>
        <w:rPr>
          <w:i w:val="0"/>
        </w:rPr>
      </w:pPr>
      <w:bookmarkStart w:id="27" w:name="_Toc508110074"/>
      <w:r w:rsidRPr="009714E7">
        <w:t>Banking Act 1959</w:t>
      </w:r>
      <w:bookmarkEnd w:id="27"/>
    </w:p>
    <w:p w:rsidR="001863E2" w:rsidRPr="009714E7" w:rsidRDefault="001863E2" w:rsidP="009714E7">
      <w:pPr>
        <w:pStyle w:val="ItemHead"/>
      </w:pPr>
      <w:r w:rsidRPr="009714E7">
        <w:t>1  After section</w:t>
      </w:r>
      <w:r w:rsidR="009714E7" w:rsidRPr="009714E7">
        <w:t> </w:t>
      </w:r>
      <w:r w:rsidRPr="009714E7">
        <w:t>2</w:t>
      </w:r>
    </w:p>
    <w:p w:rsidR="001863E2" w:rsidRPr="009714E7" w:rsidRDefault="001863E2" w:rsidP="009714E7">
      <w:pPr>
        <w:pStyle w:val="Item"/>
      </w:pPr>
      <w:r w:rsidRPr="009714E7">
        <w:t>Insert:</w:t>
      </w:r>
    </w:p>
    <w:p w:rsidR="001863E2" w:rsidRPr="009714E7" w:rsidRDefault="001863E2" w:rsidP="009714E7">
      <w:pPr>
        <w:pStyle w:val="ActHead5"/>
      </w:pPr>
      <w:bookmarkStart w:id="28" w:name="_Toc508110075"/>
      <w:r w:rsidRPr="009714E7">
        <w:rPr>
          <w:rStyle w:val="CharSectno"/>
        </w:rPr>
        <w:t>2A</w:t>
      </w:r>
      <w:r w:rsidRPr="009714E7">
        <w:t xml:space="preserve">  Main objects of this Act</w:t>
      </w:r>
      <w:bookmarkEnd w:id="28"/>
    </w:p>
    <w:p w:rsidR="001863E2" w:rsidRPr="009714E7" w:rsidRDefault="001863E2" w:rsidP="009714E7">
      <w:pPr>
        <w:pStyle w:val="subsection"/>
      </w:pPr>
      <w:r w:rsidRPr="009714E7">
        <w:tab/>
        <w:t>(1)</w:t>
      </w:r>
      <w:r w:rsidRPr="009714E7">
        <w:tab/>
        <w:t>The main objects of this Act are:</w:t>
      </w:r>
    </w:p>
    <w:p w:rsidR="001863E2" w:rsidRPr="009714E7" w:rsidRDefault="001863E2" w:rsidP="009714E7">
      <w:pPr>
        <w:pStyle w:val="paragraph"/>
      </w:pPr>
      <w:r w:rsidRPr="009714E7">
        <w:tab/>
        <w:t>(a)</w:t>
      </w:r>
      <w:r w:rsidRPr="009714E7">
        <w:tab/>
        <w:t>to protect the interests of depositors in ADIs in ways that are consistent with the continued development of a viable, competitive and innovative banking industry; and</w:t>
      </w:r>
    </w:p>
    <w:p w:rsidR="001863E2" w:rsidRPr="009714E7" w:rsidRDefault="001863E2" w:rsidP="009714E7">
      <w:pPr>
        <w:pStyle w:val="paragraph"/>
      </w:pPr>
      <w:r w:rsidRPr="009714E7">
        <w:tab/>
        <w:t>(b)</w:t>
      </w:r>
      <w:r w:rsidRPr="009714E7">
        <w:tab/>
        <w:t>to promote financial system stability in Australia.</w:t>
      </w:r>
    </w:p>
    <w:p w:rsidR="001863E2" w:rsidRPr="009714E7" w:rsidRDefault="001863E2" w:rsidP="009714E7">
      <w:pPr>
        <w:pStyle w:val="subsection"/>
      </w:pPr>
      <w:r w:rsidRPr="009714E7">
        <w:tab/>
        <w:t>(2)</w:t>
      </w:r>
      <w:r w:rsidRPr="009714E7">
        <w:tab/>
        <w:t>This Act, and the prudential standards and non</w:t>
      </w:r>
      <w:r w:rsidR="00C83714">
        <w:noBreakHyphen/>
      </w:r>
      <w:r w:rsidRPr="009714E7">
        <w:t>ADI lender rules determined by APRA under this Act, achieve this mainly by:</w:t>
      </w:r>
    </w:p>
    <w:p w:rsidR="001863E2" w:rsidRPr="009714E7" w:rsidRDefault="001863E2" w:rsidP="009714E7">
      <w:pPr>
        <w:pStyle w:val="paragraph"/>
      </w:pPr>
      <w:r w:rsidRPr="009714E7">
        <w:tab/>
        <w:t>(a)</w:t>
      </w:r>
      <w:r w:rsidRPr="009714E7">
        <w:tab/>
        <w:t>restricting who can carry on banking business in Australia; and</w:t>
      </w:r>
    </w:p>
    <w:p w:rsidR="001863E2" w:rsidRPr="009714E7" w:rsidRDefault="001863E2" w:rsidP="009714E7">
      <w:pPr>
        <w:pStyle w:val="paragraph"/>
        <w:rPr>
          <w:i/>
        </w:rPr>
      </w:pPr>
      <w:r w:rsidRPr="009714E7">
        <w:tab/>
        <w:t>(b)</w:t>
      </w:r>
      <w:r w:rsidRPr="009714E7">
        <w:tab/>
        <w:t>providing for the prudential supervision of ADIs by APRA, by APRA determining prudential standards or taking other action to ensure prudent management of ADIs; and</w:t>
      </w:r>
    </w:p>
    <w:p w:rsidR="001863E2" w:rsidRPr="009714E7" w:rsidRDefault="001863E2" w:rsidP="009714E7">
      <w:pPr>
        <w:pStyle w:val="paragraph"/>
      </w:pPr>
      <w:r w:rsidRPr="009714E7">
        <w:tab/>
        <w:t>(c)</w:t>
      </w:r>
      <w:r w:rsidRPr="009714E7">
        <w:tab/>
        <w:t>providing for APRA to manage or respond to circumstances in which the ability of an ADI to meet its obligations may be threatened; and</w:t>
      </w:r>
    </w:p>
    <w:p w:rsidR="001863E2" w:rsidRPr="009714E7" w:rsidRDefault="001863E2" w:rsidP="009714E7">
      <w:pPr>
        <w:pStyle w:val="paragraph"/>
      </w:pPr>
      <w:r w:rsidRPr="009714E7">
        <w:tab/>
        <w:t>(d)</w:t>
      </w:r>
      <w:r w:rsidRPr="009714E7">
        <w:tab/>
        <w:t>providing for certain account</w:t>
      </w:r>
      <w:r w:rsidR="00C83714">
        <w:noBreakHyphen/>
      </w:r>
      <w:r w:rsidRPr="009714E7">
        <w:t>holders to be paid amounts where the financial claims scheme has been declared to apply in relation to an ADI; and</w:t>
      </w:r>
    </w:p>
    <w:p w:rsidR="001863E2" w:rsidRPr="009714E7" w:rsidRDefault="001863E2" w:rsidP="009714E7">
      <w:pPr>
        <w:pStyle w:val="paragraph"/>
      </w:pPr>
      <w:r w:rsidRPr="009714E7">
        <w:tab/>
        <w:t>(f)</w:t>
      </w:r>
      <w:r w:rsidRPr="009714E7">
        <w:tab/>
        <w:t xml:space="preserve">for the purposes of </w:t>
      </w:r>
      <w:r w:rsidR="009714E7" w:rsidRPr="009714E7">
        <w:t>paragraph (</w:t>
      </w:r>
      <w:r w:rsidRPr="009714E7">
        <w:t>1)(b)—providing rules in relation to the provision of certain kinds of finance by non</w:t>
      </w:r>
      <w:r w:rsidR="00C83714">
        <w:noBreakHyphen/>
      </w:r>
      <w:r w:rsidRPr="009714E7">
        <w:t>ADI lenders.</w:t>
      </w:r>
    </w:p>
    <w:p w:rsidR="001863E2" w:rsidRPr="009714E7" w:rsidRDefault="001863E2" w:rsidP="009714E7">
      <w:pPr>
        <w:pStyle w:val="subsection"/>
      </w:pPr>
      <w:r w:rsidRPr="009714E7">
        <w:tab/>
        <w:t>(3)</w:t>
      </w:r>
      <w:r w:rsidRPr="009714E7">
        <w:tab/>
        <w:t>It is intended that APRA, in taking actions to address risks to financial system stability in Australia, may consider specific sources of systemic risks, whether geographic, sectoral or otherwise.</w:t>
      </w:r>
    </w:p>
    <w:p w:rsidR="001863E2" w:rsidRPr="009714E7" w:rsidRDefault="001863E2" w:rsidP="009714E7">
      <w:pPr>
        <w:pStyle w:val="subsection"/>
      </w:pPr>
      <w:r w:rsidRPr="009714E7">
        <w:tab/>
        <w:t>(4)</w:t>
      </w:r>
      <w:r w:rsidRPr="009714E7">
        <w:tab/>
        <w:t>This section does not apply to the following:</w:t>
      </w:r>
    </w:p>
    <w:p w:rsidR="001863E2" w:rsidRPr="009714E7" w:rsidRDefault="001863E2" w:rsidP="009714E7">
      <w:pPr>
        <w:pStyle w:val="paragraph"/>
      </w:pPr>
      <w:r w:rsidRPr="009714E7">
        <w:lastRenderedPageBreak/>
        <w:tab/>
        <w:t>(a)</w:t>
      </w:r>
      <w:r w:rsidRPr="009714E7">
        <w:tab/>
        <w:t>Divisions</w:t>
      </w:r>
      <w:r w:rsidR="009714E7" w:rsidRPr="009714E7">
        <w:t> </w:t>
      </w:r>
      <w:r w:rsidRPr="009714E7">
        <w:t>4 (Mobilization of foreign currency) and 5 (Advances) of Part</w:t>
      </w:r>
      <w:r w:rsidR="009714E7" w:rsidRPr="009714E7">
        <w:t> </w:t>
      </w:r>
      <w:r w:rsidRPr="009714E7">
        <w:t>II;</w:t>
      </w:r>
    </w:p>
    <w:p w:rsidR="001863E2" w:rsidRPr="009714E7" w:rsidRDefault="001863E2" w:rsidP="009714E7">
      <w:pPr>
        <w:pStyle w:val="paragraph"/>
      </w:pPr>
      <w:r w:rsidRPr="009714E7">
        <w:tab/>
        <w:t>(b)</w:t>
      </w:r>
      <w:r w:rsidRPr="009714E7">
        <w:tab/>
        <w:t>Parts III (Foreign exchange, foreign investment etc.), IV (Gold) and V (Interest rates);</w:t>
      </w:r>
    </w:p>
    <w:p w:rsidR="001863E2" w:rsidRPr="009714E7" w:rsidRDefault="001863E2" w:rsidP="009714E7">
      <w:pPr>
        <w:pStyle w:val="paragraph"/>
      </w:pPr>
      <w:r w:rsidRPr="009714E7">
        <w:tab/>
        <w:t>(c)</w:t>
      </w:r>
      <w:r w:rsidRPr="009714E7">
        <w:tab/>
        <w:t xml:space="preserve">any other provision of this Act, to the extent that it relates to any of the provisions mentioned in </w:t>
      </w:r>
      <w:r w:rsidR="009714E7" w:rsidRPr="009714E7">
        <w:t>paragraph (</w:t>
      </w:r>
      <w:r w:rsidRPr="009714E7">
        <w:t>a) or (b).</w:t>
      </w:r>
    </w:p>
    <w:p w:rsidR="001863E2" w:rsidRPr="009714E7" w:rsidRDefault="001863E2" w:rsidP="009714E7">
      <w:pPr>
        <w:pStyle w:val="ActHead9"/>
        <w:rPr>
          <w:i w:val="0"/>
        </w:rPr>
      </w:pPr>
      <w:bookmarkStart w:id="29" w:name="_Toc508110076"/>
      <w:r w:rsidRPr="009714E7">
        <w:t>Insurance Act 1973</w:t>
      </w:r>
      <w:bookmarkEnd w:id="29"/>
    </w:p>
    <w:p w:rsidR="001863E2" w:rsidRPr="009714E7" w:rsidRDefault="001863E2" w:rsidP="009714E7">
      <w:pPr>
        <w:pStyle w:val="ItemHead"/>
      </w:pPr>
      <w:r w:rsidRPr="009714E7">
        <w:t>2  Section</w:t>
      </w:r>
      <w:r w:rsidR="009714E7" w:rsidRPr="009714E7">
        <w:t> </w:t>
      </w:r>
      <w:r w:rsidRPr="009714E7">
        <w:t>2A (heading)</w:t>
      </w:r>
    </w:p>
    <w:p w:rsidR="001863E2" w:rsidRPr="009714E7" w:rsidRDefault="001863E2" w:rsidP="009714E7">
      <w:pPr>
        <w:pStyle w:val="Item"/>
      </w:pPr>
      <w:r w:rsidRPr="009714E7">
        <w:t>Repeal the heading, substitute:</w:t>
      </w:r>
    </w:p>
    <w:p w:rsidR="001863E2" w:rsidRPr="009714E7" w:rsidRDefault="001863E2" w:rsidP="009714E7">
      <w:pPr>
        <w:pStyle w:val="ActHead5"/>
      </w:pPr>
      <w:bookmarkStart w:id="30" w:name="_Toc508110077"/>
      <w:r w:rsidRPr="009714E7">
        <w:rPr>
          <w:rStyle w:val="CharSectno"/>
        </w:rPr>
        <w:t>2A</w:t>
      </w:r>
      <w:r w:rsidRPr="009714E7">
        <w:t xml:space="preserve">  Main objects of this Act</w:t>
      </w:r>
      <w:bookmarkEnd w:id="30"/>
    </w:p>
    <w:p w:rsidR="001863E2" w:rsidRPr="009714E7" w:rsidRDefault="001863E2" w:rsidP="009714E7">
      <w:pPr>
        <w:pStyle w:val="ItemHead"/>
      </w:pPr>
      <w:r w:rsidRPr="009714E7">
        <w:t>3  Subsection</w:t>
      </w:r>
      <w:r w:rsidR="009714E7" w:rsidRPr="009714E7">
        <w:t> </w:t>
      </w:r>
      <w:r w:rsidRPr="009714E7">
        <w:t>2A(1)</w:t>
      </w:r>
    </w:p>
    <w:p w:rsidR="001863E2" w:rsidRPr="009714E7" w:rsidRDefault="001863E2" w:rsidP="009714E7">
      <w:pPr>
        <w:pStyle w:val="Item"/>
      </w:pPr>
      <w:r w:rsidRPr="009714E7">
        <w:t>Repeal the subsection, substitute:</w:t>
      </w:r>
    </w:p>
    <w:p w:rsidR="001863E2" w:rsidRPr="009714E7" w:rsidRDefault="001863E2" w:rsidP="009714E7">
      <w:pPr>
        <w:pStyle w:val="subsection"/>
      </w:pPr>
      <w:r w:rsidRPr="009714E7">
        <w:tab/>
        <w:t>(1)</w:t>
      </w:r>
      <w:r w:rsidRPr="009714E7">
        <w:tab/>
        <w:t>The main objects of this Act are:</w:t>
      </w:r>
    </w:p>
    <w:p w:rsidR="001863E2" w:rsidRPr="009714E7" w:rsidRDefault="001863E2" w:rsidP="009714E7">
      <w:pPr>
        <w:pStyle w:val="paragraph"/>
      </w:pPr>
      <w:r w:rsidRPr="009714E7">
        <w:tab/>
        <w:t>(a)</w:t>
      </w:r>
      <w:r w:rsidRPr="009714E7">
        <w:tab/>
        <w:t>to protect the interests of policyholders and prospective policyholders under insurance policies (issued by general insurers and Lloyd’s underwriters) in ways that are consistent with the continued development of a viable, competitive and innovative insurance industry; and</w:t>
      </w:r>
    </w:p>
    <w:p w:rsidR="001863E2" w:rsidRPr="009714E7" w:rsidRDefault="001863E2" w:rsidP="009714E7">
      <w:pPr>
        <w:pStyle w:val="paragraph"/>
      </w:pPr>
      <w:r w:rsidRPr="009714E7">
        <w:tab/>
        <w:t>(b)</w:t>
      </w:r>
      <w:r w:rsidRPr="009714E7">
        <w:tab/>
        <w:t>to promote financial system stability in Australia.</w:t>
      </w:r>
    </w:p>
    <w:p w:rsidR="001863E2" w:rsidRPr="009714E7" w:rsidRDefault="001863E2" w:rsidP="009714E7">
      <w:pPr>
        <w:pStyle w:val="ItemHead"/>
      </w:pPr>
      <w:r w:rsidRPr="009714E7">
        <w:t>4  Paragraphs 2A(2)(e) and (f)</w:t>
      </w:r>
    </w:p>
    <w:p w:rsidR="001863E2" w:rsidRPr="009714E7" w:rsidRDefault="001863E2" w:rsidP="009714E7">
      <w:pPr>
        <w:pStyle w:val="Item"/>
      </w:pPr>
      <w:r w:rsidRPr="009714E7">
        <w:t>Repeal the paragraphs, substitute:</w:t>
      </w:r>
    </w:p>
    <w:p w:rsidR="001863E2" w:rsidRPr="009714E7" w:rsidRDefault="001863E2" w:rsidP="009714E7">
      <w:pPr>
        <w:pStyle w:val="paragraph"/>
      </w:pPr>
      <w:r w:rsidRPr="009714E7">
        <w:tab/>
        <w:t>(e)</w:t>
      </w:r>
      <w:r w:rsidRPr="009714E7">
        <w:tab/>
        <w:t>providing for APRA to manage or respond to circumstances in which the ability of a general insurer to meet its obligations may be threatened; and</w:t>
      </w:r>
    </w:p>
    <w:p w:rsidR="001863E2" w:rsidRPr="009714E7" w:rsidRDefault="001863E2" w:rsidP="009714E7">
      <w:pPr>
        <w:pStyle w:val="paragraph"/>
      </w:pPr>
      <w:r w:rsidRPr="009714E7">
        <w:tab/>
        <w:t>(f)</w:t>
      </w:r>
      <w:r w:rsidRPr="009714E7">
        <w:tab/>
        <w:t>providing for certain policyholders to be paid amounts where the financial claims scheme has been declared to apply in relation to a general insurer.</w:t>
      </w:r>
    </w:p>
    <w:p w:rsidR="001863E2" w:rsidRPr="009714E7" w:rsidRDefault="001863E2" w:rsidP="009714E7">
      <w:pPr>
        <w:pStyle w:val="ActHead9"/>
        <w:rPr>
          <w:i w:val="0"/>
        </w:rPr>
      </w:pPr>
      <w:bookmarkStart w:id="31" w:name="_Toc508110078"/>
      <w:r w:rsidRPr="009714E7">
        <w:t>Life Insurance Act 1995</w:t>
      </w:r>
      <w:bookmarkEnd w:id="31"/>
    </w:p>
    <w:p w:rsidR="001863E2" w:rsidRPr="009714E7" w:rsidRDefault="001863E2" w:rsidP="009714E7">
      <w:pPr>
        <w:pStyle w:val="ItemHead"/>
      </w:pPr>
      <w:r w:rsidRPr="009714E7">
        <w:t>5  Subsection</w:t>
      </w:r>
      <w:r w:rsidR="009714E7" w:rsidRPr="009714E7">
        <w:t> </w:t>
      </w:r>
      <w:r w:rsidRPr="009714E7">
        <w:t>3(1)</w:t>
      </w:r>
    </w:p>
    <w:p w:rsidR="001863E2" w:rsidRPr="009714E7" w:rsidRDefault="001863E2" w:rsidP="009714E7">
      <w:pPr>
        <w:pStyle w:val="Item"/>
      </w:pPr>
      <w:r w:rsidRPr="009714E7">
        <w:t>Repeal the subsection, substitute:</w:t>
      </w:r>
    </w:p>
    <w:p w:rsidR="001863E2" w:rsidRPr="009714E7" w:rsidRDefault="001863E2" w:rsidP="009714E7">
      <w:pPr>
        <w:pStyle w:val="subsection"/>
      </w:pPr>
      <w:r w:rsidRPr="009714E7">
        <w:lastRenderedPageBreak/>
        <w:tab/>
        <w:t>(1)</w:t>
      </w:r>
      <w:r w:rsidRPr="009714E7">
        <w:tab/>
        <w:t>The main objects of this Act are:</w:t>
      </w:r>
    </w:p>
    <w:p w:rsidR="001863E2" w:rsidRPr="009714E7" w:rsidRDefault="001863E2" w:rsidP="009714E7">
      <w:pPr>
        <w:pStyle w:val="paragraph"/>
      </w:pPr>
      <w:r w:rsidRPr="009714E7">
        <w:tab/>
        <w:t>(a)</w:t>
      </w:r>
      <w:r w:rsidRPr="009714E7">
        <w:tab/>
        <w:t>to protect the interests of the owners and prospective owners of life insurance policies in a manner consistent with the continued development of a viable, competitive and innovative life insurance industry; and</w:t>
      </w:r>
    </w:p>
    <w:p w:rsidR="001863E2" w:rsidRPr="009714E7" w:rsidRDefault="001863E2" w:rsidP="009714E7">
      <w:pPr>
        <w:pStyle w:val="paragraph"/>
      </w:pPr>
      <w:r w:rsidRPr="009714E7">
        <w:tab/>
        <w:t>(b)</w:t>
      </w:r>
      <w:r w:rsidRPr="009714E7">
        <w:tab/>
        <w:t>to promote financial system stability in Australia.</w:t>
      </w:r>
    </w:p>
    <w:p w:rsidR="001863E2" w:rsidRPr="009714E7" w:rsidRDefault="001863E2" w:rsidP="009714E7">
      <w:pPr>
        <w:pStyle w:val="ItemHead"/>
      </w:pPr>
      <w:r w:rsidRPr="009714E7">
        <w:t>6  Paragraph 3(2)(d)</w:t>
      </w:r>
    </w:p>
    <w:p w:rsidR="001863E2" w:rsidRPr="009714E7" w:rsidRDefault="001863E2" w:rsidP="009714E7">
      <w:pPr>
        <w:pStyle w:val="Item"/>
      </w:pPr>
      <w:r w:rsidRPr="009714E7">
        <w:t>Repeal the paragraph, substitute:</w:t>
      </w:r>
    </w:p>
    <w:p w:rsidR="00115E40" w:rsidRPr="009714E7" w:rsidRDefault="001863E2" w:rsidP="009714E7">
      <w:pPr>
        <w:pStyle w:val="paragraph"/>
      </w:pPr>
      <w:r w:rsidRPr="009714E7">
        <w:tab/>
        <w:t>(d)</w:t>
      </w:r>
      <w:r w:rsidRPr="009714E7">
        <w:tab/>
        <w:t>providing for APRA to manage or respond to circumstances in which the ability of a life company to meet its obligations may be threatened;</w:t>
      </w:r>
    </w:p>
    <w:p w:rsidR="00115E40" w:rsidRPr="009714E7" w:rsidRDefault="00115E40" w:rsidP="009714E7">
      <w:pPr>
        <w:pStyle w:val="ActHead6"/>
        <w:pageBreakBefore/>
      </w:pPr>
      <w:bookmarkStart w:id="32" w:name="_Toc508110079"/>
      <w:bookmarkStart w:id="33" w:name="opcCurrentFind"/>
      <w:r w:rsidRPr="009714E7">
        <w:rPr>
          <w:rStyle w:val="CharAmSchNo"/>
        </w:rPr>
        <w:lastRenderedPageBreak/>
        <w:t>Schedule</w:t>
      </w:r>
      <w:r w:rsidR="009714E7" w:rsidRPr="009714E7">
        <w:rPr>
          <w:rStyle w:val="CharAmSchNo"/>
        </w:rPr>
        <w:t> </w:t>
      </w:r>
      <w:r w:rsidRPr="009714E7">
        <w:rPr>
          <w:rStyle w:val="CharAmSchNo"/>
        </w:rPr>
        <w:t>5</w:t>
      </w:r>
      <w:r w:rsidRPr="009714E7">
        <w:t>—</w:t>
      </w:r>
      <w:r w:rsidRPr="009714E7">
        <w:rPr>
          <w:rStyle w:val="CharAmSchText"/>
        </w:rPr>
        <w:t>Credit card reforms</w:t>
      </w:r>
      <w:bookmarkEnd w:id="32"/>
    </w:p>
    <w:p w:rsidR="001863E2" w:rsidRPr="009714E7" w:rsidRDefault="001863E2" w:rsidP="009714E7">
      <w:pPr>
        <w:pStyle w:val="ActHead7"/>
      </w:pPr>
      <w:bookmarkStart w:id="34" w:name="_Toc508110080"/>
      <w:bookmarkEnd w:id="33"/>
      <w:r w:rsidRPr="009714E7">
        <w:rPr>
          <w:rStyle w:val="CharAmPartNo"/>
        </w:rPr>
        <w:t>Part</w:t>
      </w:r>
      <w:r w:rsidR="009714E7" w:rsidRPr="009714E7">
        <w:rPr>
          <w:rStyle w:val="CharAmPartNo"/>
        </w:rPr>
        <w:t> </w:t>
      </w:r>
      <w:r w:rsidRPr="009714E7">
        <w:rPr>
          <w:rStyle w:val="CharAmPartNo"/>
        </w:rPr>
        <w:t>1</w:t>
      </w:r>
      <w:r w:rsidRPr="009714E7">
        <w:t>—</w:t>
      </w:r>
      <w:r w:rsidRPr="009714E7">
        <w:rPr>
          <w:rStyle w:val="CharAmPartText"/>
        </w:rPr>
        <w:t>When a credit card contract, or a credit limit increase, is unsuitable</w:t>
      </w:r>
      <w:bookmarkEnd w:id="34"/>
    </w:p>
    <w:p w:rsidR="001863E2" w:rsidRPr="009714E7" w:rsidRDefault="001863E2" w:rsidP="009714E7">
      <w:pPr>
        <w:pStyle w:val="ActHead9"/>
        <w:rPr>
          <w:i w:val="0"/>
        </w:rPr>
      </w:pPr>
      <w:bookmarkStart w:id="35" w:name="_Toc508110081"/>
      <w:r w:rsidRPr="009714E7">
        <w:t>National Consumer Credit Protection Act 2009</w:t>
      </w:r>
      <w:bookmarkEnd w:id="35"/>
    </w:p>
    <w:p w:rsidR="001863E2" w:rsidRPr="009714E7" w:rsidRDefault="001863E2" w:rsidP="009714E7">
      <w:pPr>
        <w:pStyle w:val="ItemHead"/>
      </w:pPr>
      <w:r w:rsidRPr="009714E7">
        <w:t>1  After subsection</w:t>
      </w:r>
      <w:r w:rsidR="009714E7" w:rsidRPr="009714E7">
        <w:t> </w:t>
      </w:r>
      <w:r w:rsidRPr="009714E7">
        <w:t>118(3)</w:t>
      </w:r>
    </w:p>
    <w:p w:rsidR="001863E2" w:rsidRPr="009714E7" w:rsidRDefault="001863E2" w:rsidP="009714E7">
      <w:pPr>
        <w:pStyle w:val="Item"/>
      </w:pPr>
      <w:r w:rsidRPr="009714E7">
        <w:t>Insert:</w:t>
      </w:r>
    </w:p>
    <w:p w:rsidR="001863E2" w:rsidRPr="009714E7" w:rsidRDefault="001863E2" w:rsidP="009714E7">
      <w:pPr>
        <w:pStyle w:val="subsection"/>
      </w:pPr>
      <w:r w:rsidRPr="009714E7">
        <w:tab/>
        <w:t>(3AA)</w:t>
      </w:r>
      <w:r w:rsidRPr="009714E7">
        <w:tab/>
        <w:t xml:space="preserve">For the purposes of </w:t>
      </w:r>
      <w:r w:rsidR="009714E7" w:rsidRPr="009714E7">
        <w:t>paragraph (</w:t>
      </w:r>
      <w:r w:rsidRPr="009714E7">
        <w:t>2)(a), a consumer is taken to be able to comply with the consumer’s financial obligations under a contract only with substantial hardship if:</w:t>
      </w:r>
    </w:p>
    <w:p w:rsidR="001863E2" w:rsidRPr="009714E7" w:rsidRDefault="001863E2" w:rsidP="009714E7">
      <w:pPr>
        <w:pStyle w:val="paragraph"/>
      </w:pPr>
      <w:r w:rsidRPr="009714E7">
        <w:tab/>
        <w:t>(a)</w:t>
      </w:r>
      <w:r w:rsidRPr="009714E7">
        <w:tab/>
        <w:t>the contract is a credit card contract; and</w:t>
      </w:r>
    </w:p>
    <w:p w:rsidR="001863E2" w:rsidRPr="009714E7" w:rsidRDefault="001863E2" w:rsidP="009714E7">
      <w:pPr>
        <w:pStyle w:val="paragraph"/>
      </w:pPr>
      <w:r w:rsidRPr="009714E7">
        <w:tab/>
        <w:t>(b)</w:t>
      </w:r>
      <w:r w:rsidRPr="009714E7">
        <w:tab/>
        <w:t>the consumer could not comply with an obligation to repay an amount equal to the credit limit of the contract within the period determined by ASIC under section</w:t>
      </w:r>
      <w:r w:rsidR="009714E7" w:rsidRPr="009714E7">
        <w:t> </w:t>
      </w:r>
      <w:r w:rsidRPr="009714E7">
        <w:t>160F.</w:t>
      </w:r>
    </w:p>
    <w:p w:rsidR="001863E2" w:rsidRPr="009714E7" w:rsidRDefault="001863E2" w:rsidP="009714E7">
      <w:pPr>
        <w:pStyle w:val="ItemHead"/>
      </w:pPr>
      <w:r w:rsidRPr="009714E7">
        <w:t>2  After subsection</w:t>
      </w:r>
      <w:r w:rsidR="009714E7" w:rsidRPr="009714E7">
        <w:t> </w:t>
      </w:r>
      <w:r w:rsidRPr="009714E7">
        <w:t>119(3)</w:t>
      </w:r>
    </w:p>
    <w:p w:rsidR="001863E2" w:rsidRPr="009714E7" w:rsidRDefault="001863E2" w:rsidP="009714E7">
      <w:pPr>
        <w:pStyle w:val="Item"/>
      </w:pPr>
      <w:r w:rsidRPr="009714E7">
        <w:t>Insert:</w:t>
      </w:r>
    </w:p>
    <w:p w:rsidR="001863E2" w:rsidRPr="009714E7" w:rsidRDefault="001863E2" w:rsidP="009714E7">
      <w:pPr>
        <w:pStyle w:val="subsection"/>
      </w:pPr>
      <w:r w:rsidRPr="009714E7">
        <w:tab/>
        <w:t>(3A)</w:t>
      </w:r>
      <w:r w:rsidRPr="009714E7">
        <w:tab/>
        <w:t xml:space="preserve">For the purposes of </w:t>
      </w:r>
      <w:r w:rsidR="009714E7" w:rsidRPr="009714E7">
        <w:t>paragraph (</w:t>
      </w:r>
      <w:r w:rsidRPr="009714E7">
        <w:t>2)(a), a consumer is taken to be able to comply with the consumer’s financial obligations under a contract only with substantial hardship if:</w:t>
      </w:r>
    </w:p>
    <w:p w:rsidR="001863E2" w:rsidRPr="009714E7" w:rsidRDefault="001863E2" w:rsidP="009714E7">
      <w:pPr>
        <w:pStyle w:val="paragraph"/>
      </w:pPr>
      <w:r w:rsidRPr="009714E7">
        <w:tab/>
        <w:t>(a)</w:t>
      </w:r>
      <w:r w:rsidRPr="009714E7">
        <w:tab/>
        <w:t>the contract is a credit card contract; and</w:t>
      </w:r>
    </w:p>
    <w:p w:rsidR="001863E2" w:rsidRPr="009714E7" w:rsidRDefault="001863E2" w:rsidP="009714E7">
      <w:pPr>
        <w:pStyle w:val="paragraph"/>
      </w:pPr>
      <w:r w:rsidRPr="009714E7">
        <w:tab/>
        <w:t>(b)</w:t>
      </w:r>
      <w:r w:rsidRPr="009714E7">
        <w:tab/>
        <w:t>the consumer could not comply with an obligation to repay an amount equal to the credit limit of the contract within the period determined by ASIC under section</w:t>
      </w:r>
      <w:r w:rsidR="009714E7" w:rsidRPr="009714E7">
        <w:t> </w:t>
      </w:r>
      <w:r w:rsidRPr="009714E7">
        <w:t>160F.</w:t>
      </w:r>
    </w:p>
    <w:p w:rsidR="001863E2" w:rsidRPr="009714E7" w:rsidRDefault="001863E2" w:rsidP="009714E7">
      <w:pPr>
        <w:pStyle w:val="ItemHead"/>
      </w:pPr>
      <w:r w:rsidRPr="009714E7">
        <w:t>3  After subsection</w:t>
      </w:r>
      <w:r w:rsidR="009714E7" w:rsidRPr="009714E7">
        <w:t> </w:t>
      </w:r>
      <w:r w:rsidRPr="009714E7">
        <w:t>123(3)</w:t>
      </w:r>
    </w:p>
    <w:p w:rsidR="001863E2" w:rsidRPr="009714E7" w:rsidRDefault="001863E2" w:rsidP="009714E7">
      <w:pPr>
        <w:pStyle w:val="Item"/>
      </w:pPr>
      <w:r w:rsidRPr="009714E7">
        <w:t>Insert:</w:t>
      </w:r>
    </w:p>
    <w:p w:rsidR="001863E2" w:rsidRPr="009714E7" w:rsidRDefault="001863E2" w:rsidP="009714E7">
      <w:pPr>
        <w:pStyle w:val="subsection"/>
      </w:pPr>
      <w:r w:rsidRPr="009714E7">
        <w:tab/>
        <w:t>(3AA)</w:t>
      </w:r>
      <w:r w:rsidRPr="009714E7">
        <w:tab/>
        <w:t xml:space="preserve">For the purposes of </w:t>
      </w:r>
      <w:r w:rsidR="009714E7" w:rsidRPr="009714E7">
        <w:t>paragraph (</w:t>
      </w:r>
      <w:r w:rsidRPr="009714E7">
        <w:t>2)(a), a consumer is taken to be able to comply with the consumer’s financial obligations under a contract only with substantial hardship if:</w:t>
      </w:r>
    </w:p>
    <w:p w:rsidR="001863E2" w:rsidRPr="009714E7" w:rsidRDefault="001863E2" w:rsidP="009714E7">
      <w:pPr>
        <w:pStyle w:val="paragraph"/>
      </w:pPr>
      <w:r w:rsidRPr="009714E7">
        <w:tab/>
        <w:t>(a)</w:t>
      </w:r>
      <w:r w:rsidRPr="009714E7">
        <w:tab/>
        <w:t>the contract is a credit card contract; and</w:t>
      </w:r>
    </w:p>
    <w:p w:rsidR="001863E2" w:rsidRPr="009714E7" w:rsidRDefault="001863E2" w:rsidP="009714E7">
      <w:pPr>
        <w:pStyle w:val="paragraph"/>
      </w:pPr>
      <w:r w:rsidRPr="009714E7">
        <w:tab/>
        <w:t>(b)</w:t>
      </w:r>
      <w:r w:rsidRPr="009714E7">
        <w:tab/>
        <w:t>the consumer could not comply with an obligation to repay an amount equal to the credit limit of the contract within the period determined by ASIC under section</w:t>
      </w:r>
      <w:r w:rsidR="009714E7" w:rsidRPr="009714E7">
        <w:t> </w:t>
      </w:r>
      <w:r w:rsidRPr="009714E7">
        <w:t>160F.</w:t>
      </w:r>
    </w:p>
    <w:p w:rsidR="001863E2" w:rsidRPr="009714E7" w:rsidRDefault="001863E2" w:rsidP="009714E7">
      <w:pPr>
        <w:pStyle w:val="ItemHead"/>
      </w:pPr>
      <w:r w:rsidRPr="009714E7">
        <w:lastRenderedPageBreak/>
        <w:t>4  After subsection</w:t>
      </w:r>
      <w:r w:rsidR="009714E7" w:rsidRPr="009714E7">
        <w:t> </w:t>
      </w:r>
      <w:r w:rsidRPr="009714E7">
        <w:t>124(3)</w:t>
      </w:r>
    </w:p>
    <w:p w:rsidR="001863E2" w:rsidRPr="009714E7" w:rsidRDefault="001863E2" w:rsidP="009714E7">
      <w:pPr>
        <w:pStyle w:val="Item"/>
      </w:pPr>
      <w:r w:rsidRPr="009714E7">
        <w:t>Insert:</w:t>
      </w:r>
    </w:p>
    <w:p w:rsidR="001863E2" w:rsidRPr="009714E7" w:rsidRDefault="001863E2" w:rsidP="009714E7">
      <w:pPr>
        <w:pStyle w:val="subsection"/>
      </w:pPr>
      <w:r w:rsidRPr="009714E7">
        <w:tab/>
        <w:t>(3A)</w:t>
      </w:r>
      <w:r w:rsidRPr="009714E7">
        <w:tab/>
        <w:t xml:space="preserve">For the purposes of </w:t>
      </w:r>
      <w:r w:rsidR="009714E7" w:rsidRPr="009714E7">
        <w:t>paragraph (</w:t>
      </w:r>
      <w:r w:rsidRPr="009714E7">
        <w:t>2)(a), a consumer is taken to be able to comply with the consumer’s financial obligations under a contract only with substantial hardship if:</w:t>
      </w:r>
    </w:p>
    <w:p w:rsidR="001863E2" w:rsidRPr="009714E7" w:rsidRDefault="001863E2" w:rsidP="009714E7">
      <w:pPr>
        <w:pStyle w:val="paragraph"/>
      </w:pPr>
      <w:r w:rsidRPr="009714E7">
        <w:tab/>
        <w:t>(a)</w:t>
      </w:r>
      <w:r w:rsidRPr="009714E7">
        <w:tab/>
        <w:t>the contract is a credit card contract; and</w:t>
      </w:r>
    </w:p>
    <w:p w:rsidR="001863E2" w:rsidRPr="009714E7" w:rsidRDefault="001863E2" w:rsidP="009714E7">
      <w:pPr>
        <w:pStyle w:val="paragraph"/>
      </w:pPr>
      <w:r w:rsidRPr="009714E7">
        <w:tab/>
        <w:t>(b)</w:t>
      </w:r>
      <w:r w:rsidRPr="009714E7">
        <w:tab/>
        <w:t>the consumer could not comply with an obligation to repay an amount equal to the credit limit of the contract within the period determined by ASIC under section</w:t>
      </w:r>
      <w:r w:rsidR="009714E7" w:rsidRPr="009714E7">
        <w:t> </w:t>
      </w:r>
      <w:r w:rsidRPr="009714E7">
        <w:t>160F.</w:t>
      </w:r>
    </w:p>
    <w:p w:rsidR="001863E2" w:rsidRPr="009714E7" w:rsidRDefault="001863E2" w:rsidP="009714E7">
      <w:pPr>
        <w:pStyle w:val="ItemHead"/>
      </w:pPr>
      <w:r w:rsidRPr="009714E7">
        <w:t>5  After subsection</w:t>
      </w:r>
      <w:r w:rsidR="009714E7" w:rsidRPr="009714E7">
        <w:t> </w:t>
      </w:r>
      <w:r w:rsidRPr="009714E7">
        <w:t>131(3)</w:t>
      </w:r>
    </w:p>
    <w:p w:rsidR="001863E2" w:rsidRPr="009714E7" w:rsidRDefault="001863E2" w:rsidP="009714E7">
      <w:pPr>
        <w:pStyle w:val="Item"/>
      </w:pPr>
      <w:r w:rsidRPr="009714E7">
        <w:t>Insert:</w:t>
      </w:r>
    </w:p>
    <w:p w:rsidR="001863E2" w:rsidRPr="009714E7" w:rsidRDefault="001863E2" w:rsidP="009714E7">
      <w:pPr>
        <w:pStyle w:val="subsection"/>
      </w:pPr>
      <w:r w:rsidRPr="009714E7">
        <w:tab/>
        <w:t>(3AA)</w:t>
      </w:r>
      <w:r w:rsidRPr="009714E7">
        <w:tab/>
        <w:t xml:space="preserve">For the purposes of </w:t>
      </w:r>
      <w:r w:rsidR="009714E7" w:rsidRPr="009714E7">
        <w:t>paragraph (</w:t>
      </w:r>
      <w:r w:rsidRPr="009714E7">
        <w:t>2)(a), a consumer is taken to be able to comply with the consumer’s financial obligations under a contract only with substantial hardship if:</w:t>
      </w:r>
    </w:p>
    <w:p w:rsidR="001863E2" w:rsidRPr="009714E7" w:rsidRDefault="001863E2" w:rsidP="009714E7">
      <w:pPr>
        <w:pStyle w:val="paragraph"/>
      </w:pPr>
      <w:r w:rsidRPr="009714E7">
        <w:tab/>
        <w:t>(a)</w:t>
      </w:r>
      <w:r w:rsidRPr="009714E7">
        <w:tab/>
        <w:t>the contract is a credit card contract; and</w:t>
      </w:r>
    </w:p>
    <w:p w:rsidR="001863E2" w:rsidRPr="009714E7" w:rsidRDefault="001863E2" w:rsidP="009714E7">
      <w:pPr>
        <w:pStyle w:val="paragraph"/>
      </w:pPr>
      <w:r w:rsidRPr="009714E7">
        <w:tab/>
        <w:t>(b)</w:t>
      </w:r>
      <w:r w:rsidRPr="009714E7">
        <w:tab/>
        <w:t>the consumer could not comply with an obligation to repay an amount equal to the credit limit of the contract within the period determined by ASIC under section</w:t>
      </w:r>
      <w:r w:rsidR="009714E7" w:rsidRPr="009714E7">
        <w:t> </w:t>
      </w:r>
      <w:r w:rsidRPr="009714E7">
        <w:t>160F.</w:t>
      </w:r>
    </w:p>
    <w:p w:rsidR="001863E2" w:rsidRPr="009714E7" w:rsidRDefault="001863E2" w:rsidP="009714E7">
      <w:pPr>
        <w:pStyle w:val="ItemHead"/>
      </w:pPr>
      <w:r w:rsidRPr="009714E7">
        <w:t>6  After subsection</w:t>
      </w:r>
      <w:r w:rsidR="009714E7" w:rsidRPr="009714E7">
        <w:t> </w:t>
      </w:r>
      <w:r w:rsidRPr="009714E7">
        <w:t>133(3)</w:t>
      </w:r>
    </w:p>
    <w:p w:rsidR="001863E2" w:rsidRPr="009714E7" w:rsidRDefault="001863E2" w:rsidP="009714E7">
      <w:pPr>
        <w:pStyle w:val="Item"/>
      </w:pPr>
      <w:r w:rsidRPr="009714E7">
        <w:t>Insert:</w:t>
      </w:r>
    </w:p>
    <w:p w:rsidR="001863E2" w:rsidRPr="009714E7" w:rsidRDefault="001863E2" w:rsidP="009714E7">
      <w:pPr>
        <w:pStyle w:val="subsection"/>
      </w:pPr>
      <w:r w:rsidRPr="009714E7">
        <w:tab/>
        <w:t>(3AA)</w:t>
      </w:r>
      <w:r w:rsidRPr="009714E7">
        <w:tab/>
        <w:t xml:space="preserve">For the purposes of </w:t>
      </w:r>
      <w:r w:rsidR="009714E7" w:rsidRPr="009714E7">
        <w:t>paragraph (</w:t>
      </w:r>
      <w:r w:rsidRPr="009714E7">
        <w:t>2)(a), a consumer is taken to be able to comply with the consumer’s financial obligations under a contract only with substantial hardship if:</w:t>
      </w:r>
    </w:p>
    <w:p w:rsidR="001863E2" w:rsidRPr="009714E7" w:rsidRDefault="001863E2" w:rsidP="009714E7">
      <w:pPr>
        <w:pStyle w:val="paragraph"/>
      </w:pPr>
      <w:r w:rsidRPr="009714E7">
        <w:tab/>
        <w:t>(a)</w:t>
      </w:r>
      <w:r w:rsidRPr="009714E7">
        <w:tab/>
        <w:t>the contract is a credit card contract; and</w:t>
      </w:r>
    </w:p>
    <w:p w:rsidR="001863E2" w:rsidRPr="009714E7" w:rsidRDefault="001863E2" w:rsidP="009714E7">
      <w:pPr>
        <w:pStyle w:val="paragraph"/>
      </w:pPr>
      <w:r w:rsidRPr="009714E7">
        <w:tab/>
        <w:t>(b)</w:t>
      </w:r>
      <w:r w:rsidRPr="009714E7">
        <w:tab/>
        <w:t>the consumer could not comply with an obligation to repay an amount equal to the credit limit of the contract within the period determined by ASIC under section</w:t>
      </w:r>
      <w:r w:rsidR="009714E7" w:rsidRPr="009714E7">
        <w:t> </w:t>
      </w:r>
      <w:r w:rsidRPr="009714E7">
        <w:t>160F.</w:t>
      </w:r>
    </w:p>
    <w:p w:rsidR="001863E2" w:rsidRPr="009714E7" w:rsidRDefault="001863E2" w:rsidP="009714E7">
      <w:pPr>
        <w:pStyle w:val="ItemHead"/>
      </w:pPr>
      <w:r w:rsidRPr="009714E7">
        <w:t>7  At the end of section</w:t>
      </w:r>
      <w:r w:rsidR="009714E7" w:rsidRPr="009714E7">
        <w:t> </w:t>
      </w:r>
      <w:r w:rsidRPr="009714E7">
        <w:t>160A</w:t>
      </w:r>
    </w:p>
    <w:p w:rsidR="001863E2" w:rsidRPr="009714E7" w:rsidRDefault="001863E2" w:rsidP="009714E7">
      <w:pPr>
        <w:pStyle w:val="Item"/>
      </w:pPr>
      <w:r w:rsidRPr="009714E7">
        <w:t>Add:</w:t>
      </w:r>
    </w:p>
    <w:p w:rsidR="001863E2" w:rsidRPr="009714E7" w:rsidRDefault="001863E2" w:rsidP="009714E7">
      <w:pPr>
        <w:pStyle w:val="SOText"/>
      </w:pPr>
      <w:r w:rsidRPr="009714E7">
        <w:t>Division</w:t>
      </w:r>
      <w:r w:rsidR="009714E7" w:rsidRPr="009714E7">
        <w:t> </w:t>
      </w:r>
      <w:r w:rsidRPr="009714E7">
        <w:t>5 provides that ASIC may determine periods for the purpose of determining the unsuitability of credit card contracts.</w:t>
      </w:r>
    </w:p>
    <w:p w:rsidR="001863E2" w:rsidRPr="009714E7" w:rsidRDefault="001863E2" w:rsidP="009714E7">
      <w:pPr>
        <w:pStyle w:val="ItemHead"/>
      </w:pPr>
      <w:r w:rsidRPr="009714E7">
        <w:lastRenderedPageBreak/>
        <w:t>8  At the end of Part</w:t>
      </w:r>
      <w:r w:rsidR="009714E7" w:rsidRPr="009714E7">
        <w:t> </w:t>
      </w:r>
      <w:r w:rsidRPr="009714E7">
        <w:t>3</w:t>
      </w:r>
      <w:r w:rsidR="00C83714">
        <w:noBreakHyphen/>
      </w:r>
      <w:r w:rsidRPr="009714E7">
        <w:t>6A</w:t>
      </w:r>
    </w:p>
    <w:p w:rsidR="001863E2" w:rsidRPr="009714E7" w:rsidRDefault="001863E2" w:rsidP="009714E7">
      <w:pPr>
        <w:pStyle w:val="Item"/>
      </w:pPr>
      <w:r w:rsidRPr="009714E7">
        <w:t>Add:</w:t>
      </w:r>
    </w:p>
    <w:p w:rsidR="001863E2" w:rsidRPr="009714E7" w:rsidRDefault="001863E2" w:rsidP="009714E7">
      <w:pPr>
        <w:pStyle w:val="ActHead3"/>
      </w:pPr>
      <w:bookmarkStart w:id="36" w:name="_Toc508110082"/>
      <w:r w:rsidRPr="009714E7">
        <w:rPr>
          <w:rStyle w:val="CharDivNo"/>
        </w:rPr>
        <w:t>Division</w:t>
      </w:r>
      <w:r w:rsidR="009714E7" w:rsidRPr="009714E7">
        <w:rPr>
          <w:rStyle w:val="CharDivNo"/>
        </w:rPr>
        <w:t> </w:t>
      </w:r>
      <w:r w:rsidRPr="009714E7">
        <w:rPr>
          <w:rStyle w:val="CharDivNo"/>
        </w:rPr>
        <w:t>5</w:t>
      </w:r>
      <w:r w:rsidRPr="009714E7">
        <w:t>—</w:t>
      </w:r>
      <w:r w:rsidRPr="009714E7">
        <w:rPr>
          <w:rStyle w:val="CharDivText"/>
        </w:rPr>
        <w:t>Periods for determining unsuitability in respect of credit card contracts</w:t>
      </w:r>
      <w:bookmarkEnd w:id="36"/>
    </w:p>
    <w:p w:rsidR="001863E2" w:rsidRPr="009714E7" w:rsidRDefault="001863E2" w:rsidP="009714E7">
      <w:pPr>
        <w:pStyle w:val="ActHead5"/>
      </w:pPr>
      <w:bookmarkStart w:id="37" w:name="_Toc508110083"/>
      <w:r w:rsidRPr="009714E7">
        <w:rPr>
          <w:rStyle w:val="CharSectno"/>
        </w:rPr>
        <w:t>160F</w:t>
      </w:r>
      <w:r w:rsidRPr="009714E7">
        <w:t xml:space="preserve">  Periods for determining unsuitability in respect of credit card contracts</w:t>
      </w:r>
      <w:bookmarkEnd w:id="37"/>
    </w:p>
    <w:p w:rsidR="001863E2" w:rsidRPr="009714E7" w:rsidRDefault="001863E2" w:rsidP="009714E7">
      <w:pPr>
        <w:pStyle w:val="subsection"/>
      </w:pPr>
      <w:r w:rsidRPr="009714E7">
        <w:tab/>
        <w:t>(1)</w:t>
      </w:r>
      <w:r w:rsidRPr="009714E7">
        <w:tab/>
        <w:t>ASIC may, by legislative instrument, determine a period for the purposes of the following provisions:</w:t>
      </w:r>
    </w:p>
    <w:p w:rsidR="001863E2" w:rsidRPr="009714E7" w:rsidRDefault="001863E2" w:rsidP="009714E7">
      <w:pPr>
        <w:pStyle w:val="paragraph"/>
      </w:pPr>
      <w:r w:rsidRPr="009714E7">
        <w:tab/>
        <w:t>(a)</w:t>
      </w:r>
      <w:r w:rsidRPr="009714E7">
        <w:tab/>
        <w:t>paragraph</w:t>
      </w:r>
      <w:r w:rsidR="009714E7" w:rsidRPr="009714E7">
        <w:t> </w:t>
      </w:r>
      <w:r w:rsidRPr="009714E7">
        <w:t>118(3AA)(b);</w:t>
      </w:r>
    </w:p>
    <w:p w:rsidR="001863E2" w:rsidRPr="009714E7" w:rsidRDefault="001863E2" w:rsidP="009714E7">
      <w:pPr>
        <w:pStyle w:val="paragraph"/>
      </w:pPr>
      <w:r w:rsidRPr="009714E7">
        <w:tab/>
        <w:t>(b)</w:t>
      </w:r>
      <w:r w:rsidRPr="009714E7">
        <w:tab/>
        <w:t>paragraph</w:t>
      </w:r>
      <w:r w:rsidR="009714E7" w:rsidRPr="009714E7">
        <w:t> </w:t>
      </w:r>
      <w:r w:rsidRPr="009714E7">
        <w:t>119(3A)(b);</w:t>
      </w:r>
    </w:p>
    <w:p w:rsidR="001863E2" w:rsidRPr="009714E7" w:rsidRDefault="001863E2" w:rsidP="009714E7">
      <w:pPr>
        <w:pStyle w:val="paragraph"/>
      </w:pPr>
      <w:r w:rsidRPr="009714E7">
        <w:tab/>
        <w:t>(c)</w:t>
      </w:r>
      <w:r w:rsidRPr="009714E7">
        <w:tab/>
        <w:t>paragraph</w:t>
      </w:r>
      <w:r w:rsidR="009714E7" w:rsidRPr="009714E7">
        <w:t> </w:t>
      </w:r>
      <w:r w:rsidRPr="009714E7">
        <w:t>123(3AA)(b);</w:t>
      </w:r>
    </w:p>
    <w:p w:rsidR="001863E2" w:rsidRPr="009714E7" w:rsidRDefault="001863E2" w:rsidP="009714E7">
      <w:pPr>
        <w:pStyle w:val="paragraph"/>
      </w:pPr>
      <w:r w:rsidRPr="009714E7">
        <w:tab/>
        <w:t>(d)</w:t>
      </w:r>
      <w:r w:rsidRPr="009714E7">
        <w:tab/>
        <w:t>paragraph</w:t>
      </w:r>
      <w:r w:rsidR="009714E7" w:rsidRPr="009714E7">
        <w:t> </w:t>
      </w:r>
      <w:r w:rsidRPr="009714E7">
        <w:t>124(3A)(b);</w:t>
      </w:r>
    </w:p>
    <w:p w:rsidR="001863E2" w:rsidRPr="009714E7" w:rsidRDefault="001863E2" w:rsidP="009714E7">
      <w:pPr>
        <w:pStyle w:val="paragraph"/>
      </w:pPr>
      <w:r w:rsidRPr="009714E7">
        <w:tab/>
        <w:t>(e)</w:t>
      </w:r>
      <w:r w:rsidRPr="009714E7">
        <w:tab/>
        <w:t>paragraph</w:t>
      </w:r>
      <w:r w:rsidR="009714E7" w:rsidRPr="009714E7">
        <w:t> </w:t>
      </w:r>
      <w:r w:rsidRPr="009714E7">
        <w:t>131(3AA)(b);</w:t>
      </w:r>
    </w:p>
    <w:p w:rsidR="001863E2" w:rsidRPr="009714E7" w:rsidRDefault="001863E2" w:rsidP="009714E7">
      <w:pPr>
        <w:pStyle w:val="paragraph"/>
      </w:pPr>
      <w:r w:rsidRPr="009714E7">
        <w:tab/>
        <w:t>(f)</w:t>
      </w:r>
      <w:r w:rsidRPr="009714E7">
        <w:tab/>
        <w:t>paragraph</w:t>
      </w:r>
      <w:r w:rsidR="009714E7" w:rsidRPr="009714E7">
        <w:t> </w:t>
      </w:r>
      <w:r w:rsidRPr="009714E7">
        <w:t>133(3AA)(b).</w:t>
      </w:r>
    </w:p>
    <w:p w:rsidR="001863E2" w:rsidRPr="009714E7" w:rsidRDefault="001863E2" w:rsidP="009714E7">
      <w:pPr>
        <w:pStyle w:val="subsection"/>
      </w:pPr>
      <w:r w:rsidRPr="009714E7">
        <w:tab/>
        <w:t>(2)</w:t>
      </w:r>
      <w:r w:rsidRPr="009714E7">
        <w:tab/>
        <w:t xml:space="preserve">Without limiting </w:t>
      </w:r>
      <w:r w:rsidR="009714E7" w:rsidRPr="009714E7">
        <w:t>subsection (</w:t>
      </w:r>
      <w:r w:rsidRPr="009714E7">
        <w:t>1), a legislative instrument referred to in that subsection may determine different periods in relation to the following:</w:t>
      </w:r>
    </w:p>
    <w:p w:rsidR="001863E2" w:rsidRPr="009714E7" w:rsidRDefault="001863E2" w:rsidP="009714E7">
      <w:pPr>
        <w:pStyle w:val="paragraph"/>
      </w:pPr>
      <w:r w:rsidRPr="009714E7">
        <w:tab/>
        <w:t>(a)</w:t>
      </w:r>
      <w:r w:rsidRPr="009714E7">
        <w:tab/>
        <w:t>different classes of credit card contracts;</w:t>
      </w:r>
    </w:p>
    <w:p w:rsidR="001863E2" w:rsidRPr="009714E7" w:rsidRDefault="001863E2" w:rsidP="009714E7">
      <w:pPr>
        <w:pStyle w:val="paragraph"/>
      </w:pPr>
      <w:r w:rsidRPr="009714E7">
        <w:tab/>
        <w:t>(b)</w:t>
      </w:r>
      <w:r w:rsidRPr="009714E7">
        <w:tab/>
        <w:t>different credit limits;</w:t>
      </w:r>
    </w:p>
    <w:p w:rsidR="001863E2" w:rsidRPr="009714E7" w:rsidRDefault="001863E2" w:rsidP="009714E7">
      <w:pPr>
        <w:pStyle w:val="paragraph"/>
      </w:pPr>
      <w:r w:rsidRPr="009714E7">
        <w:tab/>
        <w:t>(c)</w:t>
      </w:r>
      <w:r w:rsidRPr="009714E7">
        <w:tab/>
        <w:t>different rates of interest.</w:t>
      </w:r>
    </w:p>
    <w:p w:rsidR="001863E2" w:rsidRPr="009714E7" w:rsidRDefault="001863E2" w:rsidP="009714E7">
      <w:pPr>
        <w:pStyle w:val="ActHead7"/>
        <w:pageBreakBefore/>
      </w:pPr>
      <w:bookmarkStart w:id="38" w:name="_Toc508110084"/>
      <w:r w:rsidRPr="009714E7">
        <w:rPr>
          <w:rStyle w:val="CharAmPartNo"/>
        </w:rPr>
        <w:lastRenderedPageBreak/>
        <w:t>Part</w:t>
      </w:r>
      <w:r w:rsidR="009714E7" w:rsidRPr="009714E7">
        <w:rPr>
          <w:rStyle w:val="CharAmPartNo"/>
        </w:rPr>
        <w:t> </w:t>
      </w:r>
      <w:r w:rsidRPr="009714E7">
        <w:rPr>
          <w:rStyle w:val="CharAmPartNo"/>
        </w:rPr>
        <w:t>2</w:t>
      </w:r>
      <w:r w:rsidRPr="009714E7">
        <w:t>—</w:t>
      </w:r>
      <w:r w:rsidRPr="009714E7">
        <w:rPr>
          <w:rStyle w:val="CharAmPartText"/>
        </w:rPr>
        <w:t>Credit limits</w:t>
      </w:r>
      <w:bookmarkEnd w:id="38"/>
    </w:p>
    <w:p w:rsidR="001863E2" w:rsidRPr="009714E7" w:rsidRDefault="001863E2" w:rsidP="009714E7">
      <w:pPr>
        <w:pStyle w:val="ActHead8"/>
      </w:pPr>
      <w:bookmarkStart w:id="39" w:name="_Toc508110085"/>
      <w:r w:rsidRPr="009714E7">
        <w:t>Division</w:t>
      </w:r>
      <w:r w:rsidR="009714E7" w:rsidRPr="009714E7">
        <w:t> </w:t>
      </w:r>
      <w:r w:rsidRPr="009714E7">
        <w:t>1—Credit limit increases</w:t>
      </w:r>
      <w:bookmarkEnd w:id="39"/>
    </w:p>
    <w:p w:rsidR="001863E2" w:rsidRPr="009714E7" w:rsidRDefault="001863E2" w:rsidP="009714E7">
      <w:pPr>
        <w:pStyle w:val="ActHead9"/>
        <w:rPr>
          <w:i w:val="0"/>
        </w:rPr>
      </w:pPr>
      <w:bookmarkStart w:id="40" w:name="_Toc508110086"/>
      <w:r w:rsidRPr="009714E7">
        <w:t>National Consumer Credit Protection Act 2009</w:t>
      </w:r>
      <w:bookmarkEnd w:id="40"/>
    </w:p>
    <w:p w:rsidR="001863E2" w:rsidRPr="009714E7" w:rsidRDefault="001863E2" w:rsidP="009714E7">
      <w:pPr>
        <w:pStyle w:val="ItemHead"/>
      </w:pPr>
      <w:r w:rsidRPr="009714E7">
        <w:t>9  Subsection</w:t>
      </w:r>
      <w:r w:rsidR="009714E7" w:rsidRPr="009714E7">
        <w:t> </w:t>
      </w:r>
      <w:r w:rsidRPr="009714E7">
        <w:t>133BE(1) (note 1)</w:t>
      </w:r>
    </w:p>
    <w:p w:rsidR="001863E2" w:rsidRPr="009714E7" w:rsidRDefault="001863E2" w:rsidP="009714E7">
      <w:pPr>
        <w:pStyle w:val="Item"/>
      </w:pPr>
      <w:r w:rsidRPr="009714E7">
        <w:t>Repeal the note.</w:t>
      </w:r>
    </w:p>
    <w:p w:rsidR="001863E2" w:rsidRPr="009714E7" w:rsidRDefault="001863E2" w:rsidP="009714E7">
      <w:pPr>
        <w:pStyle w:val="ItemHead"/>
      </w:pPr>
      <w:r w:rsidRPr="009714E7">
        <w:t>10  Subsection</w:t>
      </w:r>
      <w:r w:rsidR="009714E7" w:rsidRPr="009714E7">
        <w:t> </w:t>
      </w:r>
      <w:r w:rsidRPr="009714E7">
        <w:t>133BE(1) (note 2)</w:t>
      </w:r>
    </w:p>
    <w:p w:rsidR="001863E2" w:rsidRPr="009714E7" w:rsidRDefault="001863E2" w:rsidP="009714E7">
      <w:pPr>
        <w:pStyle w:val="Item"/>
      </w:pPr>
      <w:r w:rsidRPr="009714E7">
        <w:t>Omit “Note 2”, substitute “Note”.</w:t>
      </w:r>
    </w:p>
    <w:p w:rsidR="001863E2" w:rsidRPr="009714E7" w:rsidRDefault="001863E2" w:rsidP="009714E7">
      <w:pPr>
        <w:pStyle w:val="ItemHead"/>
      </w:pPr>
      <w:r w:rsidRPr="009714E7">
        <w:t>11  Subsections</w:t>
      </w:r>
      <w:r w:rsidR="009714E7" w:rsidRPr="009714E7">
        <w:t> </w:t>
      </w:r>
      <w:r w:rsidRPr="009714E7">
        <w:t>133BE(2) and (3) (note)</w:t>
      </w:r>
    </w:p>
    <w:p w:rsidR="001863E2" w:rsidRPr="009714E7" w:rsidRDefault="001863E2" w:rsidP="009714E7">
      <w:pPr>
        <w:pStyle w:val="Item"/>
      </w:pPr>
      <w:r w:rsidRPr="009714E7">
        <w:t>Repeal the note.</w:t>
      </w:r>
    </w:p>
    <w:p w:rsidR="001863E2" w:rsidRPr="009714E7" w:rsidRDefault="001863E2" w:rsidP="009714E7">
      <w:pPr>
        <w:pStyle w:val="ItemHead"/>
      </w:pPr>
      <w:r w:rsidRPr="009714E7">
        <w:t>12  Paragraph 133BE(5)(a)</w:t>
      </w:r>
    </w:p>
    <w:p w:rsidR="001863E2" w:rsidRPr="009714E7" w:rsidRDefault="001863E2" w:rsidP="009714E7">
      <w:pPr>
        <w:pStyle w:val="Item"/>
      </w:pPr>
      <w:r w:rsidRPr="009714E7">
        <w:t>Omit “a written communication”, substitute “any form of communication”.</w:t>
      </w:r>
    </w:p>
    <w:p w:rsidR="001863E2" w:rsidRPr="009714E7" w:rsidRDefault="001863E2" w:rsidP="009714E7">
      <w:pPr>
        <w:pStyle w:val="ItemHead"/>
      </w:pPr>
      <w:r w:rsidRPr="009714E7">
        <w:t>13  Subsection</w:t>
      </w:r>
      <w:r w:rsidR="009714E7" w:rsidRPr="009714E7">
        <w:t> </w:t>
      </w:r>
      <w:r w:rsidRPr="009714E7">
        <w:t>133BE(6)</w:t>
      </w:r>
    </w:p>
    <w:p w:rsidR="001863E2" w:rsidRPr="009714E7" w:rsidRDefault="001863E2" w:rsidP="009714E7">
      <w:pPr>
        <w:pStyle w:val="Item"/>
      </w:pPr>
      <w:r w:rsidRPr="009714E7">
        <w:t>Omit “written”.</w:t>
      </w:r>
    </w:p>
    <w:p w:rsidR="001863E2" w:rsidRPr="009714E7" w:rsidRDefault="001863E2" w:rsidP="009714E7">
      <w:pPr>
        <w:pStyle w:val="ItemHead"/>
      </w:pPr>
      <w:r w:rsidRPr="009714E7">
        <w:t>14  Sections</w:t>
      </w:r>
      <w:r w:rsidR="009714E7" w:rsidRPr="009714E7">
        <w:t> </w:t>
      </w:r>
      <w:r w:rsidRPr="009714E7">
        <w:t>133BF and 133BG</w:t>
      </w:r>
    </w:p>
    <w:p w:rsidR="001863E2" w:rsidRPr="009714E7" w:rsidRDefault="001863E2" w:rsidP="009714E7">
      <w:pPr>
        <w:pStyle w:val="Item"/>
      </w:pPr>
      <w:r w:rsidRPr="009714E7">
        <w:t>Repeal the sections.</w:t>
      </w:r>
    </w:p>
    <w:p w:rsidR="001863E2" w:rsidRPr="009714E7" w:rsidRDefault="001863E2" w:rsidP="009714E7">
      <w:pPr>
        <w:pStyle w:val="ActHead8"/>
      </w:pPr>
      <w:bookmarkStart w:id="41" w:name="_Toc508110087"/>
      <w:r w:rsidRPr="009714E7">
        <w:t>Division</w:t>
      </w:r>
      <w:r w:rsidR="009714E7" w:rsidRPr="009714E7">
        <w:t> </w:t>
      </w:r>
      <w:r w:rsidRPr="009714E7">
        <w:t>2—Credit limit reductions</w:t>
      </w:r>
      <w:bookmarkEnd w:id="41"/>
    </w:p>
    <w:p w:rsidR="001863E2" w:rsidRPr="009714E7" w:rsidRDefault="001863E2" w:rsidP="009714E7">
      <w:pPr>
        <w:pStyle w:val="ActHead9"/>
        <w:rPr>
          <w:i w:val="0"/>
        </w:rPr>
      </w:pPr>
      <w:bookmarkStart w:id="42" w:name="_Toc508110088"/>
      <w:r w:rsidRPr="009714E7">
        <w:t>National Consumer Credit Protection Act 2009</w:t>
      </w:r>
      <w:bookmarkEnd w:id="42"/>
    </w:p>
    <w:p w:rsidR="001863E2" w:rsidRPr="009714E7" w:rsidRDefault="001863E2" w:rsidP="009714E7">
      <w:pPr>
        <w:pStyle w:val="ItemHead"/>
      </w:pPr>
      <w:r w:rsidRPr="009714E7">
        <w:t>15  Subsection</w:t>
      </w:r>
      <w:r w:rsidR="009714E7" w:rsidRPr="009714E7">
        <w:t> </w:t>
      </w:r>
      <w:r w:rsidRPr="009714E7">
        <w:t>5(1)</w:t>
      </w:r>
    </w:p>
    <w:p w:rsidR="001863E2" w:rsidRPr="009714E7" w:rsidRDefault="001863E2" w:rsidP="009714E7">
      <w:pPr>
        <w:pStyle w:val="Item"/>
      </w:pPr>
      <w:r w:rsidRPr="009714E7">
        <w:t>Insert:</w:t>
      </w:r>
    </w:p>
    <w:p w:rsidR="001863E2" w:rsidRPr="009714E7" w:rsidRDefault="001863E2" w:rsidP="009714E7">
      <w:pPr>
        <w:pStyle w:val="Definition"/>
      </w:pPr>
      <w:r w:rsidRPr="009714E7">
        <w:rPr>
          <w:b/>
          <w:i/>
        </w:rPr>
        <w:t>credit limit reduction entitlement</w:t>
      </w:r>
      <w:r w:rsidRPr="009714E7">
        <w:t>: see subsection</w:t>
      </w:r>
      <w:r w:rsidR="009714E7" w:rsidRPr="009714E7">
        <w:t> </w:t>
      </w:r>
      <w:r w:rsidRPr="009714E7">
        <w:t>133BF(3).</w:t>
      </w:r>
    </w:p>
    <w:p w:rsidR="001863E2" w:rsidRPr="009714E7" w:rsidRDefault="001863E2" w:rsidP="009714E7">
      <w:pPr>
        <w:pStyle w:val="ItemHead"/>
      </w:pPr>
      <w:r w:rsidRPr="009714E7">
        <w:t>16  Section</w:t>
      </w:r>
      <w:r w:rsidR="009714E7" w:rsidRPr="009714E7">
        <w:t> </w:t>
      </w:r>
      <w:r w:rsidRPr="009714E7">
        <w:t>133B (paragraph relating to Division</w:t>
      </w:r>
      <w:r w:rsidR="009714E7" w:rsidRPr="009714E7">
        <w:t> </w:t>
      </w:r>
      <w:r w:rsidRPr="009714E7">
        <w:t>4)</w:t>
      </w:r>
    </w:p>
    <w:p w:rsidR="001863E2" w:rsidRPr="009714E7" w:rsidRDefault="001863E2" w:rsidP="009714E7">
      <w:pPr>
        <w:pStyle w:val="Item"/>
      </w:pPr>
      <w:r w:rsidRPr="009714E7">
        <w:t>Repeal the paragraph, substitute:</w:t>
      </w:r>
    </w:p>
    <w:p w:rsidR="001863E2" w:rsidRPr="009714E7" w:rsidRDefault="001863E2" w:rsidP="009714E7">
      <w:pPr>
        <w:pStyle w:val="SOText"/>
      </w:pPr>
      <w:r w:rsidRPr="009714E7">
        <w:lastRenderedPageBreak/>
        <w:t>Division</w:t>
      </w:r>
      <w:r w:rsidR="009714E7" w:rsidRPr="009714E7">
        <w:t> </w:t>
      </w:r>
      <w:r w:rsidRPr="009714E7">
        <w:t>4 imposes restrictions on a licensee making offers etc. to increase the credit limit of a credit card contract, and imposes requirements aimed at ensuring the consumer can reduce the credit limit of a credit card contract.</w:t>
      </w:r>
    </w:p>
    <w:p w:rsidR="001863E2" w:rsidRPr="009714E7" w:rsidRDefault="001863E2" w:rsidP="009714E7">
      <w:pPr>
        <w:pStyle w:val="ItemHead"/>
      </w:pPr>
      <w:r w:rsidRPr="009714E7">
        <w:t>17  Division</w:t>
      </w:r>
      <w:r w:rsidR="009714E7" w:rsidRPr="009714E7">
        <w:t> </w:t>
      </w:r>
      <w:r w:rsidRPr="009714E7">
        <w:t>4 of Part</w:t>
      </w:r>
      <w:r w:rsidR="009714E7" w:rsidRPr="009714E7">
        <w:t> </w:t>
      </w:r>
      <w:r w:rsidRPr="009714E7">
        <w:t>3</w:t>
      </w:r>
      <w:r w:rsidR="00C83714">
        <w:noBreakHyphen/>
      </w:r>
      <w:r w:rsidRPr="009714E7">
        <w:t>2B (heading)</w:t>
      </w:r>
    </w:p>
    <w:p w:rsidR="001863E2" w:rsidRPr="009714E7" w:rsidRDefault="001863E2" w:rsidP="009714E7">
      <w:pPr>
        <w:pStyle w:val="Item"/>
      </w:pPr>
      <w:r w:rsidRPr="009714E7">
        <w:t>Repeal the heading, substitute:</w:t>
      </w:r>
    </w:p>
    <w:p w:rsidR="001863E2" w:rsidRPr="009714E7" w:rsidRDefault="001863E2" w:rsidP="009714E7">
      <w:pPr>
        <w:pStyle w:val="ActHead3"/>
      </w:pPr>
      <w:bookmarkStart w:id="43" w:name="_Toc508110089"/>
      <w:r w:rsidRPr="009714E7">
        <w:rPr>
          <w:rStyle w:val="CharDivNo"/>
        </w:rPr>
        <w:t>Division</w:t>
      </w:r>
      <w:r w:rsidR="009714E7" w:rsidRPr="009714E7">
        <w:rPr>
          <w:rStyle w:val="CharDivNo"/>
        </w:rPr>
        <w:t> </w:t>
      </w:r>
      <w:r w:rsidRPr="009714E7">
        <w:rPr>
          <w:rStyle w:val="CharDivNo"/>
        </w:rPr>
        <w:t>4</w:t>
      </w:r>
      <w:r w:rsidRPr="009714E7">
        <w:t>—</w:t>
      </w:r>
      <w:r w:rsidRPr="009714E7">
        <w:rPr>
          <w:rStyle w:val="CharDivText"/>
        </w:rPr>
        <w:t>Offers etc. to increase, and entitlement to reduce, credit limit of credit card contract</w:t>
      </w:r>
      <w:bookmarkEnd w:id="43"/>
    </w:p>
    <w:p w:rsidR="001863E2" w:rsidRPr="009714E7" w:rsidRDefault="001863E2" w:rsidP="009714E7">
      <w:pPr>
        <w:pStyle w:val="ItemHead"/>
      </w:pPr>
      <w:r w:rsidRPr="009714E7">
        <w:t>18  At the end of Division</w:t>
      </w:r>
      <w:r w:rsidR="009714E7" w:rsidRPr="009714E7">
        <w:t> </w:t>
      </w:r>
      <w:r w:rsidRPr="009714E7">
        <w:t>4 of Part</w:t>
      </w:r>
      <w:r w:rsidR="009714E7" w:rsidRPr="009714E7">
        <w:t> </w:t>
      </w:r>
      <w:r w:rsidRPr="009714E7">
        <w:t>3</w:t>
      </w:r>
      <w:r w:rsidR="00C83714">
        <w:noBreakHyphen/>
      </w:r>
      <w:r w:rsidRPr="009714E7">
        <w:t>2B</w:t>
      </w:r>
    </w:p>
    <w:p w:rsidR="001863E2" w:rsidRPr="009714E7" w:rsidRDefault="001863E2" w:rsidP="009714E7">
      <w:pPr>
        <w:pStyle w:val="Item"/>
      </w:pPr>
      <w:r w:rsidRPr="009714E7">
        <w:t>Add:</w:t>
      </w:r>
    </w:p>
    <w:p w:rsidR="001863E2" w:rsidRPr="009714E7" w:rsidRDefault="001863E2" w:rsidP="009714E7">
      <w:pPr>
        <w:pStyle w:val="ActHead5"/>
      </w:pPr>
      <w:bookmarkStart w:id="44" w:name="_Toc508110090"/>
      <w:r w:rsidRPr="009714E7">
        <w:rPr>
          <w:rStyle w:val="CharSectno"/>
        </w:rPr>
        <w:t>133BF</w:t>
      </w:r>
      <w:r w:rsidRPr="009714E7">
        <w:t xml:space="preserve">  Credit provider not to enter into credit card contract unless it allows credit limit to be reduced</w:t>
      </w:r>
      <w:bookmarkEnd w:id="44"/>
    </w:p>
    <w:p w:rsidR="001863E2" w:rsidRPr="009714E7" w:rsidRDefault="001863E2" w:rsidP="009714E7">
      <w:pPr>
        <w:pStyle w:val="SubsectionHead"/>
      </w:pPr>
      <w:r w:rsidRPr="009714E7">
        <w:t>Requirement</w:t>
      </w:r>
    </w:p>
    <w:p w:rsidR="001863E2" w:rsidRPr="009714E7" w:rsidRDefault="001863E2" w:rsidP="009714E7">
      <w:pPr>
        <w:pStyle w:val="subsection"/>
      </w:pPr>
      <w:r w:rsidRPr="009714E7">
        <w:tab/>
        <w:t>(1)</w:t>
      </w:r>
      <w:r w:rsidRPr="009714E7">
        <w:tab/>
        <w:t>A licensee must not enter into, or offer to enter into, a credit card contract under which the licensee would be the credit provider, if the consumer who would be the debtor under the contract would not have a credit limit reduction entitlement under the contract.</w:t>
      </w:r>
    </w:p>
    <w:p w:rsidR="001863E2" w:rsidRPr="009714E7" w:rsidRDefault="001863E2" w:rsidP="009714E7">
      <w:pPr>
        <w:pStyle w:val="Penalty"/>
      </w:pPr>
      <w:r w:rsidRPr="009714E7">
        <w:t>Civil penalty:</w:t>
      </w:r>
      <w:r w:rsidRPr="009714E7">
        <w:tab/>
        <w:t>2,000 penalty units.</w:t>
      </w:r>
    </w:p>
    <w:p w:rsidR="001863E2" w:rsidRPr="009714E7" w:rsidRDefault="001863E2" w:rsidP="009714E7">
      <w:pPr>
        <w:pStyle w:val="SubsectionHead"/>
      </w:pPr>
      <w:r w:rsidRPr="009714E7">
        <w:t>Offence</w:t>
      </w:r>
    </w:p>
    <w:p w:rsidR="001863E2" w:rsidRPr="009714E7" w:rsidRDefault="001863E2" w:rsidP="009714E7">
      <w:pPr>
        <w:pStyle w:val="subsection"/>
      </w:pPr>
      <w:r w:rsidRPr="009714E7">
        <w:tab/>
        <w:t>(2)</w:t>
      </w:r>
      <w:r w:rsidRPr="009714E7">
        <w:tab/>
        <w:t>A person commits an offence if:</w:t>
      </w:r>
    </w:p>
    <w:p w:rsidR="001863E2" w:rsidRPr="009714E7" w:rsidRDefault="001863E2" w:rsidP="009714E7">
      <w:pPr>
        <w:pStyle w:val="paragraph"/>
      </w:pPr>
      <w:r w:rsidRPr="009714E7">
        <w:tab/>
        <w:t>(a)</w:t>
      </w:r>
      <w:r w:rsidRPr="009714E7">
        <w:tab/>
        <w:t xml:space="preserve">the person is subject to a requirement under </w:t>
      </w:r>
      <w:r w:rsidR="009714E7" w:rsidRPr="009714E7">
        <w:t>subsection (</w:t>
      </w:r>
      <w:r w:rsidRPr="009714E7">
        <w:t>1); and</w:t>
      </w:r>
    </w:p>
    <w:p w:rsidR="001863E2" w:rsidRPr="009714E7" w:rsidRDefault="001863E2" w:rsidP="009714E7">
      <w:pPr>
        <w:pStyle w:val="paragraph"/>
      </w:pPr>
      <w:r w:rsidRPr="009714E7">
        <w:tab/>
        <w:t>(b)</w:t>
      </w:r>
      <w:r w:rsidRPr="009714E7">
        <w:tab/>
        <w:t>the person engages in conduct; and</w:t>
      </w:r>
    </w:p>
    <w:p w:rsidR="001863E2" w:rsidRPr="009714E7" w:rsidRDefault="001863E2" w:rsidP="009714E7">
      <w:pPr>
        <w:pStyle w:val="paragraph"/>
      </w:pPr>
      <w:r w:rsidRPr="009714E7">
        <w:tab/>
        <w:t>(c)</w:t>
      </w:r>
      <w:r w:rsidRPr="009714E7">
        <w:tab/>
        <w:t>the conduct contravenes the requirement.</w:t>
      </w:r>
    </w:p>
    <w:p w:rsidR="001863E2" w:rsidRPr="009714E7" w:rsidRDefault="001863E2" w:rsidP="009714E7">
      <w:pPr>
        <w:pStyle w:val="Penalty"/>
      </w:pPr>
      <w:r w:rsidRPr="009714E7">
        <w:t>Criminal penalty:</w:t>
      </w:r>
      <w:r w:rsidRPr="009714E7">
        <w:tab/>
        <w:t>50 penalty units.</w:t>
      </w:r>
    </w:p>
    <w:p w:rsidR="001863E2" w:rsidRPr="009714E7" w:rsidRDefault="001863E2" w:rsidP="009714E7">
      <w:pPr>
        <w:pStyle w:val="SubsectionHead"/>
        <w:rPr>
          <w:b/>
        </w:rPr>
      </w:pPr>
      <w:r w:rsidRPr="009714E7">
        <w:t xml:space="preserve">Meaning of </w:t>
      </w:r>
      <w:r w:rsidRPr="009714E7">
        <w:rPr>
          <w:b/>
        </w:rPr>
        <w:t>credit limit reduction entitlement</w:t>
      </w:r>
    </w:p>
    <w:p w:rsidR="001863E2" w:rsidRPr="009714E7" w:rsidRDefault="001863E2" w:rsidP="009714E7">
      <w:pPr>
        <w:pStyle w:val="subsection"/>
      </w:pPr>
      <w:r w:rsidRPr="009714E7">
        <w:tab/>
        <w:t>(3)</w:t>
      </w:r>
      <w:r w:rsidRPr="009714E7">
        <w:tab/>
        <w:t xml:space="preserve">A consumer who is the debtor under a credit card contract has a </w:t>
      </w:r>
      <w:r w:rsidRPr="009714E7">
        <w:rPr>
          <w:b/>
          <w:i/>
        </w:rPr>
        <w:t>credit limit reduction entitlement</w:t>
      </w:r>
      <w:r w:rsidRPr="009714E7">
        <w:t xml:space="preserve"> under the contract if:</w:t>
      </w:r>
    </w:p>
    <w:p w:rsidR="001863E2" w:rsidRPr="009714E7" w:rsidRDefault="001863E2" w:rsidP="009714E7">
      <w:pPr>
        <w:pStyle w:val="paragraph"/>
      </w:pPr>
      <w:r w:rsidRPr="009714E7">
        <w:lastRenderedPageBreak/>
        <w:tab/>
        <w:t>(a)</w:t>
      </w:r>
      <w:r w:rsidRPr="009714E7">
        <w:tab/>
        <w:t>for a contract that does not provide for a minimum credit limit—the consumer is entitled under the contract to reduce the credit limit of the contract to any amount (including nil); or</w:t>
      </w:r>
    </w:p>
    <w:p w:rsidR="001863E2" w:rsidRPr="009714E7" w:rsidRDefault="001863E2" w:rsidP="009714E7">
      <w:pPr>
        <w:pStyle w:val="paragraph"/>
      </w:pPr>
      <w:r w:rsidRPr="009714E7">
        <w:tab/>
        <w:t>(b)</w:t>
      </w:r>
      <w:r w:rsidRPr="009714E7">
        <w:tab/>
        <w:t>for a contract that provides for a minimum credit limit—the consumer is entitled under the contract to reduce the credit limit of the contract to any amount that equals, or exceeds, the minimum credit limit.</w:t>
      </w:r>
    </w:p>
    <w:p w:rsidR="001863E2" w:rsidRPr="009714E7" w:rsidRDefault="001863E2" w:rsidP="009714E7">
      <w:pPr>
        <w:pStyle w:val="ActHead5"/>
      </w:pPr>
      <w:bookmarkStart w:id="45" w:name="_Toc508110091"/>
      <w:r w:rsidRPr="009714E7">
        <w:rPr>
          <w:rStyle w:val="CharSectno"/>
        </w:rPr>
        <w:t>133BFA</w:t>
      </w:r>
      <w:r w:rsidRPr="009714E7">
        <w:t xml:space="preserve">  Credit provider to provide online capacity to request reduction of credit limit</w:t>
      </w:r>
      <w:bookmarkEnd w:id="45"/>
    </w:p>
    <w:p w:rsidR="001863E2" w:rsidRPr="009714E7" w:rsidRDefault="001863E2" w:rsidP="009714E7">
      <w:pPr>
        <w:pStyle w:val="SubsectionHead"/>
      </w:pPr>
      <w:r w:rsidRPr="009714E7">
        <w:t>When this section applies</w:t>
      </w:r>
    </w:p>
    <w:p w:rsidR="001863E2" w:rsidRPr="009714E7" w:rsidRDefault="001863E2" w:rsidP="009714E7">
      <w:pPr>
        <w:pStyle w:val="subsection"/>
      </w:pPr>
      <w:r w:rsidRPr="009714E7">
        <w:tab/>
        <w:t>(1)</w:t>
      </w:r>
      <w:r w:rsidRPr="009714E7">
        <w:tab/>
        <w:t xml:space="preserve">This section applies if a consumer who is the debtor under a credit card contract has a credit limit reduction entitlement under the contract on a day (the </w:t>
      </w:r>
      <w:r w:rsidRPr="009714E7">
        <w:rPr>
          <w:b/>
          <w:i/>
        </w:rPr>
        <w:t>online reduction day</w:t>
      </w:r>
      <w:r w:rsidRPr="009714E7">
        <w:t>).</w:t>
      </w:r>
    </w:p>
    <w:p w:rsidR="001863E2" w:rsidRPr="009714E7" w:rsidRDefault="001863E2" w:rsidP="009714E7">
      <w:pPr>
        <w:pStyle w:val="SubsectionHead"/>
      </w:pPr>
      <w:r w:rsidRPr="009714E7">
        <w:t>Requirement</w:t>
      </w:r>
    </w:p>
    <w:p w:rsidR="001863E2" w:rsidRPr="009714E7" w:rsidRDefault="001863E2" w:rsidP="009714E7">
      <w:pPr>
        <w:pStyle w:val="subsection"/>
      </w:pPr>
      <w:r w:rsidRPr="009714E7">
        <w:tab/>
        <w:t>(2)</w:t>
      </w:r>
      <w:r w:rsidRPr="009714E7">
        <w:tab/>
        <w:t>The licensee who is the credit provider under the credit card contract must establish and maintain a website that satisfies all of the following paragraphs:</w:t>
      </w:r>
    </w:p>
    <w:p w:rsidR="001863E2" w:rsidRPr="009714E7" w:rsidRDefault="001863E2" w:rsidP="009714E7">
      <w:pPr>
        <w:pStyle w:val="paragraph"/>
      </w:pPr>
      <w:r w:rsidRPr="009714E7">
        <w:tab/>
        <w:t>(a)</w:t>
      </w:r>
      <w:r w:rsidRPr="009714E7">
        <w:tab/>
        <w:t>the website tells the consumer that the consumer may use the website to request a reduction in the consumer’s credit limit;</w:t>
      </w:r>
    </w:p>
    <w:p w:rsidR="001863E2" w:rsidRPr="009714E7" w:rsidRDefault="001863E2" w:rsidP="009714E7">
      <w:pPr>
        <w:pStyle w:val="paragraph"/>
      </w:pPr>
      <w:r w:rsidRPr="009714E7">
        <w:tab/>
        <w:t>(b)</w:t>
      </w:r>
      <w:r w:rsidRPr="009714E7">
        <w:tab/>
        <w:t>the website:</w:t>
      </w:r>
    </w:p>
    <w:p w:rsidR="001863E2" w:rsidRPr="009714E7" w:rsidRDefault="001863E2" w:rsidP="009714E7">
      <w:pPr>
        <w:pStyle w:val="paragraphsub"/>
      </w:pPr>
      <w:r w:rsidRPr="009714E7">
        <w:tab/>
        <w:t>(i)</w:t>
      </w:r>
      <w:r w:rsidRPr="009714E7">
        <w:tab/>
        <w:t>tells the consumer what information the consumer will need to enter in order to request a reduction in the consumer’s credit limit; and</w:t>
      </w:r>
    </w:p>
    <w:p w:rsidR="001863E2" w:rsidRPr="009714E7" w:rsidRDefault="001863E2" w:rsidP="009714E7">
      <w:pPr>
        <w:pStyle w:val="paragraphsub"/>
      </w:pPr>
      <w:r w:rsidRPr="009714E7">
        <w:tab/>
        <w:t>(ii)</w:t>
      </w:r>
      <w:r w:rsidRPr="009714E7">
        <w:tab/>
        <w:t>provides the consumer with instructions on how to request a reduction in the consumer’s credit limit;</w:t>
      </w:r>
    </w:p>
    <w:p w:rsidR="001863E2" w:rsidRPr="009714E7" w:rsidRDefault="001863E2" w:rsidP="009714E7">
      <w:pPr>
        <w:pStyle w:val="paragraph"/>
      </w:pPr>
      <w:r w:rsidRPr="009714E7">
        <w:tab/>
        <w:t>(c)</w:t>
      </w:r>
      <w:r w:rsidRPr="009714E7">
        <w:tab/>
        <w:t>if the consumer enters the information and follows those instructions, the consumer can use the website to request a reduction in the consumer’s credit limit;</w:t>
      </w:r>
    </w:p>
    <w:p w:rsidR="001863E2" w:rsidRPr="009714E7" w:rsidRDefault="001863E2" w:rsidP="009714E7">
      <w:pPr>
        <w:pStyle w:val="paragraph"/>
      </w:pPr>
      <w:r w:rsidRPr="009714E7">
        <w:tab/>
        <w:t>(d)</w:t>
      </w:r>
      <w:r w:rsidRPr="009714E7">
        <w:tab/>
        <w:t>the website is available on the online reduction day.</w:t>
      </w:r>
    </w:p>
    <w:p w:rsidR="001863E2" w:rsidRPr="009714E7" w:rsidRDefault="001863E2" w:rsidP="009714E7">
      <w:pPr>
        <w:pStyle w:val="Penalty"/>
      </w:pPr>
      <w:r w:rsidRPr="009714E7">
        <w:t>Civil penalty:</w:t>
      </w:r>
      <w:r w:rsidRPr="009714E7">
        <w:tab/>
        <w:t>2,000 penalty units.</w:t>
      </w:r>
    </w:p>
    <w:p w:rsidR="001863E2" w:rsidRPr="009714E7" w:rsidRDefault="001863E2" w:rsidP="009714E7">
      <w:pPr>
        <w:pStyle w:val="SubsectionHead"/>
      </w:pPr>
      <w:r w:rsidRPr="009714E7">
        <w:lastRenderedPageBreak/>
        <w:t>Defence</w:t>
      </w:r>
    </w:p>
    <w:p w:rsidR="001863E2" w:rsidRPr="009714E7" w:rsidRDefault="001863E2" w:rsidP="009714E7">
      <w:pPr>
        <w:pStyle w:val="subsection"/>
      </w:pPr>
      <w:r w:rsidRPr="009714E7">
        <w:tab/>
        <w:t>(3)</w:t>
      </w:r>
      <w:r w:rsidRPr="009714E7">
        <w:tab/>
        <w:t xml:space="preserve">For the purposes of </w:t>
      </w:r>
      <w:r w:rsidR="009714E7" w:rsidRPr="009714E7">
        <w:t>subsection (</w:t>
      </w:r>
      <w:r w:rsidRPr="009714E7">
        <w:t>2), it is a defence if the website is reasonably unavailable on the online reduction day.</w:t>
      </w:r>
    </w:p>
    <w:p w:rsidR="001863E2" w:rsidRPr="009714E7" w:rsidRDefault="001863E2" w:rsidP="009714E7">
      <w:pPr>
        <w:pStyle w:val="ActHead5"/>
      </w:pPr>
      <w:bookmarkStart w:id="46" w:name="_Toc508110092"/>
      <w:r w:rsidRPr="009714E7">
        <w:rPr>
          <w:rStyle w:val="CharSectno"/>
        </w:rPr>
        <w:t>133BFB</w:t>
      </w:r>
      <w:r w:rsidRPr="009714E7">
        <w:t xml:space="preserve">  Credit provider not to suggest the consumer not reduce the credit limit</w:t>
      </w:r>
      <w:bookmarkEnd w:id="46"/>
    </w:p>
    <w:p w:rsidR="001863E2" w:rsidRPr="009714E7" w:rsidRDefault="001863E2" w:rsidP="009714E7">
      <w:pPr>
        <w:pStyle w:val="SubsectionHead"/>
      </w:pPr>
      <w:r w:rsidRPr="009714E7">
        <w:t>When this section applies</w:t>
      </w:r>
    </w:p>
    <w:p w:rsidR="001863E2" w:rsidRPr="009714E7" w:rsidRDefault="001863E2" w:rsidP="009714E7">
      <w:pPr>
        <w:pStyle w:val="subsection"/>
      </w:pPr>
      <w:r w:rsidRPr="009714E7">
        <w:tab/>
        <w:t>(1)</w:t>
      </w:r>
      <w:r w:rsidRPr="009714E7">
        <w:tab/>
        <w:t>This section applies if:</w:t>
      </w:r>
    </w:p>
    <w:p w:rsidR="001863E2" w:rsidRPr="009714E7" w:rsidRDefault="001863E2" w:rsidP="009714E7">
      <w:pPr>
        <w:pStyle w:val="paragraph"/>
      </w:pPr>
      <w:r w:rsidRPr="009714E7">
        <w:tab/>
        <w:t>(a)</w:t>
      </w:r>
      <w:r w:rsidRPr="009714E7">
        <w:tab/>
        <w:t>a consumer who is the debtor under a credit card contract has a credit limit reduction entitlement under the contract; and</w:t>
      </w:r>
    </w:p>
    <w:p w:rsidR="001863E2" w:rsidRPr="009714E7" w:rsidRDefault="001863E2" w:rsidP="009714E7">
      <w:pPr>
        <w:pStyle w:val="paragraph"/>
      </w:pPr>
      <w:r w:rsidRPr="009714E7">
        <w:tab/>
        <w:t>(b)</w:t>
      </w:r>
      <w:r w:rsidRPr="009714E7">
        <w:tab/>
        <w:t>the consumer has requested to exercise the entitlement by reducing the credit limit of the contract.</w:t>
      </w:r>
    </w:p>
    <w:p w:rsidR="001863E2" w:rsidRPr="009714E7" w:rsidRDefault="001863E2" w:rsidP="009714E7">
      <w:pPr>
        <w:pStyle w:val="SubsectionHead"/>
      </w:pPr>
      <w:r w:rsidRPr="009714E7">
        <w:t>Requirement</w:t>
      </w:r>
    </w:p>
    <w:p w:rsidR="001863E2" w:rsidRPr="009714E7" w:rsidRDefault="001863E2" w:rsidP="009714E7">
      <w:pPr>
        <w:pStyle w:val="subsection"/>
      </w:pPr>
      <w:r w:rsidRPr="009714E7">
        <w:tab/>
        <w:t>(2)</w:t>
      </w:r>
      <w:r w:rsidRPr="009714E7">
        <w:tab/>
        <w:t>The licensee who is the credit provider under the credit card contract must not do any of the following:</w:t>
      </w:r>
    </w:p>
    <w:p w:rsidR="001863E2" w:rsidRPr="009714E7" w:rsidRDefault="001863E2" w:rsidP="009714E7">
      <w:pPr>
        <w:pStyle w:val="paragraph"/>
      </w:pPr>
      <w:r w:rsidRPr="009714E7">
        <w:tab/>
        <w:t>(a)</w:t>
      </w:r>
      <w:r w:rsidRPr="009714E7">
        <w:tab/>
        <w:t>suggest that the consumer apply for an increase to the credit limit of the contract;</w:t>
      </w:r>
    </w:p>
    <w:p w:rsidR="001863E2" w:rsidRPr="009714E7" w:rsidRDefault="001863E2" w:rsidP="009714E7">
      <w:pPr>
        <w:pStyle w:val="paragraph"/>
      </w:pPr>
      <w:r w:rsidRPr="009714E7">
        <w:tab/>
        <w:t>(b)</w:t>
      </w:r>
      <w:r w:rsidRPr="009714E7">
        <w:tab/>
        <w:t>suggest that the consumer not reduce the credit limit of the contract;</w:t>
      </w:r>
    </w:p>
    <w:p w:rsidR="001863E2" w:rsidRPr="009714E7" w:rsidRDefault="001863E2" w:rsidP="009714E7">
      <w:pPr>
        <w:pStyle w:val="paragraph"/>
      </w:pPr>
      <w:r w:rsidRPr="009714E7">
        <w:tab/>
        <w:t>(c)</w:t>
      </w:r>
      <w:r w:rsidRPr="009714E7">
        <w:tab/>
        <w:t>if the consumer’s request is to reduce the credit limit of the contract by a specified amount—suggest that the consumer instead reduce the credit limit by a smaller amount.</w:t>
      </w:r>
    </w:p>
    <w:p w:rsidR="001863E2" w:rsidRPr="009714E7" w:rsidRDefault="001863E2" w:rsidP="009714E7">
      <w:pPr>
        <w:pStyle w:val="Penalty"/>
      </w:pPr>
      <w:r w:rsidRPr="009714E7">
        <w:t>Civil penalty:</w:t>
      </w:r>
      <w:r w:rsidRPr="009714E7">
        <w:tab/>
        <w:t>2,000 penalty units.</w:t>
      </w:r>
    </w:p>
    <w:p w:rsidR="001863E2" w:rsidRPr="009714E7" w:rsidRDefault="001863E2" w:rsidP="009714E7">
      <w:pPr>
        <w:pStyle w:val="SubsectionHead"/>
      </w:pPr>
      <w:r w:rsidRPr="009714E7">
        <w:t>Offence</w:t>
      </w:r>
    </w:p>
    <w:p w:rsidR="001863E2" w:rsidRPr="009714E7" w:rsidRDefault="001863E2" w:rsidP="009714E7">
      <w:pPr>
        <w:pStyle w:val="subsection"/>
      </w:pPr>
      <w:r w:rsidRPr="009714E7">
        <w:tab/>
        <w:t>(3)</w:t>
      </w:r>
      <w:r w:rsidRPr="009714E7">
        <w:tab/>
        <w:t>A person commits an offence if:</w:t>
      </w:r>
    </w:p>
    <w:p w:rsidR="001863E2" w:rsidRPr="009714E7" w:rsidRDefault="001863E2" w:rsidP="009714E7">
      <w:pPr>
        <w:pStyle w:val="paragraph"/>
      </w:pPr>
      <w:r w:rsidRPr="009714E7">
        <w:tab/>
        <w:t>(a)</w:t>
      </w:r>
      <w:r w:rsidRPr="009714E7">
        <w:tab/>
        <w:t xml:space="preserve">the person is subject to a requirement under </w:t>
      </w:r>
      <w:r w:rsidR="009714E7" w:rsidRPr="009714E7">
        <w:t>subsection (</w:t>
      </w:r>
      <w:r w:rsidRPr="009714E7">
        <w:t>2); and</w:t>
      </w:r>
    </w:p>
    <w:p w:rsidR="001863E2" w:rsidRPr="009714E7" w:rsidRDefault="001863E2" w:rsidP="009714E7">
      <w:pPr>
        <w:pStyle w:val="paragraph"/>
      </w:pPr>
      <w:r w:rsidRPr="009714E7">
        <w:tab/>
        <w:t>(b)</w:t>
      </w:r>
      <w:r w:rsidRPr="009714E7">
        <w:tab/>
        <w:t>the person engages in conduct; and</w:t>
      </w:r>
    </w:p>
    <w:p w:rsidR="001863E2" w:rsidRPr="009714E7" w:rsidRDefault="001863E2" w:rsidP="009714E7">
      <w:pPr>
        <w:pStyle w:val="paragraph"/>
      </w:pPr>
      <w:r w:rsidRPr="009714E7">
        <w:tab/>
        <w:t>(c)</w:t>
      </w:r>
      <w:r w:rsidRPr="009714E7">
        <w:tab/>
        <w:t>the conduct contravenes the requirement.</w:t>
      </w:r>
    </w:p>
    <w:p w:rsidR="001863E2" w:rsidRPr="009714E7" w:rsidRDefault="001863E2" w:rsidP="009714E7">
      <w:pPr>
        <w:pStyle w:val="Penalty"/>
      </w:pPr>
      <w:r w:rsidRPr="009714E7">
        <w:t>Criminal penalty:</w:t>
      </w:r>
      <w:r w:rsidRPr="009714E7">
        <w:tab/>
        <w:t>50 penalty units.</w:t>
      </w:r>
    </w:p>
    <w:p w:rsidR="001863E2" w:rsidRPr="009714E7" w:rsidRDefault="001863E2" w:rsidP="009714E7">
      <w:pPr>
        <w:pStyle w:val="ActHead5"/>
      </w:pPr>
      <w:bookmarkStart w:id="47" w:name="_Toc508110093"/>
      <w:r w:rsidRPr="009714E7">
        <w:rPr>
          <w:rStyle w:val="CharSectno"/>
        </w:rPr>
        <w:lastRenderedPageBreak/>
        <w:t>133BFC</w:t>
      </w:r>
      <w:r w:rsidRPr="009714E7">
        <w:t xml:space="preserve">  Credit provider to give effect to request to reduce credit limit</w:t>
      </w:r>
      <w:bookmarkEnd w:id="47"/>
    </w:p>
    <w:p w:rsidR="001863E2" w:rsidRPr="009714E7" w:rsidRDefault="001863E2" w:rsidP="009714E7">
      <w:pPr>
        <w:pStyle w:val="SubsectionHead"/>
      </w:pPr>
      <w:r w:rsidRPr="009714E7">
        <w:t>When this section applies</w:t>
      </w:r>
    </w:p>
    <w:p w:rsidR="001863E2" w:rsidRPr="009714E7" w:rsidRDefault="001863E2" w:rsidP="009714E7">
      <w:pPr>
        <w:pStyle w:val="subsection"/>
      </w:pPr>
      <w:r w:rsidRPr="009714E7">
        <w:tab/>
        <w:t>(1)</w:t>
      </w:r>
      <w:r w:rsidRPr="009714E7">
        <w:tab/>
        <w:t>This section applies if:</w:t>
      </w:r>
    </w:p>
    <w:p w:rsidR="001863E2" w:rsidRPr="009714E7" w:rsidRDefault="001863E2" w:rsidP="009714E7">
      <w:pPr>
        <w:pStyle w:val="paragraph"/>
      </w:pPr>
      <w:r w:rsidRPr="009714E7">
        <w:tab/>
        <w:t>(a)</w:t>
      </w:r>
      <w:r w:rsidRPr="009714E7">
        <w:tab/>
        <w:t>a consumer who is the debtor under a credit card contract has a credit limit reduction entitlement under the contract; and</w:t>
      </w:r>
    </w:p>
    <w:p w:rsidR="001863E2" w:rsidRPr="009714E7" w:rsidRDefault="001863E2" w:rsidP="009714E7">
      <w:pPr>
        <w:pStyle w:val="paragraph"/>
      </w:pPr>
      <w:r w:rsidRPr="009714E7">
        <w:tab/>
        <w:t>(b)</w:t>
      </w:r>
      <w:r w:rsidRPr="009714E7">
        <w:tab/>
        <w:t>the consumer has requested to exercise the entitlement by reducing the credit limit of the contract.</w:t>
      </w:r>
    </w:p>
    <w:p w:rsidR="001863E2" w:rsidRPr="009714E7" w:rsidRDefault="001863E2" w:rsidP="009714E7">
      <w:pPr>
        <w:pStyle w:val="SubsectionHead"/>
      </w:pPr>
      <w:r w:rsidRPr="009714E7">
        <w:t>Requirement</w:t>
      </w:r>
    </w:p>
    <w:p w:rsidR="001863E2" w:rsidRPr="009714E7" w:rsidRDefault="001863E2" w:rsidP="009714E7">
      <w:pPr>
        <w:pStyle w:val="subsection"/>
        <w:rPr>
          <w:i/>
        </w:rPr>
      </w:pPr>
      <w:r w:rsidRPr="009714E7">
        <w:tab/>
        <w:t>(2)</w:t>
      </w:r>
      <w:r w:rsidRPr="009714E7">
        <w:tab/>
        <w:t>The licensee who is the credit provider under the credit card contract must take reasonable steps to ensure that the request is given effect to</w:t>
      </w:r>
      <w:r w:rsidRPr="009714E7">
        <w:rPr>
          <w:i/>
        </w:rPr>
        <w:t xml:space="preserve"> </w:t>
      </w:r>
      <w:r w:rsidRPr="009714E7">
        <w:t>as soon as practicable</w:t>
      </w:r>
      <w:r w:rsidRPr="009714E7">
        <w:rPr>
          <w:i/>
        </w:rPr>
        <w:t>.</w:t>
      </w:r>
    </w:p>
    <w:p w:rsidR="001863E2" w:rsidRPr="009714E7" w:rsidRDefault="001863E2" w:rsidP="009714E7">
      <w:pPr>
        <w:pStyle w:val="Penalty"/>
      </w:pPr>
      <w:r w:rsidRPr="009714E7">
        <w:t>Civil penalty:</w:t>
      </w:r>
      <w:r w:rsidRPr="009714E7">
        <w:tab/>
        <w:t>2,000 penalty units.</w:t>
      </w:r>
    </w:p>
    <w:p w:rsidR="001863E2" w:rsidRPr="009714E7" w:rsidRDefault="001863E2" w:rsidP="009714E7">
      <w:pPr>
        <w:pStyle w:val="SubsectionHead"/>
      </w:pPr>
      <w:r w:rsidRPr="009714E7">
        <w:t>Offence</w:t>
      </w:r>
    </w:p>
    <w:p w:rsidR="001863E2" w:rsidRPr="009714E7" w:rsidRDefault="001863E2" w:rsidP="009714E7">
      <w:pPr>
        <w:pStyle w:val="subsection"/>
      </w:pPr>
      <w:r w:rsidRPr="009714E7">
        <w:tab/>
        <w:t>(3)</w:t>
      </w:r>
      <w:r w:rsidRPr="009714E7">
        <w:tab/>
        <w:t>A person commits an offence if:</w:t>
      </w:r>
    </w:p>
    <w:p w:rsidR="001863E2" w:rsidRPr="009714E7" w:rsidRDefault="001863E2" w:rsidP="009714E7">
      <w:pPr>
        <w:pStyle w:val="paragraph"/>
      </w:pPr>
      <w:r w:rsidRPr="009714E7">
        <w:tab/>
        <w:t>(a)</w:t>
      </w:r>
      <w:r w:rsidRPr="009714E7">
        <w:tab/>
        <w:t xml:space="preserve">the person is subject to a requirement under </w:t>
      </w:r>
      <w:r w:rsidR="009714E7" w:rsidRPr="009714E7">
        <w:t>subsection (</w:t>
      </w:r>
      <w:r w:rsidRPr="009714E7">
        <w:t>2); and</w:t>
      </w:r>
    </w:p>
    <w:p w:rsidR="001863E2" w:rsidRPr="009714E7" w:rsidRDefault="001863E2" w:rsidP="009714E7">
      <w:pPr>
        <w:pStyle w:val="paragraph"/>
      </w:pPr>
      <w:r w:rsidRPr="009714E7">
        <w:tab/>
        <w:t>(b)</w:t>
      </w:r>
      <w:r w:rsidRPr="009714E7">
        <w:tab/>
        <w:t>the person engages in conduct; and</w:t>
      </w:r>
    </w:p>
    <w:p w:rsidR="001863E2" w:rsidRPr="009714E7" w:rsidRDefault="001863E2" w:rsidP="009714E7">
      <w:pPr>
        <w:pStyle w:val="paragraph"/>
      </w:pPr>
      <w:r w:rsidRPr="009714E7">
        <w:tab/>
        <w:t>(c)</w:t>
      </w:r>
      <w:r w:rsidRPr="009714E7">
        <w:tab/>
        <w:t>the conduct contravenes the requirement.</w:t>
      </w:r>
    </w:p>
    <w:p w:rsidR="001863E2" w:rsidRPr="009714E7" w:rsidRDefault="001863E2" w:rsidP="009714E7">
      <w:pPr>
        <w:pStyle w:val="Penalty"/>
      </w:pPr>
      <w:r w:rsidRPr="009714E7">
        <w:t>Criminal penalty:</w:t>
      </w:r>
      <w:r w:rsidRPr="009714E7">
        <w:tab/>
        <w:t>50 penalty units.</w:t>
      </w:r>
    </w:p>
    <w:p w:rsidR="001863E2" w:rsidRPr="009714E7" w:rsidRDefault="001863E2" w:rsidP="009714E7">
      <w:pPr>
        <w:pStyle w:val="ActHead7"/>
        <w:pageBreakBefore/>
      </w:pPr>
      <w:bookmarkStart w:id="48" w:name="_Toc508110094"/>
      <w:r w:rsidRPr="009714E7">
        <w:rPr>
          <w:rStyle w:val="CharAmPartNo"/>
        </w:rPr>
        <w:lastRenderedPageBreak/>
        <w:t>Part</w:t>
      </w:r>
      <w:r w:rsidR="009714E7" w:rsidRPr="009714E7">
        <w:rPr>
          <w:rStyle w:val="CharAmPartNo"/>
        </w:rPr>
        <w:t> </w:t>
      </w:r>
      <w:r w:rsidRPr="009714E7">
        <w:rPr>
          <w:rStyle w:val="CharAmPartNo"/>
        </w:rPr>
        <w:t>3</w:t>
      </w:r>
      <w:r w:rsidRPr="009714E7">
        <w:t>—</w:t>
      </w:r>
      <w:r w:rsidRPr="009714E7">
        <w:rPr>
          <w:rStyle w:val="CharAmPartText"/>
        </w:rPr>
        <w:t>Interest charges</w:t>
      </w:r>
      <w:bookmarkEnd w:id="48"/>
    </w:p>
    <w:p w:rsidR="001863E2" w:rsidRPr="009714E7" w:rsidRDefault="001863E2" w:rsidP="009714E7">
      <w:pPr>
        <w:pStyle w:val="ActHead9"/>
        <w:rPr>
          <w:i w:val="0"/>
        </w:rPr>
      </w:pPr>
      <w:bookmarkStart w:id="49" w:name="_Toc508110095"/>
      <w:r w:rsidRPr="009714E7">
        <w:t>National Consumer Credit Protection Act 2009</w:t>
      </w:r>
      <w:bookmarkEnd w:id="49"/>
    </w:p>
    <w:p w:rsidR="001863E2" w:rsidRPr="009714E7" w:rsidRDefault="001863E2" w:rsidP="009714E7">
      <w:pPr>
        <w:pStyle w:val="ItemHead"/>
      </w:pPr>
      <w:r w:rsidRPr="009714E7">
        <w:t>19  Section</w:t>
      </w:r>
      <w:r w:rsidR="009714E7" w:rsidRPr="009714E7">
        <w:t> </w:t>
      </w:r>
      <w:r w:rsidRPr="009714E7">
        <w:t>133B (after the paragraph relating to Division</w:t>
      </w:r>
      <w:r w:rsidR="009714E7" w:rsidRPr="009714E7">
        <w:t> </w:t>
      </w:r>
      <w:r w:rsidRPr="009714E7">
        <w:t>6)</w:t>
      </w:r>
    </w:p>
    <w:p w:rsidR="001863E2" w:rsidRPr="009714E7" w:rsidRDefault="001863E2" w:rsidP="009714E7">
      <w:pPr>
        <w:pStyle w:val="Item"/>
      </w:pPr>
      <w:r w:rsidRPr="009714E7">
        <w:t>Insert:</w:t>
      </w:r>
    </w:p>
    <w:p w:rsidR="001863E2" w:rsidRPr="009714E7" w:rsidRDefault="001863E2" w:rsidP="009714E7">
      <w:pPr>
        <w:pStyle w:val="BoxText"/>
      </w:pPr>
      <w:r w:rsidRPr="009714E7">
        <w:t>Division</w:t>
      </w:r>
      <w:r w:rsidR="009714E7" w:rsidRPr="009714E7">
        <w:t> </w:t>
      </w:r>
      <w:r w:rsidRPr="009714E7">
        <w:t>7 imposes requirements relating to application of interest charges under credit card contracts.</w:t>
      </w:r>
    </w:p>
    <w:p w:rsidR="001863E2" w:rsidRPr="009714E7" w:rsidRDefault="001863E2" w:rsidP="009714E7">
      <w:pPr>
        <w:pStyle w:val="ItemHead"/>
      </w:pPr>
      <w:r w:rsidRPr="009714E7">
        <w:t>20  At the end of Part</w:t>
      </w:r>
      <w:r w:rsidR="009714E7" w:rsidRPr="009714E7">
        <w:t> </w:t>
      </w:r>
      <w:r w:rsidRPr="009714E7">
        <w:t>3</w:t>
      </w:r>
      <w:r w:rsidR="00C83714">
        <w:noBreakHyphen/>
      </w:r>
      <w:r w:rsidRPr="009714E7">
        <w:t>2B</w:t>
      </w:r>
    </w:p>
    <w:p w:rsidR="001863E2" w:rsidRPr="009714E7" w:rsidRDefault="001863E2" w:rsidP="009714E7">
      <w:pPr>
        <w:pStyle w:val="Item"/>
      </w:pPr>
      <w:r w:rsidRPr="009714E7">
        <w:t>Add:</w:t>
      </w:r>
    </w:p>
    <w:p w:rsidR="001863E2" w:rsidRPr="009714E7" w:rsidRDefault="001863E2" w:rsidP="009714E7">
      <w:pPr>
        <w:pStyle w:val="ActHead3"/>
      </w:pPr>
      <w:bookmarkStart w:id="50" w:name="_Toc508110096"/>
      <w:r w:rsidRPr="009714E7">
        <w:rPr>
          <w:rStyle w:val="CharDivNo"/>
        </w:rPr>
        <w:t>Division</w:t>
      </w:r>
      <w:r w:rsidR="009714E7" w:rsidRPr="009714E7">
        <w:rPr>
          <w:rStyle w:val="CharDivNo"/>
        </w:rPr>
        <w:t> </w:t>
      </w:r>
      <w:r w:rsidRPr="009714E7">
        <w:rPr>
          <w:rStyle w:val="CharDivNo"/>
        </w:rPr>
        <w:t>7</w:t>
      </w:r>
      <w:r w:rsidRPr="009714E7">
        <w:t>—</w:t>
      </w:r>
      <w:r w:rsidRPr="009714E7">
        <w:rPr>
          <w:rStyle w:val="CharDivText"/>
        </w:rPr>
        <w:t>Calculation of interest under credit card contracts</w:t>
      </w:r>
      <w:bookmarkEnd w:id="50"/>
    </w:p>
    <w:p w:rsidR="001863E2" w:rsidRPr="009714E7" w:rsidRDefault="001863E2" w:rsidP="009714E7">
      <w:pPr>
        <w:pStyle w:val="ActHead5"/>
      </w:pPr>
      <w:bookmarkStart w:id="51" w:name="_Toc508110097"/>
      <w:r w:rsidRPr="009714E7">
        <w:rPr>
          <w:rStyle w:val="CharSectno"/>
        </w:rPr>
        <w:t>133BS</w:t>
      </w:r>
      <w:r w:rsidRPr="009714E7">
        <w:t xml:space="preserve">  Credit provider not to impose retrospective interest charges</w:t>
      </w:r>
      <w:bookmarkEnd w:id="51"/>
    </w:p>
    <w:p w:rsidR="001863E2" w:rsidRPr="009714E7" w:rsidRDefault="001863E2" w:rsidP="009714E7">
      <w:pPr>
        <w:pStyle w:val="SubsectionHead"/>
      </w:pPr>
      <w:r w:rsidRPr="009714E7">
        <w:t>Requirement</w:t>
      </w:r>
    </w:p>
    <w:p w:rsidR="001863E2" w:rsidRPr="009714E7" w:rsidRDefault="001863E2" w:rsidP="009714E7">
      <w:pPr>
        <w:pStyle w:val="subsection"/>
      </w:pPr>
      <w:r w:rsidRPr="009714E7">
        <w:tab/>
        <w:t>(1)</w:t>
      </w:r>
      <w:r w:rsidRPr="009714E7">
        <w:tab/>
        <w:t>A licensee who is the credit card provider under a credit card contract must not, in relation to a statement period covered by a statement of account, impose on the consumer who is the debtor under the contract a liability to pay a rate of interest if the rate of interest would:</w:t>
      </w:r>
    </w:p>
    <w:p w:rsidR="001863E2" w:rsidRPr="009714E7" w:rsidRDefault="001863E2" w:rsidP="009714E7">
      <w:pPr>
        <w:pStyle w:val="paragraph"/>
      </w:pPr>
      <w:r w:rsidRPr="009714E7">
        <w:tab/>
        <w:t>(a)</w:t>
      </w:r>
      <w:r w:rsidRPr="009714E7">
        <w:tab/>
        <w:t>be applied to the balance, or a part of the balance, of the credit card contract</w:t>
      </w:r>
      <w:r w:rsidRPr="009714E7">
        <w:rPr>
          <w:i/>
        </w:rPr>
        <w:t xml:space="preserve"> </w:t>
      </w:r>
      <w:r w:rsidRPr="009714E7">
        <w:t>on a day in the statement period; and</w:t>
      </w:r>
    </w:p>
    <w:p w:rsidR="001863E2" w:rsidRPr="009714E7" w:rsidRDefault="001863E2" w:rsidP="009714E7">
      <w:pPr>
        <w:pStyle w:val="paragraph"/>
      </w:pPr>
      <w:r w:rsidRPr="009714E7">
        <w:tab/>
        <w:t>(b)</w:t>
      </w:r>
      <w:r w:rsidRPr="009714E7">
        <w:tab/>
        <w:t>be applied because of facts or circumstances coming into existence after that day; and</w:t>
      </w:r>
    </w:p>
    <w:p w:rsidR="001863E2" w:rsidRPr="009714E7" w:rsidRDefault="001863E2" w:rsidP="009714E7">
      <w:pPr>
        <w:pStyle w:val="paragraph"/>
      </w:pPr>
      <w:r w:rsidRPr="009714E7">
        <w:tab/>
        <w:t>(c)</w:t>
      </w:r>
      <w:r w:rsidRPr="009714E7">
        <w:tab/>
        <w:t>be higher than the rate of interest (including nil) that would have been applied to that balance, or that part of the balance, on that day if those facts and circumstances had not come into existence.</w:t>
      </w:r>
    </w:p>
    <w:p w:rsidR="001863E2" w:rsidRPr="009714E7" w:rsidRDefault="001863E2" w:rsidP="009714E7">
      <w:pPr>
        <w:pStyle w:val="Penalty"/>
      </w:pPr>
      <w:r w:rsidRPr="009714E7">
        <w:t>Civil penalty:</w:t>
      </w:r>
      <w:r w:rsidRPr="009714E7">
        <w:tab/>
        <w:t>2,000 penalty units.</w:t>
      </w:r>
    </w:p>
    <w:p w:rsidR="001863E2" w:rsidRPr="009714E7" w:rsidRDefault="001863E2" w:rsidP="009714E7">
      <w:pPr>
        <w:pStyle w:val="SubsectionHead"/>
      </w:pPr>
      <w:r w:rsidRPr="009714E7">
        <w:lastRenderedPageBreak/>
        <w:t>Offence</w:t>
      </w:r>
    </w:p>
    <w:p w:rsidR="001863E2" w:rsidRPr="009714E7" w:rsidRDefault="001863E2" w:rsidP="009714E7">
      <w:pPr>
        <w:pStyle w:val="subsection"/>
      </w:pPr>
      <w:r w:rsidRPr="009714E7">
        <w:tab/>
        <w:t>(2)</w:t>
      </w:r>
      <w:r w:rsidRPr="009714E7">
        <w:tab/>
        <w:t>A person commits an offence if:</w:t>
      </w:r>
    </w:p>
    <w:p w:rsidR="001863E2" w:rsidRPr="009714E7" w:rsidRDefault="001863E2" w:rsidP="009714E7">
      <w:pPr>
        <w:pStyle w:val="paragraph"/>
      </w:pPr>
      <w:r w:rsidRPr="009714E7">
        <w:tab/>
        <w:t>(a)</w:t>
      </w:r>
      <w:r w:rsidRPr="009714E7">
        <w:tab/>
        <w:t xml:space="preserve">the person is subject to a requirement under </w:t>
      </w:r>
      <w:r w:rsidR="009714E7" w:rsidRPr="009714E7">
        <w:t>subsection (</w:t>
      </w:r>
      <w:r w:rsidRPr="009714E7">
        <w:t>1); and</w:t>
      </w:r>
    </w:p>
    <w:p w:rsidR="001863E2" w:rsidRPr="009714E7" w:rsidRDefault="001863E2" w:rsidP="009714E7">
      <w:pPr>
        <w:pStyle w:val="paragraph"/>
      </w:pPr>
      <w:r w:rsidRPr="009714E7">
        <w:tab/>
        <w:t>(b)</w:t>
      </w:r>
      <w:r w:rsidRPr="009714E7">
        <w:tab/>
        <w:t>the person engages in conduct; and</w:t>
      </w:r>
    </w:p>
    <w:p w:rsidR="001863E2" w:rsidRPr="009714E7" w:rsidRDefault="001863E2" w:rsidP="009714E7">
      <w:pPr>
        <w:pStyle w:val="paragraph"/>
      </w:pPr>
      <w:r w:rsidRPr="009714E7">
        <w:tab/>
        <w:t>(c)</w:t>
      </w:r>
      <w:r w:rsidRPr="009714E7">
        <w:tab/>
        <w:t>the conduct contravenes the requirement.</w:t>
      </w:r>
    </w:p>
    <w:p w:rsidR="001863E2" w:rsidRPr="009714E7" w:rsidRDefault="001863E2" w:rsidP="009714E7">
      <w:pPr>
        <w:pStyle w:val="Penalty"/>
      </w:pPr>
      <w:r w:rsidRPr="009714E7">
        <w:t>Criminal penalty:</w:t>
      </w:r>
      <w:r w:rsidRPr="009714E7">
        <w:tab/>
        <w:t>50 penalty units.</w:t>
      </w:r>
    </w:p>
    <w:p w:rsidR="001863E2" w:rsidRPr="009714E7" w:rsidRDefault="001863E2" w:rsidP="009714E7">
      <w:pPr>
        <w:pStyle w:val="ActHead7"/>
        <w:pageBreakBefore/>
      </w:pPr>
      <w:bookmarkStart w:id="52" w:name="_Toc508110098"/>
      <w:r w:rsidRPr="009714E7">
        <w:rPr>
          <w:rStyle w:val="CharAmPartNo"/>
        </w:rPr>
        <w:lastRenderedPageBreak/>
        <w:t>Part</w:t>
      </w:r>
      <w:r w:rsidR="009714E7" w:rsidRPr="009714E7">
        <w:rPr>
          <w:rStyle w:val="CharAmPartNo"/>
        </w:rPr>
        <w:t> </w:t>
      </w:r>
      <w:r w:rsidRPr="009714E7">
        <w:rPr>
          <w:rStyle w:val="CharAmPartNo"/>
        </w:rPr>
        <w:t>4</w:t>
      </w:r>
      <w:r w:rsidRPr="009714E7">
        <w:t>—</w:t>
      </w:r>
      <w:r w:rsidRPr="009714E7">
        <w:rPr>
          <w:rStyle w:val="CharAmPartText"/>
        </w:rPr>
        <w:t>Ending credit card contracts</w:t>
      </w:r>
      <w:bookmarkEnd w:id="52"/>
    </w:p>
    <w:p w:rsidR="001863E2" w:rsidRPr="009714E7" w:rsidRDefault="001863E2" w:rsidP="009714E7">
      <w:pPr>
        <w:pStyle w:val="ActHead9"/>
        <w:rPr>
          <w:i w:val="0"/>
        </w:rPr>
      </w:pPr>
      <w:bookmarkStart w:id="53" w:name="_Toc508110099"/>
      <w:r w:rsidRPr="009714E7">
        <w:t>National Consumer Credit Protection Act 2009</w:t>
      </w:r>
      <w:bookmarkEnd w:id="53"/>
    </w:p>
    <w:p w:rsidR="001863E2" w:rsidRPr="009714E7" w:rsidRDefault="001863E2" w:rsidP="009714E7">
      <w:pPr>
        <w:pStyle w:val="ItemHead"/>
      </w:pPr>
      <w:r w:rsidRPr="009714E7">
        <w:t>21  Subsection</w:t>
      </w:r>
      <w:r w:rsidR="009714E7" w:rsidRPr="009714E7">
        <w:t> </w:t>
      </w:r>
      <w:r w:rsidRPr="009714E7">
        <w:t>5(1)</w:t>
      </w:r>
    </w:p>
    <w:p w:rsidR="001863E2" w:rsidRPr="009714E7" w:rsidRDefault="001863E2" w:rsidP="009714E7">
      <w:pPr>
        <w:pStyle w:val="Item"/>
      </w:pPr>
      <w:r w:rsidRPr="009714E7">
        <w:t>Insert:</w:t>
      </w:r>
    </w:p>
    <w:p w:rsidR="001863E2" w:rsidRPr="009714E7" w:rsidRDefault="001863E2" w:rsidP="009714E7">
      <w:pPr>
        <w:pStyle w:val="Definition"/>
      </w:pPr>
      <w:r w:rsidRPr="009714E7">
        <w:rPr>
          <w:b/>
          <w:i/>
        </w:rPr>
        <w:t>credit card termination entitlement</w:t>
      </w:r>
      <w:r w:rsidRPr="009714E7">
        <w:t>: see subsection</w:t>
      </w:r>
      <w:r w:rsidR="009714E7" w:rsidRPr="009714E7">
        <w:t> </w:t>
      </w:r>
      <w:r w:rsidRPr="009714E7">
        <w:t>133BT(3).</w:t>
      </w:r>
    </w:p>
    <w:p w:rsidR="001863E2" w:rsidRPr="009714E7" w:rsidRDefault="001863E2" w:rsidP="009714E7">
      <w:pPr>
        <w:pStyle w:val="ItemHead"/>
      </w:pPr>
      <w:r w:rsidRPr="009714E7">
        <w:t>22  At the end of section</w:t>
      </w:r>
      <w:r w:rsidR="009714E7" w:rsidRPr="009714E7">
        <w:t> </w:t>
      </w:r>
      <w:r w:rsidRPr="009714E7">
        <w:t>133B</w:t>
      </w:r>
    </w:p>
    <w:p w:rsidR="001863E2" w:rsidRPr="009714E7" w:rsidRDefault="001863E2" w:rsidP="009714E7">
      <w:pPr>
        <w:pStyle w:val="Item"/>
      </w:pPr>
      <w:r w:rsidRPr="009714E7">
        <w:t>Add:</w:t>
      </w:r>
    </w:p>
    <w:p w:rsidR="001863E2" w:rsidRPr="009714E7" w:rsidRDefault="001863E2" w:rsidP="009714E7">
      <w:pPr>
        <w:pStyle w:val="BoxText"/>
      </w:pPr>
      <w:r w:rsidRPr="009714E7">
        <w:t>Division</w:t>
      </w:r>
      <w:r w:rsidR="009714E7" w:rsidRPr="009714E7">
        <w:t> </w:t>
      </w:r>
      <w:r w:rsidRPr="009714E7">
        <w:t>8 imposes requirements aimed at ensuring the consumer can terminate a credit card contract.</w:t>
      </w:r>
    </w:p>
    <w:p w:rsidR="001863E2" w:rsidRPr="009714E7" w:rsidRDefault="001863E2" w:rsidP="009714E7">
      <w:pPr>
        <w:pStyle w:val="ItemHead"/>
      </w:pPr>
      <w:r w:rsidRPr="009714E7">
        <w:t>23  Before Part</w:t>
      </w:r>
      <w:r w:rsidR="009714E7" w:rsidRPr="009714E7">
        <w:t> </w:t>
      </w:r>
      <w:r w:rsidRPr="009714E7">
        <w:t>3</w:t>
      </w:r>
      <w:r w:rsidR="00C83714">
        <w:noBreakHyphen/>
      </w:r>
      <w:r w:rsidRPr="009714E7">
        <w:t>2C</w:t>
      </w:r>
    </w:p>
    <w:p w:rsidR="001863E2" w:rsidRPr="009714E7" w:rsidRDefault="001863E2" w:rsidP="009714E7">
      <w:pPr>
        <w:pStyle w:val="Item"/>
      </w:pPr>
      <w:r w:rsidRPr="009714E7">
        <w:t>Insert:</w:t>
      </w:r>
    </w:p>
    <w:p w:rsidR="001863E2" w:rsidRPr="009714E7" w:rsidRDefault="001863E2" w:rsidP="009714E7">
      <w:pPr>
        <w:pStyle w:val="ActHead3"/>
      </w:pPr>
      <w:bookmarkStart w:id="54" w:name="_Toc508110100"/>
      <w:r w:rsidRPr="009714E7">
        <w:rPr>
          <w:rStyle w:val="CharDivNo"/>
        </w:rPr>
        <w:t>Division</w:t>
      </w:r>
      <w:r w:rsidR="009714E7" w:rsidRPr="009714E7">
        <w:rPr>
          <w:rStyle w:val="CharDivNo"/>
        </w:rPr>
        <w:t> </w:t>
      </w:r>
      <w:r w:rsidRPr="009714E7">
        <w:rPr>
          <w:rStyle w:val="CharDivNo"/>
        </w:rPr>
        <w:t>8</w:t>
      </w:r>
      <w:r w:rsidRPr="009714E7">
        <w:t>—</w:t>
      </w:r>
      <w:r w:rsidRPr="009714E7">
        <w:rPr>
          <w:rStyle w:val="CharDivText"/>
        </w:rPr>
        <w:t>Ending credit card contracts</w:t>
      </w:r>
      <w:bookmarkEnd w:id="54"/>
    </w:p>
    <w:p w:rsidR="001863E2" w:rsidRPr="009714E7" w:rsidRDefault="001863E2" w:rsidP="009714E7">
      <w:pPr>
        <w:pStyle w:val="ActHead5"/>
      </w:pPr>
      <w:bookmarkStart w:id="55" w:name="_Toc508110101"/>
      <w:r w:rsidRPr="009714E7">
        <w:rPr>
          <w:rStyle w:val="CharSectno"/>
        </w:rPr>
        <w:t>133BT</w:t>
      </w:r>
      <w:r w:rsidRPr="009714E7">
        <w:t xml:space="preserve">  Credit provider not to enter into credit card contract unless it allows for termination of contracts</w:t>
      </w:r>
      <w:bookmarkEnd w:id="55"/>
    </w:p>
    <w:p w:rsidR="001863E2" w:rsidRPr="009714E7" w:rsidRDefault="001863E2" w:rsidP="009714E7">
      <w:pPr>
        <w:pStyle w:val="SubsectionHead"/>
      </w:pPr>
      <w:r w:rsidRPr="009714E7">
        <w:t>Requirement</w:t>
      </w:r>
    </w:p>
    <w:p w:rsidR="001863E2" w:rsidRPr="009714E7" w:rsidRDefault="001863E2" w:rsidP="009714E7">
      <w:pPr>
        <w:pStyle w:val="subsection"/>
      </w:pPr>
      <w:r w:rsidRPr="009714E7">
        <w:tab/>
        <w:t>(1)</w:t>
      </w:r>
      <w:r w:rsidRPr="009714E7">
        <w:tab/>
        <w:t>A licensee must not enter into</w:t>
      </w:r>
      <w:r w:rsidRPr="009714E7">
        <w:rPr>
          <w:i/>
        </w:rPr>
        <w:t xml:space="preserve">, </w:t>
      </w:r>
      <w:r w:rsidRPr="009714E7">
        <w:t>or offer to enter into, a credit card contract under which the licensee would be the credit provider, if the consumer who would be the debtor under the contract would not have a credit card termination entitlement under the contract.</w:t>
      </w:r>
    </w:p>
    <w:p w:rsidR="001863E2" w:rsidRPr="009714E7" w:rsidRDefault="001863E2" w:rsidP="009714E7">
      <w:pPr>
        <w:pStyle w:val="Penalty"/>
      </w:pPr>
      <w:r w:rsidRPr="009714E7">
        <w:t>Civil penalty:</w:t>
      </w:r>
      <w:r w:rsidRPr="009714E7">
        <w:tab/>
        <w:t>2,000 penalty units.</w:t>
      </w:r>
    </w:p>
    <w:p w:rsidR="001863E2" w:rsidRPr="009714E7" w:rsidRDefault="001863E2" w:rsidP="009714E7">
      <w:pPr>
        <w:pStyle w:val="SubsectionHead"/>
      </w:pPr>
      <w:r w:rsidRPr="009714E7">
        <w:t>Offence</w:t>
      </w:r>
    </w:p>
    <w:p w:rsidR="001863E2" w:rsidRPr="009714E7" w:rsidRDefault="001863E2" w:rsidP="009714E7">
      <w:pPr>
        <w:pStyle w:val="subsection"/>
      </w:pPr>
      <w:r w:rsidRPr="009714E7">
        <w:tab/>
        <w:t>(2)</w:t>
      </w:r>
      <w:r w:rsidRPr="009714E7">
        <w:tab/>
        <w:t>A person commits an offence if:</w:t>
      </w:r>
    </w:p>
    <w:p w:rsidR="001863E2" w:rsidRPr="009714E7" w:rsidRDefault="001863E2" w:rsidP="009714E7">
      <w:pPr>
        <w:pStyle w:val="paragraph"/>
      </w:pPr>
      <w:r w:rsidRPr="009714E7">
        <w:tab/>
        <w:t>(a)</w:t>
      </w:r>
      <w:r w:rsidRPr="009714E7">
        <w:tab/>
        <w:t xml:space="preserve">the person is subject to a requirement under </w:t>
      </w:r>
      <w:r w:rsidR="009714E7" w:rsidRPr="009714E7">
        <w:t>subsection (</w:t>
      </w:r>
      <w:r w:rsidRPr="009714E7">
        <w:t>1); and</w:t>
      </w:r>
    </w:p>
    <w:p w:rsidR="001863E2" w:rsidRPr="009714E7" w:rsidRDefault="001863E2" w:rsidP="009714E7">
      <w:pPr>
        <w:pStyle w:val="paragraph"/>
      </w:pPr>
      <w:r w:rsidRPr="009714E7">
        <w:tab/>
        <w:t>(b)</w:t>
      </w:r>
      <w:r w:rsidRPr="009714E7">
        <w:tab/>
        <w:t>the person engages in conduct; and</w:t>
      </w:r>
    </w:p>
    <w:p w:rsidR="001863E2" w:rsidRPr="009714E7" w:rsidRDefault="001863E2" w:rsidP="009714E7">
      <w:pPr>
        <w:pStyle w:val="paragraph"/>
      </w:pPr>
      <w:r w:rsidRPr="009714E7">
        <w:lastRenderedPageBreak/>
        <w:tab/>
        <w:t>(c)</w:t>
      </w:r>
      <w:r w:rsidRPr="009714E7">
        <w:tab/>
        <w:t>the conduct contravenes the requirement.</w:t>
      </w:r>
    </w:p>
    <w:p w:rsidR="001863E2" w:rsidRPr="009714E7" w:rsidRDefault="001863E2" w:rsidP="009714E7">
      <w:pPr>
        <w:pStyle w:val="Penalty"/>
      </w:pPr>
      <w:r w:rsidRPr="009714E7">
        <w:t>Criminal penalty:</w:t>
      </w:r>
      <w:r w:rsidRPr="009714E7">
        <w:tab/>
        <w:t>50 penalty units.</w:t>
      </w:r>
    </w:p>
    <w:p w:rsidR="001863E2" w:rsidRPr="009714E7" w:rsidRDefault="001863E2" w:rsidP="009714E7">
      <w:pPr>
        <w:pStyle w:val="SubsectionHead"/>
        <w:rPr>
          <w:b/>
        </w:rPr>
      </w:pPr>
      <w:r w:rsidRPr="009714E7">
        <w:t xml:space="preserve">Meaning of </w:t>
      </w:r>
      <w:r w:rsidRPr="009714E7">
        <w:rPr>
          <w:b/>
        </w:rPr>
        <w:t>credit card termination entitlement</w:t>
      </w:r>
    </w:p>
    <w:p w:rsidR="001863E2" w:rsidRPr="009714E7" w:rsidRDefault="001863E2" w:rsidP="009714E7">
      <w:pPr>
        <w:pStyle w:val="subsection"/>
      </w:pPr>
      <w:r w:rsidRPr="009714E7">
        <w:tab/>
        <w:t>(3)</w:t>
      </w:r>
      <w:r w:rsidRPr="009714E7">
        <w:tab/>
        <w:t xml:space="preserve">A consumer who is the debtor under a credit card contract has a </w:t>
      </w:r>
      <w:r w:rsidRPr="009714E7">
        <w:rPr>
          <w:b/>
          <w:i/>
        </w:rPr>
        <w:t>credit card termination entitlement</w:t>
      </w:r>
      <w:r w:rsidRPr="009714E7">
        <w:t xml:space="preserve"> under the contract if the consumer is entitled, under the contract, to terminate the credit card contract.</w:t>
      </w:r>
    </w:p>
    <w:p w:rsidR="001863E2" w:rsidRPr="009714E7" w:rsidRDefault="001863E2" w:rsidP="009714E7">
      <w:pPr>
        <w:pStyle w:val="ActHead5"/>
      </w:pPr>
      <w:bookmarkStart w:id="56" w:name="_Toc508110102"/>
      <w:r w:rsidRPr="009714E7">
        <w:rPr>
          <w:rStyle w:val="CharSectno"/>
        </w:rPr>
        <w:t>133BU</w:t>
      </w:r>
      <w:r w:rsidRPr="009714E7">
        <w:t xml:space="preserve">  Credit provider to provide online capacity to request termination of credit card contract</w:t>
      </w:r>
      <w:bookmarkEnd w:id="56"/>
    </w:p>
    <w:p w:rsidR="001863E2" w:rsidRPr="009714E7" w:rsidRDefault="001863E2" w:rsidP="009714E7">
      <w:pPr>
        <w:pStyle w:val="SubsectionHead"/>
      </w:pPr>
      <w:r w:rsidRPr="009714E7">
        <w:t>When this section applies</w:t>
      </w:r>
    </w:p>
    <w:p w:rsidR="001863E2" w:rsidRPr="009714E7" w:rsidRDefault="001863E2" w:rsidP="009714E7">
      <w:pPr>
        <w:pStyle w:val="subsection"/>
      </w:pPr>
      <w:r w:rsidRPr="009714E7">
        <w:tab/>
        <w:t>(1)</w:t>
      </w:r>
      <w:r w:rsidRPr="009714E7">
        <w:tab/>
        <w:t xml:space="preserve">This section applies if a consumer who is the debtor under a credit card contract has a credit card termination entitlement under the contract on a day (the </w:t>
      </w:r>
      <w:r w:rsidRPr="009714E7">
        <w:rPr>
          <w:b/>
          <w:i/>
        </w:rPr>
        <w:t>online termination day</w:t>
      </w:r>
      <w:r w:rsidRPr="009714E7">
        <w:t>).</w:t>
      </w:r>
    </w:p>
    <w:p w:rsidR="001863E2" w:rsidRPr="009714E7" w:rsidRDefault="001863E2" w:rsidP="009714E7">
      <w:pPr>
        <w:pStyle w:val="SubsectionHead"/>
      </w:pPr>
      <w:r w:rsidRPr="009714E7">
        <w:t>Requirement</w:t>
      </w:r>
    </w:p>
    <w:p w:rsidR="001863E2" w:rsidRPr="009714E7" w:rsidRDefault="001863E2" w:rsidP="009714E7">
      <w:pPr>
        <w:pStyle w:val="subsection"/>
      </w:pPr>
      <w:r w:rsidRPr="009714E7">
        <w:tab/>
        <w:t>(2)</w:t>
      </w:r>
      <w:r w:rsidRPr="009714E7">
        <w:tab/>
        <w:t>The licensee who is the credit provider under the credit card contract must establish and maintain a website that satisfies all of the following paragraphs:</w:t>
      </w:r>
    </w:p>
    <w:p w:rsidR="001863E2" w:rsidRPr="009714E7" w:rsidRDefault="001863E2" w:rsidP="009714E7">
      <w:pPr>
        <w:pStyle w:val="paragraph"/>
      </w:pPr>
      <w:r w:rsidRPr="009714E7">
        <w:tab/>
        <w:t>(a)</w:t>
      </w:r>
      <w:r w:rsidRPr="009714E7">
        <w:tab/>
        <w:t>the website tells the consumer that the consumer may use the website to request to terminate the credit card contract;</w:t>
      </w:r>
    </w:p>
    <w:p w:rsidR="001863E2" w:rsidRPr="009714E7" w:rsidRDefault="001863E2" w:rsidP="009714E7">
      <w:pPr>
        <w:pStyle w:val="paragraph"/>
      </w:pPr>
      <w:r w:rsidRPr="009714E7">
        <w:tab/>
        <w:t>(b)</w:t>
      </w:r>
      <w:r w:rsidRPr="009714E7">
        <w:tab/>
        <w:t>the website:</w:t>
      </w:r>
    </w:p>
    <w:p w:rsidR="001863E2" w:rsidRPr="009714E7" w:rsidRDefault="001863E2" w:rsidP="009714E7">
      <w:pPr>
        <w:pStyle w:val="paragraphsub"/>
      </w:pPr>
      <w:r w:rsidRPr="009714E7">
        <w:tab/>
        <w:t>(i)</w:t>
      </w:r>
      <w:r w:rsidRPr="009714E7">
        <w:tab/>
        <w:t>tells the consumer what information the consumer will need to enter in order to request to terminate the credit card contract; and</w:t>
      </w:r>
    </w:p>
    <w:p w:rsidR="001863E2" w:rsidRPr="009714E7" w:rsidRDefault="001863E2" w:rsidP="009714E7">
      <w:pPr>
        <w:pStyle w:val="paragraphsub"/>
      </w:pPr>
      <w:r w:rsidRPr="009714E7">
        <w:tab/>
        <w:t>(ii)</w:t>
      </w:r>
      <w:r w:rsidRPr="009714E7">
        <w:tab/>
        <w:t>provides the consumer with instructions on how to request to terminate the credit card contract;</w:t>
      </w:r>
    </w:p>
    <w:p w:rsidR="001863E2" w:rsidRPr="009714E7" w:rsidRDefault="001863E2" w:rsidP="009714E7">
      <w:pPr>
        <w:pStyle w:val="paragraph"/>
      </w:pPr>
      <w:r w:rsidRPr="009714E7">
        <w:tab/>
        <w:t>(c)</w:t>
      </w:r>
      <w:r w:rsidRPr="009714E7">
        <w:tab/>
        <w:t>if the consumer enters the information and follows those instructions, the consumer can use the website to request to terminate the credit card contract;</w:t>
      </w:r>
    </w:p>
    <w:p w:rsidR="001863E2" w:rsidRPr="009714E7" w:rsidRDefault="001863E2" w:rsidP="009714E7">
      <w:pPr>
        <w:pStyle w:val="paragraph"/>
      </w:pPr>
      <w:r w:rsidRPr="009714E7">
        <w:tab/>
        <w:t>(d)</w:t>
      </w:r>
      <w:r w:rsidRPr="009714E7">
        <w:tab/>
        <w:t>the website is available on the online termination day.</w:t>
      </w:r>
    </w:p>
    <w:p w:rsidR="001863E2" w:rsidRPr="009714E7" w:rsidRDefault="001863E2" w:rsidP="009714E7">
      <w:pPr>
        <w:pStyle w:val="Penalty"/>
      </w:pPr>
      <w:r w:rsidRPr="009714E7">
        <w:t>Civil penalty:</w:t>
      </w:r>
      <w:r w:rsidRPr="009714E7">
        <w:tab/>
        <w:t>2,000 penalty units.</w:t>
      </w:r>
    </w:p>
    <w:p w:rsidR="001863E2" w:rsidRPr="009714E7" w:rsidRDefault="001863E2" w:rsidP="009714E7">
      <w:pPr>
        <w:pStyle w:val="SubsectionHead"/>
      </w:pPr>
      <w:r w:rsidRPr="009714E7">
        <w:lastRenderedPageBreak/>
        <w:t>Defence</w:t>
      </w:r>
    </w:p>
    <w:p w:rsidR="001863E2" w:rsidRPr="009714E7" w:rsidRDefault="001863E2" w:rsidP="009714E7">
      <w:pPr>
        <w:pStyle w:val="subsection"/>
      </w:pPr>
      <w:r w:rsidRPr="009714E7">
        <w:tab/>
        <w:t>(3)</w:t>
      </w:r>
      <w:r w:rsidRPr="009714E7">
        <w:tab/>
        <w:t xml:space="preserve">For the purposes of </w:t>
      </w:r>
      <w:r w:rsidR="009714E7" w:rsidRPr="009714E7">
        <w:t>subsection (</w:t>
      </w:r>
      <w:r w:rsidRPr="009714E7">
        <w:t>2), it is a defence if the website is reasonably unavailable on the online termination day.</w:t>
      </w:r>
    </w:p>
    <w:p w:rsidR="001863E2" w:rsidRPr="009714E7" w:rsidRDefault="001863E2" w:rsidP="009714E7">
      <w:pPr>
        <w:pStyle w:val="ActHead5"/>
      </w:pPr>
      <w:bookmarkStart w:id="57" w:name="_Toc508110103"/>
      <w:r w:rsidRPr="009714E7">
        <w:rPr>
          <w:rStyle w:val="CharSectno"/>
        </w:rPr>
        <w:t>133BV</w:t>
      </w:r>
      <w:r w:rsidRPr="009714E7">
        <w:t xml:space="preserve">  Credit provider not to suggest the consumer not terminate the credit card contract</w:t>
      </w:r>
      <w:bookmarkEnd w:id="57"/>
    </w:p>
    <w:p w:rsidR="001863E2" w:rsidRPr="009714E7" w:rsidRDefault="001863E2" w:rsidP="009714E7">
      <w:pPr>
        <w:pStyle w:val="SubsectionHead"/>
      </w:pPr>
      <w:r w:rsidRPr="009714E7">
        <w:t>When this section applies</w:t>
      </w:r>
    </w:p>
    <w:p w:rsidR="001863E2" w:rsidRPr="009714E7" w:rsidRDefault="001863E2" w:rsidP="009714E7">
      <w:pPr>
        <w:pStyle w:val="subsection"/>
      </w:pPr>
      <w:r w:rsidRPr="009714E7">
        <w:tab/>
        <w:t>(1)</w:t>
      </w:r>
      <w:r w:rsidRPr="009714E7">
        <w:tab/>
        <w:t>This section applies if:</w:t>
      </w:r>
    </w:p>
    <w:p w:rsidR="001863E2" w:rsidRPr="009714E7" w:rsidRDefault="001863E2" w:rsidP="009714E7">
      <w:pPr>
        <w:pStyle w:val="paragraph"/>
      </w:pPr>
      <w:r w:rsidRPr="009714E7">
        <w:tab/>
        <w:t>(a)</w:t>
      </w:r>
      <w:r w:rsidRPr="009714E7">
        <w:tab/>
        <w:t>a consumer who is the debtor under a credit card contract has a credit card termination entitlement under the contract; and</w:t>
      </w:r>
    </w:p>
    <w:p w:rsidR="001863E2" w:rsidRPr="009714E7" w:rsidRDefault="001863E2" w:rsidP="009714E7">
      <w:pPr>
        <w:pStyle w:val="paragraph"/>
      </w:pPr>
      <w:r w:rsidRPr="009714E7">
        <w:tab/>
        <w:t>(b)</w:t>
      </w:r>
      <w:r w:rsidRPr="009714E7">
        <w:tab/>
        <w:t>the consumer has requested to terminate the credit card contract.</w:t>
      </w:r>
    </w:p>
    <w:p w:rsidR="001863E2" w:rsidRPr="009714E7" w:rsidRDefault="001863E2" w:rsidP="009714E7">
      <w:pPr>
        <w:pStyle w:val="SubsectionHead"/>
      </w:pPr>
      <w:r w:rsidRPr="009714E7">
        <w:t>Requirement</w:t>
      </w:r>
    </w:p>
    <w:p w:rsidR="001863E2" w:rsidRPr="009714E7" w:rsidRDefault="001863E2" w:rsidP="009714E7">
      <w:pPr>
        <w:pStyle w:val="subsection"/>
      </w:pPr>
      <w:r w:rsidRPr="009714E7">
        <w:tab/>
        <w:t>(2)</w:t>
      </w:r>
      <w:r w:rsidRPr="009714E7">
        <w:tab/>
        <w:t>The licensee who is the credit provider under the credit card contract must not suggest that the consumer remain in the credit card contract.</w:t>
      </w:r>
    </w:p>
    <w:p w:rsidR="001863E2" w:rsidRPr="009714E7" w:rsidRDefault="001863E2" w:rsidP="009714E7">
      <w:pPr>
        <w:pStyle w:val="Penalty"/>
      </w:pPr>
      <w:r w:rsidRPr="009714E7">
        <w:t>Civil penalty:</w:t>
      </w:r>
      <w:r w:rsidRPr="009714E7">
        <w:tab/>
        <w:t>2,000 penalty units.</w:t>
      </w:r>
    </w:p>
    <w:p w:rsidR="001863E2" w:rsidRPr="009714E7" w:rsidRDefault="001863E2" w:rsidP="009714E7">
      <w:pPr>
        <w:pStyle w:val="SubsectionHead"/>
      </w:pPr>
      <w:r w:rsidRPr="009714E7">
        <w:t>Offence</w:t>
      </w:r>
    </w:p>
    <w:p w:rsidR="001863E2" w:rsidRPr="009714E7" w:rsidRDefault="001863E2" w:rsidP="009714E7">
      <w:pPr>
        <w:pStyle w:val="subsection"/>
      </w:pPr>
      <w:r w:rsidRPr="009714E7">
        <w:tab/>
        <w:t>(3)</w:t>
      </w:r>
      <w:r w:rsidRPr="009714E7">
        <w:tab/>
        <w:t>A person commits an offence if:</w:t>
      </w:r>
    </w:p>
    <w:p w:rsidR="001863E2" w:rsidRPr="009714E7" w:rsidRDefault="001863E2" w:rsidP="009714E7">
      <w:pPr>
        <w:pStyle w:val="paragraph"/>
      </w:pPr>
      <w:r w:rsidRPr="009714E7">
        <w:tab/>
        <w:t>(a)</w:t>
      </w:r>
      <w:r w:rsidRPr="009714E7">
        <w:tab/>
        <w:t xml:space="preserve">the person is subject to a requirement under </w:t>
      </w:r>
      <w:r w:rsidR="009714E7" w:rsidRPr="009714E7">
        <w:t>subsection (</w:t>
      </w:r>
      <w:r w:rsidRPr="009714E7">
        <w:t>2); and</w:t>
      </w:r>
    </w:p>
    <w:p w:rsidR="001863E2" w:rsidRPr="009714E7" w:rsidRDefault="001863E2" w:rsidP="009714E7">
      <w:pPr>
        <w:pStyle w:val="paragraph"/>
      </w:pPr>
      <w:r w:rsidRPr="009714E7">
        <w:tab/>
        <w:t>(b)</w:t>
      </w:r>
      <w:r w:rsidRPr="009714E7">
        <w:tab/>
        <w:t>the person engages in conduct; and</w:t>
      </w:r>
    </w:p>
    <w:p w:rsidR="001863E2" w:rsidRPr="009714E7" w:rsidRDefault="001863E2" w:rsidP="009714E7">
      <w:pPr>
        <w:pStyle w:val="paragraph"/>
      </w:pPr>
      <w:r w:rsidRPr="009714E7">
        <w:tab/>
        <w:t>(c)</w:t>
      </w:r>
      <w:r w:rsidRPr="009714E7">
        <w:tab/>
        <w:t>the conduct contravenes the requirement.</w:t>
      </w:r>
    </w:p>
    <w:p w:rsidR="001863E2" w:rsidRPr="009714E7" w:rsidRDefault="001863E2" w:rsidP="009714E7">
      <w:pPr>
        <w:pStyle w:val="Penalty"/>
      </w:pPr>
      <w:r w:rsidRPr="009714E7">
        <w:t>Criminal penalty:</w:t>
      </w:r>
      <w:r w:rsidRPr="009714E7">
        <w:tab/>
        <w:t>50 penalty units.</w:t>
      </w:r>
    </w:p>
    <w:p w:rsidR="001863E2" w:rsidRPr="009714E7" w:rsidRDefault="001863E2" w:rsidP="009714E7">
      <w:pPr>
        <w:pStyle w:val="ActHead5"/>
      </w:pPr>
      <w:bookmarkStart w:id="58" w:name="_Toc508110104"/>
      <w:r w:rsidRPr="009714E7">
        <w:rPr>
          <w:rStyle w:val="CharSectno"/>
        </w:rPr>
        <w:t>133BW</w:t>
      </w:r>
      <w:r w:rsidRPr="009714E7">
        <w:t xml:space="preserve">  Credit provider to give effect to request to terminate credit card contract</w:t>
      </w:r>
      <w:bookmarkEnd w:id="58"/>
    </w:p>
    <w:p w:rsidR="001863E2" w:rsidRPr="009714E7" w:rsidRDefault="001863E2" w:rsidP="009714E7">
      <w:pPr>
        <w:pStyle w:val="SubsectionHead"/>
      </w:pPr>
      <w:r w:rsidRPr="009714E7">
        <w:t>When this section applies</w:t>
      </w:r>
    </w:p>
    <w:p w:rsidR="001863E2" w:rsidRPr="009714E7" w:rsidRDefault="001863E2" w:rsidP="009714E7">
      <w:pPr>
        <w:pStyle w:val="subsection"/>
      </w:pPr>
      <w:r w:rsidRPr="009714E7">
        <w:tab/>
        <w:t>(1)</w:t>
      </w:r>
      <w:r w:rsidRPr="009714E7">
        <w:tab/>
        <w:t>This section applies if:</w:t>
      </w:r>
    </w:p>
    <w:p w:rsidR="001863E2" w:rsidRPr="009714E7" w:rsidRDefault="001863E2" w:rsidP="009714E7">
      <w:pPr>
        <w:pStyle w:val="paragraph"/>
      </w:pPr>
      <w:r w:rsidRPr="009714E7">
        <w:tab/>
        <w:t>(a)</w:t>
      </w:r>
      <w:r w:rsidRPr="009714E7">
        <w:tab/>
        <w:t>a consumer who is the debtor under a credit card contract has a credit card termination entitlement under the contract; and</w:t>
      </w:r>
    </w:p>
    <w:p w:rsidR="001863E2" w:rsidRPr="009714E7" w:rsidRDefault="001863E2" w:rsidP="009714E7">
      <w:pPr>
        <w:pStyle w:val="paragraph"/>
      </w:pPr>
      <w:r w:rsidRPr="009714E7">
        <w:lastRenderedPageBreak/>
        <w:tab/>
        <w:t>(b)</w:t>
      </w:r>
      <w:r w:rsidRPr="009714E7">
        <w:tab/>
        <w:t>the consumer has requested to terminate the consumer’s credit card contract.</w:t>
      </w:r>
    </w:p>
    <w:p w:rsidR="001863E2" w:rsidRPr="009714E7" w:rsidRDefault="001863E2" w:rsidP="009714E7">
      <w:pPr>
        <w:pStyle w:val="SubsectionHead"/>
      </w:pPr>
      <w:r w:rsidRPr="009714E7">
        <w:t>Requirement</w:t>
      </w:r>
    </w:p>
    <w:p w:rsidR="001863E2" w:rsidRPr="009714E7" w:rsidRDefault="001863E2" w:rsidP="009714E7">
      <w:pPr>
        <w:pStyle w:val="subsection"/>
        <w:rPr>
          <w:i/>
        </w:rPr>
      </w:pPr>
      <w:r w:rsidRPr="009714E7">
        <w:tab/>
        <w:t>(2)</w:t>
      </w:r>
      <w:r w:rsidRPr="009714E7">
        <w:tab/>
        <w:t>The licensee who is the credit provider under the credit card contract must take reasonable steps to ensure that the request is given effect to as soon as practicable</w:t>
      </w:r>
      <w:r w:rsidRPr="009714E7">
        <w:rPr>
          <w:i/>
        </w:rPr>
        <w:t>.</w:t>
      </w:r>
    </w:p>
    <w:p w:rsidR="001863E2" w:rsidRPr="009714E7" w:rsidRDefault="001863E2" w:rsidP="009714E7">
      <w:pPr>
        <w:pStyle w:val="Penalty"/>
      </w:pPr>
      <w:r w:rsidRPr="009714E7">
        <w:t>Civil penalty:</w:t>
      </w:r>
      <w:r w:rsidRPr="009714E7">
        <w:tab/>
        <w:t>2,000 penalty units.</w:t>
      </w:r>
    </w:p>
    <w:p w:rsidR="001863E2" w:rsidRPr="009714E7" w:rsidRDefault="001863E2" w:rsidP="009714E7">
      <w:pPr>
        <w:pStyle w:val="SubsectionHead"/>
      </w:pPr>
      <w:r w:rsidRPr="009714E7">
        <w:t>Offence</w:t>
      </w:r>
    </w:p>
    <w:p w:rsidR="001863E2" w:rsidRPr="009714E7" w:rsidRDefault="001863E2" w:rsidP="009714E7">
      <w:pPr>
        <w:pStyle w:val="subsection"/>
      </w:pPr>
      <w:r w:rsidRPr="009714E7">
        <w:tab/>
        <w:t>(3)</w:t>
      </w:r>
      <w:r w:rsidRPr="009714E7">
        <w:tab/>
        <w:t>A person commits an offence if:</w:t>
      </w:r>
    </w:p>
    <w:p w:rsidR="001863E2" w:rsidRPr="009714E7" w:rsidRDefault="001863E2" w:rsidP="009714E7">
      <w:pPr>
        <w:pStyle w:val="paragraph"/>
      </w:pPr>
      <w:r w:rsidRPr="009714E7">
        <w:tab/>
        <w:t>(a)</w:t>
      </w:r>
      <w:r w:rsidRPr="009714E7">
        <w:tab/>
        <w:t xml:space="preserve">the person is subject to a requirement under </w:t>
      </w:r>
      <w:r w:rsidR="009714E7" w:rsidRPr="009714E7">
        <w:t>subsection (</w:t>
      </w:r>
      <w:r w:rsidRPr="009714E7">
        <w:t>2); and</w:t>
      </w:r>
    </w:p>
    <w:p w:rsidR="001863E2" w:rsidRPr="009714E7" w:rsidRDefault="001863E2" w:rsidP="009714E7">
      <w:pPr>
        <w:pStyle w:val="paragraph"/>
      </w:pPr>
      <w:r w:rsidRPr="009714E7">
        <w:tab/>
        <w:t>(b)</w:t>
      </w:r>
      <w:r w:rsidRPr="009714E7">
        <w:tab/>
        <w:t>the person engages in conduct; and</w:t>
      </w:r>
    </w:p>
    <w:p w:rsidR="001863E2" w:rsidRPr="009714E7" w:rsidRDefault="001863E2" w:rsidP="009714E7">
      <w:pPr>
        <w:pStyle w:val="paragraph"/>
      </w:pPr>
      <w:r w:rsidRPr="009714E7">
        <w:tab/>
        <w:t>(c)</w:t>
      </w:r>
      <w:r w:rsidRPr="009714E7">
        <w:tab/>
        <w:t>the conduct contravenes the requirement.</w:t>
      </w:r>
    </w:p>
    <w:p w:rsidR="001863E2" w:rsidRPr="009714E7" w:rsidRDefault="001863E2" w:rsidP="009714E7">
      <w:pPr>
        <w:pStyle w:val="Penalty"/>
      </w:pPr>
      <w:r w:rsidRPr="009714E7">
        <w:t>Criminal penalty:</w:t>
      </w:r>
      <w:r w:rsidRPr="009714E7">
        <w:tab/>
        <w:t>50 penalty units.</w:t>
      </w:r>
    </w:p>
    <w:p w:rsidR="001863E2" w:rsidRPr="009714E7" w:rsidRDefault="001863E2" w:rsidP="009714E7">
      <w:pPr>
        <w:pStyle w:val="ActHead7"/>
        <w:pageBreakBefore/>
      </w:pPr>
      <w:bookmarkStart w:id="59" w:name="_Toc508110105"/>
      <w:r w:rsidRPr="009714E7">
        <w:rPr>
          <w:rStyle w:val="CharAmPartNo"/>
        </w:rPr>
        <w:lastRenderedPageBreak/>
        <w:t>Part</w:t>
      </w:r>
      <w:r w:rsidR="009714E7" w:rsidRPr="009714E7">
        <w:rPr>
          <w:rStyle w:val="CharAmPartNo"/>
        </w:rPr>
        <w:t> </w:t>
      </w:r>
      <w:r w:rsidRPr="009714E7">
        <w:rPr>
          <w:rStyle w:val="CharAmPartNo"/>
        </w:rPr>
        <w:t>5</w:t>
      </w:r>
      <w:r w:rsidRPr="009714E7">
        <w:t>—</w:t>
      </w:r>
      <w:r w:rsidRPr="009714E7">
        <w:rPr>
          <w:rStyle w:val="CharAmPartText"/>
        </w:rPr>
        <w:t>Application provisions</w:t>
      </w:r>
      <w:bookmarkEnd w:id="59"/>
    </w:p>
    <w:p w:rsidR="001863E2" w:rsidRPr="009714E7" w:rsidRDefault="001863E2" w:rsidP="009714E7">
      <w:pPr>
        <w:pStyle w:val="ActHead9"/>
        <w:rPr>
          <w:i w:val="0"/>
        </w:rPr>
      </w:pPr>
      <w:bookmarkStart w:id="60" w:name="_Toc508110106"/>
      <w:r w:rsidRPr="009714E7">
        <w:t>National Consumer Credit Protection (Transitional and Consequential Provisions) Act 2009</w:t>
      </w:r>
      <w:bookmarkEnd w:id="60"/>
    </w:p>
    <w:p w:rsidR="001863E2" w:rsidRPr="009714E7" w:rsidRDefault="001863E2" w:rsidP="009714E7">
      <w:pPr>
        <w:pStyle w:val="ItemHead"/>
      </w:pPr>
      <w:r w:rsidRPr="009714E7">
        <w:t xml:space="preserve">24  </w:t>
      </w:r>
      <w:r w:rsidR="000E20E4" w:rsidRPr="009714E7">
        <w:t>In the appropriate position</w:t>
      </w:r>
    </w:p>
    <w:p w:rsidR="001863E2" w:rsidRPr="009714E7" w:rsidRDefault="000E20E4" w:rsidP="009714E7">
      <w:pPr>
        <w:pStyle w:val="Item"/>
      </w:pPr>
      <w:r w:rsidRPr="009714E7">
        <w:t>Insert</w:t>
      </w:r>
      <w:r w:rsidR="001863E2" w:rsidRPr="009714E7">
        <w:t>:</w:t>
      </w:r>
    </w:p>
    <w:p w:rsidR="001863E2" w:rsidRPr="009714E7" w:rsidRDefault="001863E2" w:rsidP="009714E7">
      <w:pPr>
        <w:pStyle w:val="Specialas"/>
      </w:pPr>
      <w:r w:rsidRPr="009714E7">
        <w:t>Schedule</w:t>
      </w:r>
      <w:r w:rsidR="009714E7" w:rsidRPr="009714E7">
        <w:t> </w:t>
      </w:r>
      <w:r w:rsidRPr="009714E7">
        <w:t xml:space="preserve">6—Application provisions for the </w:t>
      </w:r>
      <w:r w:rsidR="00796AC4" w:rsidRPr="009714E7">
        <w:t>Treasury Laws Amendment (Banking Measures No.</w:t>
      </w:r>
      <w:r w:rsidR="009714E7" w:rsidRPr="009714E7">
        <w:t> </w:t>
      </w:r>
      <w:r w:rsidR="00796AC4" w:rsidRPr="009714E7">
        <w:t>1) Act 201</w:t>
      </w:r>
      <w:r w:rsidR="00D2082A">
        <w:t>8</w:t>
      </w:r>
    </w:p>
    <w:p w:rsidR="001863E2" w:rsidRPr="009714E7" w:rsidRDefault="001863E2" w:rsidP="009714E7">
      <w:pPr>
        <w:pStyle w:val="Specialap"/>
      </w:pPr>
      <w:r w:rsidRPr="009714E7">
        <w:t>Part</w:t>
      </w:r>
      <w:r w:rsidR="009714E7" w:rsidRPr="009714E7">
        <w:t> </w:t>
      </w:r>
      <w:r w:rsidRPr="009714E7">
        <w:t>1—Definitions</w:t>
      </w:r>
    </w:p>
    <w:p w:rsidR="001863E2" w:rsidRPr="009714E7" w:rsidRDefault="001863E2" w:rsidP="009714E7">
      <w:pPr>
        <w:pStyle w:val="Specialih"/>
      </w:pPr>
      <w:r w:rsidRPr="009714E7">
        <w:t>1  Definitions</w:t>
      </w:r>
    </w:p>
    <w:p w:rsidR="001863E2" w:rsidRPr="009714E7" w:rsidRDefault="001863E2" w:rsidP="009714E7">
      <w:pPr>
        <w:pStyle w:val="Item"/>
      </w:pPr>
      <w:r w:rsidRPr="009714E7">
        <w:t>In this Schedule:</w:t>
      </w:r>
    </w:p>
    <w:p w:rsidR="001863E2" w:rsidRPr="009714E7" w:rsidRDefault="001863E2" w:rsidP="009714E7">
      <w:pPr>
        <w:pStyle w:val="Item"/>
      </w:pPr>
      <w:r w:rsidRPr="009714E7">
        <w:rPr>
          <w:b/>
          <w:i/>
        </w:rPr>
        <w:t>amending Act</w:t>
      </w:r>
      <w:r w:rsidRPr="009714E7">
        <w:t xml:space="preserve"> means the </w:t>
      </w:r>
      <w:r w:rsidR="00796AC4" w:rsidRPr="009714E7">
        <w:rPr>
          <w:i/>
        </w:rPr>
        <w:t>Treasury Laws Amendment (Banking Measures No.</w:t>
      </w:r>
      <w:r w:rsidR="009714E7" w:rsidRPr="009714E7">
        <w:rPr>
          <w:i/>
        </w:rPr>
        <w:t> </w:t>
      </w:r>
      <w:r w:rsidR="00796AC4" w:rsidRPr="009714E7">
        <w:rPr>
          <w:i/>
        </w:rPr>
        <w:t>1) Act 201</w:t>
      </w:r>
      <w:r w:rsidR="00D2082A">
        <w:rPr>
          <w:i/>
        </w:rPr>
        <w:t>8</w:t>
      </w:r>
      <w:r w:rsidRPr="009714E7">
        <w:t>.</w:t>
      </w:r>
    </w:p>
    <w:p w:rsidR="001863E2" w:rsidRPr="009714E7" w:rsidRDefault="001863E2" w:rsidP="009714E7">
      <w:pPr>
        <w:pStyle w:val="Specialap"/>
      </w:pPr>
      <w:r w:rsidRPr="009714E7">
        <w:t>Part</w:t>
      </w:r>
      <w:r w:rsidR="009714E7" w:rsidRPr="009714E7">
        <w:t> </w:t>
      </w:r>
      <w:r w:rsidRPr="009714E7">
        <w:t>2—Credit limits</w:t>
      </w:r>
    </w:p>
    <w:p w:rsidR="001863E2" w:rsidRPr="009714E7" w:rsidRDefault="001863E2" w:rsidP="009714E7">
      <w:pPr>
        <w:pStyle w:val="Specialih"/>
      </w:pPr>
      <w:r w:rsidRPr="009714E7">
        <w:t>2  Application of amendments relating to credit limit increase invitations</w:t>
      </w:r>
    </w:p>
    <w:p w:rsidR="001863E2" w:rsidRPr="009714E7" w:rsidRDefault="001863E2" w:rsidP="009714E7">
      <w:pPr>
        <w:pStyle w:val="Subitem"/>
      </w:pPr>
      <w:r w:rsidRPr="009714E7">
        <w:t>(1)</w:t>
      </w:r>
      <w:r w:rsidRPr="009714E7">
        <w:tab/>
        <w:t>The amendments of sections</w:t>
      </w:r>
      <w:r w:rsidR="009714E7" w:rsidRPr="009714E7">
        <w:t> </w:t>
      </w:r>
      <w:r w:rsidRPr="009714E7">
        <w:t>133BE, 133BF and 133BG made by Division</w:t>
      </w:r>
      <w:r w:rsidR="009714E7" w:rsidRPr="009714E7">
        <w:t> </w:t>
      </w:r>
      <w:r w:rsidRPr="009714E7">
        <w:t>1 of Part</w:t>
      </w:r>
      <w:r w:rsidR="009714E7" w:rsidRPr="009714E7">
        <w:t> </w:t>
      </w:r>
      <w:r w:rsidRPr="009714E7">
        <w:t xml:space="preserve">2 of </w:t>
      </w:r>
      <w:r w:rsidR="00393067" w:rsidRPr="009714E7">
        <w:t>Schedule</w:t>
      </w:r>
      <w:r w:rsidR="009714E7" w:rsidRPr="009714E7">
        <w:t> </w:t>
      </w:r>
      <w:r w:rsidR="00393067" w:rsidRPr="009714E7">
        <w:t>5</w:t>
      </w:r>
      <w:r w:rsidRPr="009714E7">
        <w:t xml:space="preserve"> to the amending Act apply in relation to communications given on or after the commencement of that Division in relation to credit card contracts entered into on or after that commencement.</w:t>
      </w:r>
    </w:p>
    <w:p w:rsidR="001863E2" w:rsidRPr="009714E7" w:rsidRDefault="001863E2" w:rsidP="009714E7">
      <w:pPr>
        <w:pStyle w:val="Subitem"/>
      </w:pPr>
      <w:r w:rsidRPr="009714E7">
        <w:t>(2)</w:t>
      </w:r>
      <w:r w:rsidRPr="009714E7">
        <w:tab/>
        <w:t>The amendments also apply in relation to credit card contracts entered into before the commencement of that Division.</w:t>
      </w:r>
    </w:p>
    <w:p w:rsidR="001863E2" w:rsidRPr="009714E7" w:rsidRDefault="001863E2" w:rsidP="009714E7">
      <w:pPr>
        <w:pStyle w:val="ItemHead"/>
      </w:pPr>
      <w:r w:rsidRPr="009714E7">
        <w:t>25  At the end of Part</w:t>
      </w:r>
      <w:r w:rsidR="009714E7" w:rsidRPr="009714E7">
        <w:t> </w:t>
      </w:r>
      <w:r w:rsidRPr="009714E7">
        <w:t>2 of Schedule</w:t>
      </w:r>
      <w:r w:rsidR="009714E7" w:rsidRPr="009714E7">
        <w:t> </w:t>
      </w:r>
      <w:r w:rsidRPr="009714E7">
        <w:t>6</w:t>
      </w:r>
    </w:p>
    <w:p w:rsidR="001863E2" w:rsidRPr="009714E7" w:rsidRDefault="001863E2" w:rsidP="009714E7">
      <w:pPr>
        <w:pStyle w:val="Item"/>
      </w:pPr>
      <w:r w:rsidRPr="009714E7">
        <w:t>Add:</w:t>
      </w:r>
    </w:p>
    <w:p w:rsidR="001863E2" w:rsidRPr="009714E7" w:rsidRDefault="001863E2" w:rsidP="009714E7">
      <w:pPr>
        <w:pStyle w:val="Specialih"/>
      </w:pPr>
      <w:r w:rsidRPr="009714E7">
        <w:t>3  Application of sections</w:t>
      </w:r>
      <w:r w:rsidR="009714E7" w:rsidRPr="009714E7">
        <w:t> </w:t>
      </w:r>
      <w:r w:rsidRPr="009714E7">
        <w:t>133BF, 133BFA, 133BFB and 133BFC of the National Credit Act</w:t>
      </w:r>
    </w:p>
    <w:p w:rsidR="001863E2" w:rsidRPr="009714E7" w:rsidRDefault="001863E2" w:rsidP="009714E7">
      <w:pPr>
        <w:pStyle w:val="Subitem"/>
      </w:pPr>
      <w:r w:rsidRPr="009714E7">
        <w:lastRenderedPageBreak/>
        <w:t>(1)</w:t>
      </w:r>
      <w:r w:rsidRPr="009714E7">
        <w:tab/>
        <w:t>Sections</w:t>
      </w:r>
      <w:r w:rsidR="009714E7" w:rsidRPr="009714E7">
        <w:t> </w:t>
      </w:r>
      <w:r w:rsidRPr="009714E7">
        <w:t>133BF, 133BFA, 133BFB and 133BFC of the National Credit Act, as inserted by Division</w:t>
      </w:r>
      <w:r w:rsidR="009714E7" w:rsidRPr="009714E7">
        <w:t> </w:t>
      </w:r>
      <w:r w:rsidRPr="009714E7">
        <w:t>2 of Part</w:t>
      </w:r>
      <w:r w:rsidR="009714E7" w:rsidRPr="009714E7">
        <w:t> </w:t>
      </w:r>
      <w:r w:rsidRPr="009714E7">
        <w:t xml:space="preserve">2 of </w:t>
      </w:r>
      <w:r w:rsidR="00393067" w:rsidRPr="009714E7">
        <w:t>Schedule</w:t>
      </w:r>
      <w:r w:rsidR="009714E7" w:rsidRPr="009714E7">
        <w:t> </w:t>
      </w:r>
      <w:r w:rsidR="00393067" w:rsidRPr="009714E7">
        <w:t>5</w:t>
      </w:r>
      <w:r w:rsidRPr="009714E7">
        <w:t xml:space="preserve"> to the amending Act, apply to credit card contracts entered into on or after the commencement of that Division.</w:t>
      </w:r>
    </w:p>
    <w:p w:rsidR="001863E2" w:rsidRPr="009714E7" w:rsidRDefault="001863E2" w:rsidP="009714E7">
      <w:pPr>
        <w:pStyle w:val="Subitem"/>
      </w:pPr>
      <w:r w:rsidRPr="009714E7">
        <w:t>(2)</w:t>
      </w:r>
      <w:r w:rsidRPr="009714E7">
        <w:tab/>
        <w:t>The sections, apart from subsections</w:t>
      </w:r>
      <w:r w:rsidR="009714E7" w:rsidRPr="009714E7">
        <w:t> </w:t>
      </w:r>
      <w:r w:rsidRPr="009714E7">
        <w:t>133BF(1) and (2), also apply to credit card contracts entered into before the commencement of that Division.</w:t>
      </w:r>
    </w:p>
    <w:p w:rsidR="001863E2" w:rsidRPr="009714E7" w:rsidRDefault="001863E2" w:rsidP="009714E7">
      <w:pPr>
        <w:pStyle w:val="Specialap"/>
      </w:pPr>
      <w:r w:rsidRPr="009714E7">
        <w:t>Part</w:t>
      </w:r>
      <w:r w:rsidR="009714E7" w:rsidRPr="009714E7">
        <w:t> </w:t>
      </w:r>
      <w:r w:rsidRPr="009714E7">
        <w:t>3—When a credit card contract, or a credit limit increase, is unsuitable</w:t>
      </w:r>
    </w:p>
    <w:p w:rsidR="001863E2" w:rsidRPr="009714E7" w:rsidRDefault="001863E2" w:rsidP="009714E7">
      <w:pPr>
        <w:pStyle w:val="Specialih"/>
      </w:pPr>
      <w:r w:rsidRPr="009714E7">
        <w:t>4  Application of provisions about unsuitability of credit card contracts or increases in the credit limit of a credit card contract</w:t>
      </w:r>
    </w:p>
    <w:p w:rsidR="001863E2" w:rsidRPr="009714E7" w:rsidRDefault="001863E2" w:rsidP="009714E7">
      <w:pPr>
        <w:pStyle w:val="Item"/>
      </w:pPr>
      <w:r w:rsidRPr="009714E7">
        <w:t>The amendments of sections</w:t>
      </w:r>
      <w:r w:rsidR="009714E7" w:rsidRPr="009714E7">
        <w:t> </w:t>
      </w:r>
      <w:r w:rsidRPr="009714E7">
        <w:t>118, 119, 123, 124, 131 and 133 of the National Credit Act made by Part</w:t>
      </w:r>
      <w:r w:rsidR="009714E7" w:rsidRPr="009714E7">
        <w:t> </w:t>
      </w:r>
      <w:r w:rsidRPr="009714E7">
        <w:t xml:space="preserve">1 of </w:t>
      </w:r>
      <w:r w:rsidR="00393067" w:rsidRPr="009714E7">
        <w:t>Schedule</w:t>
      </w:r>
      <w:r w:rsidR="009714E7" w:rsidRPr="009714E7">
        <w:t> </w:t>
      </w:r>
      <w:r w:rsidR="00393067" w:rsidRPr="009714E7">
        <w:t>5</w:t>
      </w:r>
      <w:r w:rsidRPr="009714E7">
        <w:t xml:space="preserve"> to the amending Act apply:</w:t>
      </w:r>
    </w:p>
    <w:p w:rsidR="001863E2" w:rsidRPr="009714E7" w:rsidRDefault="001863E2" w:rsidP="009714E7">
      <w:pPr>
        <w:pStyle w:val="paragraph"/>
      </w:pPr>
      <w:r w:rsidRPr="009714E7">
        <w:tab/>
        <w:t>(a)</w:t>
      </w:r>
      <w:r w:rsidRPr="009714E7">
        <w:tab/>
        <w:t>so far as the sections apply in relation to entering a credit card contract—to credit card contracts entered into on or after the commencement of that Part; and</w:t>
      </w:r>
    </w:p>
    <w:p w:rsidR="001863E2" w:rsidRPr="009714E7" w:rsidRDefault="001863E2" w:rsidP="009714E7">
      <w:pPr>
        <w:pStyle w:val="paragraph"/>
      </w:pPr>
      <w:r w:rsidRPr="009714E7">
        <w:tab/>
        <w:t>(b)</w:t>
      </w:r>
      <w:r w:rsidRPr="009714E7">
        <w:tab/>
        <w:t>so far as the sections apply in relation to remaining in a credit card contract, or increasing the credit limit of a credit card contract:</w:t>
      </w:r>
    </w:p>
    <w:p w:rsidR="001863E2" w:rsidRPr="009714E7" w:rsidRDefault="001863E2" w:rsidP="009714E7">
      <w:pPr>
        <w:pStyle w:val="paragraphsub"/>
      </w:pPr>
      <w:r w:rsidRPr="009714E7">
        <w:tab/>
        <w:t>(i)</w:t>
      </w:r>
      <w:r w:rsidRPr="009714E7">
        <w:tab/>
        <w:t>to credit card contracts entered into on or after the commencement of that Part; and</w:t>
      </w:r>
    </w:p>
    <w:p w:rsidR="001863E2" w:rsidRPr="009714E7" w:rsidRDefault="001863E2" w:rsidP="009714E7">
      <w:pPr>
        <w:pStyle w:val="paragraphsub"/>
      </w:pPr>
      <w:r w:rsidRPr="009714E7">
        <w:tab/>
        <w:t>(ii)</w:t>
      </w:r>
      <w:r w:rsidRPr="009714E7">
        <w:tab/>
        <w:t>to credit card contracts entered into before the commencement of that Part.</w:t>
      </w:r>
    </w:p>
    <w:p w:rsidR="001863E2" w:rsidRPr="009714E7" w:rsidRDefault="001863E2" w:rsidP="009714E7">
      <w:pPr>
        <w:pStyle w:val="Specialap"/>
      </w:pPr>
      <w:r w:rsidRPr="009714E7">
        <w:t>Part</w:t>
      </w:r>
      <w:r w:rsidR="009714E7" w:rsidRPr="009714E7">
        <w:t> </w:t>
      </w:r>
      <w:r w:rsidRPr="009714E7">
        <w:t>4—Interest charges</w:t>
      </w:r>
    </w:p>
    <w:p w:rsidR="001863E2" w:rsidRPr="009714E7" w:rsidRDefault="001863E2" w:rsidP="009714E7">
      <w:pPr>
        <w:pStyle w:val="Specialih"/>
      </w:pPr>
      <w:r w:rsidRPr="009714E7">
        <w:t>5  Application of Division</w:t>
      </w:r>
      <w:r w:rsidR="009714E7" w:rsidRPr="009714E7">
        <w:t> </w:t>
      </w:r>
      <w:r w:rsidRPr="009714E7">
        <w:t>7 of Part</w:t>
      </w:r>
      <w:r w:rsidR="009714E7" w:rsidRPr="009714E7">
        <w:t> </w:t>
      </w:r>
      <w:r w:rsidRPr="009714E7">
        <w:t>3</w:t>
      </w:r>
      <w:r w:rsidR="00C83714">
        <w:noBreakHyphen/>
      </w:r>
      <w:r w:rsidRPr="009714E7">
        <w:t>2B of the National Credit Act</w:t>
      </w:r>
    </w:p>
    <w:p w:rsidR="001863E2" w:rsidRPr="009714E7" w:rsidRDefault="001863E2" w:rsidP="009714E7">
      <w:pPr>
        <w:pStyle w:val="Subitem"/>
      </w:pPr>
      <w:r w:rsidRPr="009714E7">
        <w:t>(1)</w:t>
      </w:r>
      <w:r w:rsidRPr="009714E7">
        <w:tab/>
        <w:t>Division</w:t>
      </w:r>
      <w:r w:rsidR="009714E7" w:rsidRPr="009714E7">
        <w:t> </w:t>
      </w:r>
      <w:r w:rsidRPr="009714E7">
        <w:t>7 of Part</w:t>
      </w:r>
      <w:r w:rsidR="009714E7" w:rsidRPr="009714E7">
        <w:t> </w:t>
      </w:r>
      <w:r w:rsidRPr="009714E7">
        <w:t>3</w:t>
      </w:r>
      <w:r w:rsidR="00C83714">
        <w:noBreakHyphen/>
      </w:r>
      <w:r w:rsidRPr="009714E7">
        <w:t>2B of the National Credit Act, as inserted by Part</w:t>
      </w:r>
      <w:r w:rsidR="009714E7" w:rsidRPr="009714E7">
        <w:t> </w:t>
      </w:r>
      <w:r w:rsidRPr="009714E7">
        <w:t xml:space="preserve">3 of </w:t>
      </w:r>
      <w:r w:rsidR="00393067" w:rsidRPr="009714E7">
        <w:t>Schedule</w:t>
      </w:r>
      <w:r w:rsidR="009714E7" w:rsidRPr="009714E7">
        <w:t> </w:t>
      </w:r>
      <w:r w:rsidR="00393067" w:rsidRPr="009714E7">
        <w:t>5</w:t>
      </w:r>
      <w:r w:rsidRPr="009714E7">
        <w:t xml:space="preserve"> to the amending Act, applies to credit card contracts entered into on or after the commencement of Part</w:t>
      </w:r>
      <w:r w:rsidR="009714E7" w:rsidRPr="009714E7">
        <w:t> </w:t>
      </w:r>
      <w:r w:rsidRPr="009714E7">
        <w:t>3 of that Schedule.</w:t>
      </w:r>
    </w:p>
    <w:p w:rsidR="001863E2" w:rsidRPr="009714E7" w:rsidRDefault="001863E2" w:rsidP="009714E7">
      <w:pPr>
        <w:pStyle w:val="Subitem"/>
      </w:pPr>
      <w:r w:rsidRPr="009714E7">
        <w:t>(2)</w:t>
      </w:r>
      <w:r w:rsidRPr="009714E7">
        <w:tab/>
        <w:t>The Division also applies to credit card contracts entered into before the commencement of Part</w:t>
      </w:r>
      <w:r w:rsidR="009714E7" w:rsidRPr="009714E7">
        <w:t> </w:t>
      </w:r>
      <w:r w:rsidRPr="009714E7">
        <w:t>3 of that Schedule.</w:t>
      </w:r>
    </w:p>
    <w:p w:rsidR="001863E2" w:rsidRPr="009714E7" w:rsidRDefault="001863E2" w:rsidP="009714E7">
      <w:pPr>
        <w:pStyle w:val="Subitem"/>
      </w:pPr>
      <w:r w:rsidRPr="009714E7">
        <w:lastRenderedPageBreak/>
        <w:t>(3)</w:t>
      </w:r>
      <w:r w:rsidRPr="009714E7">
        <w:tab/>
        <w:t>However, the Division does not apply in relation to use of a credit card before the commencement of Part</w:t>
      </w:r>
      <w:r w:rsidR="009714E7" w:rsidRPr="009714E7">
        <w:t> </w:t>
      </w:r>
      <w:r w:rsidRPr="009714E7">
        <w:t>3 of that Schedule.</w:t>
      </w:r>
    </w:p>
    <w:p w:rsidR="001863E2" w:rsidRPr="009714E7" w:rsidRDefault="001863E2" w:rsidP="009714E7">
      <w:pPr>
        <w:pStyle w:val="Specialap"/>
      </w:pPr>
      <w:r w:rsidRPr="009714E7">
        <w:t>Part</w:t>
      </w:r>
      <w:r w:rsidR="009714E7" w:rsidRPr="009714E7">
        <w:t> </w:t>
      </w:r>
      <w:r w:rsidRPr="009714E7">
        <w:t>5—Ending credit card contracts</w:t>
      </w:r>
    </w:p>
    <w:p w:rsidR="001863E2" w:rsidRPr="009714E7" w:rsidRDefault="001863E2" w:rsidP="009714E7">
      <w:pPr>
        <w:pStyle w:val="Specialih"/>
      </w:pPr>
      <w:r w:rsidRPr="009714E7">
        <w:t>6  Application of Division</w:t>
      </w:r>
      <w:r w:rsidR="009714E7" w:rsidRPr="009714E7">
        <w:t> </w:t>
      </w:r>
      <w:r w:rsidRPr="009714E7">
        <w:t>8 of Part</w:t>
      </w:r>
      <w:r w:rsidR="009714E7" w:rsidRPr="009714E7">
        <w:t> </w:t>
      </w:r>
      <w:r w:rsidRPr="009714E7">
        <w:t>3</w:t>
      </w:r>
      <w:r w:rsidR="00C83714">
        <w:noBreakHyphen/>
      </w:r>
      <w:r w:rsidRPr="009714E7">
        <w:t>2B of the National Credit Act</w:t>
      </w:r>
    </w:p>
    <w:p w:rsidR="001863E2" w:rsidRPr="009714E7" w:rsidRDefault="001863E2" w:rsidP="009714E7">
      <w:pPr>
        <w:pStyle w:val="Subitem"/>
      </w:pPr>
      <w:r w:rsidRPr="009714E7">
        <w:t>(1)</w:t>
      </w:r>
      <w:r w:rsidRPr="009714E7">
        <w:tab/>
        <w:t>Division</w:t>
      </w:r>
      <w:r w:rsidR="009714E7" w:rsidRPr="009714E7">
        <w:t> </w:t>
      </w:r>
      <w:r w:rsidRPr="009714E7">
        <w:t>8 of Part</w:t>
      </w:r>
      <w:r w:rsidR="009714E7" w:rsidRPr="009714E7">
        <w:t> </w:t>
      </w:r>
      <w:r w:rsidRPr="009714E7">
        <w:t>3</w:t>
      </w:r>
      <w:r w:rsidR="00C83714">
        <w:noBreakHyphen/>
      </w:r>
      <w:r w:rsidRPr="009714E7">
        <w:t>2B of the National Credit Act, as inserted by Part</w:t>
      </w:r>
      <w:r w:rsidR="009714E7" w:rsidRPr="009714E7">
        <w:t> </w:t>
      </w:r>
      <w:r w:rsidRPr="009714E7">
        <w:t xml:space="preserve">4 of </w:t>
      </w:r>
      <w:r w:rsidR="00393067" w:rsidRPr="009714E7">
        <w:t>Schedule</w:t>
      </w:r>
      <w:r w:rsidR="009714E7" w:rsidRPr="009714E7">
        <w:t> </w:t>
      </w:r>
      <w:r w:rsidR="00393067" w:rsidRPr="009714E7">
        <w:t>5</w:t>
      </w:r>
      <w:r w:rsidRPr="009714E7">
        <w:t xml:space="preserve"> to the amending Act, applies to credit card contracts entered into on or after the commencement of Part</w:t>
      </w:r>
      <w:r w:rsidR="009714E7" w:rsidRPr="009714E7">
        <w:t> </w:t>
      </w:r>
      <w:r w:rsidRPr="009714E7">
        <w:t>4 of that Schedule.</w:t>
      </w:r>
    </w:p>
    <w:p w:rsidR="00C83714" w:rsidRDefault="001863E2" w:rsidP="009714E7">
      <w:pPr>
        <w:pStyle w:val="Subitem"/>
      </w:pPr>
      <w:r w:rsidRPr="009714E7">
        <w:t>(2)</w:t>
      </w:r>
      <w:r w:rsidRPr="009714E7">
        <w:tab/>
        <w:t>Division</w:t>
      </w:r>
      <w:r w:rsidR="009714E7" w:rsidRPr="009714E7">
        <w:t> </w:t>
      </w:r>
      <w:r w:rsidRPr="009714E7">
        <w:t>8 of Part</w:t>
      </w:r>
      <w:r w:rsidR="009714E7" w:rsidRPr="009714E7">
        <w:t> </w:t>
      </w:r>
      <w:r w:rsidRPr="009714E7">
        <w:t>3</w:t>
      </w:r>
      <w:r w:rsidR="00C83714">
        <w:noBreakHyphen/>
      </w:r>
      <w:r w:rsidRPr="009714E7">
        <w:t>2B of the National Credit Act, apart from subsections</w:t>
      </w:r>
      <w:r w:rsidR="009714E7" w:rsidRPr="009714E7">
        <w:t> </w:t>
      </w:r>
      <w:r w:rsidRPr="009714E7">
        <w:t>133BT(1) and (2), inserted by Part</w:t>
      </w:r>
      <w:r w:rsidR="009714E7" w:rsidRPr="009714E7">
        <w:t> </w:t>
      </w:r>
      <w:r w:rsidRPr="009714E7">
        <w:t xml:space="preserve">4 of </w:t>
      </w:r>
      <w:r w:rsidR="00393067" w:rsidRPr="009714E7">
        <w:t>Schedule</w:t>
      </w:r>
      <w:r w:rsidR="009714E7" w:rsidRPr="009714E7">
        <w:t> </w:t>
      </w:r>
      <w:r w:rsidR="00393067" w:rsidRPr="009714E7">
        <w:t>5</w:t>
      </w:r>
      <w:r w:rsidRPr="009714E7">
        <w:t xml:space="preserve"> to the amending Act, also applies to credit card contracts entered into before the commencement of Part</w:t>
      </w:r>
      <w:r w:rsidR="009714E7" w:rsidRPr="009714E7">
        <w:t> </w:t>
      </w:r>
      <w:r w:rsidRPr="009714E7">
        <w:t>4 of that Schedule.</w:t>
      </w:r>
    </w:p>
    <w:p w:rsidR="00880EED" w:rsidRDefault="00880EED" w:rsidP="00880EED"/>
    <w:p w:rsidR="00880EED" w:rsidRDefault="00880EED" w:rsidP="00880EED">
      <w:pPr>
        <w:pStyle w:val="AssentBk"/>
        <w:keepNext/>
      </w:pPr>
    </w:p>
    <w:p w:rsidR="00880EED" w:rsidRDefault="00880EED" w:rsidP="00880EED">
      <w:pPr>
        <w:pStyle w:val="AssentBk"/>
        <w:keepNext/>
      </w:pPr>
    </w:p>
    <w:p w:rsidR="00880EED" w:rsidRDefault="00880EED" w:rsidP="00880EED">
      <w:pPr>
        <w:pStyle w:val="2ndRd"/>
        <w:keepNext/>
        <w:pBdr>
          <w:top w:val="single" w:sz="2" w:space="1" w:color="auto"/>
        </w:pBdr>
      </w:pPr>
    </w:p>
    <w:p w:rsidR="00880EED" w:rsidRDefault="00880EED" w:rsidP="00880EED">
      <w:pPr>
        <w:pStyle w:val="2ndRd"/>
        <w:keepNext/>
        <w:spacing w:line="260" w:lineRule="atLeast"/>
        <w:rPr>
          <w:i/>
        </w:rPr>
      </w:pPr>
      <w:r>
        <w:t>[</w:t>
      </w:r>
      <w:r>
        <w:rPr>
          <w:i/>
        </w:rPr>
        <w:t>Minister’s second reading speech made in—</w:t>
      </w:r>
    </w:p>
    <w:p w:rsidR="00880EED" w:rsidRDefault="00880EED" w:rsidP="00880EED">
      <w:pPr>
        <w:pStyle w:val="2ndRd"/>
        <w:keepNext/>
        <w:spacing w:line="260" w:lineRule="atLeast"/>
        <w:rPr>
          <w:i/>
        </w:rPr>
      </w:pPr>
      <w:r>
        <w:rPr>
          <w:i/>
        </w:rPr>
        <w:t>House of Representatives on 19 October 2017</w:t>
      </w:r>
    </w:p>
    <w:p w:rsidR="00880EED" w:rsidRDefault="00880EED" w:rsidP="00880EED">
      <w:pPr>
        <w:pStyle w:val="2ndRd"/>
        <w:keepNext/>
        <w:spacing w:line="260" w:lineRule="atLeast"/>
        <w:rPr>
          <w:i/>
        </w:rPr>
      </w:pPr>
      <w:r>
        <w:rPr>
          <w:i/>
        </w:rPr>
        <w:t>Senate on 8 February 2018</w:t>
      </w:r>
      <w:r>
        <w:t>]</w:t>
      </w:r>
    </w:p>
    <w:p w:rsidR="00880EED" w:rsidRDefault="00880EED" w:rsidP="00880EED"/>
    <w:p w:rsidR="004A20B5" w:rsidRPr="00880EED" w:rsidRDefault="00880EED" w:rsidP="00880EED">
      <w:pPr>
        <w:framePr w:hSpace="180" w:wrap="around" w:vAnchor="text" w:hAnchor="page" w:x="2410" w:y="4401"/>
      </w:pPr>
      <w:r>
        <w:t>(230/17)</w:t>
      </w:r>
    </w:p>
    <w:p w:rsidR="00880EED" w:rsidRDefault="00880EED"/>
    <w:sectPr w:rsidR="00880EED" w:rsidSect="004A20B5">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EED" w:rsidRDefault="00880EED" w:rsidP="0048364F">
      <w:pPr>
        <w:spacing w:line="240" w:lineRule="auto"/>
      </w:pPr>
      <w:r>
        <w:separator/>
      </w:r>
    </w:p>
  </w:endnote>
  <w:endnote w:type="continuationSeparator" w:id="0">
    <w:p w:rsidR="00880EED" w:rsidRDefault="00880EE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Default="00880EED" w:rsidP="00880EED">
    <w:pPr>
      <w:pStyle w:val="ScalePlusRef"/>
    </w:pPr>
    <w:r>
      <w:t>Note: An electronic version of this Act is available on the Federal Register of Legislation (</w:t>
    </w:r>
    <w:hyperlink r:id="rId1" w:history="1">
      <w:r>
        <w:t>https://www.legislation.gov.au/</w:t>
      </w:r>
    </w:hyperlink>
    <w:r>
      <w:t>)</w:t>
    </w:r>
  </w:p>
  <w:p w:rsidR="00880EED" w:rsidRDefault="00880EED" w:rsidP="00880EED"/>
  <w:p w:rsidR="00880EED" w:rsidRDefault="00880EED" w:rsidP="009714E7">
    <w:pPr>
      <w:pStyle w:val="Footer"/>
      <w:spacing w:before="120"/>
    </w:pPr>
  </w:p>
  <w:p w:rsidR="00880EED" w:rsidRPr="005F1388" w:rsidRDefault="00880EED" w:rsidP="00685F42">
    <w:pPr>
      <w:pStyle w:val="Footer"/>
      <w:tabs>
        <w:tab w:val="clear" w:pos="4153"/>
        <w:tab w:val="clear" w:pos="8306"/>
        <w:tab w:val="center" w:pos="4150"/>
        <w:tab w:val="right" w:pos="8307"/>
      </w:tabs>
      <w:spacing w:before="120"/>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ED79B6" w:rsidRDefault="00880EED" w:rsidP="009714E7">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Default="00880EED" w:rsidP="009714E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80EED" w:rsidTr="00887892">
      <w:tc>
        <w:tcPr>
          <w:tcW w:w="646" w:type="dxa"/>
        </w:tcPr>
        <w:p w:rsidR="00880EED" w:rsidRDefault="00880EED" w:rsidP="0088789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132D">
            <w:rPr>
              <w:i/>
              <w:noProof/>
              <w:sz w:val="18"/>
            </w:rPr>
            <w:t>ii</w:t>
          </w:r>
          <w:r w:rsidRPr="00ED79B6">
            <w:rPr>
              <w:i/>
              <w:sz w:val="18"/>
            </w:rPr>
            <w:fldChar w:fldCharType="end"/>
          </w:r>
        </w:p>
      </w:tc>
      <w:tc>
        <w:tcPr>
          <w:tcW w:w="5387" w:type="dxa"/>
        </w:tcPr>
        <w:p w:rsidR="00880EED" w:rsidRDefault="00880EED" w:rsidP="0088789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539DD">
            <w:rPr>
              <w:i/>
              <w:sz w:val="18"/>
            </w:rPr>
            <w:t>Treasury Laws Amendment (Banking Measures No. 1) Act 2018</w:t>
          </w:r>
          <w:r w:rsidRPr="00ED79B6">
            <w:rPr>
              <w:i/>
              <w:sz w:val="18"/>
            </w:rPr>
            <w:fldChar w:fldCharType="end"/>
          </w:r>
        </w:p>
      </w:tc>
      <w:tc>
        <w:tcPr>
          <w:tcW w:w="1270" w:type="dxa"/>
        </w:tcPr>
        <w:p w:rsidR="00880EED" w:rsidRDefault="00140C67" w:rsidP="0088789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539DD">
            <w:rPr>
              <w:i/>
              <w:sz w:val="18"/>
            </w:rPr>
            <w:t>No. 9, 2018</w:t>
          </w:r>
          <w:r w:rsidRPr="00ED79B6">
            <w:rPr>
              <w:i/>
              <w:sz w:val="18"/>
            </w:rPr>
            <w:fldChar w:fldCharType="end"/>
          </w:r>
        </w:p>
      </w:tc>
    </w:tr>
  </w:tbl>
  <w:p w:rsidR="00880EED" w:rsidRDefault="00880EE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Default="00880EED" w:rsidP="009714E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80EED" w:rsidTr="00887892">
      <w:tc>
        <w:tcPr>
          <w:tcW w:w="1247" w:type="dxa"/>
        </w:tcPr>
        <w:p w:rsidR="00880EED" w:rsidRDefault="00880EED" w:rsidP="00140C6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539DD">
            <w:rPr>
              <w:i/>
              <w:sz w:val="18"/>
            </w:rPr>
            <w:t>No. 9, 2018</w:t>
          </w:r>
          <w:r w:rsidRPr="00ED79B6">
            <w:rPr>
              <w:i/>
              <w:sz w:val="18"/>
            </w:rPr>
            <w:fldChar w:fldCharType="end"/>
          </w:r>
        </w:p>
      </w:tc>
      <w:tc>
        <w:tcPr>
          <w:tcW w:w="5387" w:type="dxa"/>
        </w:tcPr>
        <w:p w:rsidR="00880EED" w:rsidRDefault="00880EED" w:rsidP="0088789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539DD">
            <w:rPr>
              <w:i/>
              <w:sz w:val="18"/>
            </w:rPr>
            <w:t>Treasury Laws Amendment (Banking Measures No. 1) Act 2018</w:t>
          </w:r>
          <w:r w:rsidRPr="00ED79B6">
            <w:rPr>
              <w:i/>
              <w:sz w:val="18"/>
            </w:rPr>
            <w:fldChar w:fldCharType="end"/>
          </w:r>
        </w:p>
      </w:tc>
      <w:tc>
        <w:tcPr>
          <w:tcW w:w="669" w:type="dxa"/>
        </w:tcPr>
        <w:p w:rsidR="00880EED" w:rsidRDefault="00880EED" w:rsidP="0088789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132D">
            <w:rPr>
              <w:i/>
              <w:noProof/>
              <w:sz w:val="18"/>
            </w:rPr>
            <w:t>i</w:t>
          </w:r>
          <w:r w:rsidRPr="00ED79B6">
            <w:rPr>
              <w:i/>
              <w:sz w:val="18"/>
            </w:rPr>
            <w:fldChar w:fldCharType="end"/>
          </w:r>
        </w:p>
      </w:tc>
    </w:tr>
  </w:tbl>
  <w:p w:rsidR="00880EED" w:rsidRPr="00ED79B6" w:rsidRDefault="00880EED" w:rsidP="00055B5C">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A961C4" w:rsidRDefault="00880EED" w:rsidP="009714E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80EED" w:rsidTr="00517068">
      <w:tc>
        <w:tcPr>
          <w:tcW w:w="646" w:type="dxa"/>
        </w:tcPr>
        <w:p w:rsidR="00880EED" w:rsidRDefault="00880EED" w:rsidP="000337F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B132D">
            <w:rPr>
              <w:i/>
              <w:noProof/>
              <w:sz w:val="18"/>
            </w:rPr>
            <w:t>2</w:t>
          </w:r>
          <w:r w:rsidRPr="007A1328">
            <w:rPr>
              <w:i/>
              <w:sz w:val="18"/>
            </w:rPr>
            <w:fldChar w:fldCharType="end"/>
          </w:r>
        </w:p>
      </w:tc>
      <w:tc>
        <w:tcPr>
          <w:tcW w:w="5387" w:type="dxa"/>
        </w:tcPr>
        <w:p w:rsidR="00880EED" w:rsidRDefault="00880EED" w:rsidP="000337F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539DD">
            <w:rPr>
              <w:i/>
              <w:sz w:val="18"/>
            </w:rPr>
            <w:t>Treasury Laws Amendment (Banking Measures No. 1) Act 2018</w:t>
          </w:r>
          <w:r w:rsidRPr="007A1328">
            <w:rPr>
              <w:i/>
              <w:sz w:val="18"/>
            </w:rPr>
            <w:fldChar w:fldCharType="end"/>
          </w:r>
        </w:p>
      </w:tc>
      <w:tc>
        <w:tcPr>
          <w:tcW w:w="1270" w:type="dxa"/>
        </w:tcPr>
        <w:p w:rsidR="00880EED" w:rsidRDefault="00140C67" w:rsidP="000337F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539DD">
            <w:rPr>
              <w:i/>
              <w:sz w:val="18"/>
            </w:rPr>
            <w:t>No. 9, 2018</w:t>
          </w:r>
          <w:r w:rsidRPr="00ED79B6">
            <w:rPr>
              <w:i/>
              <w:sz w:val="18"/>
            </w:rPr>
            <w:fldChar w:fldCharType="end"/>
          </w:r>
        </w:p>
      </w:tc>
    </w:tr>
  </w:tbl>
  <w:p w:rsidR="00880EED" w:rsidRPr="00A961C4" w:rsidRDefault="00880EED" w:rsidP="00055B5C">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A961C4" w:rsidRDefault="00880EED" w:rsidP="009714E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80EED" w:rsidTr="00517068">
      <w:tc>
        <w:tcPr>
          <w:tcW w:w="1247" w:type="dxa"/>
        </w:tcPr>
        <w:p w:rsidR="00880EED" w:rsidRDefault="00140C67" w:rsidP="000337F5">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539DD">
            <w:rPr>
              <w:i/>
              <w:sz w:val="18"/>
            </w:rPr>
            <w:t>No. 9, 2018</w:t>
          </w:r>
          <w:r w:rsidRPr="00ED79B6">
            <w:rPr>
              <w:i/>
              <w:sz w:val="18"/>
            </w:rPr>
            <w:fldChar w:fldCharType="end"/>
          </w:r>
        </w:p>
      </w:tc>
      <w:tc>
        <w:tcPr>
          <w:tcW w:w="5387" w:type="dxa"/>
        </w:tcPr>
        <w:p w:rsidR="00880EED" w:rsidRDefault="00880EED" w:rsidP="000337F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539DD">
            <w:rPr>
              <w:i/>
              <w:sz w:val="18"/>
            </w:rPr>
            <w:t>Treasury Laws Amendment (Banking Measures No. 1) Act 2018</w:t>
          </w:r>
          <w:r w:rsidRPr="007A1328">
            <w:rPr>
              <w:i/>
              <w:sz w:val="18"/>
            </w:rPr>
            <w:fldChar w:fldCharType="end"/>
          </w:r>
        </w:p>
      </w:tc>
      <w:tc>
        <w:tcPr>
          <w:tcW w:w="669" w:type="dxa"/>
        </w:tcPr>
        <w:p w:rsidR="00880EED" w:rsidRDefault="00880EED" w:rsidP="000337F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B132D">
            <w:rPr>
              <w:i/>
              <w:noProof/>
              <w:sz w:val="18"/>
            </w:rPr>
            <w:t>37</w:t>
          </w:r>
          <w:r w:rsidRPr="007A1328">
            <w:rPr>
              <w:i/>
              <w:sz w:val="18"/>
            </w:rPr>
            <w:fldChar w:fldCharType="end"/>
          </w:r>
        </w:p>
      </w:tc>
    </w:tr>
  </w:tbl>
  <w:p w:rsidR="00880EED" w:rsidRPr="00055B5C" w:rsidRDefault="00880EED" w:rsidP="00055B5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A961C4" w:rsidRDefault="00880EED" w:rsidP="009714E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80EED" w:rsidTr="00517068">
      <w:tc>
        <w:tcPr>
          <w:tcW w:w="1247" w:type="dxa"/>
        </w:tcPr>
        <w:p w:rsidR="00880EED" w:rsidRDefault="00140C67" w:rsidP="000337F5">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539DD">
            <w:rPr>
              <w:i/>
              <w:sz w:val="18"/>
            </w:rPr>
            <w:t>No. 9, 2018</w:t>
          </w:r>
          <w:r w:rsidRPr="00ED79B6">
            <w:rPr>
              <w:i/>
              <w:sz w:val="18"/>
            </w:rPr>
            <w:fldChar w:fldCharType="end"/>
          </w:r>
        </w:p>
      </w:tc>
      <w:tc>
        <w:tcPr>
          <w:tcW w:w="5387" w:type="dxa"/>
        </w:tcPr>
        <w:p w:rsidR="00880EED" w:rsidRDefault="00880EED" w:rsidP="000337F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539DD">
            <w:rPr>
              <w:i/>
              <w:sz w:val="18"/>
            </w:rPr>
            <w:t>Treasury Laws Amendment (Banking Measures No. 1) Act 2018</w:t>
          </w:r>
          <w:r w:rsidRPr="007A1328">
            <w:rPr>
              <w:i/>
              <w:sz w:val="18"/>
            </w:rPr>
            <w:fldChar w:fldCharType="end"/>
          </w:r>
        </w:p>
      </w:tc>
      <w:tc>
        <w:tcPr>
          <w:tcW w:w="669" w:type="dxa"/>
        </w:tcPr>
        <w:p w:rsidR="00880EED" w:rsidRDefault="00880EED" w:rsidP="000337F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B132D">
            <w:rPr>
              <w:i/>
              <w:noProof/>
              <w:sz w:val="18"/>
            </w:rPr>
            <w:t>1</w:t>
          </w:r>
          <w:r w:rsidRPr="007A1328">
            <w:rPr>
              <w:i/>
              <w:sz w:val="18"/>
            </w:rPr>
            <w:fldChar w:fldCharType="end"/>
          </w:r>
        </w:p>
      </w:tc>
    </w:tr>
  </w:tbl>
  <w:p w:rsidR="00880EED" w:rsidRPr="00A961C4" w:rsidRDefault="00880EED"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EED" w:rsidRDefault="00880EED" w:rsidP="0048364F">
      <w:pPr>
        <w:spacing w:line="240" w:lineRule="auto"/>
      </w:pPr>
      <w:r>
        <w:separator/>
      </w:r>
    </w:p>
  </w:footnote>
  <w:footnote w:type="continuationSeparator" w:id="0">
    <w:p w:rsidR="00880EED" w:rsidRDefault="00880EE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5F1388" w:rsidRDefault="00880EED"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5F1388" w:rsidRDefault="00880EED"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5F1388" w:rsidRDefault="00880EED"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ED79B6" w:rsidRDefault="00880EED"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ED79B6" w:rsidRDefault="00880EED"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ED79B6" w:rsidRDefault="00880EED"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A961C4" w:rsidRDefault="00880EED"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880EED" w:rsidRPr="00A961C4" w:rsidRDefault="00880EED" w:rsidP="0048364F">
    <w:pPr>
      <w:rPr>
        <w:b/>
        <w:sz w:val="20"/>
      </w:rPr>
    </w:pPr>
    <w:r>
      <w:rPr>
        <w:b/>
        <w:sz w:val="20"/>
      </w:rPr>
      <w:fldChar w:fldCharType="begin"/>
    </w:r>
    <w:r>
      <w:rPr>
        <w:b/>
        <w:sz w:val="20"/>
      </w:rPr>
      <w:instrText xml:space="preserve"> STYLEREF CharAmPartNo </w:instrText>
    </w:r>
    <w:r w:rsidR="008B132D">
      <w:rPr>
        <w:b/>
        <w:sz w:val="20"/>
      </w:rPr>
      <w:fldChar w:fldCharType="separate"/>
    </w:r>
    <w:r w:rsidR="008B132D">
      <w:rPr>
        <w:b/>
        <w:noProof/>
        <w:sz w:val="20"/>
      </w:rPr>
      <w:cr/>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80EED" w:rsidRPr="00A961C4" w:rsidRDefault="00880EED"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A961C4" w:rsidRDefault="00880EED" w:rsidP="0048364F">
    <w:pPr>
      <w:jc w:val="right"/>
      <w:rPr>
        <w:sz w:val="20"/>
      </w:rPr>
    </w:pPr>
    <w:r w:rsidRPr="00A961C4">
      <w:rPr>
        <w:sz w:val="20"/>
      </w:rPr>
      <w:fldChar w:fldCharType="begin"/>
    </w:r>
    <w:r w:rsidRPr="00A961C4">
      <w:rPr>
        <w:sz w:val="20"/>
      </w:rPr>
      <w:instrText xml:space="preserve"> STYLEREF CharAmSchText </w:instrText>
    </w:r>
    <w:r w:rsidR="008B132D">
      <w:rPr>
        <w:sz w:val="20"/>
      </w:rPr>
      <w:fldChar w:fldCharType="separate"/>
    </w:r>
    <w:r w:rsidR="008B132D">
      <w:rPr>
        <w:noProof/>
        <w:sz w:val="20"/>
      </w:rPr>
      <w:t>Credit card reforms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B132D">
      <w:rPr>
        <w:b/>
        <w:sz w:val="20"/>
      </w:rPr>
      <w:fldChar w:fldCharType="separate"/>
    </w:r>
    <w:r w:rsidR="008B132D">
      <w:rPr>
        <w:b/>
        <w:noProof/>
        <w:sz w:val="20"/>
      </w:rPr>
      <w:t>Schedule 5</w:t>
    </w:r>
    <w:r>
      <w:rPr>
        <w:b/>
        <w:sz w:val="20"/>
      </w:rPr>
      <w:fldChar w:fldCharType="end"/>
    </w:r>
  </w:p>
  <w:p w:rsidR="00880EED" w:rsidRPr="00A961C4" w:rsidRDefault="00880EED" w:rsidP="0048364F">
    <w:pPr>
      <w:jc w:val="right"/>
      <w:rPr>
        <w:b/>
        <w:sz w:val="20"/>
      </w:rPr>
    </w:pPr>
    <w:r w:rsidRPr="00A961C4">
      <w:rPr>
        <w:sz w:val="20"/>
      </w:rPr>
      <w:fldChar w:fldCharType="begin"/>
    </w:r>
    <w:r w:rsidRPr="00A961C4">
      <w:rPr>
        <w:sz w:val="20"/>
      </w:rPr>
      <w:instrText xml:space="preserve"> STYLEREF CharAmPartText </w:instrText>
    </w:r>
    <w:r w:rsidR="008B132D">
      <w:rPr>
        <w:sz w:val="20"/>
      </w:rPr>
      <w:fldChar w:fldCharType="separate"/>
    </w:r>
    <w:r w:rsidR="008B132D">
      <w:rPr>
        <w:noProof/>
        <w:sz w:val="20"/>
      </w:rPr>
      <w:t>Application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8B132D">
      <w:rPr>
        <w:b/>
        <w:sz w:val="20"/>
      </w:rPr>
      <w:fldChar w:fldCharType="separate"/>
    </w:r>
    <w:r w:rsidR="008B132D">
      <w:rPr>
        <w:b/>
        <w:noProof/>
        <w:sz w:val="20"/>
      </w:rPr>
      <w:t>Part 5</w:t>
    </w:r>
    <w:r w:rsidRPr="00A961C4">
      <w:rPr>
        <w:b/>
        <w:sz w:val="20"/>
      </w:rPr>
      <w:fldChar w:fldCharType="end"/>
    </w:r>
  </w:p>
  <w:p w:rsidR="00880EED" w:rsidRPr="00A961C4" w:rsidRDefault="00880EED"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EED" w:rsidRPr="00A961C4" w:rsidRDefault="00880EED"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C70835C-84C7-4896-8D31-01E93036345F}"/>
    <w:docVar w:name="dgnword-eventsink" w:val="203734200"/>
  </w:docVars>
  <w:rsids>
    <w:rsidRoot w:val="00137BB3"/>
    <w:rsid w:val="000004F6"/>
    <w:rsid w:val="00006F73"/>
    <w:rsid w:val="000113BC"/>
    <w:rsid w:val="000136AF"/>
    <w:rsid w:val="000337F5"/>
    <w:rsid w:val="000417C9"/>
    <w:rsid w:val="0005142E"/>
    <w:rsid w:val="00055B5C"/>
    <w:rsid w:val="00056391"/>
    <w:rsid w:val="00060E83"/>
    <w:rsid w:val="00060FF9"/>
    <w:rsid w:val="000614BF"/>
    <w:rsid w:val="00093612"/>
    <w:rsid w:val="00093D57"/>
    <w:rsid w:val="000B03AD"/>
    <w:rsid w:val="000B1FD2"/>
    <w:rsid w:val="000C285A"/>
    <w:rsid w:val="000D05EF"/>
    <w:rsid w:val="000D2E35"/>
    <w:rsid w:val="000D42A4"/>
    <w:rsid w:val="000D5CAA"/>
    <w:rsid w:val="000E20E4"/>
    <w:rsid w:val="000F21C1"/>
    <w:rsid w:val="00101D90"/>
    <w:rsid w:val="00105874"/>
    <w:rsid w:val="0010745C"/>
    <w:rsid w:val="00113BD1"/>
    <w:rsid w:val="00115E40"/>
    <w:rsid w:val="00122206"/>
    <w:rsid w:val="00137BB3"/>
    <w:rsid w:val="00140C67"/>
    <w:rsid w:val="0015077E"/>
    <w:rsid w:val="00152C58"/>
    <w:rsid w:val="0015646E"/>
    <w:rsid w:val="001603B0"/>
    <w:rsid w:val="001643C9"/>
    <w:rsid w:val="00165568"/>
    <w:rsid w:val="00166C2F"/>
    <w:rsid w:val="001716C9"/>
    <w:rsid w:val="00173363"/>
    <w:rsid w:val="00173B94"/>
    <w:rsid w:val="00176711"/>
    <w:rsid w:val="00184F91"/>
    <w:rsid w:val="001854B4"/>
    <w:rsid w:val="001863E2"/>
    <w:rsid w:val="00192CC5"/>
    <w:rsid w:val="001939E1"/>
    <w:rsid w:val="00195382"/>
    <w:rsid w:val="001953B0"/>
    <w:rsid w:val="00195731"/>
    <w:rsid w:val="001A3658"/>
    <w:rsid w:val="001A759A"/>
    <w:rsid w:val="001B6338"/>
    <w:rsid w:val="001B7A5D"/>
    <w:rsid w:val="001C2418"/>
    <w:rsid w:val="001C317F"/>
    <w:rsid w:val="001C69C4"/>
    <w:rsid w:val="001E3590"/>
    <w:rsid w:val="001E7407"/>
    <w:rsid w:val="001F1E2C"/>
    <w:rsid w:val="00201D27"/>
    <w:rsid w:val="00202618"/>
    <w:rsid w:val="002225D1"/>
    <w:rsid w:val="00227DC9"/>
    <w:rsid w:val="002319DD"/>
    <w:rsid w:val="00240749"/>
    <w:rsid w:val="00263820"/>
    <w:rsid w:val="00264A89"/>
    <w:rsid w:val="00274654"/>
    <w:rsid w:val="00275197"/>
    <w:rsid w:val="0028424E"/>
    <w:rsid w:val="00293B89"/>
    <w:rsid w:val="00296294"/>
    <w:rsid w:val="00297ECB"/>
    <w:rsid w:val="002A7CEE"/>
    <w:rsid w:val="002B5A30"/>
    <w:rsid w:val="002D043A"/>
    <w:rsid w:val="002D395A"/>
    <w:rsid w:val="00301544"/>
    <w:rsid w:val="003101D8"/>
    <w:rsid w:val="0031582B"/>
    <w:rsid w:val="00324BDD"/>
    <w:rsid w:val="003415D3"/>
    <w:rsid w:val="00350417"/>
    <w:rsid w:val="00352B0F"/>
    <w:rsid w:val="003756C8"/>
    <w:rsid w:val="00375C6C"/>
    <w:rsid w:val="003777A7"/>
    <w:rsid w:val="00384270"/>
    <w:rsid w:val="00393067"/>
    <w:rsid w:val="00395E5A"/>
    <w:rsid w:val="003B2257"/>
    <w:rsid w:val="003B4E99"/>
    <w:rsid w:val="003C5F2B"/>
    <w:rsid w:val="003D0BFE"/>
    <w:rsid w:val="003D4384"/>
    <w:rsid w:val="003D5700"/>
    <w:rsid w:val="003D7FB5"/>
    <w:rsid w:val="003F2439"/>
    <w:rsid w:val="00401A42"/>
    <w:rsid w:val="00405579"/>
    <w:rsid w:val="00410B8E"/>
    <w:rsid w:val="004116CD"/>
    <w:rsid w:val="00421FC1"/>
    <w:rsid w:val="004229C7"/>
    <w:rsid w:val="00422DFD"/>
    <w:rsid w:val="00424CA9"/>
    <w:rsid w:val="00436785"/>
    <w:rsid w:val="00436BD5"/>
    <w:rsid w:val="00437E4B"/>
    <w:rsid w:val="00442633"/>
    <w:rsid w:val="0044291A"/>
    <w:rsid w:val="00442FC2"/>
    <w:rsid w:val="004439B9"/>
    <w:rsid w:val="00476E19"/>
    <w:rsid w:val="0048196B"/>
    <w:rsid w:val="0048364F"/>
    <w:rsid w:val="004849CB"/>
    <w:rsid w:val="00496F97"/>
    <w:rsid w:val="004A20B5"/>
    <w:rsid w:val="004B0EFE"/>
    <w:rsid w:val="004B14E5"/>
    <w:rsid w:val="004B6356"/>
    <w:rsid w:val="004C58D1"/>
    <w:rsid w:val="004C6D7A"/>
    <w:rsid w:val="004C7C8C"/>
    <w:rsid w:val="004E2A4A"/>
    <w:rsid w:val="004E362D"/>
    <w:rsid w:val="004F0D23"/>
    <w:rsid w:val="004F1FAC"/>
    <w:rsid w:val="004F78D7"/>
    <w:rsid w:val="00516B8D"/>
    <w:rsid w:val="00517068"/>
    <w:rsid w:val="00537FBC"/>
    <w:rsid w:val="00543469"/>
    <w:rsid w:val="00547305"/>
    <w:rsid w:val="00551B54"/>
    <w:rsid w:val="0056267D"/>
    <w:rsid w:val="005642FA"/>
    <w:rsid w:val="0057137D"/>
    <w:rsid w:val="00574BF3"/>
    <w:rsid w:val="00584811"/>
    <w:rsid w:val="005908B5"/>
    <w:rsid w:val="00591F24"/>
    <w:rsid w:val="00593AA6"/>
    <w:rsid w:val="00594161"/>
    <w:rsid w:val="00594749"/>
    <w:rsid w:val="005958C3"/>
    <w:rsid w:val="005A0D92"/>
    <w:rsid w:val="005A744B"/>
    <w:rsid w:val="005B4067"/>
    <w:rsid w:val="005B7D4C"/>
    <w:rsid w:val="005C3F41"/>
    <w:rsid w:val="005E152A"/>
    <w:rsid w:val="005E4B65"/>
    <w:rsid w:val="005E5325"/>
    <w:rsid w:val="005E7CF9"/>
    <w:rsid w:val="00600219"/>
    <w:rsid w:val="0060525A"/>
    <w:rsid w:val="00610189"/>
    <w:rsid w:val="00613277"/>
    <w:rsid w:val="00623739"/>
    <w:rsid w:val="00637D0D"/>
    <w:rsid w:val="00641DE5"/>
    <w:rsid w:val="00644D9C"/>
    <w:rsid w:val="00656F0C"/>
    <w:rsid w:val="00677CC2"/>
    <w:rsid w:val="00681F92"/>
    <w:rsid w:val="006842C2"/>
    <w:rsid w:val="00685F42"/>
    <w:rsid w:val="0069207B"/>
    <w:rsid w:val="006A301B"/>
    <w:rsid w:val="006C2845"/>
    <w:rsid w:val="006C2874"/>
    <w:rsid w:val="006C7F8C"/>
    <w:rsid w:val="006D380D"/>
    <w:rsid w:val="006D4CED"/>
    <w:rsid w:val="006E0135"/>
    <w:rsid w:val="006E303A"/>
    <w:rsid w:val="006F7E19"/>
    <w:rsid w:val="00700B2C"/>
    <w:rsid w:val="0070743B"/>
    <w:rsid w:val="00712D8D"/>
    <w:rsid w:val="00713084"/>
    <w:rsid w:val="00714B26"/>
    <w:rsid w:val="0071606C"/>
    <w:rsid w:val="00723137"/>
    <w:rsid w:val="00731E00"/>
    <w:rsid w:val="007440B7"/>
    <w:rsid w:val="00760847"/>
    <w:rsid w:val="007634AD"/>
    <w:rsid w:val="007715C9"/>
    <w:rsid w:val="0077204F"/>
    <w:rsid w:val="00774EDD"/>
    <w:rsid w:val="007757EC"/>
    <w:rsid w:val="00777A38"/>
    <w:rsid w:val="00796AC4"/>
    <w:rsid w:val="007A5D6A"/>
    <w:rsid w:val="007B0ECB"/>
    <w:rsid w:val="007C14A8"/>
    <w:rsid w:val="007E7D4A"/>
    <w:rsid w:val="007F168F"/>
    <w:rsid w:val="007F3284"/>
    <w:rsid w:val="008006CC"/>
    <w:rsid w:val="00807701"/>
    <w:rsid w:val="00807F18"/>
    <w:rsid w:val="00831E8D"/>
    <w:rsid w:val="0084436F"/>
    <w:rsid w:val="00850F43"/>
    <w:rsid w:val="00856A31"/>
    <w:rsid w:val="00857265"/>
    <w:rsid w:val="00857D6B"/>
    <w:rsid w:val="00866DF1"/>
    <w:rsid w:val="008678D7"/>
    <w:rsid w:val="008754D0"/>
    <w:rsid w:val="00877D48"/>
    <w:rsid w:val="00880EED"/>
    <w:rsid w:val="00883781"/>
    <w:rsid w:val="00885570"/>
    <w:rsid w:val="00887892"/>
    <w:rsid w:val="00893958"/>
    <w:rsid w:val="008A235F"/>
    <w:rsid w:val="008A2E77"/>
    <w:rsid w:val="008B132D"/>
    <w:rsid w:val="008C6F6F"/>
    <w:rsid w:val="008D0EE0"/>
    <w:rsid w:val="008F4F1C"/>
    <w:rsid w:val="008F70D0"/>
    <w:rsid w:val="008F77C4"/>
    <w:rsid w:val="00903464"/>
    <w:rsid w:val="009040A0"/>
    <w:rsid w:val="009101D8"/>
    <w:rsid w:val="009103F3"/>
    <w:rsid w:val="00913BEF"/>
    <w:rsid w:val="00915B82"/>
    <w:rsid w:val="00925D41"/>
    <w:rsid w:val="00932377"/>
    <w:rsid w:val="009409E7"/>
    <w:rsid w:val="00967042"/>
    <w:rsid w:val="009714E7"/>
    <w:rsid w:val="0098255A"/>
    <w:rsid w:val="009845BE"/>
    <w:rsid w:val="009969C9"/>
    <w:rsid w:val="00996BA8"/>
    <w:rsid w:val="009A006E"/>
    <w:rsid w:val="009A3E83"/>
    <w:rsid w:val="009B6068"/>
    <w:rsid w:val="009B6E1E"/>
    <w:rsid w:val="009D5859"/>
    <w:rsid w:val="009E3F09"/>
    <w:rsid w:val="009E6946"/>
    <w:rsid w:val="009F7C24"/>
    <w:rsid w:val="00A048FF"/>
    <w:rsid w:val="00A07FF3"/>
    <w:rsid w:val="00A10775"/>
    <w:rsid w:val="00A179CB"/>
    <w:rsid w:val="00A22432"/>
    <w:rsid w:val="00A231E2"/>
    <w:rsid w:val="00A35B1F"/>
    <w:rsid w:val="00A36C48"/>
    <w:rsid w:val="00A41E0B"/>
    <w:rsid w:val="00A55631"/>
    <w:rsid w:val="00A606AD"/>
    <w:rsid w:val="00A64912"/>
    <w:rsid w:val="00A6600D"/>
    <w:rsid w:val="00A70A74"/>
    <w:rsid w:val="00A97DBF"/>
    <w:rsid w:val="00AA10BB"/>
    <w:rsid w:val="00AA1719"/>
    <w:rsid w:val="00AA3795"/>
    <w:rsid w:val="00AB520E"/>
    <w:rsid w:val="00AC1C06"/>
    <w:rsid w:val="00AC1E75"/>
    <w:rsid w:val="00AD5641"/>
    <w:rsid w:val="00AE1088"/>
    <w:rsid w:val="00AE5278"/>
    <w:rsid w:val="00AF19B4"/>
    <w:rsid w:val="00AF1BA4"/>
    <w:rsid w:val="00B032D8"/>
    <w:rsid w:val="00B1076B"/>
    <w:rsid w:val="00B26FC0"/>
    <w:rsid w:val="00B31DD0"/>
    <w:rsid w:val="00B33B3C"/>
    <w:rsid w:val="00B50CF7"/>
    <w:rsid w:val="00B63786"/>
    <w:rsid w:val="00B6382D"/>
    <w:rsid w:val="00B65350"/>
    <w:rsid w:val="00B961CA"/>
    <w:rsid w:val="00BA1245"/>
    <w:rsid w:val="00BA5026"/>
    <w:rsid w:val="00BB40BF"/>
    <w:rsid w:val="00BC0CD1"/>
    <w:rsid w:val="00BC25DE"/>
    <w:rsid w:val="00BC5352"/>
    <w:rsid w:val="00BD7CA7"/>
    <w:rsid w:val="00BE719A"/>
    <w:rsid w:val="00BE720A"/>
    <w:rsid w:val="00BE7AFA"/>
    <w:rsid w:val="00BF0461"/>
    <w:rsid w:val="00BF4944"/>
    <w:rsid w:val="00BF56D4"/>
    <w:rsid w:val="00C04409"/>
    <w:rsid w:val="00C067E5"/>
    <w:rsid w:val="00C164CA"/>
    <w:rsid w:val="00C176CF"/>
    <w:rsid w:val="00C319AA"/>
    <w:rsid w:val="00C42BF8"/>
    <w:rsid w:val="00C44690"/>
    <w:rsid w:val="00C45F80"/>
    <w:rsid w:val="00C460AE"/>
    <w:rsid w:val="00C50043"/>
    <w:rsid w:val="00C535E1"/>
    <w:rsid w:val="00C54342"/>
    <w:rsid w:val="00C54E84"/>
    <w:rsid w:val="00C5658E"/>
    <w:rsid w:val="00C722A8"/>
    <w:rsid w:val="00C7573B"/>
    <w:rsid w:val="00C76CF3"/>
    <w:rsid w:val="00C822B3"/>
    <w:rsid w:val="00C825E2"/>
    <w:rsid w:val="00C83714"/>
    <w:rsid w:val="00C86A83"/>
    <w:rsid w:val="00C94BE2"/>
    <w:rsid w:val="00CB5EA4"/>
    <w:rsid w:val="00CB714A"/>
    <w:rsid w:val="00CD17E1"/>
    <w:rsid w:val="00CD429E"/>
    <w:rsid w:val="00CE1E31"/>
    <w:rsid w:val="00CE5773"/>
    <w:rsid w:val="00CF0BB2"/>
    <w:rsid w:val="00CF7B9C"/>
    <w:rsid w:val="00D00343"/>
    <w:rsid w:val="00D00EAA"/>
    <w:rsid w:val="00D0277E"/>
    <w:rsid w:val="00D13441"/>
    <w:rsid w:val="00D2082A"/>
    <w:rsid w:val="00D243A3"/>
    <w:rsid w:val="00D24EB7"/>
    <w:rsid w:val="00D27FE1"/>
    <w:rsid w:val="00D3369C"/>
    <w:rsid w:val="00D33A36"/>
    <w:rsid w:val="00D442C7"/>
    <w:rsid w:val="00D4594E"/>
    <w:rsid w:val="00D477C3"/>
    <w:rsid w:val="00D52EFE"/>
    <w:rsid w:val="00D539DD"/>
    <w:rsid w:val="00D63EF6"/>
    <w:rsid w:val="00D70DFB"/>
    <w:rsid w:val="00D73029"/>
    <w:rsid w:val="00D766DF"/>
    <w:rsid w:val="00D860F4"/>
    <w:rsid w:val="00D867CA"/>
    <w:rsid w:val="00D924A7"/>
    <w:rsid w:val="00D97E90"/>
    <w:rsid w:val="00DB2CAF"/>
    <w:rsid w:val="00DC64C9"/>
    <w:rsid w:val="00DD198F"/>
    <w:rsid w:val="00DD3F19"/>
    <w:rsid w:val="00DE2002"/>
    <w:rsid w:val="00DE48AE"/>
    <w:rsid w:val="00DF7AE9"/>
    <w:rsid w:val="00E00B50"/>
    <w:rsid w:val="00E0276E"/>
    <w:rsid w:val="00E05704"/>
    <w:rsid w:val="00E10B2B"/>
    <w:rsid w:val="00E13A57"/>
    <w:rsid w:val="00E24D66"/>
    <w:rsid w:val="00E25605"/>
    <w:rsid w:val="00E31B87"/>
    <w:rsid w:val="00E31E1B"/>
    <w:rsid w:val="00E45660"/>
    <w:rsid w:val="00E46A50"/>
    <w:rsid w:val="00E54292"/>
    <w:rsid w:val="00E649C3"/>
    <w:rsid w:val="00E67DA3"/>
    <w:rsid w:val="00E74DC7"/>
    <w:rsid w:val="00E85B10"/>
    <w:rsid w:val="00E85B32"/>
    <w:rsid w:val="00E87699"/>
    <w:rsid w:val="00EA63BA"/>
    <w:rsid w:val="00EB697D"/>
    <w:rsid w:val="00ED492F"/>
    <w:rsid w:val="00EF263A"/>
    <w:rsid w:val="00EF2E3A"/>
    <w:rsid w:val="00F047E2"/>
    <w:rsid w:val="00F078DC"/>
    <w:rsid w:val="00F13E86"/>
    <w:rsid w:val="00F154BE"/>
    <w:rsid w:val="00F1709B"/>
    <w:rsid w:val="00F17B00"/>
    <w:rsid w:val="00F54D11"/>
    <w:rsid w:val="00F619EC"/>
    <w:rsid w:val="00F677A9"/>
    <w:rsid w:val="00F71D43"/>
    <w:rsid w:val="00F84CF5"/>
    <w:rsid w:val="00F8528B"/>
    <w:rsid w:val="00F92C67"/>
    <w:rsid w:val="00F92D35"/>
    <w:rsid w:val="00FA0683"/>
    <w:rsid w:val="00FA420B"/>
    <w:rsid w:val="00FB08BA"/>
    <w:rsid w:val="00FB1143"/>
    <w:rsid w:val="00FB1F39"/>
    <w:rsid w:val="00FB479E"/>
    <w:rsid w:val="00FB7A02"/>
    <w:rsid w:val="00FC2FFF"/>
    <w:rsid w:val="00FD1CBA"/>
    <w:rsid w:val="00FD1E13"/>
    <w:rsid w:val="00FD7EB1"/>
    <w:rsid w:val="00FE41C9"/>
    <w:rsid w:val="00FE7F93"/>
    <w:rsid w:val="00FF5A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14E7"/>
    <w:pPr>
      <w:spacing w:line="260" w:lineRule="atLeast"/>
    </w:pPr>
    <w:rPr>
      <w:sz w:val="22"/>
    </w:rPr>
  </w:style>
  <w:style w:type="paragraph" w:styleId="Heading1">
    <w:name w:val="heading 1"/>
    <w:basedOn w:val="Normal"/>
    <w:next w:val="Normal"/>
    <w:link w:val="Heading1Char"/>
    <w:uiPriority w:val="9"/>
    <w:qFormat/>
    <w:rsid w:val="004A20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20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20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20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A20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20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20B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A20B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A20B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714E7"/>
  </w:style>
  <w:style w:type="paragraph" w:customStyle="1" w:styleId="OPCParaBase">
    <w:name w:val="OPCParaBase"/>
    <w:link w:val="OPCParaBaseChar"/>
    <w:qFormat/>
    <w:rsid w:val="009714E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714E7"/>
    <w:pPr>
      <w:spacing w:line="240" w:lineRule="auto"/>
    </w:pPr>
    <w:rPr>
      <w:b/>
      <w:sz w:val="40"/>
    </w:rPr>
  </w:style>
  <w:style w:type="paragraph" w:customStyle="1" w:styleId="ActHead1">
    <w:name w:val="ActHead 1"/>
    <w:aliases w:val="c"/>
    <w:basedOn w:val="OPCParaBase"/>
    <w:next w:val="Normal"/>
    <w:qFormat/>
    <w:rsid w:val="009714E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714E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714E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714E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714E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714E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9714E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714E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714E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714E7"/>
  </w:style>
  <w:style w:type="paragraph" w:customStyle="1" w:styleId="Blocks">
    <w:name w:val="Blocks"/>
    <w:aliases w:val="bb"/>
    <w:basedOn w:val="OPCParaBase"/>
    <w:qFormat/>
    <w:rsid w:val="009714E7"/>
    <w:pPr>
      <w:spacing w:line="240" w:lineRule="auto"/>
    </w:pPr>
    <w:rPr>
      <w:sz w:val="24"/>
    </w:rPr>
  </w:style>
  <w:style w:type="paragraph" w:customStyle="1" w:styleId="BoxText">
    <w:name w:val="BoxText"/>
    <w:aliases w:val="bt"/>
    <w:basedOn w:val="OPCParaBase"/>
    <w:qFormat/>
    <w:rsid w:val="009714E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714E7"/>
    <w:rPr>
      <w:b/>
    </w:rPr>
  </w:style>
  <w:style w:type="paragraph" w:customStyle="1" w:styleId="BoxHeadItalic">
    <w:name w:val="BoxHeadItalic"/>
    <w:aliases w:val="bhi"/>
    <w:basedOn w:val="BoxText"/>
    <w:next w:val="BoxStep"/>
    <w:qFormat/>
    <w:rsid w:val="009714E7"/>
    <w:rPr>
      <w:i/>
    </w:rPr>
  </w:style>
  <w:style w:type="paragraph" w:customStyle="1" w:styleId="BoxList">
    <w:name w:val="BoxList"/>
    <w:aliases w:val="bl"/>
    <w:basedOn w:val="BoxText"/>
    <w:qFormat/>
    <w:rsid w:val="009714E7"/>
    <w:pPr>
      <w:ind w:left="1559" w:hanging="425"/>
    </w:pPr>
  </w:style>
  <w:style w:type="paragraph" w:customStyle="1" w:styleId="BoxNote">
    <w:name w:val="BoxNote"/>
    <w:aliases w:val="bn"/>
    <w:basedOn w:val="BoxText"/>
    <w:qFormat/>
    <w:rsid w:val="009714E7"/>
    <w:pPr>
      <w:tabs>
        <w:tab w:val="left" w:pos="1985"/>
      </w:tabs>
      <w:spacing w:before="122" w:line="198" w:lineRule="exact"/>
      <w:ind w:left="2948" w:hanging="1814"/>
    </w:pPr>
    <w:rPr>
      <w:sz w:val="18"/>
    </w:rPr>
  </w:style>
  <w:style w:type="paragraph" w:customStyle="1" w:styleId="BoxPara">
    <w:name w:val="BoxPara"/>
    <w:aliases w:val="bp"/>
    <w:basedOn w:val="BoxText"/>
    <w:qFormat/>
    <w:rsid w:val="009714E7"/>
    <w:pPr>
      <w:tabs>
        <w:tab w:val="right" w:pos="2268"/>
      </w:tabs>
      <w:ind w:left="2552" w:hanging="1418"/>
    </w:pPr>
  </w:style>
  <w:style w:type="paragraph" w:customStyle="1" w:styleId="BoxStep">
    <w:name w:val="BoxStep"/>
    <w:aliases w:val="bs"/>
    <w:basedOn w:val="BoxText"/>
    <w:qFormat/>
    <w:rsid w:val="009714E7"/>
    <w:pPr>
      <w:ind w:left="1985" w:hanging="851"/>
    </w:pPr>
  </w:style>
  <w:style w:type="character" w:customStyle="1" w:styleId="CharAmPartNo">
    <w:name w:val="CharAmPartNo"/>
    <w:basedOn w:val="OPCCharBase"/>
    <w:qFormat/>
    <w:rsid w:val="009714E7"/>
  </w:style>
  <w:style w:type="character" w:customStyle="1" w:styleId="CharAmPartText">
    <w:name w:val="CharAmPartText"/>
    <w:basedOn w:val="OPCCharBase"/>
    <w:qFormat/>
    <w:rsid w:val="009714E7"/>
  </w:style>
  <w:style w:type="character" w:customStyle="1" w:styleId="CharAmSchNo">
    <w:name w:val="CharAmSchNo"/>
    <w:basedOn w:val="OPCCharBase"/>
    <w:qFormat/>
    <w:rsid w:val="009714E7"/>
  </w:style>
  <w:style w:type="character" w:customStyle="1" w:styleId="CharAmSchText">
    <w:name w:val="CharAmSchText"/>
    <w:basedOn w:val="OPCCharBase"/>
    <w:qFormat/>
    <w:rsid w:val="009714E7"/>
  </w:style>
  <w:style w:type="character" w:customStyle="1" w:styleId="CharBoldItalic">
    <w:name w:val="CharBoldItalic"/>
    <w:basedOn w:val="OPCCharBase"/>
    <w:uiPriority w:val="1"/>
    <w:qFormat/>
    <w:rsid w:val="009714E7"/>
    <w:rPr>
      <w:b/>
      <w:i/>
    </w:rPr>
  </w:style>
  <w:style w:type="character" w:customStyle="1" w:styleId="CharChapNo">
    <w:name w:val="CharChapNo"/>
    <w:basedOn w:val="OPCCharBase"/>
    <w:uiPriority w:val="1"/>
    <w:qFormat/>
    <w:rsid w:val="009714E7"/>
  </w:style>
  <w:style w:type="character" w:customStyle="1" w:styleId="CharChapText">
    <w:name w:val="CharChapText"/>
    <w:basedOn w:val="OPCCharBase"/>
    <w:uiPriority w:val="1"/>
    <w:qFormat/>
    <w:rsid w:val="009714E7"/>
  </w:style>
  <w:style w:type="character" w:customStyle="1" w:styleId="CharDivNo">
    <w:name w:val="CharDivNo"/>
    <w:basedOn w:val="OPCCharBase"/>
    <w:uiPriority w:val="1"/>
    <w:qFormat/>
    <w:rsid w:val="009714E7"/>
  </w:style>
  <w:style w:type="character" w:customStyle="1" w:styleId="CharDivText">
    <w:name w:val="CharDivText"/>
    <w:basedOn w:val="OPCCharBase"/>
    <w:uiPriority w:val="1"/>
    <w:qFormat/>
    <w:rsid w:val="009714E7"/>
  </w:style>
  <w:style w:type="character" w:customStyle="1" w:styleId="CharItalic">
    <w:name w:val="CharItalic"/>
    <w:basedOn w:val="OPCCharBase"/>
    <w:uiPriority w:val="1"/>
    <w:qFormat/>
    <w:rsid w:val="009714E7"/>
    <w:rPr>
      <w:i/>
    </w:rPr>
  </w:style>
  <w:style w:type="character" w:customStyle="1" w:styleId="CharPartNo">
    <w:name w:val="CharPartNo"/>
    <w:basedOn w:val="OPCCharBase"/>
    <w:uiPriority w:val="1"/>
    <w:qFormat/>
    <w:rsid w:val="009714E7"/>
  </w:style>
  <w:style w:type="character" w:customStyle="1" w:styleId="CharPartText">
    <w:name w:val="CharPartText"/>
    <w:basedOn w:val="OPCCharBase"/>
    <w:uiPriority w:val="1"/>
    <w:qFormat/>
    <w:rsid w:val="009714E7"/>
  </w:style>
  <w:style w:type="character" w:customStyle="1" w:styleId="CharSectno">
    <w:name w:val="CharSectno"/>
    <w:basedOn w:val="OPCCharBase"/>
    <w:qFormat/>
    <w:rsid w:val="009714E7"/>
  </w:style>
  <w:style w:type="character" w:customStyle="1" w:styleId="CharSubdNo">
    <w:name w:val="CharSubdNo"/>
    <w:basedOn w:val="OPCCharBase"/>
    <w:uiPriority w:val="1"/>
    <w:qFormat/>
    <w:rsid w:val="009714E7"/>
  </w:style>
  <w:style w:type="character" w:customStyle="1" w:styleId="CharSubdText">
    <w:name w:val="CharSubdText"/>
    <w:basedOn w:val="OPCCharBase"/>
    <w:uiPriority w:val="1"/>
    <w:qFormat/>
    <w:rsid w:val="009714E7"/>
  </w:style>
  <w:style w:type="paragraph" w:customStyle="1" w:styleId="CTA--">
    <w:name w:val="CTA --"/>
    <w:basedOn w:val="OPCParaBase"/>
    <w:next w:val="Normal"/>
    <w:rsid w:val="009714E7"/>
    <w:pPr>
      <w:spacing w:before="60" w:line="240" w:lineRule="atLeast"/>
      <w:ind w:left="142" w:hanging="142"/>
    </w:pPr>
    <w:rPr>
      <w:sz w:val="20"/>
    </w:rPr>
  </w:style>
  <w:style w:type="paragraph" w:customStyle="1" w:styleId="CTA-">
    <w:name w:val="CTA -"/>
    <w:basedOn w:val="OPCParaBase"/>
    <w:rsid w:val="009714E7"/>
    <w:pPr>
      <w:spacing w:before="60" w:line="240" w:lineRule="atLeast"/>
      <w:ind w:left="85" w:hanging="85"/>
    </w:pPr>
    <w:rPr>
      <w:sz w:val="20"/>
    </w:rPr>
  </w:style>
  <w:style w:type="paragraph" w:customStyle="1" w:styleId="CTA---">
    <w:name w:val="CTA ---"/>
    <w:basedOn w:val="OPCParaBase"/>
    <w:next w:val="Normal"/>
    <w:rsid w:val="009714E7"/>
    <w:pPr>
      <w:spacing w:before="60" w:line="240" w:lineRule="atLeast"/>
      <w:ind w:left="198" w:hanging="198"/>
    </w:pPr>
    <w:rPr>
      <w:sz w:val="20"/>
    </w:rPr>
  </w:style>
  <w:style w:type="paragraph" w:customStyle="1" w:styleId="CTA----">
    <w:name w:val="CTA ----"/>
    <w:basedOn w:val="OPCParaBase"/>
    <w:next w:val="Normal"/>
    <w:rsid w:val="009714E7"/>
    <w:pPr>
      <w:spacing w:before="60" w:line="240" w:lineRule="atLeast"/>
      <w:ind w:left="255" w:hanging="255"/>
    </w:pPr>
    <w:rPr>
      <w:sz w:val="20"/>
    </w:rPr>
  </w:style>
  <w:style w:type="paragraph" w:customStyle="1" w:styleId="CTA1a">
    <w:name w:val="CTA 1(a)"/>
    <w:basedOn w:val="OPCParaBase"/>
    <w:rsid w:val="009714E7"/>
    <w:pPr>
      <w:tabs>
        <w:tab w:val="right" w:pos="414"/>
      </w:tabs>
      <w:spacing w:before="40" w:line="240" w:lineRule="atLeast"/>
      <w:ind w:left="675" w:hanging="675"/>
    </w:pPr>
    <w:rPr>
      <w:sz w:val="20"/>
    </w:rPr>
  </w:style>
  <w:style w:type="paragraph" w:customStyle="1" w:styleId="CTA1ai">
    <w:name w:val="CTA 1(a)(i)"/>
    <w:basedOn w:val="OPCParaBase"/>
    <w:rsid w:val="009714E7"/>
    <w:pPr>
      <w:tabs>
        <w:tab w:val="right" w:pos="1004"/>
      </w:tabs>
      <w:spacing w:before="40" w:line="240" w:lineRule="atLeast"/>
      <w:ind w:left="1253" w:hanging="1253"/>
    </w:pPr>
    <w:rPr>
      <w:sz w:val="20"/>
    </w:rPr>
  </w:style>
  <w:style w:type="paragraph" w:customStyle="1" w:styleId="CTA2a">
    <w:name w:val="CTA 2(a)"/>
    <w:basedOn w:val="OPCParaBase"/>
    <w:rsid w:val="009714E7"/>
    <w:pPr>
      <w:tabs>
        <w:tab w:val="right" w:pos="482"/>
      </w:tabs>
      <w:spacing w:before="40" w:line="240" w:lineRule="atLeast"/>
      <w:ind w:left="748" w:hanging="748"/>
    </w:pPr>
    <w:rPr>
      <w:sz w:val="20"/>
    </w:rPr>
  </w:style>
  <w:style w:type="paragraph" w:customStyle="1" w:styleId="CTA2ai">
    <w:name w:val="CTA 2(a)(i)"/>
    <w:basedOn w:val="OPCParaBase"/>
    <w:rsid w:val="009714E7"/>
    <w:pPr>
      <w:tabs>
        <w:tab w:val="right" w:pos="1089"/>
      </w:tabs>
      <w:spacing w:before="40" w:line="240" w:lineRule="atLeast"/>
      <w:ind w:left="1327" w:hanging="1327"/>
    </w:pPr>
    <w:rPr>
      <w:sz w:val="20"/>
    </w:rPr>
  </w:style>
  <w:style w:type="paragraph" w:customStyle="1" w:styleId="CTA3a">
    <w:name w:val="CTA 3(a)"/>
    <w:basedOn w:val="OPCParaBase"/>
    <w:rsid w:val="009714E7"/>
    <w:pPr>
      <w:tabs>
        <w:tab w:val="right" w:pos="556"/>
      </w:tabs>
      <w:spacing w:before="40" w:line="240" w:lineRule="atLeast"/>
      <w:ind w:left="805" w:hanging="805"/>
    </w:pPr>
    <w:rPr>
      <w:sz w:val="20"/>
    </w:rPr>
  </w:style>
  <w:style w:type="paragraph" w:customStyle="1" w:styleId="CTA3ai">
    <w:name w:val="CTA 3(a)(i)"/>
    <w:basedOn w:val="OPCParaBase"/>
    <w:rsid w:val="009714E7"/>
    <w:pPr>
      <w:tabs>
        <w:tab w:val="right" w:pos="1140"/>
      </w:tabs>
      <w:spacing w:before="40" w:line="240" w:lineRule="atLeast"/>
      <w:ind w:left="1361" w:hanging="1361"/>
    </w:pPr>
    <w:rPr>
      <w:sz w:val="20"/>
    </w:rPr>
  </w:style>
  <w:style w:type="paragraph" w:customStyle="1" w:styleId="CTA4a">
    <w:name w:val="CTA 4(a)"/>
    <w:basedOn w:val="OPCParaBase"/>
    <w:rsid w:val="009714E7"/>
    <w:pPr>
      <w:tabs>
        <w:tab w:val="right" w:pos="624"/>
      </w:tabs>
      <w:spacing w:before="40" w:line="240" w:lineRule="atLeast"/>
      <w:ind w:left="873" w:hanging="873"/>
    </w:pPr>
    <w:rPr>
      <w:sz w:val="20"/>
    </w:rPr>
  </w:style>
  <w:style w:type="paragraph" w:customStyle="1" w:styleId="CTA4ai">
    <w:name w:val="CTA 4(a)(i)"/>
    <w:basedOn w:val="OPCParaBase"/>
    <w:rsid w:val="009714E7"/>
    <w:pPr>
      <w:tabs>
        <w:tab w:val="right" w:pos="1213"/>
      </w:tabs>
      <w:spacing w:before="40" w:line="240" w:lineRule="atLeast"/>
      <w:ind w:left="1452" w:hanging="1452"/>
    </w:pPr>
    <w:rPr>
      <w:sz w:val="20"/>
    </w:rPr>
  </w:style>
  <w:style w:type="paragraph" w:customStyle="1" w:styleId="CTACAPS">
    <w:name w:val="CTA CAPS"/>
    <w:basedOn w:val="OPCParaBase"/>
    <w:rsid w:val="009714E7"/>
    <w:pPr>
      <w:spacing w:before="60" w:line="240" w:lineRule="atLeast"/>
    </w:pPr>
    <w:rPr>
      <w:sz w:val="20"/>
    </w:rPr>
  </w:style>
  <w:style w:type="paragraph" w:customStyle="1" w:styleId="CTAright">
    <w:name w:val="CTA right"/>
    <w:basedOn w:val="OPCParaBase"/>
    <w:rsid w:val="009714E7"/>
    <w:pPr>
      <w:spacing w:before="60" w:line="240" w:lineRule="auto"/>
      <w:jc w:val="right"/>
    </w:pPr>
    <w:rPr>
      <w:sz w:val="20"/>
    </w:rPr>
  </w:style>
  <w:style w:type="paragraph" w:customStyle="1" w:styleId="subsection">
    <w:name w:val="subsection"/>
    <w:aliases w:val="ss"/>
    <w:basedOn w:val="OPCParaBase"/>
    <w:link w:val="subsectionChar"/>
    <w:rsid w:val="009714E7"/>
    <w:pPr>
      <w:tabs>
        <w:tab w:val="right" w:pos="1021"/>
      </w:tabs>
      <w:spacing w:before="180" w:line="240" w:lineRule="auto"/>
      <w:ind w:left="1134" w:hanging="1134"/>
    </w:pPr>
  </w:style>
  <w:style w:type="paragraph" w:customStyle="1" w:styleId="Definition">
    <w:name w:val="Definition"/>
    <w:aliases w:val="dd"/>
    <w:basedOn w:val="OPCParaBase"/>
    <w:rsid w:val="009714E7"/>
    <w:pPr>
      <w:spacing w:before="180" w:line="240" w:lineRule="auto"/>
      <w:ind w:left="1134"/>
    </w:pPr>
  </w:style>
  <w:style w:type="paragraph" w:customStyle="1" w:styleId="ETAsubitem">
    <w:name w:val="ETA(subitem)"/>
    <w:basedOn w:val="OPCParaBase"/>
    <w:rsid w:val="009714E7"/>
    <w:pPr>
      <w:tabs>
        <w:tab w:val="right" w:pos="340"/>
      </w:tabs>
      <w:spacing w:before="60" w:line="240" w:lineRule="auto"/>
      <w:ind w:left="454" w:hanging="454"/>
    </w:pPr>
    <w:rPr>
      <w:sz w:val="20"/>
    </w:rPr>
  </w:style>
  <w:style w:type="paragraph" w:customStyle="1" w:styleId="ETApara">
    <w:name w:val="ETA(para)"/>
    <w:basedOn w:val="OPCParaBase"/>
    <w:rsid w:val="009714E7"/>
    <w:pPr>
      <w:tabs>
        <w:tab w:val="right" w:pos="754"/>
      </w:tabs>
      <w:spacing w:before="60" w:line="240" w:lineRule="auto"/>
      <w:ind w:left="828" w:hanging="828"/>
    </w:pPr>
    <w:rPr>
      <w:sz w:val="20"/>
    </w:rPr>
  </w:style>
  <w:style w:type="paragraph" w:customStyle="1" w:styleId="ETAsubpara">
    <w:name w:val="ETA(subpara)"/>
    <w:basedOn w:val="OPCParaBase"/>
    <w:rsid w:val="009714E7"/>
    <w:pPr>
      <w:tabs>
        <w:tab w:val="right" w:pos="1083"/>
      </w:tabs>
      <w:spacing w:before="60" w:line="240" w:lineRule="auto"/>
      <w:ind w:left="1191" w:hanging="1191"/>
    </w:pPr>
    <w:rPr>
      <w:sz w:val="20"/>
    </w:rPr>
  </w:style>
  <w:style w:type="paragraph" w:customStyle="1" w:styleId="ETAsub-subpara">
    <w:name w:val="ETA(sub-subpara)"/>
    <w:basedOn w:val="OPCParaBase"/>
    <w:rsid w:val="009714E7"/>
    <w:pPr>
      <w:tabs>
        <w:tab w:val="right" w:pos="1412"/>
      </w:tabs>
      <w:spacing w:before="60" w:line="240" w:lineRule="auto"/>
      <w:ind w:left="1525" w:hanging="1525"/>
    </w:pPr>
    <w:rPr>
      <w:sz w:val="20"/>
    </w:rPr>
  </w:style>
  <w:style w:type="paragraph" w:customStyle="1" w:styleId="Formula">
    <w:name w:val="Formula"/>
    <w:basedOn w:val="OPCParaBase"/>
    <w:rsid w:val="009714E7"/>
    <w:pPr>
      <w:spacing w:line="240" w:lineRule="auto"/>
      <w:ind w:left="1134"/>
    </w:pPr>
    <w:rPr>
      <w:sz w:val="20"/>
    </w:rPr>
  </w:style>
  <w:style w:type="paragraph" w:styleId="Header">
    <w:name w:val="header"/>
    <w:basedOn w:val="OPCParaBase"/>
    <w:link w:val="HeaderChar"/>
    <w:unhideWhenUsed/>
    <w:rsid w:val="009714E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714E7"/>
    <w:rPr>
      <w:rFonts w:eastAsia="Times New Roman" w:cs="Times New Roman"/>
      <w:sz w:val="16"/>
      <w:lang w:eastAsia="en-AU"/>
    </w:rPr>
  </w:style>
  <w:style w:type="paragraph" w:customStyle="1" w:styleId="House">
    <w:name w:val="House"/>
    <w:basedOn w:val="OPCParaBase"/>
    <w:rsid w:val="009714E7"/>
    <w:pPr>
      <w:spacing w:line="240" w:lineRule="auto"/>
    </w:pPr>
    <w:rPr>
      <w:sz w:val="28"/>
    </w:rPr>
  </w:style>
  <w:style w:type="paragraph" w:customStyle="1" w:styleId="Item">
    <w:name w:val="Item"/>
    <w:aliases w:val="i"/>
    <w:basedOn w:val="OPCParaBase"/>
    <w:next w:val="ItemHead"/>
    <w:rsid w:val="009714E7"/>
    <w:pPr>
      <w:keepLines/>
      <w:spacing w:before="80" w:line="240" w:lineRule="auto"/>
      <w:ind w:left="709"/>
    </w:pPr>
  </w:style>
  <w:style w:type="paragraph" w:customStyle="1" w:styleId="ItemHead">
    <w:name w:val="ItemHead"/>
    <w:aliases w:val="ih"/>
    <w:basedOn w:val="OPCParaBase"/>
    <w:next w:val="Item"/>
    <w:rsid w:val="009714E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714E7"/>
    <w:pPr>
      <w:spacing w:line="240" w:lineRule="auto"/>
    </w:pPr>
    <w:rPr>
      <w:b/>
      <w:sz w:val="32"/>
    </w:rPr>
  </w:style>
  <w:style w:type="paragraph" w:customStyle="1" w:styleId="notedraft">
    <w:name w:val="note(draft)"/>
    <w:aliases w:val="nd"/>
    <w:basedOn w:val="OPCParaBase"/>
    <w:rsid w:val="009714E7"/>
    <w:pPr>
      <w:spacing w:before="240" w:line="240" w:lineRule="auto"/>
      <w:ind w:left="284" w:hanging="284"/>
    </w:pPr>
    <w:rPr>
      <w:i/>
      <w:sz w:val="24"/>
    </w:rPr>
  </w:style>
  <w:style w:type="paragraph" w:customStyle="1" w:styleId="notemargin">
    <w:name w:val="note(margin)"/>
    <w:aliases w:val="nm"/>
    <w:basedOn w:val="OPCParaBase"/>
    <w:rsid w:val="009714E7"/>
    <w:pPr>
      <w:tabs>
        <w:tab w:val="left" w:pos="709"/>
      </w:tabs>
      <w:spacing w:before="122" w:line="198" w:lineRule="exact"/>
      <w:ind w:left="709" w:hanging="709"/>
    </w:pPr>
    <w:rPr>
      <w:sz w:val="18"/>
    </w:rPr>
  </w:style>
  <w:style w:type="paragraph" w:customStyle="1" w:styleId="noteToPara">
    <w:name w:val="noteToPara"/>
    <w:aliases w:val="ntp"/>
    <w:basedOn w:val="OPCParaBase"/>
    <w:rsid w:val="009714E7"/>
    <w:pPr>
      <w:spacing w:before="122" w:line="198" w:lineRule="exact"/>
      <w:ind w:left="2353" w:hanging="709"/>
    </w:pPr>
    <w:rPr>
      <w:sz w:val="18"/>
    </w:rPr>
  </w:style>
  <w:style w:type="paragraph" w:customStyle="1" w:styleId="noteParlAmend">
    <w:name w:val="note(ParlAmend)"/>
    <w:aliases w:val="npp"/>
    <w:basedOn w:val="OPCParaBase"/>
    <w:next w:val="ParlAmend"/>
    <w:rsid w:val="009714E7"/>
    <w:pPr>
      <w:spacing w:line="240" w:lineRule="auto"/>
      <w:jc w:val="right"/>
    </w:pPr>
    <w:rPr>
      <w:rFonts w:ascii="Arial" w:hAnsi="Arial"/>
      <w:b/>
      <w:i/>
    </w:rPr>
  </w:style>
  <w:style w:type="paragraph" w:customStyle="1" w:styleId="Page1">
    <w:name w:val="Page1"/>
    <w:basedOn w:val="OPCParaBase"/>
    <w:rsid w:val="009714E7"/>
    <w:pPr>
      <w:spacing w:before="400" w:line="240" w:lineRule="auto"/>
    </w:pPr>
    <w:rPr>
      <w:b/>
      <w:sz w:val="32"/>
    </w:rPr>
  </w:style>
  <w:style w:type="paragraph" w:customStyle="1" w:styleId="PageBreak">
    <w:name w:val="PageBreak"/>
    <w:aliases w:val="pb"/>
    <w:basedOn w:val="OPCParaBase"/>
    <w:rsid w:val="009714E7"/>
    <w:pPr>
      <w:spacing w:line="240" w:lineRule="auto"/>
    </w:pPr>
    <w:rPr>
      <w:sz w:val="20"/>
    </w:rPr>
  </w:style>
  <w:style w:type="paragraph" w:customStyle="1" w:styleId="paragraphsub">
    <w:name w:val="paragraph(sub)"/>
    <w:aliases w:val="aa"/>
    <w:basedOn w:val="OPCParaBase"/>
    <w:rsid w:val="009714E7"/>
    <w:pPr>
      <w:tabs>
        <w:tab w:val="right" w:pos="1985"/>
      </w:tabs>
      <w:spacing w:before="40" w:line="240" w:lineRule="auto"/>
      <w:ind w:left="2098" w:hanging="2098"/>
    </w:pPr>
  </w:style>
  <w:style w:type="paragraph" w:customStyle="1" w:styleId="paragraphsub-sub">
    <w:name w:val="paragraph(sub-sub)"/>
    <w:aliases w:val="aaa"/>
    <w:basedOn w:val="OPCParaBase"/>
    <w:rsid w:val="009714E7"/>
    <w:pPr>
      <w:tabs>
        <w:tab w:val="right" w:pos="2722"/>
      </w:tabs>
      <w:spacing w:before="40" w:line="240" w:lineRule="auto"/>
      <w:ind w:left="2835" w:hanging="2835"/>
    </w:pPr>
  </w:style>
  <w:style w:type="paragraph" w:customStyle="1" w:styleId="paragraph">
    <w:name w:val="paragraph"/>
    <w:aliases w:val="a"/>
    <w:basedOn w:val="OPCParaBase"/>
    <w:link w:val="paragraphChar"/>
    <w:rsid w:val="009714E7"/>
    <w:pPr>
      <w:tabs>
        <w:tab w:val="right" w:pos="1531"/>
      </w:tabs>
      <w:spacing w:before="40" w:line="240" w:lineRule="auto"/>
      <w:ind w:left="1644" w:hanging="1644"/>
    </w:pPr>
  </w:style>
  <w:style w:type="paragraph" w:customStyle="1" w:styleId="ParlAmend">
    <w:name w:val="ParlAmend"/>
    <w:aliases w:val="pp"/>
    <w:basedOn w:val="OPCParaBase"/>
    <w:rsid w:val="009714E7"/>
    <w:pPr>
      <w:spacing w:before="240" w:line="240" w:lineRule="atLeast"/>
      <w:ind w:hanging="567"/>
    </w:pPr>
    <w:rPr>
      <w:sz w:val="24"/>
    </w:rPr>
  </w:style>
  <w:style w:type="paragraph" w:customStyle="1" w:styleId="Penalty">
    <w:name w:val="Penalty"/>
    <w:basedOn w:val="OPCParaBase"/>
    <w:rsid w:val="009714E7"/>
    <w:pPr>
      <w:tabs>
        <w:tab w:val="left" w:pos="2977"/>
      </w:tabs>
      <w:spacing w:before="180" w:line="240" w:lineRule="auto"/>
      <w:ind w:left="1985" w:hanging="851"/>
    </w:pPr>
  </w:style>
  <w:style w:type="paragraph" w:customStyle="1" w:styleId="Portfolio">
    <w:name w:val="Portfolio"/>
    <w:basedOn w:val="OPCParaBase"/>
    <w:rsid w:val="009714E7"/>
    <w:pPr>
      <w:spacing w:line="240" w:lineRule="auto"/>
    </w:pPr>
    <w:rPr>
      <w:i/>
      <w:sz w:val="20"/>
    </w:rPr>
  </w:style>
  <w:style w:type="paragraph" w:customStyle="1" w:styleId="Preamble">
    <w:name w:val="Preamble"/>
    <w:basedOn w:val="OPCParaBase"/>
    <w:next w:val="Normal"/>
    <w:rsid w:val="009714E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714E7"/>
    <w:pPr>
      <w:spacing w:line="240" w:lineRule="auto"/>
    </w:pPr>
    <w:rPr>
      <w:i/>
      <w:sz w:val="20"/>
    </w:rPr>
  </w:style>
  <w:style w:type="paragraph" w:customStyle="1" w:styleId="Session">
    <w:name w:val="Session"/>
    <w:basedOn w:val="OPCParaBase"/>
    <w:rsid w:val="009714E7"/>
    <w:pPr>
      <w:spacing w:line="240" w:lineRule="auto"/>
    </w:pPr>
    <w:rPr>
      <w:sz w:val="28"/>
    </w:rPr>
  </w:style>
  <w:style w:type="paragraph" w:customStyle="1" w:styleId="Sponsor">
    <w:name w:val="Sponsor"/>
    <w:basedOn w:val="OPCParaBase"/>
    <w:rsid w:val="009714E7"/>
    <w:pPr>
      <w:spacing w:line="240" w:lineRule="auto"/>
    </w:pPr>
    <w:rPr>
      <w:i/>
    </w:rPr>
  </w:style>
  <w:style w:type="paragraph" w:customStyle="1" w:styleId="Subitem">
    <w:name w:val="Subitem"/>
    <w:aliases w:val="iss"/>
    <w:basedOn w:val="OPCParaBase"/>
    <w:rsid w:val="009714E7"/>
    <w:pPr>
      <w:spacing w:before="180" w:line="240" w:lineRule="auto"/>
      <w:ind w:left="709" w:hanging="709"/>
    </w:pPr>
  </w:style>
  <w:style w:type="paragraph" w:customStyle="1" w:styleId="SubitemHead">
    <w:name w:val="SubitemHead"/>
    <w:aliases w:val="issh"/>
    <w:basedOn w:val="OPCParaBase"/>
    <w:rsid w:val="009714E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714E7"/>
    <w:pPr>
      <w:spacing w:before="40" w:line="240" w:lineRule="auto"/>
      <w:ind w:left="1134"/>
    </w:pPr>
  </w:style>
  <w:style w:type="paragraph" w:customStyle="1" w:styleId="SubsectionHead">
    <w:name w:val="SubsectionHead"/>
    <w:aliases w:val="ssh"/>
    <w:basedOn w:val="OPCParaBase"/>
    <w:next w:val="subsection"/>
    <w:rsid w:val="009714E7"/>
    <w:pPr>
      <w:keepNext/>
      <w:keepLines/>
      <w:spacing w:before="240" w:line="240" w:lineRule="auto"/>
      <w:ind w:left="1134"/>
    </w:pPr>
    <w:rPr>
      <w:i/>
    </w:rPr>
  </w:style>
  <w:style w:type="paragraph" w:customStyle="1" w:styleId="Tablea">
    <w:name w:val="Table(a)"/>
    <w:aliases w:val="ta"/>
    <w:basedOn w:val="OPCParaBase"/>
    <w:rsid w:val="009714E7"/>
    <w:pPr>
      <w:spacing w:before="60" w:line="240" w:lineRule="auto"/>
      <w:ind w:left="284" w:hanging="284"/>
    </w:pPr>
    <w:rPr>
      <w:sz w:val="20"/>
    </w:rPr>
  </w:style>
  <w:style w:type="paragraph" w:customStyle="1" w:styleId="TableAA">
    <w:name w:val="Table(AA)"/>
    <w:aliases w:val="taaa"/>
    <w:basedOn w:val="OPCParaBase"/>
    <w:rsid w:val="009714E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714E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714E7"/>
    <w:pPr>
      <w:spacing w:before="60" w:line="240" w:lineRule="atLeast"/>
    </w:pPr>
    <w:rPr>
      <w:sz w:val="20"/>
    </w:rPr>
  </w:style>
  <w:style w:type="paragraph" w:customStyle="1" w:styleId="TLPBoxTextnote">
    <w:name w:val="TLPBoxText(note"/>
    <w:aliases w:val="right)"/>
    <w:basedOn w:val="OPCParaBase"/>
    <w:rsid w:val="009714E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714E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714E7"/>
    <w:pPr>
      <w:spacing w:before="122" w:line="198" w:lineRule="exact"/>
      <w:ind w:left="1985" w:hanging="851"/>
      <w:jc w:val="right"/>
    </w:pPr>
    <w:rPr>
      <w:sz w:val="18"/>
    </w:rPr>
  </w:style>
  <w:style w:type="paragraph" w:customStyle="1" w:styleId="TLPTableBullet">
    <w:name w:val="TLPTableBullet"/>
    <w:aliases w:val="ttb"/>
    <w:basedOn w:val="OPCParaBase"/>
    <w:rsid w:val="009714E7"/>
    <w:pPr>
      <w:spacing w:line="240" w:lineRule="exact"/>
      <w:ind w:left="284" w:hanging="284"/>
    </w:pPr>
    <w:rPr>
      <w:sz w:val="20"/>
    </w:rPr>
  </w:style>
  <w:style w:type="paragraph" w:styleId="TOC1">
    <w:name w:val="toc 1"/>
    <w:basedOn w:val="OPCParaBase"/>
    <w:next w:val="Normal"/>
    <w:uiPriority w:val="39"/>
    <w:semiHidden/>
    <w:unhideWhenUsed/>
    <w:rsid w:val="009714E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714E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714E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714E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714E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714E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714E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714E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714E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714E7"/>
    <w:pPr>
      <w:keepLines/>
      <w:spacing w:before="240" w:after="120" w:line="240" w:lineRule="auto"/>
      <w:ind w:left="794"/>
    </w:pPr>
    <w:rPr>
      <w:b/>
      <w:kern w:val="28"/>
      <w:sz w:val="20"/>
    </w:rPr>
  </w:style>
  <w:style w:type="paragraph" w:customStyle="1" w:styleId="TofSectsHeading">
    <w:name w:val="TofSects(Heading)"/>
    <w:basedOn w:val="OPCParaBase"/>
    <w:rsid w:val="009714E7"/>
    <w:pPr>
      <w:spacing w:before="240" w:after="120" w:line="240" w:lineRule="auto"/>
    </w:pPr>
    <w:rPr>
      <w:b/>
      <w:sz w:val="24"/>
    </w:rPr>
  </w:style>
  <w:style w:type="paragraph" w:customStyle="1" w:styleId="TofSectsSection">
    <w:name w:val="TofSects(Section)"/>
    <w:basedOn w:val="OPCParaBase"/>
    <w:rsid w:val="009714E7"/>
    <w:pPr>
      <w:keepLines/>
      <w:spacing w:before="40" w:line="240" w:lineRule="auto"/>
      <w:ind w:left="1588" w:hanging="794"/>
    </w:pPr>
    <w:rPr>
      <w:kern w:val="28"/>
      <w:sz w:val="18"/>
    </w:rPr>
  </w:style>
  <w:style w:type="paragraph" w:customStyle="1" w:styleId="TofSectsSubdiv">
    <w:name w:val="TofSects(Subdiv)"/>
    <w:basedOn w:val="OPCParaBase"/>
    <w:rsid w:val="009714E7"/>
    <w:pPr>
      <w:keepLines/>
      <w:spacing w:before="80" w:line="240" w:lineRule="auto"/>
      <w:ind w:left="1588" w:hanging="794"/>
    </w:pPr>
    <w:rPr>
      <w:kern w:val="28"/>
    </w:rPr>
  </w:style>
  <w:style w:type="paragraph" w:customStyle="1" w:styleId="WRStyle">
    <w:name w:val="WR Style"/>
    <w:aliases w:val="WR"/>
    <w:basedOn w:val="OPCParaBase"/>
    <w:rsid w:val="009714E7"/>
    <w:pPr>
      <w:spacing w:before="240" w:line="240" w:lineRule="auto"/>
      <w:ind w:left="284" w:hanging="284"/>
    </w:pPr>
    <w:rPr>
      <w:b/>
      <w:i/>
      <w:kern w:val="28"/>
      <w:sz w:val="24"/>
    </w:rPr>
  </w:style>
  <w:style w:type="paragraph" w:customStyle="1" w:styleId="notepara">
    <w:name w:val="note(para)"/>
    <w:aliases w:val="na"/>
    <w:basedOn w:val="OPCParaBase"/>
    <w:rsid w:val="009714E7"/>
    <w:pPr>
      <w:spacing w:before="40" w:line="198" w:lineRule="exact"/>
      <w:ind w:left="2354" w:hanging="369"/>
    </w:pPr>
    <w:rPr>
      <w:sz w:val="18"/>
    </w:rPr>
  </w:style>
  <w:style w:type="paragraph" w:styleId="Footer">
    <w:name w:val="footer"/>
    <w:link w:val="FooterChar"/>
    <w:rsid w:val="009714E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714E7"/>
    <w:rPr>
      <w:rFonts w:eastAsia="Times New Roman" w:cs="Times New Roman"/>
      <w:sz w:val="22"/>
      <w:szCs w:val="24"/>
      <w:lang w:eastAsia="en-AU"/>
    </w:rPr>
  </w:style>
  <w:style w:type="character" w:styleId="LineNumber">
    <w:name w:val="line number"/>
    <w:basedOn w:val="OPCCharBase"/>
    <w:uiPriority w:val="99"/>
    <w:semiHidden/>
    <w:unhideWhenUsed/>
    <w:rsid w:val="009714E7"/>
    <w:rPr>
      <w:sz w:val="16"/>
    </w:rPr>
  </w:style>
  <w:style w:type="table" w:customStyle="1" w:styleId="CFlag">
    <w:name w:val="CFlag"/>
    <w:basedOn w:val="TableNormal"/>
    <w:uiPriority w:val="99"/>
    <w:rsid w:val="009714E7"/>
    <w:rPr>
      <w:rFonts w:eastAsia="Times New Roman" w:cs="Times New Roman"/>
      <w:lang w:eastAsia="en-AU"/>
    </w:rPr>
    <w:tblPr/>
  </w:style>
  <w:style w:type="paragraph" w:customStyle="1" w:styleId="NotesHeading1">
    <w:name w:val="NotesHeading 1"/>
    <w:basedOn w:val="OPCParaBase"/>
    <w:next w:val="Normal"/>
    <w:rsid w:val="009714E7"/>
    <w:rPr>
      <w:b/>
      <w:sz w:val="28"/>
      <w:szCs w:val="28"/>
    </w:rPr>
  </w:style>
  <w:style w:type="paragraph" w:customStyle="1" w:styleId="NotesHeading2">
    <w:name w:val="NotesHeading 2"/>
    <w:basedOn w:val="OPCParaBase"/>
    <w:next w:val="Normal"/>
    <w:rsid w:val="009714E7"/>
    <w:rPr>
      <w:b/>
      <w:sz w:val="28"/>
      <w:szCs w:val="28"/>
    </w:rPr>
  </w:style>
  <w:style w:type="paragraph" w:customStyle="1" w:styleId="SignCoverPageEnd">
    <w:name w:val="SignCoverPageEnd"/>
    <w:basedOn w:val="OPCParaBase"/>
    <w:next w:val="Normal"/>
    <w:rsid w:val="009714E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714E7"/>
    <w:pPr>
      <w:pBdr>
        <w:top w:val="single" w:sz="4" w:space="1" w:color="auto"/>
      </w:pBdr>
      <w:spacing w:before="360"/>
      <w:ind w:right="397"/>
      <w:jc w:val="both"/>
    </w:pPr>
  </w:style>
  <w:style w:type="paragraph" w:customStyle="1" w:styleId="Paragraphsub-sub-sub">
    <w:name w:val="Paragraph(sub-sub-sub)"/>
    <w:aliases w:val="aaaa"/>
    <w:basedOn w:val="OPCParaBase"/>
    <w:rsid w:val="009714E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714E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714E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714E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714E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714E7"/>
    <w:pPr>
      <w:spacing w:before="120"/>
    </w:pPr>
  </w:style>
  <w:style w:type="paragraph" w:customStyle="1" w:styleId="TableTextEndNotes">
    <w:name w:val="TableTextEndNotes"/>
    <w:aliases w:val="Tten"/>
    <w:basedOn w:val="Normal"/>
    <w:rsid w:val="009714E7"/>
    <w:pPr>
      <w:spacing w:before="60" w:line="240" w:lineRule="auto"/>
    </w:pPr>
    <w:rPr>
      <w:rFonts w:cs="Arial"/>
      <w:sz w:val="20"/>
      <w:szCs w:val="22"/>
    </w:rPr>
  </w:style>
  <w:style w:type="paragraph" w:customStyle="1" w:styleId="TableHeading">
    <w:name w:val="TableHeading"/>
    <w:aliases w:val="th"/>
    <w:basedOn w:val="OPCParaBase"/>
    <w:next w:val="Tabletext"/>
    <w:rsid w:val="009714E7"/>
    <w:pPr>
      <w:keepNext/>
      <w:spacing w:before="60" w:line="240" w:lineRule="atLeast"/>
    </w:pPr>
    <w:rPr>
      <w:b/>
      <w:sz w:val="20"/>
    </w:rPr>
  </w:style>
  <w:style w:type="paragraph" w:customStyle="1" w:styleId="NoteToSubpara">
    <w:name w:val="NoteToSubpara"/>
    <w:aliases w:val="nts"/>
    <w:basedOn w:val="OPCParaBase"/>
    <w:rsid w:val="009714E7"/>
    <w:pPr>
      <w:spacing w:before="40" w:line="198" w:lineRule="exact"/>
      <w:ind w:left="2835" w:hanging="709"/>
    </w:pPr>
    <w:rPr>
      <w:sz w:val="18"/>
    </w:rPr>
  </w:style>
  <w:style w:type="paragraph" w:customStyle="1" w:styleId="ENoteTableHeading">
    <w:name w:val="ENoteTableHeading"/>
    <w:aliases w:val="enth"/>
    <w:basedOn w:val="OPCParaBase"/>
    <w:rsid w:val="009714E7"/>
    <w:pPr>
      <w:keepNext/>
      <w:spacing w:before="60" w:line="240" w:lineRule="atLeast"/>
    </w:pPr>
    <w:rPr>
      <w:rFonts w:ascii="Arial" w:hAnsi="Arial"/>
      <w:b/>
      <w:sz w:val="16"/>
    </w:rPr>
  </w:style>
  <w:style w:type="paragraph" w:customStyle="1" w:styleId="ENoteTTi">
    <w:name w:val="ENoteTTi"/>
    <w:aliases w:val="entti"/>
    <w:basedOn w:val="OPCParaBase"/>
    <w:rsid w:val="009714E7"/>
    <w:pPr>
      <w:keepNext/>
      <w:spacing w:before="60" w:line="240" w:lineRule="atLeast"/>
      <w:ind w:left="170"/>
    </w:pPr>
    <w:rPr>
      <w:sz w:val="16"/>
    </w:rPr>
  </w:style>
  <w:style w:type="paragraph" w:customStyle="1" w:styleId="ENotesHeading1">
    <w:name w:val="ENotesHeading 1"/>
    <w:aliases w:val="Enh1"/>
    <w:basedOn w:val="OPCParaBase"/>
    <w:next w:val="Normal"/>
    <w:rsid w:val="009714E7"/>
    <w:pPr>
      <w:spacing w:before="120"/>
      <w:outlineLvl w:val="1"/>
    </w:pPr>
    <w:rPr>
      <w:b/>
      <w:sz w:val="28"/>
      <w:szCs w:val="28"/>
    </w:rPr>
  </w:style>
  <w:style w:type="paragraph" w:customStyle="1" w:styleId="ENotesHeading2">
    <w:name w:val="ENotesHeading 2"/>
    <w:aliases w:val="Enh2"/>
    <w:basedOn w:val="OPCParaBase"/>
    <w:next w:val="Normal"/>
    <w:rsid w:val="009714E7"/>
    <w:pPr>
      <w:spacing w:before="120" w:after="120"/>
      <w:outlineLvl w:val="2"/>
    </w:pPr>
    <w:rPr>
      <w:b/>
      <w:sz w:val="24"/>
      <w:szCs w:val="28"/>
    </w:rPr>
  </w:style>
  <w:style w:type="paragraph" w:customStyle="1" w:styleId="ENoteTTIndentHeading">
    <w:name w:val="ENoteTTIndentHeading"/>
    <w:aliases w:val="enTTHi"/>
    <w:basedOn w:val="OPCParaBase"/>
    <w:rsid w:val="009714E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714E7"/>
    <w:pPr>
      <w:spacing w:before="60" w:line="240" w:lineRule="atLeast"/>
    </w:pPr>
    <w:rPr>
      <w:sz w:val="16"/>
    </w:rPr>
  </w:style>
  <w:style w:type="paragraph" w:customStyle="1" w:styleId="MadeunderText">
    <w:name w:val="MadeunderText"/>
    <w:basedOn w:val="OPCParaBase"/>
    <w:next w:val="Normal"/>
    <w:rsid w:val="009714E7"/>
    <w:pPr>
      <w:spacing w:before="240"/>
    </w:pPr>
    <w:rPr>
      <w:sz w:val="24"/>
      <w:szCs w:val="24"/>
    </w:rPr>
  </w:style>
  <w:style w:type="paragraph" w:customStyle="1" w:styleId="ENotesHeading3">
    <w:name w:val="ENotesHeading 3"/>
    <w:aliases w:val="Enh3"/>
    <w:basedOn w:val="OPCParaBase"/>
    <w:next w:val="Normal"/>
    <w:rsid w:val="009714E7"/>
    <w:pPr>
      <w:keepNext/>
      <w:spacing w:before="120" w:line="240" w:lineRule="auto"/>
      <w:outlineLvl w:val="4"/>
    </w:pPr>
    <w:rPr>
      <w:b/>
      <w:szCs w:val="24"/>
    </w:rPr>
  </w:style>
  <w:style w:type="paragraph" w:customStyle="1" w:styleId="SubPartCASA">
    <w:name w:val="SubPart(CASA)"/>
    <w:aliases w:val="csp"/>
    <w:basedOn w:val="OPCParaBase"/>
    <w:next w:val="ActHead3"/>
    <w:rsid w:val="009714E7"/>
    <w:pPr>
      <w:keepNext/>
      <w:keepLines/>
      <w:spacing w:before="280"/>
      <w:outlineLvl w:val="1"/>
    </w:pPr>
    <w:rPr>
      <w:b/>
      <w:kern w:val="28"/>
      <w:sz w:val="32"/>
    </w:rPr>
  </w:style>
  <w:style w:type="character" w:customStyle="1" w:styleId="CharSubPartTextCASA">
    <w:name w:val="CharSubPartText(CASA)"/>
    <w:basedOn w:val="OPCCharBase"/>
    <w:uiPriority w:val="1"/>
    <w:rsid w:val="009714E7"/>
  </w:style>
  <w:style w:type="character" w:customStyle="1" w:styleId="CharSubPartNoCASA">
    <w:name w:val="CharSubPartNo(CASA)"/>
    <w:basedOn w:val="OPCCharBase"/>
    <w:uiPriority w:val="1"/>
    <w:rsid w:val="009714E7"/>
  </w:style>
  <w:style w:type="paragraph" w:customStyle="1" w:styleId="ENoteTTIndentHeadingSub">
    <w:name w:val="ENoteTTIndentHeadingSub"/>
    <w:aliases w:val="enTTHis"/>
    <w:basedOn w:val="OPCParaBase"/>
    <w:rsid w:val="009714E7"/>
    <w:pPr>
      <w:keepNext/>
      <w:spacing w:before="60" w:line="240" w:lineRule="atLeast"/>
      <w:ind w:left="340"/>
    </w:pPr>
    <w:rPr>
      <w:b/>
      <w:sz w:val="16"/>
    </w:rPr>
  </w:style>
  <w:style w:type="paragraph" w:customStyle="1" w:styleId="ENoteTTiSub">
    <w:name w:val="ENoteTTiSub"/>
    <w:aliases w:val="enttis"/>
    <w:basedOn w:val="OPCParaBase"/>
    <w:rsid w:val="009714E7"/>
    <w:pPr>
      <w:keepNext/>
      <w:spacing w:before="60" w:line="240" w:lineRule="atLeast"/>
      <w:ind w:left="340"/>
    </w:pPr>
    <w:rPr>
      <w:sz w:val="16"/>
    </w:rPr>
  </w:style>
  <w:style w:type="paragraph" w:customStyle="1" w:styleId="SubDivisionMigration">
    <w:name w:val="SubDivisionMigration"/>
    <w:aliases w:val="sdm"/>
    <w:basedOn w:val="OPCParaBase"/>
    <w:rsid w:val="009714E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714E7"/>
    <w:pPr>
      <w:keepNext/>
      <w:keepLines/>
      <w:spacing w:before="240" w:line="240" w:lineRule="auto"/>
      <w:ind w:left="1134" w:hanging="1134"/>
    </w:pPr>
    <w:rPr>
      <w:b/>
      <w:sz w:val="28"/>
    </w:rPr>
  </w:style>
  <w:style w:type="table" w:styleId="TableGrid">
    <w:name w:val="Table Grid"/>
    <w:basedOn w:val="TableNormal"/>
    <w:uiPriority w:val="59"/>
    <w:rsid w:val="0097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714E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714E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714E7"/>
    <w:rPr>
      <w:sz w:val="22"/>
    </w:rPr>
  </w:style>
  <w:style w:type="paragraph" w:customStyle="1" w:styleId="SOTextNote">
    <w:name w:val="SO TextNote"/>
    <w:aliases w:val="sont"/>
    <w:basedOn w:val="SOText"/>
    <w:qFormat/>
    <w:rsid w:val="009714E7"/>
    <w:pPr>
      <w:spacing w:before="122" w:line="198" w:lineRule="exact"/>
      <w:ind w:left="1843" w:hanging="709"/>
    </w:pPr>
    <w:rPr>
      <w:sz w:val="18"/>
    </w:rPr>
  </w:style>
  <w:style w:type="paragraph" w:customStyle="1" w:styleId="SOPara">
    <w:name w:val="SO Para"/>
    <w:aliases w:val="soa"/>
    <w:basedOn w:val="SOText"/>
    <w:link w:val="SOParaChar"/>
    <w:qFormat/>
    <w:rsid w:val="009714E7"/>
    <w:pPr>
      <w:tabs>
        <w:tab w:val="right" w:pos="1786"/>
      </w:tabs>
      <w:spacing w:before="40"/>
      <w:ind w:left="2070" w:hanging="936"/>
    </w:pPr>
  </w:style>
  <w:style w:type="character" w:customStyle="1" w:styleId="SOParaChar">
    <w:name w:val="SO Para Char"/>
    <w:aliases w:val="soa Char"/>
    <w:basedOn w:val="DefaultParagraphFont"/>
    <w:link w:val="SOPara"/>
    <w:rsid w:val="009714E7"/>
    <w:rPr>
      <w:sz w:val="22"/>
    </w:rPr>
  </w:style>
  <w:style w:type="paragraph" w:customStyle="1" w:styleId="FileName">
    <w:name w:val="FileName"/>
    <w:basedOn w:val="Normal"/>
    <w:rsid w:val="009714E7"/>
  </w:style>
  <w:style w:type="paragraph" w:customStyle="1" w:styleId="SOHeadBold">
    <w:name w:val="SO HeadBold"/>
    <w:aliases w:val="sohb"/>
    <w:basedOn w:val="SOText"/>
    <w:next w:val="SOText"/>
    <w:link w:val="SOHeadBoldChar"/>
    <w:qFormat/>
    <w:rsid w:val="009714E7"/>
    <w:rPr>
      <w:b/>
    </w:rPr>
  </w:style>
  <w:style w:type="character" w:customStyle="1" w:styleId="SOHeadBoldChar">
    <w:name w:val="SO HeadBold Char"/>
    <w:aliases w:val="sohb Char"/>
    <w:basedOn w:val="DefaultParagraphFont"/>
    <w:link w:val="SOHeadBold"/>
    <w:rsid w:val="009714E7"/>
    <w:rPr>
      <w:b/>
      <w:sz w:val="22"/>
    </w:rPr>
  </w:style>
  <w:style w:type="paragraph" w:customStyle="1" w:styleId="SOHeadItalic">
    <w:name w:val="SO HeadItalic"/>
    <w:aliases w:val="sohi"/>
    <w:basedOn w:val="SOText"/>
    <w:next w:val="SOText"/>
    <w:link w:val="SOHeadItalicChar"/>
    <w:qFormat/>
    <w:rsid w:val="009714E7"/>
    <w:rPr>
      <w:i/>
    </w:rPr>
  </w:style>
  <w:style w:type="character" w:customStyle="1" w:styleId="SOHeadItalicChar">
    <w:name w:val="SO HeadItalic Char"/>
    <w:aliases w:val="sohi Char"/>
    <w:basedOn w:val="DefaultParagraphFont"/>
    <w:link w:val="SOHeadItalic"/>
    <w:rsid w:val="009714E7"/>
    <w:rPr>
      <w:i/>
      <w:sz w:val="22"/>
    </w:rPr>
  </w:style>
  <w:style w:type="paragraph" w:customStyle="1" w:styleId="SOBullet">
    <w:name w:val="SO Bullet"/>
    <w:aliases w:val="sotb"/>
    <w:basedOn w:val="SOText"/>
    <w:link w:val="SOBulletChar"/>
    <w:qFormat/>
    <w:rsid w:val="009714E7"/>
    <w:pPr>
      <w:ind w:left="1559" w:hanging="425"/>
    </w:pPr>
  </w:style>
  <w:style w:type="character" w:customStyle="1" w:styleId="SOBulletChar">
    <w:name w:val="SO Bullet Char"/>
    <w:aliases w:val="sotb Char"/>
    <w:basedOn w:val="DefaultParagraphFont"/>
    <w:link w:val="SOBullet"/>
    <w:rsid w:val="009714E7"/>
    <w:rPr>
      <w:sz w:val="22"/>
    </w:rPr>
  </w:style>
  <w:style w:type="paragraph" w:customStyle="1" w:styleId="SOBulletNote">
    <w:name w:val="SO BulletNote"/>
    <w:aliases w:val="sonb"/>
    <w:basedOn w:val="SOTextNote"/>
    <w:link w:val="SOBulletNoteChar"/>
    <w:qFormat/>
    <w:rsid w:val="009714E7"/>
    <w:pPr>
      <w:tabs>
        <w:tab w:val="left" w:pos="1560"/>
      </w:tabs>
      <w:ind w:left="2268" w:hanging="1134"/>
    </w:pPr>
  </w:style>
  <w:style w:type="character" w:customStyle="1" w:styleId="SOBulletNoteChar">
    <w:name w:val="SO BulletNote Char"/>
    <w:aliases w:val="sonb Char"/>
    <w:basedOn w:val="DefaultParagraphFont"/>
    <w:link w:val="SOBulletNote"/>
    <w:rsid w:val="009714E7"/>
    <w:rPr>
      <w:sz w:val="18"/>
    </w:rPr>
  </w:style>
  <w:style w:type="paragraph" w:customStyle="1" w:styleId="SOText2">
    <w:name w:val="SO Text2"/>
    <w:aliases w:val="sot2"/>
    <w:basedOn w:val="Normal"/>
    <w:next w:val="SOText"/>
    <w:link w:val="SOText2Char"/>
    <w:rsid w:val="009714E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714E7"/>
    <w:rPr>
      <w:sz w:val="22"/>
    </w:rPr>
  </w:style>
  <w:style w:type="character" w:customStyle="1" w:styleId="subsectionChar">
    <w:name w:val="subsection Char"/>
    <w:aliases w:val="ss Char"/>
    <w:link w:val="subsection"/>
    <w:rsid w:val="00137BB3"/>
    <w:rPr>
      <w:rFonts w:eastAsia="Times New Roman" w:cs="Times New Roman"/>
      <w:sz w:val="22"/>
      <w:lang w:eastAsia="en-AU"/>
    </w:rPr>
  </w:style>
  <w:style w:type="character" w:customStyle="1" w:styleId="paragraphChar">
    <w:name w:val="paragraph Char"/>
    <w:aliases w:val="a Char"/>
    <w:link w:val="paragraph"/>
    <w:rsid w:val="00137BB3"/>
    <w:rPr>
      <w:rFonts w:eastAsia="Times New Roman" w:cs="Times New Roman"/>
      <w:sz w:val="22"/>
      <w:lang w:eastAsia="en-AU"/>
    </w:rPr>
  </w:style>
  <w:style w:type="character" w:customStyle="1" w:styleId="notetextChar">
    <w:name w:val="note(text) Char"/>
    <w:aliases w:val="n Char"/>
    <w:link w:val="notetext"/>
    <w:rsid w:val="000337F5"/>
    <w:rPr>
      <w:rFonts w:eastAsia="Times New Roman" w:cs="Times New Roman"/>
      <w:sz w:val="18"/>
      <w:lang w:eastAsia="en-AU"/>
    </w:rPr>
  </w:style>
  <w:style w:type="paragraph" w:styleId="BalloonText">
    <w:name w:val="Balloon Text"/>
    <w:basedOn w:val="Normal"/>
    <w:link w:val="BalloonTextChar"/>
    <w:uiPriority w:val="99"/>
    <w:semiHidden/>
    <w:unhideWhenUsed/>
    <w:rsid w:val="00442F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FC2"/>
    <w:rPr>
      <w:rFonts w:ascii="Tahoma" w:hAnsi="Tahoma" w:cs="Tahoma"/>
      <w:sz w:val="16"/>
      <w:szCs w:val="16"/>
    </w:rPr>
  </w:style>
  <w:style w:type="paragraph" w:customStyle="1" w:styleId="Specialas">
    <w:name w:val="Special as"/>
    <w:basedOn w:val="ActHead6"/>
    <w:link w:val="SpecialasChar"/>
    <w:rsid w:val="001863E2"/>
    <w:pPr>
      <w:outlineLvl w:val="9"/>
    </w:pPr>
  </w:style>
  <w:style w:type="character" w:customStyle="1" w:styleId="SpecialasChar">
    <w:name w:val="Special as Char"/>
    <w:basedOn w:val="DefaultParagraphFont"/>
    <w:link w:val="Specialas"/>
    <w:rsid w:val="001863E2"/>
    <w:rPr>
      <w:rFonts w:ascii="Arial" w:eastAsia="Times New Roman" w:hAnsi="Arial" w:cs="Times New Roman"/>
      <w:b/>
      <w:kern w:val="28"/>
      <w:sz w:val="32"/>
      <w:lang w:eastAsia="en-AU"/>
    </w:rPr>
  </w:style>
  <w:style w:type="paragraph" w:customStyle="1" w:styleId="Specialap">
    <w:name w:val="Special ap"/>
    <w:basedOn w:val="ActHead7"/>
    <w:link w:val="SpecialapChar"/>
    <w:rsid w:val="001863E2"/>
    <w:pPr>
      <w:outlineLvl w:val="9"/>
    </w:pPr>
  </w:style>
  <w:style w:type="character" w:customStyle="1" w:styleId="SpecialapChar">
    <w:name w:val="Special ap Char"/>
    <w:basedOn w:val="DefaultParagraphFont"/>
    <w:link w:val="Specialap"/>
    <w:rsid w:val="001863E2"/>
    <w:rPr>
      <w:rFonts w:ascii="Arial" w:eastAsia="Times New Roman" w:hAnsi="Arial" w:cs="Times New Roman"/>
      <w:b/>
      <w:kern w:val="28"/>
      <w:sz w:val="28"/>
      <w:lang w:eastAsia="en-AU"/>
    </w:rPr>
  </w:style>
  <w:style w:type="paragraph" w:customStyle="1" w:styleId="Specialih">
    <w:name w:val="Special ih"/>
    <w:basedOn w:val="ItemHead"/>
    <w:link w:val="SpecialihChar"/>
    <w:rsid w:val="001863E2"/>
    <w:pPr>
      <w:keepNext w:val="0"/>
    </w:pPr>
  </w:style>
  <w:style w:type="character" w:customStyle="1" w:styleId="SpecialihChar">
    <w:name w:val="Special ih Char"/>
    <w:basedOn w:val="DefaultParagraphFont"/>
    <w:link w:val="Specialih"/>
    <w:rsid w:val="001863E2"/>
    <w:rPr>
      <w:rFonts w:ascii="Arial" w:eastAsia="Times New Roman" w:hAnsi="Arial" w:cs="Times New Roman"/>
      <w:b/>
      <w:kern w:val="28"/>
      <w:sz w:val="24"/>
      <w:lang w:eastAsia="en-AU"/>
    </w:rPr>
  </w:style>
  <w:style w:type="character" w:customStyle="1" w:styleId="ActHead7Char">
    <w:name w:val="ActHead 7 Char"/>
    <w:aliases w:val="ap Char"/>
    <w:basedOn w:val="DefaultParagraphFont"/>
    <w:link w:val="ActHead7"/>
    <w:rsid w:val="001863E2"/>
    <w:rPr>
      <w:rFonts w:ascii="Arial" w:eastAsia="Times New Roman" w:hAnsi="Arial" w:cs="Times New Roman"/>
      <w:b/>
      <w:kern w:val="28"/>
      <w:sz w:val="28"/>
      <w:lang w:eastAsia="en-AU"/>
    </w:rPr>
  </w:style>
  <w:style w:type="character" w:styleId="Hyperlink">
    <w:name w:val="Hyperlink"/>
    <w:basedOn w:val="DefaultParagraphFont"/>
    <w:uiPriority w:val="99"/>
    <w:semiHidden/>
    <w:unhideWhenUsed/>
    <w:rsid w:val="00D860F4"/>
    <w:rPr>
      <w:color w:val="0000FF" w:themeColor="hyperlink"/>
      <w:u w:val="single"/>
    </w:rPr>
  </w:style>
  <w:style w:type="character" w:styleId="FollowedHyperlink">
    <w:name w:val="FollowedHyperlink"/>
    <w:basedOn w:val="DefaultParagraphFont"/>
    <w:uiPriority w:val="99"/>
    <w:semiHidden/>
    <w:unhideWhenUsed/>
    <w:rsid w:val="00D860F4"/>
    <w:rPr>
      <w:color w:val="0000FF" w:themeColor="hyperlink"/>
      <w:u w:val="single"/>
    </w:rPr>
  </w:style>
  <w:style w:type="character" w:customStyle="1" w:styleId="Heading1Char">
    <w:name w:val="Heading 1 Char"/>
    <w:basedOn w:val="DefaultParagraphFont"/>
    <w:link w:val="Heading1"/>
    <w:uiPriority w:val="9"/>
    <w:rsid w:val="004A20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A20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20B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A20B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A20B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A20B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A20B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A20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A20B5"/>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4A20B5"/>
    <w:pPr>
      <w:spacing w:before="800"/>
    </w:pPr>
  </w:style>
  <w:style w:type="character" w:customStyle="1" w:styleId="OPCParaBaseChar">
    <w:name w:val="OPCParaBase Char"/>
    <w:basedOn w:val="DefaultParagraphFont"/>
    <w:link w:val="OPCParaBase"/>
    <w:rsid w:val="004A20B5"/>
    <w:rPr>
      <w:rFonts w:eastAsia="Times New Roman" w:cs="Times New Roman"/>
      <w:sz w:val="22"/>
      <w:lang w:eastAsia="en-AU"/>
    </w:rPr>
  </w:style>
  <w:style w:type="character" w:customStyle="1" w:styleId="ShortTChar">
    <w:name w:val="ShortT Char"/>
    <w:basedOn w:val="OPCParaBaseChar"/>
    <w:link w:val="ShortT"/>
    <w:rsid w:val="004A20B5"/>
    <w:rPr>
      <w:rFonts w:eastAsia="Times New Roman" w:cs="Times New Roman"/>
      <w:b/>
      <w:sz w:val="40"/>
      <w:lang w:eastAsia="en-AU"/>
    </w:rPr>
  </w:style>
  <w:style w:type="character" w:customStyle="1" w:styleId="ShortTP1Char">
    <w:name w:val="ShortTP1 Char"/>
    <w:basedOn w:val="ShortTChar"/>
    <w:link w:val="ShortTP1"/>
    <w:rsid w:val="004A20B5"/>
    <w:rPr>
      <w:rFonts w:eastAsia="Times New Roman" w:cs="Times New Roman"/>
      <w:b/>
      <w:sz w:val="40"/>
      <w:lang w:eastAsia="en-AU"/>
    </w:rPr>
  </w:style>
  <w:style w:type="paragraph" w:customStyle="1" w:styleId="ActNoP1">
    <w:name w:val="ActNoP1"/>
    <w:basedOn w:val="Actno"/>
    <w:link w:val="ActNoP1Char"/>
    <w:rsid w:val="004A20B5"/>
    <w:pPr>
      <w:spacing w:before="800"/>
    </w:pPr>
    <w:rPr>
      <w:sz w:val="28"/>
    </w:rPr>
  </w:style>
  <w:style w:type="character" w:customStyle="1" w:styleId="ActnoChar">
    <w:name w:val="Actno Char"/>
    <w:basedOn w:val="ShortTChar"/>
    <w:link w:val="Actno"/>
    <w:rsid w:val="004A20B5"/>
    <w:rPr>
      <w:rFonts w:eastAsia="Times New Roman" w:cs="Times New Roman"/>
      <w:b/>
      <w:sz w:val="40"/>
      <w:lang w:eastAsia="en-AU"/>
    </w:rPr>
  </w:style>
  <w:style w:type="character" w:customStyle="1" w:styleId="ActNoP1Char">
    <w:name w:val="ActNoP1 Char"/>
    <w:basedOn w:val="ActnoChar"/>
    <w:link w:val="ActNoP1"/>
    <w:rsid w:val="004A20B5"/>
    <w:rPr>
      <w:rFonts w:eastAsia="Times New Roman" w:cs="Times New Roman"/>
      <w:b/>
      <w:sz w:val="28"/>
      <w:lang w:eastAsia="en-AU"/>
    </w:rPr>
  </w:style>
  <w:style w:type="paragraph" w:customStyle="1" w:styleId="ShortTCP">
    <w:name w:val="ShortTCP"/>
    <w:basedOn w:val="ShortT"/>
    <w:link w:val="ShortTCPChar"/>
    <w:rsid w:val="004A20B5"/>
  </w:style>
  <w:style w:type="character" w:customStyle="1" w:styleId="ShortTCPChar">
    <w:name w:val="ShortTCP Char"/>
    <w:basedOn w:val="ShortTChar"/>
    <w:link w:val="ShortTCP"/>
    <w:rsid w:val="004A20B5"/>
    <w:rPr>
      <w:rFonts w:eastAsia="Times New Roman" w:cs="Times New Roman"/>
      <w:b/>
      <w:sz w:val="40"/>
      <w:lang w:eastAsia="en-AU"/>
    </w:rPr>
  </w:style>
  <w:style w:type="paragraph" w:customStyle="1" w:styleId="ActNoCP">
    <w:name w:val="ActNoCP"/>
    <w:basedOn w:val="Actno"/>
    <w:link w:val="ActNoCPChar"/>
    <w:rsid w:val="004A20B5"/>
    <w:pPr>
      <w:spacing w:before="400"/>
    </w:pPr>
  </w:style>
  <w:style w:type="character" w:customStyle="1" w:styleId="ActNoCPChar">
    <w:name w:val="ActNoCP Char"/>
    <w:basedOn w:val="ActnoChar"/>
    <w:link w:val="ActNoCP"/>
    <w:rsid w:val="004A20B5"/>
    <w:rPr>
      <w:rFonts w:eastAsia="Times New Roman" w:cs="Times New Roman"/>
      <w:b/>
      <w:sz w:val="40"/>
      <w:lang w:eastAsia="en-AU"/>
    </w:rPr>
  </w:style>
  <w:style w:type="paragraph" w:customStyle="1" w:styleId="AssentBk">
    <w:name w:val="AssentBk"/>
    <w:basedOn w:val="Normal"/>
    <w:rsid w:val="004A20B5"/>
    <w:pPr>
      <w:spacing w:line="240" w:lineRule="auto"/>
    </w:pPr>
    <w:rPr>
      <w:rFonts w:eastAsia="Times New Roman" w:cs="Times New Roman"/>
      <w:sz w:val="20"/>
      <w:lang w:eastAsia="en-AU"/>
    </w:rPr>
  </w:style>
  <w:style w:type="paragraph" w:customStyle="1" w:styleId="AssentDt">
    <w:name w:val="AssentDt"/>
    <w:basedOn w:val="Normal"/>
    <w:rsid w:val="00880EED"/>
    <w:pPr>
      <w:spacing w:line="240" w:lineRule="auto"/>
    </w:pPr>
    <w:rPr>
      <w:rFonts w:eastAsia="Times New Roman" w:cs="Times New Roman"/>
      <w:sz w:val="20"/>
      <w:lang w:eastAsia="en-AU"/>
    </w:rPr>
  </w:style>
  <w:style w:type="paragraph" w:customStyle="1" w:styleId="2ndRd">
    <w:name w:val="2ndRd"/>
    <w:basedOn w:val="Normal"/>
    <w:rsid w:val="00880EED"/>
    <w:pPr>
      <w:spacing w:line="240" w:lineRule="auto"/>
    </w:pPr>
    <w:rPr>
      <w:rFonts w:eastAsia="Times New Roman" w:cs="Times New Roman"/>
      <w:sz w:val="20"/>
      <w:lang w:eastAsia="en-AU"/>
    </w:rPr>
  </w:style>
  <w:style w:type="paragraph" w:customStyle="1" w:styleId="ScalePlusRef">
    <w:name w:val="ScalePlusRef"/>
    <w:basedOn w:val="Normal"/>
    <w:rsid w:val="00880EE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14E7"/>
    <w:pPr>
      <w:spacing w:line="260" w:lineRule="atLeast"/>
    </w:pPr>
    <w:rPr>
      <w:sz w:val="22"/>
    </w:rPr>
  </w:style>
  <w:style w:type="paragraph" w:styleId="Heading1">
    <w:name w:val="heading 1"/>
    <w:basedOn w:val="Normal"/>
    <w:next w:val="Normal"/>
    <w:link w:val="Heading1Char"/>
    <w:uiPriority w:val="9"/>
    <w:qFormat/>
    <w:rsid w:val="004A20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20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20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20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A20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20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20B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A20B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A20B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714E7"/>
  </w:style>
  <w:style w:type="paragraph" w:customStyle="1" w:styleId="OPCParaBase">
    <w:name w:val="OPCParaBase"/>
    <w:link w:val="OPCParaBaseChar"/>
    <w:qFormat/>
    <w:rsid w:val="009714E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714E7"/>
    <w:pPr>
      <w:spacing w:line="240" w:lineRule="auto"/>
    </w:pPr>
    <w:rPr>
      <w:b/>
      <w:sz w:val="40"/>
    </w:rPr>
  </w:style>
  <w:style w:type="paragraph" w:customStyle="1" w:styleId="ActHead1">
    <w:name w:val="ActHead 1"/>
    <w:aliases w:val="c"/>
    <w:basedOn w:val="OPCParaBase"/>
    <w:next w:val="Normal"/>
    <w:qFormat/>
    <w:rsid w:val="009714E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714E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714E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714E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714E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714E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9714E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714E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714E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714E7"/>
  </w:style>
  <w:style w:type="paragraph" w:customStyle="1" w:styleId="Blocks">
    <w:name w:val="Blocks"/>
    <w:aliases w:val="bb"/>
    <w:basedOn w:val="OPCParaBase"/>
    <w:qFormat/>
    <w:rsid w:val="009714E7"/>
    <w:pPr>
      <w:spacing w:line="240" w:lineRule="auto"/>
    </w:pPr>
    <w:rPr>
      <w:sz w:val="24"/>
    </w:rPr>
  </w:style>
  <w:style w:type="paragraph" w:customStyle="1" w:styleId="BoxText">
    <w:name w:val="BoxText"/>
    <w:aliases w:val="bt"/>
    <w:basedOn w:val="OPCParaBase"/>
    <w:qFormat/>
    <w:rsid w:val="009714E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714E7"/>
    <w:rPr>
      <w:b/>
    </w:rPr>
  </w:style>
  <w:style w:type="paragraph" w:customStyle="1" w:styleId="BoxHeadItalic">
    <w:name w:val="BoxHeadItalic"/>
    <w:aliases w:val="bhi"/>
    <w:basedOn w:val="BoxText"/>
    <w:next w:val="BoxStep"/>
    <w:qFormat/>
    <w:rsid w:val="009714E7"/>
    <w:rPr>
      <w:i/>
    </w:rPr>
  </w:style>
  <w:style w:type="paragraph" w:customStyle="1" w:styleId="BoxList">
    <w:name w:val="BoxList"/>
    <w:aliases w:val="bl"/>
    <w:basedOn w:val="BoxText"/>
    <w:qFormat/>
    <w:rsid w:val="009714E7"/>
    <w:pPr>
      <w:ind w:left="1559" w:hanging="425"/>
    </w:pPr>
  </w:style>
  <w:style w:type="paragraph" w:customStyle="1" w:styleId="BoxNote">
    <w:name w:val="BoxNote"/>
    <w:aliases w:val="bn"/>
    <w:basedOn w:val="BoxText"/>
    <w:qFormat/>
    <w:rsid w:val="009714E7"/>
    <w:pPr>
      <w:tabs>
        <w:tab w:val="left" w:pos="1985"/>
      </w:tabs>
      <w:spacing w:before="122" w:line="198" w:lineRule="exact"/>
      <w:ind w:left="2948" w:hanging="1814"/>
    </w:pPr>
    <w:rPr>
      <w:sz w:val="18"/>
    </w:rPr>
  </w:style>
  <w:style w:type="paragraph" w:customStyle="1" w:styleId="BoxPara">
    <w:name w:val="BoxPara"/>
    <w:aliases w:val="bp"/>
    <w:basedOn w:val="BoxText"/>
    <w:qFormat/>
    <w:rsid w:val="009714E7"/>
    <w:pPr>
      <w:tabs>
        <w:tab w:val="right" w:pos="2268"/>
      </w:tabs>
      <w:ind w:left="2552" w:hanging="1418"/>
    </w:pPr>
  </w:style>
  <w:style w:type="paragraph" w:customStyle="1" w:styleId="BoxStep">
    <w:name w:val="BoxStep"/>
    <w:aliases w:val="bs"/>
    <w:basedOn w:val="BoxText"/>
    <w:qFormat/>
    <w:rsid w:val="009714E7"/>
    <w:pPr>
      <w:ind w:left="1985" w:hanging="851"/>
    </w:pPr>
  </w:style>
  <w:style w:type="character" w:customStyle="1" w:styleId="CharAmPartNo">
    <w:name w:val="CharAmPartNo"/>
    <w:basedOn w:val="OPCCharBase"/>
    <w:qFormat/>
    <w:rsid w:val="009714E7"/>
  </w:style>
  <w:style w:type="character" w:customStyle="1" w:styleId="CharAmPartText">
    <w:name w:val="CharAmPartText"/>
    <w:basedOn w:val="OPCCharBase"/>
    <w:qFormat/>
    <w:rsid w:val="009714E7"/>
  </w:style>
  <w:style w:type="character" w:customStyle="1" w:styleId="CharAmSchNo">
    <w:name w:val="CharAmSchNo"/>
    <w:basedOn w:val="OPCCharBase"/>
    <w:qFormat/>
    <w:rsid w:val="009714E7"/>
  </w:style>
  <w:style w:type="character" w:customStyle="1" w:styleId="CharAmSchText">
    <w:name w:val="CharAmSchText"/>
    <w:basedOn w:val="OPCCharBase"/>
    <w:qFormat/>
    <w:rsid w:val="009714E7"/>
  </w:style>
  <w:style w:type="character" w:customStyle="1" w:styleId="CharBoldItalic">
    <w:name w:val="CharBoldItalic"/>
    <w:basedOn w:val="OPCCharBase"/>
    <w:uiPriority w:val="1"/>
    <w:qFormat/>
    <w:rsid w:val="009714E7"/>
    <w:rPr>
      <w:b/>
      <w:i/>
    </w:rPr>
  </w:style>
  <w:style w:type="character" w:customStyle="1" w:styleId="CharChapNo">
    <w:name w:val="CharChapNo"/>
    <w:basedOn w:val="OPCCharBase"/>
    <w:uiPriority w:val="1"/>
    <w:qFormat/>
    <w:rsid w:val="009714E7"/>
  </w:style>
  <w:style w:type="character" w:customStyle="1" w:styleId="CharChapText">
    <w:name w:val="CharChapText"/>
    <w:basedOn w:val="OPCCharBase"/>
    <w:uiPriority w:val="1"/>
    <w:qFormat/>
    <w:rsid w:val="009714E7"/>
  </w:style>
  <w:style w:type="character" w:customStyle="1" w:styleId="CharDivNo">
    <w:name w:val="CharDivNo"/>
    <w:basedOn w:val="OPCCharBase"/>
    <w:uiPriority w:val="1"/>
    <w:qFormat/>
    <w:rsid w:val="009714E7"/>
  </w:style>
  <w:style w:type="character" w:customStyle="1" w:styleId="CharDivText">
    <w:name w:val="CharDivText"/>
    <w:basedOn w:val="OPCCharBase"/>
    <w:uiPriority w:val="1"/>
    <w:qFormat/>
    <w:rsid w:val="009714E7"/>
  </w:style>
  <w:style w:type="character" w:customStyle="1" w:styleId="CharItalic">
    <w:name w:val="CharItalic"/>
    <w:basedOn w:val="OPCCharBase"/>
    <w:uiPriority w:val="1"/>
    <w:qFormat/>
    <w:rsid w:val="009714E7"/>
    <w:rPr>
      <w:i/>
    </w:rPr>
  </w:style>
  <w:style w:type="character" w:customStyle="1" w:styleId="CharPartNo">
    <w:name w:val="CharPartNo"/>
    <w:basedOn w:val="OPCCharBase"/>
    <w:uiPriority w:val="1"/>
    <w:qFormat/>
    <w:rsid w:val="009714E7"/>
  </w:style>
  <w:style w:type="character" w:customStyle="1" w:styleId="CharPartText">
    <w:name w:val="CharPartText"/>
    <w:basedOn w:val="OPCCharBase"/>
    <w:uiPriority w:val="1"/>
    <w:qFormat/>
    <w:rsid w:val="009714E7"/>
  </w:style>
  <w:style w:type="character" w:customStyle="1" w:styleId="CharSectno">
    <w:name w:val="CharSectno"/>
    <w:basedOn w:val="OPCCharBase"/>
    <w:qFormat/>
    <w:rsid w:val="009714E7"/>
  </w:style>
  <w:style w:type="character" w:customStyle="1" w:styleId="CharSubdNo">
    <w:name w:val="CharSubdNo"/>
    <w:basedOn w:val="OPCCharBase"/>
    <w:uiPriority w:val="1"/>
    <w:qFormat/>
    <w:rsid w:val="009714E7"/>
  </w:style>
  <w:style w:type="character" w:customStyle="1" w:styleId="CharSubdText">
    <w:name w:val="CharSubdText"/>
    <w:basedOn w:val="OPCCharBase"/>
    <w:uiPriority w:val="1"/>
    <w:qFormat/>
    <w:rsid w:val="009714E7"/>
  </w:style>
  <w:style w:type="paragraph" w:customStyle="1" w:styleId="CTA--">
    <w:name w:val="CTA --"/>
    <w:basedOn w:val="OPCParaBase"/>
    <w:next w:val="Normal"/>
    <w:rsid w:val="009714E7"/>
    <w:pPr>
      <w:spacing w:before="60" w:line="240" w:lineRule="atLeast"/>
      <w:ind w:left="142" w:hanging="142"/>
    </w:pPr>
    <w:rPr>
      <w:sz w:val="20"/>
    </w:rPr>
  </w:style>
  <w:style w:type="paragraph" w:customStyle="1" w:styleId="CTA-">
    <w:name w:val="CTA -"/>
    <w:basedOn w:val="OPCParaBase"/>
    <w:rsid w:val="009714E7"/>
    <w:pPr>
      <w:spacing w:before="60" w:line="240" w:lineRule="atLeast"/>
      <w:ind w:left="85" w:hanging="85"/>
    </w:pPr>
    <w:rPr>
      <w:sz w:val="20"/>
    </w:rPr>
  </w:style>
  <w:style w:type="paragraph" w:customStyle="1" w:styleId="CTA---">
    <w:name w:val="CTA ---"/>
    <w:basedOn w:val="OPCParaBase"/>
    <w:next w:val="Normal"/>
    <w:rsid w:val="009714E7"/>
    <w:pPr>
      <w:spacing w:before="60" w:line="240" w:lineRule="atLeast"/>
      <w:ind w:left="198" w:hanging="198"/>
    </w:pPr>
    <w:rPr>
      <w:sz w:val="20"/>
    </w:rPr>
  </w:style>
  <w:style w:type="paragraph" w:customStyle="1" w:styleId="CTA----">
    <w:name w:val="CTA ----"/>
    <w:basedOn w:val="OPCParaBase"/>
    <w:next w:val="Normal"/>
    <w:rsid w:val="009714E7"/>
    <w:pPr>
      <w:spacing w:before="60" w:line="240" w:lineRule="atLeast"/>
      <w:ind w:left="255" w:hanging="255"/>
    </w:pPr>
    <w:rPr>
      <w:sz w:val="20"/>
    </w:rPr>
  </w:style>
  <w:style w:type="paragraph" w:customStyle="1" w:styleId="CTA1a">
    <w:name w:val="CTA 1(a)"/>
    <w:basedOn w:val="OPCParaBase"/>
    <w:rsid w:val="009714E7"/>
    <w:pPr>
      <w:tabs>
        <w:tab w:val="right" w:pos="414"/>
      </w:tabs>
      <w:spacing w:before="40" w:line="240" w:lineRule="atLeast"/>
      <w:ind w:left="675" w:hanging="675"/>
    </w:pPr>
    <w:rPr>
      <w:sz w:val="20"/>
    </w:rPr>
  </w:style>
  <w:style w:type="paragraph" w:customStyle="1" w:styleId="CTA1ai">
    <w:name w:val="CTA 1(a)(i)"/>
    <w:basedOn w:val="OPCParaBase"/>
    <w:rsid w:val="009714E7"/>
    <w:pPr>
      <w:tabs>
        <w:tab w:val="right" w:pos="1004"/>
      </w:tabs>
      <w:spacing w:before="40" w:line="240" w:lineRule="atLeast"/>
      <w:ind w:left="1253" w:hanging="1253"/>
    </w:pPr>
    <w:rPr>
      <w:sz w:val="20"/>
    </w:rPr>
  </w:style>
  <w:style w:type="paragraph" w:customStyle="1" w:styleId="CTA2a">
    <w:name w:val="CTA 2(a)"/>
    <w:basedOn w:val="OPCParaBase"/>
    <w:rsid w:val="009714E7"/>
    <w:pPr>
      <w:tabs>
        <w:tab w:val="right" w:pos="482"/>
      </w:tabs>
      <w:spacing w:before="40" w:line="240" w:lineRule="atLeast"/>
      <w:ind w:left="748" w:hanging="748"/>
    </w:pPr>
    <w:rPr>
      <w:sz w:val="20"/>
    </w:rPr>
  </w:style>
  <w:style w:type="paragraph" w:customStyle="1" w:styleId="CTA2ai">
    <w:name w:val="CTA 2(a)(i)"/>
    <w:basedOn w:val="OPCParaBase"/>
    <w:rsid w:val="009714E7"/>
    <w:pPr>
      <w:tabs>
        <w:tab w:val="right" w:pos="1089"/>
      </w:tabs>
      <w:spacing w:before="40" w:line="240" w:lineRule="atLeast"/>
      <w:ind w:left="1327" w:hanging="1327"/>
    </w:pPr>
    <w:rPr>
      <w:sz w:val="20"/>
    </w:rPr>
  </w:style>
  <w:style w:type="paragraph" w:customStyle="1" w:styleId="CTA3a">
    <w:name w:val="CTA 3(a)"/>
    <w:basedOn w:val="OPCParaBase"/>
    <w:rsid w:val="009714E7"/>
    <w:pPr>
      <w:tabs>
        <w:tab w:val="right" w:pos="556"/>
      </w:tabs>
      <w:spacing w:before="40" w:line="240" w:lineRule="atLeast"/>
      <w:ind w:left="805" w:hanging="805"/>
    </w:pPr>
    <w:rPr>
      <w:sz w:val="20"/>
    </w:rPr>
  </w:style>
  <w:style w:type="paragraph" w:customStyle="1" w:styleId="CTA3ai">
    <w:name w:val="CTA 3(a)(i)"/>
    <w:basedOn w:val="OPCParaBase"/>
    <w:rsid w:val="009714E7"/>
    <w:pPr>
      <w:tabs>
        <w:tab w:val="right" w:pos="1140"/>
      </w:tabs>
      <w:spacing w:before="40" w:line="240" w:lineRule="atLeast"/>
      <w:ind w:left="1361" w:hanging="1361"/>
    </w:pPr>
    <w:rPr>
      <w:sz w:val="20"/>
    </w:rPr>
  </w:style>
  <w:style w:type="paragraph" w:customStyle="1" w:styleId="CTA4a">
    <w:name w:val="CTA 4(a)"/>
    <w:basedOn w:val="OPCParaBase"/>
    <w:rsid w:val="009714E7"/>
    <w:pPr>
      <w:tabs>
        <w:tab w:val="right" w:pos="624"/>
      </w:tabs>
      <w:spacing w:before="40" w:line="240" w:lineRule="atLeast"/>
      <w:ind w:left="873" w:hanging="873"/>
    </w:pPr>
    <w:rPr>
      <w:sz w:val="20"/>
    </w:rPr>
  </w:style>
  <w:style w:type="paragraph" w:customStyle="1" w:styleId="CTA4ai">
    <w:name w:val="CTA 4(a)(i)"/>
    <w:basedOn w:val="OPCParaBase"/>
    <w:rsid w:val="009714E7"/>
    <w:pPr>
      <w:tabs>
        <w:tab w:val="right" w:pos="1213"/>
      </w:tabs>
      <w:spacing w:before="40" w:line="240" w:lineRule="atLeast"/>
      <w:ind w:left="1452" w:hanging="1452"/>
    </w:pPr>
    <w:rPr>
      <w:sz w:val="20"/>
    </w:rPr>
  </w:style>
  <w:style w:type="paragraph" w:customStyle="1" w:styleId="CTACAPS">
    <w:name w:val="CTA CAPS"/>
    <w:basedOn w:val="OPCParaBase"/>
    <w:rsid w:val="009714E7"/>
    <w:pPr>
      <w:spacing w:before="60" w:line="240" w:lineRule="atLeast"/>
    </w:pPr>
    <w:rPr>
      <w:sz w:val="20"/>
    </w:rPr>
  </w:style>
  <w:style w:type="paragraph" w:customStyle="1" w:styleId="CTAright">
    <w:name w:val="CTA right"/>
    <w:basedOn w:val="OPCParaBase"/>
    <w:rsid w:val="009714E7"/>
    <w:pPr>
      <w:spacing w:before="60" w:line="240" w:lineRule="auto"/>
      <w:jc w:val="right"/>
    </w:pPr>
    <w:rPr>
      <w:sz w:val="20"/>
    </w:rPr>
  </w:style>
  <w:style w:type="paragraph" w:customStyle="1" w:styleId="subsection">
    <w:name w:val="subsection"/>
    <w:aliases w:val="ss"/>
    <w:basedOn w:val="OPCParaBase"/>
    <w:link w:val="subsectionChar"/>
    <w:rsid w:val="009714E7"/>
    <w:pPr>
      <w:tabs>
        <w:tab w:val="right" w:pos="1021"/>
      </w:tabs>
      <w:spacing w:before="180" w:line="240" w:lineRule="auto"/>
      <w:ind w:left="1134" w:hanging="1134"/>
    </w:pPr>
  </w:style>
  <w:style w:type="paragraph" w:customStyle="1" w:styleId="Definition">
    <w:name w:val="Definition"/>
    <w:aliases w:val="dd"/>
    <w:basedOn w:val="OPCParaBase"/>
    <w:rsid w:val="009714E7"/>
    <w:pPr>
      <w:spacing w:before="180" w:line="240" w:lineRule="auto"/>
      <w:ind w:left="1134"/>
    </w:pPr>
  </w:style>
  <w:style w:type="paragraph" w:customStyle="1" w:styleId="ETAsubitem">
    <w:name w:val="ETA(subitem)"/>
    <w:basedOn w:val="OPCParaBase"/>
    <w:rsid w:val="009714E7"/>
    <w:pPr>
      <w:tabs>
        <w:tab w:val="right" w:pos="340"/>
      </w:tabs>
      <w:spacing w:before="60" w:line="240" w:lineRule="auto"/>
      <w:ind w:left="454" w:hanging="454"/>
    </w:pPr>
    <w:rPr>
      <w:sz w:val="20"/>
    </w:rPr>
  </w:style>
  <w:style w:type="paragraph" w:customStyle="1" w:styleId="ETApara">
    <w:name w:val="ETA(para)"/>
    <w:basedOn w:val="OPCParaBase"/>
    <w:rsid w:val="009714E7"/>
    <w:pPr>
      <w:tabs>
        <w:tab w:val="right" w:pos="754"/>
      </w:tabs>
      <w:spacing w:before="60" w:line="240" w:lineRule="auto"/>
      <w:ind w:left="828" w:hanging="828"/>
    </w:pPr>
    <w:rPr>
      <w:sz w:val="20"/>
    </w:rPr>
  </w:style>
  <w:style w:type="paragraph" w:customStyle="1" w:styleId="ETAsubpara">
    <w:name w:val="ETA(subpara)"/>
    <w:basedOn w:val="OPCParaBase"/>
    <w:rsid w:val="009714E7"/>
    <w:pPr>
      <w:tabs>
        <w:tab w:val="right" w:pos="1083"/>
      </w:tabs>
      <w:spacing w:before="60" w:line="240" w:lineRule="auto"/>
      <w:ind w:left="1191" w:hanging="1191"/>
    </w:pPr>
    <w:rPr>
      <w:sz w:val="20"/>
    </w:rPr>
  </w:style>
  <w:style w:type="paragraph" w:customStyle="1" w:styleId="ETAsub-subpara">
    <w:name w:val="ETA(sub-subpara)"/>
    <w:basedOn w:val="OPCParaBase"/>
    <w:rsid w:val="009714E7"/>
    <w:pPr>
      <w:tabs>
        <w:tab w:val="right" w:pos="1412"/>
      </w:tabs>
      <w:spacing w:before="60" w:line="240" w:lineRule="auto"/>
      <w:ind w:left="1525" w:hanging="1525"/>
    </w:pPr>
    <w:rPr>
      <w:sz w:val="20"/>
    </w:rPr>
  </w:style>
  <w:style w:type="paragraph" w:customStyle="1" w:styleId="Formula">
    <w:name w:val="Formula"/>
    <w:basedOn w:val="OPCParaBase"/>
    <w:rsid w:val="009714E7"/>
    <w:pPr>
      <w:spacing w:line="240" w:lineRule="auto"/>
      <w:ind w:left="1134"/>
    </w:pPr>
    <w:rPr>
      <w:sz w:val="20"/>
    </w:rPr>
  </w:style>
  <w:style w:type="paragraph" w:styleId="Header">
    <w:name w:val="header"/>
    <w:basedOn w:val="OPCParaBase"/>
    <w:link w:val="HeaderChar"/>
    <w:unhideWhenUsed/>
    <w:rsid w:val="009714E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714E7"/>
    <w:rPr>
      <w:rFonts w:eastAsia="Times New Roman" w:cs="Times New Roman"/>
      <w:sz w:val="16"/>
      <w:lang w:eastAsia="en-AU"/>
    </w:rPr>
  </w:style>
  <w:style w:type="paragraph" w:customStyle="1" w:styleId="House">
    <w:name w:val="House"/>
    <w:basedOn w:val="OPCParaBase"/>
    <w:rsid w:val="009714E7"/>
    <w:pPr>
      <w:spacing w:line="240" w:lineRule="auto"/>
    </w:pPr>
    <w:rPr>
      <w:sz w:val="28"/>
    </w:rPr>
  </w:style>
  <w:style w:type="paragraph" w:customStyle="1" w:styleId="Item">
    <w:name w:val="Item"/>
    <w:aliases w:val="i"/>
    <w:basedOn w:val="OPCParaBase"/>
    <w:next w:val="ItemHead"/>
    <w:rsid w:val="009714E7"/>
    <w:pPr>
      <w:keepLines/>
      <w:spacing w:before="80" w:line="240" w:lineRule="auto"/>
      <w:ind w:left="709"/>
    </w:pPr>
  </w:style>
  <w:style w:type="paragraph" w:customStyle="1" w:styleId="ItemHead">
    <w:name w:val="ItemHead"/>
    <w:aliases w:val="ih"/>
    <w:basedOn w:val="OPCParaBase"/>
    <w:next w:val="Item"/>
    <w:rsid w:val="009714E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714E7"/>
    <w:pPr>
      <w:spacing w:line="240" w:lineRule="auto"/>
    </w:pPr>
    <w:rPr>
      <w:b/>
      <w:sz w:val="32"/>
    </w:rPr>
  </w:style>
  <w:style w:type="paragraph" w:customStyle="1" w:styleId="notedraft">
    <w:name w:val="note(draft)"/>
    <w:aliases w:val="nd"/>
    <w:basedOn w:val="OPCParaBase"/>
    <w:rsid w:val="009714E7"/>
    <w:pPr>
      <w:spacing w:before="240" w:line="240" w:lineRule="auto"/>
      <w:ind w:left="284" w:hanging="284"/>
    </w:pPr>
    <w:rPr>
      <w:i/>
      <w:sz w:val="24"/>
    </w:rPr>
  </w:style>
  <w:style w:type="paragraph" w:customStyle="1" w:styleId="notemargin">
    <w:name w:val="note(margin)"/>
    <w:aliases w:val="nm"/>
    <w:basedOn w:val="OPCParaBase"/>
    <w:rsid w:val="009714E7"/>
    <w:pPr>
      <w:tabs>
        <w:tab w:val="left" w:pos="709"/>
      </w:tabs>
      <w:spacing w:before="122" w:line="198" w:lineRule="exact"/>
      <w:ind w:left="709" w:hanging="709"/>
    </w:pPr>
    <w:rPr>
      <w:sz w:val="18"/>
    </w:rPr>
  </w:style>
  <w:style w:type="paragraph" w:customStyle="1" w:styleId="noteToPara">
    <w:name w:val="noteToPara"/>
    <w:aliases w:val="ntp"/>
    <w:basedOn w:val="OPCParaBase"/>
    <w:rsid w:val="009714E7"/>
    <w:pPr>
      <w:spacing w:before="122" w:line="198" w:lineRule="exact"/>
      <w:ind w:left="2353" w:hanging="709"/>
    </w:pPr>
    <w:rPr>
      <w:sz w:val="18"/>
    </w:rPr>
  </w:style>
  <w:style w:type="paragraph" w:customStyle="1" w:styleId="noteParlAmend">
    <w:name w:val="note(ParlAmend)"/>
    <w:aliases w:val="npp"/>
    <w:basedOn w:val="OPCParaBase"/>
    <w:next w:val="ParlAmend"/>
    <w:rsid w:val="009714E7"/>
    <w:pPr>
      <w:spacing w:line="240" w:lineRule="auto"/>
      <w:jc w:val="right"/>
    </w:pPr>
    <w:rPr>
      <w:rFonts w:ascii="Arial" w:hAnsi="Arial"/>
      <w:b/>
      <w:i/>
    </w:rPr>
  </w:style>
  <w:style w:type="paragraph" w:customStyle="1" w:styleId="Page1">
    <w:name w:val="Page1"/>
    <w:basedOn w:val="OPCParaBase"/>
    <w:rsid w:val="009714E7"/>
    <w:pPr>
      <w:spacing w:before="400" w:line="240" w:lineRule="auto"/>
    </w:pPr>
    <w:rPr>
      <w:b/>
      <w:sz w:val="32"/>
    </w:rPr>
  </w:style>
  <w:style w:type="paragraph" w:customStyle="1" w:styleId="PageBreak">
    <w:name w:val="PageBreak"/>
    <w:aliases w:val="pb"/>
    <w:basedOn w:val="OPCParaBase"/>
    <w:rsid w:val="009714E7"/>
    <w:pPr>
      <w:spacing w:line="240" w:lineRule="auto"/>
    </w:pPr>
    <w:rPr>
      <w:sz w:val="20"/>
    </w:rPr>
  </w:style>
  <w:style w:type="paragraph" w:customStyle="1" w:styleId="paragraphsub">
    <w:name w:val="paragraph(sub)"/>
    <w:aliases w:val="aa"/>
    <w:basedOn w:val="OPCParaBase"/>
    <w:rsid w:val="009714E7"/>
    <w:pPr>
      <w:tabs>
        <w:tab w:val="right" w:pos="1985"/>
      </w:tabs>
      <w:spacing w:before="40" w:line="240" w:lineRule="auto"/>
      <w:ind w:left="2098" w:hanging="2098"/>
    </w:pPr>
  </w:style>
  <w:style w:type="paragraph" w:customStyle="1" w:styleId="paragraphsub-sub">
    <w:name w:val="paragraph(sub-sub)"/>
    <w:aliases w:val="aaa"/>
    <w:basedOn w:val="OPCParaBase"/>
    <w:rsid w:val="009714E7"/>
    <w:pPr>
      <w:tabs>
        <w:tab w:val="right" w:pos="2722"/>
      </w:tabs>
      <w:spacing w:before="40" w:line="240" w:lineRule="auto"/>
      <w:ind w:left="2835" w:hanging="2835"/>
    </w:pPr>
  </w:style>
  <w:style w:type="paragraph" w:customStyle="1" w:styleId="paragraph">
    <w:name w:val="paragraph"/>
    <w:aliases w:val="a"/>
    <w:basedOn w:val="OPCParaBase"/>
    <w:link w:val="paragraphChar"/>
    <w:rsid w:val="009714E7"/>
    <w:pPr>
      <w:tabs>
        <w:tab w:val="right" w:pos="1531"/>
      </w:tabs>
      <w:spacing w:before="40" w:line="240" w:lineRule="auto"/>
      <w:ind w:left="1644" w:hanging="1644"/>
    </w:pPr>
  </w:style>
  <w:style w:type="paragraph" w:customStyle="1" w:styleId="ParlAmend">
    <w:name w:val="ParlAmend"/>
    <w:aliases w:val="pp"/>
    <w:basedOn w:val="OPCParaBase"/>
    <w:rsid w:val="009714E7"/>
    <w:pPr>
      <w:spacing w:before="240" w:line="240" w:lineRule="atLeast"/>
      <w:ind w:hanging="567"/>
    </w:pPr>
    <w:rPr>
      <w:sz w:val="24"/>
    </w:rPr>
  </w:style>
  <w:style w:type="paragraph" w:customStyle="1" w:styleId="Penalty">
    <w:name w:val="Penalty"/>
    <w:basedOn w:val="OPCParaBase"/>
    <w:rsid w:val="009714E7"/>
    <w:pPr>
      <w:tabs>
        <w:tab w:val="left" w:pos="2977"/>
      </w:tabs>
      <w:spacing w:before="180" w:line="240" w:lineRule="auto"/>
      <w:ind w:left="1985" w:hanging="851"/>
    </w:pPr>
  </w:style>
  <w:style w:type="paragraph" w:customStyle="1" w:styleId="Portfolio">
    <w:name w:val="Portfolio"/>
    <w:basedOn w:val="OPCParaBase"/>
    <w:rsid w:val="009714E7"/>
    <w:pPr>
      <w:spacing w:line="240" w:lineRule="auto"/>
    </w:pPr>
    <w:rPr>
      <w:i/>
      <w:sz w:val="20"/>
    </w:rPr>
  </w:style>
  <w:style w:type="paragraph" w:customStyle="1" w:styleId="Preamble">
    <w:name w:val="Preamble"/>
    <w:basedOn w:val="OPCParaBase"/>
    <w:next w:val="Normal"/>
    <w:rsid w:val="009714E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714E7"/>
    <w:pPr>
      <w:spacing w:line="240" w:lineRule="auto"/>
    </w:pPr>
    <w:rPr>
      <w:i/>
      <w:sz w:val="20"/>
    </w:rPr>
  </w:style>
  <w:style w:type="paragraph" w:customStyle="1" w:styleId="Session">
    <w:name w:val="Session"/>
    <w:basedOn w:val="OPCParaBase"/>
    <w:rsid w:val="009714E7"/>
    <w:pPr>
      <w:spacing w:line="240" w:lineRule="auto"/>
    </w:pPr>
    <w:rPr>
      <w:sz w:val="28"/>
    </w:rPr>
  </w:style>
  <w:style w:type="paragraph" w:customStyle="1" w:styleId="Sponsor">
    <w:name w:val="Sponsor"/>
    <w:basedOn w:val="OPCParaBase"/>
    <w:rsid w:val="009714E7"/>
    <w:pPr>
      <w:spacing w:line="240" w:lineRule="auto"/>
    </w:pPr>
    <w:rPr>
      <w:i/>
    </w:rPr>
  </w:style>
  <w:style w:type="paragraph" w:customStyle="1" w:styleId="Subitem">
    <w:name w:val="Subitem"/>
    <w:aliases w:val="iss"/>
    <w:basedOn w:val="OPCParaBase"/>
    <w:rsid w:val="009714E7"/>
    <w:pPr>
      <w:spacing w:before="180" w:line="240" w:lineRule="auto"/>
      <w:ind w:left="709" w:hanging="709"/>
    </w:pPr>
  </w:style>
  <w:style w:type="paragraph" w:customStyle="1" w:styleId="SubitemHead">
    <w:name w:val="SubitemHead"/>
    <w:aliases w:val="issh"/>
    <w:basedOn w:val="OPCParaBase"/>
    <w:rsid w:val="009714E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714E7"/>
    <w:pPr>
      <w:spacing w:before="40" w:line="240" w:lineRule="auto"/>
      <w:ind w:left="1134"/>
    </w:pPr>
  </w:style>
  <w:style w:type="paragraph" w:customStyle="1" w:styleId="SubsectionHead">
    <w:name w:val="SubsectionHead"/>
    <w:aliases w:val="ssh"/>
    <w:basedOn w:val="OPCParaBase"/>
    <w:next w:val="subsection"/>
    <w:rsid w:val="009714E7"/>
    <w:pPr>
      <w:keepNext/>
      <w:keepLines/>
      <w:spacing w:before="240" w:line="240" w:lineRule="auto"/>
      <w:ind w:left="1134"/>
    </w:pPr>
    <w:rPr>
      <w:i/>
    </w:rPr>
  </w:style>
  <w:style w:type="paragraph" w:customStyle="1" w:styleId="Tablea">
    <w:name w:val="Table(a)"/>
    <w:aliases w:val="ta"/>
    <w:basedOn w:val="OPCParaBase"/>
    <w:rsid w:val="009714E7"/>
    <w:pPr>
      <w:spacing w:before="60" w:line="240" w:lineRule="auto"/>
      <w:ind w:left="284" w:hanging="284"/>
    </w:pPr>
    <w:rPr>
      <w:sz w:val="20"/>
    </w:rPr>
  </w:style>
  <w:style w:type="paragraph" w:customStyle="1" w:styleId="TableAA">
    <w:name w:val="Table(AA)"/>
    <w:aliases w:val="taaa"/>
    <w:basedOn w:val="OPCParaBase"/>
    <w:rsid w:val="009714E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714E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714E7"/>
    <w:pPr>
      <w:spacing w:before="60" w:line="240" w:lineRule="atLeast"/>
    </w:pPr>
    <w:rPr>
      <w:sz w:val="20"/>
    </w:rPr>
  </w:style>
  <w:style w:type="paragraph" w:customStyle="1" w:styleId="TLPBoxTextnote">
    <w:name w:val="TLPBoxText(note"/>
    <w:aliases w:val="right)"/>
    <w:basedOn w:val="OPCParaBase"/>
    <w:rsid w:val="009714E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714E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714E7"/>
    <w:pPr>
      <w:spacing w:before="122" w:line="198" w:lineRule="exact"/>
      <w:ind w:left="1985" w:hanging="851"/>
      <w:jc w:val="right"/>
    </w:pPr>
    <w:rPr>
      <w:sz w:val="18"/>
    </w:rPr>
  </w:style>
  <w:style w:type="paragraph" w:customStyle="1" w:styleId="TLPTableBullet">
    <w:name w:val="TLPTableBullet"/>
    <w:aliases w:val="ttb"/>
    <w:basedOn w:val="OPCParaBase"/>
    <w:rsid w:val="009714E7"/>
    <w:pPr>
      <w:spacing w:line="240" w:lineRule="exact"/>
      <w:ind w:left="284" w:hanging="284"/>
    </w:pPr>
    <w:rPr>
      <w:sz w:val="20"/>
    </w:rPr>
  </w:style>
  <w:style w:type="paragraph" w:styleId="TOC1">
    <w:name w:val="toc 1"/>
    <w:basedOn w:val="OPCParaBase"/>
    <w:next w:val="Normal"/>
    <w:uiPriority w:val="39"/>
    <w:semiHidden/>
    <w:unhideWhenUsed/>
    <w:rsid w:val="009714E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714E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714E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714E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714E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714E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714E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714E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714E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714E7"/>
    <w:pPr>
      <w:keepLines/>
      <w:spacing w:before="240" w:after="120" w:line="240" w:lineRule="auto"/>
      <w:ind w:left="794"/>
    </w:pPr>
    <w:rPr>
      <w:b/>
      <w:kern w:val="28"/>
      <w:sz w:val="20"/>
    </w:rPr>
  </w:style>
  <w:style w:type="paragraph" w:customStyle="1" w:styleId="TofSectsHeading">
    <w:name w:val="TofSects(Heading)"/>
    <w:basedOn w:val="OPCParaBase"/>
    <w:rsid w:val="009714E7"/>
    <w:pPr>
      <w:spacing w:before="240" w:after="120" w:line="240" w:lineRule="auto"/>
    </w:pPr>
    <w:rPr>
      <w:b/>
      <w:sz w:val="24"/>
    </w:rPr>
  </w:style>
  <w:style w:type="paragraph" w:customStyle="1" w:styleId="TofSectsSection">
    <w:name w:val="TofSects(Section)"/>
    <w:basedOn w:val="OPCParaBase"/>
    <w:rsid w:val="009714E7"/>
    <w:pPr>
      <w:keepLines/>
      <w:spacing w:before="40" w:line="240" w:lineRule="auto"/>
      <w:ind w:left="1588" w:hanging="794"/>
    </w:pPr>
    <w:rPr>
      <w:kern w:val="28"/>
      <w:sz w:val="18"/>
    </w:rPr>
  </w:style>
  <w:style w:type="paragraph" w:customStyle="1" w:styleId="TofSectsSubdiv">
    <w:name w:val="TofSects(Subdiv)"/>
    <w:basedOn w:val="OPCParaBase"/>
    <w:rsid w:val="009714E7"/>
    <w:pPr>
      <w:keepLines/>
      <w:spacing w:before="80" w:line="240" w:lineRule="auto"/>
      <w:ind w:left="1588" w:hanging="794"/>
    </w:pPr>
    <w:rPr>
      <w:kern w:val="28"/>
    </w:rPr>
  </w:style>
  <w:style w:type="paragraph" w:customStyle="1" w:styleId="WRStyle">
    <w:name w:val="WR Style"/>
    <w:aliases w:val="WR"/>
    <w:basedOn w:val="OPCParaBase"/>
    <w:rsid w:val="009714E7"/>
    <w:pPr>
      <w:spacing w:before="240" w:line="240" w:lineRule="auto"/>
      <w:ind w:left="284" w:hanging="284"/>
    </w:pPr>
    <w:rPr>
      <w:b/>
      <w:i/>
      <w:kern w:val="28"/>
      <w:sz w:val="24"/>
    </w:rPr>
  </w:style>
  <w:style w:type="paragraph" w:customStyle="1" w:styleId="notepara">
    <w:name w:val="note(para)"/>
    <w:aliases w:val="na"/>
    <w:basedOn w:val="OPCParaBase"/>
    <w:rsid w:val="009714E7"/>
    <w:pPr>
      <w:spacing w:before="40" w:line="198" w:lineRule="exact"/>
      <w:ind w:left="2354" w:hanging="369"/>
    </w:pPr>
    <w:rPr>
      <w:sz w:val="18"/>
    </w:rPr>
  </w:style>
  <w:style w:type="paragraph" w:styleId="Footer">
    <w:name w:val="footer"/>
    <w:link w:val="FooterChar"/>
    <w:rsid w:val="009714E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714E7"/>
    <w:rPr>
      <w:rFonts w:eastAsia="Times New Roman" w:cs="Times New Roman"/>
      <w:sz w:val="22"/>
      <w:szCs w:val="24"/>
      <w:lang w:eastAsia="en-AU"/>
    </w:rPr>
  </w:style>
  <w:style w:type="character" w:styleId="LineNumber">
    <w:name w:val="line number"/>
    <w:basedOn w:val="OPCCharBase"/>
    <w:uiPriority w:val="99"/>
    <w:semiHidden/>
    <w:unhideWhenUsed/>
    <w:rsid w:val="009714E7"/>
    <w:rPr>
      <w:sz w:val="16"/>
    </w:rPr>
  </w:style>
  <w:style w:type="table" w:customStyle="1" w:styleId="CFlag">
    <w:name w:val="CFlag"/>
    <w:basedOn w:val="TableNormal"/>
    <w:uiPriority w:val="99"/>
    <w:rsid w:val="009714E7"/>
    <w:rPr>
      <w:rFonts w:eastAsia="Times New Roman" w:cs="Times New Roman"/>
      <w:lang w:eastAsia="en-AU"/>
    </w:rPr>
    <w:tblPr/>
  </w:style>
  <w:style w:type="paragraph" w:customStyle="1" w:styleId="NotesHeading1">
    <w:name w:val="NotesHeading 1"/>
    <w:basedOn w:val="OPCParaBase"/>
    <w:next w:val="Normal"/>
    <w:rsid w:val="009714E7"/>
    <w:rPr>
      <w:b/>
      <w:sz w:val="28"/>
      <w:szCs w:val="28"/>
    </w:rPr>
  </w:style>
  <w:style w:type="paragraph" w:customStyle="1" w:styleId="NotesHeading2">
    <w:name w:val="NotesHeading 2"/>
    <w:basedOn w:val="OPCParaBase"/>
    <w:next w:val="Normal"/>
    <w:rsid w:val="009714E7"/>
    <w:rPr>
      <w:b/>
      <w:sz w:val="28"/>
      <w:szCs w:val="28"/>
    </w:rPr>
  </w:style>
  <w:style w:type="paragraph" w:customStyle="1" w:styleId="SignCoverPageEnd">
    <w:name w:val="SignCoverPageEnd"/>
    <w:basedOn w:val="OPCParaBase"/>
    <w:next w:val="Normal"/>
    <w:rsid w:val="009714E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714E7"/>
    <w:pPr>
      <w:pBdr>
        <w:top w:val="single" w:sz="4" w:space="1" w:color="auto"/>
      </w:pBdr>
      <w:spacing w:before="360"/>
      <w:ind w:right="397"/>
      <w:jc w:val="both"/>
    </w:pPr>
  </w:style>
  <w:style w:type="paragraph" w:customStyle="1" w:styleId="Paragraphsub-sub-sub">
    <w:name w:val="Paragraph(sub-sub-sub)"/>
    <w:aliases w:val="aaaa"/>
    <w:basedOn w:val="OPCParaBase"/>
    <w:rsid w:val="009714E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714E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714E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714E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714E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714E7"/>
    <w:pPr>
      <w:spacing w:before="120"/>
    </w:pPr>
  </w:style>
  <w:style w:type="paragraph" w:customStyle="1" w:styleId="TableTextEndNotes">
    <w:name w:val="TableTextEndNotes"/>
    <w:aliases w:val="Tten"/>
    <w:basedOn w:val="Normal"/>
    <w:rsid w:val="009714E7"/>
    <w:pPr>
      <w:spacing w:before="60" w:line="240" w:lineRule="auto"/>
    </w:pPr>
    <w:rPr>
      <w:rFonts w:cs="Arial"/>
      <w:sz w:val="20"/>
      <w:szCs w:val="22"/>
    </w:rPr>
  </w:style>
  <w:style w:type="paragraph" w:customStyle="1" w:styleId="TableHeading">
    <w:name w:val="TableHeading"/>
    <w:aliases w:val="th"/>
    <w:basedOn w:val="OPCParaBase"/>
    <w:next w:val="Tabletext"/>
    <w:rsid w:val="009714E7"/>
    <w:pPr>
      <w:keepNext/>
      <w:spacing w:before="60" w:line="240" w:lineRule="atLeast"/>
    </w:pPr>
    <w:rPr>
      <w:b/>
      <w:sz w:val="20"/>
    </w:rPr>
  </w:style>
  <w:style w:type="paragraph" w:customStyle="1" w:styleId="NoteToSubpara">
    <w:name w:val="NoteToSubpara"/>
    <w:aliases w:val="nts"/>
    <w:basedOn w:val="OPCParaBase"/>
    <w:rsid w:val="009714E7"/>
    <w:pPr>
      <w:spacing w:before="40" w:line="198" w:lineRule="exact"/>
      <w:ind w:left="2835" w:hanging="709"/>
    </w:pPr>
    <w:rPr>
      <w:sz w:val="18"/>
    </w:rPr>
  </w:style>
  <w:style w:type="paragraph" w:customStyle="1" w:styleId="ENoteTableHeading">
    <w:name w:val="ENoteTableHeading"/>
    <w:aliases w:val="enth"/>
    <w:basedOn w:val="OPCParaBase"/>
    <w:rsid w:val="009714E7"/>
    <w:pPr>
      <w:keepNext/>
      <w:spacing w:before="60" w:line="240" w:lineRule="atLeast"/>
    </w:pPr>
    <w:rPr>
      <w:rFonts w:ascii="Arial" w:hAnsi="Arial"/>
      <w:b/>
      <w:sz w:val="16"/>
    </w:rPr>
  </w:style>
  <w:style w:type="paragraph" w:customStyle="1" w:styleId="ENoteTTi">
    <w:name w:val="ENoteTTi"/>
    <w:aliases w:val="entti"/>
    <w:basedOn w:val="OPCParaBase"/>
    <w:rsid w:val="009714E7"/>
    <w:pPr>
      <w:keepNext/>
      <w:spacing w:before="60" w:line="240" w:lineRule="atLeast"/>
      <w:ind w:left="170"/>
    </w:pPr>
    <w:rPr>
      <w:sz w:val="16"/>
    </w:rPr>
  </w:style>
  <w:style w:type="paragraph" w:customStyle="1" w:styleId="ENotesHeading1">
    <w:name w:val="ENotesHeading 1"/>
    <w:aliases w:val="Enh1"/>
    <w:basedOn w:val="OPCParaBase"/>
    <w:next w:val="Normal"/>
    <w:rsid w:val="009714E7"/>
    <w:pPr>
      <w:spacing w:before="120"/>
      <w:outlineLvl w:val="1"/>
    </w:pPr>
    <w:rPr>
      <w:b/>
      <w:sz w:val="28"/>
      <w:szCs w:val="28"/>
    </w:rPr>
  </w:style>
  <w:style w:type="paragraph" w:customStyle="1" w:styleId="ENotesHeading2">
    <w:name w:val="ENotesHeading 2"/>
    <w:aliases w:val="Enh2"/>
    <w:basedOn w:val="OPCParaBase"/>
    <w:next w:val="Normal"/>
    <w:rsid w:val="009714E7"/>
    <w:pPr>
      <w:spacing w:before="120" w:after="120"/>
      <w:outlineLvl w:val="2"/>
    </w:pPr>
    <w:rPr>
      <w:b/>
      <w:sz w:val="24"/>
      <w:szCs w:val="28"/>
    </w:rPr>
  </w:style>
  <w:style w:type="paragraph" w:customStyle="1" w:styleId="ENoteTTIndentHeading">
    <w:name w:val="ENoteTTIndentHeading"/>
    <w:aliases w:val="enTTHi"/>
    <w:basedOn w:val="OPCParaBase"/>
    <w:rsid w:val="009714E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714E7"/>
    <w:pPr>
      <w:spacing w:before="60" w:line="240" w:lineRule="atLeast"/>
    </w:pPr>
    <w:rPr>
      <w:sz w:val="16"/>
    </w:rPr>
  </w:style>
  <w:style w:type="paragraph" w:customStyle="1" w:styleId="MadeunderText">
    <w:name w:val="MadeunderText"/>
    <w:basedOn w:val="OPCParaBase"/>
    <w:next w:val="Normal"/>
    <w:rsid w:val="009714E7"/>
    <w:pPr>
      <w:spacing w:before="240"/>
    </w:pPr>
    <w:rPr>
      <w:sz w:val="24"/>
      <w:szCs w:val="24"/>
    </w:rPr>
  </w:style>
  <w:style w:type="paragraph" w:customStyle="1" w:styleId="ENotesHeading3">
    <w:name w:val="ENotesHeading 3"/>
    <w:aliases w:val="Enh3"/>
    <w:basedOn w:val="OPCParaBase"/>
    <w:next w:val="Normal"/>
    <w:rsid w:val="009714E7"/>
    <w:pPr>
      <w:keepNext/>
      <w:spacing w:before="120" w:line="240" w:lineRule="auto"/>
      <w:outlineLvl w:val="4"/>
    </w:pPr>
    <w:rPr>
      <w:b/>
      <w:szCs w:val="24"/>
    </w:rPr>
  </w:style>
  <w:style w:type="paragraph" w:customStyle="1" w:styleId="SubPartCASA">
    <w:name w:val="SubPart(CASA)"/>
    <w:aliases w:val="csp"/>
    <w:basedOn w:val="OPCParaBase"/>
    <w:next w:val="ActHead3"/>
    <w:rsid w:val="009714E7"/>
    <w:pPr>
      <w:keepNext/>
      <w:keepLines/>
      <w:spacing w:before="280"/>
      <w:outlineLvl w:val="1"/>
    </w:pPr>
    <w:rPr>
      <w:b/>
      <w:kern w:val="28"/>
      <w:sz w:val="32"/>
    </w:rPr>
  </w:style>
  <w:style w:type="character" w:customStyle="1" w:styleId="CharSubPartTextCASA">
    <w:name w:val="CharSubPartText(CASA)"/>
    <w:basedOn w:val="OPCCharBase"/>
    <w:uiPriority w:val="1"/>
    <w:rsid w:val="009714E7"/>
  </w:style>
  <w:style w:type="character" w:customStyle="1" w:styleId="CharSubPartNoCASA">
    <w:name w:val="CharSubPartNo(CASA)"/>
    <w:basedOn w:val="OPCCharBase"/>
    <w:uiPriority w:val="1"/>
    <w:rsid w:val="009714E7"/>
  </w:style>
  <w:style w:type="paragraph" w:customStyle="1" w:styleId="ENoteTTIndentHeadingSub">
    <w:name w:val="ENoteTTIndentHeadingSub"/>
    <w:aliases w:val="enTTHis"/>
    <w:basedOn w:val="OPCParaBase"/>
    <w:rsid w:val="009714E7"/>
    <w:pPr>
      <w:keepNext/>
      <w:spacing w:before="60" w:line="240" w:lineRule="atLeast"/>
      <w:ind w:left="340"/>
    </w:pPr>
    <w:rPr>
      <w:b/>
      <w:sz w:val="16"/>
    </w:rPr>
  </w:style>
  <w:style w:type="paragraph" w:customStyle="1" w:styleId="ENoteTTiSub">
    <w:name w:val="ENoteTTiSub"/>
    <w:aliases w:val="enttis"/>
    <w:basedOn w:val="OPCParaBase"/>
    <w:rsid w:val="009714E7"/>
    <w:pPr>
      <w:keepNext/>
      <w:spacing w:before="60" w:line="240" w:lineRule="atLeast"/>
      <w:ind w:left="340"/>
    </w:pPr>
    <w:rPr>
      <w:sz w:val="16"/>
    </w:rPr>
  </w:style>
  <w:style w:type="paragraph" w:customStyle="1" w:styleId="SubDivisionMigration">
    <w:name w:val="SubDivisionMigration"/>
    <w:aliases w:val="sdm"/>
    <w:basedOn w:val="OPCParaBase"/>
    <w:rsid w:val="009714E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714E7"/>
    <w:pPr>
      <w:keepNext/>
      <w:keepLines/>
      <w:spacing w:before="240" w:line="240" w:lineRule="auto"/>
      <w:ind w:left="1134" w:hanging="1134"/>
    </w:pPr>
    <w:rPr>
      <w:b/>
      <w:sz w:val="28"/>
    </w:rPr>
  </w:style>
  <w:style w:type="table" w:styleId="TableGrid">
    <w:name w:val="Table Grid"/>
    <w:basedOn w:val="TableNormal"/>
    <w:uiPriority w:val="59"/>
    <w:rsid w:val="0097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714E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714E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714E7"/>
    <w:rPr>
      <w:sz w:val="22"/>
    </w:rPr>
  </w:style>
  <w:style w:type="paragraph" w:customStyle="1" w:styleId="SOTextNote">
    <w:name w:val="SO TextNote"/>
    <w:aliases w:val="sont"/>
    <w:basedOn w:val="SOText"/>
    <w:qFormat/>
    <w:rsid w:val="009714E7"/>
    <w:pPr>
      <w:spacing w:before="122" w:line="198" w:lineRule="exact"/>
      <w:ind w:left="1843" w:hanging="709"/>
    </w:pPr>
    <w:rPr>
      <w:sz w:val="18"/>
    </w:rPr>
  </w:style>
  <w:style w:type="paragraph" w:customStyle="1" w:styleId="SOPara">
    <w:name w:val="SO Para"/>
    <w:aliases w:val="soa"/>
    <w:basedOn w:val="SOText"/>
    <w:link w:val="SOParaChar"/>
    <w:qFormat/>
    <w:rsid w:val="009714E7"/>
    <w:pPr>
      <w:tabs>
        <w:tab w:val="right" w:pos="1786"/>
      </w:tabs>
      <w:spacing w:before="40"/>
      <w:ind w:left="2070" w:hanging="936"/>
    </w:pPr>
  </w:style>
  <w:style w:type="character" w:customStyle="1" w:styleId="SOParaChar">
    <w:name w:val="SO Para Char"/>
    <w:aliases w:val="soa Char"/>
    <w:basedOn w:val="DefaultParagraphFont"/>
    <w:link w:val="SOPara"/>
    <w:rsid w:val="009714E7"/>
    <w:rPr>
      <w:sz w:val="22"/>
    </w:rPr>
  </w:style>
  <w:style w:type="paragraph" w:customStyle="1" w:styleId="FileName">
    <w:name w:val="FileName"/>
    <w:basedOn w:val="Normal"/>
    <w:rsid w:val="009714E7"/>
  </w:style>
  <w:style w:type="paragraph" w:customStyle="1" w:styleId="SOHeadBold">
    <w:name w:val="SO HeadBold"/>
    <w:aliases w:val="sohb"/>
    <w:basedOn w:val="SOText"/>
    <w:next w:val="SOText"/>
    <w:link w:val="SOHeadBoldChar"/>
    <w:qFormat/>
    <w:rsid w:val="009714E7"/>
    <w:rPr>
      <w:b/>
    </w:rPr>
  </w:style>
  <w:style w:type="character" w:customStyle="1" w:styleId="SOHeadBoldChar">
    <w:name w:val="SO HeadBold Char"/>
    <w:aliases w:val="sohb Char"/>
    <w:basedOn w:val="DefaultParagraphFont"/>
    <w:link w:val="SOHeadBold"/>
    <w:rsid w:val="009714E7"/>
    <w:rPr>
      <w:b/>
      <w:sz w:val="22"/>
    </w:rPr>
  </w:style>
  <w:style w:type="paragraph" w:customStyle="1" w:styleId="SOHeadItalic">
    <w:name w:val="SO HeadItalic"/>
    <w:aliases w:val="sohi"/>
    <w:basedOn w:val="SOText"/>
    <w:next w:val="SOText"/>
    <w:link w:val="SOHeadItalicChar"/>
    <w:qFormat/>
    <w:rsid w:val="009714E7"/>
    <w:rPr>
      <w:i/>
    </w:rPr>
  </w:style>
  <w:style w:type="character" w:customStyle="1" w:styleId="SOHeadItalicChar">
    <w:name w:val="SO HeadItalic Char"/>
    <w:aliases w:val="sohi Char"/>
    <w:basedOn w:val="DefaultParagraphFont"/>
    <w:link w:val="SOHeadItalic"/>
    <w:rsid w:val="009714E7"/>
    <w:rPr>
      <w:i/>
      <w:sz w:val="22"/>
    </w:rPr>
  </w:style>
  <w:style w:type="paragraph" w:customStyle="1" w:styleId="SOBullet">
    <w:name w:val="SO Bullet"/>
    <w:aliases w:val="sotb"/>
    <w:basedOn w:val="SOText"/>
    <w:link w:val="SOBulletChar"/>
    <w:qFormat/>
    <w:rsid w:val="009714E7"/>
    <w:pPr>
      <w:ind w:left="1559" w:hanging="425"/>
    </w:pPr>
  </w:style>
  <w:style w:type="character" w:customStyle="1" w:styleId="SOBulletChar">
    <w:name w:val="SO Bullet Char"/>
    <w:aliases w:val="sotb Char"/>
    <w:basedOn w:val="DefaultParagraphFont"/>
    <w:link w:val="SOBullet"/>
    <w:rsid w:val="009714E7"/>
    <w:rPr>
      <w:sz w:val="22"/>
    </w:rPr>
  </w:style>
  <w:style w:type="paragraph" w:customStyle="1" w:styleId="SOBulletNote">
    <w:name w:val="SO BulletNote"/>
    <w:aliases w:val="sonb"/>
    <w:basedOn w:val="SOTextNote"/>
    <w:link w:val="SOBulletNoteChar"/>
    <w:qFormat/>
    <w:rsid w:val="009714E7"/>
    <w:pPr>
      <w:tabs>
        <w:tab w:val="left" w:pos="1560"/>
      </w:tabs>
      <w:ind w:left="2268" w:hanging="1134"/>
    </w:pPr>
  </w:style>
  <w:style w:type="character" w:customStyle="1" w:styleId="SOBulletNoteChar">
    <w:name w:val="SO BulletNote Char"/>
    <w:aliases w:val="sonb Char"/>
    <w:basedOn w:val="DefaultParagraphFont"/>
    <w:link w:val="SOBulletNote"/>
    <w:rsid w:val="009714E7"/>
    <w:rPr>
      <w:sz w:val="18"/>
    </w:rPr>
  </w:style>
  <w:style w:type="paragraph" w:customStyle="1" w:styleId="SOText2">
    <w:name w:val="SO Text2"/>
    <w:aliases w:val="sot2"/>
    <w:basedOn w:val="Normal"/>
    <w:next w:val="SOText"/>
    <w:link w:val="SOText2Char"/>
    <w:rsid w:val="009714E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714E7"/>
    <w:rPr>
      <w:sz w:val="22"/>
    </w:rPr>
  </w:style>
  <w:style w:type="character" w:customStyle="1" w:styleId="subsectionChar">
    <w:name w:val="subsection Char"/>
    <w:aliases w:val="ss Char"/>
    <w:link w:val="subsection"/>
    <w:rsid w:val="00137BB3"/>
    <w:rPr>
      <w:rFonts w:eastAsia="Times New Roman" w:cs="Times New Roman"/>
      <w:sz w:val="22"/>
      <w:lang w:eastAsia="en-AU"/>
    </w:rPr>
  </w:style>
  <w:style w:type="character" w:customStyle="1" w:styleId="paragraphChar">
    <w:name w:val="paragraph Char"/>
    <w:aliases w:val="a Char"/>
    <w:link w:val="paragraph"/>
    <w:rsid w:val="00137BB3"/>
    <w:rPr>
      <w:rFonts w:eastAsia="Times New Roman" w:cs="Times New Roman"/>
      <w:sz w:val="22"/>
      <w:lang w:eastAsia="en-AU"/>
    </w:rPr>
  </w:style>
  <w:style w:type="character" w:customStyle="1" w:styleId="notetextChar">
    <w:name w:val="note(text) Char"/>
    <w:aliases w:val="n Char"/>
    <w:link w:val="notetext"/>
    <w:rsid w:val="000337F5"/>
    <w:rPr>
      <w:rFonts w:eastAsia="Times New Roman" w:cs="Times New Roman"/>
      <w:sz w:val="18"/>
      <w:lang w:eastAsia="en-AU"/>
    </w:rPr>
  </w:style>
  <w:style w:type="paragraph" w:styleId="BalloonText">
    <w:name w:val="Balloon Text"/>
    <w:basedOn w:val="Normal"/>
    <w:link w:val="BalloonTextChar"/>
    <w:uiPriority w:val="99"/>
    <w:semiHidden/>
    <w:unhideWhenUsed/>
    <w:rsid w:val="00442F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FC2"/>
    <w:rPr>
      <w:rFonts w:ascii="Tahoma" w:hAnsi="Tahoma" w:cs="Tahoma"/>
      <w:sz w:val="16"/>
      <w:szCs w:val="16"/>
    </w:rPr>
  </w:style>
  <w:style w:type="paragraph" w:customStyle="1" w:styleId="Specialas">
    <w:name w:val="Special as"/>
    <w:basedOn w:val="ActHead6"/>
    <w:link w:val="SpecialasChar"/>
    <w:rsid w:val="001863E2"/>
    <w:pPr>
      <w:outlineLvl w:val="9"/>
    </w:pPr>
  </w:style>
  <w:style w:type="character" w:customStyle="1" w:styleId="SpecialasChar">
    <w:name w:val="Special as Char"/>
    <w:basedOn w:val="DefaultParagraphFont"/>
    <w:link w:val="Specialas"/>
    <w:rsid w:val="001863E2"/>
    <w:rPr>
      <w:rFonts w:ascii="Arial" w:eastAsia="Times New Roman" w:hAnsi="Arial" w:cs="Times New Roman"/>
      <w:b/>
      <w:kern w:val="28"/>
      <w:sz w:val="32"/>
      <w:lang w:eastAsia="en-AU"/>
    </w:rPr>
  </w:style>
  <w:style w:type="paragraph" w:customStyle="1" w:styleId="Specialap">
    <w:name w:val="Special ap"/>
    <w:basedOn w:val="ActHead7"/>
    <w:link w:val="SpecialapChar"/>
    <w:rsid w:val="001863E2"/>
    <w:pPr>
      <w:outlineLvl w:val="9"/>
    </w:pPr>
  </w:style>
  <w:style w:type="character" w:customStyle="1" w:styleId="SpecialapChar">
    <w:name w:val="Special ap Char"/>
    <w:basedOn w:val="DefaultParagraphFont"/>
    <w:link w:val="Specialap"/>
    <w:rsid w:val="001863E2"/>
    <w:rPr>
      <w:rFonts w:ascii="Arial" w:eastAsia="Times New Roman" w:hAnsi="Arial" w:cs="Times New Roman"/>
      <w:b/>
      <w:kern w:val="28"/>
      <w:sz w:val="28"/>
      <w:lang w:eastAsia="en-AU"/>
    </w:rPr>
  </w:style>
  <w:style w:type="paragraph" w:customStyle="1" w:styleId="Specialih">
    <w:name w:val="Special ih"/>
    <w:basedOn w:val="ItemHead"/>
    <w:link w:val="SpecialihChar"/>
    <w:rsid w:val="001863E2"/>
    <w:pPr>
      <w:keepNext w:val="0"/>
    </w:pPr>
  </w:style>
  <w:style w:type="character" w:customStyle="1" w:styleId="SpecialihChar">
    <w:name w:val="Special ih Char"/>
    <w:basedOn w:val="DefaultParagraphFont"/>
    <w:link w:val="Specialih"/>
    <w:rsid w:val="001863E2"/>
    <w:rPr>
      <w:rFonts w:ascii="Arial" w:eastAsia="Times New Roman" w:hAnsi="Arial" w:cs="Times New Roman"/>
      <w:b/>
      <w:kern w:val="28"/>
      <w:sz w:val="24"/>
      <w:lang w:eastAsia="en-AU"/>
    </w:rPr>
  </w:style>
  <w:style w:type="character" w:customStyle="1" w:styleId="ActHead7Char">
    <w:name w:val="ActHead 7 Char"/>
    <w:aliases w:val="ap Char"/>
    <w:basedOn w:val="DefaultParagraphFont"/>
    <w:link w:val="ActHead7"/>
    <w:rsid w:val="001863E2"/>
    <w:rPr>
      <w:rFonts w:ascii="Arial" w:eastAsia="Times New Roman" w:hAnsi="Arial" w:cs="Times New Roman"/>
      <w:b/>
      <w:kern w:val="28"/>
      <w:sz w:val="28"/>
      <w:lang w:eastAsia="en-AU"/>
    </w:rPr>
  </w:style>
  <w:style w:type="character" w:styleId="Hyperlink">
    <w:name w:val="Hyperlink"/>
    <w:basedOn w:val="DefaultParagraphFont"/>
    <w:uiPriority w:val="99"/>
    <w:semiHidden/>
    <w:unhideWhenUsed/>
    <w:rsid w:val="00D860F4"/>
    <w:rPr>
      <w:color w:val="0000FF" w:themeColor="hyperlink"/>
      <w:u w:val="single"/>
    </w:rPr>
  </w:style>
  <w:style w:type="character" w:styleId="FollowedHyperlink">
    <w:name w:val="FollowedHyperlink"/>
    <w:basedOn w:val="DefaultParagraphFont"/>
    <w:uiPriority w:val="99"/>
    <w:semiHidden/>
    <w:unhideWhenUsed/>
    <w:rsid w:val="00D860F4"/>
    <w:rPr>
      <w:color w:val="0000FF" w:themeColor="hyperlink"/>
      <w:u w:val="single"/>
    </w:rPr>
  </w:style>
  <w:style w:type="character" w:customStyle="1" w:styleId="Heading1Char">
    <w:name w:val="Heading 1 Char"/>
    <w:basedOn w:val="DefaultParagraphFont"/>
    <w:link w:val="Heading1"/>
    <w:uiPriority w:val="9"/>
    <w:rsid w:val="004A20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A20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20B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A20B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A20B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A20B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A20B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A20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A20B5"/>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4A20B5"/>
    <w:pPr>
      <w:spacing w:before="800"/>
    </w:pPr>
  </w:style>
  <w:style w:type="character" w:customStyle="1" w:styleId="OPCParaBaseChar">
    <w:name w:val="OPCParaBase Char"/>
    <w:basedOn w:val="DefaultParagraphFont"/>
    <w:link w:val="OPCParaBase"/>
    <w:rsid w:val="004A20B5"/>
    <w:rPr>
      <w:rFonts w:eastAsia="Times New Roman" w:cs="Times New Roman"/>
      <w:sz w:val="22"/>
      <w:lang w:eastAsia="en-AU"/>
    </w:rPr>
  </w:style>
  <w:style w:type="character" w:customStyle="1" w:styleId="ShortTChar">
    <w:name w:val="ShortT Char"/>
    <w:basedOn w:val="OPCParaBaseChar"/>
    <w:link w:val="ShortT"/>
    <w:rsid w:val="004A20B5"/>
    <w:rPr>
      <w:rFonts w:eastAsia="Times New Roman" w:cs="Times New Roman"/>
      <w:b/>
      <w:sz w:val="40"/>
      <w:lang w:eastAsia="en-AU"/>
    </w:rPr>
  </w:style>
  <w:style w:type="character" w:customStyle="1" w:styleId="ShortTP1Char">
    <w:name w:val="ShortTP1 Char"/>
    <w:basedOn w:val="ShortTChar"/>
    <w:link w:val="ShortTP1"/>
    <w:rsid w:val="004A20B5"/>
    <w:rPr>
      <w:rFonts w:eastAsia="Times New Roman" w:cs="Times New Roman"/>
      <w:b/>
      <w:sz w:val="40"/>
      <w:lang w:eastAsia="en-AU"/>
    </w:rPr>
  </w:style>
  <w:style w:type="paragraph" w:customStyle="1" w:styleId="ActNoP1">
    <w:name w:val="ActNoP1"/>
    <w:basedOn w:val="Actno"/>
    <w:link w:val="ActNoP1Char"/>
    <w:rsid w:val="004A20B5"/>
    <w:pPr>
      <w:spacing w:before="800"/>
    </w:pPr>
    <w:rPr>
      <w:sz w:val="28"/>
    </w:rPr>
  </w:style>
  <w:style w:type="character" w:customStyle="1" w:styleId="ActnoChar">
    <w:name w:val="Actno Char"/>
    <w:basedOn w:val="ShortTChar"/>
    <w:link w:val="Actno"/>
    <w:rsid w:val="004A20B5"/>
    <w:rPr>
      <w:rFonts w:eastAsia="Times New Roman" w:cs="Times New Roman"/>
      <w:b/>
      <w:sz w:val="40"/>
      <w:lang w:eastAsia="en-AU"/>
    </w:rPr>
  </w:style>
  <w:style w:type="character" w:customStyle="1" w:styleId="ActNoP1Char">
    <w:name w:val="ActNoP1 Char"/>
    <w:basedOn w:val="ActnoChar"/>
    <w:link w:val="ActNoP1"/>
    <w:rsid w:val="004A20B5"/>
    <w:rPr>
      <w:rFonts w:eastAsia="Times New Roman" w:cs="Times New Roman"/>
      <w:b/>
      <w:sz w:val="28"/>
      <w:lang w:eastAsia="en-AU"/>
    </w:rPr>
  </w:style>
  <w:style w:type="paragraph" w:customStyle="1" w:styleId="ShortTCP">
    <w:name w:val="ShortTCP"/>
    <w:basedOn w:val="ShortT"/>
    <w:link w:val="ShortTCPChar"/>
    <w:rsid w:val="004A20B5"/>
  </w:style>
  <w:style w:type="character" w:customStyle="1" w:styleId="ShortTCPChar">
    <w:name w:val="ShortTCP Char"/>
    <w:basedOn w:val="ShortTChar"/>
    <w:link w:val="ShortTCP"/>
    <w:rsid w:val="004A20B5"/>
    <w:rPr>
      <w:rFonts w:eastAsia="Times New Roman" w:cs="Times New Roman"/>
      <w:b/>
      <w:sz w:val="40"/>
      <w:lang w:eastAsia="en-AU"/>
    </w:rPr>
  </w:style>
  <w:style w:type="paragraph" w:customStyle="1" w:styleId="ActNoCP">
    <w:name w:val="ActNoCP"/>
    <w:basedOn w:val="Actno"/>
    <w:link w:val="ActNoCPChar"/>
    <w:rsid w:val="004A20B5"/>
    <w:pPr>
      <w:spacing w:before="400"/>
    </w:pPr>
  </w:style>
  <w:style w:type="character" w:customStyle="1" w:styleId="ActNoCPChar">
    <w:name w:val="ActNoCP Char"/>
    <w:basedOn w:val="ActnoChar"/>
    <w:link w:val="ActNoCP"/>
    <w:rsid w:val="004A20B5"/>
    <w:rPr>
      <w:rFonts w:eastAsia="Times New Roman" w:cs="Times New Roman"/>
      <w:b/>
      <w:sz w:val="40"/>
      <w:lang w:eastAsia="en-AU"/>
    </w:rPr>
  </w:style>
  <w:style w:type="paragraph" w:customStyle="1" w:styleId="AssentBk">
    <w:name w:val="AssentBk"/>
    <w:basedOn w:val="Normal"/>
    <w:rsid w:val="004A20B5"/>
    <w:pPr>
      <w:spacing w:line="240" w:lineRule="auto"/>
    </w:pPr>
    <w:rPr>
      <w:rFonts w:eastAsia="Times New Roman" w:cs="Times New Roman"/>
      <w:sz w:val="20"/>
      <w:lang w:eastAsia="en-AU"/>
    </w:rPr>
  </w:style>
  <w:style w:type="paragraph" w:customStyle="1" w:styleId="AssentDt">
    <w:name w:val="AssentDt"/>
    <w:basedOn w:val="Normal"/>
    <w:rsid w:val="00880EED"/>
    <w:pPr>
      <w:spacing w:line="240" w:lineRule="auto"/>
    </w:pPr>
    <w:rPr>
      <w:rFonts w:eastAsia="Times New Roman" w:cs="Times New Roman"/>
      <w:sz w:val="20"/>
      <w:lang w:eastAsia="en-AU"/>
    </w:rPr>
  </w:style>
  <w:style w:type="paragraph" w:customStyle="1" w:styleId="2ndRd">
    <w:name w:val="2ndRd"/>
    <w:basedOn w:val="Normal"/>
    <w:rsid w:val="00880EED"/>
    <w:pPr>
      <w:spacing w:line="240" w:lineRule="auto"/>
    </w:pPr>
    <w:rPr>
      <w:rFonts w:eastAsia="Times New Roman" w:cs="Times New Roman"/>
      <w:sz w:val="20"/>
      <w:lang w:eastAsia="en-AU"/>
    </w:rPr>
  </w:style>
  <w:style w:type="paragraph" w:customStyle="1" w:styleId="ScalePlusRef">
    <w:name w:val="ScalePlusRef"/>
    <w:basedOn w:val="Normal"/>
    <w:rsid w:val="00880EE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41</Pages>
  <Words>6807</Words>
  <Characters>38801</Characters>
  <Application>Microsoft Office Word</Application>
  <DocSecurity>0</DocSecurity>
  <PresentationFormat/>
  <Lines>323</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2017-09-07T07:22:00Z</cp:lastPrinted>
  <dcterms:created xsi:type="dcterms:W3CDTF">2018-03-06T02:08:00Z</dcterms:created>
  <dcterms:modified xsi:type="dcterms:W3CDTF">2018-03-06T04:22:00Z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(Banking Measures No. 1) Act 2018</vt:lpwstr>
  </property>
  <property fmtid="{D5CDD505-2E9C-101B-9397-08002B2CF9AE}" pid="5" name="ActNo">
    <vt:lpwstr>No. 9,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OPC6465</vt:lpwstr>
  </property>
  <property fmtid="{D5CDD505-2E9C-101B-9397-08002B2CF9AE}" pid="10" name="DoNotAsk">
    <vt:lpwstr>0</vt:lpwstr>
  </property>
  <property fmtid="{D5CDD505-2E9C-101B-9397-08002B2CF9AE}" pid="11" name="ChangedTitle">
    <vt:lpwstr/>
  </property>
</Properties>
</file>