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4CB2" w:rsidRPr="00F01133" w:rsidRDefault="00114CB2" w:rsidP="008D0A06">
      <w:pPr>
        <w:spacing w:after="200"/>
        <w:rPr>
          <w:noProof/>
          <w:sz w:val="18"/>
          <w:szCs w:val="18"/>
        </w:rPr>
      </w:pPr>
    </w:p>
    <w:p w:rsidR="00114CB2" w:rsidRPr="00F01133" w:rsidRDefault="00114CB2" w:rsidP="00851F51">
      <w:pPr>
        <w:spacing w:after="80"/>
        <w:jc w:val="center"/>
        <w:rPr>
          <w:b/>
          <w:sz w:val="18"/>
          <w:szCs w:val="18"/>
        </w:rPr>
      </w:pPr>
      <w:r w:rsidRPr="00F01133">
        <w:rPr>
          <w:b/>
          <w:sz w:val="18"/>
          <w:szCs w:val="18"/>
        </w:rPr>
        <w:t>COMMISSIONER OF TAXATION</w:t>
      </w:r>
    </w:p>
    <w:p w:rsidR="00A85D11" w:rsidRPr="00F01133" w:rsidRDefault="00A85D11" w:rsidP="00A85D11">
      <w:pPr>
        <w:rPr>
          <w:sz w:val="18"/>
          <w:szCs w:val="18"/>
        </w:rPr>
      </w:pPr>
      <w:r w:rsidRPr="00F01133">
        <w:rPr>
          <w:sz w:val="18"/>
          <w:szCs w:val="18"/>
        </w:rPr>
        <w:t xml:space="preserve">The Commissioner of Taxation, Chris Jordan, gives notice of the following Rulings, copies of which can be obtained from </w:t>
      </w:r>
      <w:hyperlink r:id="rId9" w:history="1">
        <w:r w:rsidR="007F191A" w:rsidRPr="00F01133">
          <w:rPr>
            <w:rStyle w:val="Hyperlink"/>
            <w:rFonts w:cs="Arial"/>
            <w:color w:val="auto"/>
            <w:sz w:val="18"/>
            <w:szCs w:val="18"/>
          </w:rPr>
          <w:t>http://ato.gov.au</w:t>
        </w:r>
      </w:hyperlink>
      <w:r w:rsidRPr="00F01133">
        <w:rPr>
          <w:rStyle w:val="Hyperlink"/>
          <w:rFonts w:cs="Arial"/>
          <w:color w:val="auto"/>
          <w:sz w:val="18"/>
          <w:szCs w:val="18"/>
        </w:rPr>
        <w:t>/law</w:t>
      </w:r>
      <w:r w:rsidRPr="00F01133">
        <w:rPr>
          <w:sz w:val="18"/>
          <w:szCs w:val="18"/>
        </w:rPr>
        <w:t>.</w:t>
      </w:r>
    </w:p>
    <w:tbl>
      <w:tblPr>
        <w:tblW w:w="9923" w:type="dxa"/>
        <w:tblLayout w:type="fixed"/>
        <w:tblLook w:val="0000" w:firstRow="0" w:lastRow="0" w:firstColumn="0" w:lastColumn="0" w:noHBand="0" w:noVBand="0"/>
      </w:tblPr>
      <w:tblGrid>
        <w:gridCol w:w="1984"/>
        <w:gridCol w:w="3686"/>
        <w:gridCol w:w="4253"/>
      </w:tblGrid>
      <w:tr w:rsidR="008D0A06" w:rsidRPr="00F01133" w:rsidTr="00DC47DA">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8D0A06" w:rsidRPr="00F01133" w:rsidRDefault="008D0A06" w:rsidP="00851F51">
            <w:pPr>
              <w:pStyle w:val="Heading3"/>
              <w:keepLines/>
              <w:spacing w:before="80" w:after="80"/>
              <w:jc w:val="center"/>
              <w:rPr>
                <w:sz w:val="20"/>
                <w:szCs w:val="20"/>
              </w:rPr>
            </w:pPr>
            <w:r w:rsidRPr="00F01133">
              <w:rPr>
                <w:sz w:val="20"/>
                <w:szCs w:val="20"/>
              </w:rPr>
              <w:t>NOTICE OF RULINGS</w:t>
            </w:r>
          </w:p>
        </w:tc>
      </w:tr>
      <w:tr w:rsidR="00114CB2" w:rsidRPr="00F01133"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114CB2" w:rsidRPr="00F01133" w:rsidRDefault="00114CB2" w:rsidP="00851F51">
            <w:pPr>
              <w:pStyle w:val="Heading3"/>
              <w:keepLines/>
              <w:spacing w:before="80" w:after="80"/>
              <w:jc w:val="center"/>
              <w:rPr>
                <w:sz w:val="20"/>
                <w:szCs w:val="20"/>
              </w:rPr>
            </w:pPr>
            <w:r w:rsidRPr="00F01133">
              <w:rPr>
                <w:sz w:val="20"/>
                <w:szCs w:val="20"/>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114CB2" w:rsidRPr="00F01133" w:rsidRDefault="00114CB2" w:rsidP="00851F51">
            <w:pPr>
              <w:pStyle w:val="Heading3"/>
              <w:keepLines/>
              <w:spacing w:before="80" w:after="80"/>
              <w:jc w:val="center"/>
              <w:rPr>
                <w:sz w:val="20"/>
                <w:szCs w:val="20"/>
              </w:rPr>
            </w:pPr>
            <w:r w:rsidRPr="00F01133">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114CB2" w:rsidRPr="00F01133" w:rsidRDefault="00114CB2" w:rsidP="00851F51">
            <w:pPr>
              <w:pStyle w:val="Heading3"/>
              <w:keepLines/>
              <w:spacing w:before="80" w:after="80"/>
              <w:jc w:val="center"/>
              <w:rPr>
                <w:sz w:val="20"/>
                <w:szCs w:val="20"/>
              </w:rPr>
            </w:pPr>
            <w:r w:rsidRPr="00F01133">
              <w:rPr>
                <w:sz w:val="20"/>
                <w:szCs w:val="20"/>
              </w:rPr>
              <w:t>Brief Description</w:t>
            </w:r>
          </w:p>
        </w:tc>
      </w:tr>
      <w:tr w:rsidR="00E823AE" w:rsidRPr="00F01133"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E823AE" w:rsidRPr="00F01133" w:rsidRDefault="00F01133" w:rsidP="00851F51">
            <w:pPr>
              <w:pStyle w:val="Header"/>
              <w:spacing w:before="40" w:after="40"/>
              <w:rPr>
                <w:sz w:val="20"/>
                <w:szCs w:val="20"/>
              </w:rPr>
            </w:pPr>
            <w:r w:rsidRPr="00F01133">
              <w:rPr>
                <w:sz w:val="20"/>
                <w:szCs w:val="20"/>
              </w:rPr>
              <w:t>CR</w:t>
            </w:r>
            <w:r>
              <w:rPr>
                <w:sz w:val="20"/>
                <w:szCs w:val="20"/>
              </w:rPr>
              <w:t> </w:t>
            </w:r>
            <w:r w:rsidRPr="00F01133">
              <w:rPr>
                <w:sz w:val="20"/>
                <w:szCs w:val="20"/>
              </w:rPr>
              <w:t>2017/68</w:t>
            </w:r>
          </w:p>
        </w:tc>
        <w:tc>
          <w:tcPr>
            <w:tcW w:w="3686" w:type="dxa"/>
            <w:tcBorders>
              <w:top w:val="single" w:sz="6" w:space="0" w:color="auto"/>
              <w:left w:val="single" w:sz="6" w:space="0" w:color="auto"/>
              <w:bottom w:val="single" w:sz="6" w:space="0" w:color="auto"/>
              <w:right w:val="single" w:sz="6" w:space="0" w:color="auto"/>
            </w:tcBorders>
          </w:tcPr>
          <w:p w:rsidR="00E823AE" w:rsidRPr="00F01133" w:rsidRDefault="00F01133" w:rsidP="00851F51">
            <w:pPr>
              <w:pStyle w:val="Header"/>
              <w:spacing w:before="40" w:after="40"/>
              <w:rPr>
                <w:sz w:val="20"/>
                <w:szCs w:val="20"/>
              </w:rPr>
            </w:pPr>
            <w:r w:rsidRPr="00F01133">
              <w:rPr>
                <w:sz w:val="20"/>
                <w:szCs w:val="20"/>
              </w:rPr>
              <w:t>Income tax</w:t>
            </w:r>
            <w:r>
              <w:rPr>
                <w:sz w:val="20"/>
                <w:szCs w:val="20"/>
              </w:rPr>
              <w:t>:  ‘</w:t>
            </w:r>
            <w:proofErr w:type="spellStart"/>
            <w:r w:rsidRPr="00F01133">
              <w:rPr>
                <w:sz w:val="20"/>
                <w:szCs w:val="20"/>
              </w:rPr>
              <w:t>Colanda</w:t>
            </w:r>
            <w:proofErr w:type="spellEnd"/>
            <w:r w:rsidRPr="00F01133">
              <w:rPr>
                <w:sz w:val="20"/>
                <w:szCs w:val="20"/>
              </w:rPr>
              <w:t xml:space="preserve"> Department of Health and Human Services Early Retirement Scheme</w:t>
            </w:r>
            <w:r>
              <w:rPr>
                <w:sz w:val="20"/>
                <w:szCs w:val="20"/>
              </w:rPr>
              <w:t> </w:t>
            </w:r>
            <w:r w:rsidRPr="00F01133">
              <w:rPr>
                <w:sz w:val="20"/>
                <w:szCs w:val="20"/>
              </w:rPr>
              <w:t>2017</w:t>
            </w:r>
            <w:r>
              <w:rPr>
                <w:sz w:val="20"/>
                <w:szCs w:val="20"/>
              </w:rPr>
              <w:t>’</w:t>
            </w:r>
          </w:p>
        </w:tc>
        <w:tc>
          <w:tcPr>
            <w:tcW w:w="4253" w:type="dxa"/>
            <w:tcBorders>
              <w:top w:val="single" w:sz="6" w:space="0" w:color="auto"/>
              <w:left w:val="single" w:sz="6" w:space="0" w:color="auto"/>
              <w:bottom w:val="single" w:sz="6" w:space="0" w:color="auto"/>
              <w:right w:val="single" w:sz="6" w:space="0" w:color="auto"/>
            </w:tcBorders>
          </w:tcPr>
          <w:p w:rsidR="00E823AE" w:rsidRPr="00F01133" w:rsidRDefault="00F01133" w:rsidP="00F01133">
            <w:pPr>
              <w:pStyle w:val="Header"/>
              <w:spacing w:before="40" w:after="40"/>
              <w:rPr>
                <w:sz w:val="20"/>
                <w:szCs w:val="20"/>
              </w:rPr>
            </w:pPr>
            <w:r w:rsidRPr="00F01133">
              <w:rPr>
                <w:sz w:val="20"/>
                <w:szCs w:val="20"/>
              </w:rPr>
              <w:t>The Ruling sets out the Commissioner</w:t>
            </w:r>
            <w:r>
              <w:rPr>
                <w:sz w:val="20"/>
                <w:szCs w:val="20"/>
              </w:rPr>
              <w:t>’</w:t>
            </w:r>
            <w:r w:rsidRPr="00F01133">
              <w:rPr>
                <w:sz w:val="20"/>
                <w:szCs w:val="20"/>
              </w:rPr>
              <w:t xml:space="preserve">s position on employees of the </w:t>
            </w:r>
            <w:proofErr w:type="spellStart"/>
            <w:r w:rsidRPr="00F01133">
              <w:rPr>
                <w:sz w:val="20"/>
                <w:szCs w:val="20"/>
              </w:rPr>
              <w:t>Colanda</w:t>
            </w:r>
            <w:proofErr w:type="spellEnd"/>
            <w:r w:rsidRPr="00F01133">
              <w:rPr>
                <w:sz w:val="20"/>
                <w:szCs w:val="20"/>
              </w:rPr>
              <w:t xml:space="preserve"> Department of Health and Human Services Early Retirement Scheme</w:t>
            </w:r>
            <w:r>
              <w:rPr>
                <w:sz w:val="20"/>
                <w:szCs w:val="20"/>
              </w:rPr>
              <w:t> </w:t>
            </w:r>
            <w:r w:rsidRPr="00F01133">
              <w:rPr>
                <w:sz w:val="20"/>
                <w:szCs w:val="20"/>
              </w:rPr>
              <w:t>2017</w:t>
            </w:r>
            <w:r>
              <w:rPr>
                <w:sz w:val="20"/>
                <w:szCs w:val="20"/>
              </w:rPr>
              <w:t>’</w:t>
            </w:r>
            <w:r w:rsidRPr="00F01133">
              <w:rPr>
                <w:sz w:val="20"/>
                <w:szCs w:val="20"/>
              </w:rPr>
              <w:t>.</w:t>
            </w:r>
          </w:p>
          <w:p w:rsidR="00F01133" w:rsidRPr="00F01133" w:rsidRDefault="00F01133" w:rsidP="00F01133">
            <w:pPr>
              <w:pStyle w:val="Header"/>
              <w:spacing w:before="40" w:after="40"/>
              <w:rPr>
                <w:sz w:val="20"/>
                <w:szCs w:val="20"/>
              </w:rPr>
            </w:pPr>
            <w:r w:rsidRPr="00F01133">
              <w:rPr>
                <w:sz w:val="20"/>
                <w:szCs w:val="20"/>
              </w:rPr>
              <w:t>The Ruling applies from 4</w:t>
            </w:r>
            <w:r>
              <w:rPr>
                <w:sz w:val="20"/>
                <w:szCs w:val="20"/>
              </w:rPr>
              <w:t> </w:t>
            </w:r>
            <w:r w:rsidRPr="00F01133">
              <w:rPr>
                <w:sz w:val="20"/>
                <w:szCs w:val="20"/>
              </w:rPr>
              <w:t>October</w:t>
            </w:r>
            <w:r>
              <w:rPr>
                <w:sz w:val="20"/>
                <w:szCs w:val="20"/>
              </w:rPr>
              <w:t> </w:t>
            </w:r>
            <w:r w:rsidRPr="00F01133">
              <w:rPr>
                <w:sz w:val="20"/>
                <w:szCs w:val="20"/>
              </w:rPr>
              <w:t>2017 to 30</w:t>
            </w:r>
            <w:r>
              <w:rPr>
                <w:sz w:val="20"/>
                <w:szCs w:val="20"/>
              </w:rPr>
              <w:t> </w:t>
            </w:r>
            <w:r w:rsidRPr="00F01133">
              <w:rPr>
                <w:sz w:val="20"/>
                <w:szCs w:val="20"/>
              </w:rPr>
              <w:t>June</w:t>
            </w:r>
            <w:r>
              <w:rPr>
                <w:sz w:val="20"/>
                <w:szCs w:val="20"/>
              </w:rPr>
              <w:t> </w:t>
            </w:r>
            <w:r w:rsidRPr="00F01133">
              <w:rPr>
                <w:sz w:val="20"/>
                <w:szCs w:val="20"/>
              </w:rPr>
              <w:t>2019 and continues to apply after 30</w:t>
            </w:r>
            <w:r>
              <w:rPr>
                <w:sz w:val="20"/>
                <w:szCs w:val="20"/>
              </w:rPr>
              <w:t> </w:t>
            </w:r>
            <w:r w:rsidRPr="00F01133">
              <w:rPr>
                <w:sz w:val="20"/>
                <w:szCs w:val="20"/>
              </w:rPr>
              <w:t>June</w:t>
            </w:r>
            <w:r>
              <w:rPr>
                <w:sz w:val="20"/>
                <w:szCs w:val="20"/>
              </w:rPr>
              <w:t> </w:t>
            </w:r>
            <w:r w:rsidRPr="00F01133">
              <w:rPr>
                <w:sz w:val="20"/>
                <w:szCs w:val="20"/>
              </w:rPr>
              <w:t>2019 to all entities within the specified class who entered into the specified scheme during the term of the Ruling.</w:t>
            </w:r>
          </w:p>
        </w:tc>
      </w:tr>
      <w:tr w:rsidR="00E823AE" w:rsidRPr="00F01133" w:rsidTr="008D0A06">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E823AE" w:rsidRPr="00F01133" w:rsidRDefault="00F01133" w:rsidP="00851F51">
            <w:pPr>
              <w:pStyle w:val="Header"/>
              <w:spacing w:before="40" w:after="40"/>
              <w:rPr>
                <w:sz w:val="20"/>
                <w:szCs w:val="20"/>
              </w:rPr>
            </w:pPr>
            <w:r w:rsidRPr="00F01133">
              <w:rPr>
                <w:sz w:val="20"/>
                <w:szCs w:val="20"/>
              </w:rPr>
              <w:t>CR</w:t>
            </w:r>
            <w:r>
              <w:rPr>
                <w:sz w:val="20"/>
                <w:szCs w:val="20"/>
              </w:rPr>
              <w:t> </w:t>
            </w:r>
            <w:r w:rsidRPr="00F01133">
              <w:rPr>
                <w:sz w:val="20"/>
                <w:szCs w:val="20"/>
              </w:rPr>
              <w:t>2017/70</w:t>
            </w:r>
          </w:p>
        </w:tc>
        <w:tc>
          <w:tcPr>
            <w:tcW w:w="3686" w:type="dxa"/>
            <w:tcBorders>
              <w:top w:val="single" w:sz="6" w:space="0" w:color="auto"/>
              <w:left w:val="single" w:sz="6" w:space="0" w:color="auto"/>
              <w:bottom w:val="single" w:sz="6" w:space="0" w:color="auto"/>
              <w:right w:val="single" w:sz="6" w:space="0" w:color="auto"/>
            </w:tcBorders>
          </w:tcPr>
          <w:p w:rsidR="00E823AE" w:rsidRPr="00F01133" w:rsidRDefault="00F01133" w:rsidP="00851F51">
            <w:pPr>
              <w:pStyle w:val="Header"/>
              <w:spacing w:before="40" w:after="40"/>
              <w:rPr>
                <w:sz w:val="20"/>
                <w:szCs w:val="20"/>
              </w:rPr>
            </w:pPr>
            <w:r w:rsidRPr="00F01133">
              <w:rPr>
                <w:sz w:val="20"/>
                <w:szCs w:val="20"/>
              </w:rPr>
              <w:t>Income tax</w:t>
            </w:r>
            <w:r>
              <w:rPr>
                <w:sz w:val="20"/>
                <w:szCs w:val="20"/>
              </w:rPr>
              <w:t xml:space="preserve">:  </w:t>
            </w:r>
            <w:r w:rsidRPr="00F01133">
              <w:rPr>
                <w:sz w:val="20"/>
                <w:szCs w:val="20"/>
              </w:rPr>
              <w:t>Australia and New Zealand Banking Group Limited – ANZ Capital Notes 5</w:t>
            </w:r>
          </w:p>
        </w:tc>
        <w:tc>
          <w:tcPr>
            <w:tcW w:w="4253" w:type="dxa"/>
            <w:tcBorders>
              <w:top w:val="single" w:sz="6" w:space="0" w:color="auto"/>
              <w:left w:val="single" w:sz="6" w:space="0" w:color="auto"/>
              <w:bottom w:val="single" w:sz="6" w:space="0" w:color="auto"/>
              <w:right w:val="single" w:sz="6" w:space="0" w:color="auto"/>
            </w:tcBorders>
          </w:tcPr>
          <w:p w:rsidR="00E823AE" w:rsidRPr="00F01133" w:rsidRDefault="00F01133" w:rsidP="00F01133">
            <w:pPr>
              <w:pStyle w:val="Header"/>
              <w:spacing w:before="40" w:after="40"/>
              <w:rPr>
                <w:sz w:val="20"/>
                <w:szCs w:val="20"/>
              </w:rPr>
            </w:pPr>
            <w:r w:rsidRPr="00F01133">
              <w:rPr>
                <w:sz w:val="20"/>
                <w:szCs w:val="20"/>
              </w:rPr>
              <w:t>The Ruling sets out the Commissioner</w:t>
            </w:r>
            <w:r>
              <w:rPr>
                <w:sz w:val="20"/>
                <w:szCs w:val="20"/>
              </w:rPr>
              <w:t>’</w:t>
            </w:r>
            <w:r w:rsidRPr="00F01133">
              <w:rPr>
                <w:sz w:val="20"/>
                <w:szCs w:val="20"/>
              </w:rPr>
              <w:t>s position on investors who are allotted non</w:t>
            </w:r>
            <w:r w:rsidR="00D70234">
              <w:rPr>
                <w:sz w:val="20"/>
                <w:szCs w:val="20"/>
              </w:rPr>
              <w:t>-</w:t>
            </w:r>
            <w:r w:rsidRPr="00F01133">
              <w:rPr>
                <w:sz w:val="20"/>
                <w:szCs w:val="20"/>
              </w:rPr>
              <w:t>cumulative, convertible, transferable, redeemable, subordinated, perpetual, unsecured notes issued by Australia and New Zealand Banking Group Limited called ANZ Capital Notes 5.</w:t>
            </w:r>
          </w:p>
          <w:p w:rsidR="00F01133" w:rsidRPr="00F01133" w:rsidRDefault="00F01133" w:rsidP="00F01133">
            <w:pPr>
              <w:pStyle w:val="Header"/>
              <w:spacing w:before="40" w:after="40"/>
              <w:rPr>
                <w:sz w:val="20"/>
                <w:szCs w:val="20"/>
              </w:rPr>
            </w:pPr>
            <w:r w:rsidRPr="00F01133">
              <w:rPr>
                <w:sz w:val="20"/>
                <w:szCs w:val="20"/>
              </w:rPr>
              <w:t>The Ruling applies from 1</w:t>
            </w:r>
            <w:r>
              <w:rPr>
                <w:sz w:val="20"/>
                <w:szCs w:val="20"/>
              </w:rPr>
              <w:t> </w:t>
            </w:r>
            <w:r w:rsidRPr="00F01133">
              <w:rPr>
                <w:sz w:val="20"/>
                <w:szCs w:val="20"/>
              </w:rPr>
              <w:t>July</w:t>
            </w:r>
            <w:r>
              <w:rPr>
                <w:sz w:val="20"/>
                <w:szCs w:val="20"/>
              </w:rPr>
              <w:t> </w:t>
            </w:r>
            <w:r w:rsidRPr="00F01133">
              <w:rPr>
                <w:sz w:val="20"/>
                <w:szCs w:val="20"/>
              </w:rPr>
              <w:t>2017 to 30</w:t>
            </w:r>
            <w:r>
              <w:rPr>
                <w:sz w:val="20"/>
                <w:szCs w:val="20"/>
              </w:rPr>
              <w:t> </w:t>
            </w:r>
            <w:r w:rsidRPr="00F01133">
              <w:rPr>
                <w:sz w:val="20"/>
                <w:szCs w:val="20"/>
              </w:rPr>
              <w:t>June</w:t>
            </w:r>
            <w:r>
              <w:rPr>
                <w:sz w:val="20"/>
                <w:szCs w:val="20"/>
              </w:rPr>
              <w:t> </w:t>
            </w:r>
            <w:r w:rsidRPr="00F01133">
              <w:rPr>
                <w:sz w:val="20"/>
                <w:szCs w:val="20"/>
              </w:rPr>
              <w:t>2027 and continues to apply after 30</w:t>
            </w:r>
            <w:r>
              <w:rPr>
                <w:sz w:val="20"/>
                <w:szCs w:val="20"/>
              </w:rPr>
              <w:t> </w:t>
            </w:r>
            <w:r w:rsidRPr="00F01133">
              <w:rPr>
                <w:sz w:val="20"/>
                <w:szCs w:val="20"/>
              </w:rPr>
              <w:t>June</w:t>
            </w:r>
            <w:r>
              <w:rPr>
                <w:sz w:val="20"/>
                <w:szCs w:val="20"/>
              </w:rPr>
              <w:t> </w:t>
            </w:r>
            <w:r w:rsidRPr="00F01133">
              <w:rPr>
                <w:sz w:val="20"/>
                <w:szCs w:val="20"/>
              </w:rPr>
              <w:t>2027 to all entities within the specified class who entered into the specified scheme during the term of the Ruling.</w:t>
            </w:r>
          </w:p>
        </w:tc>
      </w:tr>
    </w:tbl>
    <w:p w:rsidR="00114CB2" w:rsidRPr="00F01133" w:rsidRDefault="00114CB2" w:rsidP="008D0A06">
      <w:pPr>
        <w:spacing w:after="60"/>
        <w:rPr>
          <w:sz w:val="18"/>
          <w:szCs w:val="18"/>
        </w:rPr>
      </w:pPr>
    </w:p>
    <w:tbl>
      <w:tblPr>
        <w:tblW w:w="9923" w:type="dxa"/>
        <w:tblLayout w:type="fixed"/>
        <w:tblLook w:val="0000" w:firstRow="0" w:lastRow="0" w:firstColumn="0" w:lastColumn="0" w:noHBand="0" w:noVBand="0"/>
      </w:tblPr>
      <w:tblGrid>
        <w:gridCol w:w="1984"/>
        <w:gridCol w:w="3686"/>
        <w:gridCol w:w="4253"/>
      </w:tblGrid>
      <w:tr w:rsidR="008D0A06" w:rsidRPr="00F01133" w:rsidTr="006F0BED">
        <w:trPr>
          <w:cantSplit/>
          <w:trHeight w:val="72"/>
          <w:tblHeader/>
        </w:trPr>
        <w:tc>
          <w:tcPr>
            <w:tcW w:w="9923" w:type="dxa"/>
            <w:gridSpan w:val="3"/>
            <w:tcBorders>
              <w:top w:val="single" w:sz="6" w:space="0" w:color="auto"/>
              <w:left w:val="single" w:sz="6" w:space="0" w:color="auto"/>
              <w:bottom w:val="single" w:sz="6" w:space="0" w:color="auto"/>
              <w:right w:val="single" w:sz="6" w:space="0" w:color="auto"/>
            </w:tcBorders>
          </w:tcPr>
          <w:p w:rsidR="008D0A06" w:rsidRPr="00F01133" w:rsidRDefault="008D0A06" w:rsidP="006F0BED">
            <w:pPr>
              <w:pStyle w:val="Heading3"/>
              <w:keepLines/>
              <w:spacing w:before="80" w:after="80"/>
              <w:jc w:val="center"/>
              <w:rPr>
                <w:sz w:val="20"/>
                <w:szCs w:val="20"/>
              </w:rPr>
            </w:pPr>
            <w:r w:rsidRPr="00F01133">
              <w:rPr>
                <w:sz w:val="20"/>
                <w:szCs w:val="20"/>
              </w:rPr>
              <w:t>NOTICE OF ADDENDA</w:t>
            </w:r>
          </w:p>
        </w:tc>
      </w:tr>
      <w:tr w:rsidR="008D0A06" w:rsidRPr="00F01133"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vAlign w:val="center"/>
          </w:tcPr>
          <w:p w:rsidR="008D0A06" w:rsidRPr="00F01133" w:rsidRDefault="008D0A06" w:rsidP="006F0BED">
            <w:pPr>
              <w:pStyle w:val="Heading3"/>
              <w:keepLines/>
              <w:spacing w:before="80" w:after="80"/>
              <w:jc w:val="center"/>
              <w:rPr>
                <w:sz w:val="20"/>
                <w:szCs w:val="20"/>
              </w:rPr>
            </w:pPr>
            <w:r w:rsidRPr="00F01133">
              <w:rPr>
                <w:sz w:val="20"/>
                <w:szCs w:val="20"/>
              </w:rPr>
              <w:t>Ruling Number</w:t>
            </w:r>
          </w:p>
        </w:tc>
        <w:tc>
          <w:tcPr>
            <w:tcW w:w="3686" w:type="dxa"/>
            <w:tcBorders>
              <w:top w:val="single" w:sz="6" w:space="0" w:color="auto"/>
              <w:left w:val="single" w:sz="6" w:space="0" w:color="auto"/>
              <w:bottom w:val="single" w:sz="6" w:space="0" w:color="auto"/>
              <w:right w:val="single" w:sz="6" w:space="0" w:color="auto"/>
            </w:tcBorders>
            <w:vAlign w:val="center"/>
          </w:tcPr>
          <w:p w:rsidR="008D0A06" w:rsidRPr="00F01133" w:rsidRDefault="008D0A06" w:rsidP="006F0BED">
            <w:pPr>
              <w:pStyle w:val="Heading3"/>
              <w:keepLines/>
              <w:spacing w:before="80" w:after="80"/>
              <w:jc w:val="center"/>
              <w:rPr>
                <w:sz w:val="20"/>
                <w:szCs w:val="20"/>
              </w:rPr>
            </w:pPr>
            <w:r w:rsidRPr="00F01133">
              <w:rPr>
                <w:sz w:val="20"/>
                <w:szCs w:val="20"/>
              </w:rPr>
              <w:t>Subject</w:t>
            </w:r>
          </w:p>
        </w:tc>
        <w:tc>
          <w:tcPr>
            <w:tcW w:w="4253" w:type="dxa"/>
            <w:tcBorders>
              <w:top w:val="single" w:sz="6" w:space="0" w:color="auto"/>
              <w:left w:val="single" w:sz="6" w:space="0" w:color="auto"/>
              <w:bottom w:val="single" w:sz="6" w:space="0" w:color="auto"/>
              <w:right w:val="single" w:sz="6" w:space="0" w:color="auto"/>
            </w:tcBorders>
            <w:vAlign w:val="center"/>
          </w:tcPr>
          <w:p w:rsidR="008D0A06" w:rsidRPr="00F01133" w:rsidRDefault="008D0A06" w:rsidP="006F0BED">
            <w:pPr>
              <w:pStyle w:val="Heading3"/>
              <w:keepLines/>
              <w:spacing w:before="80" w:after="80"/>
              <w:jc w:val="center"/>
              <w:rPr>
                <w:sz w:val="20"/>
                <w:szCs w:val="20"/>
              </w:rPr>
            </w:pPr>
            <w:r w:rsidRPr="00F01133">
              <w:rPr>
                <w:sz w:val="20"/>
                <w:szCs w:val="20"/>
              </w:rPr>
              <w:t>Brief Description</w:t>
            </w:r>
          </w:p>
        </w:tc>
      </w:tr>
      <w:tr w:rsidR="002F3FFB" w:rsidRPr="00F01133" w:rsidTr="006F0BED">
        <w:trPr>
          <w:cantSplit/>
          <w:trHeight w:val="72"/>
          <w:tblHeader/>
        </w:trPr>
        <w:tc>
          <w:tcPr>
            <w:tcW w:w="1984" w:type="dxa"/>
            <w:tcBorders>
              <w:top w:val="single" w:sz="6" w:space="0" w:color="auto"/>
              <w:left w:val="single" w:sz="6" w:space="0" w:color="auto"/>
              <w:bottom w:val="single" w:sz="6" w:space="0" w:color="auto"/>
              <w:right w:val="single" w:sz="6" w:space="0" w:color="auto"/>
            </w:tcBorders>
          </w:tcPr>
          <w:p w:rsidR="008D0A06" w:rsidRPr="00F01133" w:rsidRDefault="00F01133" w:rsidP="006F0BED">
            <w:pPr>
              <w:pStyle w:val="Header"/>
              <w:spacing w:before="40" w:after="40"/>
              <w:rPr>
                <w:sz w:val="20"/>
                <w:szCs w:val="20"/>
              </w:rPr>
            </w:pPr>
            <w:r w:rsidRPr="00F01133">
              <w:rPr>
                <w:sz w:val="20"/>
                <w:szCs w:val="20"/>
              </w:rPr>
              <w:t>GSTR</w:t>
            </w:r>
            <w:r>
              <w:rPr>
                <w:sz w:val="20"/>
                <w:szCs w:val="20"/>
              </w:rPr>
              <w:t> </w:t>
            </w:r>
            <w:r w:rsidRPr="00F01133">
              <w:rPr>
                <w:sz w:val="20"/>
                <w:szCs w:val="20"/>
              </w:rPr>
              <w:t>2001/2</w:t>
            </w:r>
            <w:bookmarkStart w:id="0" w:name="_GoBack"/>
            <w:bookmarkEnd w:id="0"/>
          </w:p>
        </w:tc>
        <w:tc>
          <w:tcPr>
            <w:tcW w:w="3686" w:type="dxa"/>
            <w:tcBorders>
              <w:top w:val="single" w:sz="6" w:space="0" w:color="auto"/>
              <w:left w:val="single" w:sz="6" w:space="0" w:color="auto"/>
              <w:bottom w:val="single" w:sz="6" w:space="0" w:color="auto"/>
              <w:right w:val="single" w:sz="6" w:space="0" w:color="auto"/>
            </w:tcBorders>
          </w:tcPr>
          <w:p w:rsidR="008D0A06" w:rsidRPr="00F01133" w:rsidRDefault="00F01133" w:rsidP="006F0BED">
            <w:pPr>
              <w:pStyle w:val="Header"/>
              <w:spacing w:before="40" w:after="40"/>
              <w:rPr>
                <w:sz w:val="20"/>
                <w:szCs w:val="20"/>
              </w:rPr>
            </w:pPr>
            <w:r w:rsidRPr="00F01133">
              <w:rPr>
                <w:sz w:val="20"/>
                <w:szCs w:val="20"/>
              </w:rPr>
              <w:t>Goods and services tax</w:t>
            </w:r>
            <w:r>
              <w:rPr>
                <w:sz w:val="20"/>
                <w:szCs w:val="20"/>
              </w:rPr>
              <w:t xml:space="preserve">:  </w:t>
            </w:r>
            <w:r w:rsidRPr="00F01133">
              <w:rPr>
                <w:sz w:val="20"/>
                <w:szCs w:val="20"/>
              </w:rPr>
              <w:t>foreign exchange conversions</w:t>
            </w:r>
          </w:p>
        </w:tc>
        <w:tc>
          <w:tcPr>
            <w:tcW w:w="4253" w:type="dxa"/>
            <w:tcBorders>
              <w:top w:val="single" w:sz="6" w:space="0" w:color="auto"/>
              <w:left w:val="single" w:sz="6" w:space="0" w:color="auto"/>
              <w:bottom w:val="single" w:sz="6" w:space="0" w:color="auto"/>
              <w:right w:val="single" w:sz="6" w:space="0" w:color="auto"/>
            </w:tcBorders>
          </w:tcPr>
          <w:p w:rsidR="008D0A06" w:rsidRPr="00F01133" w:rsidRDefault="00F01133" w:rsidP="00F01133">
            <w:pPr>
              <w:pStyle w:val="Header"/>
              <w:spacing w:before="40" w:after="40"/>
              <w:rPr>
                <w:i/>
                <w:sz w:val="20"/>
                <w:szCs w:val="20"/>
              </w:rPr>
            </w:pPr>
            <w:r w:rsidRPr="00F01133">
              <w:rPr>
                <w:sz w:val="20"/>
                <w:szCs w:val="20"/>
              </w:rPr>
              <w:t>The Addendum amends Goods and Services Tax Ruling GSTR</w:t>
            </w:r>
            <w:r>
              <w:rPr>
                <w:sz w:val="20"/>
                <w:szCs w:val="20"/>
              </w:rPr>
              <w:t> </w:t>
            </w:r>
            <w:r w:rsidRPr="00F01133">
              <w:rPr>
                <w:sz w:val="20"/>
                <w:szCs w:val="20"/>
              </w:rPr>
              <w:t xml:space="preserve">2001/2 to reflect the additional conversion day options available under </w:t>
            </w:r>
            <w:r w:rsidRPr="00F01133">
              <w:rPr>
                <w:i/>
                <w:sz w:val="20"/>
                <w:szCs w:val="20"/>
              </w:rPr>
              <w:t>Goods and Services Tax</w:t>
            </w:r>
            <w:r>
              <w:rPr>
                <w:i/>
                <w:sz w:val="20"/>
                <w:szCs w:val="20"/>
              </w:rPr>
              <w:t xml:space="preserve">:  </w:t>
            </w:r>
            <w:r w:rsidRPr="00F01133">
              <w:rPr>
                <w:i/>
                <w:sz w:val="20"/>
                <w:szCs w:val="20"/>
              </w:rPr>
              <w:t>Foreign Currency Conversion Determination (No. 1)</w:t>
            </w:r>
            <w:r>
              <w:rPr>
                <w:i/>
                <w:sz w:val="20"/>
                <w:szCs w:val="20"/>
              </w:rPr>
              <w:t> </w:t>
            </w:r>
            <w:r w:rsidRPr="00F01133">
              <w:rPr>
                <w:i/>
                <w:sz w:val="20"/>
                <w:szCs w:val="20"/>
              </w:rPr>
              <w:t>2017.</w:t>
            </w:r>
          </w:p>
          <w:p w:rsidR="00F01133" w:rsidRPr="00F01133" w:rsidRDefault="00F01133" w:rsidP="00F01133">
            <w:pPr>
              <w:pStyle w:val="Header"/>
              <w:spacing w:before="40" w:after="40"/>
              <w:rPr>
                <w:sz w:val="20"/>
                <w:szCs w:val="20"/>
              </w:rPr>
            </w:pPr>
            <w:r w:rsidRPr="00F01133">
              <w:rPr>
                <w:sz w:val="20"/>
                <w:szCs w:val="20"/>
              </w:rPr>
              <w:t>The Addendum applies on and from 4</w:t>
            </w:r>
            <w:r>
              <w:rPr>
                <w:sz w:val="20"/>
                <w:szCs w:val="20"/>
              </w:rPr>
              <w:t> </w:t>
            </w:r>
            <w:r w:rsidRPr="00F01133">
              <w:rPr>
                <w:sz w:val="20"/>
                <w:szCs w:val="20"/>
              </w:rPr>
              <w:t>October</w:t>
            </w:r>
            <w:r>
              <w:rPr>
                <w:sz w:val="20"/>
                <w:szCs w:val="20"/>
              </w:rPr>
              <w:t> </w:t>
            </w:r>
            <w:r w:rsidRPr="00F01133">
              <w:rPr>
                <w:sz w:val="20"/>
                <w:szCs w:val="20"/>
              </w:rPr>
              <w:t>2017.</w:t>
            </w:r>
          </w:p>
        </w:tc>
      </w:tr>
    </w:tbl>
    <w:p w:rsidR="008D0A06" w:rsidRPr="00F01133" w:rsidRDefault="008D0A06" w:rsidP="00F01133">
      <w:pPr>
        <w:spacing w:after="60"/>
        <w:rPr>
          <w:sz w:val="18"/>
          <w:szCs w:val="18"/>
        </w:rPr>
      </w:pPr>
    </w:p>
    <w:sectPr w:rsidR="008D0A06" w:rsidRPr="00F01133" w:rsidSect="008E4F6C">
      <w:headerReference w:type="first" r:id="rId10"/>
      <w:type w:val="continuous"/>
      <w:pgSz w:w="11906" w:h="16838" w:code="9"/>
      <w:pgMar w:top="1134" w:right="1134" w:bottom="1134" w:left="1134" w:header="567" w:footer="510" w:gutter="0"/>
      <w:cols w:space="1202"/>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4CB2" w:rsidRDefault="00114CB2" w:rsidP="003A707F">
      <w:pPr>
        <w:spacing w:after="0"/>
      </w:pPr>
      <w:r>
        <w:separator/>
      </w:r>
    </w:p>
  </w:endnote>
  <w:endnote w:type="continuationSeparator" w:id="0">
    <w:p w:rsidR="00114CB2" w:rsidRDefault="00114CB2" w:rsidP="003A70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4CB2" w:rsidRDefault="00114CB2" w:rsidP="003A707F">
      <w:pPr>
        <w:spacing w:after="0"/>
      </w:pPr>
      <w:r>
        <w:separator/>
      </w:r>
    </w:p>
  </w:footnote>
  <w:footnote w:type="continuationSeparator" w:id="0">
    <w:p w:rsidR="00114CB2" w:rsidRDefault="00114CB2" w:rsidP="003A707F">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77" w:type="dxa"/>
      <w:tblInd w:w="80" w:type="dxa"/>
      <w:tblLayout w:type="fixed"/>
      <w:tblLook w:val="01E0" w:firstRow="1" w:lastRow="1" w:firstColumn="1" w:lastColumn="1" w:noHBand="0" w:noVBand="0"/>
    </w:tblPr>
    <w:tblGrid>
      <w:gridCol w:w="1263"/>
      <w:gridCol w:w="4435"/>
      <w:gridCol w:w="3979"/>
    </w:tblGrid>
    <w:tr w:rsidR="00114CB2" w:rsidRPr="005E7AE5" w:rsidTr="0095650D">
      <w:trPr>
        <w:trHeight w:val="984"/>
      </w:trPr>
      <w:tc>
        <w:tcPr>
          <w:tcW w:w="1263" w:type="dxa"/>
          <w:tcBorders>
            <w:top w:val="single" w:sz="4" w:space="0" w:color="auto"/>
            <w:left w:val="nil"/>
            <w:bottom w:val="single" w:sz="4" w:space="0" w:color="auto"/>
            <w:right w:val="nil"/>
          </w:tcBorders>
        </w:tcPr>
        <w:p w:rsidR="00114CB2" w:rsidRPr="005E7AE5" w:rsidRDefault="004E56BF" w:rsidP="008D0A06">
          <w:pPr>
            <w:spacing w:before="60" w:after="0" w:line="276" w:lineRule="auto"/>
            <w:ind w:left="-51"/>
            <w:rPr>
              <w:sz w:val="12"/>
            </w:rPr>
          </w:pPr>
          <w:r>
            <w:rPr>
              <w:noProof/>
              <w:sz w:val="12"/>
              <w:lang w:eastAsia="en-AU"/>
            </w:rPr>
            <w:drawing>
              <wp:inline distT="0" distB="0" distL="0" distR="0" wp14:anchorId="0229C938" wp14:editId="18192C08">
                <wp:extent cx="655320" cy="5264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526415"/>
                        </a:xfrm>
                        <a:prstGeom prst="rect">
                          <a:avLst/>
                        </a:prstGeom>
                        <a:noFill/>
                        <a:ln>
                          <a:noFill/>
                        </a:ln>
                      </pic:spPr>
                    </pic:pic>
                  </a:graphicData>
                </a:graphic>
              </wp:inline>
            </w:drawing>
          </w:r>
        </w:p>
      </w:tc>
      <w:tc>
        <w:tcPr>
          <w:tcW w:w="4435" w:type="dxa"/>
          <w:tcBorders>
            <w:top w:val="single" w:sz="4" w:space="0" w:color="auto"/>
            <w:left w:val="nil"/>
            <w:bottom w:val="single" w:sz="4" w:space="0" w:color="auto"/>
            <w:right w:val="nil"/>
          </w:tcBorders>
        </w:tcPr>
        <w:p w:rsidR="00114CB2" w:rsidRPr="005E7AE5" w:rsidRDefault="00114CB2" w:rsidP="00840A06">
          <w:pPr>
            <w:spacing w:before="60" w:after="0" w:line="460" w:lineRule="exact"/>
            <w:rPr>
              <w:b/>
              <w:spacing w:val="-2"/>
              <w:sz w:val="44"/>
              <w:szCs w:val="44"/>
            </w:rPr>
          </w:pPr>
          <w:r w:rsidRPr="005E7AE5">
            <w:rPr>
              <w:b/>
              <w:spacing w:val="-2"/>
              <w:sz w:val="44"/>
              <w:szCs w:val="44"/>
            </w:rPr>
            <w:t>Commonwealth</w:t>
          </w:r>
          <w:r w:rsidRPr="005E7AE5">
            <w:rPr>
              <w:b/>
              <w:spacing w:val="-2"/>
              <w:sz w:val="44"/>
              <w:szCs w:val="44"/>
            </w:rPr>
            <w:br/>
            <w:t xml:space="preserve">of </w:t>
          </w:r>
          <w:smartTag w:uri="urn:schemas-microsoft-com:office:smarttags" w:element="country-region">
            <w:smartTag w:uri="urn:schemas-microsoft-com:office:smarttags" w:element="place">
              <w:r w:rsidRPr="005E7AE5">
                <w:rPr>
                  <w:b/>
                  <w:spacing w:val="-2"/>
                  <w:sz w:val="44"/>
                  <w:szCs w:val="44"/>
                </w:rPr>
                <w:t>Australia</w:t>
              </w:r>
            </w:smartTag>
          </w:smartTag>
        </w:p>
      </w:tc>
      <w:tc>
        <w:tcPr>
          <w:tcW w:w="3979" w:type="dxa"/>
          <w:tcBorders>
            <w:top w:val="single" w:sz="4" w:space="0" w:color="auto"/>
            <w:left w:val="nil"/>
            <w:bottom w:val="single" w:sz="4" w:space="0" w:color="auto"/>
            <w:right w:val="nil"/>
          </w:tcBorders>
        </w:tcPr>
        <w:p w:rsidR="00114CB2" w:rsidRPr="005E7AE5" w:rsidRDefault="00114CB2" w:rsidP="00840A06">
          <w:pPr>
            <w:spacing w:before="180" w:after="0" w:line="800" w:lineRule="exact"/>
            <w:jc w:val="right"/>
            <w:rPr>
              <w:b/>
              <w:sz w:val="100"/>
              <w:szCs w:val="100"/>
            </w:rPr>
          </w:pPr>
          <w:r w:rsidRPr="005E7AE5">
            <w:rPr>
              <w:b/>
              <w:sz w:val="100"/>
              <w:szCs w:val="100"/>
            </w:rPr>
            <w:t>Gazette</w:t>
          </w:r>
        </w:p>
      </w:tc>
    </w:tr>
    <w:tr w:rsidR="00114CB2" w:rsidRPr="005E7AE5" w:rsidTr="00840A06">
      <w:trPr>
        <w:trHeight w:val="340"/>
      </w:trPr>
      <w:tc>
        <w:tcPr>
          <w:tcW w:w="5698" w:type="dxa"/>
          <w:gridSpan w:val="2"/>
          <w:tcBorders>
            <w:top w:val="single" w:sz="4" w:space="0" w:color="auto"/>
            <w:left w:val="nil"/>
            <w:bottom w:val="single" w:sz="4" w:space="0" w:color="auto"/>
            <w:right w:val="nil"/>
          </w:tcBorders>
          <w:vAlign w:val="bottom"/>
        </w:tcPr>
        <w:p w:rsidR="00114CB2" w:rsidRPr="005E7AE5" w:rsidRDefault="00114CB2" w:rsidP="008D0A06">
          <w:pPr>
            <w:spacing w:after="0" w:line="276" w:lineRule="auto"/>
            <w:ind w:left="-51"/>
            <w:rPr>
              <w:sz w:val="14"/>
              <w:szCs w:val="14"/>
            </w:rPr>
          </w:pPr>
          <w:bookmarkStart w:id="1" w:name="GazNo"/>
          <w:bookmarkEnd w:id="1"/>
          <w:r w:rsidRPr="005E7AE5">
            <w:rPr>
              <w:sz w:val="14"/>
              <w:szCs w:val="14"/>
            </w:rPr>
            <w:t xml:space="preserve">Published by the Commonwealth of </w:t>
          </w:r>
          <w:smartTag w:uri="urn:schemas-microsoft-com:office:smarttags" w:element="place">
            <w:smartTag w:uri="urn:schemas-microsoft-com:office:smarttags" w:element="country-region">
              <w:r w:rsidRPr="005E7AE5">
                <w:rPr>
                  <w:sz w:val="14"/>
                  <w:szCs w:val="14"/>
                </w:rPr>
                <w:t>Australia</w:t>
              </w:r>
            </w:smartTag>
          </w:smartTag>
        </w:p>
      </w:tc>
      <w:tc>
        <w:tcPr>
          <w:tcW w:w="3979" w:type="dxa"/>
          <w:tcBorders>
            <w:top w:val="single" w:sz="4" w:space="0" w:color="auto"/>
            <w:left w:val="nil"/>
            <w:bottom w:val="single" w:sz="4" w:space="0" w:color="auto"/>
            <w:right w:val="nil"/>
          </w:tcBorders>
          <w:shd w:val="clear" w:color="auto" w:fill="000000"/>
          <w:vAlign w:val="bottom"/>
        </w:tcPr>
        <w:p w:rsidR="00114CB2" w:rsidRPr="005E7AE5" w:rsidRDefault="00114CB2" w:rsidP="008D0A06">
          <w:pPr>
            <w:spacing w:after="0" w:line="276" w:lineRule="auto"/>
            <w:jc w:val="right"/>
            <w:rPr>
              <w:b/>
              <w:sz w:val="24"/>
              <w:szCs w:val="24"/>
            </w:rPr>
          </w:pPr>
          <w:r w:rsidRPr="005E7AE5">
            <w:rPr>
              <w:b/>
              <w:sz w:val="24"/>
              <w:szCs w:val="24"/>
            </w:rPr>
            <w:t>GOVERNMENT NOTICES</w:t>
          </w:r>
        </w:p>
      </w:tc>
    </w:tr>
  </w:tbl>
  <w:p w:rsidR="00114CB2" w:rsidRPr="003A707F" w:rsidRDefault="00114CB2" w:rsidP="00F40885">
    <w:pPr>
      <w:pStyle w:val="Header"/>
      <w:rPr>
        <w:sz w:val="2"/>
        <w:szCs w:val="2"/>
      </w:rPr>
    </w:pPr>
  </w:p>
  <w:p w:rsidR="00114CB2" w:rsidRPr="00F40885" w:rsidRDefault="00114CB2">
    <w:pPr>
      <w:pStyle w:val="Header"/>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FC32CC3"/>
    <w:multiLevelType w:val="hybridMultilevel"/>
    <w:tmpl w:val="4E629648"/>
    <w:lvl w:ilvl="0" w:tplc="71A2D9D0">
      <w:start w:val="1"/>
      <w:numFmt w:val="bullet"/>
      <w:lvlText w:val=""/>
      <w:lvlJc w:val="left"/>
      <w:pPr>
        <w:tabs>
          <w:tab w:val="num" w:pos="1440"/>
        </w:tabs>
        <w:ind w:left="1440" w:hanging="360"/>
      </w:pPr>
      <w:rPr>
        <w:rFonts w:ascii="Symbol" w:hAnsi="Symbol" w:hint="default"/>
      </w:rPr>
    </w:lvl>
    <w:lvl w:ilvl="1" w:tplc="0C090003" w:tentative="1">
      <w:start w:val="1"/>
      <w:numFmt w:val="bullet"/>
      <w:lvlText w:val="o"/>
      <w:lvlJc w:val="left"/>
      <w:pPr>
        <w:tabs>
          <w:tab w:val="num" w:pos="2160"/>
        </w:tabs>
        <w:ind w:left="2160" w:hanging="360"/>
      </w:pPr>
      <w:rPr>
        <w:rFonts w:ascii="Courier New" w:hAnsi="Courier New" w:cs="Courier New" w:hint="default"/>
      </w:rPr>
    </w:lvl>
    <w:lvl w:ilvl="2" w:tplc="0C090005" w:tentative="1">
      <w:start w:val="1"/>
      <w:numFmt w:val="bullet"/>
      <w:lvlText w:val=""/>
      <w:lvlJc w:val="left"/>
      <w:pPr>
        <w:tabs>
          <w:tab w:val="num" w:pos="2880"/>
        </w:tabs>
        <w:ind w:left="2880" w:hanging="360"/>
      </w:pPr>
      <w:rPr>
        <w:rFonts w:ascii="Wingdings" w:hAnsi="Wingdings" w:hint="default"/>
      </w:rPr>
    </w:lvl>
    <w:lvl w:ilvl="3" w:tplc="0C090001" w:tentative="1">
      <w:start w:val="1"/>
      <w:numFmt w:val="bullet"/>
      <w:lvlText w:val=""/>
      <w:lvlJc w:val="left"/>
      <w:pPr>
        <w:tabs>
          <w:tab w:val="num" w:pos="3600"/>
        </w:tabs>
        <w:ind w:left="3600" w:hanging="360"/>
      </w:pPr>
      <w:rPr>
        <w:rFonts w:ascii="Symbol" w:hAnsi="Symbol" w:hint="default"/>
      </w:rPr>
    </w:lvl>
    <w:lvl w:ilvl="4" w:tplc="0C090003" w:tentative="1">
      <w:start w:val="1"/>
      <w:numFmt w:val="bullet"/>
      <w:lvlText w:val="o"/>
      <w:lvlJc w:val="left"/>
      <w:pPr>
        <w:tabs>
          <w:tab w:val="num" w:pos="4320"/>
        </w:tabs>
        <w:ind w:left="4320" w:hanging="360"/>
      </w:pPr>
      <w:rPr>
        <w:rFonts w:ascii="Courier New" w:hAnsi="Courier New" w:cs="Courier New" w:hint="default"/>
      </w:rPr>
    </w:lvl>
    <w:lvl w:ilvl="5" w:tplc="0C090005" w:tentative="1">
      <w:start w:val="1"/>
      <w:numFmt w:val="bullet"/>
      <w:lvlText w:val=""/>
      <w:lvlJc w:val="left"/>
      <w:pPr>
        <w:tabs>
          <w:tab w:val="num" w:pos="5040"/>
        </w:tabs>
        <w:ind w:left="5040" w:hanging="360"/>
      </w:pPr>
      <w:rPr>
        <w:rFonts w:ascii="Wingdings" w:hAnsi="Wingdings" w:hint="default"/>
      </w:rPr>
    </w:lvl>
    <w:lvl w:ilvl="6" w:tplc="0C090001" w:tentative="1">
      <w:start w:val="1"/>
      <w:numFmt w:val="bullet"/>
      <w:lvlText w:val=""/>
      <w:lvlJc w:val="left"/>
      <w:pPr>
        <w:tabs>
          <w:tab w:val="num" w:pos="5760"/>
        </w:tabs>
        <w:ind w:left="5760" w:hanging="360"/>
      </w:pPr>
      <w:rPr>
        <w:rFonts w:ascii="Symbol" w:hAnsi="Symbol" w:hint="default"/>
      </w:rPr>
    </w:lvl>
    <w:lvl w:ilvl="7" w:tplc="0C090003" w:tentative="1">
      <w:start w:val="1"/>
      <w:numFmt w:val="bullet"/>
      <w:lvlText w:val="o"/>
      <w:lvlJc w:val="left"/>
      <w:pPr>
        <w:tabs>
          <w:tab w:val="num" w:pos="6480"/>
        </w:tabs>
        <w:ind w:left="6480" w:hanging="360"/>
      </w:pPr>
      <w:rPr>
        <w:rFonts w:ascii="Courier New" w:hAnsi="Courier New" w:cs="Courier New" w:hint="default"/>
      </w:rPr>
    </w:lvl>
    <w:lvl w:ilvl="8" w:tplc="0C090005" w:tentative="1">
      <w:start w:val="1"/>
      <w:numFmt w:val="bullet"/>
      <w:lvlText w:val=""/>
      <w:lvlJc w:val="left"/>
      <w:pPr>
        <w:tabs>
          <w:tab w:val="num" w:pos="7200"/>
        </w:tabs>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ocumentProtection w:edit="forms" w:enforcement="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4F6C"/>
    <w:rsid w:val="00007360"/>
    <w:rsid w:val="000970F2"/>
    <w:rsid w:val="000E1F2B"/>
    <w:rsid w:val="00114CB2"/>
    <w:rsid w:val="00141674"/>
    <w:rsid w:val="00174BD4"/>
    <w:rsid w:val="001C2AAD"/>
    <w:rsid w:val="001F6E54"/>
    <w:rsid w:val="00237961"/>
    <w:rsid w:val="00280BCD"/>
    <w:rsid w:val="002C0CCE"/>
    <w:rsid w:val="002F3FFB"/>
    <w:rsid w:val="003A707F"/>
    <w:rsid w:val="003B0EC1"/>
    <w:rsid w:val="003B573B"/>
    <w:rsid w:val="003F2CBD"/>
    <w:rsid w:val="00424B97"/>
    <w:rsid w:val="004B2753"/>
    <w:rsid w:val="004C5A5D"/>
    <w:rsid w:val="004E56BF"/>
    <w:rsid w:val="00520873"/>
    <w:rsid w:val="00573D44"/>
    <w:rsid w:val="005D7EFC"/>
    <w:rsid w:val="005E7AE5"/>
    <w:rsid w:val="00616661"/>
    <w:rsid w:val="00636F01"/>
    <w:rsid w:val="006B38CC"/>
    <w:rsid w:val="00773255"/>
    <w:rsid w:val="007C490F"/>
    <w:rsid w:val="007E2CA6"/>
    <w:rsid w:val="007F191A"/>
    <w:rsid w:val="00840A06"/>
    <w:rsid w:val="008439B7"/>
    <w:rsid w:val="00851F51"/>
    <w:rsid w:val="0087253F"/>
    <w:rsid w:val="008A25CE"/>
    <w:rsid w:val="008D0A06"/>
    <w:rsid w:val="008D17C9"/>
    <w:rsid w:val="008D30A5"/>
    <w:rsid w:val="008E4F6C"/>
    <w:rsid w:val="00930F35"/>
    <w:rsid w:val="0094219E"/>
    <w:rsid w:val="00943B8D"/>
    <w:rsid w:val="009539C7"/>
    <w:rsid w:val="0095650D"/>
    <w:rsid w:val="00A00F21"/>
    <w:rsid w:val="00A41F5C"/>
    <w:rsid w:val="00A60CE8"/>
    <w:rsid w:val="00A83BCC"/>
    <w:rsid w:val="00A85D11"/>
    <w:rsid w:val="00AD0943"/>
    <w:rsid w:val="00B04E06"/>
    <w:rsid w:val="00B4706B"/>
    <w:rsid w:val="00B84226"/>
    <w:rsid w:val="00C51D3C"/>
    <w:rsid w:val="00C63C4E"/>
    <w:rsid w:val="00D70234"/>
    <w:rsid w:val="00D77A88"/>
    <w:rsid w:val="00DC142B"/>
    <w:rsid w:val="00E823AE"/>
    <w:rsid w:val="00EB3C1D"/>
    <w:rsid w:val="00ED2E52"/>
    <w:rsid w:val="00F01133"/>
    <w:rsid w:val="00F40885"/>
    <w:rsid w:val="00F44FF5"/>
    <w:rsid w:val="00FF011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ountry-region"/>
  <w:shapeDefaults>
    <o:shapedefaults v:ext="edit" spidmax="3481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0A06"/>
    <w:pPr>
      <w:spacing w:after="120"/>
    </w:pPr>
    <w:rPr>
      <w:rFonts w:ascii="Arial" w:hAnsi="Arial" w:cs="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AU" w:eastAsia="en-A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nhideWhenUsed="0" w:qFormat="1"/>
    <w:lsdException w:name="heading 4" w:locked="1" w:semiHidden="0" w:uiPriority="9" w:unhideWhenUsed="0"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uiPriority="0"/>
    <w:lsdException w:name="caption" w:locked="1" w:uiPriority="0" w:qFormat="1"/>
    <w:lsdException w:name="Title" w:locked="1" w:semiHidden="0" w:uiPriority="0" w:unhideWhenUsed="0"/>
    <w:lsdException w:name="Default Paragraph Font" w:locked="1" w:semiHidden="0" w:uiPriority="0" w:unhideWhenUsed="0"/>
    <w:lsdException w:name="Subtitle" w:locked="1" w:semiHidden="0" w:uiPriority="0" w:unhideWhenUsed="0"/>
    <w:lsdException w:name="Strong" w:locked="1" w:semiHidden="0" w:uiPriority="0" w:unhideWhenUsed="0"/>
    <w:lsdException w:name="Emphasis" w:locked="1" w:semiHidden="0" w:uiPriority="0" w:unhideWhenUsed="0"/>
    <w:lsdException w:name="Normal (Web)" w:uiPriority="0"/>
    <w:lsdException w:name="Table Grid" w:locked="1" w:semiHidden="0" w:uiPriority="0"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8D0A06"/>
    <w:pPr>
      <w:spacing w:after="120"/>
    </w:pPr>
    <w:rPr>
      <w:rFonts w:ascii="Arial" w:hAnsi="Arial" w:cs="Arial"/>
      <w:lang w:eastAsia="en-US"/>
    </w:rPr>
  </w:style>
  <w:style w:type="paragraph" w:styleId="Heading3">
    <w:name w:val="heading 3"/>
    <w:basedOn w:val="Normal"/>
    <w:next w:val="Normal"/>
    <w:link w:val="Heading3Char"/>
    <w:uiPriority w:val="9"/>
    <w:qFormat/>
    <w:locked/>
    <w:rsid w:val="0094219E"/>
    <w:pPr>
      <w:keepNext/>
      <w:spacing w:before="240" w:after="60"/>
      <w:outlineLvl w:val="2"/>
    </w:pPr>
    <w:rPr>
      <w:b/>
      <w:bCs/>
      <w:sz w:val="26"/>
      <w:szCs w:val="26"/>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locked/>
    <w:rsid w:val="008D0A06"/>
    <w:rPr>
      <w:rFonts w:ascii="Arial" w:hAnsi="Arial" w:cs="Arial"/>
      <w:b/>
      <w:bCs/>
      <w:sz w:val="26"/>
      <w:szCs w:val="26"/>
    </w:rPr>
  </w:style>
  <w:style w:type="paragraph" w:styleId="BalloonText">
    <w:name w:val="Balloon Text"/>
    <w:basedOn w:val="Normal"/>
    <w:link w:val="BalloonTextChar"/>
    <w:uiPriority w:val="99"/>
    <w:semiHidden/>
    <w:rsid w:val="0087253F"/>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7253F"/>
    <w:rPr>
      <w:rFonts w:ascii="Tahoma" w:hAnsi="Tahoma" w:cs="Tahoma"/>
      <w:sz w:val="16"/>
      <w:szCs w:val="16"/>
    </w:rPr>
  </w:style>
  <w:style w:type="paragraph" w:styleId="Header">
    <w:name w:val="header"/>
    <w:aliases w:val="Header Char2 Char,Header Char Char1 Char,Header Char1 Char Char1 Char,Header Char Char Char Char1 Char,Header Char1 Char Char Char Char Char,Header Char Char Char Char Char Char Char,Header Char1 Char1 Char Char,Header Char2"/>
    <w:basedOn w:val="Normal"/>
    <w:link w:val="HeaderChar"/>
    <w:rsid w:val="003A707F"/>
    <w:pPr>
      <w:tabs>
        <w:tab w:val="center" w:pos="4513"/>
        <w:tab w:val="right" w:pos="9026"/>
      </w:tabs>
      <w:spacing w:after="0"/>
    </w:pPr>
  </w:style>
  <w:style w:type="character" w:customStyle="1" w:styleId="HeaderChar">
    <w:name w:val="Header Char"/>
    <w:aliases w:val="Header Char2 Char Char1,Header Char Char1 Char Char1,Header Char1 Char Char1 Char Char1,Header Char Char Char Char1 Char Char1,Header Char1 Char Char Char Char Char Char1,Header Char Char Char Char Char Char Char Char1,Header Char2 Char1"/>
    <w:basedOn w:val="DefaultParagraphFont"/>
    <w:link w:val="Header"/>
    <w:locked/>
    <w:rsid w:val="003A707F"/>
    <w:rPr>
      <w:rFonts w:cs="Times New Roman"/>
    </w:rPr>
  </w:style>
  <w:style w:type="paragraph" w:styleId="Footer">
    <w:name w:val="footer"/>
    <w:basedOn w:val="Normal"/>
    <w:link w:val="FooterChar"/>
    <w:uiPriority w:val="99"/>
    <w:rsid w:val="003A707F"/>
    <w:pPr>
      <w:tabs>
        <w:tab w:val="center" w:pos="4513"/>
        <w:tab w:val="right" w:pos="9026"/>
      </w:tabs>
      <w:spacing w:after="0"/>
    </w:pPr>
  </w:style>
  <w:style w:type="character" w:customStyle="1" w:styleId="FooterChar">
    <w:name w:val="Footer Char"/>
    <w:basedOn w:val="DefaultParagraphFont"/>
    <w:link w:val="Footer"/>
    <w:uiPriority w:val="99"/>
    <w:locked/>
    <w:rsid w:val="003A707F"/>
    <w:rPr>
      <w:rFonts w:cs="Times New Roman"/>
    </w:rPr>
  </w:style>
  <w:style w:type="character" w:styleId="Hyperlink">
    <w:name w:val="Hyperlink"/>
    <w:basedOn w:val="DefaultParagraphFont"/>
    <w:uiPriority w:val="99"/>
    <w:rsid w:val="0094219E"/>
    <w:rPr>
      <w:rFonts w:cs="Times New Roman"/>
      <w:color w:val="0000FF"/>
      <w:u w:val="single"/>
    </w:rPr>
  </w:style>
  <w:style w:type="character" w:customStyle="1" w:styleId="HeaderChar1">
    <w:name w:val="Header Char1"/>
    <w:aliases w:val="Header Char Char,Header Char2 Char Char,Header Char Char1 Char Char,Header Char1 Char Char1 Char Char,Header Char Char Char Char1 Char Char,Header Char1 Char Char Char Char Char Char,Header Char Char Char Char Char Char Char Char"/>
    <w:basedOn w:val="DefaultParagraphFont"/>
    <w:rsid w:val="00E823AE"/>
    <w:rPr>
      <w:sz w:val="24"/>
      <w:lang w:val="en-AU" w:eastAsia="en-A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ato.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57F8C0-7BC1-4A6C-A400-204ED97CE6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249</Words>
  <Characters>1421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Office of Parliamentary Counsel</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Miller, Kelli</dc:creator>
  <cp:lastModifiedBy>Bubb, Margaret</cp:lastModifiedBy>
  <cp:revision>3</cp:revision>
  <cp:lastPrinted>2013-06-24T01:35:00Z</cp:lastPrinted>
  <dcterms:created xsi:type="dcterms:W3CDTF">2017-09-13T21:15:00Z</dcterms:created>
  <dcterms:modified xsi:type="dcterms:W3CDTF">2017-09-27T23:01:00Z</dcterms:modified>
</cp:coreProperties>
</file>