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3C" w:rsidRDefault="003620AB">
      <w:pPr>
        <w:spacing w:before="191" w:line="446" w:lineRule="exact"/>
        <w:ind w:left="100" w:right="191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Approval</w:t>
      </w:r>
      <w:r>
        <w:rPr>
          <w:rFonts w:ascii="Arial"/>
          <w:b/>
          <w:spacing w:val="-11"/>
          <w:sz w:val="40"/>
        </w:rPr>
        <w:t xml:space="preserve"> </w:t>
      </w:r>
      <w:r>
        <w:rPr>
          <w:rFonts w:ascii="Arial"/>
          <w:b/>
          <w:sz w:val="40"/>
        </w:rPr>
        <w:t>to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hold</w:t>
      </w:r>
      <w:r>
        <w:rPr>
          <w:rFonts w:ascii="Arial"/>
          <w:b/>
          <w:spacing w:val="-11"/>
          <w:sz w:val="40"/>
        </w:rPr>
        <w:t xml:space="preserve"> </w:t>
      </w:r>
      <w:r>
        <w:rPr>
          <w:rFonts w:ascii="Arial"/>
          <w:b/>
          <w:sz w:val="40"/>
        </w:rPr>
        <w:t>the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transferring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business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a</w:t>
      </w:r>
      <w:r>
        <w:rPr>
          <w:rFonts w:ascii="Arial"/>
          <w:b/>
          <w:spacing w:val="22"/>
          <w:w w:val="99"/>
          <w:sz w:val="40"/>
        </w:rPr>
        <w:t xml:space="preserve"> </w:t>
      </w:r>
      <w:r>
        <w:rPr>
          <w:rFonts w:ascii="Arial"/>
          <w:b/>
          <w:sz w:val="40"/>
        </w:rPr>
        <w:t>financial</w:t>
      </w:r>
      <w:r>
        <w:rPr>
          <w:rFonts w:ascii="Arial"/>
          <w:b/>
          <w:spacing w:val="-23"/>
          <w:sz w:val="40"/>
        </w:rPr>
        <w:t xml:space="preserve"> </w:t>
      </w:r>
      <w:r>
        <w:rPr>
          <w:rFonts w:ascii="Arial"/>
          <w:b/>
          <w:sz w:val="40"/>
        </w:rPr>
        <w:t>sector</w:t>
      </w:r>
      <w:r>
        <w:rPr>
          <w:rFonts w:ascii="Arial"/>
          <w:b/>
          <w:spacing w:val="-23"/>
          <w:sz w:val="40"/>
        </w:rPr>
        <w:t xml:space="preserve"> </w:t>
      </w:r>
      <w:r>
        <w:rPr>
          <w:rFonts w:ascii="Arial"/>
          <w:b/>
          <w:sz w:val="40"/>
        </w:rPr>
        <w:t>company</w:t>
      </w:r>
    </w:p>
    <w:p w:rsidR="00E0643C" w:rsidRDefault="00E0643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E0643C" w:rsidRDefault="003620AB">
      <w:pPr>
        <w:spacing w:before="63"/>
        <w:ind w:left="143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z w:val="28"/>
        </w:rPr>
        <w:t>Financial</w:t>
      </w:r>
      <w:r>
        <w:rPr>
          <w:rFonts w:ascii="Arial"/>
          <w:i/>
          <w:spacing w:val="-15"/>
          <w:sz w:val="28"/>
        </w:rPr>
        <w:t xml:space="preserve"> </w:t>
      </w:r>
      <w:r>
        <w:rPr>
          <w:rFonts w:ascii="Arial"/>
          <w:i/>
          <w:sz w:val="28"/>
        </w:rPr>
        <w:t>Sector</w:t>
      </w:r>
      <w:r>
        <w:rPr>
          <w:rFonts w:ascii="Arial"/>
          <w:i/>
          <w:spacing w:val="-13"/>
          <w:sz w:val="28"/>
        </w:rPr>
        <w:t xml:space="preserve"> </w:t>
      </w:r>
      <w:r>
        <w:rPr>
          <w:rFonts w:ascii="Arial"/>
          <w:i/>
          <w:sz w:val="28"/>
        </w:rPr>
        <w:t>(Shareholdings)</w:t>
      </w:r>
      <w:r>
        <w:rPr>
          <w:rFonts w:ascii="Arial"/>
          <w:i/>
          <w:spacing w:val="-13"/>
          <w:sz w:val="28"/>
        </w:rPr>
        <w:t xml:space="preserve"> </w:t>
      </w:r>
      <w:r>
        <w:rPr>
          <w:rFonts w:ascii="Arial"/>
          <w:i/>
          <w:sz w:val="28"/>
        </w:rPr>
        <w:t>Act</w:t>
      </w:r>
      <w:r>
        <w:rPr>
          <w:rFonts w:ascii="Arial"/>
          <w:i/>
          <w:spacing w:val="-14"/>
          <w:sz w:val="28"/>
        </w:rPr>
        <w:t xml:space="preserve"> </w:t>
      </w:r>
      <w:r>
        <w:rPr>
          <w:rFonts w:ascii="Arial"/>
          <w:i/>
          <w:sz w:val="28"/>
        </w:rPr>
        <w:t>1998</w:t>
      </w:r>
    </w:p>
    <w:p w:rsidR="00E0643C" w:rsidRDefault="00E0643C">
      <w:pPr>
        <w:spacing w:before="11"/>
        <w:rPr>
          <w:rFonts w:ascii="Arial" w:eastAsia="Arial" w:hAnsi="Arial" w:cs="Arial"/>
          <w:i/>
          <w:sz w:val="8"/>
          <w:szCs w:val="8"/>
        </w:rPr>
      </w:pPr>
    </w:p>
    <w:p w:rsidR="00E0643C" w:rsidRDefault="003620AB">
      <w:pPr>
        <w:spacing w:line="30" w:lineRule="atLeast"/>
        <w:ind w:left="127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447.95pt;height:1.55pt;mso-position-horizontal-relative:char;mso-position-vertical-relative:line" coordsize="8959,31">
            <v:group id="_x0000_s1029" style="position:absolute;left:11;top:11;width:8933;height:2" coordorigin="11,11" coordsize="8933,2">
              <v:shape id="_x0000_s1030" style="position:absolute;left:11;top:11;width:8933;height:2" coordorigin="11,11" coordsize="8933,0" path="m11,11r8932,e" filled="f" strokecolor="#7f7f7f" strokeweight="1.06pt">
                <v:path arrowok="t"/>
              </v:shape>
            </v:group>
            <v:group id="_x0000_s1027" style="position:absolute;left:15;top:20;width:8933;height:2" coordorigin="15,20" coordsize="8933,2">
              <v:shape id="_x0000_s1028" style="position:absolute;left:15;top:20;width:8933;height:2" coordorigin="15,20" coordsize="8933,0" path="m15,20r8933,e" filled="f" strokecolor="#d4d0c8" strokeweight="1.06pt">
                <v:path arrowok="t"/>
              </v:shape>
            </v:group>
            <w10:wrap type="none"/>
            <w10:anchorlock/>
          </v:group>
        </w:pict>
      </w:r>
    </w:p>
    <w:p w:rsidR="00E0643C" w:rsidRDefault="00E0643C">
      <w:pPr>
        <w:spacing w:before="6"/>
        <w:rPr>
          <w:rFonts w:ascii="Arial" w:eastAsia="Arial" w:hAnsi="Arial" w:cs="Arial"/>
          <w:i/>
          <w:sz w:val="29"/>
          <w:szCs w:val="29"/>
        </w:rPr>
      </w:pPr>
    </w:p>
    <w:p w:rsidR="00E0643C" w:rsidRDefault="003620AB">
      <w:pPr>
        <w:pStyle w:val="Heading1"/>
        <w:spacing w:before="69" w:line="475" w:lineRule="auto"/>
        <w:ind w:right="208"/>
      </w:pPr>
      <w:r>
        <w:t>TO:</w:t>
      </w:r>
      <w:r>
        <w:rPr>
          <w:spacing w:val="-6"/>
        </w:rPr>
        <w:t xml:space="preserve"> </w:t>
      </w:r>
      <w:r>
        <w:rPr>
          <w:spacing w:val="-1"/>
        </w:rPr>
        <w:t>Maritime,</w:t>
      </w:r>
      <w:r>
        <w:rPr>
          <w:spacing w:val="-3"/>
        </w:rPr>
        <w:t xml:space="preserve"> </w:t>
      </w:r>
      <w:r>
        <w:rPr>
          <w:spacing w:val="-1"/>
        </w:rPr>
        <w:t>Mining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Power</w:t>
      </w:r>
      <w:r>
        <w:rPr>
          <w:spacing w:val="-4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Limited</w:t>
      </w:r>
      <w:r>
        <w:rPr>
          <w:spacing w:val="11"/>
        </w:rPr>
        <w:t xml:space="preserve"> </w:t>
      </w:r>
      <w:r>
        <w:t>ABN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087</w:t>
      </w:r>
      <w:r>
        <w:rPr>
          <w:spacing w:val="-4"/>
        </w:rPr>
        <w:t xml:space="preserve"> </w:t>
      </w:r>
      <w:r>
        <w:t>650</w:t>
      </w:r>
      <w:r>
        <w:rPr>
          <w:spacing w:val="-3"/>
        </w:rPr>
        <w:t xml:space="preserve"> </w:t>
      </w:r>
      <w:r>
        <w:t>315</w:t>
      </w:r>
      <w:r>
        <w:rPr>
          <w:spacing w:val="8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applicant)</w:t>
      </w:r>
      <w:r>
        <w:rPr>
          <w:spacing w:val="25"/>
          <w:w w:val="99"/>
        </w:rPr>
        <w:t xml:space="preserve"> </w:t>
      </w:r>
      <w:r>
        <w:t>SINCE</w:t>
      </w:r>
    </w:p>
    <w:p w:rsidR="00E0643C" w:rsidRDefault="003620AB">
      <w:pPr>
        <w:numPr>
          <w:ilvl w:val="0"/>
          <w:numId w:val="1"/>
        </w:numPr>
        <w:tabs>
          <w:tab w:val="left" w:pos="820"/>
        </w:tabs>
        <w:spacing w:before="8" w:line="264" w:lineRule="exact"/>
        <w:ind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3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Bankstown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Credit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Union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Ltd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ABN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40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087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649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769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Company)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sector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companies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Financial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Sector</w:t>
      </w:r>
      <w:r>
        <w:rPr>
          <w:rFonts w:ascii="Times New Roman"/>
          <w:i/>
          <w:spacing w:val="2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(Shareholdings)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1998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Act);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E0643C" w:rsidRDefault="003620AB">
      <w:pPr>
        <w:numPr>
          <w:ilvl w:val="0"/>
          <w:numId w:val="1"/>
        </w:numPr>
        <w:tabs>
          <w:tab w:val="left" w:pos="820"/>
        </w:tabs>
        <w:spacing w:line="230" w:lineRule="auto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100%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gross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assets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liabilities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transferring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transferred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voluntary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transfer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Financial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Sector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(Business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Transfer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Group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Restructure)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Act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1999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Transfer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Act);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E0643C" w:rsidRDefault="003620AB">
      <w:pPr>
        <w:pStyle w:val="Heading1"/>
        <w:numPr>
          <w:ilvl w:val="0"/>
          <w:numId w:val="1"/>
        </w:numPr>
        <w:tabs>
          <w:tab w:val="left" w:pos="820"/>
        </w:tabs>
        <w:spacing w:line="233" w:lineRule="auto"/>
        <w:ind w:right="439"/>
      </w:pP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Treasurer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13A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Act,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transferring</w:t>
      </w:r>
      <w:r>
        <w:rPr>
          <w:spacing w:val="-13"/>
        </w:rPr>
        <w:t xml:space="preserve"> </w:t>
      </w:r>
      <w:r>
        <w:t>business;</w:t>
      </w:r>
      <w:r>
        <w:rPr>
          <w:spacing w:val="-12"/>
        </w:rPr>
        <w:t xml:space="preserve"> </w:t>
      </w:r>
      <w:r>
        <w:t>and</w:t>
      </w:r>
    </w:p>
    <w:p w:rsidR="00E0643C" w:rsidRDefault="003620AB">
      <w:pPr>
        <w:numPr>
          <w:ilvl w:val="0"/>
          <w:numId w:val="1"/>
        </w:numPr>
        <w:tabs>
          <w:tab w:val="left" w:pos="820"/>
        </w:tabs>
        <w:spacing w:before="2" w:line="264" w:lineRule="exact"/>
        <w:ind w:right="5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satisfied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approve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holding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transferring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business,</w:t>
      </w:r>
    </w:p>
    <w:p w:rsidR="00E0643C" w:rsidRDefault="00E064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43C" w:rsidRDefault="00E0643C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E0643C" w:rsidRDefault="003620AB">
      <w:pPr>
        <w:spacing w:before="78" w:line="268" w:lineRule="exact"/>
        <w:ind w:left="10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Louis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Serret,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delegate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Treasurer,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14(1)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APPROVE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holding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transferring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business.</w:t>
      </w:r>
    </w:p>
    <w:p w:rsidR="00E0643C" w:rsidRDefault="00E0643C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E0643C" w:rsidRDefault="003620AB">
      <w:pPr>
        <w:spacing w:line="709" w:lineRule="auto"/>
        <w:ind w:left="100" w:right="618"/>
        <w:rPr>
          <w:rFonts w:ascii="Times New Roman"/>
          <w:spacing w:val="-1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Approval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commences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remains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force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indefinitely.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Dated: 27 February 2017</w:t>
      </w:r>
    </w:p>
    <w:p w:rsidR="00E0643C" w:rsidRDefault="003620AB" w:rsidP="003620AB">
      <w:pPr>
        <w:spacing w:line="709" w:lineRule="auto"/>
        <w:ind w:left="100" w:right="6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[Signed]</w:t>
      </w:r>
      <w:bookmarkStart w:id="0" w:name="_GoBack"/>
      <w:bookmarkEnd w:id="0"/>
    </w:p>
    <w:p w:rsidR="00E0643C" w:rsidRDefault="003620AB">
      <w:pPr>
        <w:spacing w:before="3" w:line="268" w:lineRule="exact"/>
        <w:ind w:left="100" w:right="7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Louis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Serret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</w:t>
      </w:r>
    </w:p>
    <w:p w:rsidR="00E0643C" w:rsidRDefault="003620AB">
      <w:pPr>
        <w:spacing w:line="233" w:lineRule="auto"/>
        <w:ind w:left="100" w:right="53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Specialised</w:t>
      </w:r>
      <w:proofErr w:type="spell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Institutions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Central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Region</w:t>
      </w:r>
    </w:p>
    <w:p w:rsidR="00E0643C" w:rsidRDefault="00E0643C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E0643C" w:rsidRDefault="003620AB">
      <w:pPr>
        <w:tabs>
          <w:tab w:val="left" w:pos="6839"/>
        </w:tabs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w w:val="95"/>
          <w:position w:val="-3"/>
          <w:sz w:val="24"/>
        </w:rPr>
        <w:t>Interpretation</w:t>
      </w:r>
      <w:r>
        <w:rPr>
          <w:rFonts w:ascii="Arial"/>
          <w:b/>
          <w:w w:val="95"/>
          <w:position w:val="-3"/>
          <w:sz w:val="24"/>
        </w:rPr>
        <w:tab/>
      </w:r>
      <w:r>
        <w:rPr>
          <w:rFonts w:ascii="Times New Roman"/>
          <w:spacing w:val="-1"/>
          <w:sz w:val="20"/>
        </w:rPr>
        <w:t>Document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ID: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226355</w:t>
      </w:r>
    </w:p>
    <w:p w:rsidR="00E0643C" w:rsidRDefault="003620AB">
      <w:pPr>
        <w:pStyle w:val="Heading1"/>
        <w:spacing w:before="78"/>
        <w:ind w:left="143"/>
      </w:pP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Notice</w:t>
      </w:r>
    </w:p>
    <w:p w:rsidR="00E0643C" w:rsidRDefault="00E0643C">
      <w:pPr>
        <w:sectPr w:rsidR="00E0643C">
          <w:headerReference w:type="default" r:id="rId7"/>
          <w:type w:val="continuous"/>
          <w:pgSz w:w="11910" w:h="16840"/>
          <w:pgMar w:top="1380" w:right="1360" w:bottom="280" w:left="1340" w:header="720" w:footer="720" w:gutter="0"/>
          <w:cols w:space="720"/>
        </w:sectPr>
      </w:pPr>
    </w:p>
    <w:p w:rsidR="00E0643C" w:rsidRDefault="003620AB">
      <w:pPr>
        <w:spacing w:before="41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lastRenderedPageBreak/>
        <w:t>financial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sector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company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Act.</w:t>
      </w:r>
    </w:p>
    <w:p w:rsidR="00E0643C" w:rsidRDefault="00E0643C">
      <w:pPr>
        <w:rPr>
          <w:rFonts w:ascii="Times New Roman" w:eastAsia="Times New Roman" w:hAnsi="Times New Roman" w:cs="Times New Roman"/>
          <w:sz w:val="24"/>
          <w:szCs w:val="24"/>
        </w:rPr>
        <w:sectPr w:rsidR="00E0643C" w:rsidSect="003620AB">
          <w:pgSz w:w="11910" w:h="16840"/>
          <w:pgMar w:top="1420" w:right="1460" w:bottom="280" w:left="1380" w:header="720" w:footer="720" w:gutter="0"/>
          <w:cols w:space="720"/>
          <w:titlePg/>
          <w:docGrid w:linePitch="299"/>
        </w:sectPr>
      </w:pPr>
    </w:p>
    <w:p w:rsidR="00E0643C" w:rsidRDefault="003620AB">
      <w:pPr>
        <w:spacing w:before="83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1</w:t>
      </w:r>
    </w:p>
    <w:p w:rsidR="00E0643C" w:rsidRDefault="003620AB">
      <w:pPr>
        <w:spacing w:before="83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1"/>
          <w:sz w:val="20"/>
        </w:rPr>
        <w:t>Regulation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6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Financial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Sector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(Transfers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of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Business)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Regulations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1999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provides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that,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</w:p>
    <w:p w:rsidR="00E0643C" w:rsidRDefault="00E0643C">
      <w:pPr>
        <w:rPr>
          <w:rFonts w:ascii="Times New Roman" w:eastAsia="Times New Roman" w:hAnsi="Times New Roman" w:cs="Times New Roman"/>
          <w:sz w:val="20"/>
          <w:szCs w:val="20"/>
        </w:rPr>
        <w:sectPr w:rsidR="00E0643C">
          <w:type w:val="continuous"/>
          <w:pgSz w:w="11910" w:h="16840"/>
          <w:pgMar w:top="1380" w:right="1460" w:bottom="280" w:left="1380" w:header="720" w:footer="720" w:gutter="0"/>
          <w:cols w:num="2" w:space="720" w:equalWidth="0">
            <w:col w:w="632" w:space="261"/>
            <w:col w:w="8177"/>
          </w:cols>
        </w:sectPr>
      </w:pPr>
    </w:p>
    <w:p w:rsidR="00E0643C" w:rsidRDefault="003620AB">
      <w:pPr>
        <w:pStyle w:val="BodyText"/>
        <w:spacing w:before="1" w:line="220" w:lineRule="exact"/>
        <w:ind w:right="11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 xml:space="preserve">43(4) of the Business Transfer Act, the provisions of the Act apply in relation to </w:t>
      </w:r>
      <w:r>
        <w:t>a</w:t>
      </w:r>
      <w:r>
        <w:rPr>
          <w:spacing w:val="-1"/>
        </w:rPr>
        <w:t xml:space="preserve"> transfer of</w:t>
      </w:r>
      <w:r>
        <w:rPr>
          <w:spacing w:val="34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section 13A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inserted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section 13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Act.</w:t>
      </w:r>
      <w:r>
        <w:rPr>
          <w:spacing w:val="-2"/>
        </w:rPr>
        <w:t xml:space="preserve"> </w:t>
      </w:r>
      <w:r>
        <w:rPr>
          <w:spacing w:val="-1"/>
        </w:rPr>
        <w:t>Section 13A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financial sector</w:t>
      </w:r>
      <w:r>
        <w:rPr>
          <w:spacing w:val="36"/>
        </w:rPr>
        <w:t xml:space="preserve"> </w:t>
      </w:r>
      <w:r>
        <w:rPr>
          <w:spacing w:val="-1"/>
        </w:rPr>
        <w:t>company to which more than 15% of the gross assets and liabilities of another financial sector company (the</w:t>
      </w:r>
      <w:r>
        <w:rPr>
          <w:spacing w:val="37"/>
        </w:rPr>
        <w:t xml:space="preserve"> </w:t>
      </w:r>
      <w:r>
        <w:rPr>
          <w:b/>
          <w:i/>
          <w:spacing w:val="-1"/>
        </w:rPr>
        <w:t>transferring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"/>
        </w:rPr>
        <w:t>business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transferred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Act,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Treasurer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hold the</w:t>
      </w:r>
      <w:r>
        <w:rPr>
          <w:spacing w:val="34"/>
        </w:rPr>
        <w:t xml:space="preserve"> </w:t>
      </w:r>
      <w:r>
        <w:rPr>
          <w:spacing w:val="-1"/>
        </w:rPr>
        <w:t>transferring business and that Divis</w:t>
      </w:r>
      <w:r>
        <w:rPr>
          <w:spacing w:val="-1"/>
        </w:rPr>
        <w:t>ion</w:t>
      </w:r>
      <w:r>
        <w:t xml:space="preserve"> 3</w:t>
      </w:r>
      <w:r>
        <w:rPr>
          <w:spacing w:val="-1"/>
        </w:rPr>
        <w:t xml:space="preserve"> of Part</w:t>
      </w:r>
      <w:r>
        <w:t xml:space="preserve"> 2</w:t>
      </w:r>
      <w:r>
        <w:rPr>
          <w:spacing w:val="-1"/>
        </w:rPr>
        <w:t xml:space="preserve"> of the Act</w:t>
      </w:r>
      <w:r>
        <w:t xml:space="preserve"> </w:t>
      </w:r>
      <w:r>
        <w:rPr>
          <w:spacing w:val="-1"/>
        </w:rPr>
        <w:t>applies to the application as if the transferring</w:t>
      </w:r>
      <w:r>
        <w:rPr>
          <w:spacing w:val="34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sector</w:t>
      </w:r>
      <w:r>
        <w:rPr>
          <w:spacing w:val="-2"/>
        </w:rPr>
        <w:t xml:space="preserve"> </w:t>
      </w:r>
      <w:r>
        <w:rPr>
          <w:spacing w:val="-1"/>
        </w:rPr>
        <w:t>company.</w:t>
      </w:r>
    </w:p>
    <w:p w:rsidR="00E0643C" w:rsidRDefault="00E0643C">
      <w:pPr>
        <w:spacing w:line="220" w:lineRule="exact"/>
        <w:sectPr w:rsidR="00E0643C">
          <w:type w:val="continuous"/>
          <w:pgSz w:w="11910" w:h="16840"/>
          <w:pgMar w:top="1380" w:right="1460" w:bottom="280" w:left="1380" w:header="720" w:footer="720" w:gutter="0"/>
          <w:cols w:space="720"/>
        </w:sectPr>
      </w:pPr>
    </w:p>
    <w:p w:rsidR="00E0643C" w:rsidRDefault="003620AB">
      <w:pPr>
        <w:spacing w:before="81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2</w:t>
      </w:r>
    </w:p>
    <w:p w:rsidR="00E0643C" w:rsidRDefault="003620AB">
      <w:pPr>
        <w:pStyle w:val="BodyText"/>
        <w:spacing w:before="81"/>
      </w:pPr>
      <w:r>
        <w:br w:type="column"/>
      </w:r>
      <w:r>
        <w:rPr>
          <w:spacing w:val="-1"/>
        </w:rPr>
        <w:t>Under section 14 of the Act, the Treasurer</w:t>
      </w:r>
      <w:r>
        <w:rPr>
          <w:spacing w:val="-2"/>
        </w:rPr>
        <w:t xml:space="preserve"> </w:t>
      </w:r>
      <w:r>
        <w:rPr>
          <w:spacing w:val="-1"/>
        </w:rPr>
        <w:t>must give written notice of the approval</w:t>
      </w:r>
      <w:r>
        <w:rPr>
          <w:spacing w:val="-2"/>
        </w:rPr>
        <w:t xml:space="preserve"> </w:t>
      </w:r>
      <w:r>
        <w:rPr>
          <w:spacing w:val="-1"/>
        </w:rPr>
        <w:t>to the applicant</w:t>
      </w:r>
    </w:p>
    <w:p w:rsidR="00E0643C" w:rsidRDefault="00E0643C">
      <w:pPr>
        <w:sectPr w:rsidR="00E0643C">
          <w:type w:val="continuous"/>
          <w:pgSz w:w="11910" w:h="16840"/>
          <w:pgMar w:top="1380" w:right="1460" w:bottom="280" w:left="1380" w:header="720" w:footer="720" w:gutter="0"/>
          <w:cols w:num="2" w:space="720" w:equalWidth="0">
            <w:col w:w="632" w:space="261"/>
            <w:col w:w="8177"/>
          </w:cols>
        </w:sectPr>
      </w:pPr>
    </w:p>
    <w:p w:rsidR="00E0643C" w:rsidRDefault="003620AB">
      <w:pPr>
        <w:pStyle w:val="BodyText"/>
        <w:spacing w:line="221" w:lineRule="exact"/>
      </w:pP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arrange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published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>Gazette</w:t>
      </w:r>
      <w:r>
        <w:rPr>
          <w:i/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given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Company.</w:t>
      </w:r>
    </w:p>
    <w:sectPr w:rsidR="00E0643C">
      <w:type w:val="continuous"/>
      <w:pgSz w:w="11910" w:h="16840"/>
      <w:pgMar w:top="1380" w:right="146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AB" w:rsidRDefault="003620AB" w:rsidP="003620AB">
      <w:r>
        <w:separator/>
      </w:r>
    </w:p>
  </w:endnote>
  <w:endnote w:type="continuationSeparator" w:id="0">
    <w:p w:rsidR="003620AB" w:rsidRDefault="003620AB" w:rsidP="0036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AB" w:rsidRDefault="003620AB" w:rsidP="003620AB">
      <w:r>
        <w:separator/>
      </w:r>
    </w:p>
  </w:footnote>
  <w:footnote w:type="continuationSeparator" w:id="0">
    <w:p w:rsidR="003620AB" w:rsidRDefault="003620AB" w:rsidP="00362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620AB" w:rsidRPr="00CE796A" w:rsidTr="00FD61AC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620AB" w:rsidRPr="00CE796A" w:rsidRDefault="003620AB" w:rsidP="003620AB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0BF6928" wp14:editId="4A31D2BC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620AB" w:rsidRPr="00CE796A" w:rsidRDefault="003620AB" w:rsidP="003620AB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620AB" w:rsidRPr="00CE796A" w:rsidRDefault="003620AB" w:rsidP="003620AB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620AB" w:rsidRPr="00CE796A" w:rsidTr="00FD61AC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620AB" w:rsidRPr="00CE796A" w:rsidRDefault="003620AB" w:rsidP="003620AB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620AB" w:rsidRPr="00840A06" w:rsidRDefault="003620AB" w:rsidP="003620AB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620AB" w:rsidRDefault="003620AB">
    <w:pPr>
      <w:pStyle w:val="Header"/>
    </w:pPr>
  </w:p>
  <w:p w:rsidR="003620AB" w:rsidRDefault="003620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3E47"/>
    <w:multiLevelType w:val="hybridMultilevel"/>
    <w:tmpl w:val="C3BCB79A"/>
    <w:lvl w:ilvl="0" w:tplc="087492E4">
      <w:start w:val="1"/>
      <w:numFmt w:val="upp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F185120">
      <w:start w:val="1"/>
      <w:numFmt w:val="bullet"/>
      <w:lvlText w:val="•"/>
      <w:lvlJc w:val="left"/>
      <w:pPr>
        <w:ind w:left="1658" w:hanging="720"/>
      </w:pPr>
      <w:rPr>
        <w:rFonts w:hint="default"/>
      </w:rPr>
    </w:lvl>
    <w:lvl w:ilvl="2" w:tplc="9C341758">
      <w:start w:val="1"/>
      <w:numFmt w:val="bullet"/>
      <w:lvlText w:val="•"/>
      <w:lvlJc w:val="left"/>
      <w:pPr>
        <w:ind w:left="2497" w:hanging="720"/>
      </w:pPr>
      <w:rPr>
        <w:rFonts w:hint="default"/>
      </w:rPr>
    </w:lvl>
    <w:lvl w:ilvl="3" w:tplc="F6E4360E">
      <w:start w:val="1"/>
      <w:numFmt w:val="bullet"/>
      <w:lvlText w:val="•"/>
      <w:lvlJc w:val="left"/>
      <w:pPr>
        <w:ind w:left="3335" w:hanging="720"/>
      </w:pPr>
      <w:rPr>
        <w:rFonts w:hint="default"/>
      </w:rPr>
    </w:lvl>
    <w:lvl w:ilvl="4" w:tplc="2AA8FBB2">
      <w:start w:val="1"/>
      <w:numFmt w:val="bullet"/>
      <w:lvlText w:val="•"/>
      <w:lvlJc w:val="left"/>
      <w:pPr>
        <w:ind w:left="4174" w:hanging="720"/>
      </w:pPr>
      <w:rPr>
        <w:rFonts w:hint="default"/>
      </w:rPr>
    </w:lvl>
    <w:lvl w:ilvl="5" w:tplc="877AB484">
      <w:start w:val="1"/>
      <w:numFmt w:val="bullet"/>
      <w:lvlText w:val="•"/>
      <w:lvlJc w:val="left"/>
      <w:pPr>
        <w:ind w:left="5012" w:hanging="720"/>
      </w:pPr>
      <w:rPr>
        <w:rFonts w:hint="default"/>
      </w:rPr>
    </w:lvl>
    <w:lvl w:ilvl="6" w:tplc="A1220CF2">
      <w:start w:val="1"/>
      <w:numFmt w:val="bullet"/>
      <w:lvlText w:val="•"/>
      <w:lvlJc w:val="left"/>
      <w:pPr>
        <w:ind w:left="5851" w:hanging="720"/>
      </w:pPr>
      <w:rPr>
        <w:rFonts w:hint="default"/>
      </w:rPr>
    </w:lvl>
    <w:lvl w:ilvl="7" w:tplc="EF3422D0">
      <w:start w:val="1"/>
      <w:numFmt w:val="bullet"/>
      <w:lvlText w:val="•"/>
      <w:lvlJc w:val="left"/>
      <w:pPr>
        <w:ind w:left="6689" w:hanging="720"/>
      </w:pPr>
      <w:rPr>
        <w:rFonts w:hint="default"/>
      </w:rPr>
    </w:lvl>
    <w:lvl w:ilvl="8" w:tplc="FD508164">
      <w:start w:val="1"/>
      <w:numFmt w:val="bullet"/>
      <w:lvlText w:val="•"/>
      <w:lvlJc w:val="left"/>
      <w:pPr>
        <w:ind w:left="752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643C"/>
    <w:rsid w:val="003620AB"/>
    <w:rsid w:val="00E0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CCBFFC8A-A8A0-464E-B7E1-AFD5CAC1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20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0AB"/>
  </w:style>
  <w:style w:type="paragraph" w:styleId="Footer">
    <w:name w:val="footer"/>
    <w:basedOn w:val="Normal"/>
    <w:link w:val="FooterChar"/>
    <w:uiPriority w:val="99"/>
    <w:unhideWhenUsed/>
    <w:rsid w:val="003620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1928</Characters>
  <Application>Microsoft Office Word</Application>
  <DocSecurity>0</DocSecurity>
  <Lines>91</Lines>
  <Paragraphs>25</Paragraphs>
  <ScaleCrop>false</ScaleCrop>
  <Company>APRA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SIP0226355.htm</dc:title>
  <cp:keywords> [SEC=UNOFFICIAL]</cp:keywords>
  <cp:lastModifiedBy>Toni Michalis</cp:lastModifiedBy>
  <cp:revision>2</cp:revision>
  <cp:lastPrinted>2017-02-27T19:49:00Z</cp:lastPrinted>
  <dcterms:created xsi:type="dcterms:W3CDTF">2017-02-28T06:42:00Z</dcterms:created>
  <dcterms:modified xsi:type="dcterms:W3CDTF">2017-02-27T19:49:00Z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LastSaved">
    <vt:filetime>2017-02-27T00:00:00Z</vt:filetime>
  </property>
  <property fmtid="{D5CDD505-2E9C-101B-9397-08002B2CF9AE}" pid="4" name="PM_MinimumSecurityClassification">
    <vt:lpwstr/>
  </property>
  <property fmtid="{D5CDD505-2E9C-101B-9397-08002B2CF9AE}" pid="5" name="PM_ProtectiveMarkingValue_Footer">
    <vt:lpwstr>Personal</vt:lpwstr>
  </property>
  <property fmtid="{D5CDD505-2E9C-101B-9397-08002B2CF9AE}" pid="6" name="PM_Caveats_Count">
    <vt:lpwstr>0</vt:lpwstr>
  </property>
  <property fmtid="{D5CDD505-2E9C-101B-9397-08002B2CF9AE}" pid="7" name="PM_Originator_Hash_SHA1">
    <vt:lpwstr>C3AD57350F36D8E1BD75F8F67CB06D435C9C43CA</vt:lpwstr>
  </property>
  <property fmtid="{D5CDD505-2E9C-101B-9397-08002B2CF9AE}" pid="8" name="PM_SecurityClassification">
    <vt:lpwstr>UNOFFICIAL</vt:lpwstr>
  </property>
  <property fmtid="{D5CDD505-2E9C-101B-9397-08002B2CF9AE}" pid="9" name="PM_DisplayValueSecClassificationWithQualifier">
    <vt:lpwstr>Personal</vt:lpwstr>
  </property>
  <property fmtid="{D5CDD505-2E9C-101B-9397-08002B2CF9AE}" pid="10" name="PM_Qualifier">
    <vt:lpwstr/>
  </property>
  <property fmtid="{D5CDD505-2E9C-101B-9397-08002B2CF9AE}" pid="11" name="PM_InsertionValue">
    <vt:lpwstr>Personal</vt:lpwstr>
  </property>
  <property fmtid="{D5CDD505-2E9C-101B-9397-08002B2CF9AE}" pid="12" name="PM_ProtectiveMarkingValue_Header">
    <vt:lpwstr>Personal</vt:lpwstr>
  </property>
  <property fmtid="{D5CDD505-2E9C-101B-9397-08002B2CF9AE}" pid="13" name="PM_Hash_SHA1">
    <vt:lpwstr>D65C2F16F60FFE18762FE88AF098E8297C030E89</vt:lpwstr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gov.au</vt:lpwstr>
  </property>
  <property fmtid="{D5CDD505-2E9C-101B-9397-08002B2CF9AE}" pid="17" name="PM_Version">
    <vt:lpwstr>2012.3</vt:lpwstr>
  </property>
  <property fmtid="{D5CDD505-2E9C-101B-9397-08002B2CF9AE}" pid="18" name="PM_Originating_FileId">
    <vt:lpwstr>5E64FBCAEDE0422A831089F6D11EE43E</vt:lpwstr>
  </property>
  <property fmtid="{D5CDD505-2E9C-101B-9397-08002B2CF9AE}" pid="19" name="PM_OriginationTimeStamp">
    <vt:lpwstr>2017-02-27T19:49:11Z</vt:lpwstr>
  </property>
  <property fmtid="{D5CDD505-2E9C-101B-9397-08002B2CF9AE}" pid="20" name="PM_Hash_Version">
    <vt:lpwstr>2016.1</vt:lpwstr>
  </property>
  <property fmtid="{D5CDD505-2E9C-101B-9397-08002B2CF9AE}" pid="21" name="PM_Hash_Salt_Prev">
    <vt:lpwstr>2C344D9FB52A0CA34EE706393652081D</vt:lpwstr>
  </property>
  <property fmtid="{D5CDD505-2E9C-101B-9397-08002B2CF9AE}" pid="22" name="PM_Hash_Salt">
    <vt:lpwstr>2C344D9FB52A0CA34EE706393652081D</vt:lpwstr>
  </property>
</Properties>
</file>