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0A" w:rsidRDefault="00866E3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fillcolor="window">
            <v:imagedata r:id="rId8" o:title=""/>
          </v:shape>
        </w:pict>
      </w:r>
    </w:p>
    <w:p w:rsidR="00D06C0A" w:rsidRDefault="00D06C0A"/>
    <w:p w:rsidR="00D06C0A" w:rsidRDefault="00D06C0A" w:rsidP="00D06C0A">
      <w:pPr>
        <w:spacing w:line="240" w:lineRule="auto"/>
      </w:pPr>
    </w:p>
    <w:p w:rsidR="00D06C0A" w:rsidRDefault="00D06C0A" w:rsidP="00D06C0A"/>
    <w:p w:rsidR="00D06C0A" w:rsidRDefault="00D06C0A" w:rsidP="00D06C0A"/>
    <w:p w:rsidR="00D06C0A" w:rsidRDefault="00D06C0A" w:rsidP="00D06C0A"/>
    <w:p w:rsidR="00D06C0A" w:rsidRDefault="00D06C0A" w:rsidP="00D06C0A"/>
    <w:p w:rsidR="00715914" w:rsidRPr="00E5119C" w:rsidRDefault="00AE6795" w:rsidP="00715914">
      <w:pPr>
        <w:pStyle w:val="ShortT"/>
      </w:pPr>
      <w:r w:rsidRPr="00E5119C">
        <w:t>Commercial Broadcasting (</w:t>
      </w:r>
      <w:r w:rsidR="00A937BF" w:rsidRPr="00E5119C">
        <w:t>Tax</w:t>
      </w:r>
      <w:r w:rsidRPr="00E5119C">
        <w:t xml:space="preserve">) </w:t>
      </w:r>
      <w:r w:rsidR="00D06C0A">
        <w:t>Act</w:t>
      </w:r>
      <w:r w:rsidRPr="00E5119C">
        <w:t xml:space="preserve"> 2017</w:t>
      </w:r>
    </w:p>
    <w:p w:rsidR="00715914" w:rsidRPr="00E5119C" w:rsidRDefault="00715914" w:rsidP="00715914"/>
    <w:p w:rsidR="00715914" w:rsidRPr="00E5119C" w:rsidRDefault="00715914" w:rsidP="00D06C0A">
      <w:pPr>
        <w:pStyle w:val="Actno"/>
        <w:spacing w:before="400"/>
      </w:pPr>
      <w:r w:rsidRPr="00E5119C">
        <w:t>No.</w:t>
      </w:r>
      <w:r w:rsidR="00B55212">
        <w:t xml:space="preserve"> 110</w:t>
      </w:r>
      <w:r w:rsidR="001F5D5E" w:rsidRPr="00E5119C">
        <w:t>, 201</w:t>
      </w:r>
      <w:r w:rsidR="00FD53C3" w:rsidRPr="00E5119C">
        <w:t>7</w:t>
      </w:r>
    </w:p>
    <w:p w:rsidR="00715914" w:rsidRPr="00E5119C" w:rsidRDefault="00715914" w:rsidP="00715914"/>
    <w:p w:rsidR="00D06C0A" w:rsidRDefault="00D06C0A" w:rsidP="00D06C0A"/>
    <w:p w:rsidR="00D06C0A" w:rsidRDefault="00D06C0A" w:rsidP="00D06C0A"/>
    <w:p w:rsidR="00D06C0A" w:rsidRDefault="00D06C0A" w:rsidP="00D06C0A"/>
    <w:p w:rsidR="00D06C0A" w:rsidRDefault="00D06C0A" w:rsidP="00D06C0A"/>
    <w:p w:rsidR="00715914" w:rsidRPr="00E5119C" w:rsidRDefault="00D06C0A" w:rsidP="00A976B6">
      <w:pPr>
        <w:pStyle w:val="LongT"/>
      </w:pPr>
      <w:r>
        <w:t>An Act</w:t>
      </w:r>
      <w:r w:rsidR="00870A8C" w:rsidRPr="00E5119C">
        <w:t xml:space="preserve"> to impose a tax </w:t>
      </w:r>
      <w:r w:rsidR="00B310E6" w:rsidRPr="00E5119C">
        <w:t>relating to</w:t>
      </w:r>
      <w:r w:rsidR="00870A8C" w:rsidRPr="00E5119C">
        <w:t xml:space="preserve"> transmitter licence</w:t>
      </w:r>
      <w:r w:rsidR="00B310E6" w:rsidRPr="00E5119C">
        <w:t>s</w:t>
      </w:r>
      <w:r w:rsidR="00870A8C" w:rsidRPr="00E5119C">
        <w:t xml:space="preserve"> </w:t>
      </w:r>
      <w:r w:rsidR="006079C5" w:rsidRPr="00E5119C">
        <w:t>that are associated with commercial broadcasting licences</w:t>
      </w:r>
      <w:r w:rsidR="00870A8C" w:rsidRPr="00E5119C">
        <w:t>, and for related purposes</w:t>
      </w:r>
    </w:p>
    <w:p w:rsidR="001110E5" w:rsidRPr="00E5119C" w:rsidRDefault="001110E5" w:rsidP="001110E5">
      <w:pPr>
        <w:pStyle w:val="Header"/>
        <w:tabs>
          <w:tab w:val="clear" w:pos="4150"/>
          <w:tab w:val="clear" w:pos="8307"/>
        </w:tabs>
      </w:pPr>
      <w:r w:rsidRPr="00E5119C">
        <w:rPr>
          <w:rStyle w:val="CharChapNo"/>
        </w:rPr>
        <w:t xml:space="preserve"> </w:t>
      </w:r>
      <w:r w:rsidRPr="00E5119C">
        <w:rPr>
          <w:rStyle w:val="CharChapText"/>
        </w:rPr>
        <w:t xml:space="preserve"> </w:t>
      </w:r>
    </w:p>
    <w:p w:rsidR="001110E5" w:rsidRPr="00E5119C" w:rsidRDefault="001110E5" w:rsidP="001110E5">
      <w:pPr>
        <w:pStyle w:val="Header"/>
        <w:tabs>
          <w:tab w:val="clear" w:pos="4150"/>
          <w:tab w:val="clear" w:pos="8307"/>
        </w:tabs>
      </w:pPr>
      <w:r w:rsidRPr="00E5119C">
        <w:rPr>
          <w:rStyle w:val="CharPartNo"/>
        </w:rPr>
        <w:t xml:space="preserve"> </w:t>
      </w:r>
      <w:r w:rsidRPr="00E5119C">
        <w:rPr>
          <w:rStyle w:val="CharPartText"/>
        </w:rPr>
        <w:t xml:space="preserve"> </w:t>
      </w:r>
    </w:p>
    <w:p w:rsidR="00676489" w:rsidRPr="00E5119C" w:rsidRDefault="00676489" w:rsidP="00676489">
      <w:pPr>
        <w:pStyle w:val="Header"/>
        <w:tabs>
          <w:tab w:val="clear" w:pos="4150"/>
          <w:tab w:val="clear" w:pos="8307"/>
        </w:tabs>
      </w:pPr>
      <w:r w:rsidRPr="00E5119C">
        <w:rPr>
          <w:rStyle w:val="CharDivNo"/>
        </w:rPr>
        <w:t xml:space="preserve"> </w:t>
      </w:r>
      <w:r w:rsidRPr="00E5119C">
        <w:rPr>
          <w:rStyle w:val="CharDivText"/>
        </w:rPr>
        <w:t xml:space="preserve"> </w:t>
      </w:r>
    </w:p>
    <w:p w:rsidR="00676489" w:rsidRPr="00E5119C" w:rsidRDefault="00676489" w:rsidP="00676489">
      <w:pPr>
        <w:sectPr w:rsidR="00676489" w:rsidRPr="00E5119C" w:rsidSect="00D06C0A">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676489" w:rsidRPr="00E5119C" w:rsidRDefault="00676489" w:rsidP="00676489">
      <w:pPr>
        <w:rPr>
          <w:sz w:val="36"/>
        </w:rPr>
      </w:pPr>
      <w:r w:rsidRPr="00E5119C">
        <w:rPr>
          <w:sz w:val="36"/>
        </w:rPr>
        <w:lastRenderedPageBreak/>
        <w:t>Contents</w:t>
      </w:r>
    </w:p>
    <w:bookmarkStart w:id="0" w:name="BKCheck15B_1"/>
    <w:bookmarkEnd w:id="0"/>
    <w:p w:rsidR="00481A53" w:rsidRDefault="00481A5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81A53">
        <w:rPr>
          <w:noProof/>
        </w:rPr>
        <w:tab/>
      </w:r>
      <w:r w:rsidRPr="00481A53">
        <w:rPr>
          <w:noProof/>
        </w:rPr>
        <w:fldChar w:fldCharType="begin"/>
      </w:r>
      <w:r w:rsidRPr="00481A53">
        <w:rPr>
          <w:noProof/>
        </w:rPr>
        <w:instrText xml:space="preserve"> PAGEREF _Toc493598767 \h </w:instrText>
      </w:r>
      <w:r w:rsidRPr="00481A53">
        <w:rPr>
          <w:noProof/>
        </w:rPr>
      </w:r>
      <w:r w:rsidRPr="00481A53">
        <w:rPr>
          <w:noProof/>
        </w:rPr>
        <w:fldChar w:fldCharType="separate"/>
      </w:r>
      <w:r w:rsidR="00866E38">
        <w:rPr>
          <w:noProof/>
        </w:rPr>
        <w:t>1</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2</w:t>
      </w:r>
      <w:r>
        <w:rPr>
          <w:noProof/>
        </w:rPr>
        <w:tab/>
        <w:t>Commencement</w:t>
      </w:r>
      <w:r w:rsidRPr="00481A53">
        <w:rPr>
          <w:noProof/>
        </w:rPr>
        <w:tab/>
      </w:r>
      <w:r w:rsidRPr="00481A53">
        <w:rPr>
          <w:noProof/>
        </w:rPr>
        <w:fldChar w:fldCharType="begin"/>
      </w:r>
      <w:r w:rsidRPr="00481A53">
        <w:rPr>
          <w:noProof/>
        </w:rPr>
        <w:instrText xml:space="preserve"> PAGEREF _Toc493598768 \h </w:instrText>
      </w:r>
      <w:r w:rsidRPr="00481A53">
        <w:rPr>
          <w:noProof/>
        </w:rPr>
      </w:r>
      <w:r w:rsidRPr="00481A53">
        <w:rPr>
          <w:noProof/>
        </w:rPr>
        <w:fldChar w:fldCharType="separate"/>
      </w:r>
      <w:r w:rsidR="00866E38">
        <w:rPr>
          <w:noProof/>
        </w:rPr>
        <w:t>2</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3</w:t>
      </w:r>
      <w:r>
        <w:rPr>
          <w:noProof/>
        </w:rPr>
        <w:tab/>
        <w:t>Definitions</w:t>
      </w:r>
      <w:bookmarkStart w:id="1" w:name="_GoBack"/>
      <w:bookmarkEnd w:id="1"/>
      <w:r w:rsidRPr="00481A53">
        <w:rPr>
          <w:noProof/>
        </w:rPr>
        <w:tab/>
      </w:r>
      <w:r w:rsidRPr="00481A53">
        <w:rPr>
          <w:noProof/>
        </w:rPr>
        <w:fldChar w:fldCharType="begin"/>
      </w:r>
      <w:r w:rsidRPr="00481A53">
        <w:rPr>
          <w:noProof/>
        </w:rPr>
        <w:instrText xml:space="preserve"> PAGEREF _Toc493598769 \h </w:instrText>
      </w:r>
      <w:r w:rsidRPr="00481A53">
        <w:rPr>
          <w:noProof/>
        </w:rPr>
      </w:r>
      <w:r w:rsidRPr="00481A53">
        <w:rPr>
          <w:noProof/>
        </w:rPr>
        <w:fldChar w:fldCharType="separate"/>
      </w:r>
      <w:r w:rsidR="00866E38">
        <w:rPr>
          <w:noProof/>
        </w:rPr>
        <w:t>2</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4</w:t>
      </w:r>
      <w:r>
        <w:rPr>
          <w:noProof/>
        </w:rPr>
        <w:tab/>
        <w:t>Transmitter licence associated with a commercial broadcasting licence</w:t>
      </w:r>
      <w:r w:rsidRPr="00481A53">
        <w:rPr>
          <w:noProof/>
        </w:rPr>
        <w:tab/>
      </w:r>
      <w:r w:rsidRPr="00481A53">
        <w:rPr>
          <w:noProof/>
        </w:rPr>
        <w:fldChar w:fldCharType="begin"/>
      </w:r>
      <w:r w:rsidRPr="00481A53">
        <w:rPr>
          <w:noProof/>
        </w:rPr>
        <w:instrText xml:space="preserve"> PAGEREF _Toc493598770 \h </w:instrText>
      </w:r>
      <w:r w:rsidRPr="00481A53">
        <w:rPr>
          <w:noProof/>
        </w:rPr>
      </w:r>
      <w:r w:rsidRPr="00481A53">
        <w:rPr>
          <w:noProof/>
        </w:rPr>
        <w:fldChar w:fldCharType="separate"/>
      </w:r>
      <w:r w:rsidR="00866E38">
        <w:rPr>
          <w:noProof/>
        </w:rPr>
        <w:t>3</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481A53">
        <w:rPr>
          <w:noProof/>
        </w:rPr>
        <w:tab/>
      </w:r>
      <w:r w:rsidRPr="00481A53">
        <w:rPr>
          <w:noProof/>
        </w:rPr>
        <w:fldChar w:fldCharType="begin"/>
      </w:r>
      <w:r w:rsidRPr="00481A53">
        <w:rPr>
          <w:noProof/>
        </w:rPr>
        <w:instrText xml:space="preserve"> PAGEREF _Toc493598771 \h </w:instrText>
      </w:r>
      <w:r w:rsidRPr="00481A53">
        <w:rPr>
          <w:noProof/>
        </w:rPr>
      </w:r>
      <w:r w:rsidRPr="00481A53">
        <w:rPr>
          <w:noProof/>
        </w:rPr>
        <w:fldChar w:fldCharType="separate"/>
      </w:r>
      <w:r w:rsidR="00866E38">
        <w:rPr>
          <w:noProof/>
        </w:rPr>
        <w:t>4</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6</w:t>
      </w:r>
      <w:r>
        <w:rPr>
          <w:noProof/>
        </w:rPr>
        <w:tab/>
        <w:t>Imposition of tax</w:t>
      </w:r>
      <w:r w:rsidRPr="00481A53">
        <w:rPr>
          <w:noProof/>
        </w:rPr>
        <w:tab/>
      </w:r>
      <w:r w:rsidRPr="00481A53">
        <w:rPr>
          <w:noProof/>
        </w:rPr>
        <w:fldChar w:fldCharType="begin"/>
      </w:r>
      <w:r w:rsidRPr="00481A53">
        <w:rPr>
          <w:noProof/>
        </w:rPr>
        <w:instrText xml:space="preserve"> PAGEREF _Toc493598772 \h </w:instrText>
      </w:r>
      <w:r w:rsidRPr="00481A53">
        <w:rPr>
          <w:noProof/>
        </w:rPr>
      </w:r>
      <w:r w:rsidRPr="00481A53">
        <w:rPr>
          <w:noProof/>
        </w:rPr>
        <w:fldChar w:fldCharType="separate"/>
      </w:r>
      <w:r w:rsidR="00866E38">
        <w:rPr>
          <w:noProof/>
        </w:rPr>
        <w:t>4</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7</w:t>
      </w:r>
      <w:r>
        <w:rPr>
          <w:noProof/>
        </w:rPr>
        <w:tab/>
        <w:t>Amount of tax</w:t>
      </w:r>
      <w:r w:rsidRPr="00481A53">
        <w:rPr>
          <w:noProof/>
        </w:rPr>
        <w:tab/>
      </w:r>
      <w:r w:rsidRPr="00481A53">
        <w:rPr>
          <w:noProof/>
        </w:rPr>
        <w:fldChar w:fldCharType="begin"/>
      </w:r>
      <w:r w:rsidRPr="00481A53">
        <w:rPr>
          <w:noProof/>
        </w:rPr>
        <w:instrText xml:space="preserve"> PAGEREF _Toc493598773 \h </w:instrText>
      </w:r>
      <w:r w:rsidRPr="00481A53">
        <w:rPr>
          <w:noProof/>
        </w:rPr>
      </w:r>
      <w:r w:rsidRPr="00481A53">
        <w:rPr>
          <w:noProof/>
        </w:rPr>
        <w:fldChar w:fldCharType="separate"/>
      </w:r>
      <w:r w:rsidR="00866E38">
        <w:rPr>
          <w:noProof/>
        </w:rPr>
        <w:t>6</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8</w:t>
      </w:r>
      <w:r>
        <w:rPr>
          <w:noProof/>
        </w:rPr>
        <w:tab/>
        <w:t>Individual transmitter amount</w:t>
      </w:r>
      <w:r w:rsidRPr="00481A53">
        <w:rPr>
          <w:noProof/>
        </w:rPr>
        <w:tab/>
      </w:r>
      <w:r w:rsidRPr="00481A53">
        <w:rPr>
          <w:noProof/>
        </w:rPr>
        <w:fldChar w:fldCharType="begin"/>
      </w:r>
      <w:r w:rsidRPr="00481A53">
        <w:rPr>
          <w:noProof/>
        </w:rPr>
        <w:instrText xml:space="preserve"> PAGEREF _Toc493598774 \h </w:instrText>
      </w:r>
      <w:r w:rsidRPr="00481A53">
        <w:rPr>
          <w:noProof/>
        </w:rPr>
      </w:r>
      <w:r w:rsidRPr="00481A53">
        <w:rPr>
          <w:noProof/>
        </w:rPr>
        <w:fldChar w:fldCharType="separate"/>
      </w:r>
      <w:r w:rsidR="00866E38">
        <w:rPr>
          <w:noProof/>
        </w:rPr>
        <w:t>7</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9</w:t>
      </w:r>
      <w:r>
        <w:rPr>
          <w:noProof/>
        </w:rPr>
        <w:tab/>
        <w:t>Individual transmitter amount cap</w:t>
      </w:r>
      <w:r w:rsidRPr="00481A53">
        <w:rPr>
          <w:noProof/>
        </w:rPr>
        <w:tab/>
      </w:r>
      <w:r w:rsidRPr="00481A53">
        <w:rPr>
          <w:noProof/>
        </w:rPr>
        <w:fldChar w:fldCharType="begin"/>
      </w:r>
      <w:r w:rsidRPr="00481A53">
        <w:rPr>
          <w:noProof/>
        </w:rPr>
        <w:instrText xml:space="preserve"> PAGEREF _Toc493598775 \h </w:instrText>
      </w:r>
      <w:r w:rsidRPr="00481A53">
        <w:rPr>
          <w:noProof/>
        </w:rPr>
      </w:r>
      <w:r w:rsidRPr="00481A53">
        <w:rPr>
          <w:noProof/>
        </w:rPr>
        <w:fldChar w:fldCharType="separate"/>
      </w:r>
      <w:r w:rsidR="00866E38">
        <w:rPr>
          <w:noProof/>
        </w:rPr>
        <w:t>8</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10</w:t>
      </w:r>
      <w:r>
        <w:rPr>
          <w:noProof/>
        </w:rPr>
        <w:tab/>
        <w:t>Person liable to pay tax</w:t>
      </w:r>
      <w:r w:rsidRPr="00481A53">
        <w:rPr>
          <w:noProof/>
        </w:rPr>
        <w:tab/>
      </w:r>
      <w:r w:rsidRPr="00481A53">
        <w:rPr>
          <w:noProof/>
        </w:rPr>
        <w:fldChar w:fldCharType="begin"/>
      </w:r>
      <w:r w:rsidRPr="00481A53">
        <w:rPr>
          <w:noProof/>
        </w:rPr>
        <w:instrText xml:space="preserve"> PAGEREF _Toc493598776 \h </w:instrText>
      </w:r>
      <w:r w:rsidRPr="00481A53">
        <w:rPr>
          <w:noProof/>
        </w:rPr>
      </w:r>
      <w:r w:rsidRPr="00481A53">
        <w:rPr>
          <w:noProof/>
        </w:rPr>
        <w:fldChar w:fldCharType="separate"/>
      </w:r>
      <w:r w:rsidR="00866E38">
        <w:rPr>
          <w:noProof/>
        </w:rPr>
        <w:t>10</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11</w:t>
      </w:r>
      <w:r>
        <w:rPr>
          <w:noProof/>
        </w:rPr>
        <w:tab/>
        <w:t>Termination time</w:t>
      </w:r>
      <w:r w:rsidRPr="00481A53">
        <w:rPr>
          <w:noProof/>
        </w:rPr>
        <w:tab/>
      </w:r>
      <w:r w:rsidRPr="00481A53">
        <w:rPr>
          <w:noProof/>
        </w:rPr>
        <w:fldChar w:fldCharType="begin"/>
      </w:r>
      <w:r w:rsidRPr="00481A53">
        <w:rPr>
          <w:noProof/>
        </w:rPr>
        <w:instrText xml:space="preserve"> PAGEREF _Toc493598777 \h </w:instrText>
      </w:r>
      <w:r w:rsidRPr="00481A53">
        <w:rPr>
          <w:noProof/>
        </w:rPr>
      </w:r>
      <w:r w:rsidRPr="00481A53">
        <w:rPr>
          <w:noProof/>
        </w:rPr>
        <w:fldChar w:fldCharType="separate"/>
      </w:r>
      <w:r w:rsidR="00866E38">
        <w:rPr>
          <w:noProof/>
        </w:rPr>
        <w:t>11</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12</w:t>
      </w:r>
      <w:r>
        <w:rPr>
          <w:noProof/>
        </w:rPr>
        <w:tab/>
        <w:t>Indexation factor</w:t>
      </w:r>
      <w:r w:rsidRPr="00481A53">
        <w:rPr>
          <w:noProof/>
        </w:rPr>
        <w:tab/>
      </w:r>
      <w:r w:rsidRPr="00481A53">
        <w:rPr>
          <w:noProof/>
        </w:rPr>
        <w:fldChar w:fldCharType="begin"/>
      </w:r>
      <w:r w:rsidRPr="00481A53">
        <w:rPr>
          <w:noProof/>
        </w:rPr>
        <w:instrText xml:space="preserve"> PAGEREF _Toc493598778 \h </w:instrText>
      </w:r>
      <w:r w:rsidRPr="00481A53">
        <w:rPr>
          <w:noProof/>
        </w:rPr>
      </w:r>
      <w:r w:rsidRPr="00481A53">
        <w:rPr>
          <w:noProof/>
        </w:rPr>
        <w:fldChar w:fldCharType="separate"/>
      </w:r>
      <w:r w:rsidR="00866E38">
        <w:rPr>
          <w:noProof/>
        </w:rPr>
        <w:t>11</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13</w:t>
      </w:r>
      <w:r>
        <w:rPr>
          <w:noProof/>
        </w:rPr>
        <w:tab/>
        <w:t>Disallowance of determinations</w:t>
      </w:r>
      <w:r w:rsidRPr="00481A53">
        <w:rPr>
          <w:noProof/>
        </w:rPr>
        <w:tab/>
      </w:r>
      <w:r w:rsidRPr="00481A53">
        <w:rPr>
          <w:noProof/>
        </w:rPr>
        <w:fldChar w:fldCharType="begin"/>
      </w:r>
      <w:r w:rsidRPr="00481A53">
        <w:rPr>
          <w:noProof/>
        </w:rPr>
        <w:instrText xml:space="preserve"> PAGEREF _Toc493598779 \h </w:instrText>
      </w:r>
      <w:r w:rsidRPr="00481A53">
        <w:rPr>
          <w:noProof/>
        </w:rPr>
      </w:r>
      <w:r w:rsidRPr="00481A53">
        <w:rPr>
          <w:noProof/>
        </w:rPr>
        <w:fldChar w:fldCharType="separate"/>
      </w:r>
      <w:r w:rsidR="00866E38">
        <w:rPr>
          <w:noProof/>
        </w:rPr>
        <w:t>12</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14</w:t>
      </w:r>
      <w:r>
        <w:rPr>
          <w:noProof/>
        </w:rPr>
        <w:tab/>
        <w:t>Rebates</w:t>
      </w:r>
      <w:r w:rsidRPr="00481A53">
        <w:rPr>
          <w:noProof/>
        </w:rPr>
        <w:tab/>
      </w:r>
      <w:r w:rsidRPr="00481A53">
        <w:rPr>
          <w:noProof/>
        </w:rPr>
        <w:fldChar w:fldCharType="begin"/>
      </w:r>
      <w:r w:rsidRPr="00481A53">
        <w:rPr>
          <w:noProof/>
        </w:rPr>
        <w:instrText xml:space="preserve"> PAGEREF _Toc493598780 \h </w:instrText>
      </w:r>
      <w:r w:rsidRPr="00481A53">
        <w:rPr>
          <w:noProof/>
        </w:rPr>
      </w:r>
      <w:r w:rsidRPr="00481A53">
        <w:rPr>
          <w:noProof/>
        </w:rPr>
        <w:fldChar w:fldCharType="separate"/>
      </w:r>
      <w:r w:rsidR="00866E38">
        <w:rPr>
          <w:noProof/>
        </w:rPr>
        <w:t>13</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15</w:t>
      </w:r>
      <w:r>
        <w:rPr>
          <w:noProof/>
        </w:rPr>
        <w:tab/>
        <w:t>Act does not impose a tax on property of a State</w:t>
      </w:r>
      <w:r w:rsidRPr="00481A53">
        <w:rPr>
          <w:noProof/>
        </w:rPr>
        <w:tab/>
      </w:r>
      <w:r w:rsidRPr="00481A53">
        <w:rPr>
          <w:noProof/>
        </w:rPr>
        <w:fldChar w:fldCharType="begin"/>
      </w:r>
      <w:r w:rsidRPr="00481A53">
        <w:rPr>
          <w:noProof/>
        </w:rPr>
        <w:instrText xml:space="preserve"> PAGEREF _Toc493598781 \h </w:instrText>
      </w:r>
      <w:r w:rsidRPr="00481A53">
        <w:rPr>
          <w:noProof/>
        </w:rPr>
      </w:r>
      <w:r w:rsidRPr="00481A53">
        <w:rPr>
          <w:noProof/>
        </w:rPr>
        <w:fldChar w:fldCharType="separate"/>
      </w:r>
      <w:r w:rsidR="00866E38">
        <w:rPr>
          <w:noProof/>
        </w:rPr>
        <w:t>13</w:t>
      </w:r>
      <w:r w:rsidRPr="00481A53">
        <w:rPr>
          <w:noProof/>
        </w:rPr>
        <w:fldChar w:fldCharType="end"/>
      </w:r>
    </w:p>
    <w:p w:rsidR="00481A53" w:rsidRDefault="00481A53">
      <w:pPr>
        <w:pStyle w:val="TOC5"/>
        <w:rPr>
          <w:rFonts w:asciiTheme="minorHAnsi" w:eastAsiaTheme="minorEastAsia" w:hAnsiTheme="minorHAnsi" w:cstheme="minorBidi"/>
          <w:noProof/>
          <w:kern w:val="0"/>
          <w:sz w:val="22"/>
          <w:szCs w:val="22"/>
        </w:rPr>
      </w:pPr>
      <w:r>
        <w:rPr>
          <w:noProof/>
        </w:rPr>
        <w:t>16</w:t>
      </w:r>
      <w:r>
        <w:rPr>
          <w:noProof/>
        </w:rPr>
        <w:tab/>
        <w:t>Transitional—power to make legislative instruments</w:t>
      </w:r>
      <w:r w:rsidRPr="00481A53">
        <w:rPr>
          <w:noProof/>
        </w:rPr>
        <w:tab/>
      </w:r>
      <w:r w:rsidRPr="00481A53">
        <w:rPr>
          <w:noProof/>
        </w:rPr>
        <w:fldChar w:fldCharType="begin"/>
      </w:r>
      <w:r w:rsidRPr="00481A53">
        <w:rPr>
          <w:noProof/>
        </w:rPr>
        <w:instrText xml:space="preserve"> PAGEREF _Toc493598782 \h </w:instrText>
      </w:r>
      <w:r w:rsidRPr="00481A53">
        <w:rPr>
          <w:noProof/>
        </w:rPr>
      </w:r>
      <w:r w:rsidRPr="00481A53">
        <w:rPr>
          <w:noProof/>
        </w:rPr>
        <w:fldChar w:fldCharType="separate"/>
      </w:r>
      <w:r w:rsidR="00866E38">
        <w:rPr>
          <w:noProof/>
        </w:rPr>
        <w:t>13</w:t>
      </w:r>
      <w:r w:rsidRPr="00481A53">
        <w:rPr>
          <w:noProof/>
        </w:rPr>
        <w:fldChar w:fldCharType="end"/>
      </w:r>
    </w:p>
    <w:p w:rsidR="005D7042" w:rsidRPr="00E5119C" w:rsidRDefault="00481A53" w:rsidP="00676489">
      <w:r>
        <w:fldChar w:fldCharType="end"/>
      </w:r>
    </w:p>
    <w:p w:rsidR="00374B0A" w:rsidRPr="00E5119C" w:rsidRDefault="00374B0A" w:rsidP="00715914">
      <w:pPr>
        <w:sectPr w:rsidR="00374B0A" w:rsidRPr="00E5119C" w:rsidSect="00D06C0A">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D06C0A" w:rsidRDefault="00866E38">
      <w:r>
        <w:lastRenderedPageBreak/>
        <w:pict>
          <v:shape id="_x0000_i1026" type="#_x0000_t75" style="width:111pt;height:80.25pt" fillcolor="window">
            <v:imagedata r:id="rId8" o:title=""/>
          </v:shape>
        </w:pict>
      </w:r>
    </w:p>
    <w:p w:rsidR="00D06C0A" w:rsidRDefault="00D06C0A"/>
    <w:p w:rsidR="00D06C0A" w:rsidRDefault="00D06C0A" w:rsidP="00D06C0A">
      <w:pPr>
        <w:spacing w:line="240" w:lineRule="auto"/>
      </w:pPr>
    </w:p>
    <w:p w:rsidR="00D06C0A" w:rsidRDefault="00866E38" w:rsidP="00D06C0A">
      <w:pPr>
        <w:pStyle w:val="ShortTP1"/>
      </w:pPr>
      <w:r>
        <w:fldChar w:fldCharType="begin"/>
      </w:r>
      <w:r>
        <w:instrText xml:space="preserve"> STYLEREF ShortT </w:instrText>
      </w:r>
      <w:r>
        <w:fldChar w:fldCharType="separate"/>
      </w:r>
      <w:r>
        <w:rPr>
          <w:noProof/>
        </w:rPr>
        <w:t>Commercial Broadcasting (Tax) Act 2017</w:t>
      </w:r>
      <w:r>
        <w:rPr>
          <w:noProof/>
        </w:rPr>
        <w:fldChar w:fldCharType="end"/>
      </w:r>
    </w:p>
    <w:p w:rsidR="00D06C0A" w:rsidRDefault="00866E38" w:rsidP="00D06C0A">
      <w:pPr>
        <w:pStyle w:val="ActNoP1"/>
      </w:pPr>
      <w:r>
        <w:fldChar w:fldCharType="begin"/>
      </w:r>
      <w:r>
        <w:instrText xml:space="preserve"> STYLEREF Actno </w:instrText>
      </w:r>
      <w:r>
        <w:fldChar w:fldCharType="separate"/>
      </w:r>
      <w:r>
        <w:rPr>
          <w:noProof/>
        </w:rPr>
        <w:t>No. 110, 2017</w:t>
      </w:r>
      <w:r>
        <w:rPr>
          <w:noProof/>
        </w:rPr>
        <w:fldChar w:fldCharType="end"/>
      </w:r>
    </w:p>
    <w:p w:rsidR="00D06C0A" w:rsidRPr="009A0728" w:rsidRDefault="00D06C0A" w:rsidP="009A0728">
      <w:pPr>
        <w:pBdr>
          <w:bottom w:val="single" w:sz="6" w:space="0" w:color="auto"/>
        </w:pBdr>
        <w:spacing w:before="400" w:line="240" w:lineRule="auto"/>
        <w:rPr>
          <w:rFonts w:eastAsia="Times New Roman"/>
          <w:b/>
          <w:sz w:val="28"/>
        </w:rPr>
      </w:pPr>
    </w:p>
    <w:p w:rsidR="00D06C0A" w:rsidRPr="009A0728" w:rsidRDefault="00D06C0A" w:rsidP="009A0728">
      <w:pPr>
        <w:spacing w:line="40" w:lineRule="exact"/>
        <w:rPr>
          <w:rFonts w:eastAsia="Calibri"/>
          <w:b/>
          <w:sz w:val="28"/>
        </w:rPr>
      </w:pPr>
    </w:p>
    <w:p w:rsidR="00D06C0A" w:rsidRPr="009A0728" w:rsidRDefault="00D06C0A" w:rsidP="009A0728">
      <w:pPr>
        <w:pBdr>
          <w:top w:val="single" w:sz="12" w:space="0" w:color="auto"/>
        </w:pBdr>
        <w:spacing w:line="240" w:lineRule="auto"/>
        <w:rPr>
          <w:rFonts w:eastAsia="Times New Roman"/>
          <w:b/>
          <w:sz w:val="28"/>
        </w:rPr>
      </w:pPr>
    </w:p>
    <w:p w:rsidR="00715914" w:rsidRPr="00E5119C" w:rsidRDefault="00D06C0A" w:rsidP="00E5119C">
      <w:pPr>
        <w:pStyle w:val="Page1"/>
      </w:pPr>
      <w:r>
        <w:t>An Act</w:t>
      </w:r>
      <w:r w:rsidR="00E5119C" w:rsidRPr="00E5119C">
        <w:t xml:space="preserve"> to impose a tax relating to transmitter licences that are associated with commercial broadcasting licences, and for related purposes</w:t>
      </w:r>
    </w:p>
    <w:p w:rsidR="00B55212" w:rsidRDefault="00B55212" w:rsidP="000C5962">
      <w:pPr>
        <w:pStyle w:val="AssentDt"/>
        <w:spacing w:before="240"/>
        <w:rPr>
          <w:sz w:val="24"/>
        </w:rPr>
      </w:pPr>
      <w:r>
        <w:rPr>
          <w:sz w:val="24"/>
        </w:rPr>
        <w:t>[</w:t>
      </w:r>
      <w:r>
        <w:rPr>
          <w:i/>
          <w:sz w:val="24"/>
        </w:rPr>
        <w:t>Assented to 18 September 2017</w:t>
      </w:r>
      <w:r>
        <w:rPr>
          <w:sz w:val="24"/>
        </w:rPr>
        <w:t>]</w:t>
      </w:r>
    </w:p>
    <w:p w:rsidR="00715914" w:rsidRPr="00E5119C" w:rsidRDefault="00715914" w:rsidP="00E5119C">
      <w:pPr>
        <w:spacing w:before="240" w:line="240" w:lineRule="auto"/>
        <w:rPr>
          <w:sz w:val="32"/>
        </w:rPr>
      </w:pPr>
      <w:r w:rsidRPr="00E5119C">
        <w:rPr>
          <w:sz w:val="32"/>
        </w:rPr>
        <w:t>The Parliament of Australia enacts:</w:t>
      </w:r>
    </w:p>
    <w:p w:rsidR="00715914" w:rsidRPr="00E5119C" w:rsidRDefault="00D45D99" w:rsidP="00E5119C">
      <w:pPr>
        <w:pStyle w:val="ActHead5"/>
      </w:pPr>
      <w:bookmarkStart w:id="2" w:name="_Toc493598767"/>
      <w:r w:rsidRPr="00E5119C">
        <w:rPr>
          <w:rStyle w:val="CharSectno"/>
        </w:rPr>
        <w:t>1</w:t>
      </w:r>
      <w:r w:rsidR="00715914" w:rsidRPr="00E5119C">
        <w:t xml:space="preserve">  Short title</w:t>
      </w:r>
      <w:bookmarkEnd w:id="2"/>
    </w:p>
    <w:p w:rsidR="00715914" w:rsidRPr="00E5119C" w:rsidRDefault="00715914" w:rsidP="00E5119C">
      <w:pPr>
        <w:pStyle w:val="subsection"/>
      </w:pPr>
      <w:r w:rsidRPr="00E5119C">
        <w:tab/>
      </w:r>
      <w:r w:rsidRPr="00E5119C">
        <w:tab/>
        <w:t xml:space="preserve">This Act </w:t>
      </w:r>
      <w:r w:rsidR="00B20224" w:rsidRPr="00E5119C">
        <w:t>is</w:t>
      </w:r>
      <w:r w:rsidRPr="00E5119C">
        <w:t xml:space="preserve"> the </w:t>
      </w:r>
      <w:r w:rsidR="00AE6795" w:rsidRPr="00E5119C">
        <w:rPr>
          <w:i/>
        </w:rPr>
        <w:t>Commercial Broadcasting (</w:t>
      </w:r>
      <w:r w:rsidR="00A937BF" w:rsidRPr="00E5119C">
        <w:rPr>
          <w:i/>
        </w:rPr>
        <w:t>Tax</w:t>
      </w:r>
      <w:r w:rsidR="00AE6795" w:rsidRPr="00E5119C">
        <w:rPr>
          <w:i/>
        </w:rPr>
        <w:t>)</w:t>
      </w:r>
      <w:r w:rsidR="001F5D5E" w:rsidRPr="00E5119C">
        <w:rPr>
          <w:i/>
        </w:rPr>
        <w:t xml:space="preserve"> Act 201</w:t>
      </w:r>
      <w:r w:rsidR="00FD53C3" w:rsidRPr="00E5119C">
        <w:rPr>
          <w:i/>
        </w:rPr>
        <w:t>7</w:t>
      </w:r>
      <w:r w:rsidRPr="00E5119C">
        <w:t>.</w:t>
      </w:r>
    </w:p>
    <w:p w:rsidR="00715914" w:rsidRPr="00E5119C" w:rsidRDefault="00D45D99" w:rsidP="00E5119C">
      <w:pPr>
        <w:pStyle w:val="ActHead5"/>
      </w:pPr>
      <w:bookmarkStart w:id="3" w:name="_Toc493598768"/>
      <w:r w:rsidRPr="00E5119C">
        <w:rPr>
          <w:rStyle w:val="CharSectno"/>
        </w:rPr>
        <w:t>2</w:t>
      </w:r>
      <w:r w:rsidR="00715914" w:rsidRPr="00E5119C">
        <w:t xml:space="preserve">  Commencement</w:t>
      </w:r>
      <w:bookmarkEnd w:id="3"/>
    </w:p>
    <w:p w:rsidR="00715914" w:rsidRPr="00E5119C" w:rsidRDefault="00715914" w:rsidP="00E5119C">
      <w:pPr>
        <w:pStyle w:val="subsection"/>
      </w:pPr>
      <w:r w:rsidRPr="00E5119C">
        <w:tab/>
        <w:t>(1)</w:t>
      </w:r>
      <w:r w:rsidRPr="00E5119C">
        <w:tab/>
        <w:t>Each provision of this Act specified in column 1 of the table commences, or is taken to have commenced, in accordance with column 2 of the table. Any other statement in column 2 has effect according to its terms.</w:t>
      </w:r>
    </w:p>
    <w:p w:rsidR="00715914" w:rsidRPr="00E5119C" w:rsidRDefault="00715914" w:rsidP="00E5119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E5119C" w:rsidTr="002D1446">
        <w:trPr>
          <w:tblHeader/>
        </w:trPr>
        <w:tc>
          <w:tcPr>
            <w:tcW w:w="7111" w:type="dxa"/>
            <w:gridSpan w:val="3"/>
            <w:tcBorders>
              <w:top w:val="single" w:sz="12" w:space="0" w:color="auto"/>
              <w:bottom w:val="single" w:sz="6" w:space="0" w:color="auto"/>
            </w:tcBorders>
            <w:shd w:val="clear" w:color="auto" w:fill="auto"/>
          </w:tcPr>
          <w:p w:rsidR="00715914" w:rsidRPr="00E5119C" w:rsidRDefault="00715914" w:rsidP="00E5119C">
            <w:pPr>
              <w:pStyle w:val="TableHeading"/>
            </w:pPr>
            <w:r w:rsidRPr="00E5119C">
              <w:t>Commencement information</w:t>
            </w:r>
          </w:p>
        </w:tc>
      </w:tr>
      <w:tr w:rsidR="00715914" w:rsidRPr="00E5119C" w:rsidTr="002D1446">
        <w:trPr>
          <w:tblHeader/>
        </w:trPr>
        <w:tc>
          <w:tcPr>
            <w:tcW w:w="1701" w:type="dxa"/>
            <w:tcBorders>
              <w:top w:val="single" w:sz="6" w:space="0" w:color="auto"/>
              <w:bottom w:val="single" w:sz="6" w:space="0" w:color="auto"/>
            </w:tcBorders>
            <w:shd w:val="clear" w:color="auto" w:fill="auto"/>
          </w:tcPr>
          <w:p w:rsidR="00715914" w:rsidRPr="00E5119C" w:rsidRDefault="00715914" w:rsidP="00E5119C">
            <w:pPr>
              <w:pStyle w:val="TableHeading"/>
            </w:pPr>
            <w:r w:rsidRPr="00E5119C">
              <w:t>Column 1</w:t>
            </w:r>
          </w:p>
        </w:tc>
        <w:tc>
          <w:tcPr>
            <w:tcW w:w="3828" w:type="dxa"/>
            <w:tcBorders>
              <w:top w:val="single" w:sz="6" w:space="0" w:color="auto"/>
              <w:bottom w:val="single" w:sz="6" w:space="0" w:color="auto"/>
            </w:tcBorders>
            <w:shd w:val="clear" w:color="auto" w:fill="auto"/>
          </w:tcPr>
          <w:p w:rsidR="00715914" w:rsidRPr="00E5119C" w:rsidRDefault="00715914" w:rsidP="00E5119C">
            <w:pPr>
              <w:pStyle w:val="TableHeading"/>
            </w:pPr>
            <w:r w:rsidRPr="00E5119C">
              <w:t>Column 2</w:t>
            </w:r>
          </w:p>
        </w:tc>
        <w:tc>
          <w:tcPr>
            <w:tcW w:w="1582" w:type="dxa"/>
            <w:tcBorders>
              <w:top w:val="single" w:sz="6" w:space="0" w:color="auto"/>
              <w:bottom w:val="single" w:sz="6" w:space="0" w:color="auto"/>
            </w:tcBorders>
            <w:shd w:val="clear" w:color="auto" w:fill="auto"/>
          </w:tcPr>
          <w:p w:rsidR="00715914" w:rsidRPr="00E5119C" w:rsidRDefault="00715914" w:rsidP="00E5119C">
            <w:pPr>
              <w:pStyle w:val="TableHeading"/>
            </w:pPr>
            <w:r w:rsidRPr="00E5119C">
              <w:t>Column 3</w:t>
            </w:r>
          </w:p>
        </w:tc>
      </w:tr>
      <w:tr w:rsidR="00715914" w:rsidRPr="00E5119C" w:rsidTr="002D1446">
        <w:trPr>
          <w:tblHeader/>
        </w:trPr>
        <w:tc>
          <w:tcPr>
            <w:tcW w:w="1701" w:type="dxa"/>
            <w:tcBorders>
              <w:top w:val="single" w:sz="6" w:space="0" w:color="auto"/>
              <w:bottom w:val="single" w:sz="12" w:space="0" w:color="auto"/>
            </w:tcBorders>
            <w:shd w:val="clear" w:color="auto" w:fill="auto"/>
          </w:tcPr>
          <w:p w:rsidR="00715914" w:rsidRPr="00E5119C" w:rsidRDefault="00715914" w:rsidP="00E5119C">
            <w:pPr>
              <w:pStyle w:val="TableHeading"/>
            </w:pPr>
            <w:r w:rsidRPr="00E5119C">
              <w:t>Provisions</w:t>
            </w:r>
          </w:p>
        </w:tc>
        <w:tc>
          <w:tcPr>
            <w:tcW w:w="3828" w:type="dxa"/>
            <w:tcBorders>
              <w:top w:val="single" w:sz="6" w:space="0" w:color="auto"/>
              <w:bottom w:val="single" w:sz="12" w:space="0" w:color="auto"/>
            </w:tcBorders>
            <w:shd w:val="clear" w:color="auto" w:fill="auto"/>
          </w:tcPr>
          <w:p w:rsidR="00715914" w:rsidRPr="00E5119C" w:rsidRDefault="00715914" w:rsidP="00E5119C">
            <w:pPr>
              <w:pStyle w:val="TableHeading"/>
            </w:pPr>
            <w:r w:rsidRPr="00E5119C">
              <w:t>Commencement</w:t>
            </w:r>
          </w:p>
        </w:tc>
        <w:tc>
          <w:tcPr>
            <w:tcW w:w="1582" w:type="dxa"/>
            <w:tcBorders>
              <w:top w:val="single" w:sz="6" w:space="0" w:color="auto"/>
              <w:bottom w:val="single" w:sz="12" w:space="0" w:color="auto"/>
            </w:tcBorders>
            <w:shd w:val="clear" w:color="auto" w:fill="auto"/>
          </w:tcPr>
          <w:p w:rsidR="00715914" w:rsidRPr="00E5119C" w:rsidRDefault="00715914" w:rsidP="00E5119C">
            <w:pPr>
              <w:pStyle w:val="TableHeading"/>
            </w:pPr>
            <w:r w:rsidRPr="00E5119C">
              <w:t>Date/Details</w:t>
            </w:r>
          </w:p>
        </w:tc>
      </w:tr>
      <w:tr w:rsidR="00715914" w:rsidRPr="00E5119C" w:rsidTr="002D1446">
        <w:tc>
          <w:tcPr>
            <w:tcW w:w="1701" w:type="dxa"/>
            <w:tcBorders>
              <w:bottom w:val="single" w:sz="12" w:space="0" w:color="auto"/>
            </w:tcBorders>
            <w:shd w:val="clear" w:color="auto" w:fill="auto"/>
          </w:tcPr>
          <w:p w:rsidR="00715914" w:rsidRPr="00E5119C" w:rsidRDefault="0048012F" w:rsidP="00E5119C">
            <w:pPr>
              <w:pStyle w:val="Tabletext"/>
            </w:pPr>
            <w:r w:rsidRPr="00E5119C">
              <w:t>1</w:t>
            </w:r>
            <w:r w:rsidR="00715914" w:rsidRPr="00E5119C">
              <w:t xml:space="preserve">.  </w:t>
            </w:r>
            <w:r w:rsidRPr="00E5119C">
              <w:t>The whole of this Act</w:t>
            </w:r>
          </w:p>
        </w:tc>
        <w:tc>
          <w:tcPr>
            <w:tcW w:w="3828" w:type="dxa"/>
            <w:tcBorders>
              <w:bottom w:val="single" w:sz="12" w:space="0" w:color="auto"/>
            </w:tcBorders>
            <w:shd w:val="clear" w:color="auto" w:fill="auto"/>
          </w:tcPr>
          <w:p w:rsidR="00715914" w:rsidRPr="00E5119C" w:rsidRDefault="00616C63" w:rsidP="00E5119C">
            <w:pPr>
              <w:pStyle w:val="Tabletext"/>
            </w:pPr>
            <w:r w:rsidRPr="00E5119C">
              <w:t>1</w:t>
            </w:r>
            <w:r w:rsidR="00E5119C" w:rsidRPr="00E5119C">
              <w:t> </w:t>
            </w:r>
            <w:r w:rsidRPr="00E5119C">
              <w:t>July 2017.</w:t>
            </w:r>
          </w:p>
          <w:p w:rsidR="00C64C86" w:rsidRPr="00E5119C" w:rsidRDefault="00C64C86" w:rsidP="00E5119C">
            <w:pPr>
              <w:pStyle w:val="Tabletext"/>
            </w:pPr>
            <w:r w:rsidRPr="00E5119C">
              <w:t xml:space="preserve">However, the provisions do not commence at all if the </w:t>
            </w:r>
            <w:r w:rsidRPr="00E5119C">
              <w:rPr>
                <w:i/>
              </w:rPr>
              <w:t>Broadcasting Legislation Amendment (Broadcasting Reform) Act 2017</w:t>
            </w:r>
            <w:r w:rsidRPr="00E5119C">
              <w:t xml:space="preserve"> does not receive the Royal Assent.</w:t>
            </w:r>
          </w:p>
        </w:tc>
        <w:tc>
          <w:tcPr>
            <w:tcW w:w="1582" w:type="dxa"/>
            <w:tcBorders>
              <w:bottom w:val="single" w:sz="12" w:space="0" w:color="auto"/>
            </w:tcBorders>
            <w:shd w:val="clear" w:color="auto" w:fill="auto"/>
          </w:tcPr>
          <w:p w:rsidR="00715914" w:rsidRPr="00E5119C" w:rsidRDefault="00866E38" w:rsidP="00E5119C">
            <w:pPr>
              <w:pStyle w:val="Tabletext"/>
            </w:pPr>
            <w:r>
              <w:t>1 July 2017</w:t>
            </w:r>
          </w:p>
        </w:tc>
      </w:tr>
    </w:tbl>
    <w:p w:rsidR="00715914" w:rsidRPr="00E5119C" w:rsidRDefault="00B80199" w:rsidP="00E5119C">
      <w:pPr>
        <w:pStyle w:val="notetext"/>
      </w:pPr>
      <w:r w:rsidRPr="00E5119C">
        <w:t>Note:</w:t>
      </w:r>
      <w:r w:rsidRPr="00E5119C">
        <w:tab/>
        <w:t>This table relates only to the provisions of this Act as originally enacted. It will not be amended to deal with any later amendments of this Act.</w:t>
      </w:r>
    </w:p>
    <w:p w:rsidR="00715914" w:rsidRPr="00E5119C" w:rsidRDefault="00715914" w:rsidP="00E5119C">
      <w:pPr>
        <w:pStyle w:val="subsection"/>
      </w:pPr>
      <w:r w:rsidRPr="00E5119C">
        <w:tab/>
        <w:t>(2)</w:t>
      </w:r>
      <w:r w:rsidRPr="00E5119C">
        <w:tab/>
      </w:r>
      <w:r w:rsidR="00B80199" w:rsidRPr="00E5119C">
        <w:t xml:space="preserve">Any information in </w:t>
      </w:r>
      <w:r w:rsidR="009532A5" w:rsidRPr="00E5119C">
        <w:t>c</w:t>
      </w:r>
      <w:r w:rsidR="00B80199" w:rsidRPr="00E5119C">
        <w:t>olumn 3 of the table is not part of this Act. Information may be inserted in this column, or information in it may be edited, in any published version of this Act.</w:t>
      </w:r>
    </w:p>
    <w:p w:rsidR="00C41979" w:rsidRPr="00E5119C" w:rsidRDefault="00D45D99" w:rsidP="00E5119C">
      <w:pPr>
        <w:pStyle w:val="ActHead5"/>
      </w:pPr>
      <w:bookmarkStart w:id="4" w:name="_Toc493598769"/>
      <w:r w:rsidRPr="00E5119C">
        <w:rPr>
          <w:rStyle w:val="CharSectno"/>
        </w:rPr>
        <w:t>3</w:t>
      </w:r>
      <w:r w:rsidR="00C41979" w:rsidRPr="00E5119C">
        <w:t xml:space="preserve">  Definitions</w:t>
      </w:r>
      <w:bookmarkEnd w:id="4"/>
    </w:p>
    <w:p w:rsidR="001F2AB4" w:rsidRPr="00E5119C" w:rsidRDefault="001F2AB4" w:rsidP="00E5119C">
      <w:pPr>
        <w:pStyle w:val="subsection"/>
      </w:pPr>
      <w:r w:rsidRPr="00E5119C">
        <w:tab/>
      </w:r>
      <w:r w:rsidRPr="00E5119C">
        <w:tab/>
        <w:t>In this Act:</w:t>
      </w:r>
    </w:p>
    <w:p w:rsidR="001F2AB4" w:rsidRPr="00E5119C" w:rsidRDefault="001F2AB4" w:rsidP="00E5119C">
      <w:pPr>
        <w:pStyle w:val="Definition"/>
      </w:pPr>
      <w:r w:rsidRPr="00E5119C">
        <w:rPr>
          <w:b/>
          <w:i/>
        </w:rPr>
        <w:t>associated with a commercial broadcasting licence</w:t>
      </w:r>
      <w:r w:rsidRPr="00E5119C">
        <w:t xml:space="preserve"> has the meaning given by section</w:t>
      </w:r>
      <w:r w:rsidR="00E5119C" w:rsidRPr="00E5119C">
        <w:t> </w:t>
      </w:r>
      <w:r w:rsidR="00D45D99" w:rsidRPr="00E5119C">
        <w:t>4</w:t>
      </w:r>
      <w:r w:rsidRPr="00E5119C">
        <w:t>.</w:t>
      </w:r>
    </w:p>
    <w:p w:rsidR="00561558" w:rsidRPr="00E5119C" w:rsidRDefault="00561558" w:rsidP="00E5119C">
      <w:pPr>
        <w:pStyle w:val="Definition"/>
      </w:pPr>
      <w:r w:rsidRPr="00E5119C">
        <w:rPr>
          <w:b/>
          <w:i/>
        </w:rPr>
        <w:t>broadcasting service</w:t>
      </w:r>
      <w:r w:rsidRPr="00E5119C">
        <w:t xml:space="preserve"> has the same meaning as in the </w:t>
      </w:r>
      <w:r w:rsidRPr="00E5119C">
        <w:rPr>
          <w:i/>
        </w:rPr>
        <w:t>Broadcasting Services Act 1992</w:t>
      </w:r>
      <w:r w:rsidRPr="00E5119C">
        <w:t>.</w:t>
      </w:r>
    </w:p>
    <w:p w:rsidR="00AD1699" w:rsidRPr="00E5119C" w:rsidRDefault="00AD1699" w:rsidP="00E5119C">
      <w:pPr>
        <w:pStyle w:val="Definition"/>
      </w:pPr>
      <w:r w:rsidRPr="00E5119C">
        <w:rPr>
          <w:b/>
          <w:i/>
        </w:rPr>
        <w:t>commercial radio broadcasting licence</w:t>
      </w:r>
      <w:r w:rsidRPr="00E5119C">
        <w:t xml:space="preserve"> has the same meaning as in the </w:t>
      </w:r>
      <w:r w:rsidRPr="00E5119C">
        <w:rPr>
          <w:i/>
        </w:rPr>
        <w:t>Broadcasting Services Act 1992</w:t>
      </w:r>
      <w:r w:rsidRPr="00E5119C">
        <w:t>.</w:t>
      </w:r>
    </w:p>
    <w:p w:rsidR="00AD1699" w:rsidRPr="00E5119C" w:rsidRDefault="00AD1699" w:rsidP="00E5119C">
      <w:pPr>
        <w:pStyle w:val="Definition"/>
      </w:pPr>
      <w:r w:rsidRPr="00E5119C">
        <w:rPr>
          <w:b/>
          <w:i/>
        </w:rPr>
        <w:t>commercial television broadcasting licence</w:t>
      </w:r>
      <w:r w:rsidRPr="00E5119C">
        <w:t xml:space="preserve"> has the same meaning as in the </w:t>
      </w:r>
      <w:r w:rsidRPr="00E5119C">
        <w:rPr>
          <w:i/>
        </w:rPr>
        <w:t>Broadcasting Services Act 1992</w:t>
      </w:r>
      <w:r w:rsidRPr="00E5119C">
        <w:t>.</w:t>
      </w:r>
    </w:p>
    <w:p w:rsidR="00695856" w:rsidRPr="00E5119C" w:rsidRDefault="00695856" w:rsidP="00E5119C">
      <w:pPr>
        <w:pStyle w:val="Definition"/>
      </w:pPr>
      <w:r w:rsidRPr="00E5119C">
        <w:rPr>
          <w:b/>
          <w:i/>
        </w:rPr>
        <w:t>indexation factor</w:t>
      </w:r>
      <w:r w:rsidRPr="00E5119C">
        <w:t>, for a financial year,</w:t>
      </w:r>
      <w:r w:rsidRPr="00E5119C">
        <w:rPr>
          <w:b/>
          <w:i/>
        </w:rPr>
        <w:t xml:space="preserve"> </w:t>
      </w:r>
      <w:r w:rsidRPr="00E5119C">
        <w:t>has the meaning given by section</w:t>
      </w:r>
      <w:r w:rsidR="00E5119C" w:rsidRPr="00E5119C">
        <w:t> </w:t>
      </w:r>
      <w:r w:rsidR="00D45D99" w:rsidRPr="00E5119C">
        <w:t>12</w:t>
      </w:r>
      <w:r w:rsidRPr="00E5119C">
        <w:t>.</w:t>
      </w:r>
    </w:p>
    <w:p w:rsidR="005B5912" w:rsidRPr="00E5119C" w:rsidRDefault="005B5912" w:rsidP="00E5119C">
      <w:pPr>
        <w:pStyle w:val="Definition"/>
      </w:pPr>
      <w:r w:rsidRPr="00E5119C">
        <w:rPr>
          <w:b/>
          <w:i/>
        </w:rPr>
        <w:t>index number</w:t>
      </w:r>
      <w:r w:rsidRPr="00E5119C">
        <w:t>, in relation to a quarter, means the All Groups Consumer Price Index number, being the weighted average of the 8 capital cities, published by the Australian Statistician in respect of that quarter.</w:t>
      </w:r>
    </w:p>
    <w:p w:rsidR="008D4EAD" w:rsidRPr="00E5119C" w:rsidRDefault="008D4EAD" w:rsidP="00E5119C">
      <w:pPr>
        <w:pStyle w:val="Definition"/>
      </w:pPr>
      <w:r w:rsidRPr="00E5119C">
        <w:rPr>
          <w:b/>
          <w:i/>
        </w:rPr>
        <w:t xml:space="preserve">individual transmitter amount </w:t>
      </w:r>
      <w:r w:rsidRPr="00E5119C">
        <w:t>has the meaning given by section</w:t>
      </w:r>
      <w:r w:rsidR="00E5119C" w:rsidRPr="00E5119C">
        <w:t> </w:t>
      </w:r>
      <w:r w:rsidR="00D45D99" w:rsidRPr="00E5119C">
        <w:t>8</w:t>
      </w:r>
      <w:r w:rsidRPr="00E5119C">
        <w:t>.</w:t>
      </w:r>
    </w:p>
    <w:p w:rsidR="00B93540" w:rsidRPr="00E5119C" w:rsidRDefault="00B93540" w:rsidP="00E5119C">
      <w:pPr>
        <w:pStyle w:val="Definition"/>
      </w:pPr>
      <w:r w:rsidRPr="00E5119C">
        <w:rPr>
          <w:b/>
          <w:i/>
        </w:rPr>
        <w:t xml:space="preserve">individual </w:t>
      </w:r>
      <w:r w:rsidR="001040BF" w:rsidRPr="00E5119C">
        <w:rPr>
          <w:b/>
          <w:i/>
        </w:rPr>
        <w:t>transmitter amount</w:t>
      </w:r>
      <w:r w:rsidRPr="00E5119C">
        <w:rPr>
          <w:b/>
          <w:i/>
        </w:rPr>
        <w:t xml:space="preserve"> cap</w:t>
      </w:r>
      <w:r w:rsidRPr="00E5119C">
        <w:t xml:space="preserve"> has </w:t>
      </w:r>
      <w:r w:rsidR="00B036FB" w:rsidRPr="00E5119C">
        <w:t>the meaning given by section</w:t>
      </w:r>
      <w:r w:rsidR="00E5119C" w:rsidRPr="00E5119C">
        <w:t> </w:t>
      </w:r>
      <w:r w:rsidR="00D45D99" w:rsidRPr="00E5119C">
        <w:t>9</w:t>
      </w:r>
      <w:r w:rsidRPr="00E5119C">
        <w:t>.</w:t>
      </w:r>
    </w:p>
    <w:p w:rsidR="00900ACC" w:rsidRPr="00E5119C" w:rsidRDefault="00900ACC" w:rsidP="00E5119C">
      <w:pPr>
        <w:pStyle w:val="Definition"/>
      </w:pPr>
      <w:r w:rsidRPr="00E5119C">
        <w:rPr>
          <w:b/>
          <w:i/>
        </w:rPr>
        <w:t>tax</w:t>
      </w:r>
      <w:r w:rsidRPr="00E5119C">
        <w:t xml:space="preserve"> means tax imposed by this Act.</w:t>
      </w:r>
    </w:p>
    <w:p w:rsidR="006975DD" w:rsidRPr="00E5119C" w:rsidRDefault="006975DD" w:rsidP="00E5119C">
      <w:pPr>
        <w:pStyle w:val="Definition"/>
      </w:pPr>
      <w:r w:rsidRPr="00E5119C">
        <w:rPr>
          <w:b/>
          <w:i/>
        </w:rPr>
        <w:t>termination time</w:t>
      </w:r>
      <w:r w:rsidRPr="00E5119C">
        <w:t xml:space="preserve"> has the meaning given by section</w:t>
      </w:r>
      <w:r w:rsidR="00E5119C" w:rsidRPr="00E5119C">
        <w:t> </w:t>
      </w:r>
      <w:r w:rsidR="00D45D99" w:rsidRPr="00E5119C">
        <w:t>11</w:t>
      </w:r>
      <w:r w:rsidRPr="00E5119C">
        <w:t>.</w:t>
      </w:r>
    </w:p>
    <w:p w:rsidR="00640C2B" w:rsidRPr="00E5119C" w:rsidRDefault="00640C2B" w:rsidP="00E5119C">
      <w:pPr>
        <w:pStyle w:val="Definition"/>
      </w:pPr>
      <w:r w:rsidRPr="00E5119C">
        <w:rPr>
          <w:b/>
          <w:i/>
        </w:rPr>
        <w:t>transmitter</w:t>
      </w:r>
      <w:r w:rsidR="00304363" w:rsidRPr="00E5119C">
        <w:t xml:space="preserve"> means a radiocommunications transmitter</w:t>
      </w:r>
      <w:r w:rsidRPr="00E5119C">
        <w:t xml:space="preserve"> </w:t>
      </w:r>
      <w:r w:rsidR="00304363" w:rsidRPr="00E5119C">
        <w:t>(within</w:t>
      </w:r>
      <w:r w:rsidRPr="00E5119C">
        <w:t xml:space="preserve"> the </w:t>
      </w:r>
      <w:r w:rsidR="00304363" w:rsidRPr="00E5119C">
        <w:t xml:space="preserve">meaning of the </w:t>
      </w:r>
      <w:r w:rsidRPr="00E5119C">
        <w:rPr>
          <w:i/>
        </w:rPr>
        <w:t>Radiocommunications Act 1992</w:t>
      </w:r>
      <w:r w:rsidR="00304363" w:rsidRPr="00E5119C">
        <w:t>)</w:t>
      </w:r>
      <w:r w:rsidRPr="00E5119C">
        <w:t>.</w:t>
      </w:r>
    </w:p>
    <w:p w:rsidR="004D5A68" w:rsidRPr="00E5119C" w:rsidRDefault="004D5A68" w:rsidP="00E5119C">
      <w:pPr>
        <w:pStyle w:val="Definition"/>
      </w:pPr>
      <w:r w:rsidRPr="00E5119C">
        <w:rPr>
          <w:b/>
          <w:i/>
        </w:rPr>
        <w:t>transmitter licence</w:t>
      </w:r>
      <w:r w:rsidRPr="00E5119C">
        <w:t xml:space="preserve"> has the same meaning as in the </w:t>
      </w:r>
      <w:r w:rsidRPr="00E5119C">
        <w:rPr>
          <w:i/>
        </w:rPr>
        <w:t>Radiocommunications Act 1992.</w:t>
      </w:r>
    </w:p>
    <w:p w:rsidR="001F2AB4" w:rsidRPr="00E5119C" w:rsidRDefault="00D45D99" w:rsidP="00E5119C">
      <w:pPr>
        <w:pStyle w:val="ActHead5"/>
      </w:pPr>
      <w:bookmarkStart w:id="5" w:name="_Toc493598770"/>
      <w:r w:rsidRPr="00E5119C">
        <w:rPr>
          <w:rStyle w:val="CharSectno"/>
        </w:rPr>
        <w:t>4</w:t>
      </w:r>
      <w:r w:rsidR="001F2AB4" w:rsidRPr="00E5119C">
        <w:t xml:space="preserve">  Transmitter licence associated with a commercial broadcasting licence</w:t>
      </w:r>
      <w:bookmarkEnd w:id="5"/>
    </w:p>
    <w:p w:rsidR="001F2AB4" w:rsidRPr="00E5119C" w:rsidRDefault="001F2AB4" w:rsidP="00E5119C">
      <w:pPr>
        <w:pStyle w:val="subsection"/>
      </w:pPr>
      <w:r w:rsidRPr="00E5119C">
        <w:tab/>
      </w:r>
      <w:r w:rsidR="00395B55" w:rsidRPr="00E5119C">
        <w:t>(1)</w:t>
      </w:r>
      <w:r w:rsidRPr="00E5119C">
        <w:tab/>
        <w:t>For the purposes of this Act, if:</w:t>
      </w:r>
    </w:p>
    <w:p w:rsidR="001F2AB4" w:rsidRPr="00E5119C" w:rsidRDefault="001F2AB4" w:rsidP="00E5119C">
      <w:pPr>
        <w:pStyle w:val="paragraph"/>
      </w:pPr>
      <w:r w:rsidRPr="00E5119C">
        <w:tab/>
        <w:t>(a)</w:t>
      </w:r>
      <w:r w:rsidRPr="00E5119C">
        <w:tab/>
        <w:t>a transmitter licence was or is issued under section</w:t>
      </w:r>
      <w:r w:rsidR="00E5119C" w:rsidRPr="00E5119C">
        <w:t> </w:t>
      </w:r>
      <w:r w:rsidRPr="00E5119C">
        <w:t xml:space="preserve">102 of the </w:t>
      </w:r>
      <w:r w:rsidRPr="00E5119C">
        <w:rPr>
          <w:i/>
        </w:rPr>
        <w:t>Radiocommunications Act 1992</w:t>
      </w:r>
      <w:r w:rsidRPr="00E5119C">
        <w:t>; and</w:t>
      </w:r>
    </w:p>
    <w:p w:rsidR="00CC269A" w:rsidRPr="00E5119C" w:rsidRDefault="00CC269A" w:rsidP="00E5119C">
      <w:pPr>
        <w:pStyle w:val="paragraph"/>
      </w:pPr>
      <w:r w:rsidRPr="00E5119C">
        <w:tab/>
        <w:t>(b)</w:t>
      </w:r>
      <w:r w:rsidRPr="00E5119C">
        <w:tab/>
        <w:t>the related licence referred to in that section was allocated under Part</w:t>
      </w:r>
      <w:r w:rsidR="00E5119C" w:rsidRPr="00E5119C">
        <w:t> </w:t>
      </w:r>
      <w:r w:rsidRPr="00E5119C">
        <w:t xml:space="preserve">4 of the </w:t>
      </w:r>
      <w:r w:rsidRPr="00E5119C">
        <w:rPr>
          <w:i/>
        </w:rPr>
        <w:t>Broadcasting Services Act 1992</w:t>
      </w:r>
      <w:r w:rsidRPr="00E5119C">
        <w:t>;</w:t>
      </w:r>
    </w:p>
    <w:p w:rsidR="001F2AB4" w:rsidRPr="00E5119C" w:rsidRDefault="00B03E63" w:rsidP="00E5119C">
      <w:pPr>
        <w:pStyle w:val="subsection2"/>
      </w:pPr>
      <w:r w:rsidRPr="00E5119C">
        <w:t>the</w:t>
      </w:r>
      <w:r w:rsidR="001F2AB4" w:rsidRPr="00E5119C">
        <w:t xml:space="preserve"> transmitter licence is </w:t>
      </w:r>
      <w:r w:rsidR="001F2AB4" w:rsidRPr="00E5119C">
        <w:rPr>
          <w:b/>
          <w:i/>
        </w:rPr>
        <w:t>associated with a commercial broadcasting licence</w:t>
      </w:r>
      <w:r w:rsidR="001F2AB4" w:rsidRPr="00E5119C">
        <w:t>.</w:t>
      </w:r>
    </w:p>
    <w:p w:rsidR="00395B55" w:rsidRPr="00E5119C" w:rsidRDefault="00395B55" w:rsidP="00E5119C">
      <w:pPr>
        <w:pStyle w:val="subsection"/>
      </w:pPr>
      <w:r w:rsidRPr="00E5119C">
        <w:tab/>
        <w:t>(2)</w:t>
      </w:r>
      <w:r w:rsidRPr="00E5119C">
        <w:tab/>
        <w:t>For the purposes of this Act, if:</w:t>
      </w:r>
    </w:p>
    <w:p w:rsidR="00395B55" w:rsidRPr="00E5119C" w:rsidRDefault="00AD1699" w:rsidP="00E5119C">
      <w:pPr>
        <w:pStyle w:val="paragraph"/>
      </w:pPr>
      <w:r w:rsidRPr="00E5119C">
        <w:tab/>
        <w:t>(a)</w:t>
      </w:r>
      <w:r w:rsidRPr="00E5119C">
        <w:tab/>
        <w:t>a transmitter licence was</w:t>
      </w:r>
      <w:r w:rsidR="00395B55" w:rsidRPr="00E5119C">
        <w:t xml:space="preserve"> </w:t>
      </w:r>
      <w:r w:rsidR="00CC03C6" w:rsidRPr="00E5119C">
        <w:t xml:space="preserve">or is </w:t>
      </w:r>
      <w:r w:rsidR="00395B55" w:rsidRPr="00E5119C">
        <w:t>issued under section</w:t>
      </w:r>
      <w:r w:rsidR="00E5119C" w:rsidRPr="00E5119C">
        <w:t> </w:t>
      </w:r>
      <w:r w:rsidR="00395B55" w:rsidRPr="00E5119C">
        <w:t xml:space="preserve">100 of the </w:t>
      </w:r>
      <w:r w:rsidR="00395B55" w:rsidRPr="00E5119C">
        <w:rPr>
          <w:i/>
        </w:rPr>
        <w:t>Radiocommunications Act 1992</w:t>
      </w:r>
      <w:r w:rsidR="00395B55" w:rsidRPr="00E5119C">
        <w:t>; and</w:t>
      </w:r>
    </w:p>
    <w:p w:rsidR="00AD1699" w:rsidRPr="00E5119C" w:rsidRDefault="00AD1699" w:rsidP="00E5119C">
      <w:pPr>
        <w:pStyle w:val="paragraph"/>
      </w:pPr>
      <w:r w:rsidRPr="00E5119C">
        <w:tab/>
        <w:t>(b)</w:t>
      </w:r>
      <w:r w:rsidRPr="00E5119C">
        <w:tab/>
        <w:t>the transmitter licence is held by the holder of:</w:t>
      </w:r>
    </w:p>
    <w:p w:rsidR="00AD1699" w:rsidRPr="00E5119C" w:rsidRDefault="00AD1699" w:rsidP="00E5119C">
      <w:pPr>
        <w:pStyle w:val="paragraphsub"/>
      </w:pPr>
      <w:r w:rsidRPr="00E5119C">
        <w:tab/>
        <w:t>(i)</w:t>
      </w:r>
      <w:r w:rsidRPr="00E5119C">
        <w:tab/>
        <w:t>a commercial television broadcasting licence; or</w:t>
      </w:r>
    </w:p>
    <w:p w:rsidR="00AD1699" w:rsidRPr="00E5119C" w:rsidRDefault="00AD1699" w:rsidP="00E5119C">
      <w:pPr>
        <w:pStyle w:val="paragraphsub"/>
      </w:pPr>
      <w:r w:rsidRPr="00E5119C">
        <w:tab/>
        <w:t>(ii)</w:t>
      </w:r>
      <w:r w:rsidRPr="00E5119C">
        <w:tab/>
        <w:t>a commercial radio broadcasting licence; and</w:t>
      </w:r>
    </w:p>
    <w:p w:rsidR="00F964E6" w:rsidRPr="00E5119C" w:rsidRDefault="006B64AD" w:rsidP="00E5119C">
      <w:pPr>
        <w:pStyle w:val="paragraph"/>
      </w:pPr>
      <w:r w:rsidRPr="00E5119C">
        <w:tab/>
        <w:t>(c)</w:t>
      </w:r>
      <w:r w:rsidRPr="00E5119C">
        <w:tab/>
      </w:r>
      <w:r w:rsidR="006F0260" w:rsidRPr="00E5119C">
        <w:t>the tra</w:t>
      </w:r>
      <w:r w:rsidR="00712214" w:rsidRPr="00E5119C">
        <w:t xml:space="preserve">nsmitter licence authorises </w:t>
      </w:r>
      <w:r w:rsidR="006F0260" w:rsidRPr="00E5119C">
        <w:t>operation of a transmitter for</w:t>
      </w:r>
      <w:r w:rsidR="00FF5015" w:rsidRPr="00E5119C">
        <w:t xml:space="preserve"> transmitting</w:t>
      </w:r>
      <w:r w:rsidR="006F0260" w:rsidRPr="00E5119C">
        <w:t xml:space="preserve"> </w:t>
      </w:r>
      <w:r w:rsidR="00CC03C6" w:rsidRPr="00E5119C">
        <w:t>or re</w:t>
      </w:r>
      <w:r w:rsidR="006E2A61">
        <w:noBreakHyphen/>
      </w:r>
      <w:r w:rsidR="00CC03C6" w:rsidRPr="00E5119C">
        <w:t xml:space="preserve">transmitting </w:t>
      </w:r>
      <w:r w:rsidR="006F0260" w:rsidRPr="00E5119C">
        <w:t>the broadcasting service</w:t>
      </w:r>
      <w:r w:rsidR="00F964E6" w:rsidRPr="00E5119C">
        <w:t xml:space="preserve"> </w:t>
      </w:r>
      <w:r w:rsidR="003419DC" w:rsidRPr="00E5119C">
        <w:t xml:space="preserve">or services </w:t>
      </w:r>
      <w:r w:rsidR="00F964E6" w:rsidRPr="00E5119C">
        <w:t>authorised by:</w:t>
      </w:r>
    </w:p>
    <w:p w:rsidR="00F964E6" w:rsidRPr="00E5119C" w:rsidRDefault="00F964E6" w:rsidP="00E5119C">
      <w:pPr>
        <w:pStyle w:val="paragraphsub"/>
      </w:pPr>
      <w:r w:rsidRPr="00E5119C">
        <w:tab/>
        <w:t>(i)</w:t>
      </w:r>
      <w:r w:rsidRPr="00E5119C">
        <w:tab/>
        <w:t>the commercial television broadcasting licence; or</w:t>
      </w:r>
    </w:p>
    <w:p w:rsidR="00F964E6" w:rsidRPr="00E5119C" w:rsidRDefault="00F964E6" w:rsidP="00E5119C">
      <w:pPr>
        <w:pStyle w:val="paragraphsub"/>
      </w:pPr>
      <w:r w:rsidRPr="00E5119C">
        <w:tab/>
        <w:t>(ii)</w:t>
      </w:r>
      <w:r w:rsidRPr="00E5119C">
        <w:tab/>
        <w:t>the commercial</w:t>
      </w:r>
      <w:r w:rsidR="00CC03C6" w:rsidRPr="00E5119C">
        <w:t xml:space="preserve"> radio broadcasting licence;</w:t>
      </w:r>
    </w:p>
    <w:p w:rsidR="00CC03C6" w:rsidRPr="00E5119C" w:rsidRDefault="00CC03C6" w:rsidP="00E5119C">
      <w:pPr>
        <w:pStyle w:val="paragraph"/>
      </w:pPr>
      <w:r w:rsidRPr="00E5119C">
        <w:tab/>
      </w:r>
      <w:r w:rsidRPr="00E5119C">
        <w:tab/>
        <w:t>as the case requires; and</w:t>
      </w:r>
    </w:p>
    <w:p w:rsidR="00395B55" w:rsidRPr="00E5119C" w:rsidRDefault="00C13312" w:rsidP="00E5119C">
      <w:pPr>
        <w:pStyle w:val="paragraph"/>
      </w:pPr>
      <w:r w:rsidRPr="00E5119C">
        <w:tab/>
        <w:t>(d</w:t>
      </w:r>
      <w:r w:rsidR="00395B55" w:rsidRPr="00E5119C">
        <w:t>)</w:t>
      </w:r>
      <w:r w:rsidR="00395B55" w:rsidRPr="00E5119C">
        <w:tab/>
        <w:t xml:space="preserve">the issue of the transmitter licence is in accordance with a decision of the </w:t>
      </w:r>
      <w:r w:rsidR="007C33FA" w:rsidRPr="00E5119C">
        <w:t>Australian Communications and Media Authority</w:t>
      </w:r>
      <w:r w:rsidR="00395B55" w:rsidRPr="00E5119C">
        <w:t xml:space="preserve"> under subsection</w:t>
      </w:r>
      <w:r w:rsidR="00E5119C" w:rsidRPr="00E5119C">
        <w:t> </w:t>
      </w:r>
      <w:r w:rsidR="00395B55" w:rsidRPr="00E5119C">
        <w:t xml:space="preserve">34(1) of the </w:t>
      </w:r>
      <w:r w:rsidR="00395B55" w:rsidRPr="00E5119C">
        <w:rPr>
          <w:i/>
        </w:rPr>
        <w:t>Broadcasting Services Act 1992</w:t>
      </w:r>
      <w:r w:rsidR="00395B55" w:rsidRPr="00E5119C">
        <w:t>;</w:t>
      </w:r>
    </w:p>
    <w:p w:rsidR="00395B55" w:rsidRPr="00E5119C" w:rsidRDefault="00395B55" w:rsidP="00E5119C">
      <w:pPr>
        <w:pStyle w:val="subsection2"/>
      </w:pPr>
      <w:r w:rsidRPr="00E5119C">
        <w:t xml:space="preserve">the transmitter licence is </w:t>
      </w:r>
      <w:r w:rsidRPr="00E5119C">
        <w:rPr>
          <w:b/>
          <w:i/>
        </w:rPr>
        <w:t>associated with a commercial broadcasting licence</w:t>
      </w:r>
      <w:r w:rsidR="006B64AD" w:rsidRPr="00E5119C">
        <w:t>.</w:t>
      </w:r>
    </w:p>
    <w:p w:rsidR="00C41979" w:rsidRPr="00E5119C" w:rsidRDefault="00D45D99" w:rsidP="00E5119C">
      <w:pPr>
        <w:pStyle w:val="ActHead5"/>
      </w:pPr>
      <w:bookmarkStart w:id="6" w:name="_Toc493598771"/>
      <w:r w:rsidRPr="00E5119C">
        <w:rPr>
          <w:rStyle w:val="CharSectno"/>
        </w:rPr>
        <w:t>5</w:t>
      </w:r>
      <w:r w:rsidR="00C41979" w:rsidRPr="00E5119C">
        <w:t xml:space="preserve">  Extension to external Territories</w:t>
      </w:r>
      <w:bookmarkEnd w:id="6"/>
    </w:p>
    <w:p w:rsidR="00C41979" w:rsidRPr="00E5119C" w:rsidRDefault="00B11913" w:rsidP="00E5119C">
      <w:pPr>
        <w:pStyle w:val="subsection"/>
      </w:pPr>
      <w:r w:rsidRPr="00E5119C">
        <w:tab/>
      </w:r>
      <w:r w:rsidRPr="00E5119C">
        <w:tab/>
        <w:t>This Act extends to every external Territory.</w:t>
      </w:r>
    </w:p>
    <w:p w:rsidR="00C41979" w:rsidRPr="00E5119C" w:rsidRDefault="00D45D99" w:rsidP="00E5119C">
      <w:pPr>
        <w:pStyle w:val="ActHead5"/>
      </w:pPr>
      <w:bookmarkStart w:id="7" w:name="_Toc493598772"/>
      <w:r w:rsidRPr="00E5119C">
        <w:rPr>
          <w:rStyle w:val="CharSectno"/>
        </w:rPr>
        <w:t>6</w:t>
      </w:r>
      <w:r w:rsidR="00C41979" w:rsidRPr="00E5119C">
        <w:t xml:space="preserve">  </w:t>
      </w:r>
      <w:r w:rsidR="001F2AB4" w:rsidRPr="00E5119C">
        <w:t>Imposition of tax</w:t>
      </w:r>
      <w:bookmarkEnd w:id="7"/>
    </w:p>
    <w:p w:rsidR="0090175E" w:rsidRPr="00E5119C" w:rsidRDefault="0090175E" w:rsidP="00E5119C">
      <w:pPr>
        <w:pStyle w:val="SubsectionHead"/>
      </w:pPr>
      <w:r w:rsidRPr="00E5119C">
        <w:t>General</w:t>
      </w:r>
    </w:p>
    <w:p w:rsidR="001F2AB4" w:rsidRPr="00E5119C" w:rsidRDefault="001F2AB4" w:rsidP="00E5119C">
      <w:pPr>
        <w:pStyle w:val="subsection"/>
      </w:pPr>
      <w:r w:rsidRPr="00E5119C">
        <w:tab/>
        <w:t>(1)</w:t>
      </w:r>
      <w:r w:rsidRPr="00E5119C">
        <w:tab/>
        <w:t>If:</w:t>
      </w:r>
    </w:p>
    <w:p w:rsidR="004414EE" w:rsidRPr="00E5119C" w:rsidRDefault="001F2AB4" w:rsidP="00E5119C">
      <w:pPr>
        <w:pStyle w:val="paragraph"/>
      </w:pPr>
      <w:r w:rsidRPr="00E5119C">
        <w:tab/>
        <w:t>(a)</w:t>
      </w:r>
      <w:r w:rsidRPr="00E5119C">
        <w:tab/>
        <w:t xml:space="preserve">a transmitter licence is issued </w:t>
      </w:r>
      <w:r w:rsidR="004414EE" w:rsidRPr="00E5119C">
        <w:t>during the period:</w:t>
      </w:r>
    </w:p>
    <w:p w:rsidR="004414EE" w:rsidRPr="00E5119C" w:rsidRDefault="004414EE" w:rsidP="00E5119C">
      <w:pPr>
        <w:pStyle w:val="paragraphsub"/>
      </w:pPr>
      <w:r w:rsidRPr="00E5119C">
        <w:tab/>
        <w:t>(i)</w:t>
      </w:r>
      <w:r w:rsidRPr="00E5119C">
        <w:tab/>
        <w:t xml:space="preserve">beginning </w:t>
      </w:r>
      <w:r w:rsidR="00B03E63" w:rsidRPr="00E5119C">
        <w:t xml:space="preserve">at the start of </w:t>
      </w:r>
      <w:r w:rsidRPr="00E5119C">
        <w:t>1</w:t>
      </w:r>
      <w:r w:rsidR="00E5119C" w:rsidRPr="00E5119C">
        <w:t> </w:t>
      </w:r>
      <w:r w:rsidRPr="00E5119C">
        <w:t>July 2017; and</w:t>
      </w:r>
    </w:p>
    <w:p w:rsidR="004414EE" w:rsidRPr="00E5119C" w:rsidRDefault="004414EE" w:rsidP="00E5119C">
      <w:pPr>
        <w:pStyle w:val="paragraphsub"/>
      </w:pPr>
      <w:r w:rsidRPr="00E5119C">
        <w:tab/>
        <w:t>(ii)</w:t>
      </w:r>
      <w:r w:rsidRPr="00E5119C">
        <w:tab/>
        <w:t>ending at the termination time; and</w:t>
      </w:r>
    </w:p>
    <w:p w:rsidR="001F2AB4" w:rsidRPr="00E5119C" w:rsidRDefault="001F2AB4" w:rsidP="00E5119C">
      <w:pPr>
        <w:pStyle w:val="paragraph"/>
      </w:pPr>
      <w:r w:rsidRPr="00E5119C">
        <w:tab/>
        <w:t>(b)</w:t>
      </w:r>
      <w:r w:rsidRPr="00E5119C">
        <w:tab/>
        <w:t>the transmitter licence is associated with a commercial broadcasting licence;</w:t>
      </w:r>
    </w:p>
    <w:p w:rsidR="001F2AB4" w:rsidRPr="00E5119C" w:rsidRDefault="001F2AB4" w:rsidP="00E5119C">
      <w:pPr>
        <w:pStyle w:val="subsection2"/>
      </w:pPr>
      <w:r w:rsidRPr="00E5119C">
        <w:t>tax is imposed on:</w:t>
      </w:r>
    </w:p>
    <w:p w:rsidR="001F2AB4" w:rsidRPr="00E5119C" w:rsidRDefault="001F2AB4" w:rsidP="00E5119C">
      <w:pPr>
        <w:pStyle w:val="paragraph"/>
      </w:pPr>
      <w:r w:rsidRPr="00E5119C">
        <w:tab/>
        <w:t>(c)</w:t>
      </w:r>
      <w:r w:rsidRPr="00E5119C">
        <w:tab/>
        <w:t>the issue of the transmitter licence; and</w:t>
      </w:r>
    </w:p>
    <w:p w:rsidR="003A2D01" w:rsidRPr="00E5119C" w:rsidRDefault="001F2AB4" w:rsidP="00E5119C">
      <w:pPr>
        <w:pStyle w:val="paragraph"/>
      </w:pPr>
      <w:r w:rsidRPr="00E5119C">
        <w:tab/>
        <w:t>(d)</w:t>
      </w:r>
      <w:r w:rsidRPr="00E5119C">
        <w:tab/>
        <w:t>each anniversary of the day the li</w:t>
      </w:r>
      <w:r w:rsidR="00CC03C6" w:rsidRPr="00E5119C">
        <w:t>cence came into force that occurs</w:t>
      </w:r>
      <w:r w:rsidR="003A2D01" w:rsidRPr="00E5119C">
        <w:t>:</w:t>
      </w:r>
    </w:p>
    <w:p w:rsidR="003A2D01" w:rsidRPr="00E5119C" w:rsidRDefault="003A2D01" w:rsidP="00E5119C">
      <w:pPr>
        <w:pStyle w:val="paragraphsub"/>
      </w:pPr>
      <w:r w:rsidRPr="00E5119C">
        <w:tab/>
        <w:t>(i)</w:t>
      </w:r>
      <w:r w:rsidRPr="00E5119C">
        <w:tab/>
        <w:t>during the period the licence is in force; and</w:t>
      </w:r>
    </w:p>
    <w:p w:rsidR="003A2D01" w:rsidRPr="00E5119C" w:rsidRDefault="003A2D01" w:rsidP="00E5119C">
      <w:pPr>
        <w:pStyle w:val="paragraphsub"/>
      </w:pPr>
      <w:r w:rsidRPr="00E5119C">
        <w:tab/>
        <w:t>(ii)</w:t>
      </w:r>
      <w:r w:rsidRPr="00E5119C">
        <w:tab/>
        <w:t>before the termination time.</w:t>
      </w:r>
    </w:p>
    <w:p w:rsidR="001F2AB4" w:rsidRPr="00E5119C" w:rsidRDefault="001F2AB4" w:rsidP="00E5119C">
      <w:pPr>
        <w:pStyle w:val="subsection"/>
      </w:pPr>
      <w:r w:rsidRPr="00E5119C">
        <w:tab/>
        <w:t>(2)</w:t>
      </w:r>
      <w:r w:rsidRPr="00E5119C">
        <w:tab/>
        <w:t>If:</w:t>
      </w:r>
    </w:p>
    <w:p w:rsidR="001F2AB4" w:rsidRPr="00E5119C" w:rsidRDefault="001F2AB4" w:rsidP="00E5119C">
      <w:pPr>
        <w:pStyle w:val="paragraph"/>
      </w:pPr>
      <w:r w:rsidRPr="00E5119C">
        <w:tab/>
        <w:t>(a)</w:t>
      </w:r>
      <w:r w:rsidRPr="00E5119C">
        <w:tab/>
        <w:t>a transmitter licence was issued before 1</w:t>
      </w:r>
      <w:r w:rsidR="00E5119C" w:rsidRPr="00E5119C">
        <w:t> </w:t>
      </w:r>
      <w:r w:rsidRPr="00E5119C">
        <w:t>July 2017; and</w:t>
      </w:r>
    </w:p>
    <w:p w:rsidR="001F2AB4" w:rsidRPr="00E5119C" w:rsidRDefault="001F2AB4" w:rsidP="00E5119C">
      <w:pPr>
        <w:pStyle w:val="paragraph"/>
      </w:pPr>
      <w:r w:rsidRPr="00E5119C">
        <w:tab/>
        <w:t>(b)</w:t>
      </w:r>
      <w:r w:rsidRPr="00E5119C">
        <w:tab/>
        <w:t>the transmitter licence is associated with a commercial broadcasting licence;</w:t>
      </w:r>
    </w:p>
    <w:p w:rsidR="00E9595A" w:rsidRPr="00E5119C" w:rsidRDefault="001F2AB4" w:rsidP="00E5119C">
      <w:pPr>
        <w:pStyle w:val="subsection2"/>
      </w:pPr>
      <w:r w:rsidRPr="00E5119C">
        <w:t>tax is imposed on each anniversary of the day the li</w:t>
      </w:r>
      <w:r w:rsidR="00E9595A" w:rsidRPr="00E5119C">
        <w:t xml:space="preserve">cence came into force </w:t>
      </w:r>
      <w:r w:rsidR="00CC03C6" w:rsidRPr="00E5119C">
        <w:t>that occurs</w:t>
      </w:r>
      <w:r w:rsidR="00E9595A" w:rsidRPr="00E5119C">
        <w:t>:</w:t>
      </w:r>
    </w:p>
    <w:p w:rsidR="001F2AB4" w:rsidRPr="00E5119C" w:rsidRDefault="00E9595A" w:rsidP="00E5119C">
      <w:pPr>
        <w:pStyle w:val="paragraph"/>
      </w:pPr>
      <w:r w:rsidRPr="00E5119C">
        <w:tab/>
        <w:t>(c)</w:t>
      </w:r>
      <w:r w:rsidRPr="00E5119C">
        <w:tab/>
      </w:r>
      <w:r w:rsidR="001F2AB4" w:rsidRPr="00E5119C">
        <w:t>during the</w:t>
      </w:r>
      <w:r w:rsidRPr="00E5119C">
        <w:t xml:space="preserve"> period the licence is in force; and</w:t>
      </w:r>
    </w:p>
    <w:p w:rsidR="00736FE7" w:rsidRPr="00E5119C" w:rsidRDefault="00736FE7" w:rsidP="00E5119C">
      <w:pPr>
        <w:pStyle w:val="paragraph"/>
      </w:pPr>
      <w:r w:rsidRPr="00E5119C">
        <w:tab/>
        <w:t>(d)</w:t>
      </w:r>
      <w:r w:rsidRPr="00E5119C">
        <w:tab/>
      </w:r>
      <w:r w:rsidR="009C6E23" w:rsidRPr="00E5119C">
        <w:t xml:space="preserve">on or </w:t>
      </w:r>
      <w:r w:rsidRPr="00E5119C">
        <w:t>after 1</w:t>
      </w:r>
      <w:r w:rsidR="00E5119C" w:rsidRPr="00E5119C">
        <w:t> </w:t>
      </w:r>
      <w:r w:rsidRPr="00E5119C">
        <w:t>July 2017; and</w:t>
      </w:r>
    </w:p>
    <w:p w:rsidR="00E9595A" w:rsidRPr="00E5119C" w:rsidRDefault="00736FE7" w:rsidP="00E5119C">
      <w:pPr>
        <w:pStyle w:val="paragraph"/>
      </w:pPr>
      <w:r w:rsidRPr="00E5119C">
        <w:tab/>
        <w:t>(e</w:t>
      </w:r>
      <w:r w:rsidR="00E9595A" w:rsidRPr="00E5119C">
        <w:t>)</w:t>
      </w:r>
      <w:r w:rsidR="00E9595A" w:rsidRPr="00E5119C">
        <w:tab/>
        <w:t>before the termination time.</w:t>
      </w:r>
    </w:p>
    <w:p w:rsidR="00EF5A40" w:rsidRPr="00E5119C" w:rsidRDefault="008A647F" w:rsidP="00E5119C">
      <w:pPr>
        <w:pStyle w:val="subsection"/>
      </w:pPr>
      <w:r w:rsidRPr="00E5119C">
        <w:tab/>
        <w:t>(3</w:t>
      </w:r>
      <w:r w:rsidR="00EF5A40" w:rsidRPr="00E5119C">
        <w:t>)</w:t>
      </w:r>
      <w:r w:rsidR="00EF5A40" w:rsidRPr="00E5119C">
        <w:tab/>
        <w:t>If:</w:t>
      </w:r>
    </w:p>
    <w:p w:rsidR="002B2939" w:rsidRPr="00E5119C" w:rsidRDefault="002B2939" w:rsidP="00E5119C">
      <w:pPr>
        <w:pStyle w:val="paragraph"/>
      </w:pPr>
      <w:r w:rsidRPr="00E5119C">
        <w:tab/>
        <w:t>(a</w:t>
      </w:r>
      <w:r w:rsidR="00264974" w:rsidRPr="00E5119C">
        <w:t>)</w:t>
      </w:r>
      <w:r w:rsidR="00264974" w:rsidRPr="00E5119C">
        <w:tab/>
      </w:r>
      <w:r w:rsidR="00C34051" w:rsidRPr="00E5119C">
        <w:t xml:space="preserve">a transmitter licence </w:t>
      </w:r>
      <w:r w:rsidR="00004427" w:rsidRPr="00E5119C">
        <w:t>ceases to be in force</w:t>
      </w:r>
      <w:r w:rsidR="00264974" w:rsidRPr="00E5119C">
        <w:t xml:space="preserve"> </w:t>
      </w:r>
      <w:r w:rsidRPr="00E5119C">
        <w:t>during the period:</w:t>
      </w:r>
    </w:p>
    <w:p w:rsidR="002B2939" w:rsidRPr="00E5119C" w:rsidRDefault="002B2939" w:rsidP="00E5119C">
      <w:pPr>
        <w:pStyle w:val="paragraphsub"/>
      </w:pPr>
      <w:r w:rsidRPr="00E5119C">
        <w:tab/>
        <w:t>(i)</w:t>
      </w:r>
      <w:r w:rsidRPr="00E5119C">
        <w:tab/>
        <w:t>beginning at the start of 1</w:t>
      </w:r>
      <w:r w:rsidR="00E5119C" w:rsidRPr="00E5119C">
        <w:t> </w:t>
      </w:r>
      <w:r w:rsidRPr="00E5119C">
        <w:t>July 2017; and</w:t>
      </w:r>
    </w:p>
    <w:p w:rsidR="002B2939" w:rsidRPr="00E5119C" w:rsidRDefault="002B2939" w:rsidP="00E5119C">
      <w:pPr>
        <w:pStyle w:val="paragraphsub"/>
      </w:pPr>
      <w:r w:rsidRPr="00E5119C">
        <w:tab/>
        <w:t>(ii)</w:t>
      </w:r>
      <w:r w:rsidRPr="00E5119C">
        <w:tab/>
        <w:t>ending at the termination time; and</w:t>
      </w:r>
    </w:p>
    <w:p w:rsidR="00156457" w:rsidRPr="00E5119C" w:rsidRDefault="002B2939" w:rsidP="00E5119C">
      <w:pPr>
        <w:pStyle w:val="paragraph"/>
      </w:pPr>
      <w:r w:rsidRPr="00E5119C">
        <w:tab/>
        <w:t>(b)</w:t>
      </w:r>
      <w:r w:rsidRPr="00E5119C">
        <w:tab/>
        <w:t>the licence is not renewed</w:t>
      </w:r>
      <w:r w:rsidR="00156457" w:rsidRPr="00E5119C">
        <w:t>;</w:t>
      </w:r>
      <w:r w:rsidR="00A25571" w:rsidRPr="00E5119C">
        <w:t xml:space="preserve"> and</w:t>
      </w:r>
    </w:p>
    <w:p w:rsidR="009C5F48" w:rsidRPr="00E5119C" w:rsidRDefault="009C5F48" w:rsidP="00E5119C">
      <w:pPr>
        <w:pStyle w:val="paragraph"/>
      </w:pPr>
      <w:r w:rsidRPr="00E5119C">
        <w:tab/>
        <w:t>(c)</w:t>
      </w:r>
      <w:r w:rsidRPr="00E5119C">
        <w:tab/>
        <w:t>the licence was var</w:t>
      </w:r>
      <w:r w:rsidR="008A647F" w:rsidRPr="00E5119C">
        <w:t xml:space="preserve">ied </w:t>
      </w:r>
      <w:r w:rsidR="00262713" w:rsidRPr="00E5119C">
        <w:t xml:space="preserve">on one or more occasions </w:t>
      </w:r>
      <w:r w:rsidR="008A647F" w:rsidRPr="00E5119C">
        <w:t>during the period:</w:t>
      </w:r>
    </w:p>
    <w:p w:rsidR="001C30E4" w:rsidRPr="00E5119C" w:rsidRDefault="009C5F48" w:rsidP="00E5119C">
      <w:pPr>
        <w:pStyle w:val="paragraphsub"/>
      </w:pPr>
      <w:r w:rsidRPr="00E5119C">
        <w:tab/>
        <w:t>(i)</w:t>
      </w:r>
      <w:r w:rsidRPr="00E5119C">
        <w:tab/>
      </w:r>
      <w:r w:rsidR="008A647F" w:rsidRPr="00E5119C">
        <w:t xml:space="preserve">beginning </w:t>
      </w:r>
      <w:r w:rsidR="003414BA" w:rsidRPr="00E5119C">
        <w:t xml:space="preserve">at </w:t>
      </w:r>
      <w:r w:rsidRPr="00E5119C">
        <w:t xml:space="preserve">the </w:t>
      </w:r>
      <w:r w:rsidR="003414BA" w:rsidRPr="00E5119C">
        <w:t xml:space="preserve">end of the </w:t>
      </w:r>
      <w:r w:rsidRPr="00E5119C">
        <w:t xml:space="preserve">last anniversary of the day the licence came into force </w:t>
      </w:r>
      <w:r w:rsidR="00F425F0" w:rsidRPr="00E5119C">
        <w:t>that occurred</w:t>
      </w:r>
      <w:r w:rsidRPr="00E5119C">
        <w:t xml:space="preserve"> before the licence ceased to be in force</w:t>
      </w:r>
      <w:r w:rsidR="001541A3" w:rsidRPr="00E5119C">
        <w:t>;</w:t>
      </w:r>
      <w:r w:rsidR="00C34051" w:rsidRPr="00E5119C">
        <w:t xml:space="preserve"> and</w:t>
      </w:r>
    </w:p>
    <w:p w:rsidR="009C5F48" w:rsidRPr="00E5119C" w:rsidRDefault="009C5F48" w:rsidP="00E5119C">
      <w:pPr>
        <w:pStyle w:val="paragraphsub"/>
      </w:pPr>
      <w:r w:rsidRPr="00E5119C">
        <w:tab/>
        <w:t>(ii)</w:t>
      </w:r>
      <w:r w:rsidRPr="00E5119C">
        <w:tab/>
        <w:t xml:space="preserve">ending </w:t>
      </w:r>
      <w:r w:rsidR="004C705F" w:rsidRPr="00E5119C">
        <w:t>when the licence ceased to be in force</w:t>
      </w:r>
      <w:r w:rsidRPr="00E5119C">
        <w:t>; and</w:t>
      </w:r>
    </w:p>
    <w:p w:rsidR="009C5F48" w:rsidRPr="00E5119C" w:rsidRDefault="00F425F0" w:rsidP="00E5119C">
      <w:pPr>
        <w:pStyle w:val="paragraph"/>
      </w:pPr>
      <w:r w:rsidRPr="00E5119C">
        <w:tab/>
        <w:t>(d)</w:t>
      </w:r>
      <w:r w:rsidRPr="00E5119C">
        <w:tab/>
        <w:t>if it were assumed that an</w:t>
      </w:r>
      <w:r w:rsidR="009C5F48" w:rsidRPr="00E5119C">
        <w:t xml:space="preserve"> anniversary </w:t>
      </w:r>
      <w:r w:rsidRPr="00E5119C">
        <w:t xml:space="preserve">of the day the licence came into force </w:t>
      </w:r>
      <w:r w:rsidR="009C5F48" w:rsidRPr="00E5119C">
        <w:t xml:space="preserve">occurred on the </w:t>
      </w:r>
      <w:r w:rsidRPr="00E5119C">
        <w:t>day before the licence ceased to be in force</w:t>
      </w:r>
      <w:r w:rsidR="009C5F48" w:rsidRPr="00E5119C">
        <w:t>, the amount of tax imposed by subsection</w:t>
      </w:r>
      <w:r w:rsidR="00E5119C" w:rsidRPr="00E5119C">
        <w:t> </w:t>
      </w:r>
      <w:r w:rsidR="00D45D99" w:rsidRPr="00E5119C">
        <w:t>6</w:t>
      </w:r>
      <w:r w:rsidR="006B6FAD" w:rsidRPr="00E5119C">
        <w:t xml:space="preserve">(1) or </w:t>
      </w:r>
      <w:r w:rsidR="009C5F48" w:rsidRPr="00E5119C">
        <w:t xml:space="preserve">(2) </w:t>
      </w:r>
      <w:r w:rsidR="006B6FAD" w:rsidRPr="00E5119C">
        <w:t xml:space="preserve">on the anniversary </w:t>
      </w:r>
      <w:r w:rsidR="00262713" w:rsidRPr="00E5119C">
        <w:t>would have exceeded the tax that would have been imposed by that subsection</w:t>
      </w:r>
      <w:r w:rsidR="006B6FAD" w:rsidRPr="00E5119C">
        <w:t xml:space="preserve"> </w:t>
      </w:r>
      <w:r w:rsidR="00262713" w:rsidRPr="00E5119C">
        <w:t xml:space="preserve">on the anniversary </w:t>
      </w:r>
      <w:r w:rsidR="006B6FAD" w:rsidRPr="00E5119C">
        <w:t>if the licence</w:t>
      </w:r>
      <w:r w:rsidR="009C5F48" w:rsidRPr="00E5119C">
        <w:t xml:space="preserve"> had not been varied; and</w:t>
      </w:r>
    </w:p>
    <w:p w:rsidR="00EF5A40" w:rsidRPr="00E5119C" w:rsidRDefault="00264974" w:rsidP="00E5119C">
      <w:pPr>
        <w:pStyle w:val="paragraph"/>
      </w:pPr>
      <w:r w:rsidRPr="00E5119C">
        <w:tab/>
        <w:t>(</w:t>
      </w:r>
      <w:r w:rsidR="009C5F48" w:rsidRPr="00E5119C">
        <w:t>e</w:t>
      </w:r>
      <w:r w:rsidR="00334FE9" w:rsidRPr="00E5119C">
        <w:t>)</w:t>
      </w:r>
      <w:r w:rsidR="00334FE9" w:rsidRPr="00E5119C">
        <w:tab/>
        <w:t>the transmitter licence was</w:t>
      </w:r>
      <w:r w:rsidR="00EF5A40" w:rsidRPr="00E5119C">
        <w:t xml:space="preserve"> associated with a commercial broadcasting licence;</w:t>
      </w:r>
    </w:p>
    <w:p w:rsidR="00EF5A40" w:rsidRPr="00E5119C" w:rsidRDefault="00EF5A40" w:rsidP="00E5119C">
      <w:pPr>
        <w:pStyle w:val="subsection2"/>
      </w:pPr>
      <w:r w:rsidRPr="00E5119C">
        <w:t xml:space="preserve">tax is imposed on </w:t>
      </w:r>
      <w:r w:rsidR="002C3A2C" w:rsidRPr="00E5119C">
        <w:t xml:space="preserve">the </w:t>
      </w:r>
      <w:r w:rsidR="002B2939" w:rsidRPr="00E5119C">
        <w:t>licence ceasing to be in force</w:t>
      </w:r>
      <w:r w:rsidR="00264974" w:rsidRPr="00E5119C">
        <w:t>.</w:t>
      </w:r>
    </w:p>
    <w:p w:rsidR="004D50EA" w:rsidRPr="00E5119C" w:rsidRDefault="004D50EA" w:rsidP="00E5119C">
      <w:pPr>
        <w:pStyle w:val="subsection"/>
      </w:pPr>
      <w:r w:rsidRPr="00E5119C">
        <w:tab/>
        <w:t>(4)</w:t>
      </w:r>
      <w:r w:rsidRPr="00E5119C">
        <w:tab/>
        <w:t xml:space="preserve">For the purposes of </w:t>
      </w:r>
      <w:r w:rsidR="00E5119C" w:rsidRPr="00E5119C">
        <w:t>paragraph (</w:t>
      </w:r>
      <w:r w:rsidRPr="00E5119C">
        <w:t>3)(c), disregard a variation that was made before 1</w:t>
      </w:r>
      <w:r w:rsidR="00E5119C" w:rsidRPr="00E5119C">
        <w:t> </w:t>
      </w:r>
      <w:r w:rsidRPr="00E5119C">
        <w:t>July 2017.</w:t>
      </w:r>
    </w:p>
    <w:p w:rsidR="0029705B" w:rsidRPr="00E5119C" w:rsidRDefault="005C5CE5" w:rsidP="00E5119C">
      <w:pPr>
        <w:pStyle w:val="SubsectionHead"/>
      </w:pPr>
      <w:r w:rsidRPr="00E5119C">
        <w:t>Transitional</w:t>
      </w:r>
    </w:p>
    <w:p w:rsidR="0090175E" w:rsidRPr="00E5119C" w:rsidRDefault="004D50EA" w:rsidP="00E5119C">
      <w:pPr>
        <w:pStyle w:val="subsection"/>
      </w:pPr>
      <w:r w:rsidRPr="00E5119C">
        <w:tab/>
        <w:t>(5</w:t>
      </w:r>
      <w:r w:rsidR="0090175E" w:rsidRPr="00E5119C">
        <w:t>)</w:t>
      </w:r>
      <w:r w:rsidR="0090175E" w:rsidRPr="00E5119C">
        <w:tab/>
        <w:t>If:</w:t>
      </w:r>
    </w:p>
    <w:p w:rsidR="0090175E" w:rsidRPr="00E5119C" w:rsidRDefault="0090175E" w:rsidP="00E5119C">
      <w:pPr>
        <w:pStyle w:val="paragraph"/>
      </w:pPr>
      <w:r w:rsidRPr="00E5119C">
        <w:tab/>
        <w:t>(a)</w:t>
      </w:r>
      <w:r w:rsidRPr="00E5119C">
        <w:tab/>
        <w:t>a person holds a transmitter licence at the start of 1</w:t>
      </w:r>
      <w:r w:rsidR="00E5119C" w:rsidRPr="00E5119C">
        <w:t> </w:t>
      </w:r>
      <w:r w:rsidRPr="00E5119C">
        <w:t>July 2017; and</w:t>
      </w:r>
    </w:p>
    <w:p w:rsidR="0090175E" w:rsidRPr="00E5119C" w:rsidRDefault="0090175E" w:rsidP="00E5119C">
      <w:pPr>
        <w:pStyle w:val="paragraph"/>
      </w:pPr>
      <w:r w:rsidRPr="00E5119C">
        <w:tab/>
        <w:t>(b)</w:t>
      </w:r>
      <w:r w:rsidRPr="00E5119C">
        <w:tab/>
        <w:t>the transmitter licence is associated with a commercial broadcasting licence; and</w:t>
      </w:r>
    </w:p>
    <w:p w:rsidR="0090175E" w:rsidRPr="00E5119C" w:rsidRDefault="0090175E" w:rsidP="00E5119C">
      <w:pPr>
        <w:pStyle w:val="paragraph"/>
      </w:pPr>
      <w:r w:rsidRPr="00E5119C">
        <w:tab/>
        <w:t>(c)</w:t>
      </w:r>
      <w:r w:rsidRPr="00E5119C">
        <w:tab/>
        <w:t>1</w:t>
      </w:r>
      <w:r w:rsidR="00E5119C" w:rsidRPr="00E5119C">
        <w:t> </w:t>
      </w:r>
      <w:r w:rsidRPr="00E5119C">
        <w:t>July 2017 is not an anniversary of the day the licence came into force;</w:t>
      </w:r>
    </w:p>
    <w:p w:rsidR="0090175E" w:rsidRPr="00E5119C" w:rsidRDefault="0090175E" w:rsidP="00E5119C">
      <w:pPr>
        <w:pStyle w:val="subsection2"/>
      </w:pPr>
      <w:r w:rsidRPr="00E5119C">
        <w:t>tax is imposed on the holding of the transmitter licence at the start of 1</w:t>
      </w:r>
      <w:r w:rsidR="00E5119C" w:rsidRPr="00E5119C">
        <w:t> </w:t>
      </w:r>
      <w:r w:rsidRPr="00E5119C">
        <w:t>July 2017.</w:t>
      </w:r>
    </w:p>
    <w:p w:rsidR="00C41979" w:rsidRPr="00E5119C" w:rsidRDefault="00D45D99" w:rsidP="00E5119C">
      <w:pPr>
        <w:pStyle w:val="ActHead5"/>
      </w:pPr>
      <w:bookmarkStart w:id="8" w:name="_Toc493598773"/>
      <w:r w:rsidRPr="00E5119C">
        <w:rPr>
          <w:rStyle w:val="CharSectno"/>
        </w:rPr>
        <w:t>7</w:t>
      </w:r>
      <w:r w:rsidR="00C41979" w:rsidRPr="00E5119C">
        <w:t xml:space="preserve">  Amount</w:t>
      </w:r>
      <w:r w:rsidR="001F2AB4" w:rsidRPr="00E5119C">
        <w:t xml:space="preserve"> of tax</w:t>
      </w:r>
      <w:bookmarkEnd w:id="8"/>
    </w:p>
    <w:p w:rsidR="0090175E" w:rsidRPr="00E5119C" w:rsidRDefault="0090175E" w:rsidP="00E5119C">
      <w:pPr>
        <w:pStyle w:val="SubsectionHead"/>
      </w:pPr>
      <w:r w:rsidRPr="00E5119C">
        <w:t>General</w:t>
      </w:r>
    </w:p>
    <w:p w:rsidR="00915A22" w:rsidRPr="00E5119C" w:rsidRDefault="00AD437D" w:rsidP="00E5119C">
      <w:pPr>
        <w:pStyle w:val="subsection"/>
      </w:pPr>
      <w:r w:rsidRPr="00E5119C">
        <w:tab/>
        <w:t>(1)</w:t>
      </w:r>
      <w:r w:rsidRPr="00E5119C">
        <w:tab/>
      </w:r>
      <w:r w:rsidR="00915A22" w:rsidRPr="00E5119C">
        <w:t>T</w:t>
      </w:r>
      <w:r w:rsidRPr="00E5119C">
        <w:t xml:space="preserve">he amount of tax </w:t>
      </w:r>
      <w:r w:rsidR="0090175E" w:rsidRPr="00E5119C">
        <w:t>imp</w:t>
      </w:r>
      <w:r w:rsidR="00113B70" w:rsidRPr="00E5119C">
        <w:t>osed by subsection</w:t>
      </w:r>
      <w:r w:rsidR="00E5119C" w:rsidRPr="00E5119C">
        <w:t> </w:t>
      </w:r>
      <w:r w:rsidR="00D45D99" w:rsidRPr="00E5119C">
        <w:t>6</w:t>
      </w:r>
      <w:r w:rsidR="00113B70" w:rsidRPr="00E5119C">
        <w:t xml:space="preserve">(1) </w:t>
      </w:r>
      <w:r w:rsidR="0090175E" w:rsidRPr="00E5119C">
        <w:t>on</w:t>
      </w:r>
      <w:r w:rsidR="00113B70" w:rsidRPr="00E5119C">
        <w:t xml:space="preserve"> </w:t>
      </w:r>
      <w:r w:rsidRPr="00E5119C">
        <w:t>the is</w:t>
      </w:r>
      <w:r w:rsidR="007025B3" w:rsidRPr="00E5119C">
        <w:t>s</w:t>
      </w:r>
      <w:r w:rsidR="00113B70" w:rsidRPr="00E5119C">
        <w:t xml:space="preserve">ue of a transmitter licence </w:t>
      </w:r>
      <w:r w:rsidRPr="00E5119C">
        <w:t>is</w:t>
      </w:r>
      <w:r w:rsidR="00113B70" w:rsidRPr="00E5119C">
        <w:t xml:space="preserve"> the total of the</w:t>
      </w:r>
      <w:r w:rsidR="00A154CF" w:rsidRPr="00E5119C">
        <w:t xml:space="preserve"> individual transmitter </w:t>
      </w:r>
      <w:r w:rsidR="00113B70" w:rsidRPr="00E5119C">
        <w:t>amounts for the</w:t>
      </w:r>
      <w:r w:rsidR="00A154CF" w:rsidRPr="00E5119C">
        <w:t xml:space="preserve"> transmitter</w:t>
      </w:r>
      <w:r w:rsidR="00113B70" w:rsidRPr="00E5119C">
        <w:t>s</w:t>
      </w:r>
      <w:r w:rsidR="00A154CF" w:rsidRPr="00E5119C">
        <w:t xml:space="preserve"> covered by the licence</w:t>
      </w:r>
      <w:r w:rsidR="00113B70" w:rsidRPr="00E5119C">
        <w:t xml:space="preserve"> </w:t>
      </w:r>
      <w:r w:rsidR="00A23E00" w:rsidRPr="00E5119C">
        <w:t>immediately after the licence came into force</w:t>
      </w:r>
      <w:r w:rsidR="00A154CF" w:rsidRPr="00E5119C">
        <w:t>.</w:t>
      </w:r>
    </w:p>
    <w:p w:rsidR="008952B7" w:rsidRPr="00E5119C" w:rsidRDefault="008952B7" w:rsidP="00E5119C">
      <w:pPr>
        <w:pStyle w:val="subsection"/>
      </w:pPr>
      <w:r w:rsidRPr="00E5119C">
        <w:tab/>
        <w:t>(2)</w:t>
      </w:r>
      <w:r w:rsidRPr="00E5119C">
        <w:tab/>
        <w:t>The amount of tax imposed by subsection</w:t>
      </w:r>
      <w:r w:rsidR="00E5119C" w:rsidRPr="00E5119C">
        <w:t> </w:t>
      </w:r>
      <w:r w:rsidR="00D45D99" w:rsidRPr="00E5119C">
        <w:t>6</w:t>
      </w:r>
      <w:r w:rsidRPr="00E5119C">
        <w:t>(1) or (2) on</w:t>
      </w:r>
      <w:r w:rsidR="00113B70" w:rsidRPr="00E5119C">
        <w:t xml:space="preserve"> </w:t>
      </w:r>
      <w:r w:rsidRPr="00E5119C">
        <w:t>an anniversary of the day a transmitter l</w:t>
      </w:r>
      <w:r w:rsidR="008A5222" w:rsidRPr="00E5119C">
        <w:t>icence came into force</w:t>
      </w:r>
      <w:r w:rsidR="00B036FB" w:rsidRPr="00E5119C">
        <w:t xml:space="preserve"> </w:t>
      </w:r>
      <w:r w:rsidRPr="00E5119C">
        <w:t>is</w:t>
      </w:r>
      <w:r w:rsidR="00113B70" w:rsidRPr="00E5119C">
        <w:t xml:space="preserve"> the total</w:t>
      </w:r>
      <w:r w:rsidRPr="00E5119C">
        <w:t xml:space="preserve"> of </w:t>
      </w:r>
      <w:r w:rsidR="00113B70" w:rsidRPr="00E5119C">
        <w:t>the individual transmitter amounts</w:t>
      </w:r>
      <w:r w:rsidR="004149B2" w:rsidRPr="00E5119C">
        <w:t xml:space="preserve"> for the </w:t>
      </w:r>
      <w:r w:rsidRPr="00E5119C">
        <w:t>transmitter</w:t>
      </w:r>
      <w:r w:rsidR="004149B2" w:rsidRPr="00E5119C">
        <w:t>s</w:t>
      </w:r>
      <w:r w:rsidRPr="00E5119C">
        <w:t xml:space="preserve"> covered by the licence</w:t>
      </w:r>
      <w:r w:rsidR="00113B70" w:rsidRPr="00E5119C">
        <w:t xml:space="preserve"> at the start of the anniversary</w:t>
      </w:r>
      <w:r w:rsidRPr="00E5119C">
        <w:t>.</w:t>
      </w:r>
    </w:p>
    <w:p w:rsidR="00EE44CF" w:rsidRPr="00E5119C" w:rsidRDefault="004F0532" w:rsidP="00E5119C">
      <w:pPr>
        <w:pStyle w:val="subsection"/>
      </w:pPr>
      <w:r w:rsidRPr="00E5119C">
        <w:tab/>
        <w:t>(3</w:t>
      </w:r>
      <w:r w:rsidR="00EE44CF" w:rsidRPr="00E5119C">
        <w:t>)</w:t>
      </w:r>
      <w:r w:rsidR="00EE44CF" w:rsidRPr="00E5119C">
        <w:tab/>
        <w:t>The amount of</w:t>
      </w:r>
      <w:r w:rsidRPr="00E5119C">
        <w:t xml:space="preserve"> tax imposed by subsection</w:t>
      </w:r>
      <w:r w:rsidR="00E5119C" w:rsidRPr="00E5119C">
        <w:t> </w:t>
      </w:r>
      <w:r w:rsidR="00D45D99" w:rsidRPr="00E5119C">
        <w:t>6</w:t>
      </w:r>
      <w:r w:rsidRPr="00E5119C">
        <w:t>(3</w:t>
      </w:r>
      <w:r w:rsidR="00EE44CF" w:rsidRPr="00E5119C">
        <w:t xml:space="preserve">) </w:t>
      </w:r>
      <w:r w:rsidR="000B4365" w:rsidRPr="00E5119C">
        <w:t xml:space="preserve">on a </w:t>
      </w:r>
      <w:r w:rsidR="00F17957" w:rsidRPr="00E5119C">
        <w:t xml:space="preserve">transmitter </w:t>
      </w:r>
      <w:r w:rsidR="000B4365" w:rsidRPr="00E5119C">
        <w:t>licence ceasing to be in force</w:t>
      </w:r>
      <w:r w:rsidR="00EE44CF" w:rsidRPr="00E5119C">
        <w:t xml:space="preserve"> </w:t>
      </w:r>
      <w:r w:rsidR="00487652" w:rsidRPr="00E5119C">
        <w:t xml:space="preserve">during a financial year </w:t>
      </w:r>
      <w:r w:rsidR="00334FE9" w:rsidRPr="00E5119C">
        <w:t xml:space="preserve">is </w:t>
      </w:r>
      <w:r w:rsidR="008A647F" w:rsidRPr="00E5119C">
        <w:t>worked out using the following formula:</w:t>
      </w:r>
    </w:p>
    <w:p w:rsidR="008A647F" w:rsidRPr="00E5119C" w:rsidRDefault="00866E38" w:rsidP="00E5119C">
      <w:pPr>
        <w:pStyle w:val="subsection2"/>
      </w:pPr>
      <w:bookmarkStart w:id="9" w:name="BKCheck15B_2"/>
      <w:bookmarkEnd w:id="9"/>
      <w:r>
        <w:rPr>
          <w:position w:val="-36"/>
        </w:rPr>
        <w:pict>
          <v:shape id="_x0000_i1027" type="#_x0000_t75" style="width:198.75pt;height:39.75pt">
            <v:imagedata r:id="rId20" o:title=""/>
          </v:shape>
        </w:pict>
      </w:r>
    </w:p>
    <w:p w:rsidR="008A647F" w:rsidRPr="00E5119C" w:rsidRDefault="008A647F" w:rsidP="00E5119C">
      <w:pPr>
        <w:pStyle w:val="subsection2"/>
      </w:pPr>
      <w:r w:rsidRPr="00E5119C">
        <w:t>where:</w:t>
      </w:r>
    </w:p>
    <w:p w:rsidR="008A647F" w:rsidRPr="00E5119C" w:rsidRDefault="00F65823" w:rsidP="00E5119C">
      <w:pPr>
        <w:pStyle w:val="Definition"/>
      </w:pPr>
      <w:r w:rsidRPr="00E5119C">
        <w:rPr>
          <w:b/>
          <w:i/>
        </w:rPr>
        <w:t xml:space="preserve">amount of excess </w:t>
      </w:r>
      <w:r w:rsidR="008A647F" w:rsidRPr="00E5119C">
        <w:t xml:space="preserve">means the </w:t>
      </w:r>
      <w:r w:rsidR="00842F72" w:rsidRPr="00E5119C">
        <w:t xml:space="preserve">amount of </w:t>
      </w:r>
      <w:r w:rsidRPr="00E5119C">
        <w:t xml:space="preserve">the </w:t>
      </w:r>
      <w:r w:rsidR="008A647F" w:rsidRPr="00E5119C">
        <w:t>excess mentioned in paragraph</w:t>
      </w:r>
      <w:r w:rsidR="00E5119C" w:rsidRPr="00E5119C">
        <w:t> </w:t>
      </w:r>
      <w:r w:rsidR="00D45D99" w:rsidRPr="00E5119C">
        <w:t>6</w:t>
      </w:r>
      <w:r w:rsidR="008A647F" w:rsidRPr="00E5119C">
        <w:t>(3)(d).</w:t>
      </w:r>
    </w:p>
    <w:p w:rsidR="008A647F" w:rsidRPr="00E5119C" w:rsidRDefault="008A647F" w:rsidP="00E5119C">
      <w:pPr>
        <w:pStyle w:val="Definition"/>
      </w:pPr>
      <w:r w:rsidRPr="00E5119C">
        <w:rPr>
          <w:b/>
          <w:i/>
        </w:rPr>
        <w:t>days in period of variation</w:t>
      </w:r>
      <w:r w:rsidRPr="00E5119C">
        <w:t xml:space="preserve"> means the number of days in the period:</w:t>
      </w:r>
    </w:p>
    <w:p w:rsidR="00F17957" w:rsidRPr="00E5119C" w:rsidRDefault="008A647F" w:rsidP="00E5119C">
      <w:pPr>
        <w:pStyle w:val="paragraph"/>
      </w:pPr>
      <w:r w:rsidRPr="00E5119C">
        <w:tab/>
        <w:t>(a)</w:t>
      </w:r>
      <w:r w:rsidRPr="00E5119C">
        <w:tab/>
      </w:r>
      <w:r w:rsidR="003668CB" w:rsidRPr="00E5119C">
        <w:t xml:space="preserve">beginning </w:t>
      </w:r>
      <w:r w:rsidR="00F17957" w:rsidRPr="00E5119C">
        <w:t xml:space="preserve">at the start of the day after the first or only occasion </w:t>
      </w:r>
      <w:r w:rsidR="005109C2" w:rsidRPr="00E5119C">
        <w:t xml:space="preserve">on which </w:t>
      </w:r>
      <w:r w:rsidR="00F17957" w:rsidRPr="00E5119C">
        <w:t>the licence was varied as mentioned in paragraph</w:t>
      </w:r>
      <w:r w:rsidR="00E5119C" w:rsidRPr="00E5119C">
        <w:t> </w:t>
      </w:r>
      <w:r w:rsidR="00F17957" w:rsidRPr="00E5119C">
        <w:t>6(3)(c); and</w:t>
      </w:r>
    </w:p>
    <w:p w:rsidR="008A647F" w:rsidRPr="00E5119C" w:rsidRDefault="008A647F" w:rsidP="00E5119C">
      <w:pPr>
        <w:pStyle w:val="paragraph"/>
      </w:pPr>
      <w:r w:rsidRPr="00E5119C">
        <w:tab/>
        <w:t>(b)</w:t>
      </w:r>
      <w:r w:rsidRPr="00E5119C">
        <w:tab/>
      </w:r>
      <w:r w:rsidR="003668CB" w:rsidRPr="00E5119C">
        <w:t>e</w:t>
      </w:r>
      <w:r w:rsidR="00487652" w:rsidRPr="00E5119C">
        <w:t>nding at the end of the day before</w:t>
      </w:r>
      <w:r w:rsidR="003668CB" w:rsidRPr="00E5119C">
        <w:t xml:space="preserve"> the licence ceased to be in force.</w:t>
      </w:r>
    </w:p>
    <w:p w:rsidR="003668CB" w:rsidRPr="00E5119C" w:rsidRDefault="003668CB" w:rsidP="00E5119C">
      <w:pPr>
        <w:pStyle w:val="Definition"/>
      </w:pPr>
      <w:r w:rsidRPr="00E5119C">
        <w:rPr>
          <w:b/>
          <w:i/>
        </w:rPr>
        <w:t xml:space="preserve">days in the </w:t>
      </w:r>
      <w:r w:rsidR="00487652" w:rsidRPr="00E5119C">
        <w:rPr>
          <w:b/>
          <w:i/>
        </w:rPr>
        <w:t xml:space="preserve">financial </w:t>
      </w:r>
      <w:r w:rsidRPr="00E5119C">
        <w:rPr>
          <w:b/>
          <w:i/>
        </w:rPr>
        <w:t>year</w:t>
      </w:r>
      <w:r w:rsidRPr="00E5119C">
        <w:t xml:space="preserve"> means t</w:t>
      </w:r>
      <w:r w:rsidR="007C0627" w:rsidRPr="00E5119C">
        <w:t xml:space="preserve">he number of days in the </w:t>
      </w:r>
      <w:r w:rsidR="00487652" w:rsidRPr="00E5119C">
        <w:t>financial year.</w:t>
      </w:r>
    </w:p>
    <w:p w:rsidR="00F40D8F" w:rsidRPr="00E5119C" w:rsidRDefault="00F40D8F" w:rsidP="00E5119C">
      <w:pPr>
        <w:pStyle w:val="SubsectionHead"/>
      </w:pPr>
      <w:r w:rsidRPr="00E5119C">
        <w:t>Transitional</w:t>
      </w:r>
    </w:p>
    <w:p w:rsidR="00F40D8F" w:rsidRPr="00E5119C" w:rsidRDefault="004F0532" w:rsidP="00E5119C">
      <w:pPr>
        <w:pStyle w:val="subsection"/>
      </w:pPr>
      <w:r w:rsidRPr="00E5119C">
        <w:tab/>
        <w:t>(4</w:t>
      </w:r>
      <w:r w:rsidR="00F40D8F" w:rsidRPr="00E5119C">
        <w:t>)</w:t>
      </w:r>
      <w:r w:rsidR="00F40D8F" w:rsidRPr="00E5119C">
        <w:tab/>
        <w:t>The amount o</w:t>
      </w:r>
      <w:r w:rsidRPr="00E5119C">
        <w:t>f tax imposed by subsection</w:t>
      </w:r>
      <w:r w:rsidR="00E5119C" w:rsidRPr="00E5119C">
        <w:t> </w:t>
      </w:r>
      <w:r w:rsidR="00D45D99" w:rsidRPr="00E5119C">
        <w:t>6</w:t>
      </w:r>
      <w:r w:rsidR="0036685D" w:rsidRPr="00E5119C">
        <w:t>(5</w:t>
      </w:r>
      <w:r w:rsidR="00F40D8F" w:rsidRPr="00E5119C">
        <w:t>) on the holding of a transmitter licence at the start of 1</w:t>
      </w:r>
      <w:r w:rsidR="00E5119C" w:rsidRPr="00E5119C">
        <w:t> </w:t>
      </w:r>
      <w:r w:rsidR="00F40D8F" w:rsidRPr="00E5119C">
        <w:t>July 2017 is worked out using the following formula:</w:t>
      </w:r>
    </w:p>
    <w:p w:rsidR="00F40D8F" w:rsidRPr="00E5119C" w:rsidRDefault="00866E38" w:rsidP="00E5119C">
      <w:pPr>
        <w:pStyle w:val="subsection2"/>
      </w:pPr>
      <w:bookmarkStart w:id="10" w:name="BKCheck15B_3"/>
      <w:bookmarkEnd w:id="10"/>
      <w:r>
        <w:rPr>
          <w:position w:val="-32"/>
        </w:rPr>
        <w:pict>
          <v:shape id="_x0000_i1028" type="#_x0000_t75" style="width:210.75pt;height:38.25pt">
            <v:imagedata r:id="rId21" o:title=""/>
          </v:shape>
        </w:pict>
      </w:r>
    </w:p>
    <w:p w:rsidR="00F40D8F" w:rsidRPr="00E5119C" w:rsidRDefault="00F40D8F" w:rsidP="00E5119C">
      <w:pPr>
        <w:pStyle w:val="subsection2"/>
      </w:pPr>
      <w:r w:rsidRPr="00E5119C">
        <w:t>where:</w:t>
      </w:r>
    </w:p>
    <w:p w:rsidR="00F40D8F" w:rsidRPr="00E5119C" w:rsidRDefault="00F40D8F" w:rsidP="00E5119C">
      <w:pPr>
        <w:pStyle w:val="Definition"/>
      </w:pPr>
      <w:r w:rsidRPr="00E5119C">
        <w:rPr>
          <w:b/>
          <w:i/>
        </w:rPr>
        <w:t>amount of anniversary tax</w:t>
      </w:r>
      <w:r w:rsidRPr="00E5119C">
        <w:t xml:space="preserve"> means the amount of tax </w:t>
      </w:r>
      <w:r w:rsidR="00C42AEC" w:rsidRPr="00E5119C">
        <w:t xml:space="preserve">that would be </w:t>
      </w:r>
      <w:r w:rsidRPr="00E5119C">
        <w:t xml:space="preserve">imposed by </w:t>
      </w:r>
      <w:r w:rsidR="00C42AEC" w:rsidRPr="00E5119C">
        <w:t>subsection</w:t>
      </w:r>
      <w:r w:rsidR="00E5119C" w:rsidRPr="00E5119C">
        <w:t> </w:t>
      </w:r>
      <w:r w:rsidR="00D45D99" w:rsidRPr="00E5119C">
        <w:t>6</w:t>
      </w:r>
      <w:r w:rsidR="00C42AEC" w:rsidRPr="00E5119C">
        <w:t>(2) on a particular</w:t>
      </w:r>
      <w:r w:rsidRPr="00E5119C">
        <w:t xml:space="preserve"> anniversary of the day the transmitter licence came into force, if it were assumed that 1</w:t>
      </w:r>
      <w:r w:rsidR="00E5119C" w:rsidRPr="00E5119C">
        <w:t> </w:t>
      </w:r>
      <w:r w:rsidRPr="00E5119C">
        <w:t xml:space="preserve">July 2017 were </w:t>
      </w:r>
      <w:r w:rsidR="00C42AEC" w:rsidRPr="00E5119C">
        <w:t>that particular</w:t>
      </w:r>
      <w:r w:rsidRPr="00E5119C">
        <w:t xml:space="preserve"> anniver</w:t>
      </w:r>
      <w:r w:rsidR="00C42AEC" w:rsidRPr="00E5119C">
        <w:t>sary</w:t>
      </w:r>
      <w:r w:rsidRPr="00E5119C">
        <w:t>.</w:t>
      </w:r>
    </w:p>
    <w:p w:rsidR="00F40D8F" w:rsidRPr="00E5119C" w:rsidRDefault="00F40D8F" w:rsidP="00E5119C">
      <w:pPr>
        <w:pStyle w:val="Definition"/>
      </w:pPr>
      <w:r w:rsidRPr="00E5119C">
        <w:rPr>
          <w:b/>
          <w:i/>
        </w:rPr>
        <w:t>pre</w:t>
      </w:r>
      <w:r w:rsidR="006E2A61">
        <w:rPr>
          <w:b/>
          <w:i/>
        </w:rPr>
        <w:noBreakHyphen/>
      </w:r>
      <w:r w:rsidRPr="00E5119C">
        <w:rPr>
          <w:b/>
          <w:i/>
        </w:rPr>
        <w:t xml:space="preserve">anniversary days </w:t>
      </w:r>
      <w:r w:rsidRPr="00E5119C">
        <w:t>means the number of days in the period:</w:t>
      </w:r>
    </w:p>
    <w:p w:rsidR="00F40D8F" w:rsidRPr="00E5119C" w:rsidRDefault="00F40D8F" w:rsidP="00E5119C">
      <w:pPr>
        <w:pStyle w:val="paragraph"/>
      </w:pPr>
      <w:r w:rsidRPr="00E5119C">
        <w:tab/>
        <w:t>(a)</w:t>
      </w:r>
      <w:r w:rsidRPr="00E5119C">
        <w:tab/>
        <w:t>beginning at the start of 1</w:t>
      </w:r>
      <w:r w:rsidR="00E5119C" w:rsidRPr="00E5119C">
        <w:t> </w:t>
      </w:r>
      <w:r w:rsidRPr="00E5119C">
        <w:t>July 2017; and</w:t>
      </w:r>
    </w:p>
    <w:p w:rsidR="00F40D8F" w:rsidRPr="00E5119C" w:rsidRDefault="00F40D8F" w:rsidP="00E5119C">
      <w:pPr>
        <w:pStyle w:val="paragraph"/>
      </w:pPr>
      <w:r w:rsidRPr="00E5119C">
        <w:tab/>
        <w:t>(b)</w:t>
      </w:r>
      <w:r w:rsidRPr="00E5119C">
        <w:tab/>
        <w:t>ending at the start of the anniversary of the day the licence came into force that occurs during the financial year beginning on 1</w:t>
      </w:r>
      <w:r w:rsidR="00E5119C" w:rsidRPr="00E5119C">
        <w:t> </w:t>
      </w:r>
      <w:r w:rsidRPr="00E5119C">
        <w:t>July 2017.</w:t>
      </w:r>
    </w:p>
    <w:p w:rsidR="001040BF" w:rsidRPr="00E5119C" w:rsidRDefault="00D45D99" w:rsidP="00E5119C">
      <w:pPr>
        <w:pStyle w:val="ActHead5"/>
      </w:pPr>
      <w:bookmarkStart w:id="11" w:name="_Toc493598774"/>
      <w:r w:rsidRPr="00E5119C">
        <w:rPr>
          <w:rStyle w:val="CharSectno"/>
        </w:rPr>
        <w:t>8</w:t>
      </w:r>
      <w:r w:rsidR="001040BF" w:rsidRPr="00E5119C">
        <w:t xml:space="preserve">  Individual transmitter amount</w:t>
      </w:r>
      <w:bookmarkEnd w:id="11"/>
    </w:p>
    <w:p w:rsidR="00A154CF" w:rsidRPr="00E5119C" w:rsidRDefault="001040BF" w:rsidP="00E5119C">
      <w:pPr>
        <w:pStyle w:val="subsection"/>
      </w:pPr>
      <w:r w:rsidRPr="00E5119C">
        <w:tab/>
        <w:t>(1</w:t>
      </w:r>
      <w:r w:rsidR="006F254F" w:rsidRPr="00E5119C">
        <w:t>)</w:t>
      </w:r>
      <w:r w:rsidR="006F254F" w:rsidRPr="00E5119C">
        <w:tab/>
      </w:r>
      <w:r w:rsidRPr="00E5119C">
        <w:t>For the purposes of this Act, t</w:t>
      </w:r>
      <w:r w:rsidR="006F254F" w:rsidRPr="00E5119C">
        <w:t xml:space="preserve">he </w:t>
      </w:r>
      <w:r w:rsidR="006F254F" w:rsidRPr="00E5119C">
        <w:rPr>
          <w:b/>
          <w:i/>
        </w:rPr>
        <w:t>i</w:t>
      </w:r>
      <w:r w:rsidR="00A154CF" w:rsidRPr="00E5119C">
        <w:rPr>
          <w:b/>
          <w:i/>
        </w:rPr>
        <w:t xml:space="preserve">ndividual </w:t>
      </w:r>
      <w:r w:rsidRPr="00E5119C">
        <w:rPr>
          <w:b/>
          <w:i/>
        </w:rPr>
        <w:t>transmitter amount</w:t>
      </w:r>
      <w:r w:rsidR="002E7C31" w:rsidRPr="00E5119C">
        <w:t xml:space="preserve"> for a</w:t>
      </w:r>
      <w:r w:rsidR="0092406D" w:rsidRPr="00E5119C">
        <w:t xml:space="preserve"> transmitter covered by a transmitter licence </w:t>
      </w:r>
      <w:r w:rsidRPr="00E5119C">
        <w:t xml:space="preserve">at a particular time in a financial year </w:t>
      </w:r>
      <w:r w:rsidR="0092406D" w:rsidRPr="00E5119C">
        <w:t>is</w:t>
      </w:r>
      <w:r w:rsidR="00A154CF" w:rsidRPr="00E5119C">
        <w:t>:</w:t>
      </w:r>
    </w:p>
    <w:p w:rsidR="006F254F" w:rsidRPr="00E5119C" w:rsidRDefault="0092406D" w:rsidP="00E5119C">
      <w:pPr>
        <w:pStyle w:val="paragraph"/>
      </w:pPr>
      <w:r w:rsidRPr="00E5119C">
        <w:tab/>
        <w:t>(a</w:t>
      </w:r>
      <w:r w:rsidR="001040BF" w:rsidRPr="00E5119C">
        <w:t>)</w:t>
      </w:r>
      <w:r w:rsidR="001040BF" w:rsidRPr="00E5119C">
        <w:tab/>
        <w:t xml:space="preserve">if </w:t>
      </w:r>
      <w:r w:rsidR="006F254F" w:rsidRPr="00E5119C">
        <w:t xml:space="preserve">a determination </w:t>
      </w:r>
      <w:r w:rsidR="001040BF" w:rsidRPr="00E5119C">
        <w:t xml:space="preserve">is </w:t>
      </w:r>
      <w:r w:rsidR="006F254F" w:rsidRPr="00E5119C">
        <w:t xml:space="preserve">in force under </w:t>
      </w:r>
      <w:r w:rsidR="00E5119C" w:rsidRPr="00E5119C">
        <w:t>subsection (</w:t>
      </w:r>
      <w:r w:rsidR="006F254F" w:rsidRPr="00E5119C">
        <w:t>2)</w:t>
      </w:r>
      <w:r w:rsidR="001040BF" w:rsidRPr="00E5119C">
        <w:t xml:space="preserve"> at that time</w:t>
      </w:r>
      <w:r w:rsidR="006F254F" w:rsidRPr="00E5119C">
        <w:t xml:space="preserve">—the amount </w:t>
      </w:r>
      <w:r w:rsidR="00EF5A40" w:rsidRPr="00E5119C">
        <w:t>worked out under the determination</w:t>
      </w:r>
      <w:r w:rsidR="006F254F" w:rsidRPr="00E5119C">
        <w:t>; or</w:t>
      </w:r>
    </w:p>
    <w:p w:rsidR="006F254F" w:rsidRPr="00E5119C" w:rsidRDefault="0092406D" w:rsidP="00E5119C">
      <w:pPr>
        <w:pStyle w:val="paragraph"/>
      </w:pPr>
      <w:r w:rsidRPr="00E5119C">
        <w:tab/>
        <w:t>(b</w:t>
      </w:r>
      <w:r w:rsidR="006F254F" w:rsidRPr="00E5119C">
        <w:t>)</w:t>
      </w:r>
      <w:r w:rsidR="006F254F" w:rsidRPr="00E5119C">
        <w:tab/>
      </w:r>
      <w:r w:rsidR="001040BF" w:rsidRPr="00E5119C">
        <w:t>otherwise</w:t>
      </w:r>
      <w:r w:rsidR="006F254F" w:rsidRPr="00E5119C">
        <w:t xml:space="preserve">—the individual </w:t>
      </w:r>
      <w:r w:rsidR="001040BF" w:rsidRPr="00E5119C">
        <w:t>transmitter amount</w:t>
      </w:r>
      <w:r w:rsidR="006F254F" w:rsidRPr="00E5119C">
        <w:t xml:space="preserve"> cap</w:t>
      </w:r>
      <w:r w:rsidR="001040BF" w:rsidRPr="00E5119C">
        <w:t xml:space="preserve"> for the transmitter for the financial year</w:t>
      </w:r>
      <w:r w:rsidR="006F254F" w:rsidRPr="00E5119C">
        <w:t>.</w:t>
      </w:r>
    </w:p>
    <w:p w:rsidR="00C2072F" w:rsidRPr="00E5119C" w:rsidRDefault="00AD437D" w:rsidP="00E5119C">
      <w:pPr>
        <w:pStyle w:val="subsection"/>
      </w:pPr>
      <w:r w:rsidRPr="00E5119C">
        <w:tab/>
        <w:t>(2)</w:t>
      </w:r>
      <w:r w:rsidRPr="00E5119C">
        <w:tab/>
        <w:t>The M</w:t>
      </w:r>
      <w:r w:rsidR="00902CF9" w:rsidRPr="00E5119C">
        <w:t>inister may</w:t>
      </w:r>
      <w:r w:rsidRPr="00E5119C">
        <w:t xml:space="preserve">, by legislative instrument, </w:t>
      </w:r>
      <w:r w:rsidR="00E85020" w:rsidRPr="00E5119C">
        <w:t xml:space="preserve">make a determination for the purposes of </w:t>
      </w:r>
      <w:r w:rsidR="00E5119C" w:rsidRPr="00E5119C">
        <w:t>paragraph (</w:t>
      </w:r>
      <w:r w:rsidR="001C46AF" w:rsidRPr="00E5119C">
        <w:t>1)(a)</w:t>
      </w:r>
      <w:r w:rsidR="006F254F" w:rsidRPr="00E5119C">
        <w:t>.</w:t>
      </w:r>
    </w:p>
    <w:p w:rsidR="00517B68" w:rsidRPr="00E5119C" w:rsidRDefault="00517B68" w:rsidP="00E5119C">
      <w:pPr>
        <w:pStyle w:val="notetext"/>
      </w:pPr>
      <w:r w:rsidRPr="00E5119C">
        <w:t>Note:</w:t>
      </w:r>
      <w:r w:rsidRPr="00E5119C">
        <w:tab/>
        <w:t>See also section</w:t>
      </w:r>
      <w:r w:rsidR="00E5119C" w:rsidRPr="00E5119C">
        <w:t> </w:t>
      </w:r>
      <w:r w:rsidR="00D45D99" w:rsidRPr="00E5119C">
        <w:t>13</w:t>
      </w:r>
      <w:r w:rsidRPr="00E5119C">
        <w:t xml:space="preserve"> (disallowance of determinations).</w:t>
      </w:r>
    </w:p>
    <w:p w:rsidR="006418F5" w:rsidRPr="00E5119C" w:rsidRDefault="006418F5" w:rsidP="00E5119C">
      <w:pPr>
        <w:pStyle w:val="subsection"/>
      </w:pPr>
      <w:r w:rsidRPr="00E5119C">
        <w:tab/>
        <w:t>(3)</w:t>
      </w:r>
      <w:r w:rsidRPr="00E5119C">
        <w:tab/>
        <w:t xml:space="preserve">A determination under </w:t>
      </w:r>
      <w:r w:rsidR="00E5119C" w:rsidRPr="00E5119C">
        <w:t>subsection (</w:t>
      </w:r>
      <w:r w:rsidRPr="00E5119C">
        <w:t>2) ma</w:t>
      </w:r>
      <w:r w:rsidR="00E85020" w:rsidRPr="00E5119C">
        <w:t>y provide for different amounts</w:t>
      </w:r>
      <w:r w:rsidRPr="00E5119C">
        <w:t xml:space="preserve"> in relation to:</w:t>
      </w:r>
    </w:p>
    <w:p w:rsidR="006F254F" w:rsidRPr="00E5119C" w:rsidRDefault="00DF21CD" w:rsidP="00E5119C">
      <w:pPr>
        <w:pStyle w:val="paragraph"/>
      </w:pPr>
      <w:r w:rsidRPr="00E5119C">
        <w:tab/>
        <w:t>(a)</w:t>
      </w:r>
      <w:r w:rsidRPr="00E5119C">
        <w:tab/>
      </w:r>
      <w:r w:rsidR="006F254F" w:rsidRPr="00E5119C">
        <w:t xml:space="preserve">different </w:t>
      </w:r>
      <w:r w:rsidR="00961825" w:rsidRPr="00E5119C">
        <w:t>classes</w:t>
      </w:r>
      <w:r w:rsidR="006F254F" w:rsidRPr="00E5119C">
        <w:t xml:space="preserve"> of </w:t>
      </w:r>
      <w:r w:rsidR="00961825" w:rsidRPr="00E5119C">
        <w:t>transmitters</w:t>
      </w:r>
      <w:r w:rsidR="006F254F" w:rsidRPr="00E5119C">
        <w:t>; or</w:t>
      </w:r>
    </w:p>
    <w:p w:rsidR="006418F5" w:rsidRPr="00E5119C" w:rsidRDefault="006F254F" w:rsidP="00E5119C">
      <w:pPr>
        <w:pStyle w:val="paragraph"/>
      </w:pPr>
      <w:r w:rsidRPr="00E5119C">
        <w:tab/>
        <w:t>(b)</w:t>
      </w:r>
      <w:r w:rsidRPr="00E5119C">
        <w:tab/>
      </w:r>
      <w:r w:rsidR="00DF21CD" w:rsidRPr="00E5119C">
        <w:t>different</w:t>
      </w:r>
      <w:r w:rsidR="006418F5" w:rsidRPr="00E5119C">
        <w:t xml:space="preserve"> periods; or</w:t>
      </w:r>
    </w:p>
    <w:p w:rsidR="006418F5" w:rsidRPr="00E5119C" w:rsidRDefault="00B37BAB" w:rsidP="00E5119C">
      <w:pPr>
        <w:pStyle w:val="paragraph"/>
      </w:pPr>
      <w:r w:rsidRPr="00E5119C">
        <w:tab/>
        <w:t>(c</w:t>
      </w:r>
      <w:r w:rsidR="006418F5" w:rsidRPr="00E5119C">
        <w:t>)</w:t>
      </w:r>
      <w:r w:rsidR="006418F5" w:rsidRPr="00E5119C">
        <w:tab/>
      </w:r>
      <w:r w:rsidR="00DF21CD" w:rsidRPr="00E5119C">
        <w:t xml:space="preserve">different </w:t>
      </w:r>
      <w:r w:rsidR="006418F5" w:rsidRPr="00E5119C">
        <w:t>classes of licences; or</w:t>
      </w:r>
    </w:p>
    <w:p w:rsidR="006418F5" w:rsidRPr="00E5119C" w:rsidRDefault="00B37BAB" w:rsidP="00E5119C">
      <w:pPr>
        <w:pStyle w:val="paragraph"/>
      </w:pPr>
      <w:r w:rsidRPr="00E5119C">
        <w:tab/>
        <w:t>(d</w:t>
      </w:r>
      <w:r w:rsidR="006418F5" w:rsidRPr="00E5119C">
        <w:t>)</w:t>
      </w:r>
      <w:r w:rsidR="006418F5" w:rsidRPr="00E5119C">
        <w:tab/>
      </w:r>
      <w:r w:rsidR="007A2377" w:rsidRPr="00E5119C">
        <w:t xml:space="preserve">licences held by </w:t>
      </w:r>
      <w:r w:rsidR="00DF21CD" w:rsidRPr="00E5119C">
        <w:t xml:space="preserve">different </w:t>
      </w:r>
      <w:r w:rsidR="006418F5" w:rsidRPr="00E5119C">
        <w:t>classes of persons.</w:t>
      </w:r>
    </w:p>
    <w:p w:rsidR="00663342" w:rsidRPr="00E5119C" w:rsidRDefault="00663342" w:rsidP="00E5119C">
      <w:pPr>
        <w:pStyle w:val="subsection"/>
      </w:pPr>
      <w:r w:rsidRPr="00E5119C">
        <w:tab/>
        <w:t>(4)</w:t>
      </w:r>
      <w:r w:rsidRPr="00E5119C">
        <w:tab/>
      </w:r>
      <w:r w:rsidR="00E5119C" w:rsidRPr="00E5119C">
        <w:t>Subsection (</w:t>
      </w:r>
      <w:r w:rsidRPr="00E5119C">
        <w:t>3) does not limit subsection</w:t>
      </w:r>
      <w:r w:rsidR="00E5119C" w:rsidRPr="00E5119C">
        <w:t> </w:t>
      </w:r>
      <w:r w:rsidRPr="00E5119C">
        <w:t xml:space="preserve">33(3A) of the </w:t>
      </w:r>
      <w:r w:rsidRPr="00E5119C">
        <w:rPr>
          <w:i/>
        </w:rPr>
        <w:t>Acts Interpretation Act 1901</w:t>
      </w:r>
      <w:r w:rsidRPr="00E5119C">
        <w:t>.</w:t>
      </w:r>
    </w:p>
    <w:p w:rsidR="00902CF9" w:rsidRPr="00E5119C" w:rsidRDefault="002E7C31" w:rsidP="00E5119C">
      <w:pPr>
        <w:pStyle w:val="subsection"/>
      </w:pPr>
      <w:r w:rsidRPr="00E5119C">
        <w:tab/>
        <w:t>(5</w:t>
      </w:r>
      <w:r w:rsidR="00902CF9" w:rsidRPr="00E5119C">
        <w:t>)</w:t>
      </w:r>
      <w:r w:rsidR="00902CF9" w:rsidRPr="00E5119C">
        <w:tab/>
        <w:t>Subsection</w:t>
      </w:r>
      <w:r w:rsidR="00E5119C" w:rsidRPr="00E5119C">
        <w:t> </w:t>
      </w:r>
      <w:r w:rsidR="00902CF9" w:rsidRPr="00E5119C">
        <w:t xml:space="preserve">12(2) of the </w:t>
      </w:r>
      <w:r w:rsidR="00902CF9" w:rsidRPr="00E5119C">
        <w:rPr>
          <w:i/>
        </w:rPr>
        <w:t>Legislation Act 2003</w:t>
      </w:r>
      <w:r w:rsidR="00517B68" w:rsidRPr="00E5119C">
        <w:t xml:space="preserve"> does not apply to the first</w:t>
      </w:r>
      <w:r w:rsidR="00902CF9" w:rsidRPr="00E5119C">
        <w:t xml:space="preserve"> determination </w:t>
      </w:r>
      <w:r w:rsidR="004E3C5E" w:rsidRPr="00E5119C">
        <w:t xml:space="preserve">made </w:t>
      </w:r>
      <w:r w:rsidR="00902CF9" w:rsidRPr="00E5119C">
        <w:t xml:space="preserve">under </w:t>
      </w:r>
      <w:r w:rsidR="00E5119C" w:rsidRPr="00E5119C">
        <w:t>subsection (</w:t>
      </w:r>
      <w:r w:rsidR="00902CF9" w:rsidRPr="00E5119C">
        <w:t>2) of this section.</w:t>
      </w:r>
    </w:p>
    <w:p w:rsidR="004B3800" w:rsidRPr="00E5119C" w:rsidRDefault="007025B3" w:rsidP="00E5119C">
      <w:pPr>
        <w:pStyle w:val="subsection"/>
      </w:pPr>
      <w:r w:rsidRPr="00E5119C">
        <w:tab/>
        <w:t>(</w:t>
      </w:r>
      <w:r w:rsidR="002E7C31" w:rsidRPr="00E5119C">
        <w:t>6</w:t>
      </w:r>
      <w:r w:rsidRPr="00E5119C">
        <w:t>)</w:t>
      </w:r>
      <w:r w:rsidRPr="00E5119C">
        <w:tab/>
      </w:r>
      <w:r w:rsidR="00663342" w:rsidRPr="00E5119C">
        <w:t xml:space="preserve">The individual transmitter amount </w:t>
      </w:r>
      <w:r w:rsidR="002E7C31" w:rsidRPr="00E5119C">
        <w:t xml:space="preserve">for a </w:t>
      </w:r>
      <w:r w:rsidR="00663342" w:rsidRPr="00E5119C">
        <w:t>transmitter covered by a transmitter licence at a particular time in a financial year</w:t>
      </w:r>
      <w:r w:rsidR="004B3800" w:rsidRPr="00E5119C">
        <w:t xml:space="preserve"> </w:t>
      </w:r>
      <w:r w:rsidRPr="00E5119C">
        <w:t xml:space="preserve">must not exceed the </w:t>
      </w:r>
      <w:r w:rsidR="004B3800" w:rsidRPr="00E5119C">
        <w:t xml:space="preserve">individual </w:t>
      </w:r>
      <w:r w:rsidR="001040BF" w:rsidRPr="00E5119C">
        <w:t>transmitter amount</w:t>
      </w:r>
      <w:r w:rsidR="002D7269" w:rsidRPr="00E5119C">
        <w:t xml:space="preserve"> cap</w:t>
      </w:r>
      <w:r w:rsidR="004B3800" w:rsidRPr="00E5119C">
        <w:t xml:space="preserve"> </w:t>
      </w:r>
      <w:r w:rsidR="00F60386" w:rsidRPr="00E5119C">
        <w:t xml:space="preserve">for </w:t>
      </w:r>
      <w:r w:rsidR="00253994" w:rsidRPr="00E5119C">
        <w:t xml:space="preserve">the transmitter </w:t>
      </w:r>
      <w:r w:rsidR="00663342" w:rsidRPr="00E5119C">
        <w:t>for the</w:t>
      </w:r>
      <w:r w:rsidR="004B3800" w:rsidRPr="00E5119C">
        <w:t xml:space="preserve"> financial year</w:t>
      </w:r>
      <w:r w:rsidR="00663342" w:rsidRPr="00E5119C">
        <w:t>.</w:t>
      </w:r>
    </w:p>
    <w:p w:rsidR="00E331B8" w:rsidRPr="00E5119C" w:rsidRDefault="005E34CA" w:rsidP="00E5119C">
      <w:pPr>
        <w:pStyle w:val="notetext"/>
      </w:pPr>
      <w:r w:rsidRPr="00E5119C">
        <w:t>Note:</w:t>
      </w:r>
      <w:r w:rsidRPr="00E5119C">
        <w:tab/>
        <w:t>See section</w:t>
      </w:r>
      <w:r w:rsidR="00E5119C" w:rsidRPr="00E5119C">
        <w:t> </w:t>
      </w:r>
      <w:r w:rsidR="00D45D99" w:rsidRPr="00E5119C">
        <w:t>9</w:t>
      </w:r>
      <w:r w:rsidR="00E331B8" w:rsidRPr="00E5119C">
        <w:t xml:space="preserve">, which deals with </w:t>
      </w:r>
      <w:r w:rsidR="00541247" w:rsidRPr="00E5119C">
        <w:t xml:space="preserve">the </w:t>
      </w:r>
      <w:r w:rsidR="00E331B8" w:rsidRPr="00E5119C">
        <w:t xml:space="preserve">individual </w:t>
      </w:r>
      <w:r w:rsidR="001040BF" w:rsidRPr="00E5119C">
        <w:t>transmitter amount</w:t>
      </w:r>
      <w:r w:rsidR="00541247" w:rsidRPr="00E5119C">
        <w:t xml:space="preserve"> cap</w:t>
      </w:r>
      <w:r w:rsidR="00E331B8" w:rsidRPr="00E5119C">
        <w:t>.</w:t>
      </w:r>
    </w:p>
    <w:p w:rsidR="00A23E7C" w:rsidRPr="00E5119C" w:rsidRDefault="00D45D99" w:rsidP="00E5119C">
      <w:pPr>
        <w:pStyle w:val="ActHead5"/>
      </w:pPr>
      <w:bookmarkStart w:id="12" w:name="_Toc493598775"/>
      <w:r w:rsidRPr="00E5119C">
        <w:rPr>
          <w:rStyle w:val="CharSectno"/>
        </w:rPr>
        <w:t>9</w:t>
      </w:r>
      <w:r w:rsidR="00A23E7C" w:rsidRPr="00E5119C">
        <w:t xml:space="preserve">  Individual </w:t>
      </w:r>
      <w:r w:rsidR="001040BF" w:rsidRPr="00E5119C">
        <w:t>transmitter amount</w:t>
      </w:r>
      <w:r w:rsidR="00A23E7C" w:rsidRPr="00E5119C">
        <w:t xml:space="preserve"> cap</w:t>
      </w:r>
      <w:bookmarkEnd w:id="12"/>
    </w:p>
    <w:p w:rsidR="007025B3" w:rsidRPr="00E5119C" w:rsidRDefault="007025B3" w:rsidP="00E5119C">
      <w:pPr>
        <w:pStyle w:val="subsection"/>
      </w:pPr>
      <w:r w:rsidRPr="00E5119C">
        <w:tab/>
      </w:r>
      <w:r w:rsidR="00114E51" w:rsidRPr="00E5119C">
        <w:t>(1</w:t>
      </w:r>
      <w:r w:rsidRPr="00E5119C">
        <w:t>)</w:t>
      </w:r>
      <w:r w:rsidRPr="00E5119C">
        <w:tab/>
      </w:r>
      <w:r w:rsidR="004149B2" w:rsidRPr="00E5119C">
        <w:t>For the purposes of this Act,</w:t>
      </w:r>
      <w:r w:rsidR="00E85EB7" w:rsidRPr="00E5119C">
        <w:t xml:space="preserve"> t</w:t>
      </w:r>
      <w:r w:rsidR="00E44075" w:rsidRPr="00E5119C">
        <w:t>he</w:t>
      </w:r>
      <w:r w:rsidRPr="00E5119C">
        <w:t xml:space="preserve"> </w:t>
      </w:r>
      <w:r w:rsidR="00A23E7C" w:rsidRPr="00E5119C">
        <w:rPr>
          <w:b/>
          <w:i/>
        </w:rPr>
        <w:t xml:space="preserve">individual </w:t>
      </w:r>
      <w:r w:rsidR="001040BF" w:rsidRPr="00E5119C">
        <w:rPr>
          <w:b/>
          <w:i/>
        </w:rPr>
        <w:t>transmitter amount</w:t>
      </w:r>
      <w:r w:rsidR="00A23E7C" w:rsidRPr="00E5119C">
        <w:rPr>
          <w:b/>
          <w:i/>
        </w:rPr>
        <w:t xml:space="preserve"> cap</w:t>
      </w:r>
      <w:r w:rsidRPr="00E5119C">
        <w:t xml:space="preserve"> </w:t>
      </w:r>
      <w:r w:rsidR="00585A67" w:rsidRPr="00E5119C">
        <w:t xml:space="preserve">for a transmitter </w:t>
      </w:r>
      <w:r w:rsidR="00CE3AD5" w:rsidRPr="00E5119C">
        <w:t xml:space="preserve">for the financial year beginning </w:t>
      </w:r>
      <w:r w:rsidR="003D36A8" w:rsidRPr="00E5119C">
        <w:t xml:space="preserve">on </w:t>
      </w:r>
      <w:r w:rsidR="00CE3AD5" w:rsidRPr="00E5119C">
        <w:t>1</w:t>
      </w:r>
      <w:r w:rsidR="00E5119C" w:rsidRPr="00E5119C">
        <w:t> </w:t>
      </w:r>
      <w:r w:rsidR="00CE3AD5" w:rsidRPr="00E5119C">
        <w:t xml:space="preserve">July 2017 </w:t>
      </w:r>
      <w:r w:rsidR="00E44075" w:rsidRPr="00E5119C">
        <w:t>is worke</w:t>
      </w:r>
      <w:r w:rsidR="00F077F2" w:rsidRPr="00E5119C">
        <w:t>d out using the following table:</w:t>
      </w:r>
    </w:p>
    <w:p w:rsidR="00BA388B" w:rsidRPr="00E5119C" w:rsidRDefault="00BA388B" w:rsidP="00E5119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75"/>
        <w:gridCol w:w="1275"/>
        <w:gridCol w:w="1275"/>
        <w:gridCol w:w="1275"/>
        <w:gridCol w:w="1275"/>
      </w:tblGrid>
      <w:tr w:rsidR="00BA388B" w:rsidRPr="00E5119C" w:rsidTr="00BA388B">
        <w:trPr>
          <w:tblHeader/>
        </w:trPr>
        <w:tc>
          <w:tcPr>
            <w:tcW w:w="7089" w:type="dxa"/>
            <w:gridSpan w:val="6"/>
            <w:tcBorders>
              <w:top w:val="single" w:sz="12" w:space="0" w:color="auto"/>
              <w:bottom w:val="single" w:sz="6" w:space="0" w:color="auto"/>
            </w:tcBorders>
            <w:shd w:val="clear" w:color="auto" w:fill="auto"/>
          </w:tcPr>
          <w:p w:rsidR="00BA388B" w:rsidRPr="00E5119C" w:rsidRDefault="00BA388B" w:rsidP="00E5119C">
            <w:pPr>
              <w:pStyle w:val="TableHeading"/>
            </w:pPr>
            <w:r w:rsidRPr="00E5119C">
              <w:t xml:space="preserve">Individual </w:t>
            </w:r>
            <w:r w:rsidR="001040BF" w:rsidRPr="00E5119C">
              <w:t>transmitter amount</w:t>
            </w:r>
            <w:r w:rsidRPr="00E5119C">
              <w:t xml:space="preserve"> cap</w:t>
            </w:r>
            <w:r w:rsidR="00E331B8" w:rsidRPr="00E5119C">
              <w:t xml:space="preserve">—financial year beginning </w:t>
            </w:r>
            <w:r w:rsidR="004149B2" w:rsidRPr="00E5119C">
              <w:t xml:space="preserve">on </w:t>
            </w:r>
            <w:r w:rsidR="00E331B8" w:rsidRPr="00E5119C">
              <w:t>1</w:t>
            </w:r>
            <w:r w:rsidR="00E5119C" w:rsidRPr="00E5119C">
              <w:t> </w:t>
            </w:r>
            <w:r w:rsidR="00E331B8" w:rsidRPr="00E5119C">
              <w:t>July 2017</w:t>
            </w:r>
          </w:p>
        </w:tc>
      </w:tr>
      <w:tr w:rsidR="00BA388B" w:rsidRPr="00E5119C" w:rsidTr="00BA388B">
        <w:trPr>
          <w:tblHeader/>
        </w:trPr>
        <w:tc>
          <w:tcPr>
            <w:tcW w:w="714" w:type="dxa"/>
            <w:tcBorders>
              <w:top w:val="single" w:sz="6" w:space="0" w:color="auto"/>
              <w:bottom w:val="single" w:sz="12" w:space="0" w:color="auto"/>
            </w:tcBorders>
            <w:shd w:val="clear" w:color="auto" w:fill="auto"/>
          </w:tcPr>
          <w:p w:rsidR="00BA388B" w:rsidRPr="00E5119C" w:rsidRDefault="00BA388B" w:rsidP="00E5119C">
            <w:pPr>
              <w:pStyle w:val="TableHeading"/>
            </w:pPr>
            <w:r w:rsidRPr="00E5119C">
              <w:t>Item</w:t>
            </w:r>
          </w:p>
        </w:tc>
        <w:tc>
          <w:tcPr>
            <w:tcW w:w="1275" w:type="dxa"/>
            <w:tcBorders>
              <w:top w:val="single" w:sz="6" w:space="0" w:color="auto"/>
              <w:bottom w:val="single" w:sz="12" w:space="0" w:color="auto"/>
            </w:tcBorders>
            <w:shd w:val="clear" w:color="auto" w:fill="auto"/>
          </w:tcPr>
          <w:p w:rsidR="00BA388B" w:rsidRPr="00E5119C" w:rsidRDefault="00B066D2" w:rsidP="00E5119C">
            <w:pPr>
              <w:pStyle w:val="TableHeading"/>
            </w:pPr>
            <w:r w:rsidRPr="00E5119C">
              <w:t>Maximum p</w:t>
            </w:r>
            <w:r w:rsidR="00BA388B" w:rsidRPr="00E5119C">
              <w:t xml:space="preserve">ower of </w:t>
            </w:r>
            <w:r w:rsidR="00A71687" w:rsidRPr="00E5119C">
              <w:t xml:space="preserve">the </w:t>
            </w:r>
            <w:r w:rsidR="00BA388B" w:rsidRPr="00E5119C">
              <w:t>transmitte</w:t>
            </w:r>
            <w:r w:rsidR="00A71687" w:rsidRPr="00E5119C">
              <w:t>r</w:t>
            </w:r>
          </w:p>
        </w:tc>
        <w:tc>
          <w:tcPr>
            <w:tcW w:w="1275" w:type="dxa"/>
            <w:tcBorders>
              <w:top w:val="single" w:sz="6" w:space="0" w:color="auto"/>
              <w:bottom w:val="single" w:sz="12" w:space="0" w:color="auto"/>
            </w:tcBorders>
            <w:shd w:val="clear" w:color="auto" w:fill="auto"/>
          </w:tcPr>
          <w:p w:rsidR="00BA388B" w:rsidRPr="00E5119C" w:rsidRDefault="00BA388B" w:rsidP="00E5119C">
            <w:pPr>
              <w:pStyle w:val="TableHeading"/>
            </w:pPr>
            <w:r w:rsidRPr="00E5119C">
              <w:t xml:space="preserve">Cap if transmitter </w:t>
            </w:r>
            <w:r w:rsidR="00853223" w:rsidRPr="00E5119C">
              <w:t>operates in the AM band</w:t>
            </w:r>
          </w:p>
        </w:tc>
        <w:tc>
          <w:tcPr>
            <w:tcW w:w="1275" w:type="dxa"/>
            <w:tcBorders>
              <w:top w:val="single" w:sz="6" w:space="0" w:color="auto"/>
              <w:bottom w:val="single" w:sz="12" w:space="0" w:color="auto"/>
            </w:tcBorders>
            <w:shd w:val="clear" w:color="auto" w:fill="auto"/>
          </w:tcPr>
          <w:p w:rsidR="00BA388B" w:rsidRPr="00E5119C" w:rsidRDefault="00BA388B" w:rsidP="00E5119C">
            <w:pPr>
              <w:pStyle w:val="TableHeading"/>
            </w:pPr>
            <w:r w:rsidRPr="00E5119C">
              <w:t xml:space="preserve">Cap if transmitter operates in the FM </w:t>
            </w:r>
            <w:r w:rsidR="00853223" w:rsidRPr="00E5119C">
              <w:t>band</w:t>
            </w:r>
          </w:p>
        </w:tc>
        <w:tc>
          <w:tcPr>
            <w:tcW w:w="1275" w:type="dxa"/>
            <w:tcBorders>
              <w:top w:val="single" w:sz="6" w:space="0" w:color="auto"/>
              <w:bottom w:val="single" w:sz="12" w:space="0" w:color="auto"/>
            </w:tcBorders>
            <w:shd w:val="clear" w:color="auto" w:fill="auto"/>
          </w:tcPr>
          <w:p w:rsidR="00BA388B" w:rsidRPr="00E5119C" w:rsidRDefault="00BA388B" w:rsidP="00E5119C">
            <w:pPr>
              <w:pStyle w:val="TableHeading"/>
            </w:pPr>
            <w:r w:rsidRPr="00E5119C">
              <w:t xml:space="preserve">Cap if transmitter operates in the VHF </w:t>
            </w:r>
            <w:r w:rsidR="00853223" w:rsidRPr="00E5119C">
              <w:t>band</w:t>
            </w:r>
          </w:p>
        </w:tc>
        <w:tc>
          <w:tcPr>
            <w:tcW w:w="1275" w:type="dxa"/>
            <w:tcBorders>
              <w:top w:val="single" w:sz="6" w:space="0" w:color="auto"/>
              <w:bottom w:val="single" w:sz="12" w:space="0" w:color="auto"/>
            </w:tcBorders>
            <w:shd w:val="clear" w:color="auto" w:fill="auto"/>
          </w:tcPr>
          <w:p w:rsidR="00BA388B" w:rsidRPr="00E5119C" w:rsidRDefault="00BA388B" w:rsidP="00E5119C">
            <w:pPr>
              <w:pStyle w:val="TableHeading"/>
            </w:pPr>
            <w:r w:rsidRPr="00E5119C">
              <w:t xml:space="preserve">Cap if transmitter operates in the UHF </w:t>
            </w:r>
            <w:r w:rsidR="00853223" w:rsidRPr="00E5119C">
              <w:t>band</w:t>
            </w:r>
          </w:p>
        </w:tc>
      </w:tr>
      <w:tr w:rsidR="00BA388B" w:rsidRPr="00E5119C" w:rsidTr="00BA388B">
        <w:tc>
          <w:tcPr>
            <w:tcW w:w="714" w:type="dxa"/>
            <w:tcBorders>
              <w:top w:val="single" w:sz="12" w:space="0" w:color="auto"/>
            </w:tcBorders>
            <w:shd w:val="clear" w:color="auto" w:fill="auto"/>
          </w:tcPr>
          <w:p w:rsidR="00BA388B" w:rsidRPr="00E5119C" w:rsidRDefault="00BA388B" w:rsidP="00E5119C">
            <w:pPr>
              <w:pStyle w:val="Tabletext"/>
            </w:pPr>
            <w:r w:rsidRPr="00E5119C">
              <w:t>1</w:t>
            </w:r>
          </w:p>
        </w:tc>
        <w:tc>
          <w:tcPr>
            <w:tcW w:w="1275" w:type="dxa"/>
            <w:tcBorders>
              <w:top w:val="single" w:sz="12" w:space="0" w:color="auto"/>
            </w:tcBorders>
            <w:shd w:val="clear" w:color="auto" w:fill="auto"/>
          </w:tcPr>
          <w:p w:rsidR="00BA388B" w:rsidRPr="00E5119C" w:rsidRDefault="00BA388B" w:rsidP="00E5119C">
            <w:pPr>
              <w:pStyle w:val="Tabletext"/>
            </w:pPr>
            <w:r w:rsidRPr="00E5119C">
              <w:t>Low</w:t>
            </w:r>
          </w:p>
        </w:tc>
        <w:tc>
          <w:tcPr>
            <w:tcW w:w="1275" w:type="dxa"/>
            <w:tcBorders>
              <w:top w:val="single" w:sz="12" w:space="0" w:color="auto"/>
            </w:tcBorders>
            <w:shd w:val="clear" w:color="auto" w:fill="auto"/>
          </w:tcPr>
          <w:p w:rsidR="00BA388B" w:rsidRPr="00E5119C" w:rsidRDefault="00A67DA9" w:rsidP="00E5119C">
            <w:pPr>
              <w:pStyle w:val="Tabletext"/>
              <w:tabs>
                <w:tab w:val="decimal" w:pos="920"/>
              </w:tabs>
            </w:pPr>
            <w:r w:rsidRPr="00E5119C">
              <w:t>$40</w:t>
            </w:r>
          </w:p>
        </w:tc>
        <w:tc>
          <w:tcPr>
            <w:tcW w:w="1275" w:type="dxa"/>
            <w:tcBorders>
              <w:top w:val="single" w:sz="12" w:space="0" w:color="auto"/>
            </w:tcBorders>
            <w:shd w:val="clear" w:color="auto" w:fill="auto"/>
          </w:tcPr>
          <w:p w:rsidR="00BA388B" w:rsidRPr="00E5119C" w:rsidRDefault="00BA388B" w:rsidP="00E5119C">
            <w:pPr>
              <w:pStyle w:val="Tabletext"/>
              <w:tabs>
                <w:tab w:val="decimal" w:pos="920"/>
              </w:tabs>
            </w:pPr>
            <w:r w:rsidRPr="00E5119C">
              <w:t>$405</w:t>
            </w:r>
          </w:p>
        </w:tc>
        <w:tc>
          <w:tcPr>
            <w:tcW w:w="1275" w:type="dxa"/>
            <w:tcBorders>
              <w:top w:val="single" w:sz="12" w:space="0" w:color="auto"/>
            </w:tcBorders>
            <w:shd w:val="clear" w:color="auto" w:fill="auto"/>
          </w:tcPr>
          <w:p w:rsidR="00BA388B" w:rsidRPr="00E5119C" w:rsidRDefault="00BA388B" w:rsidP="00E5119C">
            <w:pPr>
              <w:pStyle w:val="Tabletext"/>
              <w:tabs>
                <w:tab w:val="decimal" w:pos="920"/>
              </w:tabs>
            </w:pPr>
            <w:r w:rsidRPr="00E5119C">
              <w:t>$18,661</w:t>
            </w:r>
          </w:p>
        </w:tc>
        <w:tc>
          <w:tcPr>
            <w:tcW w:w="1275" w:type="dxa"/>
            <w:tcBorders>
              <w:top w:val="single" w:sz="12" w:space="0" w:color="auto"/>
            </w:tcBorders>
            <w:shd w:val="clear" w:color="auto" w:fill="auto"/>
          </w:tcPr>
          <w:p w:rsidR="00BA388B" w:rsidRPr="00E5119C" w:rsidRDefault="00BA388B" w:rsidP="00E5119C">
            <w:pPr>
              <w:pStyle w:val="Tabletext"/>
              <w:tabs>
                <w:tab w:val="decimal" w:pos="920"/>
              </w:tabs>
            </w:pPr>
            <w:r w:rsidRPr="00E5119C">
              <w:t>$18,661</w:t>
            </w:r>
          </w:p>
        </w:tc>
      </w:tr>
      <w:tr w:rsidR="00BA388B" w:rsidRPr="00E5119C" w:rsidTr="00BA388B">
        <w:tc>
          <w:tcPr>
            <w:tcW w:w="714" w:type="dxa"/>
            <w:shd w:val="clear" w:color="auto" w:fill="auto"/>
          </w:tcPr>
          <w:p w:rsidR="00BA388B" w:rsidRPr="00E5119C" w:rsidRDefault="00BA388B" w:rsidP="00E5119C">
            <w:pPr>
              <w:pStyle w:val="Tabletext"/>
            </w:pPr>
            <w:r w:rsidRPr="00E5119C">
              <w:t>2</w:t>
            </w:r>
          </w:p>
        </w:tc>
        <w:tc>
          <w:tcPr>
            <w:tcW w:w="1275" w:type="dxa"/>
            <w:shd w:val="clear" w:color="auto" w:fill="auto"/>
          </w:tcPr>
          <w:p w:rsidR="00BA388B" w:rsidRPr="00E5119C" w:rsidRDefault="00BA388B" w:rsidP="00E5119C">
            <w:pPr>
              <w:pStyle w:val="Tabletext"/>
            </w:pPr>
            <w:r w:rsidRPr="00E5119C">
              <w:t>Medium</w:t>
            </w:r>
          </w:p>
        </w:tc>
        <w:tc>
          <w:tcPr>
            <w:tcW w:w="1275" w:type="dxa"/>
            <w:shd w:val="clear" w:color="auto" w:fill="auto"/>
          </w:tcPr>
          <w:p w:rsidR="00BA388B" w:rsidRPr="00E5119C" w:rsidRDefault="00BA388B" w:rsidP="00E5119C">
            <w:pPr>
              <w:pStyle w:val="Tabletext"/>
              <w:tabs>
                <w:tab w:val="decimal" w:pos="920"/>
              </w:tabs>
            </w:pPr>
            <w:r w:rsidRPr="00E5119C">
              <w:t>$365</w:t>
            </w:r>
          </w:p>
        </w:tc>
        <w:tc>
          <w:tcPr>
            <w:tcW w:w="1275" w:type="dxa"/>
            <w:shd w:val="clear" w:color="auto" w:fill="auto"/>
          </w:tcPr>
          <w:p w:rsidR="00BA388B" w:rsidRPr="00E5119C" w:rsidRDefault="00BA388B" w:rsidP="00E5119C">
            <w:pPr>
              <w:pStyle w:val="Tabletext"/>
              <w:tabs>
                <w:tab w:val="decimal" w:pos="920"/>
              </w:tabs>
            </w:pPr>
            <w:r w:rsidRPr="00E5119C">
              <w:t>$4,053</w:t>
            </w:r>
          </w:p>
        </w:tc>
        <w:tc>
          <w:tcPr>
            <w:tcW w:w="1275" w:type="dxa"/>
            <w:shd w:val="clear" w:color="auto" w:fill="auto"/>
          </w:tcPr>
          <w:p w:rsidR="00BA388B" w:rsidRPr="00E5119C" w:rsidRDefault="00BA388B" w:rsidP="00E5119C">
            <w:pPr>
              <w:pStyle w:val="Tabletext"/>
              <w:tabs>
                <w:tab w:val="decimal" w:pos="920"/>
              </w:tabs>
            </w:pPr>
            <w:r w:rsidRPr="00E5119C">
              <w:t>$186,611</w:t>
            </w:r>
          </w:p>
        </w:tc>
        <w:tc>
          <w:tcPr>
            <w:tcW w:w="1275" w:type="dxa"/>
            <w:shd w:val="clear" w:color="auto" w:fill="auto"/>
          </w:tcPr>
          <w:p w:rsidR="00BA388B" w:rsidRPr="00E5119C" w:rsidRDefault="00BA388B" w:rsidP="00E5119C">
            <w:pPr>
              <w:pStyle w:val="Tabletext"/>
              <w:tabs>
                <w:tab w:val="decimal" w:pos="920"/>
              </w:tabs>
            </w:pPr>
            <w:r w:rsidRPr="00E5119C">
              <w:t>$186,611</w:t>
            </w:r>
          </w:p>
        </w:tc>
      </w:tr>
      <w:tr w:rsidR="00BA388B" w:rsidRPr="00E5119C" w:rsidTr="00BA388B">
        <w:tc>
          <w:tcPr>
            <w:tcW w:w="714" w:type="dxa"/>
            <w:tcBorders>
              <w:top w:val="single" w:sz="2" w:space="0" w:color="auto"/>
              <w:bottom w:val="single" w:sz="12" w:space="0" w:color="auto"/>
            </w:tcBorders>
            <w:shd w:val="clear" w:color="auto" w:fill="auto"/>
          </w:tcPr>
          <w:p w:rsidR="00BA388B" w:rsidRPr="00E5119C" w:rsidRDefault="00BA388B" w:rsidP="00E5119C">
            <w:pPr>
              <w:pStyle w:val="Tabletext"/>
            </w:pPr>
            <w:r w:rsidRPr="00E5119C">
              <w:t>3</w:t>
            </w:r>
          </w:p>
        </w:tc>
        <w:tc>
          <w:tcPr>
            <w:tcW w:w="1275" w:type="dxa"/>
            <w:tcBorders>
              <w:top w:val="single" w:sz="2" w:space="0" w:color="auto"/>
              <w:bottom w:val="single" w:sz="12" w:space="0" w:color="auto"/>
            </w:tcBorders>
            <w:shd w:val="clear" w:color="auto" w:fill="auto"/>
          </w:tcPr>
          <w:p w:rsidR="00BA388B" w:rsidRPr="00E5119C" w:rsidRDefault="00BA388B" w:rsidP="00E5119C">
            <w:pPr>
              <w:pStyle w:val="Tabletext"/>
            </w:pPr>
            <w:r w:rsidRPr="00E5119C">
              <w:t>High</w:t>
            </w:r>
          </w:p>
        </w:tc>
        <w:tc>
          <w:tcPr>
            <w:tcW w:w="1275" w:type="dxa"/>
            <w:tcBorders>
              <w:top w:val="single" w:sz="2" w:space="0" w:color="auto"/>
              <w:bottom w:val="single" w:sz="12" w:space="0" w:color="auto"/>
            </w:tcBorders>
            <w:shd w:val="clear" w:color="auto" w:fill="auto"/>
          </w:tcPr>
          <w:p w:rsidR="00BA388B" w:rsidRPr="00E5119C" w:rsidRDefault="00BA388B" w:rsidP="00E5119C">
            <w:pPr>
              <w:pStyle w:val="Tabletext"/>
              <w:tabs>
                <w:tab w:val="decimal" w:pos="920"/>
              </w:tabs>
            </w:pPr>
            <w:r w:rsidRPr="00E5119C">
              <w:t>$3,648</w:t>
            </w:r>
          </w:p>
        </w:tc>
        <w:tc>
          <w:tcPr>
            <w:tcW w:w="1275" w:type="dxa"/>
            <w:tcBorders>
              <w:top w:val="single" w:sz="2" w:space="0" w:color="auto"/>
              <w:bottom w:val="single" w:sz="12" w:space="0" w:color="auto"/>
            </w:tcBorders>
            <w:shd w:val="clear" w:color="auto" w:fill="auto"/>
          </w:tcPr>
          <w:p w:rsidR="00BA388B" w:rsidRPr="00E5119C" w:rsidRDefault="00BA388B" w:rsidP="00E5119C">
            <w:pPr>
              <w:pStyle w:val="Tabletext"/>
              <w:tabs>
                <w:tab w:val="decimal" w:pos="920"/>
              </w:tabs>
            </w:pPr>
            <w:r w:rsidRPr="00E5119C">
              <w:t>$40,533</w:t>
            </w:r>
          </w:p>
        </w:tc>
        <w:tc>
          <w:tcPr>
            <w:tcW w:w="1275" w:type="dxa"/>
            <w:tcBorders>
              <w:top w:val="single" w:sz="2" w:space="0" w:color="auto"/>
              <w:bottom w:val="single" w:sz="12" w:space="0" w:color="auto"/>
            </w:tcBorders>
            <w:shd w:val="clear" w:color="auto" w:fill="auto"/>
          </w:tcPr>
          <w:p w:rsidR="00BA388B" w:rsidRPr="00E5119C" w:rsidRDefault="00BA388B" w:rsidP="00E5119C">
            <w:pPr>
              <w:pStyle w:val="Tabletext"/>
              <w:tabs>
                <w:tab w:val="decimal" w:pos="920"/>
              </w:tabs>
            </w:pPr>
            <w:r w:rsidRPr="00E5119C">
              <w:t>$1,866,114</w:t>
            </w:r>
          </w:p>
        </w:tc>
        <w:tc>
          <w:tcPr>
            <w:tcW w:w="1275" w:type="dxa"/>
            <w:tcBorders>
              <w:top w:val="single" w:sz="2" w:space="0" w:color="auto"/>
              <w:bottom w:val="single" w:sz="12" w:space="0" w:color="auto"/>
            </w:tcBorders>
            <w:shd w:val="clear" w:color="auto" w:fill="auto"/>
          </w:tcPr>
          <w:p w:rsidR="00BA388B" w:rsidRPr="00E5119C" w:rsidRDefault="00BA388B" w:rsidP="00E5119C">
            <w:pPr>
              <w:pStyle w:val="Tabletext"/>
              <w:tabs>
                <w:tab w:val="decimal" w:pos="920"/>
              </w:tabs>
            </w:pPr>
            <w:r w:rsidRPr="00E5119C">
              <w:t>$1,866,114</w:t>
            </w:r>
          </w:p>
        </w:tc>
      </w:tr>
    </w:tbl>
    <w:p w:rsidR="00BA388B" w:rsidRPr="00E5119C" w:rsidRDefault="00BA388B" w:rsidP="00E5119C">
      <w:pPr>
        <w:pStyle w:val="Tabletext"/>
      </w:pPr>
    </w:p>
    <w:p w:rsidR="001752A3" w:rsidRPr="00E5119C" w:rsidRDefault="002819B7" w:rsidP="00E5119C">
      <w:pPr>
        <w:pStyle w:val="subsection"/>
      </w:pPr>
      <w:r w:rsidRPr="00E5119C">
        <w:tab/>
        <w:t>(</w:t>
      </w:r>
      <w:r w:rsidR="00114E51" w:rsidRPr="00E5119C">
        <w:t>2</w:t>
      </w:r>
      <w:r w:rsidRPr="00E5119C">
        <w:t>)</w:t>
      </w:r>
      <w:r w:rsidRPr="00E5119C">
        <w:tab/>
      </w:r>
      <w:r w:rsidR="00795A15" w:rsidRPr="00E5119C">
        <w:t>For the purposes of this Act, t</w:t>
      </w:r>
      <w:r w:rsidRPr="00E5119C">
        <w:t xml:space="preserve">he </w:t>
      </w:r>
      <w:r w:rsidR="0017712F" w:rsidRPr="00E5119C">
        <w:rPr>
          <w:b/>
          <w:i/>
        </w:rPr>
        <w:t xml:space="preserve">individual </w:t>
      </w:r>
      <w:r w:rsidR="001040BF" w:rsidRPr="00E5119C">
        <w:rPr>
          <w:b/>
          <w:i/>
        </w:rPr>
        <w:t>transmitter amount</w:t>
      </w:r>
      <w:r w:rsidR="0017712F" w:rsidRPr="00E5119C">
        <w:rPr>
          <w:b/>
          <w:i/>
        </w:rPr>
        <w:t xml:space="preserve"> cap</w:t>
      </w:r>
      <w:r w:rsidR="001752A3" w:rsidRPr="00E5119C">
        <w:t xml:space="preserve"> for</w:t>
      </w:r>
      <w:r w:rsidR="005E34CA" w:rsidRPr="00E5119C">
        <w:t xml:space="preserve"> a transmitter for</w:t>
      </w:r>
      <w:r w:rsidR="001752A3" w:rsidRPr="00E5119C">
        <w:t>:</w:t>
      </w:r>
    </w:p>
    <w:p w:rsidR="001752A3" w:rsidRPr="00E5119C" w:rsidRDefault="001752A3" w:rsidP="00E5119C">
      <w:pPr>
        <w:pStyle w:val="paragraph"/>
      </w:pPr>
      <w:r w:rsidRPr="00E5119C">
        <w:tab/>
        <w:t>(a)</w:t>
      </w:r>
      <w:r w:rsidRPr="00E5119C">
        <w:tab/>
        <w:t xml:space="preserve">the financial year beginning </w:t>
      </w:r>
      <w:r w:rsidR="00F549A5" w:rsidRPr="00E5119C">
        <w:t xml:space="preserve">on </w:t>
      </w:r>
      <w:r w:rsidRPr="00E5119C">
        <w:t>1</w:t>
      </w:r>
      <w:r w:rsidR="00E5119C" w:rsidRPr="00E5119C">
        <w:t> </w:t>
      </w:r>
      <w:r w:rsidR="00094758" w:rsidRPr="00E5119C">
        <w:t>July 2018; or</w:t>
      </w:r>
    </w:p>
    <w:p w:rsidR="001752A3" w:rsidRPr="00E5119C" w:rsidRDefault="001752A3" w:rsidP="00E5119C">
      <w:pPr>
        <w:pStyle w:val="paragraph"/>
      </w:pPr>
      <w:r w:rsidRPr="00E5119C">
        <w:tab/>
        <w:t>(b)</w:t>
      </w:r>
      <w:r w:rsidRPr="00E5119C">
        <w:tab/>
        <w:t>a later financial year;</w:t>
      </w:r>
    </w:p>
    <w:p w:rsidR="002819B7" w:rsidRPr="00E5119C" w:rsidRDefault="002819B7" w:rsidP="00E5119C">
      <w:pPr>
        <w:pStyle w:val="subsection2"/>
      </w:pPr>
      <w:r w:rsidRPr="00E5119C">
        <w:t>is the amount worked out using the following formula:</w:t>
      </w:r>
    </w:p>
    <w:p w:rsidR="002819B7" w:rsidRPr="00E5119C" w:rsidRDefault="00866E38" w:rsidP="00E5119C">
      <w:pPr>
        <w:pStyle w:val="subsection2"/>
      </w:pPr>
      <w:bookmarkStart w:id="13" w:name="BKCheck15B_4"/>
      <w:bookmarkEnd w:id="13"/>
      <w:r>
        <w:rPr>
          <w:position w:val="-10"/>
        </w:rPr>
        <w:pict>
          <v:shape id="_x0000_i1029" type="#_x0000_t75" style="width:258.75pt;height:22.5pt">
            <v:imagedata r:id="rId22" o:title=""/>
          </v:shape>
        </w:pict>
      </w:r>
    </w:p>
    <w:p w:rsidR="007025B3" w:rsidRPr="00E5119C" w:rsidRDefault="002819B7" w:rsidP="00E5119C">
      <w:pPr>
        <w:pStyle w:val="subsection2"/>
      </w:pPr>
      <w:r w:rsidRPr="00E5119C">
        <w:t>where:</w:t>
      </w:r>
    </w:p>
    <w:p w:rsidR="002819B7" w:rsidRPr="00E5119C" w:rsidRDefault="002819B7" w:rsidP="00E5119C">
      <w:pPr>
        <w:pStyle w:val="Definition"/>
      </w:pPr>
      <w:r w:rsidRPr="00E5119C">
        <w:rPr>
          <w:b/>
          <w:i/>
        </w:rPr>
        <w:t xml:space="preserve">indexation factor </w:t>
      </w:r>
      <w:r w:rsidRPr="00E5119C">
        <w:t>means the indexation factor for the financial year.</w:t>
      </w:r>
    </w:p>
    <w:p w:rsidR="002819B7" w:rsidRPr="00E5119C" w:rsidRDefault="00094758" w:rsidP="00E5119C">
      <w:pPr>
        <w:pStyle w:val="Definition"/>
      </w:pPr>
      <w:r w:rsidRPr="00E5119C">
        <w:rPr>
          <w:b/>
          <w:i/>
        </w:rPr>
        <w:t xml:space="preserve">previous individual </w:t>
      </w:r>
      <w:r w:rsidR="001040BF" w:rsidRPr="00E5119C">
        <w:rPr>
          <w:b/>
          <w:i/>
        </w:rPr>
        <w:t>transmitter amount</w:t>
      </w:r>
      <w:r w:rsidRPr="00E5119C">
        <w:rPr>
          <w:b/>
          <w:i/>
        </w:rPr>
        <w:t xml:space="preserve"> cap</w:t>
      </w:r>
      <w:r w:rsidR="002819B7" w:rsidRPr="00E5119C">
        <w:rPr>
          <w:b/>
          <w:i/>
        </w:rPr>
        <w:t xml:space="preserve"> </w:t>
      </w:r>
      <w:r w:rsidR="002819B7" w:rsidRPr="00E5119C">
        <w:t xml:space="preserve">means the </w:t>
      </w:r>
      <w:r w:rsidRPr="00E5119C">
        <w:t xml:space="preserve">individual </w:t>
      </w:r>
      <w:r w:rsidR="001040BF" w:rsidRPr="00E5119C">
        <w:t>transmitter amount</w:t>
      </w:r>
      <w:r w:rsidR="002819B7" w:rsidRPr="00E5119C">
        <w:t xml:space="preserve"> cap </w:t>
      </w:r>
      <w:r w:rsidR="00C42AEC" w:rsidRPr="00E5119C">
        <w:t xml:space="preserve">for the transmitter </w:t>
      </w:r>
      <w:r w:rsidR="002819B7" w:rsidRPr="00E5119C">
        <w:t xml:space="preserve">for the </w:t>
      </w:r>
      <w:r w:rsidR="001752A3" w:rsidRPr="00E5119C">
        <w:t>previous financial year</w:t>
      </w:r>
      <w:r w:rsidR="002819B7" w:rsidRPr="00E5119C">
        <w:t>.</w:t>
      </w:r>
    </w:p>
    <w:p w:rsidR="00B0050C" w:rsidRPr="00E5119C" w:rsidRDefault="00655731" w:rsidP="00E5119C">
      <w:pPr>
        <w:pStyle w:val="SubsectionHead"/>
      </w:pPr>
      <w:r w:rsidRPr="00E5119C">
        <w:t>Band</w:t>
      </w:r>
    </w:p>
    <w:p w:rsidR="0039173E" w:rsidRPr="00E5119C" w:rsidRDefault="0039173E" w:rsidP="00E5119C">
      <w:pPr>
        <w:pStyle w:val="subsection"/>
      </w:pPr>
      <w:r w:rsidRPr="00E5119C">
        <w:tab/>
        <w:t>(3)</w:t>
      </w:r>
      <w:r w:rsidRPr="00E5119C">
        <w:tab/>
        <w:t>For the purposes of</w:t>
      </w:r>
      <w:r w:rsidR="005F10C8" w:rsidRPr="00E5119C">
        <w:t xml:space="preserve"> this section</w:t>
      </w:r>
      <w:r w:rsidRPr="00E5119C">
        <w:t xml:space="preserve">, </w:t>
      </w:r>
      <w:r w:rsidR="00655731" w:rsidRPr="00E5119C">
        <w:t xml:space="preserve">the </w:t>
      </w:r>
      <w:r w:rsidR="00655731" w:rsidRPr="00E5119C">
        <w:rPr>
          <w:b/>
          <w:i/>
        </w:rPr>
        <w:t>band</w:t>
      </w:r>
      <w:r w:rsidR="00B066D2" w:rsidRPr="00E5119C">
        <w:t xml:space="preserve"> in which a transmitter operates is worked out using the following table</w:t>
      </w:r>
      <w:r w:rsidRPr="00E5119C">
        <w:t>:</w:t>
      </w:r>
    </w:p>
    <w:p w:rsidR="0039173E" w:rsidRPr="00E5119C" w:rsidRDefault="0039173E" w:rsidP="00E5119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5F6A2C" w:rsidRPr="00E5119C" w:rsidTr="005F6A2C">
        <w:trPr>
          <w:tblHeader/>
        </w:trPr>
        <w:tc>
          <w:tcPr>
            <w:tcW w:w="7088" w:type="dxa"/>
            <w:gridSpan w:val="3"/>
            <w:tcBorders>
              <w:top w:val="single" w:sz="12" w:space="0" w:color="auto"/>
              <w:bottom w:val="single" w:sz="6" w:space="0" w:color="auto"/>
            </w:tcBorders>
            <w:shd w:val="clear" w:color="auto" w:fill="auto"/>
          </w:tcPr>
          <w:p w:rsidR="005F6A2C" w:rsidRPr="00E5119C" w:rsidRDefault="00AC54B1" w:rsidP="00E5119C">
            <w:pPr>
              <w:pStyle w:val="TableHeading"/>
            </w:pPr>
            <w:r w:rsidRPr="00E5119C">
              <w:t>Band</w:t>
            </w:r>
          </w:p>
        </w:tc>
      </w:tr>
      <w:tr w:rsidR="005F6A2C" w:rsidRPr="00E5119C" w:rsidTr="005F6A2C">
        <w:trPr>
          <w:tblHeader/>
        </w:trPr>
        <w:tc>
          <w:tcPr>
            <w:tcW w:w="714" w:type="dxa"/>
            <w:tcBorders>
              <w:top w:val="single" w:sz="6" w:space="0" w:color="auto"/>
              <w:bottom w:val="single" w:sz="12" w:space="0" w:color="auto"/>
            </w:tcBorders>
            <w:shd w:val="clear" w:color="auto" w:fill="auto"/>
          </w:tcPr>
          <w:p w:rsidR="005F6A2C" w:rsidRPr="00E5119C" w:rsidRDefault="005F6A2C" w:rsidP="00E5119C">
            <w:pPr>
              <w:pStyle w:val="TableHeading"/>
            </w:pPr>
            <w:r w:rsidRPr="00E5119C">
              <w:t>Item</w:t>
            </w:r>
          </w:p>
        </w:tc>
        <w:tc>
          <w:tcPr>
            <w:tcW w:w="3187" w:type="dxa"/>
            <w:tcBorders>
              <w:top w:val="single" w:sz="6" w:space="0" w:color="auto"/>
              <w:bottom w:val="single" w:sz="12" w:space="0" w:color="auto"/>
            </w:tcBorders>
            <w:shd w:val="clear" w:color="auto" w:fill="auto"/>
          </w:tcPr>
          <w:p w:rsidR="005F6A2C" w:rsidRPr="00E5119C" w:rsidRDefault="007B10F9" w:rsidP="00E5119C">
            <w:pPr>
              <w:pStyle w:val="TableHeading"/>
            </w:pPr>
            <w:r w:rsidRPr="00E5119C">
              <w:t xml:space="preserve">A transmitter </w:t>
            </w:r>
            <w:r w:rsidR="005F6A2C" w:rsidRPr="00E5119C">
              <w:t>operate</w:t>
            </w:r>
            <w:r w:rsidR="00853223" w:rsidRPr="00E5119C">
              <w:t>s</w:t>
            </w:r>
            <w:r w:rsidR="005F6A2C" w:rsidRPr="00E5119C">
              <w:t xml:space="preserve"> in this band</w:t>
            </w:r>
            <w:r w:rsidR="00964383" w:rsidRPr="00E5119C">
              <w:t xml:space="preserve"> …</w:t>
            </w:r>
          </w:p>
        </w:tc>
        <w:tc>
          <w:tcPr>
            <w:tcW w:w="3187" w:type="dxa"/>
            <w:tcBorders>
              <w:top w:val="single" w:sz="6" w:space="0" w:color="auto"/>
              <w:bottom w:val="single" w:sz="12" w:space="0" w:color="auto"/>
            </w:tcBorders>
            <w:shd w:val="clear" w:color="auto" w:fill="auto"/>
          </w:tcPr>
          <w:p w:rsidR="005F6A2C" w:rsidRPr="00E5119C" w:rsidRDefault="00964383" w:rsidP="00E5119C">
            <w:pPr>
              <w:pStyle w:val="TableHeading"/>
            </w:pPr>
            <w:r w:rsidRPr="00E5119C">
              <w:t xml:space="preserve">… </w:t>
            </w:r>
            <w:r w:rsidR="005F6A2C" w:rsidRPr="00E5119C">
              <w:t xml:space="preserve">if the transmitter </w:t>
            </w:r>
            <w:r w:rsidR="00A67DA9" w:rsidRPr="00E5119C">
              <w:t>operates in this frequency range</w:t>
            </w:r>
          </w:p>
        </w:tc>
      </w:tr>
      <w:tr w:rsidR="005F6A2C" w:rsidRPr="00E5119C" w:rsidTr="005F6A2C">
        <w:tc>
          <w:tcPr>
            <w:tcW w:w="714" w:type="dxa"/>
            <w:tcBorders>
              <w:top w:val="single" w:sz="12" w:space="0" w:color="auto"/>
            </w:tcBorders>
            <w:shd w:val="clear" w:color="auto" w:fill="auto"/>
          </w:tcPr>
          <w:p w:rsidR="005F6A2C" w:rsidRPr="00E5119C" w:rsidRDefault="005F6A2C" w:rsidP="00E5119C">
            <w:pPr>
              <w:pStyle w:val="Tabletext"/>
            </w:pPr>
            <w:r w:rsidRPr="00E5119C">
              <w:t>1</w:t>
            </w:r>
          </w:p>
        </w:tc>
        <w:tc>
          <w:tcPr>
            <w:tcW w:w="3187" w:type="dxa"/>
            <w:tcBorders>
              <w:top w:val="single" w:sz="12" w:space="0" w:color="auto"/>
            </w:tcBorders>
            <w:shd w:val="clear" w:color="auto" w:fill="auto"/>
          </w:tcPr>
          <w:p w:rsidR="005F6A2C" w:rsidRPr="00E5119C" w:rsidRDefault="005F6A2C" w:rsidP="00E5119C">
            <w:pPr>
              <w:pStyle w:val="Tabletext"/>
            </w:pPr>
            <w:r w:rsidRPr="00E5119C">
              <w:t>AM</w:t>
            </w:r>
            <w:r w:rsidR="00AC54B1" w:rsidRPr="00E5119C">
              <w:t xml:space="preserve"> band</w:t>
            </w:r>
          </w:p>
        </w:tc>
        <w:tc>
          <w:tcPr>
            <w:tcW w:w="3187" w:type="dxa"/>
            <w:tcBorders>
              <w:top w:val="single" w:sz="12" w:space="0" w:color="auto"/>
            </w:tcBorders>
            <w:shd w:val="clear" w:color="auto" w:fill="auto"/>
          </w:tcPr>
          <w:p w:rsidR="005F6A2C" w:rsidRPr="00E5119C" w:rsidRDefault="005F6A2C" w:rsidP="00E5119C">
            <w:pPr>
              <w:pStyle w:val="Tabletext"/>
            </w:pPr>
            <w:r w:rsidRPr="00E5119C">
              <w:t>526.6 to 1606.5 kHz (inclusive)</w:t>
            </w:r>
          </w:p>
        </w:tc>
      </w:tr>
      <w:tr w:rsidR="005F6A2C" w:rsidRPr="00E5119C" w:rsidTr="005F6A2C">
        <w:tc>
          <w:tcPr>
            <w:tcW w:w="714" w:type="dxa"/>
            <w:shd w:val="clear" w:color="auto" w:fill="auto"/>
          </w:tcPr>
          <w:p w:rsidR="005F6A2C" w:rsidRPr="00E5119C" w:rsidRDefault="005F6A2C" w:rsidP="00E5119C">
            <w:pPr>
              <w:pStyle w:val="Tabletext"/>
            </w:pPr>
            <w:r w:rsidRPr="00E5119C">
              <w:t>2</w:t>
            </w:r>
          </w:p>
        </w:tc>
        <w:tc>
          <w:tcPr>
            <w:tcW w:w="3187" w:type="dxa"/>
            <w:shd w:val="clear" w:color="auto" w:fill="auto"/>
          </w:tcPr>
          <w:p w:rsidR="005F6A2C" w:rsidRPr="00E5119C" w:rsidRDefault="005F6A2C" w:rsidP="00E5119C">
            <w:pPr>
              <w:pStyle w:val="Tabletext"/>
            </w:pPr>
            <w:r w:rsidRPr="00E5119C">
              <w:t>FM</w:t>
            </w:r>
            <w:r w:rsidR="00AC54B1" w:rsidRPr="00E5119C">
              <w:t xml:space="preserve"> band</w:t>
            </w:r>
          </w:p>
        </w:tc>
        <w:tc>
          <w:tcPr>
            <w:tcW w:w="3187" w:type="dxa"/>
            <w:shd w:val="clear" w:color="auto" w:fill="auto"/>
          </w:tcPr>
          <w:p w:rsidR="005F6A2C" w:rsidRPr="00E5119C" w:rsidRDefault="005F6A2C" w:rsidP="00E5119C">
            <w:pPr>
              <w:pStyle w:val="Tabletext"/>
            </w:pPr>
            <w:r w:rsidRPr="00E5119C">
              <w:t>87.5 to 108 MHz (inclusive)</w:t>
            </w:r>
          </w:p>
        </w:tc>
      </w:tr>
      <w:tr w:rsidR="005F6A2C" w:rsidRPr="00E5119C" w:rsidTr="005F6A2C">
        <w:tc>
          <w:tcPr>
            <w:tcW w:w="714" w:type="dxa"/>
            <w:shd w:val="clear" w:color="auto" w:fill="auto"/>
          </w:tcPr>
          <w:p w:rsidR="005F6A2C" w:rsidRPr="00E5119C" w:rsidRDefault="005F6A2C" w:rsidP="00E5119C">
            <w:pPr>
              <w:pStyle w:val="Tabletext"/>
            </w:pPr>
            <w:r w:rsidRPr="00E5119C">
              <w:t>3</w:t>
            </w:r>
          </w:p>
        </w:tc>
        <w:tc>
          <w:tcPr>
            <w:tcW w:w="3187" w:type="dxa"/>
            <w:shd w:val="clear" w:color="auto" w:fill="auto"/>
          </w:tcPr>
          <w:p w:rsidR="005F6A2C" w:rsidRPr="00E5119C" w:rsidRDefault="005F6A2C" w:rsidP="00E5119C">
            <w:pPr>
              <w:pStyle w:val="Tabletext"/>
            </w:pPr>
            <w:r w:rsidRPr="00E5119C">
              <w:t>VHF</w:t>
            </w:r>
            <w:r w:rsidR="00AC54B1" w:rsidRPr="00E5119C">
              <w:t xml:space="preserve"> band</w:t>
            </w:r>
          </w:p>
        </w:tc>
        <w:tc>
          <w:tcPr>
            <w:tcW w:w="3187" w:type="dxa"/>
            <w:shd w:val="clear" w:color="auto" w:fill="auto"/>
          </w:tcPr>
          <w:p w:rsidR="005F6A2C" w:rsidRPr="00E5119C" w:rsidRDefault="005F6A2C" w:rsidP="00E5119C">
            <w:pPr>
              <w:pStyle w:val="Tabletext"/>
            </w:pPr>
            <w:r w:rsidRPr="00E5119C">
              <w:t>174 to 230 MHz (inclusive)</w:t>
            </w:r>
          </w:p>
        </w:tc>
      </w:tr>
      <w:tr w:rsidR="005F6A2C" w:rsidRPr="00E5119C" w:rsidTr="005F6A2C">
        <w:tc>
          <w:tcPr>
            <w:tcW w:w="714" w:type="dxa"/>
            <w:tcBorders>
              <w:top w:val="single" w:sz="2" w:space="0" w:color="auto"/>
              <w:bottom w:val="single" w:sz="12" w:space="0" w:color="auto"/>
            </w:tcBorders>
            <w:shd w:val="clear" w:color="auto" w:fill="auto"/>
          </w:tcPr>
          <w:p w:rsidR="005F6A2C" w:rsidRPr="00E5119C" w:rsidRDefault="005F6A2C" w:rsidP="00E5119C">
            <w:pPr>
              <w:pStyle w:val="Tabletext"/>
            </w:pPr>
            <w:r w:rsidRPr="00E5119C">
              <w:t>4</w:t>
            </w:r>
          </w:p>
        </w:tc>
        <w:tc>
          <w:tcPr>
            <w:tcW w:w="3187" w:type="dxa"/>
            <w:tcBorders>
              <w:top w:val="single" w:sz="2" w:space="0" w:color="auto"/>
              <w:bottom w:val="single" w:sz="12" w:space="0" w:color="auto"/>
            </w:tcBorders>
            <w:shd w:val="clear" w:color="auto" w:fill="auto"/>
          </w:tcPr>
          <w:p w:rsidR="005F6A2C" w:rsidRPr="00E5119C" w:rsidRDefault="005F6A2C" w:rsidP="00E5119C">
            <w:pPr>
              <w:pStyle w:val="Tabletext"/>
            </w:pPr>
            <w:r w:rsidRPr="00E5119C">
              <w:t>UHF</w:t>
            </w:r>
            <w:r w:rsidR="00AC54B1" w:rsidRPr="00E5119C">
              <w:t xml:space="preserve"> band</w:t>
            </w:r>
          </w:p>
        </w:tc>
        <w:tc>
          <w:tcPr>
            <w:tcW w:w="3187" w:type="dxa"/>
            <w:tcBorders>
              <w:top w:val="single" w:sz="2" w:space="0" w:color="auto"/>
              <w:bottom w:val="single" w:sz="12" w:space="0" w:color="auto"/>
            </w:tcBorders>
            <w:shd w:val="clear" w:color="auto" w:fill="auto"/>
          </w:tcPr>
          <w:p w:rsidR="005F6A2C" w:rsidRPr="00E5119C" w:rsidRDefault="005F6A2C" w:rsidP="00E5119C">
            <w:pPr>
              <w:pStyle w:val="Tabletext"/>
            </w:pPr>
            <w:r w:rsidRPr="00E5119C">
              <w:t>520 to 694 MHz (inclusive)</w:t>
            </w:r>
          </w:p>
        </w:tc>
      </w:tr>
    </w:tbl>
    <w:p w:rsidR="005F6A2C" w:rsidRPr="00E5119C" w:rsidRDefault="005F6A2C" w:rsidP="00E5119C">
      <w:pPr>
        <w:pStyle w:val="Tabletext"/>
      </w:pPr>
    </w:p>
    <w:p w:rsidR="00B0050C" w:rsidRPr="00E5119C" w:rsidRDefault="00E836F4" w:rsidP="00E5119C">
      <w:pPr>
        <w:pStyle w:val="SubsectionHead"/>
      </w:pPr>
      <w:r w:rsidRPr="00E5119C">
        <w:t>Maximum p</w:t>
      </w:r>
      <w:r w:rsidR="00B0050C" w:rsidRPr="00E5119C">
        <w:t>ower of transmitter</w:t>
      </w:r>
    </w:p>
    <w:p w:rsidR="00B066D2" w:rsidRPr="00E5119C" w:rsidRDefault="005F6A2C" w:rsidP="00E5119C">
      <w:pPr>
        <w:pStyle w:val="subsection"/>
      </w:pPr>
      <w:r w:rsidRPr="00E5119C">
        <w:tab/>
        <w:t>(4)</w:t>
      </w:r>
      <w:r w:rsidRPr="00E5119C">
        <w:tab/>
        <w:t xml:space="preserve">For the purposes of </w:t>
      </w:r>
      <w:r w:rsidR="00403ABE" w:rsidRPr="00E5119C">
        <w:t>this section</w:t>
      </w:r>
      <w:r w:rsidRPr="00E5119C">
        <w:t xml:space="preserve">, the </w:t>
      </w:r>
      <w:r w:rsidR="00B066D2" w:rsidRPr="00E5119C">
        <w:rPr>
          <w:b/>
          <w:i/>
        </w:rPr>
        <w:t>maximum power</w:t>
      </w:r>
      <w:r w:rsidR="00B066D2" w:rsidRPr="00E5119C">
        <w:t xml:space="preserve"> of a transmitter is worked out using the following table:</w:t>
      </w:r>
    </w:p>
    <w:p w:rsidR="007F10FB" w:rsidRPr="00E5119C" w:rsidRDefault="007F10FB" w:rsidP="00E5119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75"/>
        <w:gridCol w:w="1275"/>
        <w:gridCol w:w="1275"/>
        <w:gridCol w:w="1275"/>
        <w:gridCol w:w="1275"/>
      </w:tblGrid>
      <w:tr w:rsidR="007F10FB" w:rsidRPr="00E5119C" w:rsidTr="009233A9">
        <w:trPr>
          <w:tblHeader/>
        </w:trPr>
        <w:tc>
          <w:tcPr>
            <w:tcW w:w="7089" w:type="dxa"/>
            <w:gridSpan w:val="6"/>
            <w:tcBorders>
              <w:top w:val="single" w:sz="12" w:space="0" w:color="auto"/>
              <w:bottom w:val="single" w:sz="6" w:space="0" w:color="auto"/>
            </w:tcBorders>
            <w:shd w:val="clear" w:color="auto" w:fill="auto"/>
          </w:tcPr>
          <w:p w:rsidR="007F10FB" w:rsidRPr="00E5119C" w:rsidRDefault="00BB027E" w:rsidP="00E5119C">
            <w:pPr>
              <w:pStyle w:val="TableHeading"/>
            </w:pPr>
            <w:r w:rsidRPr="00E5119C">
              <w:t>Maximum p</w:t>
            </w:r>
            <w:r w:rsidR="00C75BC3" w:rsidRPr="00E5119C">
              <w:t>ower of transmitter</w:t>
            </w:r>
          </w:p>
        </w:tc>
      </w:tr>
      <w:tr w:rsidR="007F10FB" w:rsidRPr="00E5119C" w:rsidTr="009233A9">
        <w:trPr>
          <w:tblHeader/>
        </w:trPr>
        <w:tc>
          <w:tcPr>
            <w:tcW w:w="714" w:type="dxa"/>
            <w:tcBorders>
              <w:top w:val="single" w:sz="6" w:space="0" w:color="auto"/>
              <w:bottom w:val="single" w:sz="12" w:space="0" w:color="auto"/>
            </w:tcBorders>
            <w:shd w:val="clear" w:color="auto" w:fill="auto"/>
          </w:tcPr>
          <w:p w:rsidR="007F10FB" w:rsidRPr="00E5119C" w:rsidRDefault="007F10FB" w:rsidP="00E5119C">
            <w:pPr>
              <w:pStyle w:val="TableHeading"/>
            </w:pPr>
            <w:r w:rsidRPr="00E5119C">
              <w:t>Item</w:t>
            </w:r>
          </w:p>
        </w:tc>
        <w:tc>
          <w:tcPr>
            <w:tcW w:w="1275" w:type="dxa"/>
            <w:tcBorders>
              <w:top w:val="single" w:sz="6" w:space="0" w:color="auto"/>
              <w:bottom w:val="single" w:sz="12" w:space="0" w:color="auto"/>
            </w:tcBorders>
            <w:shd w:val="clear" w:color="auto" w:fill="auto"/>
          </w:tcPr>
          <w:p w:rsidR="007F10FB" w:rsidRPr="00E5119C" w:rsidRDefault="00B066D2" w:rsidP="00E5119C">
            <w:pPr>
              <w:pStyle w:val="TableHeading"/>
            </w:pPr>
            <w:r w:rsidRPr="00E5119C">
              <w:t>The maximum power</w:t>
            </w:r>
            <w:r w:rsidR="00C75BC3" w:rsidRPr="00E5119C">
              <w:t xml:space="preserve"> of</w:t>
            </w:r>
            <w:r w:rsidR="007F10FB" w:rsidRPr="00E5119C">
              <w:t xml:space="preserve"> </w:t>
            </w:r>
            <w:r w:rsidR="00043C3C" w:rsidRPr="00E5119C">
              <w:t xml:space="preserve">a </w:t>
            </w:r>
            <w:r w:rsidR="007F10FB" w:rsidRPr="00E5119C">
              <w:t>transmitter</w:t>
            </w:r>
            <w:r w:rsidR="00AD5011" w:rsidRPr="00E5119C">
              <w:t xml:space="preserve"> is</w:t>
            </w:r>
            <w:r w:rsidR="00964383" w:rsidRPr="00E5119C">
              <w:t xml:space="preserve"> …</w:t>
            </w:r>
          </w:p>
        </w:tc>
        <w:tc>
          <w:tcPr>
            <w:tcW w:w="1275" w:type="dxa"/>
            <w:tcBorders>
              <w:top w:val="single" w:sz="6" w:space="0" w:color="auto"/>
              <w:bottom w:val="single" w:sz="12" w:space="0" w:color="auto"/>
            </w:tcBorders>
            <w:shd w:val="clear" w:color="auto" w:fill="auto"/>
          </w:tcPr>
          <w:p w:rsidR="007F10FB" w:rsidRPr="00E5119C" w:rsidRDefault="00964383" w:rsidP="00E5119C">
            <w:pPr>
              <w:pStyle w:val="TableHeading"/>
            </w:pPr>
            <w:r w:rsidRPr="00E5119C">
              <w:t xml:space="preserve">… </w:t>
            </w:r>
            <w:r w:rsidR="00FD1613" w:rsidRPr="00E5119C">
              <w:t>if the t</w:t>
            </w:r>
            <w:r w:rsidR="00C75BC3" w:rsidRPr="00E5119C">
              <w:t>ransmitter operates in the AM band</w:t>
            </w:r>
            <w:r w:rsidR="00512BD0" w:rsidRPr="00E5119C">
              <w:t xml:space="preserve"> and</w:t>
            </w:r>
            <w:r w:rsidR="00BB027E" w:rsidRPr="00E5119C">
              <w:t>, under the transmitter licence,</w:t>
            </w:r>
            <w:r w:rsidR="00512BD0" w:rsidRPr="00E5119C">
              <w:t xml:space="preserve"> the maximum </w:t>
            </w:r>
            <w:r w:rsidR="00BB027E" w:rsidRPr="00E5119C">
              <w:t xml:space="preserve">power for the transmitter </w:t>
            </w:r>
            <w:r w:rsidRPr="00E5119C">
              <w:t>is …</w:t>
            </w:r>
          </w:p>
        </w:tc>
        <w:tc>
          <w:tcPr>
            <w:tcW w:w="1275" w:type="dxa"/>
            <w:tcBorders>
              <w:top w:val="single" w:sz="6" w:space="0" w:color="auto"/>
              <w:bottom w:val="single" w:sz="12" w:space="0" w:color="auto"/>
            </w:tcBorders>
            <w:shd w:val="clear" w:color="auto" w:fill="auto"/>
          </w:tcPr>
          <w:p w:rsidR="007F10FB" w:rsidRPr="00E5119C" w:rsidRDefault="00964383" w:rsidP="00E5119C">
            <w:pPr>
              <w:pStyle w:val="TableHeading"/>
            </w:pPr>
            <w:r w:rsidRPr="00E5119C">
              <w:t xml:space="preserve">… </w:t>
            </w:r>
            <w:r w:rsidR="00FD1613" w:rsidRPr="00E5119C">
              <w:t>if the transmitter</w:t>
            </w:r>
            <w:r w:rsidR="00C75BC3" w:rsidRPr="00E5119C">
              <w:t xml:space="preserve"> operates in the FM band</w:t>
            </w:r>
            <w:r w:rsidR="00512BD0" w:rsidRPr="00E5119C">
              <w:t xml:space="preserve"> </w:t>
            </w:r>
            <w:r w:rsidR="00BB027E" w:rsidRPr="00E5119C">
              <w:t>and, under the transmitter licence, the maximum power for the transmitter is</w:t>
            </w:r>
            <w:r w:rsidRPr="00E5119C">
              <w:t xml:space="preserve"> …</w:t>
            </w:r>
          </w:p>
        </w:tc>
        <w:tc>
          <w:tcPr>
            <w:tcW w:w="1275" w:type="dxa"/>
            <w:tcBorders>
              <w:top w:val="single" w:sz="6" w:space="0" w:color="auto"/>
              <w:bottom w:val="single" w:sz="12" w:space="0" w:color="auto"/>
            </w:tcBorders>
            <w:shd w:val="clear" w:color="auto" w:fill="auto"/>
          </w:tcPr>
          <w:p w:rsidR="007F10FB" w:rsidRPr="00E5119C" w:rsidRDefault="00964383" w:rsidP="00E5119C">
            <w:pPr>
              <w:pStyle w:val="TableHeading"/>
            </w:pPr>
            <w:r w:rsidRPr="00E5119C">
              <w:t xml:space="preserve">… </w:t>
            </w:r>
            <w:r w:rsidR="00FD1613" w:rsidRPr="00E5119C">
              <w:t>if the transmitter operates in the VHF band</w:t>
            </w:r>
            <w:r w:rsidR="00512BD0" w:rsidRPr="00E5119C">
              <w:t xml:space="preserve"> </w:t>
            </w:r>
            <w:r w:rsidR="00BB027E" w:rsidRPr="00E5119C">
              <w:t>and, under the transmitter licence, the maximum</w:t>
            </w:r>
            <w:r w:rsidRPr="00E5119C">
              <w:t xml:space="preserve"> power for the transmitter is …</w:t>
            </w:r>
          </w:p>
        </w:tc>
        <w:tc>
          <w:tcPr>
            <w:tcW w:w="1275" w:type="dxa"/>
            <w:tcBorders>
              <w:top w:val="single" w:sz="6" w:space="0" w:color="auto"/>
              <w:bottom w:val="single" w:sz="12" w:space="0" w:color="auto"/>
            </w:tcBorders>
            <w:shd w:val="clear" w:color="auto" w:fill="auto"/>
          </w:tcPr>
          <w:p w:rsidR="007F10FB" w:rsidRPr="00E5119C" w:rsidRDefault="00964383" w:rsidP="00E5119C">
            <w:pPr>
              <w:pStyle w:val="TableHeading"/>
            </w:pPr>
            <w:r w:rsidRPr="00E5119C">
              <w:t xml:space="preserve">… </w:t>
            </w:r>
            <w:r w:rsidR="00FD1613" w:rsidRPr="00E5119C">
              <w:t>if the transmitter operates in the UHF band</w:t>
            </w:r>
            <w:r w:rsidR="00512BD0" w:rsidRPr="00E5119C">
              <w:t xml:space="preserve"> </w:t>
            </w:r>
            <w:r w:rsidR="00BB027E" w:rsidRPr="00E5119C">
              <w:t>and, under the transmitter licence, the maximum</w:t>
            </w:r>
            <w:r w:rsidRPr="00E5119C">
              <w:t xml:space="preserve"> power for the transmitter is …</w:t>
            </w:r>
          </w:p>
        </w:tc>
      </w:tr>
      <w:tr w:rsidR="007F10FB" w:rsidRPr="00E5119C" w:rsidTr="009233A9">
        <w:tc>
          <w:tcPr>
            <w:tcW w:w="714" w:type="dxa"/>
            <w:tcBorders>
              <w:top w:val="single" w:sz="12" w:space="0" w:color="auto"/>
            </w:tcBorders>
            <w:shd w:val="clear" w:color="auto" w:fill="auto"/>
          </w:tcPr>
          <w:p w:rsidR="007F10FB" w:rsidRPr="00E5119C" w:rsidRDefault="007F10FB" w:rsidP="00E5119C">
            <w:pPr>
              <w:pStyle w:val="Tabletext"/>
            </w:pPr>
            <w:r w:rsidRPr="00E5119C">
              <w:t>1</w:t>
            </w:r>
          </w:p>
        </w:tc>
        <w:tc>
          <w:tcPr>
            <w:tcW w:w="1275" w:type="dxa"/>
            <w:tcBorders>
              <w:top w:val="single" w:sz="12" w:space="0" w:color="auto"/>
            </w:tcBorders>
            <w:shd w:val="clear" w:color="auto" w:fill="auto"/>
          </w:tcPr>
          <w:p w:rsidR="007F10FB" w:rsidRPr="00E5119C" w:rsidRDefault="007F10FB" w:rsidP="00E5119C">
            <w:pPr>
              <w:pStyle w:val="Tabletext"/>
            </w:pPr>
            <w:r w:rsidRPr="00E5119C">
              <w:t>Low</w:t>
            </w:r>
          </w:p>
        </w:tc>
        <w:tc>
          <w:tcPr>
            <w:tcW w:w="1275" w:type="dxa"/>
            <w:tcBorders>
              <w:top w:val="single" w:sz="12" w:space="0" w:color="auto"/>
            </w:tcBorders>
            <w:shd w:val="clear" w:color="auto" w:fill="auto"/>
          </w:tcPr>
          <w:p w:rsidR="007F10FB" w:rsidRPr="00E5119C" w:rsidRDefault="007F10FB" w:rsidP="00E5119C">
            <w:pPr>
              <w:pStyle w:val="Tabletext"/>
            </w:pPr>
            <w:r w:rsidRPr="00E5119C">
              <w:t>n/a</w:t>
            </w:r>
          </w:p>
        </w:tc>
        <w:tc>
          <w:tcPr>
            <w:tcW w:w="1275" w:type="dxa"/>
            <w:tcBorders>
              <w:top w:val="single" w:sz="12" w:space="0" w:color="auto"/>
            </w:tcBorders>
            <w:shd w:val="clear" w:color="auto" w:fill="auto"/>
          </w:tcPr>
          <w:p w:rsidR="007F10FB" w:rsidRPr="00E5119C" w:rsidRDefault="00512BD0" w:rsidP="00E5119C">
            <w:pPr>
              <w:pStyle w:val="Tabletext"/>
            </w:pPr>
            <w:r w:rsidRPr="00E5119C">
              <w:t xml:space="preserve">not more than </w:t>
            </w:r>
            <w:r w:rsidR="007F10FB" w:rsidRPr="00E5119C">
              <w:t>150</w:t>
            </w:r>
            <w:r w:rsidR="00C75BC3" w:rsidRPr="00E5119C">
              <w:t xml:space="preserve"> Watts ERP</w:t>
            </w:r>
          </w:p>
        </w:tc>
        <w:tc>
          <w:tcPr>
            <w:tcW w:w="1275" w:type="dxa"/>
            <w:tcBorders>
              <w:top w:val="single" w:sz="12" w:space="0" w:color="auto"/>
            </w:tcBorders>
            <w:shd w:val="clear" w:color="auto" w:fill="auto"/>
          </w:tcPr>
          <w:p w:rsidR="007F10FB" w:rsidRPr="00E5119C" w:rsidRDefault="00512BD0" w:rsidP="00E5119C">
            <w:pPr>
              <w:pStyle w:val="Tabletext"/>
            </w:pPr>
            <w:r w:rsidRPr="00E5119C">
              <w:t>not more than 150 Watts ERP</w:t>
            </w:r>
          </w:p>
        </w:tc>
        <w:tc>
          <w:tcPr>
            <w:tcW w:w="1275" w:type="dxa"/>
            <w:tcBorders>
              <w:top w:val="single" w:sz="12" w:space="0" w:color="auto"/>
            </w:tcBorders>
            <w:shd w:val="clear" w:color="auto" w:fill="auto"/>
          </w:tcPr>
          <w:p w:rsidR="007F10FB" w:rsidRPr="00E5119C" w:rsidRDefault="00512BD0" w:rsidP="00E5119C">
            <w:pPr>
              <w:pStyle w:val="Tabletext"/>
            </w:pPr>
            <w:r w:rsidRPr="00E5119C">
              <w:t xml:space="preserve">not more than </w:t>
            </w:r>
            <w:r w:rsidR="007F10FB" w:rsidRPr="00E5119C">
              <w:t>600</w:t>
            </w:r>
            <w:r w:rsidR="004C0659" w:rsidRPr="00E5119C">
              <w:t xml:space="preserve"> Watts ERP</w:t>
            </w:r>
          </w:p>
        </w:tc>
      </w:tr>
      <w:tr w:rsidR="007F10FB" w:rsidRPr="00E5119C" w:rsidTr="009233A9">
        <w:tc>
          <w:tcPr>
            <w:tcW w:w="714" w:type="dxa"/>
            <w:shd w:val="clear" w:color="auto" w:fill="auto"/>
          </w:tcPr>
          <w:p w:rsidR="007F10FB" w:rsidRPr="00E5119C" w:rsidRDefault="007F10FB" w:rsidP="00E5119C">
            <w:pPr>
              <w:pStyle w:val="Tabletext"/>
            </w:pPr>
            <w:r w:rsidRPr="00E5119C">
              <w:t>2</w:t>
            </w:r>
          </w:p>
        </w:tc>
        <w:tc>
          <w:tcPr>
            <w:tcW w:w="1275" w:type="dxa"/>
            <w:shd w:val="clear" w:color="auto" w:fill="auto"/>
          </w:tcPr>
          <w:p w:rsidR="007F10FB" w:rsidRPr="00E5119C" w:rsidRDefault="007F10FB" w:rsidP="00E5119C">
            <w:pPr>
              <w:pStyle w:val="Tabletext"/>
            </w:pPr>
            <w:r w:rsidRPr="00E5119C">
              <w:t>Medium</w:t>
            </w:r>
          </w:p>
        </w:tc>
        <w:tc>
          <w:tcPr>
            <w:tcW w:w="1275" w:type="dxa"/>
            <w:shd w:val="clear" w:color="auto" w:fill="auto"/>
          </w:tcPr>
          <w:p w:rsidR="007F10FB" w:rsidRPr="00E5119C" w:rsidRDefault="00705923" w:rsidP="00E5119C">
            <w:pPr>
              <w:pStyle w:val="Tabletext"/>
            </w:pPr>
            <w:r w:rsidRPr="00E5119C">
              <w:t xml:space="preserve">not more than </w:t>
            </w:r>
            <w:r w:rsidR="007F10FB" w:rsidRPr="00E5119C">
              <w:t>220</w:t>
            </w:r>
            <w:r w:rsidR="00C75BC3" w:rsidRPr="00E5119C">
              <w:t xml:space="preserve"> volts CMF</w:t>
            </w:r>
          </w:p>
        </w:tc>
        <w:tc>
          <w:tcPr>
            <w:tcW w:w="1275" w:type="dxa"/>
            <w:shd w:val="clear" w:color="auto" w:fill="auto"/>
          </w:tcPr>
          <w:p w:rsidR="007F10FB" w:rsidRPr="00E5119C" w:rsidRDefault="00151E8D" w:rsidP="00E5119C">
            <w:pPr>
              <w:pStyle w:val="Tabletext"/>
            </w:pPr>
            <w:r w:rsidRPr="00E5119C">
              <w:t>g</w:t>
            </w:r>
            <w:r w:rsidR="00F651AC" w:rsidRPr="00E5119C">
              <w:t xml:space="preserve">reater than 150 Watts ERP </w:t>
            </w:r>
            <w:r w:rsidRPr="00E5119C">
              <w:t>but not more than</w:t>
            </w:r>
            <w:r w:rsidR="00F651AC" w:rsidRPr="00E5119C">
              <w:t xml:space="preserve"> </w:t>
            </w:r>
            <w:r w:rsidR="007F10FB" w:rsidRPr="00E5119C">
              <w:t>15</w:t>
            </w:r>
            <w:r w:rsidR="002032DF" w:rsidRPr="00E5119C">
              <w:t>,</w:t>
            </w:r>
            <w:r w:rsidR="007F10FB" w:rsidRPr="00E5119C">
              <w:t>000</w:t>
            </w:r>
            <w:r w:rsidR="00C75BC3" w:rsidRPr="00E5119C">
              <w:t xml:space="preserve"> Watts ERP</w:t>
            </w:r>
          </w:p>
        </w:tc>
        <w:tc>
          <w:tcPr>
            <w:tcW w:w="1275" w:type="dxa"/>
            <w:shd w:val="clear" w:color="auto" w:fill="auto"/>
          </w:tcPr>
          <w:p w:rsidR="007F10FB" w:rsidRPr="00E5119C" w:rsidRDefault="00151E8D" w:rsidP="00E5119C">
            <w:pPr>
              <w:pStyle w:val="Tabletext"/>
            </w:pPr>
            <w:r w:rsidRPr="00E5119C">
              <w:t>g</w:t>
            </w:r>
            <w:r w:rsidR="00F651AC" w:rsidRPr="00E5119C">
              <w:t xml:space="preserve">reater than </w:t>
            </w:r>
            <w:r w:rsidR="007F10FB" w:rsidRPr="00E5119C">
              <w:t xml:space="preserve">150 </w:t>
            </w:r>
            <w:r w:rsidR="00F651AC" w:rsidRPr="00E5119C">
              <w:t xml:space="preserve">Watts ERP </w:t>
            </w:r>
            <w:r w:rsidRPr="00E5119C">
              <w:t>but not more than</w:t>
            </w:r>
            <w:r w:rsidR="007F10FB" w:rsidRPr="00E5119C">
              <w:t xml:space="preserve"> 15</w:t>
            </w:r>
            <w:r w:rsidR="002032DF" w:rsidRPr="00E5119C">
              <w:t>,</w:t>
            </w:r>
            <w:r w:rsidR="007F10FB" w:rsidRPr="00E5119C">
              <w:t>000</w:t>
            </w:r>
            <w:r w:rsidR="00C75BC3" w:rsidRPr="00E5119C">
              <w:t xml:space="preserve"> Watts ERP</w:t>
            </w:r>
          </w:p>
        </w:tc>
        <w:tc>
          <w:tcPr>
            <w:tcW w:w="1275" w:type="dxa"/>
            <w:shd w:val="clear" w:color="auto" w:fill="auto"/>
          </w:tcPr>
          <w:p w:rsidR="007F10FB" w:rsidRPr="00E5119C" w:rsidRDefault="00151E8D" w:rsidP="00E5119C">
            <w:pPr>
              <w:pStyle w:val="Tabletext"/>
            </w:pPr>
            <w:r w:rsidRPr="00E5119C">
              <w:t>g</w:t>
            </w:r>
            <w:r w:rsidR="00F651AC" w:rsidRPr="00E5119C">
              <w:t xml:space="preserve">reater than </w:t>
            </w:r>
            <w:r w:rsidR="00B51979" w:rsidRPr="00E5119C">
              <w:t xml:space="preserve">600 </w:t>
            </w:r>
            <w:r w:rsidR="00F651AC" w:rsidRPr="00E5119C">
              <w:t>Watts ERP</w:t>
            </w:r>
            <w:r w:rsidRPr="00E5119C">
              <w:t xml:space="preserve"> but not more than</w:t>
            </w:r>
            <w:r w:rsidR="00F651AC" w:rsidRPr="00E5119C">
              <w:t xml:space="preserve"> </w:t>
            </w:r>
            <w:r w:rsidR="007F10FB" w:rsidRPr="00E5119C">
              <w:t>60</w:t>
            </w:r>
            <w:r w:rsidR="002032DF" w:rsidRPr="00E5119C">
              <w:t>,</w:t>
            </w:r>
            <w:r w:rsidR="007F10FB" w:rsidRPr="00E5119C">
              <w:t>000</w:t>
            </w:r>
            <w:r w:rsidR="004C0659" w:rsidRPr="00E5119C">
              <w:t xml:space="preserve"> Watts ERP</w:t>
            </w:r>
          </w:p>
        </w:tc>
      </w:tr>
      <w:tr w:rsidR="007F10FB" w:rsidRPr="00E5119C" w:rsidTr="009233A9">
        <w:tc>
          <w:tcPr>
            <w:tcW w:w="714" w:type="dxa"/>
            <w:tcBorders>
              <w:top w:val="single" w:sz="2" w:space="0" w:color="auto"/>
              <w:bottom w:val="single" w:sz="12" w:space="0" w:color="auto"/>
            </w:tcBorders>
            <w:shd w:val="clear" w:color="auto" w:fill="auto"/>
          </w:tcPr>
          <w:p w:rsidR="007F10FB" w:rsidRPr="00E5119C" w:rsidRDefault="005F10C8" w:rsidP="00E5119C">
            <w:pPr>
              <w:pStyle w:val="Tabletext"/>
            </w:pPr>
            <w:r w:rsidRPr="00E5119C">
              <w:t>3</w:t>
            </w:r>
          </w:p>
        </w:tc>
        <w:tc>
          <w:tcPr>
            <w:tcW w:w="1275" w:type="dxa"/>
            <w:tcBorders>
              <w:top w:val="single" w:sz="2" w:space="0" w:color="auto"/>
              <w:bottom w:val="single" w:sz="12" w:space="0" w:color="auto"/>
            </w:tcBorders>
            <w:shd w:val="clear" w:color="auto" w:fill="auto"/>
          </w:tcPr>
          <w:p w:rsidR="007F10FB" w:rsidRPr="00E5119C" w:rsidRDefault="005F10C8" w:rsidP="00E5119C">
            <w:pPr>
              <w:pStyle w:val="Tabletext"/>
            </w:pPr>
            <w:r w:rsidRPr="00E5119C">
              <w:t>High</w:t>
            </w:r>
          </w:p>
        </w:tc>
        <w:tc>
          <w:tcPr>
            <w:tcW w:w="1275" w:type="dxa"/>
            <w:tcBorders>
              <w:top w:val="single" w:sz="2" w:space="0" w:color="auto"/>
              <w:bottom w:val="single" w:sz="12" w:space="0" w:color="auto"/>
            </w:tcBorders>
            <w:shd w:val="clear" w:color="auto" w:fill="auto"/>
          </w:tcPr>
          <w:p w:rsidR="007F10FB" w:rsidRPr="00E5119C" w:rsidRDefault="00EC12C7" w:rsidP="00E5119C">
            <w:pPr>
              <w:pStyle w:val="Tabletext"/>
            </w:pPr>
            <w:r w:rsidRPr="00E5119C">
              <w:t>g</w:t>
            </w:r>
            <w:r w:rsidR="00B51979" w:rsidRPr="00E5119C">
              <w:t>reater than</w:t>
            </w:r>
            <w:r w:rsidR="005F10C8" w:rsidRPr="00E5119C">
              <w:t xml:space="preserve"> 220</w:t>
            </w:r>
            <w:r w:rsidR="00C75BC3" w:rsidRPr="00E5119C">
              <w:t xml:space="preserve"> volts CMF</w:t>
            </w:r>
          </w:p>
        </w:tc>
        <w:tc>
          <w:tcPr>
            <w:tcW w:w="1275" w:type="dxa"/>
            <w:tcBorders>
              <w:top w:val="single" w:sz="2" w:space="0" w:color="auto"/>
              <w:bottom w:val="single" w:sz="12" w:space="0" w:color="auto"/>
            </w:tcBorders>
            <w:shd w:val="clear" w:color="auto" w:fill="auto"/>
          </w:tcPr>
          <w:p w:rsidR="007F10FB" w:rsidRPr="00E5119C" w:rsidRDefault="00EC12C7" w:rsidP="00E5119C">
            <w:pPr>
              <w:pStyle w:val="Tabletext"/>
            </w:pPr>
            <w:r w:rsidRPr="00E5119C">
              <w:t>g</w:t>
            </w:r>
            <w:r w:rsidR="00B51979" w:rsidRPr="00E5119C">
              <w:t xml:space="preserve">reater than </w:t>
            </w:r>
            <w:r w:rsidR="005F10C8" w:rsidRPr="00E5119C">
              <w:t>15</w:t>
            </w:r>
            <w:r w:rsidR="002032DF" w:rsidRPr="00E5119C">
              <w:t>,</w:t>
            </w:r>
            <w:r w:rsidR="005F10C8" w:rsidRPr="00E5119C">
              <w:t>000</w:t>
            </w:r>
            <w:r w:rsidR="00C75BC3" w:rsidRPr="00E5119C">
              <w:t xml:space="preserve"> Watts ERP</w:t>
            </w:r>
          </w:p>
        </w:tc>
        <w:tc>
          <w:tcPr>
            <w:tcW w:w="1275" w:type="dxa"/>
            <w:tcBorders>
              <w:top w:val="single" w:sz="2" w:space="0" w:color="auto"/>
              <w:bottom w:val="single" w:sz="12" w:space="0" w:color="auto"/>
            </w:tcBorders>
            <w:shd w:val="clear" w:color="auto" w:fill="auto"/>
          </w:tcPr>
          <w:p w:rsidR="007F10FB" w:rsidRPr="00E5119C" w:rsidRDefault="00EC12C7" w:rsidP="00E5119C">
            <w:pPr>
              <w:pStyle w:val="Tabletext"/>
            </w:pPr>
            <w:r w:rsidRPr="00E5119C">
              <w:t>g</w:t>
            </w:r>
            <w:r w:rsidR="00B51979" w:rsidRPr="00E5119C">
              <w:t xml:space="preserve">reater than </w:t>
            </w:r>
            <w:r w:rsidR="00EA64DD" w:rsidRPr="00E5119C">
              <w:t>15,000</w:t>
            </w:r>
            <w:r w:rsidR="00C75BC3" w:rsidRPr="00E5119C">
              <w:t xml:space="preserve"> Watts ERP</w:t>
            </w:r>
          </w:p>
        </w:tc>
        <w:tc>
          <w:tcPr>
            <w:tcW w:w="1275" w:type="dxa"/>
            <w:tcBorders>
              <w:top w:val="single" w:sz="2" w:space="0" w:color="auto"/>
              <w:bottom w:val="single" w:sz="12" w:space="0" w:color="auto"/>
            </w:tcBorders>
            <w:shd w:val="clear" w:color="auto" w:fill="auto"/>
          </w:tcPr>
          <w:p w:rsidR="007F10FB" w:rsidRPr="00E5119C" w:rsidRDefault="00EC12C7" w:rsidP="00E5119C">
            <w:pPr>
              <w:pStyle w:val="Tabletext"/>
            </w:pPr>
            <w:r w:rsidRPr="00E5119C">
              <w:t>g</w:t>
            </w:r>
            <w:r w:rsidR="00B51979" w:rsidRPr="00E5119C">
              <w:t>reater than</w:t>
            </w:r>
            <w:r w:rsidR="005F10C8" w:rsidRPr="00E5119C">
              <w:t xml:space="preserve"> 60</w:t>
            </w:r>
            <w:r w:rsidR="002032DF" w:rsidRPr="00E5119C">
              <w:t>,</w:t>
            </w:r>
            <w:r w:rsidR="005F10C8" w:rsidRPr="00E5119C">
              <w:t>000</w:t>
            </w:r>
            <w:r w:rsidR="004C0659" w:rsidRPr="00E5119C">
              <w:t xml:space="preserve"> Watts ERP</w:t>
            </w:r>
          </w:p>
        </w:tc>
      </w:tr>
    </w:tbl>
    <w:p w:rsidR="007F10FB" w:rsidRPr="00E5119C" w:rsidRDefault="007F10FB" w:rsidP="00E5119C">
      <w:pPr>
        <w:pStyle w:val="Tabletext"/>
      </w:pPr>
    </w:p>
    <w:p w:rsidR="00C41979" w:rsidRPr="00E5119C" w:rsidRDefault="00D45D99" w:rsidP="00E5119C">
      <w:pPr>
        <w:pStyle w:val="ActHead5"/>
      </w:pPr>
      <w:bookmarkStart w:id="14" w:name="_Toc493598776"/>
      <w:r w:rsidRPr="00E5119C">
        <w:rPr>
          <w:rStyle w:val="CharSectno"/>
        </w:rPr>
        <w:t>10</w:t>
      </w:r>
      <w:r w:rsidR="00C41979" w:rsidRPr="00E5119C">
        <w:t xml:space="preserve">  Person liable to pay </w:t>
      </w:r>
      <w:r w:rsidR="001F2AB4" w:rsidRPr="00E5119C">
        <w:t>tax</w:t>
      </w:r>
      <w:bookmarkEnd w:id="14"/>
    </w:p>
    <w:p w:rsidR="00D61C39" w:rsidRPr="00E5119C" w:rsidRDefault="00D61C39" w:rsidP="00E5119C">
      <w:pPr>
        <w:pStyle w:val="subsection"/>
      </w:pPr>
      <w:r w:rsidRPr="00E5119C">
        <w:tab/>
      </w:r>
      <w:r w:rsidR="00BC014D" w:rsidRPr="00E5119C">
        <w:t>(1)</w:t>
      </w:r>
      <w:r w:rsidR="00BC014D" w:rsidRPr="00E5119C">
        <w:tab/>
        <w:t xml:space="preserve">Tax imposed by this Act on </w:t>
      </w:r>
      <w:r w:rsidRPr="00E5119C">
        <w:t>the is</w:t>
      </w:r>
      <w:r w:rsidR="00BC014D" w:rsidRPr="00E5119C">
        <w:t xml:space="preserve">sue of a transmitter licence </w:t>
      </w:r>
      <w:r w:rsidRPr="00E5119C">
        <w:t xml:space="preserve">is payable by the person </w:t>
      </w:r>
      <w:r w:rsidR="00CB58EC" w:rsidRPr="00E5119C">
        <w:t>who held</w:t>
      </w:r>
      <w:r w:rsidRPr="00E5119C">
        <w:t xml:space="preserve"> the licence</w:t>
      </w:r>
      <w:r w:rsidR="00395B55" w:rsidRPr="00E5119C">
        <w:t xml:space="preserve"> when the licence was</w:t>
      </w:r>
      <w:r w:rsidR="00BC014D" w:rsidRPr="00E5119C">
        <w:t xml:space="preserve"> issued</w:t>
      </w:r>
      <w:r w:rsidRPr="00E5119C">
        <w:t>.</w:t>
      </w:r>
    </w:p>
    <w:p w:rsidR="00BC014D" w:rsidRPr="00E5119C" w:rsidRDefault="00BC014D" w:rsidP="00E5119C">
      <w:pPr>
        <w:pStyle w:val="subsection"/>
      </w:pPr>
      <w:r w:rsidRPr="00E5119C">
        <w:tab/>
        <w:t>(2)</w:t>
      </w:r>
      <w:r w:rsidR="00335C11" w:rsidRPr="00E5119C">
        <w:tab/>
        <w:t xml:space="preserve">Tax imposed by this Act on </w:t>
      </w:r>
      <w:r w:rsidRPr="00E5119C">
        <w:t>an anniversary of the day a transmitter licence came into force</w:t>
      </w:r>
      <w:r w:rsidR="00335C11" w:rsidRPr="00E5119C">
        <w:t xml:space="preserve"> </w:t>
      </w:r>
      <w:r w:rsidRPr="00E5119C">
        <w:t xml:space="preserve">is payable by the person </w:t>
      </w:r>
      <w:r w:rsidR="00CB58EC" w:rsidRPr="00E5119C">
        <w:t>who held</w:t>
      </w:r>
      <w:r w:rsidRPr="00E5119C">
        <w:t xml:space="preserve"> the licence</w:t>
      </w:r>
      <w:r w:rsidR="00335C11" w:rsidRPr="00E5119C">
        <w:t xml:space="preserve"> at the start of the anniversary</w:t>
      </w:r>
      <w:r w:rsidRPr="00E5119C">
        <w:t>.</w:t>
      </w:r>
    </w:p>
    <w:p w:rsidR="00335C11" w:rsidRPr="00E5119C" w:rsidRDefault="00335C11" w:rsidP="00E5119C">
      <w:pPr>
        <w:pStyle w:val="subsection"/>
      </w:pPr>
      <w:r w:rsidRPr="00E5119C">
        <w:tab/>
        <w:t>(3)</w:t>
      </w:r>
      <w:r w:rsidRPr="00E5119C">
        <w:tab/>
        <w:t>Tax imposed by this Act on a licence ceasing to be in force is</w:t>
      </w:r>
      <w:r w:rsidR="00CB58EC" w:rsidRPr="00E5119C">
        <w:t xml:space="preserve"> payable by the person who held</w:t>
      </w:r>
      <w:r w:rsidRPr="00E5119C">
        <w:t xml:space="preserve"> the licence immediately before the licence ceased to be in force.</w:t>
      </w:r>
    </w:p>
    <w:p w:rsidR="00335C11" w:rsidRPr="00E5119C" w:rsidRDefault="00335C11" w:rsidP="00E5119C">
      <w:pPr>
        <w:pStyle w:val="subsection"/>
      </w:pPr>
      <w:r w:rsidRPr="00E5119C">
        <w:tab/>
        <w:t>(4)</w:t>
      </w:r>
      <w:r w:rsidRPr="00E5119C">
        <w:tab/>
        <w:t>Tax imposed by this Act on the holding of a transmitter licence at the start of 1</w:t>
      </w:r>
      <w:r w:rsidR="00E5119C" w:rsidRPr="00E5119C">
        <w:t> </w:t>
      </w:r>
      <w:r w:rsidRPr="00E5119C">
        <w:t>July 2017 is</w:t>
      </w:r>
      <w:r w:rsidR="00CB58EC" w:rsidRPr="00E5119C">
        <w:t xml:space="preserve"> payable by the person who held</w:t>
      </w:r>
      <w:r w:rsidRPr="00E5119C">
        <w:t xml:space="preserve"> the licence at the start of 1</w:t>
      </w:r>
      <w:r w:rsidR="00E5119C" w:rsidRPr="00E5119C">
        <w:t> </w:t>
      </w:r>
      <w:r w:rsidRPr="00E5119C">
        <w:t>July 2017.</w:t>
      </w:r>
    </w:p>
    <w:p w:rsidR="004B16DB" w:rsidRPr="00E5119C" w:rsidRDefault="00D45D99" w:rsidP="00E5119C">
      <w:pPr>
        <w:pStyle w:val="ActHead5"/>
      </w:pPr>
      <w:bookmarkStart w:id="15" w:name="_Toc493598777"/>
      <w:r w:rsidRPr="00E5119C">
        <w:rPr>
          <w:rStyle w:val="CharSectno"/>
        </w:rPr>
        <w:t>11</w:t>
      </w:r>
      <w:r w:rsidR="004B16DB" w:rsidRPr="00E5119C">
        <w:t xml:space="preserve">  </w:t>
      </w:r>
      <w:r w:rsidR="00371A89" w:rsidRPr="00E5119C">
        <w:t xml:space="preserve">Termination </w:t>
      </w:r>
      <w:r w:rsidR="00FA7486" w:rsidRPr="00E5119C">
        <w:t>time</w:t>
      </w:r>
      <w:bookmarkEnd w:id="15"/>
    </w:p>
    <w:p w:rsidR="00371A89" w:rsidRPr="00E5119C" w:rsidRDefault="00371A89" w:rsidP="00E5119C">
      <w:pPr>
        <w:pStyle w:val="subsection"/>
      </w:pPr>
      <w:r w:rsidRPr="00E5119C">
        <w:tab/>
      </w:r>
      <w:r w:rsidR="00FA7486" w:rsidRPr="00E5119C">
        <w:t>(1)</w:t>
      </w:r>
      <w:r w:rsidRPr="00E5119C">
        <w:tab/>
        <w:t xml:space="preserve">The Minister may, by legislative instrument, determine that a specified time is the </w:t>
      </w:r>
      <w:r w:rsidRPr="00E5119C">
        <w:rPr>
          <w:b/>
          <w:i/>
        </w:rPr>
        <w:t>termination time</w:t>
      </w:r>
      <w:r w:rsidRPr="00E5119C">
        <w:t xml:space="preserve"> for the purposes of this Act.</w:t>
      </w:r>
    </w:p>
    <w:p w:rsidR="00FA7486" w:rsidRPr="00E5119C" w:rsidRDefault="00FA7486" w:rsidP="00E5119C">
      <w:pPr>
        <w:pStyle w:val="subsection"/>
      </w:pPr>
      <w:r w:rsidRPr="00E5119C">
        <w:tab/>
        <w:t>(2)</w:t>
      </w:r>
      <w:r w:rsidRPr="00E5119C">
        <w:tab/>
      </w:r>
      <w:r w:rsidR="007F4CA4" w:rsidRPr="00E5119C">
        <w:t>The termination time must not be earlier than the commencement of the determination.</w:t>
      </w:r>
    </w:p>
    <w:p w:rsidR="00ED4EFF" w:rsidRPr="00E5119C" w:rsidRDefault="00D45D99" w:rsidP="00E5119C">
      <w:pPr>
        <w:pStyle w:val="ActHead5"/>
      </w:pPr>
      <w:bookmarkStart w:id="16" w:name="_Toc493598778"/>
      <w:r w:rsidRPr="00E5119C">
        <w:rPr>
          <w:rStyle w:val="CharSectno"/>
        </w:rPr>
        <w:t>12</w:t>
      </w:r>
      <w:r w:rsidR="00ED4EFF" w:rsidRPr="00E5119C">
        <w:t xml:space="preserve">  Indexation factor</w:t>
      </w:r>
      <w:bookmarkEnd w:id="16"/>
    </w:p>
    <w:p w:rsidR="00ED4EFF" w:rsidRPr="00E5119C" w:rsidRDefault="00ED4EFF" w:rsidP="00E5119C">
      <w:pPr>
        <w:pStyle w:val="subsection"/>
      </w:pPr>
      <w:r w:rsidRPr="00E5119C">
        <w:tab/>
        <w:t>(1)</w:t>
      </w:r>
      <w:r w:rsidRPr="00E5119C">
        <w:tab/>
        <w:t xml:space="preserve">For the purposes of this Act, the </w:t>
      </w:r>
      <w:r w:rsidRPr="00E5119C">
        <w:rPr>
          <w:b/>
          <w:i/>
        </w:rPr>
        <w:t>indexation factor</w:t>
      </w:r>
      <w:r w:rsidRPr="00E5119C">
        <w:t xml:space="preserve"> for a financial year is the number calculated, to 3 decimal places (rounding up if the fourth decimal place is 5 or more), using the formula:</w:t>
      </w:r>
    </w:p>
    <w:p w:rsidR="00ED4EFF" w:rsidRPr="00E5119C" w:rsidRDefault="00866E38" w:rsidP="00E5119C">
      <w:pPr>
        <w:pStyle w:val="subsection2"/>
      </w:pPr>
      <w:bookmarkStart w:id="17" w:name="BKCheck15B_7"/>
      <w:bookmarkStart w:id="18" w:name="BKCheck15B_6"/>
      <w:bookmarkStart w:id="19" w:name="BKCheck15B_5"/>
      <w:bookmarkEnd w:id="17"/>
      <w:bookmarkEnd w:id="18"/>
      <w:bookmarkEnd w:id="19"/>
      <w:r>
        <w:rPr>
          <w:position w:val="-36"/>
        </w:rPr>
        <w:pict>
          <v:shape id="_x0000_i1030" type="#_x0000_t75" style="width:186pt;height:41.25pt">
            <v:imagedata r:id="rId23" o:title=""/>
          </v:shape>
        </w:pict>
      </w:r>
    </w:p>
    <w:p w:rsidR="00ED4EFF" w:rsidRPr="00E5119C" w:rsidRDefault="00ED4EFF" w:rsidP="00E5119C">
      <w:pPr>
        <w:pStyle w:val="subsection2"/>
      </w:pPr>
      <w:r w:rsidRPr="00E5119C">
        <w:t>where:</w:t>
      </w:r>
    </w:p>
    <w:p w:rsidR="00ED4EFF" w:rsidRPr="00E5119C" w:rsidRDefault="00ED4EFF" w:rsidP="00E5119C">
      <w:pPr>
        <w:pStyle w:val="Definition"/>
      </w:pPr>
      <w:r w:rsidRPr="00E5119C">
        <w:rPr>
          <w:b/>
          <w:i/>
        </w:rPr>
        <w:t xml:space="preserve">base March quarter </w:t>
      </w:r>
      <w:r w:rsidRPr="00E5119C">
        <w:t>means the last March quarter before the reference March quarter.</w:t>
      </w:r>
    </w:p>
    <w:p w:rsidR="00ED4EFF" w:rsidRPr="00E5119C" w:rsidRDefault="00ED4EFF" w:rsidP="00E5119C">
      <w:pPr>
        <w:pStyle w:val="Definition"/>
      </w:pPr>
      <w:r w:rsidRPr="00E5119C">
        <w:rPr>
          <w:b/>
          <w:i/>
        </w:rPr>
        <w:t>reference March quarter</w:t>
      </w:r>
      <w:r w:rsidRPr="00E5119C">
        <w:t xml:space="preserve"> means the last March quarter before the financial year.</w:t>
      </w:r>
    </w:p>
    <w:p w:rsidR="00ED4EFF" w:rsidRPr="00E5119C" w:rsidRDefault="00ED4EFF" w:rsidP="00E5119C">
      <w:pPr>
        <w:pStyle w:val="subsection"/>
      </w:pPr>
      <w:r w:rsidRPr="00E5119C">
        <w:tab/>
        <w:t>(2)</w:t>
      </w:r>
      <w:r w:rsidRPr="00E5119C">
        <w:tab/>
        <w:t xml:space="preserve">Subject to </w:t>
      </w:r>
      <w:r w:rsidR="00E5119C" w:rsidRPr="00E5119C">
        <w:t>subsection (</w:t>
      </w:r>
      <w:r w:rsidRPr="00E5119C">
        <w:t>3), if (whether before or after the commencement of this section) the Australian Statistician has published or publishes an index number in respect of a quarter in substitution for an index number previously published in respect of that quarter, the publication of the later index number must be disregarded for the purposes of this section.</w:t>
      </w:r>
    </w:p>
    <w:p w:rsidR="00ED4EFF" w:rsidRPr="00E5119C" w:rsidRDefault="00ED4EFF" w:rsidP="00E5119C">
      <w:pPr>
        <w:pStyle w:val="subsection"/>
      </w:pPr>
      <w:r w:rsidRPr="00E5119C">
        <w:tab/>
        <w:t>(3)</w:t>
      </w:r>
      <w:r w:rsidRPr="00E5119C">
        <w:tab/>
        <w:t>If (whether before or after the commencement of this section) the Australian Statistician has changed or changes the index reference period for the Consumer Price Index, then, for the purposes of the application of this section after the change took place or takes place, regard must only be had to the index number published in terms of the new index reference period.</w:t>
      </w:r>
    </w:p>
    <w:p w:rsidR="001D65FE" w:rsidRPr="00E5119C" w:rsidRDefault="00D45D99" w:rsidP="00E5119C">
      <w:pPr>
        <w:pStyle w:val="ActHead5"/>
      </w:pPr>
      <w:bookmarkStart w:id="20" w:name="_Toc493598779"/>
      <w:r w:rsidRPr="00E5119C">
        <w:rPr>
          <w:rStyle w:val="CharSectno"/>
        </w:rPr>
        <w:t>13</w:t>
      </w:r>
      <w:r w:rsidR="001D65FE" w:rsidRPr="00E5119C">
        <w:t xml:space="preserve">  Disallowance of determinations</w:t>
      </w:r>
      <w:bookmarkEnd w:id="20"/>
    </w:p>
    <w:p w:rsidR="001D65FE" w:rsidRPr="00E5119C" w:rsidRDefault="001D65FE" w:rsidP="00E5119C">
      <w:pPr>
        <w:pStyle w:val="SubsectionHead"/>
      </w:pPr>
      <w:r w:rsidRPr="00E5119C">
        <w:t>Scope</w:t>
      </w:r>
    </w:p>
    <w:p w:rsidR="001D65FE" w:rsidRPr="00E5119C" w:rsidRDefault="001D65FE" w:rsidP="00E5119C">
      <w:pPr>
        <w:pStyle w:val="subsection"/>
      </w:pPr>
      <w:r w:rsidRPr="00E5119C">
        <w:tab/>
        <w:t>(1)</w:t>
      </w:r>
      <w:r w:rsidRPr="00E5119C">
        <w:tab/>
        <w:t>This section applies to a determination made under subsection</w:t>
      </w:r>
      <w:r w:rsidR="00E5119C" w:rsidRPr="00E5119C">
        <w:t> </w:t>
      </w:r>
      <w:r w:rsidR="00D45D99" w:rsidRPr="00E5119C">
        <w:t>8</w:t>
      </w:r>
      <w:r w:rsidRPr="00E5119C">
        <w:t>(2).</w:t>
      </w:r>
    </w:p>
    <w:p w:rsidR="001D65FE" w:rsidRPr="00E5119C" w:rsidRDefault="001D65FE" w:rsidP="00E5119C">
      <w:pPr>
        <w:pStyle w:val="SubsectionHead"/>
      </w:pPr>
      <w:r w:rsidRPr="00E5119C">
        <w:t>Disallowance</w:t>
      </w:r>
    </w:p>
    <w:p w:rsidR="001D65FE" w:rsidRPr="00E5119C" w:rsidRDefault="001D65FE" w:rsidP="00E5119C">
      <w:pPr>
        <w:pStyle w:val="subsection"/>
        <w:keepNext/>
        <w:keepLines/>
      </w:pPr>
      <w:r w:rsidRPr="00E5119C">
        <w:tab/>
        <w:t>(2)</w:t>
      </w:r>
      <w:r w:rsidRPr="00E5119C">
        <w:tab/>
        <w:t>Either House of the Parliament may, following a motion upon notice, pass a resolution disallowing the determination. For the resolution to be effective:</w:t>
      </w:r>
    </w:p>
    <w:p w:rsidR="001D65FE" w:rsidRPr="00E5119C" w:rsidRDefault="001D65FE" w:rsidP="00E5119C">
      <w:pPr>
        <w:pStyle w:val="paragraph"/>
      </w:pPr>
      <w:r w:rsidRPr="00E5119C">
        <w:tab/>
        <w:t>(a)</w:t>
      </w:r>
      <w:r w:rsidRPr="00E5119C">
        <w:tab/>
        <w:t>the notice must be given in that House within 15 sitting days of that House after the copy of the determination was tabled in the House under section</w:t>
      </w:r>
      <w:r w:rsidR="00E5119C" w:rsidRPr="00E5119C">
        <w:t> </w:t>
      </w:r>
      <w:r w:rsidRPr="00E5119C">
        <w:t xml:space="preserve">38 of the </w:t>
      </w:r>
      <w:r w:rsidRPr="00E5119C">
        <w:rPr>
          <w:i/>
        </w:rPr>
        <w:t>Legislation Act 2003</w:t>
      </w:r>
      <w:r w:rsidRPr="00E5119C">
        <w:t>; and</w:t>
      </w:r>
    </w:p>
    <w:p w:rsidR="001D65FE" w:rsidRPr="00E5119C" w:rsidRDefault="001D65FE" w:rsidP="00E5119C">
      <w:pPr>
        <w:pStyle w:val="paragraph"/>
      </w:pPr>
      <w:r w:rsidRPr="00E5119C">
        <w:tab/>
        <w:t>(b)</w:t>
      </w:r>
      <w:r w:rsidRPr="00E5119C">
        <w:tab/>
        <w:t>the resolution must be passed, in pursuance of the motion, within 15 sitting days of that House after the giving of that notice.</w:t>
      </w:r>
    </w:p>
    <w:p w:rsidR="00D9745F" w:rsidRPr="00E5119C" w:rsidRDefault="00D9745F" w:rsidP="00E5119C">
      <w:pPr>
        <w:pStyle w:val="subsection"/>
      </w:pPr>
      <w:r w:rsidRPr="00E5119C">
        <w:tab/>
        <w:t>(3)</w:t>
      </w:r>
      <w:r w:rsidRPr="00E5119C">
        <w:tab/>
        <w:t>If:</w:t>
      </w:r>
    </w:p>
    <w:p w:rsidR="00D9745F" w:rsidRPr="00E5119C" w:rsidRDefault="00D9745F" w:rsidP="00E5119C">
      <w:pPr>
        <w:pStyle w:val="paragraph"/>
      </w:pPr>
      <w:r w:rsidRPr="00E5119C">
        <w:tab/>
        <w:t>(a)</w:t>
      </w:r>
      <w:r w:rsidRPr="00E5119C">
        <w:tab/>
      </w:r>
      <w:r w:rsidR="00FF4600" w:rsidRPr="00E5119C">
        <w:t xml:space="preserve">the </w:t>
      </w:r>
      <w:r w:rsidR="00DF1698" w:rsidRPr="00E5119C">
        <w:t xml:space="preserve">determination </w:t>
      </w:r>
      <w:r w:rsidR="00B41904" w:rsidRPr="00E5119C">
        <w:t xml:space="preserve">is the first determination </w:t>
      </w:r>
      <w:r w:rsidRPr="00E5119C">
        <w:t>made under subsection</w:t>
      </w:r>
      <w:r w:rsidR="00E5119C" w:rsidRPr="00E5119C">
        <w:t> </w:t>
      </w:r>
      <w:r w:rsidR="00D45D99" w:rsidRPr="00E5119C">
        <w:t>8</w:t>
      </w:r>
      <w:r w:rsidRPr="00E5119C">
        <w:t>(2);</w:t>
      </w:r>
      <w:r w:rsidR="00DF1698" w:rsidRPr="00E5119C">
        <w:t xml:space="preserve"> </w:t>
      </w:r>
      <w:r w:rsidRPr="00E5119C">
        <w:t>and</w:t>
      </w:r>
    </w:p>
    <w:p w:rsidR="00D9745F" w:rsidRPr="00E5119C" w:rsidRDefault="00D9745F" w:rsidP="00E5119C">
      <w:pPr>
        <w:pStyle w:val="paragraph"/>
      </w:pPr>
      <w:r w:rsidRPr="00E5119C">
        <w:tab/>
        <w:t>(b)</w:t>
      </w:r>
      <w:r w:rsidRPr="00E5119C">
        <w:tab/>
      </w:r>
      <w:r w:rsidR="00DF1698" w:rsidRPr="00E5119C">
        <w:t xml:space="preserve">neither </w:t>
      </w:r>
      <w:r w:rsidRPr="00E5119C">
        <w:t>House passes such a resolution;</w:t>
      </w:r>
    </w:p>
    <w:p w:rsidR="00DF1698" w:rsidRPr="00E5119C" w:rsidRDefault="00DF1698" w:rsidP="00E5119C">
      <w:pPr>
        <w:pStyle w:val="subsection2"/>
      </w:pPr>
      <w:r w:rsidRPr="00E5119C">
        <w:t xml:space="preserve">the determination takes effect </w:t>
      </w:r>
      <w:r w:rsidR="00B41904" w:rsidRPr="00E5119C">
        <w:t xml:space="preserve">at the start of </w:t>
      </w:r>
      <w:r w:rsidRPr="00E5119C">
        <w:t>1</w:t>
      </w:r>
      <w:r w:rsidR="00E5119C" w:rsidRPr="00E5119C">
        <w:t> </w:t>
      </w:r>
      <w:r w:rsidRPr="00E5119C">
        <w:t>July 2017.</w:t>
      </w:r>
    </w:p>
    <w:p w:rsidR="00D9745F" w:rsidRPr="00E5119C" w:rsidRDefault="00D9745F" w:rsidP="00E5119C">
      <w:pPr>
        <w:pStyle w:val="subsection"/>
      </w:pPr>
      <w:r w:rsidRPr="00E5119C">
        <w:tab/>
        <w:t>(4)</w:t>
      </w:r>
      <w:r w:rsidRPr="00E5119C">
        <w:tab/>
        <w:t>If:</w:t>
      </w:r>
    </w:p>
    <w:p w:rsidR="00D9745F" w:rsidRPr="00E5119C" w:rsidRDefault="00D9745F" w:rsidP="00E5119C">
      <w:pPr>
        <w:pStyle w:val="paragraph"/>
      </w:pPr>
      <w:r w:rsidRPr="00E5119C">
        <w:tab/>
        <w:t>(a)</w:t>
      </w:r>
      <w:r w:rsidRPr="00E5119C">
        <w:tab/>
      </w:r>
      <w:r w:rsidR="00C440F3" w:rsidRPr="00E5119C">
        <w:t xml:space="preserve">the determination is not the first determination made </w:t>
      </w:r>
      <w:r w:rsidRPr="00E5119C">
        <w:t>under subsection</w:t>
      </w:r>
      <w:r w:rsidR="00E5119C" w:rsidRPr="00E5119C">
        <w:t> </w:t>
      </w:r>
      <w:r w:rsidR="00D45D99" w:rsidRPr="00E5119C">
        <w:t>8</w:t>
      </w:r>
      <w:r w:rsidRPr="00E5119C">
        <w:t>(2); and</w:t>
      </w:r>
    </w:p>
    <w:p w:rsidR="00D9745F" w:rsidRPr="00E5119C" w:rsidRDefault="00D9745F" w:rsidP="00E5119C">
      <w:pPr>
        <w:pStyle w:val="paragraph"/>
      </w:pPr>
      <w:r w:rsidRPr="00E5119C">
        <w:tab/>
        <w:t>(b)</w:t>
      </w:r>
      <w:r w:rsidRPr="00E5119C">
        <w:tab/>
      </w:r>
      <w:r w:rsidR="00DF1698" w:rsidRPr="00E5119C">
        <w:t>neither House passes such a resolution</w:t>
      </w:r>
      <w:r w:rsidRPr="00E5119C">
        <w:t>;</w:t>
      </w:r>
    </w:p>
    <w:p w:rsidR="001D65FE" w:rsidRPr="00E5119C" w:rsidRDefault="001D65FE" w:rsidP="00E5119C">
      <w:pPr>
        <w:pStyle w:val="subsection2"/>
      </w:pPr>
      <w:r w:rsidRPr="00E5119C">
        <w:t xml:space="preserve">the determination takes effect on the day immediately after the last day upon which such a resolution could have been passed if it were assumed that notice of a motion to disallow the determination was given in each House on the last day of the 15 sitting day period of that House mentioned in </w:t>
      </w:r>
      <w:r w:rsidR="00E5119C" w:rsidRPr="00E5119C">
        <w:t>paragraph (</w:t>
      </w:r>
      <w:r w:rsidRPr="00E5119C">
        <w:t>2)(a).</w:t>
      </w:r>
    </w:p>
    <w:p w:rsidR="001D65FE" w:rsidRPr="00E5119C" w:rsidRDefault="00DF1698" w:rsidP="00E5119C">
      <w:pPr>
        <w:pStyle w:val="subsection"/>
      </w:pPr>
      <w:r w:rsidRPr="00E5119C">
        <w:tab/>
        <w:t>(5</w:t>
      </w:r>
      <w:r w:rsidR="001D65FE" w:rsidRPr="00E5119C">
        <w:t>)</w:t>
      </w:r>
      <w:r w:rsidR="001D65FE" w:rsidRPr="00E5119C">
        <w:tab/>
        <w:t>Section</w:t>
      </w:r>
      <w:r w:rsidR="00E5119C" w:rsidRPr="00E5119C">
        <w:t> </w:t>
      </w:r>
      <w:r w:rsidR="001D65FE" w:rsidRPr="00E5119C">
        <w:t xml:space="preserve">42 (disallowance) of the </w:t>
      </w:r>
      <w:r w:rsidR="001D65FE" w:rsidRPr="00E5119C">
        <w:rPr>
          <w:i/>
        </w:rPr>
        <w:t>Legislation Act 2003</w:t>
      </w:r>
      <w:r w:rsidR="001D65FE" w:rsidRPr="00E5119C">
        <w:t xml:space="preserve"> does not apply to the determination.</w:t>
      </w:r>
    </w:p>
    <w:p w:rsidR="001D65FE" w:rsidRPr="00E5119C" w:rsidRDefault="001D65FE" w:rsidP="00E5119C">
      <w:pPr>
        <w:pStyle w:val="notetext"/>
      </w:pPr>
      <w:r w:rsidRPr="00E5119C">
        <w:t>Note 1:</w:t>
      </w:r>
      <w:r w:rsidRPr="00E5119C">
        <w:tab/>
        <w:t xml:space="preserve">The 15 sitting day notice period mentioned in </w:t>
      </w:r>
      <w:r w:rsidR="00E5119C" w:rsidRPr="00E5119C">
        <w:t>paragraph (</w:t>
      </w:r>
      <w:r w:rsidRPr="00E5119C">
        <w:t>2)(a) of this section is the same as the 15 sitting day notice period mentioned in paragraph</w:t>
      </w:r>
      <w:r w:rsidR="00E5119C" w:rsidRPr="00E5119C">
        <w:t> </w:t>
      </w:r>
      <w:r w:rsidRPr="00E5119C">
        <w:t xml:space="preserve">42(1)(a) of the </w:t>
      </w:r>
      <w:r w:rsidRPr="00E5119C">
        <w:rPr>
          <w:i/>
        </w:rPr>
        <w:t>Legislation Act 2003</w:t>
      </w:r>
      <w:r w:rsidRPr="00E5119C">
        <w:t>.</w:t>
      </w:r>
    </w:p>
    <w:p w:rsidR="001D65FE" w:rsidRPr="00E5119C" w:rsidRDefault="001D65FE" w:rsidP="00E5119C">
      <w:pPr>
        <w:pStyle w:val="notetext"/>
      </w:pPr>
      <w:r w:rsidRPr="00E5119C">
        <w:t>Note 2:</w:t>
      </w:r>
      <w:r w:rsidRPr="00E5119C">
        <w:tab/>
        <w:t xml:space="preserve">The 15 sitting day disallowance period mentioned in </w:t>
      </w:r>
      <w:r w:rsidR="00E5119C" w:rsidRPr="00E5119C">
        <w:t>paragraph (</w:t>
      </w:r>
      <w:r w:rsidRPr="00E5119C">
        <w:t>2)(b) of this section is the same as the 15 sitting day disallowance period mentioned in paragraph</w:t>
      </w:r>
      <w:r w:rsidR="00E5119C" w:rsidRPr="00E5119C">
        <w:t> </w:t>
      </w:r>
      <w:r w:rsidRPr="00E5119C">
        <w:t xml:space="preserve">42(1)(b) of the </w:t>
      </w:r>
      <w:r w:rsidRPr="00E5119C">
        <w:rPr>
          <w:i/>
        </w:rPr>
        <w:t>Legislation Act 2003</w:t>
      </w:r>
      <w:r w:rsidRPr="00E5119C">
        <w:t>.</w:t>
      </w:r>
    </w:p>
    <w:p w:rsidR="008668DC" w:rsidRPr="00E5119C" w:rsidRDefault="00D45D99" w:rsidP="00E5119C">
      <w:pPr>
        <w:pStyle w:val="ActHead5"/>
      </w:pPr>
      <w:bookmarkStart w:id="21" w:name="_Toc493598780"/>
      <w:r w:rsidRPr="00E5119C">
        <w:rPr>
          <w:rStyle w:val="CharSectno"/>
        </w:rPr>
        <w:t>14</w:t>
      </w:r>
      <w:r w:rsidR="008668DC" w:rsidRPr="00E5119C">
        <w:t xml:space="preserve">  </w:t>
      </w:r>
      <w:r w:rsidR="00D630D1" w:rsidRPr="00E5119C">
        <w:t>Rebates</w:t>
      </w:r>
      <w:bookmarkEnd w:id="21"/>
    </w:p>
    <w:p w:rsidR="008668DC" w:rsidRPr="00E5119C" w:rsidRDefault="00C210D9" w:rsidP="00E5119C">
      <w:pPr>
        <w:pStyle w:val="subsection"/>
      </w:pPr>
      <w:r w:rsidRPr="00E5119C">
        <w:tab/>
      </w:r>
      <w:r w:rsidR="008668DC" w:rsidRPr="00E5119C">
        <w:tab/>
        <w:t xml:space="preserve">The Minister may, by legislative instrument, make rules </w:t>
      </w:r>
      <w:r w:rsidR="008668DC" w:rsidRPr="00E5119C">
        <w:rPr>
          <w:bCs/>
        </w:rPr>
        <w:t xml:space="preserve">that </w:t>
      </w:r>
      <w:r w:rsidR="00D630D1" w:rsidRPr="00E5119C">
        <w:rPr>
          <w:bCs/>
        </w:rPr>
        <w:t>make provision</w:t>
      </w:r>
      <w:r w:rsidR="008668DC" w:rsidRPr="00E5119C">
        <w:rPr>
          <w:bCs/>
        </w:rPr>
        <w:t xml:space="preserve"> </w:t>
      </w:r>
      <w:r w:rsidRPr="00E5119C">
        <w:rPr>
          <w:bCs/>
        </w:rPr>
        <w:t xml:space="preserve">for </w:t>
      </w:r>
      <w:r w:rsidR="008668DC" w:rsidRPr="00E5119C">
        <w:rPr>
          <w:bCs/>
        </w:rPr>
        <w:t>rebates of the whole or</w:t>
      </w:r>
      <w:r w:rsidR="00D630D1" w:rsidRPr="00E5119C">
        <w:rPr>
          <w:bCs/>
        </w:rPr>
        <w:t xml:space="preserve"> a part of an amount of tax payable</w:t>
      </w:r>
      <w:r w:rsidR="008668DC" w:rsidRPr="00E5119C">
        <w:rPr>
          <w:bCs/>
        </w:rPr>
        <w:t xml:space="preserve"> by a person</w:t>
      </w:r>
      <w:r w:rsidR="008668DC" w:rsidRPr="00E5119C">
        <w:t>.</w:t>
      </w:r>
    </w:p>
    <w:p w:rsidR="00312DD1" w:rsidRPr="00E5119C" w:rsidRDefault="00D45D99" w:rsidP="00E5119C">
      <w:pPr>
        <w:pStyle w:val="ActHead5"/>
      </w:pPr>
      <w:bookmarkStart w:id="22" w:name="_Toc493598781"/>
      <w:r w:rsidRPr="00E5119C">
        <w:rPr>
          <w:rStyle w:val="CharSectno"/>
        </w:rPr>
        <w:t>15</w:t>
      </w:r>
      <w:r w:rsidR="00312DD1" w:rsidRPr="00E5119C">
        <w:t xml:space="preserve">  Act does not impose a tax on property of a State</w:t>
      </w:r>
      <w:bookmarkEnd w:id="22"/>
    </w:p>
    <w:p w:rsidR="00312DD1" w:rsidRPr="00E5119C" w:rsidRDefault="00603AD9" w:rsidP="00E5119C">
      <w:pPr>
        <w:pStyle w:val="subsection"/>
      </w:pPr>
      <w:r w:rsidRPr="00E5119C">
        <w:tab/>
        <w:t>(1)</w:t>
      </w:r>
      <w:r w:rsidRPr="00E5119C">
        <w:tab/>
        <w:t>This Act has no effect to the extent (if any) to which it imposes a tax on property of any kind belonging to a State.</w:t>
      </w:r>
    </w:p>
    <w:p w:rsidR="00603AD9" w:rsidRPr="00E5119C" w:rsidRDefault="00603AD9" w:rsidP="00E5119C">
      <w:pPr>
        <w:pStyle w:val="subsection"/>
      </w:pPr>
      <w:r w:rsidRPr="00E5119C">
        <w:tab/>
        <w:t>(2)</w:t>
      </w:r>
      <w:r w:rsidRPr="00E5119C">
        <w:tab/>
        <w:t xml:space="preserve">In this section, </w:t>
      </w:r>
      <w:r w:rsidRPr="00E5119C">
        <w:rPr>
          <w:b/>
          <w:i/>
        </w:rPr>
        <w:t>property of any kind belonging to a State</w:t>
      </w:r>
      <w:r w:rsidRPr="00E5119C">
        <w:t xml:space="preserve"> has the same meaning as in section</w:t>
      </w:r>
      <w:r w:rsidR="00E5119C" w:rsidRPr="00E5119C">
        <w:t> </w:t>
      </w:r>
      <w:r w:rsidRPr="00E5119C">
        <w:t>114 of the Constitution.</w:t>
      </w:r>
    </w:p>
    <w:p w:rsidR="004F2579" w:rsidRPr="00E5119C" w:rsidRDefault="00D45D99" w:rsidP="00E5119C">
      <w:pPr>
        <w:pStyle w:val="ActHead5"/>
      </w:pPr>
      <w:bookmarkStart w:id="23" w:name="_Toc493598782"/>
      <w:r w:rsidRPr="00E5119C">
        <w:rPr>
          <w:rStyle w:val="CharSectno"/>
        </w:rPr>
        <w:t>16</w:t>
      </w:r>
      <w:r w:rsidR="004F2579" w:rsidRPr="00E5119C">
        <w:t xml:space="preserve">  Transitional—power to make legislative instruments</w:t>
      </w:r>
      <w:bookmarkEnd w:id="23"/>
    </w:p>
    <w:p w:rsidR="006E2A61" w:rsidRDefault="004F2579" w:rsidP="00E5119C">
      <w:pPr>
        <w:pStyle w:val="subsection"/>
      </w:pPr>
      <w:r w:rsidRPr="00E5119C">
        <w:tab/>
      </w:r>
      <w:r w:rsidRPr="00E5119C">
        <w:tab/>
        <w:t>The Minister must not make a legislative instrument under this Act before the day after this Act receives the Royal Assent.</w:t>
      </w:r>
    </w:p>
    <w:p w:rsidR="00B55212" w:rsidRDefault="00B55212" w:rsidP="00B55212"/>
    <w:p w:rsidR="00B55212" w:rsidRDefault="00B55212" w:rsidP="00B55212">
      <w:pPr>
        <w:pStyle w:val="AssentBk"/>
        <w:keepNext/>
      </w:pPr>
    </w:p>
    <w:p w:rsidR="00B55212" w:rsidRDefault="00B55212" w:rsidP="00B55212">
      <w:pPr>
        <w:pStyle w:val="AssentBk"/>
        <w:keepNext/>
      </w:pPr>
    </w:p>
    <w:p w:rsidR="00B55212" w:rsidRDefault="00B55212" w:rsidP="00B55212">
      <w:pPr>
        <w:pStyle w:val="2ndRd"/>
        <w:keepNext/>
        <w:pBdr>
          <w:top w:val="single" w:sz="2" w:space="1" w:color="auto"/>
        </w:pBdr>
      </w:pPr>
    </w:p>
    <w:p w:rsidR="00B55212" w:rsidRDefault="00B55212" w:rsidP="00B55212">
      <w:pPr>
        <w:pStyle w:val="2ndRd"/>
        <w:keepNext/>
        <w:spacing w:line="260" w:lineRule="atLeast"/>
        <w:rPr>
          <w:i/>
        </w:rPr>
      </w:pPr>
      <w:r>
        <w:t>[</w:t>
      </w:r>
      <w:r>
        <w:rPr>
          <w:i/>
        </w:rPr>
        <w:t>Minister’s second reading speech made in—</w:t>
      </w:r>
    </w:p>
    <w:p w:rsidR="00B55212" w:rsidRDefault="00B55212" w:rsidP="00B55212">
      <w:pPr>
        <w:pStyle w:val="2ndRd"/>
        <w:keepNext/>
        <w:spacing w:line="260" w:lineRule="atLeast"/>
        <w:rPr>
          <w:i/>
        </w:rPr>
      </w:pPr>
      <w:r>
        <w:rPr>
          <w:i/>
        </w:rPr>
        <w:t>House of Representatives on 15 June 2017</w:t>
      </w:r>
    </w:p>
    <w:p w:rsidR="00B55212" w:rsidRDefault="00B55212" w:rsidP="00B55212">
      <w:pPr>
        <w:pStyle w:val="2ndRd"/>
        <w:keepNext/>
        <w:spacing w:line="260" w:lineRule="atLeast"/>
        <w:rPr>
          <w:i/>
        </w:rPr>
      </w:pPr>
      <w:r>
        <w:rPr>
          <w:i/>
        </w:rPr>
        <w:t>Senate on 22 June 2017</w:t>
      </w:r>
      <w:r>
        <w:t>]</w:t>
      </w:r>
    </w:p>
    <w:p w:rsidR="00B55212" w:rsidRDefault="00B55212" w:rsidP="00B55212">
      <w:pPr>
        <w:framePr w:hSpace="180" w:wrap="around" w:vAnchor="text" w:hAnchor="page" w:x="2356" w:y="1568"/>
      </w:pPr>
      <w:r>
        <w:t>(125/17)</w:t>
      </w:r>
    </w:p>
    <w:p w:rsidR="00B55212" w:rsidRDefault="00B55212" w:rsidP="00B55212"/>
    <w:p w:rsidR="00B55212" w:rsidRDefault="00B55212" w:rsidP="00B55212">
      <w:pPr>
        <w:sectPr w:rsidR="00B55212" w:rsidSect="00D06C0A">
          <w:headerReference w:type="even" r:id="rId24"/>
          <w:headerReference w:type="default" r:id="rId25"/>
          <w:footerReference w:type="even" r:id="rId26"/>
          <w:footerReference w:type="default" r:id="rId27"/>
          <w:headerReference w:type="first" r:id="rId28"/>
          <w:footerReference w:type="first" r:id="rId29"/>
          <w:pgSz w:w="11907" w:h="16839"/>
          <w:pgMar w:top="2381" w:right="2409" w:bottom="4252" w:left="2409" w:header="720" w:footer="3402" w:gutter="0"/>
          <w:pgNumType w:start="1"/>
          <w:cols w:space="708"/>
          <w:titlePg/>
          <w:docGrid w:linePitch="360"/>
        </w:sectPr>
      </w:pPr>
    </w:p>
    <w:p w:rsidR="00B55212" w:rsidRDefault="00B55212" w:rsidP="00B55212"/>
    <w:sectPr w:rsidR="00B55212" w:rsidSect="00B55212">
      <w:headerReference w:type="even" r:id="rId30"/>
      <w:headerReference w:type="default" r:id="rId31"/>
      <w:footerReference w:type="even" r:id="rId32"/>
      <w:footerReference w:type="default" r:id="rId33"/>
      <w:headerReference w:type="first" r:id="rId34"/>
      <w:footerReference w:type="first" r:id="rId35"/>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2F" w:rsidRDefault="0048012F" w:rsidP="00715914">
      <w:pPr>
        <w:spacing w:line="240" w:lineRule="auto"/>
      </w:pPr>
      <w:r>
        <w:separator/>
      </w:r>
    </w:p>
  </w:endnote>
  <w:endnote w:type="continuationSeparator" w:id="0">
    <w:p w:rsidR="0048012F" w:rsidRDefault="0048012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5F1388" w:rsidRDefault="001B1E9C" w:rsidP="00E5119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0A" w:rsidRDefault="00D06C0A"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06C0A" w:rsidTr="00E5119C">
      <w:tc>
        <w:tcPr>
          <w:tcW w:w="1247" w:type="dxa"/>
        </w:tcPr>
        <w:p w:rsidR="00D06C0A" w:rsidRDefault="00612EC7" w:rsidP="00C42F02">
          <w:pPr>
            <w:rPr>
              <w:sz w:val="18"/>
            </w:rPr>
          </w:pPr>
          <w:r>
            <w:rPr>
              <w:i/>
              <w:sz w:val="18"/>
            </w:rPr>
            <w:t>No.      , 2017</w:t>
          </w:r>
        </w:p>
      </w:tc>
      <w:tc>
        <w:tcPr>
          <w:tcW w:w="5387" w:type="dxa"/>
        </w:tcPr>
        <w:p w:rsidR="00D06C0A" w:rsidRDefault="00612EC7" w:rsidP="00C42F02">
          <w:pPr>
            <w:jc w:val="center"/>
            <w:rPr>
              <w:sz w:val="18"/>
            </w:rPr>
          </w:pPr>
          <w:r>
            <w:rPr>
              <w:i/>
              <w:sz w:val="18"/>
            </w:rPr>
            <w:t>Commercial Broadcasting (Tax) Act 2017</w:t>
          </w:r>
        </w:p>
      </w:tc>
      <w:tc>
        <w:tcPr>
          <w:tcW w:w="669" w:type="dxa"/>
        </w:tcPr>
        <w:p w:rsidR="00D06C0A" w:rsidRDefault="00D06C0A" w:rsidP="00C42F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5E8F">
            <w:rPr>
              <w:i/>
              <w:noProof/>
              <w:sz w:val="18"/>
            </w:rPr>
            <w:t>13</w:t>
          </w:r>
          <w:r w:rsidRPr="007A1328">
            <w:rPr>
              <w:i/>
              <w:sz w:val="18"/>
            </w:rPr>
            <w:fldChar w:fldCharType="end"/>
          </w:r>
        </w:p>
      </w:tc>
    </w:tr>
  </w:tbl>
  <w:p w:rsidR="00D06C0A" w:rsidRPr="007A1328" w:rsidRDefault="00D06C0A" w:rsidP="001B1E9C">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0A" w:rsidRDefault="00D06C0A"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06C0A" w:rsidTr="00E5119C">
      <w:tc>
        <w:tcPr>
          <w:tcW w:w="1247" w:type="dxa"/>
        </w:tcPr>
        <w:p w:rsidR="00D06C0A" w:rsidRDefault="00D06C0A" w:rsidP="00C42F0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66E38">
            <w:rPr>
              <w:i/>
              <w:sz w:val="18"/>
            </w:rPr>
            <w:t>No. 110, 2017</w:t>
          </w:r>
          <w:r w:rsidRPr="007A1328">
            <w:rPr>
              <w:i/>
              <w:sz w:val="18"/>
            </w:rPr>
            <w:fldChar w:fldCharType="end"/>
          </w:r>
        </w:p>
      </w:tc>
      <w:tc>
        <w:tcPr>
          <w:tcW w:w="5387" w:type="dxa"/>
        </w:tcPr>
        <w:p w:rsidR="00D06C0A" w:rsidRDefault="00D06C0A" w:rsidP="00C42F0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66E38">
            <w:rPr>
              <w:i/>
              <w:sz w:val="18"/>
            </w:rPr>
            <w:t>Commercial Broadcasting (Tax) Act 2017</w:t>
          </w:r>
          <w:r w:rsidRPr="007A1328">
            <w:rPr>
              <w:i/>
              <w:sz w:val="18"/>
            </w:rPr>
            <w:fldChar w:fldCharType="end"/>
          </w:r>
        </w:p>
      </w:tc>
      <w:tc>
        <w:tcPr>
          <w:tcW w:w="669" w:type="dxa"/>
        </w:tcPr>
        <w:p w:rsidR="00D06C0A" w:rsidRDefault="00D06C0A" w:rsidP="00C42F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5E8F">
            <w:rPr>
              <w:i/>
              <w:noProof/>
              <w:sz w:val="18"/>
            </w:rPr>
            <w:t>13</w:t>
          </w:r>
          <w:r w:rsidRPr="007A1328">
            <w:rPr>
              <w:i/>
              <w:sz w:val="18"/>
            </w:rPr>
            <w:fldChar w:fldCharType="end"/>
          </w:r>
        </w:p>
      </w:tc>
    </w:tr>
  </w:tbl>
  <w:p w:rsidR="00D06C0A" w:rsidRPr="007A1328" w:rsidRDefault="00D06C0A" w:rsidP="001B1E9C">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12" w:rsidRDefault="00B55212" w:rsidP="007517B8">
    <w:pPr>
      <w:pStyle w:val="ScalePlusRef"/>
    </w:pPr>
    <w:r>
      <w:t>Note: An electronic version of this Act is available on the Federal Register of Legislation (</w:t>
    </w:r>
    <w:hyperlink r:id="rId1" w:history="1">
      <w:r>
        <w:t>https://www.legislation.gov.au/</w:t>
      </w:r>
    </w:hyperlink>
    <w:r>
      <w:t>)</w:t>
    </w:r>
  </w:p>
  <w:p w:rsidR="00B55212" w:rsidRDefault="00B55212" w:rsidP="007517B8"/>
  <w:p w:rsidR="00B55212" w:rsidRDefault="00B55212" w:rsidP="007517B8"/>
  <w:p w:rsidR="001B1E9C" w:rsidRDefault="001B1E9C" w:rsidP="00E5119C">
    <w:pPr>
      <w:pStyle w:val="Footer"/>
      <w:spacing w:before="120"/>
    </w:pPr>
  </w:p>
  <w:p w:rsidR="001B1E9C" w:rsidRPr="005F1388" w:rsidRDefault="001B1E9C" w:rsidP="001B1E9C">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ED79B6" w:rsidRDefault="001B1E9C" w:rsidP="00E5119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Default="001B1E9C"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B1E9C" w:rsidTr="00C42F02">
      <w:tc>
        <w:tcPr>
          <w:tcW w:w="646" w:type="dxa"/>
        </w:tcPr>
        <w:p w:rsidR="001B1E9C" w:rsidRDefault="001B1E9C" w:rsidP="00C42F0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5E8F">
            <w:rPr>
              <w:i/>
              <w:noProof/>
              <w:sz w:val="18"/>
            </w:rPr>
            <w:t>xiii</w:t>
          </w:r>
          <w:r w:rsidRPr="00ED79B6">
            <w:rPr>
              <w:i/>
              <w:sz w:val="18"/>
            </w:rPr>
            <w:fldChar w:fldCharType="end"/>
          </w:r>
        </w:p>
      </w:tc>
      <w:tc>
        <w:tcPr>
          <w:tcW w:w="5387" w:type="dxa"/>
        </w:tcPr>
        <w:p w:rsidR="001B1E9C" w:rsidRDefault="00612EC7" w:rsidP="00C42F02">
          <w:pPr>
            <w:jc w:val="center"/>
            <w:rPr>
              <w:sz w:val="18"/>
            </w:rPr>
          </w:pPr>
          <w:r>
            <w:rPr>
              <w:i/>
              <w:sz w:val="18"/>
            </w:rPr>
            <w:t>Commercial Broadcasting (Tax) Act 2017</w:t>
          </w:r>
        </w:p>
      </w:tc>
      <w:tc>
        <w:tcPr>
          <w:tcW w:w="1270" w:type="dxa"/>
        </w:tcPr>
        <w:p w:rsidR="001B1E9C" w:rsidRDefault="00612EC7" w:rsidP="00C42F02">
          <w:pPr>
            <w:jc w:val="right"/>
            <w:rPr>
              <w:sz w:val="18"/>
            </w:rPr>
          </w:pPr>
          <w:r>
            <w:rPr>
              <w:i/>
              <w:sz w:val="18"/>
            </w:rPr>
            <w:t>No.      , 2017</w:t>
          </w:r>
        </w:p>
      </w:tc>
    </w:tr>
  </w:tbl>
  <w:p w:rsidR="001B1E9C" w:rsidRPr="00ED79B6" w:rsidRDefault="001B1E9C" w:rsidP="001B1E9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ED79B6" w:rsidRDefault="001B1E9C"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B1E9C" w:rsidTr="00C42F02">
      <w:tc>
        <w:tcPr>
          <w:tcW w:w="1247" w:type="dxa"/>
        </w:tcPr>
        <w:p w:rsidR="001B1E9C" w:rsidRDefault="00612EC7" w:rsidP="00A736C6">
          <w:pPr>
            <w:rPr>
              <w:i/>
              <w:sz w:val="18"/>
            </w:rPr>
          </w:pPr>
          <w:r>
            <w:rPr>
              <w:i/>
              <w:sz w:val="18"/>
            </w:rPr>
            <w:t>No.</w:t>
          </w:r>
          <w:r w:rsidR="00A736C6">
            <w:rPr>
              <w:i/>
              <w:sz w:val="18"/>
            </w:rPr>
            <w:t xml:space="preserve"> 110</w:t>
          </w:r>
          <w:r>
            <w:rPr>
              <w:i/>
              <w:sz w:val="18"/>
            </w:rPr>
            <w:t>, 2017</w:t>
          </w:r>
        </w:p>
      </w:tc>
      <w:tc>
        <w:tcPr>
          <w:tcW w:w="5387" w:type="dxa"/>
        </w:tcPr>
        <w:p w:rsidR="001B1E9C" w:rsidRDefault="00612EC7" w:rsidP="00C42F02">
          <w:pPr>
            <w:jc w:val="center"/>
            <w:rPr>
              <w:i/>
              <w:sz w:val="18"/>
            </w:rPr>
          </w:pPr>
          <w:r>
            <w:rPr>
              <w:i/>
              <w:sz w:val="18"/>
            </w:rPr>
            <w:t>Commercial Broadcasting (Tax) Act 2017</w:t>
          </w:r>
        </w:p>
      </w:tc>
      <w:tc>
        <w:tcPr>
          <w:tcW w:w="669" w:type="dxa"/>
        </w:tcPr>
        <w:p w:rsidR="001B1E9C" w:rsidRDefault="001B1E9C" w:rsidP="00C42F0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66E38">
            <w:rPr>
              <w:i/>
              <w:noProof/>
              <w:sz w:val="18"/>
            </w:rPr>
            <w:t>i</w:t>
          </w:r>
          <w:r w:rsidRPr="00ED79B6">
            <w:rPr>
              <w:i/>
              <w:sz w:val="18"/>
            </w:rPr>
            <w:fldChar w:fldCharType="end"/>
          </w:r>
        </w:p>
      </w:tc>
    </w:tr>
  </w:tbl>
  <w:p w:rsidR="001B1E9C" w:rsidRPr="00ED79B6" w:rsidRDefault="001B1E9C" w:rsidP="001B1E9C">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Default="001B1E9C"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B1E9C" w:rsidTr="00E5119C">
      <w:tc>
        <w:tcPr>
          <w:tcW w:w="646" w:type="dxa"/>
        </w:tcPr>
        <w:p w:rsidR="001B1E9C" w:rsidRDefault="001B1E9C" w:rsidP="00C42F0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66E38">
            <w:rPr>
              <w:i/>
              <w:noProof/>
              <w:sz w:val="18"/>
            </w:rPr>
            <w:t>12</w:t>
          </w:r>
          <w:r w:rsidRPr="007A1328">
            <w:rPr>
              <w:i/>
              <w:sz w:val="18"/>
            </w:rPr>
            <w:fldChar w:fldCharType="end"/>
          </w:r>
        </w:p>
      </w:tc>
      <w:tc>
        <w:tcPr>
          <w:tcW w:w="5387" w:type="dxa"/>
        </w:tcPr>
        <w:p w:rsidR="001B1E9C" w:rsidRDefault="00612EC7" w:rsidP="00C42F02">
          <w:pPr>
            <w:jc w:val="center"/>
            <w:rPr>
              <w:sz w:val="18"/>
            </w:rPr>
          </w:pPr>
          <w:r>
            <w:rPr>
              <w:i/>
              <w:sz w:val="18"/>
            </w:rPr>
            <w:t>Commercial Broadcasting (Tax) Act 2017</w:t>
          </w:r>
        </w:p>
      </w:tc>
      <w:tc>
        <w:tcPr>
          <w:tcW w:w="1270" w:type="dxa"/>
        </w:tcPr>
        <w:p w:rsidR="001B1E9C" w:rsidRDefault="00A736C6" w:rsidP="00C42F02">
          <w:pPr>
            <w:jc w:val="right"/>
            <w:rPr>
              <w:sz w:val="18"/>
            </w:rPr>
          </w:pPr>
          <w:r>
            <w:rPr>
              <w:i/>
              <w:sz w:val="18"/>
            </w:rPr>
            <w:t>No. 110, 2017</w:t>
          </w:r>
        </w:p>
      </w:tc>
    </w:tr>
  </w:tbl>
  <w:p w:rsidR="001B1E9C" w:rsidRPr="007A1328" w:rsidRDefault="001B1E9C" w:rsidP="001B1E9C">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Default="001B1E9C"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B1E9C" w:rsidTr="00E5119C">
      <w:tc>
        <w:tcPr>
          <w:tcW w:w="1247" w:type="dxa"/>
        </w:tcPr>
        <w:p w:rsidR="001B1E9C" w:rsidRDefault="00A736C6" w:rsidP="00C42F02">
          <w:pPr>
            <w:rPr>
              <w:sz w:val="18"/>
            </w:rPr>
          </w:pPr>
          <w:r>
            <w:rPr>
              <w:i/>
              <w:sz w:val="18"/>
            </w:rPr>
            <w:t>No. 110, 2017</w:t>
          </w:r>
        </w:p>
      </w:tc>
      <w:tc>
        <w:tcPr>
          <w:tcW w:w="5387" w:type="dxa"/>
        </w:tcPr>
        <w:p w:rsidR="001B1E9C" w:rsidRDefault="00612EC7" w:rsidP="00C42F02">
          <w:pPr>
            <w:jc w:val="center"/>
            <w:rPr>
              <w:sz w:val="18"/>
            </w:rPr>
          </w:pPr>
          <w:r>
            <w:rPr>
              <w:i/>
              <w:sz w:val="18"/>
            </w:rPr>
            <w:t>Commercial Broadcasting (Tax) Act 2017</w:t>
          </w:r>
        </w:p>
      </w:tc>
      <w:tc>
        <w:tcPr>
          <w:tcW w:w="669" w:type="dxa"/>
        </w:tcPr>
        <w:p w:rsidR="001B1E9C" w:rsidRDefault="001B1E9C" w:rsidP="00C42F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66E38">
            <w:rPr>
              <w:i/>
              <w:noProof/>
              <w:sz w:val="18"/>
            </w:rPr>
            <w:t>13</w:t>
          </w:r>
          <w:r w:rsidRPr="007A1328">
            <w:rPr>
              <w:i/>
              <w:sz w:val="18"/>
            </w:rPr>
            <w:fldChar w:fldCharType="end"/>
          </w:r>
        </w:p>
      </w:tc>
    </w:tr>
  </w:tbl>
  <w:p w:rsidR="001B1E9C" w:rsidRPr="007A1328" w:rsidRDefault="001B1E9C" w:rsidP="001B1E9C">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Default="001B1E9C"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B1E9C" w:rsidTr="00E5119C">
      <w:tc>
        <w:tcPr>
          <w:tcW w:w="1247" w:type="dxa"/>
        </w:tcPr>
        <w:p w:rsidR="001B1E9C" w:rsidRDefault="00A736C6" w:rsidP="00C42F02">
          <w:pPr>
            <w:rPr>
              <w:sz w:val="18"/>
            </w:rPr>
          </w:pPr>
          <w:r>
            <w:rPr>
              <w:i/>
              <w:sz w:val="18"/>
            </w:rPr>
            <w:t>No. 110, 2017</w:t>
          </w:r>
        </w:p>
      </w:tc>
      <w:tc>
        <w:tcPr>
          <w:tcW w:w="5387" w:type="dxa"/>
        </w:tcPr>
        <w:p w:rsidR="001B1E9C" w:rsidRDefault="00612EC7" w:rsidP="00C42F02">
          <w:pPr>
            <w:jc w:val="center"/>
            <w:rPr>
              <w:sz w:val="18"/>
            </w:rPr>
          </w:pPr>
          <w:r>
            <w:rPr>
              <w:i/>
              <w:sz w:val="18"/>
            </w:rPr>
            <w:t>Commercial Broadcasting (Tax) Act 2017</w:t>
          </w:r>
        </w:p>
      </w:tc>
      <w:tc>
        <w:tcPr>
          <w:tcW w:w="669" w:type="dxa"/>
        </w:tcPr>
        <w:p w:rsidR="001B1E9C" w:rsidRDefault="001B1E9C" w:rsidP="00C42F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66E38">
            <w:rPr>
              <w:i/>
              <w:noProof/>
              <w:sz w:val="18"/>
            </w:rPr>
            <w:t>1</w:t>
          </w:r>
          <w:r w:rsidRPr="007A1328">
            <w:rPr>
              <w:i/>
              <w:sz w:val="18"/>
            </w:rPr>
            <w:fldChar w:fldCharType="end"/>
          </w:r>
        </w:p>
      </w:tc>
    </w:tr>
  </w:tbl>
  <w:p w:rsidR="001B1E9C" w:rsidRPr="007A1328" w:rsidRDefault="001B1E9C" w:rsidP="001B1E9C">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0A" w:rsidRDefault="00D06C0A" w:rsidP="00E511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06C0A" w:rsidTr="00E5119C">
      <w:tc>
        <w:tcPr>
          <w:tcW w:w="646" w:type="dxa"/>
        </w:tcPr>
        <w:p w:rsidR="00D06C0A" w:rsidRDefault="00D06C0A" w:rsidP="00C42F0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5E8F">
            <w:rPr>
              <w:i/>
              <w:noProof/>
              <w:sz w:val="18"/>
            </w:rPr>
            <w:t>13</w:t>
          </w:r>
          <w:r w:rsidRPr="007A1328">
            <w:rPr>
              <w:i/>
              <w:sz w:val="18"/>
            </w:rPr>
            <w:fldChar w:fldCharType="end"/>
          </w:r>
        </w:p>
      </w:tc>
      <w:tc>
        <w:tcPr>
          <w:tcW w:w="5387" w:type="dxa"/>
        </w:tcPr>
        <w:p w:rsidR="00D06C0A" w:rsidRDefault="00612EC7" w:rsidP="00C42F02">
          <w:pPr>
            <w:jc w:val="center"/>
            <w:rPr>
              <w:sz w:val="18"/>
            </w:rPr>
          </w:pPr>
          <w:r>
            <w:rPr>
              <w:i/>
              <w:sz w:val="18"/>
            </w:rPr>
            <w:t>Commercial Broadcasting (Tax) Act 2017</w:t>
          </w:r>
        </w:p>
      </w:tc>
      <w:tc>
        <w:tcPr>
          <w:tcW w:w="1270" w:type="dxa"/>
        </w:tcPr>
        <w:p w:rsidR="00D06C0A" w:rsidRDefault="00612EC7" w:rsidP="00C42F02">
          <w:pPr>
            <w:jc w:val="right"/>
            <w:rPr>
              <w:sz w:val="18"/>
            </w:rPr>
          </w:pPr>
          <w:r>
            <w:rPr>
              <w:i/>
              <w:sz w:val="18"/>
            </w:rPr>
            <w:t>No.      , 2017</w:t>
          </w:r>
        </w:p>
      </w:tc>
    </w:tr>
  </w:tbl>
  <w:p w:rsidR="00D06C0A" w:rsidRPr="007A1328" w:rsidRDefault="00D06C0A" w:rsidP="001B1E9C">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2F" w:rsidRDefault="0048012F" w:rsidP="00715914">
      <w:pPr>
        <w:spacing w:line="240" w:lineRule="auto"/>
      </w:pPr>
      <w:r>
        <w:separator/>
      </w:r>
    </w:p>
  </w:footnote>
  <w:footnote w:type="continuationSeparator" w:id="0">
    <w:p w:rsidR="0048012F" w:rsidRDefault="0048012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5F1388" w:rsidRDefault="001B1E9C" w:rsidP="001B1E9C">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0A" w:rsidRDefault="00D06C0A" w:rsidP="001B1E9C">
    <w:pPr>
      <w:rPr>
        <w:sz w:val="20"/>
      </w:rPr>
    </w:pPr>
  </w:p>
  <w:p w:rsidR="00D06C0A" w:rsidRDefault="00D06C0A" w:rsidP="001B1E9C">
    <w:pPr>
      <w:rPr>
        <w:sz w:val="20"/>
      </w:rPr>
    </w:pPr>
  </w:p>
  <w:p w:rsidR="00D06C0A" w:rsidRPr="007A1328" w:rsidRDefault="00D06C0A" w:rsidP="001B1E9C">
    <w:pPr>
      <w:rPr>
        <w:sz w:val="20"/>
      </w:rPr>
    </w:pPr>
  </w:p>
  <w:p w:rsidR="00D06C0A" w:rsidRPr="007A1328" w:rsidRDefault="00D06C0A" w:rsidP="001B1E9C">
    <w:pPr>
      <w:rPr>
        <w:b/>
        <w:sz w:val="24"/>
      </w:rPr>
    </w:pPr>
  </w:p>
  <w:p w:rsidR="00D06C0A" w:rsidRPr="007A1328" w:rsidRDefault="00D06C0A" w:rsidP="001B1E9C">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0A" w:rsidRPr="007A1328" w:rsidRDefault="00D06C0A" w:rsidP="001B1E9C">
    <w:pPr>
      <w:jc w:val="right"/>
      <w:rPr>
        <w:sz w:val="20"/>
      </w:rPr>
    </w:pPr>
  </w:p>
  <w:p w:rsidR="00D06C0A" w:rsidRPr="007A1328" w:rsidRDefault="00D06C0A" w:rsidP="001B1E9C">
    <w:pPr>
      <w:jc w:val="right"/>
      <w:rPr>
        <w:sz w:val="20"/>
      </w:rPr>
    </w:pPr>
  </w:p>
  <w:p w:rsidR="00D06C0A" w:rsidRPr="007A1328" w:rsidRDefault="00D06C0A" w:rsidP="001B1E9C">
    <w:pPr>
      <w:jc w:val="right"/>
      <w:rPr>
        <w:sz w:val="20"/>
      </w:rPr>
    </w:pPr>
  </w:p>
  <w:p w:rsidR="00D06C0A" w:rsidRPr="007A1328" w:rsidRDefault="00D06C0A" w:rsidP="001B1E9C">
    <w:pPr>
      <w:jc w:val="right"/>
      <w:rPr>
        <w:b/>
        <w:sz w:val="24"/>
      </w:rPr>
    </w:pPr>
  </w:p>
  <w:p w:rsidR="00D06C0A" w:rsidRPr="007A1328" w:rsidRDefault="00D06C0A" w:rsidP="001B1E9C">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0A" w:rsidRPr="007A1328" w:rsidRDefault="00D06C0A" w:rsidP="001B1E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5F1388" w:rsidRDefault="001B1E9C" w:rsidP="001B1E9C">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5F1388" w:rsidRDefault="001B1E9C" w:rsidP="001B1E9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ED79B6" w:rsidRDefault="001B1E9C" w:rsidP="001B1E9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ED79B6" w:rsidRDefault="001B1E9C" w:rsidP="001B1E9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ED79B6" w:rsidRDefault="001B1E9C" w:rsidP="001B1E9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Default="001B1E9C" w:rsidP="001B1E9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1B1E9C" w:rsidRDefault="001B1E9C" w:rsidP="001B1E9C">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1B1E9C" w:rsidRPr="007A1328" w:rsidRDefault="001B1E9C" w:rsidP="001B1E9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1B1E9C" w:rsidRPr="007A1328" w:rsidRDefault="001B1E9C" w:rsidP="001B1E9C">
    <w:pPr>
      <w:rPr>
        <w:b/>
        <w:sz w:val="24"/>
      </w:rPr>
    </w:pPr>
  </w:p>
  <w:p w:rsidR="001B1E9C" w:rsidRPr="007A1328" w:rsidRDefault="001B1E9C" w:rsidP="001B1E9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66E38">
      <w:rPr>
        <w:noProof/>
        <w:sz w:val="24"/>
      </w:rPr>
      <w:t>13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7A1328" w:rsidRDefault="001B1E9C" w:rsidP="001B1E9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1B1E9C" w:rsidRPr="007A1328" w:rsidRDefault="001B1E9C" w:rsidP="001B1E9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1B1E9C" w:rsidRPr="007A1328" w:rsidRDefault="001B1E9C" w:rsidP="001B1E9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1B1E9C" w:rsidRPr="007A1328" w:rsidRDefault="001B1E9C" w:rsidP="001B1E9C">
    <w:pPr>
      <w:jc w:val="right"/>
      <w:rPr>
        <w:b/>
        <w:sz w:val="24"/>
      </w:rPr>
    </w:pPr>
  </w:p>
  <w:p w:rsidR="001B1E9C" w:rsidRPr="007A1328" w:rsidRDefault="001B1E9C" w:rsidP="001B1E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66E38">
      <w:rPr>
        <w:noProof/>
        <w:sz w:val="24"/>
      </w:rPr>
      <w:t>14</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9C" w:rsidRPr="007A1328" w:rsidRDefault="001B1E9C" w:rsidP="001B1E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FA4BC4"/>
    <w:lvl w:ilvl="0">
      <w:start w:val="1"/>
      <w:numFmt w:val="decimal"/>
      <w:lvlText w:val="%1."/>
      <w:lvlJc w:val="left"/>
      <w:pPr>
        <w:tabs>
          <w:tab w:val="num" w:pos="1492"/>
        </w:tabs>
        <w:ind w:left="1492" w:hanging="360"/>
      </w:pPr>
    </w:lvl>
  </w:abstractNum>
  <w:abstractNum w:abstractNumId="1">
    <w:nsid w:val="FFFFFF7D"/>
    <w:multiLevelType w:val="singleLevel"/>
    <w:tmpl w:val="8354903C"/>
    <w:lvl w:ilvl="0">
      <w:start w:val="1"/>
      <w:numFmt w:val="decimal"/>
      <w:lvlText w:val="%1."/>
      <w:lvlJc w:val="left"/>
      <w:pPr>
        <w:tabs>
          <w:tab w:val="num" w:pos="1209"/>
        </w:tabs>
        <w:ind w:left="1209" w:hanging="360"/>
      </w:pPr>
    </w:lvl>
  </w:abstractNum>
  <w:abstractNum w:abstractNumId="2">
    <w:nsid w:val="FFFFFF7E"/>
    <w:multiLevelType w:val="singleLevel"/>
    <w:tmpl w:val="E0B2B55E"/>
    <w:lvl w:ilvl="0">
      <w:start w:val="1"/>
      <w:numFmt w:val="decimal"/>
      <w:lvlText w:val="%1."/>
      <w:lvlJc w:val="left"/>
      <w:pPr>
        <w:tabs>
          <w:tab w:val="num" w:pos="926"/>
        </w:tabs>
        <w:ind w:left="926" w:hanging="360"/>
      </w:pPr>
    </w:lvl>
  </w:abstractNum>
  <w:abstractNum w:abstractNumId="3">
    <w:nsid w:val="FFFFFF7F"/>
    <w:multiLevelType w:val="singleLevel"/>
    <w:tmpl w:val="9BDCE84A"/>
    <w:lvl w:ilvl="0">
      <w:start w:val="1"/>
      <w:numFmt w:val="decimal"/>
      <w:lvlText w:val="%1."/>
      <w:lvlJc w:val="left"/>
      <w:pPr>
        <w:tabs>
          <w:tab w:val="num" w:pos="643"/>
        </w:tabs>
        <w:ind w:left="643" w:hanging="360"/>
      </w:pPr>
    </w:lvl>
  </w:abstractNum>
  <w:abstractNum w:abstractNumId="4">
    <w:nsid w:val="FFFFFF80"/>
    <w:multiLevelType w:val="singleLevel"/>
    <w:tmpl w:val="6568E5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827B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C42B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F0E6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FCF7EC"/>
    <w:lvl w:ilvl="0">
      <w:start w:val="1"/>
      <w:numFmt w:val="decimal"/>
      <w:lvlText w:val="%1."/>
      <w:lvlJc w:val="left"/>
      <w:pPr>
        <w:tabs>
          <w:tab w:val="num" w:pos="360"/>
        </w:tabs>
        <w:ind w:left="360" w:hanging="360"/>
      </w:pPr>
    </w:lvl>
  </w:abstractNum>
  <w:abstractNum w:abstractNumId="9">
    <w:nsid w:val="FFFFFF89"/>
    <w:multiLevelType w:val="singleLevel"/>
    <w:tmpl w:val="D98A2FB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795"/>
    <w:rsid w:val="00004427"/>
    <w:rsid w:val="0000706D"/>
    <w:rsid w:val="00013213"/>
    <w:rsid w:val="000136AF"/>
    <w:rsid w:val="00013738"/>
    <w:rsid w:val="00025AA6"/>
    <w:rsid w:val="00026F96"/>
    <w:rsid w:val="0003377B"/>
    <w:rsid w:val="00043C3C"/>
    <w:rsid w:val="00052671"/>
    <w:rsid w:val="00053D18"/>
    <w:rsid w:val="000614BF"/>
    <w:rsid w:val="000673CF"/>
    <w:rsid w:val="00071542"/>
    <w:rsid w:val="00087D46"/>
    <w:rsid w:val="00094758"/>
    <w:rsid w:val="0009494E"/>
    <w:rsid w:val="000A556A"/>
    <w:rsid w:val="000B4365"/>
    <w:rsid w:val="000D05EF"/>
    <w:rsid w:val="000D0EB7"/>
    <w:rsid w:val="000D47A2"/>
    <w:rsid w:val="000E2261"/>
    <w:rsid w:val="000E3F92"/>
    <w:rsid w:val="000E5400"/>
    <w:rsid w:val="000F21C1"/>
    <w:rsid w:val="001040BF"/>
    <w:rsid w:val="0010745C"/>
    <w:rsid w:val="001110E5"/>
    <w:rsid w:val="00113B70"/>
    <w:rsid w:val="00113CD7"/>
    <w:rsid w:val="00114E51"/>
    <w:rsid w:val="001206C4"/>
    <w:rsid w:val="00122FE1"/>
    <w:rsid w:val="00125F18"/>
    <w:rsid w:val="0013072E"/>
    <w:rsid w:val="00135A9C"/>
    <w:rsid w:val="001464BD"/>
    <w:rsid w:val="00151E8D"/>
    <w:rsid w:val="00153220"/>
    <w:rsid w:val="001541A3"/>
    <w:rsid w:val="00156457"/>
    <w:rsid w:val="00163F39"/>
    <w:rsid w:val="00166C2F"/>
    <w:rsid w:val="00166CCE"/>
    <w:rsid w:val="001671E9"/>
    <w:rsid w:val="00174BCB"/>
    <w:rsid w:val="001752A3"/>
    <w:rsid w:val="0017712F"/>
    <w:rsid w:val="0018677E"/>
    <w:rsid w:val="001939E1"/>
    <w:rsid w:val="00195382"/>
    <w:rsid w:val="001A45D5"/>
    <w:rsid w:val="001B1E9C"/>
    <w:rsid w:val="001B782B"/>
    <w:rsid w:val="001C30E4"/>
    <w:rsid w:val="001C46AF"/>
    <w:rsid w:val="001C69C4"/>
    <w:rsid w:val="001C6C11"/>
    <w:rsid w:val="001D11E9"/>
    <w:rsid w:val="001D37EF"/>
    <w:rsid w:val="001D65FE"/>
    <w:rsid w:val="001E3590"/>
    <w:rsid w:val="001E713D"/>
    <w:rsid w:val="001E7407"/>
    <w:rsid w:val="001E7F6E"/>
    <w:rsid w:val="001F2AB4"/>
    <w:rsid w:val="001F3218"/>
    <w:rsid w:val="001F3536"/>
    <w:rsid w:val="001F5D5E"/>
    <w:rsid w:val="001F6219"/>
    <w:rsid w:val="001F7D8C"/>
    <w:rsid w:val="002032DF"/>
    <w:rsid w:val="002065DA"/>
    <w:rsid w:val="00212DDD"/>
    <w:rsid w:val="002225C9"/>
    <w:rsid w:val="0022614C"/>
    <w:rsid w:val="0022741B"/>
    <w:rsid w:val="002315EE"/>
    <w:rsid w:val="002373D3"/>
    <w:rsid w:val="0024010F"/>
    <w:rsid w:val="00240749"/>
    <w:rsid w:val="00253994"/>
    <w:rsid w:val="00254DA7"/>
    <w:rsid w:val="00256462"/>
    <w:rsid w:val="002564A4"/>
    <w:rsid w:val="00262713"/>
    <w:rsid w:val="00264974"/>
    <w:rsid w:val="00272B69"/>
    <w:rsid w:val="00277EAE"/>
    <w:rsid w:val="002819B7"/>
    <w:rsid w:val="002819F5"/>
    <w:rsid w:val="0029705B"/>
    <w:rsid w:val="00297ECB"/>
    <w:rsid w:val="002B2939"/>
    <w:rsid w:val="002B3F12"/>
    <w:rsid w:val="002B7166"/>
    <w:rsid w:val="002C1C35"/>
    <w:rsid w:val="002C3A2C"/>
    <w:rsid w:val="002C4052"/>
    <w:rsid w:val="002D043A"/>
    <w:rsid w:val="002D1446"/>
    <w:rsid w:val="002D6224"/>
    <w:rsid w:val="002D7269"/>
    <w:rsid w:val="002E7C31"/>
    <w:rsid w:val="002F51B1"/>
    <w:rsid w:val="002F7375"/>
    <w:rsid w:val="00303076"/>
    <w:rsid w:val="00304363"/>
    <w:rsid w:val="00312DD1"/>
    <w:rsid w:val="00316BA5"/>
    <w:rsid w:val="003213F0"/>
    <w:rsid w:val="00323AAB"/>
    <w:rsid w:val="00324BDF"/>
    <w:rsid w:val="0032591D"/>
    <w:rsid w:val="003304A9"/>
    <w:rsid w:val="00334FE9"/>
    <w:rsid w:val="00335C11"/>
    <w:rsid w:val="00340F07"/>
    <w:rsid w:val="003414BA"/>
    <w:rsid w:val="003415D3"/>
    <w:rsid w:val="003419DC"/>
    <w:rsid w:val="0034382B"/>
    <w:rsid w:val="00352B0F"/>
    <w:rsid w:val="00353A9D"/>
    <w:rsid w:val="00355469"/>
    <w:rsid w:val="00356B3D"/>
    <w:rsid w:val="00360459"/>
    <w:rsid w:val="00361B4E"/>
    <w:rsid w:val="00364EFF"/>
    <w:rsid w:val="00365F42"/>
    <w:rsid w:val="0036685D"/>
    <w:rsid w:val="003668CB"/>
    <w:rsid w:val="00371A89"/>
    <w:rsid w:val="00374B0A"/>
    <w:rsid w:val="0039173E"/>
    <w:rsid w:val="00395B55"/>
    <w:rsid w:val="003A16F1"/>
    <w:rsid w:val="003A2D01"/>
    <w:rsid w:val="003D0BFE"/>
    <w:rsid w:val="003D36A8"/>
    <w:rsid w:val="003D5700"/>
    <w:rsid w:val="003E74CD"/>
    <w:rsid w:val="00402FF2"/>
    <w:rsid w:val="00403ABE"/>
    <w:rsid w:val="00406749"/>
    <w:rsid w:val="00410A84"/>
    <w:rsid w:val="004116CD"/>
    <w:rsid w:val="00411831"/>
    <w:rsid w:val="004149B2"/>
    <w:rsid w:val="00414FEC"/>
    <w:rsid w:val="00415E2D"/>
    <w:rsid w:val="00417B6B"/>
    <w:rsid w:val="00417EB9"/>
    <w:rsid w:val="00424CA9"/>
    <w:rsid w:val="00431A1F"/>
    <w:rsid w:val="004414EE"/>
    <w:rsid w:val="0044291A"/>
    <w:rsid w:val="004511D0"/>
    <w:rsid w:val="00454A54"/>
    <w:rsid w:val="00455A6E"/>
    <w:rsid w:val="00463EC0"/>
    <w:rsid w:val="00464D16"/>
    <w:rsid w:val="00477FB9"/>
    <w:rsid w:val="0048012F"/>
    <w:rsid w:val="00480168"/>
    <w:rsid w:val="00481861"/>
    <w:rsid w:val="00481A53"/>
    <w:rsid w:val="0048585C"/>
    <w:rsid w:val="00487652"/>
    <w:rsid w:val="00496F97"/>
    <w:rsid w:val="004B16DB"/>
    <w:rsid w:val="004B3800"/>
    <w:rsid w:val="004B38C1"/>
    <w:rsid w:val="004C0659"/>
    <w:rsid w:val="004C705F"/>
    <w:rsid w:val="004D50EA"/>
    <w:rsid w:val="004D5A68"/>
    <w:rsid w:val="004D6003"/>
    <w:rsid w:val="004E3C5E"/>
    <w:rsid w:val="004E7BEC"/>
    <w:rsid w:val="004F0532"/>
    <w:rsid w:val="004F2579"/>
    <w:rsid w:val="004F5E8F"/>
    <w:rsid w:val="00502103"/>
    <w:rsid w:val="00502192"/>
    <w:rsid w:val="005109C2"/>
    <w:rsid w:val="00512BD0"/>
    <w:rsid w:val="00516B8D"/>
    <w:rsid w:val="00517B68"/>
    <w:rsid w:val="00520174"/>
    <w:rsid w:val="00536AB3"/>
    <w:rsid w:val="00537FBC"/>
    <w:rsid w:val="00540267"/>
    <w:rsid w:val="00541247"/>
    <w:rsid w:val="005416A3"/>
    <w:rsid w:val="00544591"/>
    <w:rsid w:val="00544776"/>
    <w:rsid w:val="00561558"/>
    <w:rsid w:val="005716EC"/>
    <w:rsid w:val="00580B11"/>
    <w:rsid w:val="00584811"/>
    <w:rsid w:val="00585A67"/>
    <w:rsid w:val="00593AA6"/>
    <w:rsid w:val="00594161"/>
    <w:rsid w:val="00594749"/>
    <w:rsid w:val="005A0E72"/>
    <w:rsid w:val="005A31B2"/>
    <w:rsid w:val="005A6928"/>
    <w:rsid w:val="005B19EB"/>
    <w:rsid w:val="005B4067"/>
    <w:rsid w:val="005B5912"/>
    <w:rsid w:val="005C08FD"/>
    <w:rsid w:val="005C3F41"/>
    <w:rsid w:val="005C5CE5"/>
    <w:rsid w:val="005D4663"/>
    <w:rsid w:val="005D7042"/>
    <w:rsid w:val="005D74DB"/>
    <w:rsid w:val="005E34CA"/>
    <w:rsid w:val="005F0A35"/>
    <w:rsid w:val="005F10C8"/>
    <w:rsid w:val="005F3CEF"/>
    <w:rsid w:val="005F6A2C"/>
    <w:rsid w:val="00600219"/>
    <w:rsid w:val="00601309"/>
    <w:rsid w:val="00602388"/>
    <w:rsid w:val="00603AD9"/>
    <w:rsid w:val="006079C5"/>
    <w:rsid w:val="00610581"/>
    <w:rsid w:val="00612EC7"/>
    <w:rsid w:val="00616C63"/>
    <w:rsid w:val="006218B5"/>
    <w:rsid w:val="00640C2B"/>
    <w:rsid w:val="006418F5"/>
    <w:rsid w:val="00644DAC"/>
    <w:rsid w:val="00655731"/>
    <w:rsid w:val="006625CD"/>
    <w:rsid w:val="00663342"/>
    <w:rsid w:val="0066543D"/>
    <w:rsid w:val="00676489"/>
    <w:rsid w:val="00677CC2"/>
    <w:rsid w:val="006905DE"/>
    <w:rsid w:val="0069207B"/>
    <w:rsid w:val="0069210F"/>
    <w:rsid w:val="00695856"/>
    <w:rsid w:val="006973AA"/>
    <w:rsid w:val="006975DD"/>
    <w:rsid w:val="006A69C9"/>
    <w:rsid w:val="006B4ED5"/>
    <w:rsid w:val="006B64AD"/>
    <w:rsid w:val="006B6E88"/>
    <w:rsid w:val="006B6FAD"/>
    <w:rsid w:val="006C2748"/>
    <w:rsid w:val="006C7F8C"/>
    <w:rsid w:val="006E2A61"/>
    <w:rsid w:val="006E2CB2"/>
    <w:rsid w:val="006E6F9E"/>
    <w:rsid w:val="006F0260"/>
    <w:rsid w:val="006F254F"/>
    <w:rsid w:val="006F318F"/>
    <w:rsid w:val="006F52A2"/>
    <w:rsid w:val="006F6D10"/>
    <w:rsid w:val="006F7BFE"/>
    <w:rsid w:val="006F7D34"/>
    <w:rsid w:val="00700B2C"/>
    <w:rsid w:val="007025B3"/>
    <w:rsid w:val="00705923"/>
    <w:rsid w:val="00712214"/>
    <w:rsid w:val="00713084"/>
    <w:rsid w:val="00713973"/>
    <w:rsid w:val="00715914"/>
    <w:rsid w:val="007278CE"/>
    <w:rsid w:val="00731E00"/>
    <w:rsid w:val="00732A34"/>
    <w:rsid w:val="00736FE7"/>
    <w:rsid w:val="007440B7"/>
    <w:rsid w:val="007526B2"/>
    <w:rsid w:val="00764B3E"/>
    <w:rsid w:val="00766638"/>
    <w:rsid w:val="007715C9"/>
    <w:rsid w:val="00774EDD"/>
    <w:rsid w:val="007757EC"/>
    <w:rsid w:val="007924FC"/>
    <w:rsid w:val="00795A15"/>
    <w:rsid w:val="00796FBA"/>
    <w:rsid w:val="007A2377"/>
    <w:rsid w:val="007B10F9"/>
    <w:rsid w:val="007B3003"/>
    <w:rsid w:val="007B75F4"/>
    <w:rsid w:val="007C0627"/>
    <w:rsid w:val="007C33FA"/>
    <w:rsid w:val="007D20DE"/>
    <w:rsid w:val="007D5081"/>
    <w:rsid w:val="007F10FB"/>
    <w:rsid w:val="007F4CA4"/>
    <w:rsid w:val="0080499C"/>
    <w:rsid w:val="0081424C"/>
    <w:rsid w:val="008227E7"/>
    <w:rsid w:val="00823843"/>
    <w:rsid w:val="008422C3"/>
    <w:rsid w:val="00842ED9"/>
    <w:rsid w:val="00842F72"/>
    <w:rsid w:val="00843305"/>
    <w:rsid w:val="0084395C"/>
    <w:rsid w:val="00843AB1"/>
    <w:rsid w:val="00845071"/>
    <w:rsid w:val="00853223"/>
    <w:rsid w:val="0085473A"/>
    <w:rsid w:val="00856A31"/>
    <w:rsid w:val="00863843"/>
    <w:rsid w:val="008668DC"/>
    <w:rsid w:val="00866E38"/>
    <w:rsid w:val="00870A8C"/>
    <w:rsid w:val="008754D0"/>
    <w:rsid w:val="00881B8F"/>
    <w:rsid w:val="00886E43"/>
    <w:rsid w:val="0089107B"/>
    <w:rsid w:val="00892DD3"/>
    <w:rsid w:val="008952B7"/>
    <w:rsid w:val="008A5222"/>
    <w:rsid w:val="008A647F"/>
    <w:rsid w:val="008C2164"/>
    <w:rsid w:val="008C3769"/>
    <w:rsid w:val="008D0EE0"/>
    <w:rsid w:val="008D165D"/>
    <w:rsid w:val="008D2DF7"/>
    <w:rsid w:val="008D4EAD"/>
    <w:rsid w:val="008F0D57"/>
    <w:rsid w:val="008F0E63"/>
    <w:rsid w:val="008F54E7"/>
    <w:rsid w:val="00900ACC"/>
    <w:rsid w:val="0090175E"/>
    <w:rsid w:val="00902CF9"/>
    <w:rsid w:val="00903422"/>
    <w:rsid w:val="00904A28"/>
    <w:rsid w:val="00907906"/>
    <w:rsid w:val="00913EEB"/>
    <w:rsid w:val="00915A22"/>
    <w:rsid w:val="009213B7"/>
    <w:rsid w:val="009233A9"/>
    <w:rsid w:val="0092406D"/>
    <w:rsid w:val="009265BF"/>
    <w:rsid w:val="00932377"/>
    <w:rsid w:val="009334AC"/>
    <w:rsid w:val="00940885"/>
    <w:rsid w:val="00947D5A"/>
    <w:rsid w:val="009532A5"/>
    <w:rsid w:val="009609D0"/>
    <w:rsid w:val="00961825"/>
    <w:rsid w:val="00964383"/>
    <w:rsid w:val="00970A04"/>
    <w:rsid w:val="009851AC"/>
    <w:rsid w:val="009868E9"/>
    <w:rsid w:val="00990ED3"/>
    <w:rsid w:val="0099375D"/>
    <w:rsid w:val="009974AC"/>
    <w:rsid w:val="009A1713"/>
    <w:rsid w:val="009A3857"/>
    <w:rsid w:val="009B598A"/>
    <w:rsid w:val="009C1894"/>
    <w:rsid w:val="009C5F48"/>
    <w:rsid w:val="009C6470"/>
    <w:rsid w:val="009C6E23"/>
    <w:rsid w:val="009D006B"/>
    <w:rsid w:val="009F374D"/>
    <w:rsid w:val="009F416A"/>
    <w:rsid w:val="00A03DF4"/>
    <w:rsid w:val="00A05F67"/>
    <w:rsid w:val="00A154CF"/>
    <w:rsid w:val="00A15C98"/>
    <w:rsid w:val="00A22C98"/>
    <w:rsid w:val="00A231E2"/>
    <w:rsid w:val="00A23E00"/>
    <w:rsid w:val="00A23E7C"/>
    <w:rsid w:val="00A25571"/>
    <w:rsid w:val="00A2648E"/>
    <w:rsid w:val="00A323EC"/>
    <w:rsid w:val="00A64912"/>
    <w:rsid w:val="00A67DA9"/>
    <w:rsid w:val="00A67EFB"/>
    <w:rsid w:val="00A70A74"/>
    <w:rsid w:val="00A71680"/>
    <w:rsid w:val="00A71687"/>
    <w:rsid w:val="00A736C6"/>
    <w:rsid w:val="00A81377"/>
    <w:rsid w:val="00A81C46"/>
    <w:rsid w:val="00A930F1"/>
    <w:rsid w:val="00A937BF"/>
    <w:rsid w:val="00A976B6"/>
    <w:rsid w:val="00AA2490"/>
    <w:rsid w:val="00AA3937"/>
    <w:rsid w:val="00AC4BB2"/>
    <w:rsid w:val="00AC54B1"/>
    <w:rsid w:val="00AC5B30"/>
    <w:rsid w:val="00AC719E"/>
    <w:rsid w:val="00AC771B"/>
    <w:rsid w:val="00AD1699"/>
    <w:rsid w:val="00AD437D"/>
    <w:rsid w:val="00AD4603"/>
    <w:rsid w:val="00AD5011"/>
    <w:rsid w:val="00AD5641"/>
    <w:rsid w:val="00AE5CA2"/>
    <w:rsid w:val="00AE6795"/>
    <w:rsid w:val="00AF06CF"/>
    <w:rsid w:val="00AF3348"/>
    <w:rsid w:val="00AF6D77"/>
    <w:rsid w:val="00B0050C"/>
    <w:rsid w:val="00B036FB"/>
    <w:rsid w:val="00B03E63"/>
    <w:rsid w:val="00B066D2"/>
    <w:rsid w:val="00B11913"/>
    <w:rsid w:val="00B1317E"/>
    <w:rsid w:val="00B17DD3"/>
    <w:rsid w:val="00B20224"/>
    <w:rsid w:val="00B2714E"/>
    <w:rsid w:val="00B310E6"/>
    <w:rsid w:val="00B33B3C"/>
    <w:rsid w:val="00B37BAB"/>
    <w:rsid w:val="00B41904"/>
    <w:rsid w:val="00B51979"/>
    <w:rsid w:val="00B5433C"/>
    <w:rsid w:val="00B55212"/>
    <w:rsid w:val="00B63834"/>
    <w:rsid w:val="00B646E3"/>
    <w:rsid w:val="00B72C00"/>
    <w:rsid w:val="00B75722"/>
    <w:rsid w:val="00B80199"/>
    <w:rsid w:val="00B8304F"/>
    <w:rsid w:val="00B86188"/>
    <w:rsid w:val="00B93540"/>
    <w:rsid w:val="00B93F3D"/>
    <w:rsid w:val="00B9706F"/>
    <w:rsid w:val="00BA220B"/>
    <w:rsid w:val="00BA388B"/>
    <w:rsid w:val="00BA55CF"/>
    <w:rsid w:val="00BB027E"/>
    <w:rsid w:val="00BB0B58"/>
    <w:rsid w:val="00BB3BEA"/>
    <w:rsid w:val="00BB53D4"/>
    <w:rsid w:val="00BC014D"/>
    <w:rsid w:val="00BC0492"/>
    <w:rsid w:val="00BD1515"/>
    <w:rsid w:val="00BD1A8E"/>
    <w:rsid w:val="00BD3D14"/>
    <w:rsid w:val="00BD46F9"/>
    <w:rsid w:val="00BE233A"/>
    <w:rsid w:val="00BE3B53"/>
    <w:rsid w:val="00BE719A"/>
    <w:rsid w:val="00BE720A"/>
    <w:rsid w:val="00BF6BCB"/>
    <w:rsid w:val="00C04F26"/>
    <w:rsid w:val="00C122FF"/>
    <w:rsid w:val="00C13312"/>
    <w:rsid w:val="00C13AE2"/>
    <w:rsid w:val="00C14B92"/>
    <w:rsid w:val="00C2072F"/>
    <w:rsid w:val="00C210D9"/>
    <w:rsid w:val="00C228EB"/>
    <w:rsid w:val="00C25299"/>
    <w:rsid w:val="00C32464"/>
    <w:rsid w:val="00C325FA"/>
    <w:rsid w:val="00C3363D"/>
    <w:rsid w:val="00C34051"/>
    <w:rsid w:val="00C41979"/>
    <w:rsid w:val="00C42AEC"/>
    <w:rsid w:val="00C42BF8"/>
    <w:rsid w:val="00C440F3"/>
    <w:rsid w:val="00C50043"/>
    <w:rsid w:val="00C530B0"/>
    <w:rsid w:val="00C610AD"/>
    <w:rsid w:val="00C62A31"/>
    <w:rsid w:val="00C64C86"/>
    <w:rsid w:val="00C74FD3"/>
    <w:rsid w:val="00C7573B"/>
    <w:rsid w:val="00C75BC3"/>
    <w:rsid w:val="00C76A5E"/>
    <w:rsid w:val="00CA000E"/>
    <w:rsid w:val="00CA4D84"/>
    <w:rsid w:val="00CB58EC"/>
    <w:rsid w:val="00CB759A"/>
    <w:rsid w:val="00CB79C0"/>
    <w:rsid w:val="00CC03C6"/>
    <w:rsid w:val="00CC269A"/>
    <w:rsid w:val="00CC56C8"/>
    <w:rsid w:val="00CD63E6"/>
    <w:rsid w:val="00CE0F70"/>
    <w:rsid w:val="00CE3AD5"/>
    <w:rsid w:val="00CE426C"/>
    <w:rsid w:val="00CE438A"/>
    <w:rsid w:val="00CF0BB2"/>
    <w:rsid w:val="00CF3EE8"/>
    <w:rsid w:val="00D06C0A"/>
    <w:rsid w:val="00D13141"/>
    <w:rsid w:val="00D131D8"/>
    <w:rsid w:val="00D13441"/>
    <w:rsid w:val="00D20F78"/>
    <w:rsid w:val="00D256F3"/>
    <w:rsid w:val="00D26268"/>
    <w:rsid w:val="00D45C46"/>
    <w:rsid w:val="00D45D99"/>
    <w:rsid w:val="00D473B5"/>
    <w:rsid w:val="00D61C39"/>
    <w:rsid w:val="00D630D1"/>
    <w:rsid w:val="00D70DFB"/>
    <w:rsid w:val="00D72DC9"/>
    <w:rsid w:val="00D74249"/>
    <w:rsid w:val="00D766DF"/>
    <w:rsid w:val="00D8280A"/>
    <w:rsid w:val="00D9338C"/>
    <w:rsid w:val="00D95111"/>
    <w:rsid w:val="00D95B94"/>
    <w:rsid w:val="00D96645"/>
    <w:rsid w:val="00D9745F"/>
    <w:rsid w:val="00DA6185"/>
    <w:rsid w:val="00DB59B3"/>
    <w:rsid w:val="00DC4F88"/>
    <w:rsid w:val="00DD51EA"/>
    <w:rsid w:val="00DE15FE"/>
    <w:rsid w:val="00DE3C08"/>
    <w:rsid w:val="00DF1698"/>
    <w:rsid w:val="00DF2145"/>
    <w:rsid w:val="00DF21CD"/>
    <w:rsid w:val="00DF60DC"/>
    <w:rsid w:val="00E05194"/>
    <w:rsid w:val="00E05704"/>
    <w:rsid w:val="00E118B9"/>
    <w:rsid w:val="00E159D1"/>
    <w:rsid w:val="00E15E0F"/>
    <w:rsid w:val="00E17108"/>
    <w:rsid w:val="00E20C0E"/>
    <w:rsid w:val="00E21A7F"/>
    <w:rsid w:val="00E30FCA"/>
    <w:rsid w:val="00E331B8"/>
    <w:rsid w:val="00E338EF"/>
    <w:rsid w:val="00E33B44"/>
    <w:rsid w:val="00E35FB7"/>
    <w:rsid w:val="00E410BB"/>
    <w:rsid w:val="00E44075"/>
    <w:rsid w:val="00E5119C"/>
    <w:rsid w:val="00E54BA8"/>
    <w:rsid w:val="00E57AD8"/>
    <w:rsid w:val="00E60239"/>
    <w:rsid w:val="00E74DC7"/>
    <w:rsid w:val="00E75AEA"/>
    <w:rsid w:val="00E836F4"/>
    <w:rsid w:val="00E85020"/>
    <w:rsid w:val="00E85EB7"/>
    <w:rsid w:val="00E94D5E"/>
    <w:rsid w:val="00E9595A"/>
    <w:rsid w:val="00EA1529"/>
    <w:rsid w:val="00EA64DD"/>
    <w:rsid w:val="00EA7100"/>
    <w:rsid w:val="00EB1780"/>
    <w:rsid w:val="00EB2F01"/>
    <w:rsid w:val="00EB7AC1"/>
    <w:rsid w:val="00EC12C7"/>
    <w:rsid w:val="00EC3721"/>
    <w:rsid w:val="00EC4ECE"/>
    <w:rsid w:val="00ED30F2"/>
    <w:rsid w:val="00ED38E5"/>
    <w:rsid w:val="00ED4539"/>
    <w:rsid w:val="00ED4EFF"/>
    <w:rsid w:val="00EE44CF"/>
    <w:rsid w:val="00EE50EE"/>
    <w:rsid w:val="00EE75AD"/>
    <w:rsid w:val="00EF2E3A"/>
    <w:rsid w:val="00EF3621"/>
    <w:rsid w:val="00EF5A40"/>
    <w:rsid w:val="00F02B1F"/>
    <w:rsid w:val="00F072A7"/>
    <w:rsid w:val="00F077F2"/>
    <w:rsid w:val="00F078DC"/>
    <w:rsid w:val="00F12083"/>
    <w:rsid w:val="00F1243B"/>
    <w:rsid w:val="00F174A6"/>
    <w:rsid w:val="00F17957"/>
    <w:rsid w:val="00F22DCC"/>
    <w:rsid w:val="00F25CFE"/>
    <w:rsid w:val="00F3299C"/>
    <w:rsid w:val="00F40D8F"/>
    <w:rsid w:val="00F425F0"/>
    <w:rsid w:val="00F52330"/>
    <w:rsid w:val="00F549A5"/>
    <w:rsid w:val="00F56C43"/>
    <w:rsid w:val="00F60386"/>
    <w:rsid w:val="00F651AC"/>
    <w:rsid w:val="00F65823"/>
    <w:rsid w:val="00F71650"/>
    <w:rsid w:val="00F73BD6"/>
    <w:rsid w:val="00F83989"/>
    <w:rsid w:val="00F84619"/>
    <w:rsid w:val="00F91403"/>
    <w:rsid w:val="00F95A47"/>
    <w:rsid w:val="00F96466"/>
    <w:rsid w:val="00F964E6"/>
    <w:rsid w:val="00FA6D8D"/>
    <w:rsid w:val="00FA7486"/>
    <w:rsid w:val="00FB40BA"/>
    <w:rsid w:val="00FB59F1"/>
    <w:rsid w:val="00FB68B4"/>
    <w:rsid w:val="00FB6EA0"/>
    <w:rsid w:val="00FC00ED"/>
    <w:rsid w:val="00FC6E0E"/>
    <w:rsid w:val="00FD1613"/>
    <w:rsid w:val="00FD53C3"/>
    <w:rsid w:val="00FE3F74"/>
    <w:rsid w:val="00FE6714"/>
    <w:rsid w:val="00FF00F1"/>
    <w:rsid w:val="00FF3819"/>
    <w:rsid w:val="00FF4600"/>
    <w:rsid w:val="00FF5015"/>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119C"/>
    <w:pPr>
      <w:spacing w:line="260" w:lineRule="atLeast"/>
    </w:pPr>
    <w:rPr>
      <w:sz w:val="22"/>
    </w:rPr>
  </w:style>
  <w:style w:type="paragraph" w:styleId="Heading1">
    <w:name w:val="heading 1"/>
    <w:basedOn w:val="Normal"/>
    <w:next w:val="Normal"/>
    <w:link w:val="Heading1Char"/>
    <w:uiPriority w:val="9"/>
    <w:qFormat/>
    <w:rsid w:val="00C64C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4C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4C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4C8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4C8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4C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4C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4C8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64C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5119C"/>
  </w:style>
  <w:style w:type="paragraph" w:customStyle="1" w:styleId="OPCParaBase">
    <w:name w:val="OPCParaBase"/>
    <w:link w:val="OPCParaBaseChar"/>
    <w:qFormat/>
    <w:rsid w:val="00E5119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5119C"/>
    <w:pPr>
      <w:spacing w:line="240" w:lineRule="auto"/>
    </w:pPr>
    <w:rPr>
      <w:b/>
      <w:sz w:val="40"/>
    </w:rPr>
  </w:style>
  <w:style w:type="paragraph" w:customStyle="1" w:styleId="ActHead1">
    <w:name w:val="ActHead 1"/>
    <w:aliases w:val="c"/>
    <w:basedOn w:val="OPCParaBase"/>
    <w:next w:val="Normal"/>
    <w:qFormat/>
    <w:rsid w:val="00E511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511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511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11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511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511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11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511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119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5119C"/>
  </w:style>
  <w:style w:type="paragraph" w:customStyle="1" w:styleId="Blocks">
    <w:name w:val="Blocks"/>
    <w:aliases w:val="bb"/>
    <w:basedOn w:val="OPCParaBase"/>
    <w:qFormat/>
    <w:rsid w:val="00E5119C"/>
    <w:pPr>
      <w:spacing w:line="240" w:lineRule="auto"/>
    </w:pPr>
    <w:rPr>
      <w:sz w:val="24"/>
    </w:rPr>
  </w:style>
  <w:style w:type="paragraph" w:customStyle="1" w:styleId="BoxText">
    <w:name w:val="BoxText"/>
    <w:aliases w:val="bt"/>
    <w:basedOn w:val="OPCParaBase"/>
    <w:qFormat/>
    <w:rsid w:val="00E511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119C"/>
    <w:rPr>
      <w:b/>
    </w:rPr>
  </w:style>
  <w:style w:type="paragraph" w:customStyle="1" w:styleId="BoxHeadItalic">
    <w:name w:val="BoxHeadItalic"/>
    <w:aliases w:val="bhi"/>
    <w:basedOn w:val="BoxText"/>
    <w:next w:val="BoxStep"/>
    <w:qFormat/>
    <w:rsid w:val="00E5119C"/>
    <w:rPr>
      <w:i/>
    </w:rPr>
  </w:style>
  <w:style w:type="paragraph" w:customStyle="1" w:styleId="BoxList">
    <w:name w:val="BoxList"/>
    <w:aliases w:val="bl"/>
    <w:basedOn w:val="BoxText"/>
    <w:qFormat/>
    <w:rsid w:val="00E5119C"/>
    <w:pPr>
      <w:ind w:left="1559" w:hanging="425"/>
    </w:pPr>
  </w:style>
  <w:style w:type="paragraph" w:customStyle="1" w:styleId="BoxNote">
    <w:name w:val="BoxNote"/>
    <w:aliases w:val="bn"/>
    <w:basedOn w:val="BoxText"/>
    <w:qFormat/>
    <w:rsid w:val="00E5119C"/>
    <w:pPr>
      <w:tabs>
        <w:tab w:val="left" w:pos="1985"/>
      </w:tabs>
      <w:spacing w:before="122" w:line="198" w:lineRule="exact"/>
      <w:ind w:left="2948" w:hanging="1814"/>
    </w:pPr>
    <w:rPr>
      <w:sz w:val="18"/>
    </w:rPr>
  </w:style>
  <w:style w:type="paragraph" w:customStyle="1" w:styleId="BoxPara">
    <w:name w:val="BoxPara"/>
    <w:aliases w:val="bp"/>
    <w:basedOn w:val="BoxText"/>
    <w:qFormat/>
    <w:rsid w:val="00E5119C"/>
    <w:pPr>
      <w:tabs>
        <w:tab w:val="right" w:pos="2268"/>
      </w:tabs>
      <w:ind w:left="2552" w:hanging="1418"/>
    </w:pPr>
  </w:style>
  <w:style w:type="paragraph" w:customStyle="1" w:styleId="BoxStep">
    <w:name w:val="BoxStep"/>
    <w:aliases w:val="bs"/>
    <w:basedOn w:val="BoxText"/>
    <w:qFormat/>
    <w:rsid w:val="00E5119C"/>
    <w:pPr>
      <w:ind w:left="1985" w:hanging="851"/>
    </w:pPr>
  </w:style>
  <w:style w:type="character" w:customStyle="1" w:styleId="CharAmPartNo">
    <w:name w:val="CharAmPartNo"/>
    <w:basedOn w:val="OPCCharBase"/>
    <w:uiPriority w:val="1"/>
    <w:qFormat/>
    <w:rsid w:val="00E5119C"/>
  </w:style>
  <w:style w:type="character" w:customStyle="1" w:styleId="CharAmPartText">
    <w:name w:val="CharAmPartText"/>
    <w:basedOn w:val="OPCCharBase"/>
    <w:uiPriority w:val="1"/>
    <w:qFormat/>
    <w:rsid w:val="00E5119C"/>
  </w:style>
  <w:style w:type="character" w:customStyle="1" w:styleId="CharAmSchNo">
    <w:name w:val="CharAmSchNo"/>
    <w:basedOn w:val="OPCCharBase"/>
    <w:uiPriority w:val="1"/>
    <w:qFormat/>
    <w:rsid w:val="00E5119C"/>
  </w:style>
  <w:style w:type="character" w:customStyle="1" w:styleId="CharAmSchText">
    <w:name w:val="CharAmSchText"/>
    <w:basedOn w:val="OPCCharBase"/>
    <w:uiPriority w:val="1"/>
    <w:qFormat/>
    <w:rsid w:val="00E5119C"/>
  </w:style>
  <w:style w:type="character" w:customStyle="1" w:styleId="CharBoldItalic">
    <w:name w:val="CharBoldItalic"/>
    <w:basedOn w:val="OPCCharBase"/>
    <w:uiPriority w:val="1"/>
    <w:qFormat/>
    <w:rsid w:val="00E5119C"/>
    <w:rPr>
      <w:b/>
      <w:i/>
    </w:rPr>
  </w:style>
  <w:style w:type="character" w:customStyle="1" w:styleId="CharChapNo">
    <w:name w:val="CharChapNo"/>
    <w:basedOn w:val="OPCCharBase"/>
    <w:qFormat/>
    <w:rsid w:val="00E5119C"/>
  </w:style>
  <w:style w:type="character" w:customStyle="1" w:styleId="CharChapText">
    <w:name w:val="CharChapText"/>
    <w:basedOn w:val="OPCCharBase"/>
    <w:qFormat/>
    <w:rsid w:val="00E5119C"/>
  </w:style>
  <w:style w:type="character" w:customStyle="1" w:styleId="CharDivNo">
    <w:name w:val="CharDivNo"/>
    <w:basedOn w:val="OPCCharBase"/>
    <w:qFormat/>
    <w:rsid w:val="00E5119C"/>
  </w:style>
  <w:style w:type="character" w:customStyle="1" w:styleId="CharDivText">
    <w:name w:val="CharDivText"/>
    <w:basedOn w:val="OPCCharBase"/>
    <w:qFormat/>
    <w:rsid w:val="00E5119C"/>
  </w:style>
  <w:style w:type="character" w:customStyle="1" w:styleId="CharItalic">
    <w:name w:val="CharItalic"/>
    <w:basedOn w:val="OPCCharBase"/>
    <w:uiPriority w:val="1"/>
    <w:qFormat/>
    <w:rsid w:val="00E5119C"/>
    <w:rPr>
      <w:i/>
    </w:rPr>
  </w:style>
  <w:style w:type="character" w:customStyle="1" w:styleId="CharPartNo">
    <w:name w:val="CharPartNo"/>
    <w:basedOn w:val="OPCCharBase"/>
    <w:qFormat/>
    <w:rsid w:val="00E5119C"/>
  </w:style>
  <w:style w:type="character" w:customStyle="1" w:styleId="CharPartText">
    <w:name w:val="CharPartText"/>
    <w:basedOn w:val="OPCCharBase"/>
    <w:qFormat/>
    <w:rsid w:val="00E5119C"/>
  </w:style>
  <w:style w:type="character" w:customStyle="1" w:styleId="CharSectno">
    <w:name w:val="CharSectno"/>
    <w:basedOn w:val="OPCCharBase"/>
    <w:qFormat/>
    <w:rsid w:val="00E5119C"/>
  </w:style>
  <w:style w:type="character" w:customStyle="1" w:styleId="CharSubdNo">
    <w:name w:val="CharSubdNo"/>
    <w:basedOn w:val="OPCCharBase"/>
    <w:uiPriority w:val="1"/>
    <w:qFormat/>
    <w:rsid w:val="00E5119C"/>
  </w:style>
  <w:style w:type="character" w:customStyle="1" w:styleId="CharSubdText">
    <w:name w:val="CharSubdText"/>
    <w:basedOn w:val="OPCCharBase"/>
    <w:uiPriority w:val="1"/>
    <w:qFormat/>
    <w:rsid w:val="00E5119C"/>
  </w:style>
  <w:style w:type="paragraph" w:customStyle="1" w:styleId="CTA--">
    <w:name w:val="CTA --"/>
    <w:basedOn w:val="OPCParaBase"/>
    <w:next w:val="Normal"/>
    <w:rsid w:val="00E5119C"/>
    <w:pPr>
      <w:spacing w:before="60" w:line="240" w:lineRule="atLeast"/>
      <w:ind w:left="142" w:hanging="142"/>
    </w:pPr>
    <w:rPr>
      <w:sz w:val="20"/>
    </w:rPr>
  </w:style>
  <w:style w:type="paragraph" w:customStyle="1" w:styleId="CTA-">
    <w:name w:val="CTA -"/>
    <w:basedOn w:val="OPCParaBase"/>
    <w:rsid w:val="00E5119C"/>
    <w:pPr>
      <w:spacing w:before="60" w:line="240" w:lineRule="atLeast"/>
      <w:ind w:left="85" w:hanging="85"/>
    </w:pPr>
    <w:rPr>
      <w:sz w:val="20"/>
    </w:rPr>
  </w:style>
  <w:style w:type="paragraph" w:customStyle="1" w:styleId="CTA---">
    <w:name w:val="CTA ---"/>
    <w:basedOn w:val="OPCParaBase"/>
    <w:next w:val="Normal"/>
    <w:rsid w:val="00E5119C"/>
    <w:pPr>
      <w:spacing w:before="60" w:line="240" w:lineRule="atLeast"/>
      <w:ind w:left="198" w:hanging="198"/>
    </w:pPr>
    <w:rPr>
      <w:sz w:val="20"/>
    </w:rPr>
  </w:style>
  <w:style w:type="paragraph" w:customStyle="1" w:styleId="CTA----">
    <w:name w:val="CTA ----"/>
    <w:basedOn w:val="OPCParaBase"/>
    <w:next w:val="Normal"/>
    <w:rsid w:val="00E5119C"/>
    <w:pPr>
      <w:spacing w:before="60" w:line="240" w:lineRule="atLeast"/>
      <w:ind w:left="255" w:hanging="255"/>
    </w:pPr>
    <w:rPr>
      <w:sz w:val="20"/>
    </w:rPr>
  </w:style>
  <w:style w:type="paragraph" w:customStyle="1" w:styleId="CTA1a">
    <w:name w:val="CTA 1(a)"/>
    <w:basedOn w:val="OPCParaBase"/>
    <w:rsid w:val="00E5119C"/>
    <w:pPr>
      <w:tabs>
        <w:tab w:val="right" w:pos="414"/>
      </w:tabs>
      <w:spacing w:before="40" w:line="240" w:lineRule="atLeast"/>
      <w:ind w:left="675" w:hanging="675"/>
    </w:pPr>
    <w:rPr>
      <w:sz w:val="20"/>
    </w:rPr>
  </w:style>
  <w:style w:type="paragraph" w:customStyle="1" w:styleId="CTA1ai">
    <w:name w:val="CTA 1(a)(i)"/>
    <w:basedOn w:val="OPCParaBase"/>
    <w:rsid w:val="00E5119C"/>
    <w:pPr>
      <w:tabs>
        <w:tab w:val="right" w:pos="1004"/>
      </w:tabs>
      <w:spacing w:before="40" w:line="240" w:lineRule="atLeast"/>
      <w:ind w:left="1253" w:hanging="1253"/>
    </w:pPr>
    <w:rPr>
      <w:sz w:val="20"/>
    </w:rPr>
  </w:style>
  <w:style w:type="paragraph" w:customStyle="1" w:styleId="CTA2a">
    <w:name w:val="CTA 2(a)"/>
    <w:basedOn w:val="OPCParaBase"/>
    <w:rsid w:val="00E5119C"/>
    <w:pPr>
      <w:tabs>
        <w:tab w:val="right" w:pos="482"/>
      </w:tabs>
      <w:spacing w:before="40" w:line="240" w:lineRule="atLeast"/>
      <w:ind w:left="748" w:hanging="748"/>
    </w:pPr>
    <w:rPr>
      <w:sz w:val="20"/>
    </w:rPr>
  </w:style>
  <w:style w:type="paragraph" w:customStyle="1" w:styleId="CTA2ai">
    <w:name w:val="CTA 2(a)(i)"/>
    <w:basedOn w:val="OPCParaBase"/>
    <w:rsid w:val="00E5119C"/>
    <w:pPr>
      <w:tabs>
        <w:tab w:val="right" w:pos="1089"/>
      </w:tabs>
      <w:spacing w:before="40" w:line="240" w:lineRule="atLeast"/>
      <w:ind w:left="1327" w:hanging="1327"/>
    </w:pPr>
    <w:rPr>
      <w:sz w:val="20"/>
    </w:rPr>
  </w:style>
  <w:style w:type="paragraph" w:customStyle="1" w:styleId="CTA3a">
    <w:name w:val="CTA 3(a)"/>
    <w:basedOn w:val="OPCParaBase"/>
    <w:rsid w:val="00E5119C"/>
    <w:pPr>
      <w:tabs>
        <w:tab w:val="right" w:pos="556"/>
      </w:tabs>
      <w:spacing w:before="40" w:line="240" w:lineRule="atLeast"/>
      <w:ind w:left="805" w:hanging="805"/>
    </w:pPr>
    <w:rPr>
      <w:sz w:val="20"/>
    </w:rPr>
  </w:style>
  <w:style w:type="paragraph" w:customStyle="1" w:styleId="CTA3ai">
    <w:name w:val="CTA 3(a)(i)"/>
    <w:basedOn w:val="OPCParaBase"/>
    <w:rsid w:val="00E5119C"/>
    <w:pPr>
      <w:tabs>
        <w:tab w:val="right" w:pos="1140"/>
      </w:tabs>
      <w:spacing w:before="40" w:line="240" w:lineRule="atLeast"/>
      <w:ind w:left="1361" w:hanging="1361"/>
    </w:pPr>
    <w:rPr>
      <w:sz w:val="20"/>
    </w:rPr>
  </w:style>
  <w:style w:type="paragraph" w:customStyle="1" w:styleId="CTA4a">
    <w:name w:val="CTA 4(a)"/>
    <w:basedOn w:val="OPCParaBase"/>
    <w:rsid w:val="00E5119C"/>
    <w:pPr>
      <w:tabs>
        <w:tab w:val="right" w:pos="624"/>
      </w:tabs>
      <w:spacing w:before="40" w:line="240" w:lineRule="atLeast"/>
      <w:ind w:left="873" w:hanging="873"/>
    </w:pPr>
    <w:rPr>
      <w:sz w:val="20"/>
    </w:rPr>
  </w:style>
  <w:style w:type="paragraph" w:customStyle="1" w:styleId="CTA4ai">
    <w:name w:val="CTA 4(a)(i)"/>
    <w:basedOn w:val="OPCParaBase"/>
    <w:rsid w:val="00E5119C"/>
    <w:pPr>
      <w:tabs>
        <w:tab w:val="right" w:pos="1213"/>
      </w:tabs>
      <w:spacing w:before="40" w:line="240" w:lineRule="atLeast"/>
      <w:ind w:left="1452" w:hanging="1452"/>
    </w:pPr>
    <w:rPr>
      <w:sz w:val="20"/>
    </w:rPr>
  </w:style>
  <w:style w:type="paragraph" w:customStyle="1" w:styleId="CTACAPS">
    <w:name w:val="CTA CAPS"/>
    <w:basedOn w:val="OPCParaBase"/>
    <w:rsid w:val="00E5119C"/>
    <w:pPr>
      <w:spacing w:before="60" w:line="240" w:lineRule="atLeast"/>
    </w:pPr>
    <w:rPr>
      <w:sz w:val="20"/>
    </w:rPr>
  </w:style>
  <w:style w:type="paragraph" w:customStyle="1" w:styleId="CTAright">
    <w:name w:val="CTA right"/>
    <w:basedOn w:val="OPCParaBase"/>
    <w:rsid w:val="00E5119C"/>
    <w:pPr>
      <w:spacing w:before="60" w:line="240" w:lineRule="auto"/>
      <w:jc w:val="right"/>
    </w:pPr>
    <w:rPr>
      <w:sz w:val="20"/>
    </w:rPr>
  </w:style>
  <w:style w:type="paragraph" w:customStyle="1" w:styleId="subsection">
    <w:name w:val="subsection"/>
    <w:aliases w:val="ss"/>
    <w:basedOn w:val="OPCParaBase"/>
    <w:link w:val="subsectionChar"/>
    <w:rsid w:val="00E5119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5119C"/>
    <w:pPr>
      <w:spacing w:before="180" w:line="240" w:lineRule="auto"/>
      <w:ind w:left="1134"/>
    </w:pPr>
  </w:style>
  <w:style w:type="paragraph" w:customStyle="1" w:styleId="Formula">
    <w:name w:val="Formula"/>
    <w:basedOn w:val="OPCParaBase"/>
    <w:rsid w:val="00E5119C"/>
    <w:pPr>
      <w:spacing w:line="240" w:lineRule="auto"/>
      <w:ind w:left="1134"/>
    </w:pPr>
    <w:rPr>
      <w:sz w:val="20"/>
    </w:rPr>
  </w:style>
  <w:style w:type="paragraph" w:styleId="Header">
    <w:name w:val="header"/>
    <w:basedOn w:val="OPCParaBase"/>
    <w:link w:val="HeaderChar"/>
    <w:unhideWhenUsed/>
    <w:rsid w:val="00E511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5119C"/>
    <w:rPr>
      <w:rFonts w:eastAsia="Times New Roman" w:cs="Times New Roman"/>
      <w:sz w:val="16"/>
      <w:lang w:eastAsia="en-AU"/>
    </w:rPr>
  </w:style>
  <w:style w:type="paragraph" w:customStyle="1" w:styleId="House">
    <w:name w:val="House"/>
    <w:basedOn w:val="OPCParaBase"/>
    <w:rsid w:val="00E5119C"/>
    <w:pPr>
      <w:spacing w:line="240" w:lineRule="auto"/>
    </w:pPr>
    <w:rPr>
      <w:sz w:val="28"/>
    </w:rPr>
  </w:style>
  <w:style w:type="paragraph" w:customStyle="1" w:styleId="Item">
    <w:name w:val="Item"/>
    <w:aliases w:val="i"/>
    <w:basedOn w:val="OPCParaBase"/>
    <w:next w:val="ItemHead"/>
    <w:rsid w:val="00E5119C"/>
    <w:pPr>
      <w:keepLines/>
      <w:spacing w:before="80" w:line="240" w:lineRule="auto"/>
      <w:ind w:left="709"/>
    </w:pPr>
  </w:style>
  <w:style w:type="paragraph" w:customStyle="1" w:styleId="ItemHead">
    <w:name w:val="ItemHead"/>
    <w:aliases w:val="ih"/>
    <w:basedOn w:val="OPCParaBase"/>
    <w:next w:val="Item"/>
    <w:rsid w:val="00E5119C"/>
    <w:pPr>
      <w:keepLines/>
      <w:spacing w:before="220" w:line="240" w:lineRule="auto"/>
      <w:ind w:left="709" w:hanging="709"/>
    </w:pPr>
    <w:rPr>
      <w:rFonts w:ascii="Arial" w:hAnsi="Arial"/>
      <w:b/>
      <w:kern w:val="28"/>
      <w:sz w:val="24"/>
    </w:rPr>
  </w:style>
  <w:style w:type="paragraph" w:customStyle="1" w:styleId="LongT">
    <w:name w:val="LongT"/>
    <w:basedOn w:val="OPCParaBase"/>
    <w:rsid w:val="00E5119C"/>
    <w:pPr>
      <w:spacing w:line="240" w:lineRule="auto"/>
    </w:pPr>
    <w:rPr>
      <w:b/>
      <w:sz w:val="32"/>
    </w:rPr>
  </w:style>
  <w:style w:type="paragraph" w:customStyle="1" w:styleId="notedraft">
    <w:name w:val="note(draft)"/>
    <w:aliases w:val="nd"/>
    <w:basedOn w:val="OPCParaBase"/>
    <w:rsid w:val="00E5119C"/>
    <w:pPr>
      <w:spacing w:before="240" w:line="240" w:lineRule="auto"/>
      <w:ind w:left="284" w:hanging="284"/>
    </w:pPr>
    <w:rPr>
      <w:i/>
      <w:sz w:val="24"/>
    </w:rPr>
  </w:style>
  <w:style w:type="paragraph" w:customStyle="1" w:styleId="notemargin">
    <w:name w:val="note(margin)"/>
    <w:aliases w:val="nm"/>
    <w:basedOn w:val="OPCParaBase"/>
    <w:rsid w:val="00E5119C"/>
    <w:pPr>
      <w:tabs>
        <w:tab w:val="left" w:pos="709"/>
      </w:tabs>
      <w:spacing w:before="122" w:line="198" w:lineRule="exact"/>
      <w:ind w:left="709" w:hanging="709"/>
    </w:pPr>
    <w:rPr>
      <w:sz w:val="18"/>
    </w:rPr>
  </w:style>
  <w:style w:type="paragraph" w:customStyle="1" w:styleId="noteToPara">
    <w:name w:val="noteToPara"/>
    <w:aliases w:val="ntp"/>
    <w:basedOn w:val="OPCParaBase"/>
    <w:rsid w:val="00E5119C"/>
    <w:pPr>
      <w:spacing w:before="122" w:line="198" w:lineRule="exact"/>
      <w:ind w:left="2353" w:hanging="709"/>
    </w:pPr>
    <w:rPr>
      <w:sz w:val="18"/>
    </w:rPr>
  </w:style>
  <w:style w:type="paragraph" w:customStyle="1" w:styleId="noteParlAmend">
    <w:name w:val="note(ParlAmend)"/>
    <w:aliases w:val="npp"/>
    <w:basedOn w:val="OPCParaBase"/>
    <w:next w:val="ParlAmend"/>
    <w:rsid w:val="00E5119C"/>
    <w:pPr>
      <w:spacing w:line="240" w:lineRule="auto"/>
      <w:jc w:val="right"/>
    </w:pPr>
    <w:rPr>
      <w:rFonts w:ascii="Arial" w:hAnsi="Arial"/>
      <w:b/>
      <w:i/>
    </w:rPr>
  </w:style>
  <w:style w:type="paragraph" w:customStyle="1" w:styleId="Page1">
    <w:name w:val="Page1"/>
    <w:basedOn w:val="OPCParaBase"/>
    <w:rsid w:val="00E5119C"/>
    <w:pPr>
      <w:spacing w:before="400" w:line="240" w:lineRule="auto"/>
    </w:pPr>
    <w:rPr>
      <w:b/>
      <w:sz w:val="32"/>
    </w:rPr>
  </w:style>
  <w:style w:type="paragraph" w:customStyle="1" w:styleId="PageBreak">
    <w:name w:val="PageBreak"/>
    <w:aliases w:val="pb"/>
    <w:basedOn w:val="OPCParaBase"/>
    <w:rsid w:val="00E5119C"/>
    <w:pPr>
      <w:spacing w:line="240" w:lineRule="auto"/>
    </w:pPr>
    <w:rPr>
      <w:sz w:val="20"/>
    </w:rPr>
  </w:style>
  <w:style w:type="paragraph" w:customStyle="1" w:styleId="paragraphsub">
    <w:name w:val="paragraph(sub)"/>
    <w:aliases w:val="aa"/>
    <w:basedOn w:val="OPCParaBase"/>
    <w:rsid w:val="00E5119C"/>
    <w:pPr>
      <w:tabs>
        <w:tab w:val="right" w:pos="1985"/>
      </w:tabs>
      <w:spacing w:before="40" w:line="240" w:lineRule="auto"/>
      <w:ind w:left="2098" w:hanging="2098"/>
    </w:pPr>
  </w:style>
  <w:style w:type="paragraph" w:customStyle="1" w:styleId="paragraphsub-sub">
    <w:name w:val="paragraph(sub-sub)"/>
    <w:aliases w:val="aaa"/>
    <w:basedOn w:val="OPCParaBase"/>
    <w:rsid w:val="00E5119C"/>
    <w:pPr>
      <w:tabs>
        <w:tab w:val="right" w:pos="2722"/>
      </w:tabs>
      <w:spacing w:before="40" w:line="240" w:lineRule="auto"/>
      <w:ind w:left="2835" w:hanging="2835"/>
    </w:pPr>
  </w:style>
  <w:style w:type="paragraph" w:customStyle="1" w:styleId="paragraph">
    <w:name w:val="paragraph"/>
    <w:aliases w:val="a"/>
    <w:basedOn w:val="OPCParaBase"/>
    <w:link w:val="paragraphChar"/>
    <w:rsid w:val="00E5119C"/>
    <w:pPr>
      <w:tabs>
        <w:tab w:val="right" w:pos="1531"/>
      </w:tabs>
      <w:spacing w:before="40" w:line="240" w:lineRule="auto"/>
      <w:ind w:left="1644" w:hanging="1644"/>
    </w:pPr>
  </w:style>
  <w:style w:type="paragraph" w:customStyle="1" w:styleId="ParlAmend">
    <w:name w:val="ParlAmend"/>
    <w:aliases w:val="pp"/>
    <w:basedOn w:val="OPCParaBase"/>
    <w:rsid w:val="00E5119C"/>
    <w:pPr>
      <w:spacing w:before="240" w:line="240" w:lineRule="atLeast"/>
      <w:ind w:hanging="567"/>
    </w:pPr>
    <w:rPr>
      <w:sz w:val="24"/>
    </w:rPr>
  </w:style>
  <w:style w:type="paragraph" w:customStyle="1" w:styleId="Penalty">
    <w:name w:val="Penalty"/>
    <w:basedOn w:val="OPCParaBase"/>
    <w:rsid w:val="00E5119C"/>
    <w:pPr>
      <w:tabs>
        <w:tab w:val="left" w:pos="2977"/>
      </w:tabs>
      <w:spacing w:before="180" w:line="240" w:lineRule="auto"/>
      <w:ind w:left="1985" w:hanging="851"/>
    </w:pPr>
  </w:style>
  <w:style w:type="paragraph" w:customStyle="1" w:styleId="Portfolio">
    <w:name w:val="Portfolio"/>
    <w:basedOn w:val="OPCParaBase"/>
    <w:rsid w:val="00E5119C"/>
    <w:pPr>
      <w:spacing w:line="240" w:lineRule="auto"/>
    </w:pPr>
    <w:rPr>
      <w:i/>
      <w:sz w:val="20"/>
    </w:rPr>
  </w:style>
  <w:style w:type="paragraph" w:customStyle="1" w:styleId="Preamble">
    <w:name w:val="Preamble"/>
    <w:basedOn w:val="OPCParaBase"/>
    <w:next w:val="Normal"/>
    <w:rsid w:val="00E511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5119C"/>
    <w:pPr>
      <w:spacing w:line="240" w:lineRule="auto"/>
    </w:pPr>
    <w:rPr>
      <w:i/>
      <w:sz w:val="20"/>
    </w:rPr>
  </w:style>
  <w:style w:type="paragraph" w:customStyle="1" w:styleId="Session">
    <w:name w:val="Session"/>
    <w:basedOn w:val="OPCParaBase"/>
    <w:rsid w:val="00E5119C"/>
    <w:pPr>
      <w:spacing w:line="240" w:lineRule="auto"/>
    </w:pPr>
    <w:rPr>
      <w:sz w:val="28"/>
    </w:rPr>
  </w:style>
  <w:style w:type="paragraph" w:customStyle="1" w:styleId="Sponsor">
    <w:name w:val="Sponsor"/>
    <w:basedOn w:val="OPCParaBase"/>
    <w:rsid w:val="00E5119C"/>
    <w:pPr>
      <w:spacing w:line="240" w:lineRule="auto"/>
    </w:pPr>
    <w:rPr>
      <w:i/>
    </w:rPr>
  </w:style>
  <w:style w:type="paragraph" w:customStyle="1" w:styleId="Subitem">
    <w:name w:val="Subitem"/>
    <w:aliases w:val="iss"/>
    <w:basedOn w:val="OPCParaBase"/>
    <w:rsid w:val="00E5119C"/>
    <w:pPr>
      <w:spacing w:before="180" w:line="240" w:lineRule="auto"/>
      <w:ind w:left="709" w:hanging="709"/>
    </w:pPr>
  </w:style>
  <w:style w:type="paragraph" w:customStyle="1" w:styleId="SubitemHead">
    <w:name w:val="SubitemHead"/>
    <w:aliases w:val="issh"/>
    <w:basedOn w:val="OPCParaBase"/>
    <w:rsid w:val="00E511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119C"/>
    <w:pPr>
      <w:spacing w:before="40" w:line="240" w:lineRule="auto"/>
      <w:ind w:left="1134"/>
    </w:pPr>
  </w:style>
  <w:style w:type="paragraph" w:customStyle="1" w:styleId="SubsectionHead">
    <w:name w:val="SubsectionHead"/>
    <w:aliases w:val="ssh"/>
    <w:basedOn w:val="OPCParaBase"/>
    <w:next w:val="subsection"/>
    <w:rsid w:val="00E5119C"/>
    <w:pPr>
      <w:keepNext/>
      <w:keepLines/>
      <w:spacing w:before="240" w:line="240" w:lineRule="auto"/>
      <w:ind w:left="1134"/>
    </w:pPr>
    <w:rPr>
      <w:i/>
    </w:rPr>
  </w:style>
  <w:style w:type="paragraph" w:customStyle="1" w:styleId="Tablea">
    <w:name w:val="Table(a)"/>
    <w:aliases w:val="ta"/>
    <w:basedOn w:val="OPCParaBase"/>
    <w:rsid w:val="00E5119C"/>
    <w:pPr>
      <w:spacing w:before="60" w:line="240" w:lineRule="auto"/>
      <w:ind w:left="284" w:hanging="284"/>
    </w:pPr>
    <w:rPr>
      <w:sz w:val="20"/>
    </w:rPr>
  </w:style>
  <w:style w:type="paragraph" w:customStyle="1" w:styleId="TableAA">
    <w:name w:val="Table(AA)"/>
    <w:aliases w:val="taaa"/>
    <w:basedOn w:val="OPCParaBase"/>
    <w:rsid w:val="00E511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511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5119C"/>
    <w:pPr>
      <w:spacing w:before="60" w:line="240" w:lineRule="atLeast"/>
    </w:pPr>
    <w:rPr>
      <w:sz w:val="20"/>
    </w:rPr>
  </w:style>
  <w:style w:type="paragraph" w:customStyle="1" w:styleId="TLPBoxTextnote">
    <w:name w:val="TLPBoxText(note"/>
    <w:aliases w:val="right)"/>
    <w:basedOn w:val="OPCParaBase"/>
    <w:rsid w:val="00E511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11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5119C"/>
    <w:pPr>
      <w:spacing w:before="122" w:line="198" w:lineRule="exact"/>
      <w:ind w:left="1985" w:hanging="851"/>
      <w:jc w:val="right"/>
    </w:pPr>
    <w:rPr>
      <w:sz w:val="18"/>
    </w:rPr>
  </w:style>
  <w:style w:type="paragraph" w:customStyle="1" w:styleId="TLPTableBullet">
    <w:name w:val="TLPTableBullet"/>
    <w:aliases w:val="ttb"/>
    <w:basedOn w:val="OPCParaBase"/>
    <w:rsid w:val="00E5119C"/>
    <w:pPr>
      <w:spacing w:line="240" w:lineRule="exact"/>
      <w:ind w:left="284" w:hanging="284"/>
    </w:pPr>
    <w:rPr>
      <w:sz w:val="20"/>
    </w:rPr>
  </w:style>
  <w:style w:type="paragraph" w:styleId="TOC1">
    <w:name w:val="toc 1"/>
    <w:basedOn w:val="OPCParaBase"/>
    <w:next w:val="Normal"/>
    <w:uiPriority w:val="39"/>
    <w:semiHidden/>
    <w:unhideWhenUsed/>
    <w:rsid w:val="00E5119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5119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5119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5119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5119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5119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5119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5119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5119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5119C"/>
    <w:pPr>
      <w:keepLines/>
      <w:spacing w:before="240" w:after="120" w:line="240" w:lineRule="auto"/>
      <w:ind w:left="794"/>
    </w:pPr>
    <w:rPr>
      <w:b/>
      <w:kern w:val="28"/>
      <w:sz w:val="20"/>
    </w:rPr>
  </w:style>
  <w:style w:type="paragraph" w:customStyle="1" w:styleId="TofSectsHeading">
    <w:name w:val="TofSects(Heading)"/>
    <w:basedOn w:val="OPCParaBase"/>
    <w:rsid w:val="00E5119C"/>
    <w:pPr>
      <w:spacing w:before="240" w:after="120" w:line="240" w:lineRule="auto"/>
    </w:pPr>
    <w:rPr>
      <w:b/>
      <w:sz w:val="24"/>
    </w:rPr>
  </w:style>
  <w:style w:type="paragraph" w:customStyle="1" w:styleId="TofSectsSection">
    <w:name w:val="TofSects(Section)"/>
    <w:basedOn w:val="OPCParaBase"/>
    <w:rsid w:val="00E5119C"/>
    <w:pPr>
      <w:keepLines/>
      <w:spacing w:before="40" w:line="240" w:lineRule="auto"/>
      <w:ind w:left="1588" w:hanging="794"/>
    </w:pPr>
    <w:rPr>
      <w:kern w:val="28"/>
      <w:sz w:val="18"/>
    </w:rPr>
  </w:style>
  <w:style w:type="paragraph" w:customStyle="1" w:styleId="TofSectsSubdiv">
    <w:name w:val="TofSects(Subdiv)"/>
    <w:basedOn w:val="OPCParaBase"/>
    <w:rsid w:val="00E5119C"/>
    <w:pPr>
      <w:keepLines/>
      <w:spacing w:before="80" w:line="240" w:lineRule="auto"/>
      <w:ind w:left="1588" w:hanging="794"/>
    </w:pPr>
    <w:rPr>
      <w:kern w:val="28"/>
    </w:rPr>
  </w:style>
  <w:style w:type="paragraph" w:customStyle="1" w:styleId="WRStyle">
    <w:name w:val="WR Style"/>
    <w:aliases w:val="WR"/>
    <w:basedOn w:val="OPCParaBase"/>
    <w:rsid w:val="00E5119C"/>
    <w:pPr>
      <w:spacing w:before="240" w:line="240" w:lineRule="auto"/>
      <w:ind w:left="284" w:hanging="284"/>
    </w:pPr>
    <w:rPr>
      <w:b/>
      <w:i/>
      <w:kern w:val="28"/>
      <w:sz w:val="24"/>
    </w:rPr>
  </w:style>
  <w:style w:type="paragraph" w:customStyle="1" w:styleId="notepara">
    <w:name w:val="note(para)"/>
    <w:aliases w:val="na"/>
    <w:basedOn w:val="OPCParaBase"/>
    <w:rsid w:val="00E5119C"/>
    <w:pPr>
      <w:spacing w:before="40" w:line="198" w:lineRule="exact"/>
      <w:ind w:left="2354" w:hanging="369"/>
    </w:pPr>
    <w:rPr>
      <w:sz w:val="18"/>
    </w:rPr>
  </w:style>
  <w:style w:type="paragraph" w:styleId="Footer">
    <w:name w:val="footer"/>
    <w:link w:val="FooterChar"/>
    <w:rsid w:val="00E511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5119C"/>
    <w:rPr>
      <w:rFonts w:eastAsia="Times New Roman" w:cs="Times New Roman"/>
      <w:sz w:val="22"/>
      <w:szCs w:val="24"/>
      <w:lang w:eastAsia="en-AU"/>
    </w:rPr>
  </w:style>
  <w:style w:type="character" w:styleId="LineNumber">
    <w:name w:val="line number"/>
    <w:basedOn w:val="OPCCharBase"/>
    <w:uiPriority w:val="99"/>
    <w:semiHidden/>
    <w:unhideWhenUsed/>
    <w:rsid w:val="00E5119C"/>
    <w:rPr>
      <w:sz w:val="16"/>
    </w:rPr>
  </w:style>
  <w:style w:type="table" w:customStyle="1" w:styleId="CFlag">
    <w:name w:val="CFlag"/>
    <w:basedOn w:val="TableNormal"/>
    <w:uiPriority w:val="99"/>
    <w:rsid w:val="00E5119C"/>
    <w:rPr>
      <w:rFonts w:eastAsia="Times New Roman" w:cs="Times New Roman"/>
      <w:lang w:eastAsia="en-AU"/>
    </w:rPr>
    <w:tblPr/>
  </w:style>
  <w:style w:type="paragraph" w:customStyle="1" w:styleId="SignCoverPageEnd">
    <w:name w:val="SignCoverPageEnd"/>
    <w:basedOn w:val="OPCParaBase"/>
    <w:next w:val="Normal"/>
    <w:rsid w:val="00E5119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5119C"/>
    <w:pPr>
      <w:pBdr>
        <w:top w:val="single" w:sz="4" w:space="1" w:color="auto"/>
      </w:pBdr>
      <w:spacing w:before="360"/>
      <w:ind w:right="397"/>
      <w:jc w:val="both"/>
    </w:pPr>
  </w:style>
  <w:style w:type="paragraph" w:customStyle="1" w:styleId="CompiledActNo">
    <w:name w:val="CompiledActNo"/>
    <w:basedOn w:val="OPCParaBase"/>
    <w:next w:val="Normal"/>
    <w:rsid w:val="00E5119C"/>
    <w:rPr>
      <w:b/>
      <w:sz w:val="24"/>
      <w:szCs w:val="24"/>
    </w:rPr>
  </w:style>
  <w:style w:type="paragraph" w:customStyle="1" w:styleId="ENotesText">
    <w:name w:val="ENotesText"/>
    <w:aliases w:val="Ent"/>
    <w:basedOn w:val="OPCParaBase"/>
    <w:next w:val="Normal"/>
    <w:rsid w:val="00E5119C"/>
    <w:pPr>
      <w:spacing w:before="120"/>
    </w:pPr>
  </w:style>
  <w:style w:type="paragraph" w:customStyle="1" w:styleId="CompiledMadeUnder">
    <w:name w:val="CompiledMadeUnder"/>
    <w:basedOn w:val="OPCParaBase"/>
    <w:next w:val="Normal"/>
    <w:rsid w:val="00E5119C"/>
    <w:rPr>
      <w:i/>
      <w:sz w:val="24"/>
      <w:szCs w:val="24"/>
    </w:rPr>
  </w:style>
  <w:style w:type="paragraph" w:customStyle="1" w:styleId="Paragraphsub-sub-sub">
    <w:name w:val="Paragraph(sub-sub-sub)"/>
    <w:aliases w:val="aaaa"/>
    <w:basedOn w:val="OPCParaBase"/>
    <w:rsid w:val="00E5119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511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511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511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5119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5119C"/>
    <w:pPr>
      <w:spacing w:before="60" w:line="240" w:lineRule="auto"/>
    </w:pPr>
    <w:rPr>
      <w:rFonts w:cs="Arial"/>
      <w:sz w:val="20"/>
      <w:szCs w:val="22"/>
    </w:rPr>
  </w:style>
  <w:style w:type="paragraph" w:customStyle="1" w:styleId="TableHeading">
    <w:name w:val="TableHeading"/>
    <w:aliases w:val="th"/>
    <w:basedOn w:val="OPCParaBase"/>
    <w:next w:val="Tabletext"/>
    <w:rsid w:val="00E5119C"/>
    <w:pPr>
      <w:keepNext/>
      <w:spacing w:before="60" w:line="240" w:lineRule="atLeast"/>
    </w:pPr>
    <w:rPr>
      <w:b/>
      <w:sz w:val="20"/>
    </w:rPr>
  </w:style>
  <w:style w:type="paragraph" w:customStyle="1" w:styleId="NoteToSubpara">
    <w:name w:val="NoteToSubpara"/>
    <w:aliases w:val="nts"/>
    <w:basedOn w:val="OPCParaBase"/>
    <w:rsid w:val="00E5119C"/>
    <w:pPr>
      <w:spacing w:before="40" w:line="198" w:lineRule="exact"/>
      <w:ind w:left="2835" w:hanging="709"/>
    </w:pPr>
    <w:rPr>
      <w:sz w:val="18"/>
    </w:rPr>
  </w:style>
  <w:style w:type="paragraph" w:customStyle="1" w:styleId="ENoteTableHeading">
    <w:name w:val="ENoteTableHeading"/>
    <w:aliases w:val="enth"/>
    <w:basedOn w:val="OPCParaBase"/>
    <w:rsid w:val="00E5119C"/>
    <w:pPr>
      <w:keepNext/>
      <w:spacing w:before="60" w:line="240" w:lineRule="atLeast"/>
    </w:pPr>
    <w:rPr>
      <w:rFonts w:ascii="Arial" w:hAnsi="Arial"/>
      <w:b/>
      <w:sz w:val="16"/>
    </w:rPr>
  </w:style>
  <w:style w:type="paragraph" w:customStyle="1" w:styleId="ENoteTableText">
    <w:name w:val="ENoteTableText"/>
    <w:aliases w:val="entt"/>
    <w:basedOn w:val="OPCParaBase"/>
    <w:rsid w:val="00E5119C"/>
    <w:pPr>
      <w:spacing w:before="60" w:line="240" w:lineRule="atLeast"/>
    </w:pPr>
    <w:rPr>
      <w:sz w:val="16"/>
    </w:rPr>
  </w:style>
  <w:style w:type="paragraph" w:customStyle="1" w:styleId="ENoteTTi">
    <w:name w:val="ENoteTTi"/>
    <w:aliases w:val="entti"/>
    <w:basedOn w:val="OPCParaBase"/>
    <w:rsid w:val="00E5119C"/>
    <w:pPr>
      <w:keepNext/>
      <w:spacing w:before="60" w:line="240" w:lineRule="atLeast"/>
      <w:ind w:left="170"/>
    </w:pPr>
    <w:rPr>
      <w:sz w:val="16"/>
    </w:rPr>
  </w:style>
  <w:style w:type="paragraph" w:customStyle="1" w:styleId="ENoteTTIndentHeading">
    <w:name w:val="ENoteTTIndentHeading"/>
    <w:aliases w:val="enTTHi"/>
    <w:basedOn w:val="OPCParaBase"/>
    <w:rsid w:val="00E5119C"/>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5119C"/>
    <w:pPr>
      <w:spacing w:before="120"/>
      <w:outlineLvl w:val="1"/>
    </w:pPr>
    <w:rPr>
      <w:b/>
      <w:sz w:val="28"/>
      <w:szCs w:val="28"/>
    </w:rPr>
  </w:style>
  <w:style w:type="paragraph" w:customStyle="1" w:styleId="ENotesHeading2">
    <w:name w:val="ENotesHeading 2"/>
    <w:aliases w:val="Enh2"/>
    <w:basedOn w:val="OPCParaBase"/>
    <w:next w:val="Normal"/>
    <w:rsid w:val="00E5119C"/>
    <w:pPr>
      <w:spacing w:before="120" w:after="120"/>
      <w:outlineLvl w:val="2"/>
    </w:pPr>
    <w:rPr>
      <w:b/>
      <w:sz w:val="24"/>
      <w:szCs w:val="28"/>
    </w:rPr>
  </w:style>
  <w:style w:type="paragraph" w:customStyle="1" w:styleId="MadeunderText">
    <w:name w:val="MadeunderText"/>
    <w:basedOn w:val="OPCParaBase"/>
    <w:next w:val="CompiledMadeUnder"/>
    <w:rsid w:val="00E5119C"/>
    <w:pPr>
      <w:spacing w:before="240"/>
    </w:pPr>
    <w:rPr>
      <w:sz w:val="24"/>
      <w:szCs w:val="24"/>
    </w:rPr>
  </w:style>
  <w:style w:type="paragraph" w:customStyle="1" w:styleId="ENotesHeading3">
    <w:name w:val="ENotesHeading 3"/>
    <w:aliases w:val="Enh3"/>
    <w:basedOn w:val="OPCParaBase"/>
    <w:next w:val="Normal"/>
    <w:rsid w:val="00E5119C"/>
    <w:pPr>
      <w:keepNext/>
      <w:spacing w:before="120" w:line="240" w:lineRule="auto"/>
      <w:outlineLvl w:val="4"/>
    </w:pPr>
    <w:rPr>
      <w:b/>
      <w:szCs w:val="24"/>
    </w:rPr>
  </w:style>
  <w:style w:type="character" w:customStyle="1" w:styleId="CharSubPartNoCASA">
    <w:name w:val="CharSubPartNo(CASA)"/>
    <w:basedOn w:val="OPCCharBase"/>
    <w:uiPriority w:val="1"/>
    <w:rsid w:val="00E5119C"/>
  </w:style>
  <w:style w:type="character" w:customStyle="1" w:styleId="CharSubPartTextCASA">
    <w:name w:val="CharSubPartText(CASA)"/>
    <w:basedOn w:val="OPCCharBase"/>
    <w:uiPriority w:val="1"/>
    <w:rsid w:val="00E5119C"/>
  </w:style>
  <w:style w:type="paragraph" w:customStyle="1" w:styleId="SubPartCASA">
    <w:name w:val="SubPart(CASA)"/>
    <w:aliases w:val="csp"/>
    <w:basedOn w:val="OPCParaBase"/>
    <w:next w:val="ActHead3"/>
    <w:rsid w:val="00E5119C"/>
    <w:pPr>
      <w:keepNext/>
      <w:keepLines/>
      <w:spacing w:before="280"/>
      <w:outlineLvl w:val="1"/>
    </w:pPr>
    <w:rPr>
      <w:b/>
      <w:kern w:val="28"/>
      <w:sz w:val="32"/>
    </w:rPr>
  </w:style>
  <w:style w:type="paragraph" w:customStyle="1" w:styleId="ENoteTTIndentHeadingSub">
    <w:name w:val="ENoteTTIndentHeadingSub"/>
    <w:aliases w:val="enTTHis"/>
    <w:basedOn w:val="OPCParaBase"/>
    <w:rsid w:val="00E5119C"/>
    <w:pPr>
      <w:keepNext/>
      <w:spacing w:before="60" w:line="240" w:lineRule="atLeast"/>
      <w:ind w:left="340"/>
    </w:pPr>
    <w:rPr>
      <w:b/>
      <w:sz w:val="16"/>
    </w:rPr>
  </w:style>
  <w:style w:type="paragraph" w:customStyle="1" w:styleId="ENoteTTiSub">
    <w:name w:val="ENoteTTiSub"/>
    <w:aliases w:val="enttis"/>
    <w:basedOn w:val="OPCParaBase"/>
    <w:rsid w:val="00E5119C"/>
    <w:pPr>
      <w:keepNext/>
      <w:spacing w:before="60" w:line="240" w:lineRule="atLeast"/>
      <w:ind w:left="340"/>
    </w:pPr>
    <w:rPr>
      <w:sz w:val="16"/>
    </w:rPr>
  </w:style>
  <w:style w:type="paragraph" w:customStyle="1" w:styleId="SubDivisionMigration">
    <w:name w:val="SubDivisionMigration"/>
    <w:aliases w:val="sdm"/>
    <w:basedOn w:val="OPCParaBase"/>
    <w:rsid w:val="00E511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5119C"/>
    <w:pPr>
      <w:keepNext/>
      <w:keepLines/>
      <w:spacing w:before="240" w:line="240" w:lineRule="auto"/>
      <w:ind w:left="1134" w:hanging="1134"/>
    </w:pPr>
    <w:rPr>
      <w:b/>
      <w:sz w:val="28"/>
    </w:rPr>
  </w:style>
  <w:style w:type="table" w:styleId="TableGrid">
    <w:name w:val="Table Grid"/>
    <w:basedOn w:val="TableNormal"/>
    <w:uiPriority w:val="59"/>
    <w:rsid w:val="00E5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5119C"/>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E511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5119C"/>
    <w:rPr>
      <w:sz w:val="22"/>
    </w:rPr>
  </w:style>
  <w:style w:type="paragraph" w:customStyle="1" w:styleId="SOTextNote">
    <w:name w:val="SO TextNote"/>
    <w:aliases w:val="sont"/>
    <w:basedOn w:val="SOText"/>
    <w:qFormat/>
    <w:rsid w:val="00E5119C"/>
    <w:pPr>
      <w:spacing w:before="122" w:line="198" w:lineRule="exact"/>
      <w:ind w:left="1843" w:hanging="709"/>
    </w:pPr>
    <w:rPr>
      <w:sz w:val="18"/>
    </w:rPr>
  </w:style>
  <w:style w:type="paragraph" w:customStyle="1" w:styleId="SOPara">
    <w:name w:val="SO Para"/>
    <w:aliases w:val="soa"/>
    <w:basedOn w:val="SOText"/>
    <w:link w:val="SOParaChar"/>
    <w:qFormat/>
    <w:rsid w:val="00E5119C"/>
    <w:pPr>
      <w:tabs>
        <w:tab w:val="right" w:pos="1786"/>
      </w:tabs>
      <w:spacing w:before="40"/>
      <w:ind w:left="2070" w:hanging="936"/>
    </w:pPr>
  </w:style>
  <w:style w:type="character" w:customStyle="1" w:styleId="SOParaChar">
    <w:name w:val="SO Para Char"/>
    <w:aliases w:val="soa Char"/>
    <w:basedOn w:val="DefaultParagraphFont"/>
    <w:link w:val="SOPara"/>
    <w:rsid w:val="00E5119C"/>
    <w:rPr>
      <w:sz w:val="22"/>
    </w:rPr>
  </w:style>
  <w:style w:type="paragraph" w:customStyle="1" w:styleId="SOBullet">
    <w:name w:val="SO Bullet"/>
    <w:aliases w:val="sotb"/>
    <w:basedOn w:val="Normal"/>
    <w:link w:val="SOBulletChar"/>
    <w:qFormat/>
    <w:rsid w:val="00E5119C"/>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E5119C"/>
    <w:rPr>
      <w:sz w:val="22"/>
    </w:rPr>
  </w:style>
  <w:style w:type="paragraph" w:customStyle="1" w:styleId="SOBulletNote">
    <w:name w:val="SO BulletNote"/>
    <w:aliases w:val="sonb"/>
    <w:basedOn w:val="SOTextNote"/>
    <w:link w:val="SOBulletNoteChar"/>
    <w:qFormat/>
    <w:rsid w:val="00E5119C"/>
    <w:pPr>
      <w:tabs>
        <w:tab w:val="left" w:pos="1560"/>
      </w:tabs>
      <w:ind w:left="2268" w:hanging="1134"/>
    </w:pPr>
  </w:style>
  <w:style w:type="character" w:customStyle="1" w:styleId="SOBulletNoteChar">
    <w:name w:val="SO BulletNote Char"/>
    <w:aliases w:val="sonb Char"/>
    <w:basedOn w:val="DefaultParagraphFont"/>
    <w:link w:val="SOBulletNote"/>
    <w:rsid w:val="00E5119C"/>
    <w:rPr>
      <w:sz w:val="18"/>
    </w:rPr>
  </w:style>
  <w:style w:type="paragraph" w:customStyle="1" w:styleId="FileName">
    <w:name w:val="FileName"/>
    <w:basedOn w:val="Normal"/>
    <w:rsid w:val="00E5119C"/>
  </w:style>
  <w:style w:type="paragraph" w:customStyle="1" w:styleId="SOHeadBold">
    <w:name w:val="SO HeadBold"/>
    <w:aliases w:val="sohb"/>
    <w:basedOn w:val="SOText"/>
    <w:next w:val="SOText"/>
    <w:link w:val="SOHeadBoldChar"/>
    <w:qFormat/>
    <w:rsid w:val="00E5119C"/>
    <w:rPr>
      <w:b/>
    </w:rPr>
  </w:style>
  <w:style w:type="character" w:customStyle="1" w:styleId="SOHeadBoldChar">
    <w:name w:val="SO HeadBold Char"/>
    <w:aliases w:val="sohb Char"/>
    <w:basedOn w:val="DefaultParagraphFont"/>
    <w:link w:val="SOHeadBold"/>
    <w:rsid w:val="00E5119C"/>
    <w:rPr>
      <w:b/>
      <w:sz w:val="22"/>
    </w:rPr>
  </w:style>
  <w:style w:type="paragraph" w:customStyle="1" w:styleId="SOHeadItalic">
    <w:name w:val="SO HeadItalic"/>
    <w:aliases w:val="sohi"/>
    <w:basedOn w:val="SOText"/>
    <w:next w:val="SOText"/>
    <w:link w:val="SOHeadItalicChar"/>
    <w:qFormat/>
    <w:rsid w:val="00E5119C"/>
    <w:rPr>
      <w:i/>
    </w:rPr>
  </w:style>
  <w:style w:type="character" w:customStyle="1" w:styleId="SOHeadItalicChar">
    <w:name w:val="SO HeadItalic Char"/>
    <w:aliases w:val="sohi Char"/>
    <w:basedOn w:val="DefaultParagraphFont"/>
    <w:link w:val="SOHeadItalic"/>
    <w:rsid w:val="00E5119C"/>
    <w:rPr>
      <w:i/>
      <w:sz w:val="22"/>
    </w:rPr>
  </w:style>
  <w:style w:type="paragraph" w:customStyle="1" w:styleId="SOText2">
    <w:name w:val="SO Text2"/>
    <w:aliases w:val="sot2"/>
    <w:basedOn w:val="Normal"/>
    <w:next w:val="SOText"/>
    <w:link w:val="SOText2Char"/>
    <w:rsid w:val="00E511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5119C"/>
    <w:rPr>
      <w:sz w:val="22"/>
    </w:rPr>
  </w:style>
  <w:style w:type="character" w:customStyle="1" w:styleId="DefinitionChar">
    <w:name w:val="Definition Char"/>
    <w:aliases w:val="dd Char"/>
    <w:link w:val="Definition"/>
    <w:rsid w:val="001F2AB4"/>
    <w:rPr>
      <w:rFonts w:eastAsia="Times New Roman" w:cs="Times New Roman"/>
      <w:sz w:val="22"/>
      <w:lang w:eastAsia="en-AU"/>
    </w:rPr>
  </w:style>
  <w:style w:type="paragraph" w:styleId="BalloonText">
    <w:name w:val="Balloon Text"/>
    <w:basedOn w:val="Normal"/>
    <w:link w:val="BalloonTextChar"/>
    <w:uiPriority w:val="99"/>
    <w:semiHidden/>
    <w:unhideWhenUsed/>
    <w:rsid w:val="00610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581"/>
    <w:rPr>
      <w:rFonts w:ascii="Tahoma" w:hAnsi="Tahoma" w:cs="Tahoma"/>
      <w:sz w:val="16"/>
      <w:szCs w:val="16"/>
    </w:rPr>
  </w:style>
  <w:style w:type="character" w:customStyle="1" w:styleId="subsectionChar">
    <w:name w:val="subsection Char"/>
    <w:aliases w:val="ss Char"/>
    <w:link w:val="subsection"/>
    <w:rsid w:val="00ED4EFF"/>
    <w:rPr>
      <w:rFonts w:eastAsia="Times New Roman" w:cs="Times New Roman"/>
      <w:sz w:val="22"/>
      <w:lang w:eastAsia="en-AU"/>
    </w:rPr>
  </w:style>
  <w:style w:type="character" w:customStyle="1" w:styleId="paragraphChar">
    <w:name w:val="paragraph Char"/>
    <w:aliases w:val="a Char"/>
    <w:link w:val="paragraph"/>
    <w:rsid w:val="001D65FE"/>
    <w:rPr>
      <w:rFonts w:eastAsia="Times New Roman" w:cs="Times New Roman"/>
      <w:sz w:val="22"/>
      <w:lang w:eastAsia="en-AU"/>
    </w:rPr>
  </w:style>
  <w:style w:type="character" w:customStyle="1" w:styleId="notetextChar">
    <w:name w:val="note(text) Char"/>
    <w:aliases w:val="n Char"/>
    <w:basedOn w:val="DefaultParagraphFont"/>
    <w:link w:val="notetext"/>
    <w:rsid w:val="001D65FE"/>
    <w:rPr>
      <w:rFonts w:eastAsia="Times New Roman" w:cs="Times New Roman"/>
      <w:sz w:val="18"/>
      <w:lang w:eastAsia="en-AU"/>
    </w:rPr>
  </w:style>
  <w:style w:type="character" w:customStyle="1" w:styleId="ActHead5Char">
    <w:name w:val="ActHead 5 Char"/>
    <w:aliases w:val="s Char"/>
    <w:link w:val="ActHead5"/>
    <w:locked/>
    <w:rsid w:val="008668DC"/>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C64C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4C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4C8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64C8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64C8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64C8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64C8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64C8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64C86"/>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06C0A"/>
    <w:pPr>
      <w:spacing w:before="800"/>
    </w:pPr>
  </w:style>
  <w:style w:type="character" w:customStyle="1" w:styleId="OPCParaBaseChar">
    <w:name w:val="OPCParaBase Char"/>
    <w:basedOn w:val="DefaultParagraphFont"/>
    <w:link w:val="OPCParaBase"/>
    <w:rsid w:val="00D06C0A"/>
    <w:rPr>
      <w:rFonts w:eastAsia="Times New Roman" w:cs="Times New Roman"/>
      <w:sz w:val="22"/>
      <w:lang w:eastAsia="en-AU"/>
    </w:rPr>
  </w:style>
  <w:style w:type="character" w:customStyle="1" w:styleId="ShortTChar">
    <w:name w:val="ShortT Char"/>
    <w:basedOn w:val="OPCParaBaseChar"/>
    <w:link w:val="ShortT"/>
    <w:rsid w:val="00D06C0A"/>
    <w:rPr>
      <w:rFonts w:eastAsia="Times New Roman" w:cs="Times New Roman"/>
      <w:b/>
      <w:sz w:val="40"/>
      <w:lang w:eastAsia="en-AU"/>
    </w:rPr>
  </w:style>
  <w:style w:type="character" w:customStyle="1" w:styleId="ShortTP1Char">
    <w:name w:val="ShortTP1 Char"/>
    <w:basedOn w:val="ShortTChar"/>
    <w:link w:val="ShortTP1"/>
    <w:rsid w:val="00D06C0A"/>
    <w:rPr>
      <w:rFonts w:eastAsia="Times New Roman" w:cs="Times New Roman"/>
      <w:b/>
      <w:sz w:val="40"/>
      <w:lang w:eastAsia="en-AU"/>
    </w:rPr>
  </w:style>
  <w:style w:type="paragraph" w:customStyle="1" w:styleId="ActNoP1">
    <w:name w:val="ActNoP1"/>
    <w:basedOn w:val="Actno"/>
    <w:link w:val="ActNoP1Char"/>
    <w:rsid w:val="00D06C0A"/>
    <w:pPr>
      <w:spacing w:before="800"/>
    </w:pPr>
    <w:rPr>
      <w:sz w:val="28"/>
    </w:rPr>
  </w:style>
  <w:style w:type="character" w:customStyle="1" w:styleId="ActnoChar">
    <w:name w:val="Actno Char"/>
    <w:basedOn w:val="ShortTChar"/>
    <w:link w:val="Actno"/>
    <w:rsid w:val="00D06C0A"/>
    <w:rPr>
      <w:rFonts w:eastAsia="Times New Roman" w:cs="Times New Roman"/>
      <w:b/>
      <w:sz w:val="40"/>
      <w:lang w:eastAsia="en-AU"/>
    </w:rPr>
  </w:style>
  <w:style w:type="character" w:customStyle="1" w:styleId="ActNoP1Char">
    <w:name w:val="ActNoP1 Char"/>
    <w:basedOn w:val="ActnoChar"/>
    <w:link w:val="ActNoP1"/>
    <w:rsid w:val="00D06C0A"/>
    <w:rPr>
      <w:rFonts w:eastAsia="Times New Roman" w:cs="Times New Roman"/>
      <w:b/>
      <w:sz w:val="28"/>
      <w:lang w:eastAsia="en-AU"/>
    </w:rPr>
  </w:style>
  <w:style w:type="paragraph" w:customStyle="1" w:styleId="ShortTCP">
    <w:name w:val="ShortTCP"/>
    <w:basedOn w:val="ShortT"/>
    <w:link w:val="ShortTCPChar"/>
    <w:rsid w:val="00D06C0A"/>
  </w:style>
  <w:style w:type="character" w:customStyle="1" w:styleId="ShortTCPChar">
    <w:name w:val="ShortTCP Char"/>
    <w:basedOn w:val="ShortTChar"/>
    <w:link w:val="ShortTCP"/>
    <w:rsid w:val="00D06C0A"/>
    <w:rPr>
      <w:rFonts w:eastAsia="Times New Roman" w:cs="Times New Roman"/>
      <w:b/>
      <w:sz w:val="40"/>
      <w:lang w:eastAsia="en-AU"/>
    </w:rPr>
  </w:style>
  <w:style w:type="paragraph" w:customStyle="1" w:styleId="ActNoCP">
    <w:name w:val="ActNoCP"/>
    <w:basedOn w:val="Actno"/>
    <w:link w:val="ActNoCPChar"/>
    <w:rsid w:val="00D06C0A"/>
    <w:pPr>
      <w:spacing w:before="400"/>
    </w:pPr>
  </w:style>
  <w:style w:type="character" w:customStyle="1" w:styleId="ActNoCPChar">
    <w:name w:val="ActNoCP Char"/>
    <w:basedOn w:val="ActnoChar"/>
    <w:link w:val="ActNoCP"/>
    <w:rsid w:val="00D06C0A"/>
    <w:rPr>
      <w:rFonts w:eastAsia="Times New Roman" w:cs="Times New Roman"/>
      <w:b/>
      <w:sz w:val="40"/>
      <w:lang w:eastAsia="en-AU"/>
    </w:rPr>
  </w:style>
  <w:style w:type="paragraph" w:customStyle="1" w:styleId="AssentBk">
    <w:name w:val="AssentBk"/>
    <w:basedOn w:val="Normal"/>
    <w:rsid w:val="00D06C0A"/>
    <w:pPr>
      <w:spacing w:line="240" w:lineRule="auto"/>
    </w:pPr>
    <w:rPr>
      <w:rFonts w:eastAsia="Times New Roman" w:cs="Times New Roman"/>
      <w:sz w:val="20"/>
      <w:lang w:eastAsia="en-AU"/>
    </w:rPr>
  </w:style>
  <w:style w:type="paragraph" w:customStyle="1" w:styleId="AssentDt">
    <w:name w:val="AssentDt"/>
    <w:basedOn w:val="Normal"/>
    <w:rsid w:val="00B55212"/>
    <w:pPr>
      <w:spacing w:line="240" w:lineRule="auto"/>
    </w:pPr>
    <w:rPr>
      <w:rFonts w:eastAsia="Times New Roman" w:cs="Times New Roman"/>
      <w:sz w:val="20"/>
      <w:lang w:eastAsia="en-AU"/>
    </w:rPr>
  </w:style>
  <w:style w:type="paragraph" w:customStyle="1" w:styleId="2ndRd">
    <w:name w:val="2ndRd"/>
    <w:basedOn w:val="Normal"/>
    <w:rsid w:val="00B55212"/>
    <w:pPr>
      <w:spacing w:line="240" w:lineRule="auto"/>
    </w:pPr>
    <w:rPr>
      <w:rFonts w:eastAsia="Times New Roman" w:cs="Times New Roman"/>
      <w:sz w:val="20"/>
      <w:lang w:eastAsia="en-AU"/>
    </w:rPr>
  </w:style>
  <w:style w:type="paragraph" w:customStyle="1" w:styleId="ScalePlusRef">
    <w:name w:val="ScalePlusRef"/>
    <w:basedOn w:val="Normal"/>
    <w:rsid w:val="00B5521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119C"/>
    <w:pPr>
      <w:spacing w:line="260" w:lineRule="atLeast"/>
    </w:pPr>
    <w:rPr>
      <w:sz w:val="22"/>
    </w:rPr>
  </w:style>
  <w:style w:type="paragraph" w:styleId="Heading1">
    <w:name w:val="heading 1"/>
    <w:basedOn w:val="Normal"/>
    <w:next w:val="Normal"/>
    <w:link w:val="Heading1Char"/>
    <w:uiPriority w:val="9"/>
    <w:qFormat/>
    <w:rsid w:val="00C64C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4C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4C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4C8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4C8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4C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4C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4C8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64C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5119C"/>
  </w:style>
  <w:style w:type="paragraph" w:customStyle="1" w:styleId="OPCParaBase">
    <w:name w:val="OPCParaBase"/>
    <w:link w:val="OPCParaBaseChar"/>
    <w:qFormat/>
    <w:rsid w:val="00E5119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5119C"/>
    <w:pPr>
      <w:spacing w:line="240" w:lineRule="auto"/>
    </w:pPr>
    <w:rPr>
      <w:b/>
      <w:sz w:val="40"/>
    </w:rPr>
  </w:style>
  <w:style w:type="paragraph" w:customStyle="1" w:styleId="ActHead1">
    <w:name w:val="ActHead 1"/>
    <w:aliases w:val="c"/>
    <w:basedOn w:val="OPCParaBase"/>
    <w:next w:val="Normal"/>
    <w:qFormat/>
    <w:rsid w:val="00E511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511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511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511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511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511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511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511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5119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5119C"/>
  </w:style>
  <w:style w:type="paragraph" w:customStyle="1" w:styleId="Blocks">
    <w:name w:val="Blocks"/>
    <w:aliases w:val="bb"/>
    <w:basedOn w:val="OPCParaBase"/>
    <w:qFormat/>
    <w:rsid w:val="00E5119C"/>
    <w:pPr>
      <w:spacing w:line="240" w:lineRule="auto"/>
    </w:pPr>
    <w:rPr>
      <w:sz w:val="24"/>
    </w:rPr>
  </w:style>
  <w:style w:type="paragraph" w:customStyle="1" w:styleId="BoxText">
    <w:name w:val="BoxText"/>
    <w:aliases w:val="bt"/>
    <w:basedOn w:val="OPCParaBase"/>
    <w:qFormat/>
    <w:rsid w:val="00E511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5119C"/>
    <w:rPr>
      <w:b/>
    </w:rPr>
  </w:style>
  <w:style w:type="paragraph" w:customStyle="1" w:styleId="BoxHeadItalic">
    <w:name w:val="BoxHeadItalic"/>
    <w:aliases w:val="bhi"/>
    <w:basedOn w:val="BoxText"/>
    <w:next w:val="BoxStep"/>
    <w:qFormat/>
    <w:rsid w:val="00E5119C"/>
    <w:rPr>
      <w:i/>
    </w:rPr>
  </w:style>
  <w:style w:type="paragraph" w:customStyle="1" w:styleId="BoxList">
    <w:name w:val="BoxList"/>
    <w:aliases w:val="bl"/>
    <w:basedOn w:val="BoxText"/>
    <w:qFormat/>
    <w:rsid w:val="00E5119C"/>
    <w:pPr>
      <w:ind w:left="1559" w:hanging="425"/>
    </w:pPr>
  </w:style>
  <w:style w:type="paragraph" w:customStyle="1" w:styleId="BoxNote">
    <w:name w:val="BoxNote"/>
    <w:aliases w:val="bn"/>
    <w:basedOn w:val="BoxText"/>
    <w:qFormat/>
    <w:rsid w:val="00E5119C"/>
    <w:pPr>
      <w:tabs>
        <w:tab w:val="left" w:pos="1985"/>
      </w:tabs>
      <w:spacing w:before="122" w:line="198" w:lineRule="exact"/>
      <w:ind w:left="2948" w:hanging="1814"/>
    </w:pPr>
    <w:rPr>
      <w:sz w:val="18"/>
    </w:rPr>
  </w:style>
  <w:style w:type="paragraph" w:customStyle="1" w:styleId="BoxPara">
    <w:name w:val="BoxPara"/>
    <w:aliases w:val="bp"/>
    <w:basedOn w:val="BoxText"/>
    <w:qFormat/>
    <w:rsid w:val="00E5119C"/>
    <w:pPr>
      <w:tabs>
        <w:tab w:val="right" w:pos="2268"/>
      </w:tabs>
      <w:ind w:left="2552" w:hanging="1418"/>
    </w:pPr>
  </w:style>
  <w:style w:type="paragraph" w:customStyle="1" w:styleId="BoxStep">
    <w:name w:val="BoxStep"/>
    <w:aliases w:val="bs"/>
    <w:basedOn w:val="BoxText"/>
    <w:qFormat/>
    <w:rsid w:val="00E5119C"/>
    <w:pPr>
      <w:ind w:left="1985" w:hanging="851"/>
    </w:pPr>
  </w:style>
  <w:style w:type="character" w:customStyle="1" w:styleId="CharAmPartNo">
    <w:name w:val="CharAmPartNo"/>
    <w:basedOn w:val="OPCCharBase"/>
    <w:uiPriority w:val="1"/>
    <w:qFormat/>
    <w:rsid w:val="00E5119C"/>
  </w:style>
  <w:style w:type="character" w:customStyle="1" w:styleId="CharAmPartText">
    <w:name w:val="CharAmPartText"/>
    <w:basedOn w:val="OPCCharBase"/>
    <w:uiPriority w:val="1"/>
    <w:qFormat/>
    <w:rsid w:val="00E5119C"/>
  </w:style>
  <w:style w:type="character" w:customStyle="1" w:styleId="CharAmSchNo">
    <w:name w:val="CharAmSchNo"/>
    <w:basedOn w:val="OPCCharBase"/>
    <w:uiPriority w:val="1"/>
    <w:qFormat/>
    <w:rsid w:val="00E5119C"/>
  </w:style>
  <w:style w:type="character" w:customStyle="1" w:styleId="CharAmSchText">
    <w:name w:val="CharAmSchText"/>
    <w:basedOn w:val="OPCCharBase"/>
    <w:uiPriority w:val="1"/>
    <w:qFormat/>
    <w:rsid w:val="00E5119C"/>
  </w:style>
  <w:style w:type="character" w:customStyle="1" w:styleId="CharBoldItalic">
    <w:name w:val="CharBoldItalic"/>
    <w:basedOn w:val="OPCCharBase"/>
    <w:uiPriority w:val="1"/>
    <w:qFormat/>
    <w:rsid w:val="00E5119C"/>
    <w:rPr>
      <w:b/>
      <w:i/>
    </w:rPr>
  </w:style>
  <w:style w:type="character" w:customStyle="1" w:styleId="CharChapNo">
    <w:name w:val="CharChapNo"/>
    <w:basedOn w:val="OPCCharBase"/>
    <w:qFormat/>
    <w:rsid w:val="00E5119C"/>
  </w:style>
  <w:style w:type="character" w:customStyle="1" w:styleId="CharChapText">
    <w:name w:val="CharChapText"/>
    <w:basedOn w:val="OPCCharBase"/>
    <w:qFormat/>
    <w:rsid w:val="00E5119C"/>
  </w:style>
  <w:style w:type="character" w:customStyle="1" w:styleId="CharDivNo">
    <w:name w:val="CharDivNo"/>
    <w:basedOn w:val="OPCCharBase"/>
    <w:qFormat/>
    <w:rsid w:val="00E5119C"/>
  </w:style>
  <w:style w:type="character" w:customStyle="1" w:styleId="CharDivText">
    <w:name w:val="CharDivText"/>
    <w:basedOn w:val="OPCCharBase"/>
    <w:qFormat/>
    <w:rsid w:val="00E5119C"/>
  </w:style>
  <w:style w:type="character" w:customStyle="1" w:styleId="CharItalic">
    <w:name w:val="CharItalic"/>
    <w:basedOn w:val="OPCCharBase"/>
    <w:uiPriority w:val="1"/>
    <w:qFormat/>
    <w:rsid w:val="00E5119C"/>
    <w:rPr>
      <w:i/>
    </w:rPr>
  </w:style>
  <w:style w:type="character" w:customStyle="1" w:styleId="CharPartNo">
    <w:name w:val="CharPartNo"/>
    <w:basedOn w:val="OPCCharBase"/>
    <w:qFormat/>
    <w:rsid w:val="00E5119C"/>
  </w:style>
  <w:style w:type="character" w:customStyle="1" w:styleId="CharPartText">
    <w:name w:val="CharPartText"/>
    <w:basedOn w:val="OPCCharBase"/>
    <w:qFormat/>
    <w:rsid w:val="00E5119C"/>
  </w:style>
  <w:style w:type="character" w:customStyle="1" w:styleId="CharSectno">
    <w:name w:val="CharSectno"/>
    <w:basedOn w:val="OPCCharBase"/>
    <w:qFormat/>
    <w:rsid w:val="00E5119C"/>
  </w:style>
  <w:style w:type="character" w:customStyle="1" w:styleId="CharSubdNo">
    <w:name w:val="CharSubdNo"/>
    <w:basedOn w:val="OPCCharBase"/>
    <w:uiPriority w:val="1"/>
    <w:qFormat/>
    <w:rsid w:val="00E5119C"/>
  </w:style>
  <w:style w:type="character" w:customStyle="1" w:styleId="CharSubdText">
    <w:name w:val="CharSubdText"/>
    <w:basedOn w:val="OPCCharBase"/>
    <w:uiPriority w:val="1"/>
    <w:qFormat/>
    <w:rsid w:val="00E5119C"/>
  </w:style>
  <w:style w:type="paragraph" w:customStyle="1" w:styleId="CTA--">
    <w:name w:val="CTA --"/>
    <w:basedOn w:val="OPCParaBase"/>
    <w:next w:val="Normal"/>
    <w:rsid w:val="00E5119C"/>
    <w:pPr>
      <w:spacing w:before="60" w:line="240" w:lineRule="atLeast"/>
      <w:ind w:left="142" w:hanging="142"/>
    </w:pPr>
    <w:rPr>
      <w:sz w:val="20"/>
    </w:rPr>
  </w:style>
  <w:style w:type="paragraph" w:customStyle="1" w:styleId="CTA-">
    <w:name w:val="CTA -"/>
    <w:basedOn w:val="OPCParaBase"/>
    <w:rsid w:val="00E5119C"/>
    <w:pPr>
      <w:spacing w:before="60" w:line="240" w:lineRule="atLeast"/>
      <w:ind w:left="85" w:hanging="85"/>
    </w:pPr>
    <w:rPr>
      <w:sz w:val="20"/>
    </w:rPr>
  </w:style>
  <w:style w:type="paragraph" w:customStyle="1" w:styleId="CTA---">
    <w:name w:val="CTA ---"/>
    <w:basedOn w:val="OPCParaBase"/>
    <w:next w:val="Normal"/>
    <w:rsid w:val="00E5119C"/>
    <w:pPr>
      <w:spacing w:before="60" w:line="240" w:lineRule="atLeast"/>
      <w:ind w:left="198" w:hanging="198"/>
    </w:pPr>
    <w:rPr>
      <w:sz w:val="20"/>
    </w:rPr>
  </w:style>
  <w:style w:type="paragraph" w:customStyle="1" w:styleId="CTA----">
    <w:name w:val="CTA ----"/>
    <w:basedOn w:val="OPCParaBase"/>
    <w:next w:val="Normal"/>
    <w:rsid w:val="00E5119C"/>
    <w:pPr>
      <w:spacing w:before="60" w:line="240" w:lineRule="atLeast"/>
      <w:ind w:left="255" w:hanging="255"/>
    </w:pPr>
    <w:rPr>
      <w:sz w:val="20"/>
    </w:rPr>
  </w:style>
  <w:style w:type="paragraph" w:customStyle="1" w:styleId="CTA1a">
    <w:name w:val="CTA 1(a)"/>
    <w:basedOn w:val="OPCParaBase"/>
    <w:rsid w:val="00E5119C"/>
    <w:pPr>
      <w:tabs>
        <w:tab w:val="right" w:pos="414"/>
      </w:tabs>
      <w:spacing w:before="40" w:line="240" w:lineRule="atLeast"/>
      <w:ind w:left="675" w:hanging="675"/>
    </w:pPr>
    <w:rPr>
      <w:sz w:val="20"/>
    </w:rPr>
  </w:style>
  <w:style w:type="paragraph" w:customStyle="1" w:styleId="CTA1ai">
    <w:name w:val="CTA 1(a)(i)"/>
    <w:basedOn w:val="OPCParaBase"/>
    <w:rsid w:val="00E5119C"/>
    <w:pPr>
      <w:tabs>
        <w:tab w:val="right" w:pos="1004"/>
      </w:tabs>
      <w:spacing w:before="40" w:line="240" w:lineRule="atLeast"/>
      <w:ind w:left="1253" w:hanging="1253"/>
    </w:pPr>
    <w:rPr>
      <w:sz w:val="20"/>
    </w:rPr>
  </w:style>
  <w:style w:type="paragraph" w:customStyle="1" w:styleId="CTA2a">
    <w:name w:val="CTA 2(a)"/>
    <w:basedOn w:val="OPCParaBase"/>
    <w:rsid w:val="00E5119C"/>
    <w:pPr>
      <w:tabs>
        <w:tab w:val="right" w:pos="482"/>
      </w:tabs>
      <w:spacing w:before="40" w:line="240" w:lineRule="atLeast"/>
      <w:ind w:left="748" w:hanging="748"/>
    </w:pPr>
    <w:rPr>
      <w:sz w:val="20"/>
    </w:rPr>
  </w:style>
  <w:style w:type="paragraph" w:customStyle="1" w:styleId="CTA2ai">
    <w:name w:val="CTA 2(a)(i)"/>
    <w:basedOn w:val="OPCParaBase"/>
    <w:rsid w:val="00E5119C"/>
    <w:pPr>
      <w:tabs>
        <w:tab w:val="right" w:pos="1089"/>
      </w:tabs>
      <w:spacing w:before="40" w:line="240" w:lineRule="atLeast"/>
      <w:ind w:left="1327" w:hanging="1327"/>
    </w:pPr>
    <w:rPr>
      <w:sz w:val="20"/>
    </w:rPr>
  </w:style>
  <w:style w:type="paragraph" w:customStyle="1" w:styleId="CTA3a">
    <w:name w:val="CTA 3(a)"/>
    <w:basedOn w:val="OPCParaBase"/>
    <w:rsid w:val="00E5119C"/>
    <w:pPr>
      <w:tabs>
        <w:tab w:val="right" w:pos="556"/>
      </w:tabs>
      <w:spacing w:before="40" w:line="240" w:lineRule="atLeast"/>
      <w:ind w:left="805" w:hanging="805"/>
    </w:pPr>
    <w:rPr>
      <w:sz w:val="20"/>
    </w:rPr>
  </w:style>
  <w:style w:type="paragraph" w:customStyle="1" w:styleId="CTA3ai">
    <w:name w:val="CTA 3(a)(i)"/>
    <w:basedOn w:val="OPCParaBase"/>
    <w:rsid w:val="00E5119C"/>
    <w:pPr>
      <w:tabs>
        <w:tab w:val="right" w:pos="1140"/>
      </w:tabs>
      <w:spacing w:before="40" w:line="240" w:lineRule="atLeast"/>
      <w:ind w:left="1361" w:hanging="1361"/>
    </w:pPr>
    <w:rPr>
      <w:sz w:val="20"/>
    </w:rPr>
  </w:style>
  <w:style w:type="paragraph" w:customStyle="1" w:styleId="CTA4a">
    <w:name w:val="CTA 4(a)"/>
    <w:basedOn w:val="OPCParaBase"/>
    <w:rsid w:val="00E5119C"/>
    <w:pPr>
      <w:tabs>
        <w:tab w:val="right" w:pos="624"/>
      </w:tabs>
      <w:spacing w:before="40" w:line="240" w:lineRule="atLeast"/>
      <w:ind w:left="873" w:hanging="873"/>
    </w:pPr>
    <w:rPr>
      <w:sz w:val="20"/>
    </w:rPr>
  </w:style>
  <w:style w:type="paragraph" w:customStyle="1" w:styleId="CTA4ai">
    <w:name w:val="CTA 4(a)(i)"/>
    <w:basedOn w:val="OPCParaBase"/>
    <w:rsid w:val="00E5119C"/>
    <w:pPr>
      <w:tabs>
        <w:tab w:val="right" w:pos="1213"/>
      </w:tabs>
      <w:spacing w:before="40" w:line="240" w:lineRule="atLeast"/>
      <w:ind w:left="1452" w:hanging="1452"/>
    </w:pPr>
    <w:rPr>
      <w:sz w:val="20"/>
    </w:rPr>
  </w:style>
  <w:style w:type="paragraph" w:customStyle="1" w:styleId="CTACAPS">
    <w:name w:val="CTA CAPS"/>
    <w:basedOn w:val="OPCParaBase"/>
    <w:rsid w:val="00E5119C"/>
    <w:pPr>
      <w:spacing w:before="60" w:line="240" w:lineRule="atLeast"/>
    </w:pPr>
    <w:rPr>
      <w:sz w:val="20"/>
    </w:rPr>
  </w:style>
  <w:style w:type="paragraph" w:customStyle="1" w:styleId="CTAright">
    <w:name w:val="CTA right"/>
    <w:basedOn w:val="OPCParaBase"/>
    <w:rsid w:val="00E5119C"/>
    <w:pPr>
      <w:spacing w:before="60" w:line="240" w:lineRule="auto"/>
      <w:jc w:val="right"/>
    </w:pPr>
    <w:rPr>
      <w:sz w:val="20"/>
    </w:rPr>
  </w:style>
  <w:style w:type="paragraph" w:customStyle="1" w:styleId="subsection">
    <w:name w:val="subsection"/>
    <w:aliases w:val="ss"/>
    <w:basedOn w:val="OPCParaBase"/>
    <w:link w:val="subsectionChar"/>
    <w:rsid w:val="00E5119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E5119C"/>
    <w:pPr>
      <w:spacing w:before="180" w:line="240" w:lineRule="auto"/>
      <w:ind w:left="1134"/>
    </w:pPr>
  </w:style>
  <w:style w:type="paragraph" w:customStyle="1" w:styleId="Formula">
    <w:name w:val="Formula"/>
    <w:basedOn w:val="OPCParaBase"/>
    <w:rsid w:val="00E5119C"/>
    <w:pPr>
      <w:spacing w:line="240" w:lineRule="auto"/>
      <w:ind w:left="1134"/>
    </w:pPr>
    <w:rPr>
      <w:sz w:val="20"/>
    </w:rPr>
  </w:style>
  <w:style w:type="paragraph" w:styleId="Header">
    <w:name w:val="header"/>
    <w:basedOn w:val="OPCParaBase"/>
    <w:link w:val="HeaderChar"/>
    <w:unhideWhenUsed/>
    <w:rsid w:val="00E511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5119C"/>
    <w:rPr>
      <w:rFonts w:eastAsia="Times New Roman" w:cs="Times New Roman"/>
      <w:sz w:val="16"/>
      <w:lang w:eastAsia="en-AU"/>
    </w:rPr>
  </w:style>
  <w:style w:type="paragraph" w:customStyle="1" w:styleId="House">
    <w:name w:val="House"/>
    <w:basedOn w:val="OPCParaBase"/>
    <w:rsid w:val="00E5119C"/>
    <w:pPr>
      <w:spacing w:line="240" w:lineRule="auto"/>
    </w:pPr>
    <w:rPr>
      <w:sz w:val="28"/>
    </w:rPr>
  </w:style>
  <w:style w:type="paragraph" w:customStyle="1" w:styleId="Item">
    <w:name w:val="Item"/>
    <w:aliases w:val="i"/>
    <w:basedOn w:val="OPCParaBase"/>
    <w:next w:val="ItemHead"/>
    <w:rsid w:val="00E5119C"/>
    <w:pPr>
      <w:keepLines/>
      <w:spacing w:before="80" w:line="240" w:lineRule="auto"/>
      <w:ind w:left="709"/>
    </w:pPr>
  </w:style>
  <w:style w:type="paragraph" w:customStyle="1" w:styleId="ItemHead">
    <w:name w:val="ItemHead"/>
    <w:aliases w:val="ih"/>
    <w:basedOn w:val="OPCParaBase"/>
    <w:next w:val="Item"/>
    <w:rsid w:val="00E5119C"/>
    <w:pPr>
      <w:keepLines/>
      <w:spacing w:before="220" w:line="240" w:lineRule="auto"/>
      <w:ind w:left="709" w:hanging="709"/>
    </w:pPr>
    <w:rPr>
      <w:rFonts w:ascii="Arial" w:hAnsi="Arial"/>
      <w:b/>
      <w:kern w:val="28"/>
      <w:sz w:val="24"/>
    </w:rPr>
  </w:style>
  <w:style w:type="paragraph" w:customStyle="1" w:styleId="LongT">
    <w:name w:val="LongT"/>
    <w:basedOn w:val="OPCParaBase"/>
    <w:rsid w:val="00E5119C"/>
    <w:pPr>
      <w:spacing w:line="240" w:lineRule="auto"/>
    </w:pPr>
    <w:rPr>
      <w:b/>
      <w:sz w:val="32"/>
    </w:rPr>
  </w:style>
  <w:style w:type="paragraph" w:customStyle="1" w:styleId="notedraft">
    <w:name w:val="note(draft)"/>
    <w:aliases w:val="nd"/>
    <w:basedOn w:val="OPCParaBase"/>
    <w:rsid w:val="00E5119C"/>
    <w:pPr>
      <w:spacing w:before="240" w:line="240" w:lineRule="auto"/>
      <w:ind w:left="284" w:hanging="284"/>
    </w:pPr>
    <w:rPr>
      <w:i/>
      <w:sz w:val="24"/>
    </w:rPr>
  </w:style>
  <w:style w:type="paragraph" w:customStyle="1" w:styleId="notemargin">
    <w:name w:val="note(margin)"/>
    <w:aliases w:val="nm"/>
    <w:basedOn w:val="OPCParaBase"/>
    <w:rsid w:val="00E5119C"/>
    <w:pPr>
      <w:tabs>
        <w:tab w:val="left" w:pos="709"/>
      </w:tabs>
      <w:spacing w:before="122" w:line="198" w:lineRule="exact"/>
      <w:ind w:left="709" w:hanging="709"/>
    </w:pPr>
    <w:rPr>
      <w:sz w:val="18"/>
    </w:rPr>
  </w:style>
  <w:style w:type="paragraph" w:customStyle="1" w:styleId="noteToPara">
    <w:name w:val="noteToPara"/>
    <w:aliases w:val="ntp"/>
    <w:basedOn w:val="OPCParaBase"/>
    <w:rsid w:val="00E5119C"/>
    <w:pPr>
      <w:spacing w:before="122" w:line="198" w:lineRule="exact"/>
      <w:ind w:left="2353" w:hanging="709"/>
    </w:pPr>
    <w:rPr>
      <w:sz w:val="18"/>
    </w:rPr>
  </w:style>
  <w:style w:type="paragraph" w:customStyle="1" w:styleId="noteParlAmend">
    <w:name w:val="note(ParlAmend)"/>
    <w:aliases w:val="npp"/>
    <w:basedOn w:val="OPCParaBase"/>
    <w:next w:val="ParlAmend"/>
    <w:rsid w:val="00E5119C"/>
    <w:pPr>
      <w:spacing w:line="240" w:lineRule="auto"/>
      <w:jc w:val="right"/>
    </w:pPr>
    <w:rPr>
      <w:rFonts w:ascii="Arial" w:hAnsi="Arial"/>
      <w:b/>
      <w:i/>
    </w:rPr>
  </w:style>
  <w:style w:type="paragraph" w:customStyle="1" w:styleId="Page1">
    <w:name w:val="Page1"/>
    <w:basedOn w:val="OPCParaBase"/>
    <w:rsid w:val="00E5119C"/>
    <w:pPr>
      <w:spacing w:before="400" w:line="240" w:lineRule="auto"/>
    </w:pPr>
    <w:rPr>
      <w:b/>
      <w:sz w:val="32"/>
    </w:rPr>
  </w:style>
  <w:style w:type="paragraph" w:customStyle="1" w:styleId="PageBreak">
    <w:name w:val="PageBreak"/>
    <w:aliases w:val="pb"/>
    <w:basedOn w:val="OPCParaBase"/>
    <w:rsid w:val="00E5119C"/>
    <w:pPr>
      <w:spacing w:line="240" w:lineRule="auto"/>
    </w:pPr>
    <w:rPr>
      <w:sz w:val="20"/>
    </w:rPr>
  </w:style>
  <w:style w:type="paragraph" w:customStyle="1" w:styleId="paragraphsub">
    <w:name w:val="paragraph(sub)"/>
    <w:aliases w:val="aa"/>
    <w:basedOn w:val="OPCParaBase"/>
    <w:rsid w:val="00E5119C"/>
    <w:pPr>
      <w:tabs>
        <w:tab w:val="right" w:pos="1985"/>
      </w:tabs>
      <w:spacing w:before="40" w:line="240" w:lineRule="auto"/>
      <w:ind w:left="2098" w:hanging="2098"/>
    </w:pPr>
  </w:style>
  <w:style w:type="paragraph" w:customStyle="1" w:styleId="paragraphsub-sub">
    <w:name w:val="paragraph(sub-sub)"/>
    <w:aliases w:val="aaa"/>
    <w:basedOn w:val="OPCParaBase"/>
    <w:rsid w:val="00E5119C"/>
    <w:pPr>
      <w:tabs>
        <w:tab w:val="right" w:pos="2722"/>
      </w:tabs>
      <w:spacing w:before="40" w:line="240" w:lineRule="auto"/>
      <w:ind w:left="2835" w:hanging="2835"/>
    </w:pPr>
  </w:style>
  <w:style w:type="paragraph" w:customStyle="1" w:styleId="paragraph">
    <w:name w:val="paragraph"/>
    <w:aliases w:val="a"/>
    <w:basedOn w:val="OPCParaBase"/>
    <w:link w:val="paragraphChar"/>
    <w:rsid w:val="00E5119C"/>
    <w:pPr>
      <w:tabs>
        <w:tab w:val="right" w:pos="1531"/>
      </w:tabs>
      <w:spacing w:before="40" w:line="240" w:lineRule="auto"/>
      <w:ind w:left="1644" w:hanging="1644"/>
    </w:pPr>
  </w:style>
  <w:style w:type="paragraph" w:customStyle="1" w:styleId="ParlAmend">
    <w:name w:val="ParlAmend"/>
    <w:aliases w:val="pp"/>
    <w:basedOn w:val="OPCParaBase"/>
    <w:rsid w:val="00E5119C"/>
    <w:pPr>
      <w:spacing w:before="240" w:line="240" w:lineRule="atLeast"/>
      <w:ind w:hanging="567"/>
    </w:pPr>
    <w:rPr>
      <w:sz w:val="24"/>
    </w:rPr>
  </w:style>
  <w:style w:type="paragraph" w:customStyle="1" w:styleId="Penalty">
    <w:name w:val="Penalty"/>
    <w:basedOn w:val="OPCParaBase"/>
    <w:rsid w:val="00E5119C"/>
    <w:pPr>
      <w:tabs>
        <w:tab w:val="left" w:pos="2977"/>
      </w:tabs>
      <w:spacing w:before="180" w:line="240" w:lineRule="auto"/>
      <w:ind w:left="1985" w:hanging="851"/>
    </w:pPr>
  </w:style>
  <w:style w:type="paragraph" w:customStyle="1" w:styleId="Portfolio">
    <w:name w:val="Portfolio"/>
    <w:basedOn w:val="OPCParaBase"/>
    <w:rsid w:val="00E5119C"/>
    <w:pPr>
      <w:spacing w:line="240" w:lineRule="auto"/>
    </w:pPr>
    <w:rPr>
      <w:i/>
      <w:sz w:val="20"/>
    </w:rPr>
  </w:style>
  <w:style w:type="paragraph" w:customStyle="1" w:styleId="Preamble">
    <w:name w:val="Preamble"/>
    <w:basedOn w:val="OPCParaBase"/>
    <w:next w:val="Normal"/>
    <w:rsid w:val="00E511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5119C"/>
    <w:pPr>
      <w:spacing w:line="240" w:lineRule="auto"/>
    </w:pPr>
    <w:rPr>
      <w:i/>
      <w:sz w:val="20"/>
    </w:rPr>
  </w:style>
  <w:style w:type="paragraph" w:customStyle="1" w:styleId="Session">
    <w:name w:val="Session"/>
    <w:basedOn w:val="OPCParaBase"/>
    <w:rsid w:val="00E5119C"/>
    <w:pPr>
      <w:spacing w:line="240" w:lineRule="auto"/>
    </w:pPr>
    <w:rPr>
      <w:sz w:val="28"/>
    </w:rPr>
  </w:style>
  <w:style w:type="paragraph" w:customStyle="1" w:styleId="Sponsor">
    <w:name w:val="Sponsor"/>
    <w:basedOn w:val="OPCParaBase"/>
    <w:rsid w:val="00E5119C"/>
    <w:pPr>
      <w:spacing w:line="240" w:lineRule="auto"/>
    </w:pPr>
    <w:rPr>
      <w:i/>
    </w:rPr>
  </w:style>
  <w:style w:type="paragraph" w:customStyle="1" w:styleId="Subitem">
    <w:name w:val="Subitem"/>
    <w:aliases w:val="iss"/>
    <w:basedOn w:val="OPCParaBase"/>
    <w:rsid w:val="00E5119C"/>
    <w:pPr>
      <w:spacing w:before="180" w:line="240" w:lineRule="auto"/>
      <w:ind w:left="709" w:hanging="709"/>
    </w:pPr>
  </w:style>
  <w:style w:type="paragraph" w:customStyle="1" w:styleId="SubitemHead">
    <w:name w:val="SubitemHead"/>
    <w:aliases w:val="issh"/>
    <w:basedOn w:val="OPCParaBase"/>
    <w:rsid w:val="00E511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5119C"/>
    <w:pPr>
      <w:spacing w:before="40" w:line="240" w:lineRule="auto"/>
      <w:ind w:left="1134"/>
    </w:pPr>
  </w:style>
  <w:style w:type="paragraph" w:customStyle="1" w:styleId="SubsectionHead">
    <w:name w:val="SubsectionHead"/>
    <w:aliases w:val="ssh"/>
    <w:basedOn w:val="OPCParaBase"/>
    <w:next w:val="subsection"/>
    <w:rsid w:val="00E5119C"/>
    <w:pPr>
      <w:keepNext/>
      <w:keepLines/>
      <w:spacing w:before="240" w:line="240" w:lineRule="auto"/>
      <w:ind w:left="1134"/>
    </w:pPr>
    <w:rPr>
      <w:i/>
    </w:rPr>
  </w:style>
  <w:style w:type="paragraph" w:customStyle="1" w:styleId="Tablea">
    <w:name w:val="Table(a)"/>
    <w:aliases w:val="ta"/>
    <w:basedOn w:val="OPCParaBase"/>
    <w:rsid w:val="00E5119C"/>
    <w:pPr>
      <w:spacing w:before="60" w:line="240" w:lineRule="auto"/>
      <w:ind w:left="284" w:hanging="284"/>
    </w:pPr>
    <w:rPr>
      <w:sz w:val="20"/>
    </w:rPr>
  </w:style>
  <w:style w:type="paragraph" w:customStyle="1" w:styleId="TableAA">
    <w:name w:val="Table(AA)"/>
    <w:aliases w:val="taaa"/>
    <w:basedOn w:val="OPCParaBase"/>
    <w:rsid w:val="00E511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511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5119C"/>
    <w:pPr>
      <w:spacing w:before="60" w:line="240" w:lineRule="atLeast"/>
    </w:pPr>
    <w:rPr>
      <w:sz w:val="20"/>
    </w:rPr>
  </w:style>
  <w:style w:type="paragraph" w:customStyle="1" w:styleId="TLPBoxTextnote">
    <w:name w:val="TLPBoxText(note"/>
    <w:aliases w:val="right)"/>
    <w:basedOn w:val="OPCParaBase"/>
    <w:rsid w:val="00E511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511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5119C"/>
    <w:pPr>
      <w:spacing w:before="122" w:line="198" w:lineRule="exact"/>
      <w:ind w:left="1985" w:hanging="851"/>
      <w:jc w:val="right"/>
    </w:pPr>
    <w:rPr>
      <w:sz w:val="18"/>
    </w:rPr>
  </w:style>
  <w:style w:type="paragraph" w:customStyle="1" w:styleId="TLPTableBullet">
    <w:name w:val="TLPTableBullet"/>
    <w:aliases w:val="ttb"/>
    <w:basedOn w:val="OPCParaBase"/>
    <w:rsid w:val="00E5119C"/>
    <w:pPr>
      <w:spacing w:line="240" w:lineRule="exact"/>
      <w:ind w:left="284" w:hanging="284"/>
    </w:pPr>
    <w:rPr>
      <w:sz w:val="20"/>
    </w:rPr>
  </w:style>
  <w:style w:type="paragraph" w:styleId="TOC1">
    <w:name w:val="toc 1"/>
    <w:basedOn w:val="OPCParaBase"/>
    <w:next w:val="Normal"/>
    <w:uiPriority w:val="39"/>
    <w:semiHidden/>
    <w:unhideWhenUsed/>
    <w:rsid w:val="00E5119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5119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5119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5119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5119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5119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5119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5119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5119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5119C"/>
    <w:pPr>
      <w:keepLines/>
      <w:spacing w:before="240" w:after="120" w:line="240" w:lineRule="auto"/>
      <w:ind w:left="794"/>
    </w:pPr>
    <w:rPr>
      <w:b/>
      <w:kern w:val="28"/>
      <w:sz w:val="20"/>
    </w:rPr>
  </w:style>
  <w:style w:type="paragraph" w:customStyle="1" w:styleId="TofSectsHeading">
    <w:name w:val="TofSects(Heading)"/>
    <w:basedOn w:val="OPCParaBase"/>
    <w:rsid w:val="00E5119C"/>
    <w:pPr>
      <w:spacing w:before="240" w:after="120" w:line="240" w:lineRule="auto"/>
    </w:pPr>
    <w:rPr>
      <w:b/>
      <w:sz w:val="24"/>
    </w:rPr>
  </w:style>
  <w:style w:type="paragraph" w:customStyle="1" w:styleId="TofSectsSection">
    <w:name w:val="TofSects(Section)"/>
    <w:basedOn w:val="OPCParaBase"/>
    <w:rsid w:val="00E5119C"/>
    <w:pPr>
      <w:keepLines/>
      <w:spacing w:before="40" w:line="240" w:lineRule="auto"/>
      <w:ind w:left="1588" w:hanging="794"/>
    </w:pPr>
    <w:rPr>
      <w:kern w:val="28"/>
      <w:sz w:val="18"/>
    </w:rPr>
  </w:style>
  <w:style w:type="paragraph" w:customStyle="1" w:styleId="TofSectsSubdiv">
    <w:name w:val="TofSects(Subdiv)"/>
    <w:basedOn w:val="OPCParaBase"/>
    <w:rsid w:val="00E5119C"/>
    <w:pPr>
      <w:keepLines/>
      <w:spacing w:before="80" w:line="240" w:lineRule="auto"/>
      <w:ind w:left="1588" w:hanging="794"/>
    </w:pPr>
    <w:rPr>
      <w:kern w:val="28"/>
    </w:rPr>
  </w:style>
  <w:style w:type="paragraph" w:customStyle="1" w:styleId="WRStyle">
    <w:name w:val="WR Style"/>
    <w:aliases w:val="WR"/>
    <w:basedOn w:val="OPCParaBase"/>
    <w:rsid w:val="00E5119C"/>
    <w:pPr>
      <w:spacing w:before="240" w:line="240" w:lineRule="auto"/>
      <w:ind w:left="284" w:hanging="284"/>
    </w:pPr>
    <w:rPr>
      <w:b/>
      <w:i/>
      <w:kern w:val="28"/>
      <w:sz w:val="24"/>
    </w:rPr>
  </w:style>
  <w:style w:type="paragraph" w:customStyle="1" w:styleId="notepara">
    <w:name w:val="note(para)"/>
    <w:aliases w:val="na"/>
    <w:basedOn w:val="OPCParaBase"/>
    <w:rsid w:val="00E5119C"/>
    <w:pPr>
      <w:spacing w:before="40" w:line="198" w:lineRule="exact"/>
      <w:ind w:left="2354" w:hanging="369"/>
    </w:pPr>
    <w:rPr>
      <w:sz w:val="18"/>
    </w:rPr>
  </w:style>
  <w:style w:type="paragraph" w:styleId="Footer">
    <w:name w:val="footer"/>
    <w:link w:val="FooterChar"/>
    <w:rsid w:val="00E511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5119C"/>
    <w:rPr>
      <w:rFonts w:eastAsia="Times New Roman" w:cs="Times New Roman"/>
      <w:sz w:val="22"/>
      <w:szCs w:val="24"/>
      <w:lang w:eastAsia="en-AU"/>
    </w:rPr>
  </w:style>
  <w:style w:type="character" w:styleId="LineNumber">
    <w:name w:val="line number"/>
    <w:basedOn w:val="OPCCharBase"/>
    <w:uiPriority w:val="99"/>
    <w:semiHidden/>
    <w:unhideWhenUsed/>
    <w:rsid w:val="00E5119C"/>
    <w:rPr>
      <w:sz w:val="16"/>
    </w:rPr>
  </w:style>
  <w:style w:type="table" w:customStyle="1" w:styleId="CFlag">
    <w:name w:val="CFlag"/>
    <w:basedOn w:val="TableNormal"/>
    <w:uiPriority w:val="99"/>
    <w:rsid w:val="00E5119C"/>
    <w:rPr>
      <w:rFonts w:eastAsia="Times New Roman" w:cs="Times New Roman"/>
      <w:lang w:eastAsia="en-AU"/>
    </w:rPr>
    <w:tblPr/>
  </w:style>
  <w:style w:type="paragraph" w:customStyle="1" w:styleId="SignCoverPageEnd">
    <w:name w:val="SignCoverPageEnd"/>
    <w:basedOn w:val="OPCParaBase"/>
    <w:next w:val="Normal"/>
    <w:rsid w:val="00E5119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5119C"/>
    <w:pPr>
      <w:pBdr>
        <w:top w:val="single" w:sz="4" w:space="1" w:color="auto"/>
      </w:pBdr>
      <w:spacing w:before="360"/>
      <w:ind w:right="397"/>
      <w:jc w:val="both"/>
    </w:pPr>
  </w:style>
  <w:style w:type="paragraph" w:customStyle="1" w:styleId="CompiledActNo">
    <w:name w:val="CompiledActNo"/>
    <w:basedOn w:val="OPCParaBase"/>
    <w:next w:val="Normal"/>
    <w:rsid w:val="00E5119C"/>
    <w:rPr>
      <w:b/>
      <w:sz w:val="24"/>
      <w:szCs w:val="24"/>
    </w:rPr>
  </w:style>
  <w:style w:type="paragraph" w:customStyle="1" w:styleId="ENotesText">
    <w:name w:val="ENotesText"/>
    <w:aliases w:val="Ent"/>
    <w:basedOn w:val="OPCParaBase"/>
    <w:next w:val="Normal"/>
    <w:rsid w:val="00E5119C"/>
    <w:pPr>
      <w:spacing w:before="120"/>
    </w:pPr>
  </w:style>
  <w:style w:type="paragraph" w:customStyle="1" w:styleId="CompiledMadeUnder">
    <w:name w:val="CompiledMadeUnder"/>
    <w:basedOn w:val="OPCParaBase"/>
    <w:next w:val="Normal"/>
    <w:rsid w:val="00E5119C"/>
    <w:rPr>
      <w:i/>
      <w:sz w:val="24"/>
      <w:szCs w:val="24"/>
    </w:rPr>
  </w:style>
  <w:style w:type="paragraph" w:customStyle="1" w:styleId="Paragraphsub-sub-sub">
    <w:name w:val="Paragraph(sub-sub-sub)"/>
    <w:aliases w:val="aaaa"/>
    <w:basedOn w:val="OPCParaBase"/>
    <w:rsid w:val="00E5119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511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511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511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5119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5119C"/>
    <w:pPr>
      <w:spacing w:before="60" w:line="240" w:lineRule="auto"/>
    </w:pPr>
    <w:rPr>
      <w:rFonts w:cs="Arial"/>
      <w:sz w:val="20"/>
      <w:szCs w:val="22"/>
    </w:rPr>
  </w:style>
  <w:style w:type="paragraph" w:customStyle="1" w:styleId="TableHeading">
    <w:name w:val="TableHeading"/>
    <w:aliases w:val="th"/>
    <w:basedOn w:val="OPCParaBase"/>
    <w:next w:val="Tabletext"/>
    <w:rsid w:val="00E5119C"/>
    <w:pPr>
      <w:keepNext/>
      <w:spacing w:before="60" w:line="240" w:lineRule="atLeast"/>
    </w:pPr>
    <w:rPr>
      <w:b/>
      <w:sz w:val="20"/>
    </w:rPr>
  </w:style>
  <w:style w:type="paragraph" w:customStyle="1" w:styleId="NoteToSubpara">
    <w:name w:val="NoteToSubpara"/>
    <w:aliases w:val="nts"/>
    <w:basedOn w:val="OPCParaBase"/>
    <w:rsid w:val="00E5119C"/>
    <w:pPr>
      <w:spacing w:before="40" w:line="198" w:lineRule="exact"/>
      <w:ind w:left="2835" w:hanging="709"/>
    </w:pPr>
    <w:rPr>
      <w:sz w:val="18"/>
    </w:rPr>
  </w:style>
  <w:style w:type="paragraph" w:customStyle="1" w:styleId="ENoteTableHeading">
    <w:name w:val="ENoteTableHeading"/>
    <w:aliases w:val="enth"/>
    <w:basedOn w:val="OPCParaBase"/>
    <w:rsid w:val="00E5119C"/>
    <w:pPr>
      <w:keepNext/>
      <w:spacing w:before="60" w:line="240" w:lineRule="atLeast"/>
    </w:pPr>
    <w:rPr>
      <w:rFonts w:ascii="Arial" w:hAnsi="Arial"/>
      <w:b/>
      <w:sz w:val="16"/>
    </w:rPr>
  </w:style>
  <w:style w:type="paragraph" w:customStyle="1" w:styleId="ENoteTableText">
    <w:name w:val="ENoteTableText"/>
    <w:aliases w:val="entt"/>
    <w:basedOn w:val="OPCParaBase"/>
    <w:rsid w:val="00E5119C"/>
    <w:pPr>
      <w:spacing w:before="60" w:line="240" w:lineRule="atLeast"/>
    </w:pPr>
    <w:rPr>
      <w:sz w:val="16"/>
    </w:rPr>
  </w:style>
  <w:style w:type="paragraph" w:customStyle="1" w:styleId="ENoteTTi">
    <w:name w:val="ENoteTTi"/>
    <w:aliases w:val="entti"/>
    <w:basedOn w:val="OPCParaBase"/>
    <w:rsid w:val="00E5119C"/>
    <w:pPr>
      <w:keepNext/>
      <w:spacing w:before="60" w:line="240" w:lineRule="atLeast"/>
      <w:ind w:left="170"/>
    </w:pPr>
    <w:rPr>
      <w:sz w:val="16"/>
    </w:rPr>
  </w:style>
  <w:style w:type="paragraph" w:customStyle="1" w:styleId="ENoteTTIndentHeading">
    <w:name w:val="ENoteTTIndentHeading"/>
    <w:aliases w:val="enTTHi"/>
    <w:basedOn w:val="OPCParaBase"/>
    <w:rsid w:val="00E5119C"/>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5119C"/>
    <w:pPr>
      <w:spacing w:before="120"/>
      <w:outlineLvl w:val="1"/>
    </w:pPr>
    <w:rPr>
      <w:b/>
      <w:sz w:val="28"/>
      <w:szCs w:val="28"/>
    </w:rPr>
  </w:style>
  <w:style w:type="paragraph" w:customStyle="1" w:styleId="ENotesHeading2">
    <w:name w:val="ENotesHeading 2"/>
    <w:aliases w:val="Enh2"/>
    <w:basedOn w:val="OPCParaBase"/>
    <w:next w:val="Normal"/>
    <w:rsid w:val="00E5119C"/>
    <w:pPr>
      <w:spacing w:before="120" w:after="120"/>
      <w:outlineLvl w:val="2"/>
    </w:pPr>
    <w:rPr>
      <w:b/>
      <w:sz w:val="24"/>
      <w:szCs w:val="28"/>
    </w:rPr>
  </w:style>
  <w:style w:type="paragraph" w:customStyle="1" w:styleId="MadeunderText">
    <w:name w:val="MadeunderText"/>
    <w:basedOn w:val="OPCParaBase"/>
    <w:next w:val="CompiledMadeUnder"/>
    <w:rsid w:val="00E5119C"/>
    <w:pPr>
      <w:spacing w:before="240"/>
    </w:pPr>
    <w:rPr>
      <w:sz w:val="24"/>
      <w:szCs w:val="24"/>
    </w:rPr>
  </w:style>
  <w:style w:type="paragraph" w:customStyle="1" w:styleId="ENotesHeading3">
    <w:name w:val="ENotesHeading 3"/>
    <w:aliases w:val="Enh3"/>
    <w:basedOn w:val="OPCParaBase"/>
    <w:next w:val="Normal"/>
    <w:rsid w:val="00E5119C"/>
    <w:pPr>
      <w:keepNext/>
      <w:spacing w:before="120" w:line="240" w:lineRule="auto"/>
      <w:outlineLvl w:val="4"/>
    </w:pPr>
    <w:rPr>
      <w:b/>
      <w:szCs w:val="24"/>
    </w:rPr>
  </w:style>
  <w:style w:type="character" w:customStyle="1" w:styleId="CharSubPartNoCASA">
    <w:name w:val="CharSubPartNo(CASA)"/>
    <w:basedOn w:val="OPCCharBase"/>
    <w:uiPriority w:val="1"/>
    <w:rsid w:val="00E5119C"/>
  </w:style>
  <w:style w:type="character" w:customStyle="1" w:styleId="CharSubPartTextCASA">
    <w:name w:val="CharSubPartText(CASA)"/>
    <w:basedOn w:val="OPCCharBase"/>
    <w:uiPriority w:val="1"/>
    <w:rsid w:val="00E5119C"/>
  </w:style>
  <w:style w:type="paragraph" w:customStyle="1" w:styleId="SubPartCASA">
    <w:name w:val="SubPart(CASA)"/>
    <w:aliases w:val="csp"/>
    <w:basedOn w:val="OPCParaBase"/>
    <w:next w:val="ActHead3"/>
    <w:rsid w:val="00E5119C"/>
    <w:pPr>
      <w:keepNext/>
      <w:keepLines/>
      <w:spacing w:before="280"/>
      <w:outlineLvl w:val="1"/>
    </w:pPr>
    <w:rPr>
      <w:b/>
      <w:kern w:val="28"/>
      <w:sz w:val="32"/>
    </w:rPr>
  </w:style>
  <w:style w:type="paragraph" w:customStyle="1" w:styleId="ENoteTTIndentHeadingSub">
    <w:name w:val="ENoteTTIndentHeadingSub"/>
    <w:aliases w:val="enTTHis"/>
    <w:basedOn w:val="OPCParaBase"/>
    <w:rsid w:val="00E5119C"/>
    <w:pPr>
      <w:keepNext/>
      <w:spacing w:before="60" w:line="240" w:lineRule="atLeast"/>
      <w:ind w:left="340"/>
    </w:pPr>
    <w:rPr>
      <w:b/>
      <w:sz w:val="16"/>
    </w:rPr>
  </w:style>
  <w:style w:type="paragraph" w:customStyle="1" w:styleId="ENoteTTiSub">
    <w:name w:val="ENoteTTiSub"/>
    <w:aliases w:val="enttis"/>
    <w:basedOn w:val="OPCParaBase"/>
    <w:rsid w:val="00E5119C"/>
    <w:pPr>
      <w:keepNext/>
      <w:spacing w:before="60" w:line="240" w:lineRule="atLeast"/>
      <w:ind w:left="340"/>
    </w:pPr>
    <w:rPr>
      <w:sz w:val="16"/>
    </w:rPr>
  </w:style>
  <w:style w:type="paragraph" w:customStyle="1" w:styleId="SubDivisionMigration">
    <w:name w:val="SubDivisionMigration"/>
    <w:aliases w:val="sdm"/>
    <w:basedOn w:val="OPCParaBase"/>
    <w:rsid w:val="00E511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5119C"/>
    <w:pPr>
      <w:keepNext/>
      <w:keepLines/>
      <w:spacing w:before="240" w:line="240" w:lineRule="auto"/>
      <w:ind w:left="1134" w:hanging="1134"/>
    </w:pPr>
    <w:rPr>
      <w:b/>
      <w:sz w:val="28"/>
    </w:rPr>
  </w:style>
  <w:style w:type="table" w:styleId="TableGrid">
    <w:name w:val="Table Grid"/>
    <w:basedOn w:val="TableNormal"/>
    <w:uiPriority w:val="59"/>
    <w:rsid w:val="00E5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5119C"/>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E511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5119C"/>
    <w:rPr>
      <w:sz w:val="22"/>
    </w:rPr>
  </w:style>
  <w:style w:type="paragraph" w:customStyle="1" w:styleId="SOTextNote">
    <w:name w:val="SO TextNote"/>
    <w:aliases w:val="sont"/>
    <w:basedOn w:val="SOText"/>
    <w:qFormat/>
    <w:rsid w:val="00E5119C"/>
    <w:pPr>
      <w:spacing w:before="122" w:line="198" w:lineRule="exact"/>
      <w:ind w:left="1843" w:hanging="709"/>
    </w:pPr>
    <w:rPr>
      <w:sz w:val="18"/>
    </w:rPr>
  </w:style>
  <w:style w:type="paragraph" w:customStyle="1" w:styleId="SOPara">
    <w:name w:val="SO Para"/>
    <w:aliases w:val="soa"/>
    <w:basedOn w:val="SOText"/>
    <w:link w:val="SOParaChar"/>
    <w:qFormat/>
    <w:rsid w:val="00E5119C"/>
    <w:pPr>
      <w:tabs>
        <w:tab w:val="right" w:pos="1786"/>
      </w:tabs>
      <w:spacing w:before="40"/>
      <w:ind w:left="2070" w:hanging="936"/>
    </w:pPr>
  </w:style>
  <w:style w:type="character" w:customStyle="1" w:styleId="SOParaChar">
    <w:name w:val="SO Para Char"/>
    <w:aliases w:val="soa Char"/>
    <w:basedOn w:val="DefaultParagraphFont"/>
    <w:link w:val="SOPara"/>
    <w:rsid w:val="00E5119C"/>
    <w:rPr>
      <w:sz w:val="22"/>
    </w:rPr>
  </w:style>
  <w:style w:type="paragraph" w:customStyle="1" w:styleId="SOBullet">
    <w:name w:val="SO Bullet"/>
    <w:aliases w:val="sotb"/>
    <w:basedOn w:val="Normal"/>
    <w:link w:val="SOBulletChar"/>
    <w:qFormat/>
    <w:rsid w:val="00E5119C"/>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E5119C"/>
    <w:rPr>
      <w:sz w:val="22"/>
    </w:rPr>
  </w:style>
  <w:style w:type="paragraph" w:customStyle="1" w:styleId="SOBulletNote">
    <w:name w:val="SO BulletNote"/>
    <w:aliases w:val="sonb"/>
    <w:basedOn w:val="SOTextNote"/>
    <w:link w:val="SOBulletNoteChar"/>
    <w:qFormat/>
    <w:rsid w:val="00E5119C"/>
    <w:pPr>
      <w:tabs>
        <w:tab w:val="left" w:pos="1560"/>
      </w:tabs>
      <w:ind w:left="2268" w:hanging="1134"/>
    </w:pPr>
  </w:style>
  <w:style w:type="character" w:customStyle="1" w:styleId="SOBulletNoteChar">
    <w:name w:val="SO BulletNote Char"/>
    <w:aliases w:val="sonb Char"/>
    <w:basedOn w:val="DefaultParagraphFont"/>
    <w:link w:val="SOBulletNote"/>
    <w:rsid w:val="00E5119C"/>
    <w:rPr>
      <w:sz w:val="18"/>
    </w:rPr>
  </w:style>
  <w:style w:type="paragraph" w:customStyle="1" w:styleId="FileName">
    <w:name w:val="FileName"/>
    <w:basedOn w:val="Normal"/>
    <w:rsid w:val="00E5119C"/>
  </w:style>
  <w:style w:type="paragraph" w:customStyle="1" w:styleId="SOHeadBold">
    <w:name w:val="SO HeadBold"/>
    <w:aliases w:val="sohb"/>
    <w:basedOn w:val="SOText"/>
    <w:next w:val="SOText"/>
    <w:link w:val="SOHeadBoldChar"/>
    <w:qFormat/>
    <w:rsid w:val="00E5119C"/>
    <w:rPr>
      <w:b/>
    </w:rPr>
  </w:style>
  <w:style w:type="character" w:customStyle="1" w:styleId="SOHeadBoldChar">
    <w:name w:val="SO HeadBold Char"/>
    <w:aliases w:val="sohb Char"/>
    <w:basedOn w:val="DefaultParagraphFont"/>
    <w:link w:val="SOHeadBold"/>
    <w:rsid w:val="00E5119C"/>
    <w:rPr>
      <w:b/>
      <w:sz w:val="22"/>
    </w:rPr>
  </w:style>
  <w:style w:type="paragraph" w:customStyle="1" w:styleId="SOHeadItalic">
    <w:name w:val="SO HeadItalic"/>
    <w:aliases w:val="sohi"/>
    <w:basedOn w:val="SOText"/>
    <w:next w:val="SOText"/>
    <w:link w:val="SOHeadItalicChar"/>
    <w:qFormat/>
    <w:rsid w:val="00E5119C"/>
    <w:rPr>
      <w:i/>
    </w:rPr>
  </w:style>
  <w:style w:type="character" w:customStyle="1" w:styleId="SOHeadItalicChar">
    <w:name w:val="SO HeadItalic Char"/>
    <w:aliases w:val="sohi Char"/>
    <w:basedOn w:val="DefaultParagraphFont"/>
    <w:link w:val="SOHeadItalic"/>
    <w:rsid w:val="00E5119C"/>
    <w:rPr>
      <w:i/>
      <w:sz w:val="22"/>
    </w:rPr>
  </w:style>
  <w:style w:type="paragraph" w:customStyle="1" w:styleId="SOText2">
    <w:name w:val="SO Text2"/>
    <w:aliases w:val="sot2"/>
    <w:basedOn w:val="Normal"/>
    <w:next w:val="SOText"/>
    <w:link w:val="SOText2Char"/>
    <w:rsid w:val="00E511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5119C"/>
    <w:rPr>
      <w:sz w:val="22"/>
    </w:rPr>
  </w:style>
  <w:style w:type="character" w:customStyle="1" w:styleId="DefinitionChar">
    <w:name w:val="Definition Char"/>
    <w:aliases w:val="dd Char"/>
    <w:link w:val="Definition"/>
    <w:rsid w:val="001F2AB4"/>
    <w:rPr>
      <w:rFonts w:eastAsia="Times New Roman" w:cs="Times New Roman"/>
      <w:sz w:val="22"/>
      <w:lang w:eastAsia="en-AU"/>
    </w:rPr>
  </w:style>
  <w:style w:type="paragraph" w:styleId="BalloonText">
    <w:name w:val="Balloon Text"/>
    <w:basedOn w:val="Normal"/>
    <w:link w:val="BalloonTextChar"/>
    <w:uiPriority w:val="99"/>
    <w:semiHidden/>
    <w:unhideWhenUsed/>
    <w:rsid w:val="00610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581"/>
    <w:rPr>
      <w:rFonts w:ascii="Tahoma" w:hAnsi="Tahoma" w:cs="Tahoma"/>
      <w:sz w:val="16"/>
      <w:szCs w:val="16"/>
    </w:rPr>
  </w:style>
  <w:style w:type="character" w:customStyle="1" w:styleId="subsectionChar">
    <w:name w:val="subsection Char"/>
    <w:aliases w:val="ss Char"/>
    <w:link w:val="subsection"/>
    <w:rsid w:val="00ED4EFF"/>
    <w:rPr>
      <w:rFonts w:eastAsia="Times New Roman" w:cs="Times New Roman"/>
      <w:sz w:val="22"/>
      <w:lang w:eastAsia="en-AU"/>
    </w:rPr>
  </w:style>
  <w:style w:type="character" w:customStyle="1" w:styleId="paragraphChar">
    <w:name w:val="paragraph Char"/>
    <w:aliases w:val="a Char"/>
    <w:link w:val="paragraph"/>
    <w:rsid w:val="001D65FE"/>
    <w:rPr>
      <w:rFonts w:eastAsia="Times New Roman" w:cs="Times New Roman"/>
      <w:sz w:val="22"/>
      <w:lang w:eastAsia="en-AU"/>
    </w:rPr>
  </w:style>
  <w:style w:type="character" w:customStyle="1" w:styleId="notetextChar">
    <w:name w:val="note(text) Char"/>
    <w:aliases w:val="n Char"/>
    <w:basedOn w:val="DefaultParagraphFont"/>
    <w:link w:val="notetext"/>
    <w:rsid w:val="001D65FE"/>
    <w:rPr>
      <w:rFonts w:eastAsia="Times New Roman" w:cs="Times New Roman"/>
      <w:sz w:val="18"/>
      <w:lang w:eastAsia="en-AU"/>
    </w:rPr>
  </w:style>
  <w:style w:type="character" w:customStyle="1" w:styleId="ActHead5Char">
    <w:name w:val="ActHead 5 Char"/>
    <w:aliases w:val="s Char"/>
    <w:link w:val="ActHead5"/>
    <w:locked/>
    <w:rsid w:val="008668DC"/>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C64C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4C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4C8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64C8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64C8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64C8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64C8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64C8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64C86"/>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06C0A"/>
    <w:pPr>
      <w:spacing w:before="800"/>
    </w:pPr>
  </w:style>
  <w:style w:type="character" w:customStyle="1" w:styleId="OPCParaBaseChar">
    <w:name w:val="OPCParaBase Char"/>
    <w:basedOn w:val="DefaultParagraphFont"/>
    <w:link w:val="OPCParaBase"/>
    <w:rsid w:val="00D06C0A"/>
    <w:rPr>
      <w:rFonts w:eastAsia="Times New Roman" w:cs="Times New Roman"/>
      <w:sz w:val="22"/>
      <w:lang w:eastAsia="en-AU"/>
    </w:rPr>
  </w:style>
  <w:style w:type="character" w:customStyle="1" w:styleId="ShortTChar">
    <w:name w:val="ShortT Char"/>
    <w:basedOn w:val="OPCParaBaseChar"/>
    <w:link w:val="ShortT"/>
    <w:rsid w:val="00D06C0A"/>
    <w:rPr>
      <w:rFonts w:eastAsia="Times New Roman" w:cs="Times New Roman"/>
      <w:b/>
      <w:sz w:val="40"/>
      <w:lang w:eastAsia="en-AU"/>
    </w:rPr>
  </w:style>
  <w:style w:type="character" w:customStyle="1" w:styleId="ShortTP1Char">
    <w:name w:val="ShortTP1 Char"/>
    <w:basedOn w:val="ShortTChar"/>
    <w:link w:val="ShortTP1"/>
    <w:rsid w:val="00D06C0A"/>
    <w:rPr>
      <w:rFonts w:eastAsia="Times New Roman" w:cs="Times New Roman"/>
      <w:b/>
      <w:sz w:val="40"/>
      <w:lang w:eastAsia="en-AU"/>
    </w:rPr>
  </w:style>
  <w:style w:type="paragraph" w:customStyle="1" w:styleId="ActNoP1">
    <w:name w:val="ActNoP1"/>
    <w:basedOn w:val="Actno"/>
    <w:link w:val="ActNoP1Char"/>
    <w:rsid w:val="00D06C0A"/>
    <w:pPr>
      <w:spacing w:before="800"/>
    </w:pPr>
    <w:rPr>
      <w:sz w:val="28"/>
    </w:rPr>
  </w:style>
  <w:style w:type="character" w:customStyle="1" w:styleId="ActnoChar">
    <w:name w:val="Actno Char"/>
    <w:basedOn w:val="ShortTChar"/>
    <w:link w:val="Actno"/>
    <w:rsid w:val="00D06C0A"/>
    <w:rPr>
      <w:rFonts w:eastAsia="Times New Roman" w:cs="Times New Roman"/>
      <w:b/>
      <w:sz w:val="40"/>
      <w:lang w:eastAsia="en-AU"/>
    </w:rPr>
  </w:style>
  <w:style w:type="character" w:customStyle="1" w:styleId="ActNoP1Char">
    <w:name w:val="ActNoP1 Char"/>
    <w:basedOn w:val="ActnoChar"/>
    <w:link w:val="ActNoP1"/>
    <w:rsid w:val="00D06C0A"/>
    <w:rPr>
      <w:rFonts w:eastAsia="Times New Roman" w:cs="Times New Roman"/>
      <w:b/>
      <w:sz w:val="28"/>
      <w:lang w:eastAsia="en-AU"/>
    </w:rPr>
  </w:style>
  <w:style w:type="paragraph" w:customStyle="1" w:styleId="ShortTCP">
    <w:name w:val="ShortTCP"/>
    <w:basedOn w:val="ShortT"/>
    <w:link w:val="ShortTCPChar"/>
    <w:rsid w:val="00D06C0A"/>
  </w:style>
  <w:style w:type="character" w:customStyle="1" w:styleId="ShortTCPChar">
    <w:name w:val="ShortTCP Char"/>
    <w:basedOn w:val="ShortTChar"/>
    <w:link w:val="ShortTCP"/>
    <w:rsid w:val="00D06C0A"/>
    <w:rPr>
      <w:rFonts w:eastAsia="Times New Roman" w:cs="Times New Roman"/>
      <w:b/>
      <w:sz w:val="40"/>
      <w:lang w:eastAsia="en-AU"/>
    </w:rPr>
  </w:style>
  <w:style w:type="paragraph" w:customStyle="1" w:styleId="ActNoCP">
    <w:name w:val="ActNoCP"/>
    <w:basedOn w:val="Actno"/>
    <w:link w:val="ActNoCPChar"/>
    <w:rsid w:val="00D06C0A"/>
    <w:pPr>
      <w:spacing w:before="400"/>
    </w:pPr>
  </w:style>
  <w:style w:type="character" w:customStyle="1" w:styleId="ActNoCPChar">
    <w:name w:val="ActNoCP Char"/>
    <w:basedOn w:val="ActnoChar"/>
    <w:link w:val="ActNoCP"/>
    <w:rsid w:val="00D06C0A"/>
    <w:rPr>
      <w:rFonts w:eastAsia="Times New Roman" w:cs="Times New Roman"/>
      <w:b/>
      <w:sz w:val="40"/>
      <w:lang w:eastAsia="en-AU"/>
    </w:rPr>
  </w:style>
  <w:style w:type="paragraph" w:customStyle="1" w:styleId="AssentBk">
    <w:name w:val="AssentBk"/>
    <w:basedOn w:val="Normal"/>
    <w:rsid w:val="00D06C0A"/>
    <w:pPr>
      <w:spacing w:line="240" w:lineRule="auto"/>
    </w:pPr>
    <w:rPr>
      <w:rFonts w:eastAsia="Times New Roman" w:cs="Times New Roman"/>
      <w:sz w:val="20"/>
      <w:lang w:eastAsia="en-AU"/>
    </w:rPr>
  </w:style>
  <w:style w:type="paragraph" w:customStyle="1" w:styleId="AssentDt">
    <w:name w:val="AssentDt"/>
    <w:basedOn w:val="Normal"/>
    <w:rsid w:val="00B55212"/>
    <w:pPr>
      <w:spacing w:line="240" w:lineRule="auto"/>
    </w:pPr>
    <w:rPr>
      <w:rFonts w:eastAsia="Times New Roman" w:cs="Times New Roman"/>
      <w:sz w:val="20"/>
      <w:lang w:eastAsia="en-AU"/>
    </w:rPr>
  </w:style>
  <w:style w:type="paragraph" w:customStyle="1" w:styleId="2ndRd">
    <w:name w:val="2ndRd"/>
    <w:basedOn w:val="Normal"/>
    <w:rsid w:val="00B55212"/>
    <w:pPr>
      <w:spacing w:line="240" w:lineRule="auto"/>
    </w:pPr>
    <w:rPr>
      <w:rFonts w:eastAsia="Times New Roman" w:cs="Times New Roman"/>
      <w:sz w:val="20"/>
      <w:lang w:eastAsia="en-AU"/>
    </w:rPr>
  </w:style>
  <w:style w:type="paragraph" w:customStyle="1" w:styleId="ScalePlusRef">
    <w:name w:val="ScalePlusRef"/>
    <w:basedOn w:val="Normal"/>
    <w:rsid w:val="00B5521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2895</Words>
  <Characters>14741</Characters>
  <Application>Microsoft Office Word</Application>
  <DocSecurity>0</DocSecurity>
  <PresentationFormat/>
  <Lines>350</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2018-02-21T01:08:00Z</dcterms:created>
  <dcterms:modified xsi:type="dcterms:W3CDTF">2018-02-21T01:09:00Z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Commercial Broadcasting (Tax) Act 2017</vt:lpwstr>
  </property>
  <property fmtid="{D5CDD505-2E9C-101B-9397-08002B2CF9AE}" pid="3" name="Actno">
    <vt:lpwstr>No. 110, 2017</vt:lpwstr>
  </property>
</Properties>
</file>