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3D1" w:rsidRPr="00F15E6F" w:rsidRDefault="00FD33D1" w:rsidP="00FD33D1">
      <w:pPr>
        <w:jc w:val="center"/>
        <w:rPr>
          <w:rFonts w:ascii="Times" w:hAnsi="Times" w:cs="Times New Roman"/>
          <w:sz w:val="28"/>
          <w:szCs w:val="28"/>
        </w:rPr>
      </w:pPr>
      <w:r>
        <w:rPr>
          <w:noProof/>
          <w:lang w:eastAsia="en-AU"/>
        </w:rPr>
        <w:drawing>
          <wp:inline distT="0" distB="0" distL="0" distR="0">
            <wp:extent cx="1371600" cy="1133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133475"/>
                    </a:xfrm>
                    <a:prstGeom prst="rect">
                      <a:avLst/>
                    </a:prstGeom>
                    <a:noFill/>
                    <a:ln>
                      <a:noFill/>
                    </a:ln>
                  </pic:spPr>
                </pic:pic>
              </a:graphicData>
            </a:graphic>
          </wp:inline>
        </w:drawing>
      </w:r>
    </w:p>
    <w:p w:rsidR="00FD33D1" w:rsidRPr="00FD33D1" w:rsidRDefault="00FD33D1" w:rsidP="00FD33D1">
      <w:pPr>
        <w:jc w:val="center"/>
        <w:rPr>
          <w:rFonts w:ascii="Arial" w:hAnsi="Arial" w:cs="Arial"/>
          <w:spacing w:val="-5"/>
          <w:sz w:val="36"/>
        </w:rPr>
      </w:pPr>
      <w:r>
        <w:rPr>
          <w:rFonts w:ascii="Arial" w:hAnsi="Arial" w:cs="Arial"/>
          <w:spacing w:val="-5"/>
          <w:sz w:val="36"/>
        </w:rPr>
        <w:t xml:space="preserve">Specialist Medical </w:t>
      </w:r>
      <w:r>
        <w:rPr>
          <w:rFonts w:ascii="Arial" w:hAnsi="Arial" w:cs="Arial"/>
          <w:spacing w:val="-15"/>
          <w:sz w:val="36"/>
        </w:rPr>
        <w:t>Re</w:t>
      </w:r>
      <w:r>
        <w:rPr>
          <w:rFonts w:ascii="Arial" w:hAnsi="Arial" w:cs="Arial"/>
          <w:spacing w:val="-5"/>
          <w:sz w:val="36"/>
        </w:rPr>
        <w:t>view Council</w:t>
      </w:r>
    </w:p>
    <w:p w:rsidR="00FD33D1" w:rsidRPr="00FD33D1" w:rsidRDefault="00FD33D1" w:rsidP="00FD33D1">
      <w:pPr>
        <w:pStyle w:val="Heading7"/>
        <w:rPr>
          <w:rFonts w:ascii="Arial" w:hAnsi="Arial"/>
          <w:sz w:val="28"/>
        </w:rPr>
      </w:pPr>
      <w:r>
        <w:rPr>
          <w:rFonts w:ascii="Arial" w:hAnsi="Arial"/>
          <w:sz w:val="28"/>
        </w:rPr>
        <w:t>Declarations</w:t>
      </w:r>
    </w:p>
    <w:p w:rsidR="00FD33D1" w:rsidRDefault="00FD33D1" w:rsidP="00FD33D1">
      <w:pPr>
        <w:pStyle w:val="BodyText"/>
        <w:jc w:val="center"/>
        <w:rPr>
          <w:rFonts w:ascii="Arial" w:hAnsi="Arial"/>
          <w:i/>
          <w:sz w:val="24"/>
          <w:szCs w:val="24"/>
        </w:rPr>
      </w:pPr>
      <w:r>
        <w:rPr>
          <w:rFonts w:ascii="Arial" w:hAnsi="Arial"/>
          <w:i/>
          <w:sz w:val="24"/>
          <w:szCs w:val="24"/>
        </w:rPr>
        <w:t>Section 196W</w:t>
      </w:r>
      <w:r>
        <w:rPr>
          <w:rFonts w:ascii="Arial" w:hAnsi="Arial"/>
          <w:i/>
          <w:sz w:val="24"/>
          <w:szCs w:val="24"/>
        </w:rPr>
        <w:br/>
        <w:t>Veterans’ Entitlements Act 1986</w:t>
      </w:r>
    </w:p>
    <w:p w:rsidR="00FD33D1" w:rsidRDefault="00FD33D1" w:rsidP="00FD33D1">
      <w:pPr>
        <w:jc w:val="center"/>
        <w:rPr>
          <w:rFonts w:ascii="Arial" w:hAnsi="Arial" w:cs="Arial"/>
        </w:rPr>
      </w:pPr>
    </w:p>
    <w:p w:rsidR="00FD33D1" w:rsidRDefault="00FD33D1" w:rsidP="00FD33D1">
      <w:pPr>
        <w:pBdr>
          <w:top w:val="single" w:sz="12" w:space="1" w:color="auto"/>
        </w:pBdr>
        <w:ind w:left="3119" w:right="3119"/>
        <w:jc w:val="center"/>
        <w:rPr>
          <w:rFonts w:ascii="Arial" w:hAnsi="Arial" w:cs="Arial"/>
        </w:rPr>
      </w:pPr>
    </w:p>
    <w:p w:rsidR="00FD33D1" w:rsidRDefault="00FD33D1" w:rsidP="00B54075">
      <w:pPr>
        <w:spacing w:after="0" w:line="240" w:lineRule="auto"/>
        <w:ind w:right="1701"/>
        <w:jc w:val="center"/>
        <w:rPr>
          <w:rFonts w:ascii="Arial" w:hAnsi="Arial" w:cs="Arial"/>
          <w:b/>
        </w:rPr>
      </w:pPr>
      <w:r>
        <w:rPr>
          <w:rFonts w:ascii="Arial" w:hAnsi="Arial" w:cs="Arial"/>
          <w:b/>
        </w:rPr>
        <w:t xml:space="preserve">                            Re: </w:t>
      </w:r>
      <w:r w:rsidRPr="004229C7">
        <w:rPr>
          <w:rFonts w:ascii="Arial" w:hAnsi="Arial" w:cs="Arial"/>
          <w:b/>
        </w:rPr>
        <w:t>Statements of Pri</w:t>
      </w:r>
      <w:r>
        <w:rPr>
          <w:rFonts w:ascii="Arial" w:hAnsi="Arial" w:cs="Arial"/>
          <w:b/>
        </w:rPr>
        <w:t xml:space="preserve">nciples Nos. 75 and 76 of 2015 </w:t>
      </w:r>
    </w:p>
    <w:p w:rsidR="00FD33D1" w:rsidRDefault="00FD33D1" w:rsidP="00B54075">
      <w:pPr>
        <w:spacing w:after="0" w:line="240" w:lineRule="auto"/>
        <w:ind w:left="720" w:right="1701" w:firstLine="720"/>
        <w:jc w:val="center"/>
        <w:rPr>
          <w:rFonts w:ascii="Arial" w:hAnsi="Arial" w:cs="Arial"/>
          <w:b/>
        </w:rPr>
      </w:pPr>
      <w:r>
        <w:rPr>
          <w:rFonts w:ascii="Arial" w:hAnsi="Arial" w:cs="Arial"/>
          <w:b/>
        </w:rPr>
        <w:t xml:space="preserve">in respect </w:t>
      </w:r>
      <w:r w:rsidRPr="004229C7">
        <w:rPr>
          <w:rFonts w:ascii="Arial" w:hAnsi="Arial" w:cs="Arial"/>
          <w:b/>
        </w:rPr>
        <w:t>of myasthenia gravis</w:t>
      </w:r>
    </w:p>
    <w:p w:rsidR="00B54075" w:rsidRDefault="00B54075" w:rsidP="00B54075">
      <w:pPr>
        <w:spacing w:after="0" w:line="240" w:lineRule="auto"/>
        <w:ind w:left="720" w:right="1701" w:firstLine="720"/>
        <w:jc w:val="center"/>
        <w:rPr>
          <w:rFonts w:ascii="Arial" w:hAnsi="Arial" w:cs="Arial"/>
          <w:b/>
        </w:rPr>
      </w:pPr>
      <w:bookmarkStart w:id="0" w:name="_GoBack"/>
      <w:bookmarkEnd w:id="0"/>
    </w:p>
    <w:p w:rsidR="00FD33D1" w:rsidRPr="00FD33D1" w:rsidRDefault="00FD33D1" w:rsidP="00FD33D1">
      <w:pPr>
        <w:ind w:left="1701" w:right="1701"/>
        <w:jc w:val="center"/>
        <w:rPr>
          <w:rFonts w:ascii="Arial" w:hAnsi="Arial" w:cs="Arial"/>
        </w:rPr>
      </w:pPr>
      <w:r>
        <w:rPr>
          <w:rFonts w:ascii="Arial" w:hAnsi="Arial" w:cs="Arial"/>
        </w:rPr>
        <w:t>Request for Review Declaration No. 29</w:t>
      </w:r>
    </w:p>
    <w:p w:rsidR="00FD33D1" w:rsidRPr="00DC6C71" w:rsidRDefault="00FD33D1" w:rsidP="00FD33D1">
      <w:pPr>
        <w:pStyle w:val="NumberLevel1"/>
        <w:numPr>
          <w:ilvl w:val="0"/>
          <w:numId w:val="0"/>
        </w:numPr>
        <w:spacing w:before="0" w:after="0" w:line="276" w:lineRule="auto"/>
        <w:ind w:left="720"/>
        <w:rPr>
          <w:sz w:val="22"/>
          <w:szCs w:val="22"/>
        </w:rPr>
      </w:pPr>
      <w:r w:rsidRPr="00DC6C71">
        <w:rPr>
          <w:sz w:val="22"/>
          <w:szCs w:val="22"/>
        </w:rPr>
        <w:t xml:space="preserve">In relation to the Repatriation Medical Authority (the RMA) Statement of Principles </w:t>
      </w:r>
      <w:r w:rsidRPr="00DC6C71">
        <w:rPr>
          <w:b/>
          <w:sz w:val="22"/>
          <w:szCs w:val="22"/>
        </w:rPr>
        <w:t>No. 75</w:t>
      </w:r>
      <w:r w:rsidRPr="00DC6C71">
        <w:rPr>
          <w:sz w:val="22"/>
          <w:szCs w:val="22"/>
        </w:rPr>
        <w:t xml:space="preserve"> and </w:t>
      </w:r>
      <w:r w:rsidRPr="00DC6C71">
        <w:rPr>
          <w:b/>
          <w:sz w:val="22"/>
          <w:szCs w:val="22"/>
        </w:rPr>
        <w:t>No. 76</w:t>
      </w:r>
      <w:r w:rsidRPr="00DC6C71">
        <w:rPr>
          <w:sz w:val="22"/>
          <w:szCs w:val="22"/>
        </w:rPr>
        <w:t xml:space="preserve"> </w:t>
      </w:r>
      <w:r w:rsidR="00122364" w:rsidRPr="0060313B">
        <w:rPr>
          <w:b/>
          <w:sz w:val="22"/>
          <w:szCs w:val="22"/>
        </w:rPr>
        <w:t>of 2015</w:t>
      </w:r>
      <w:r w:rsidR="00122364">
        <w:rPr>
          <w:sz w:val="22"/>
          <w:szCs w:val="22"/>
        </w:rPr>
        <w:t xml:space="preserve"> </w:t>
      </w:r>
      <w:r w:rsidRPr="00DC6C71">
        <w:rPr>
          <w:sz w:val="22"/>
          <w:szCs w:val="22"/>
        </w:rPr>
        <w:t xml:space="preserve">concerning </w:t>
      </w:r>
      <w:r w:rsidRPr="00DC6C71">
        <w:rPr>
          <w:b/>
          <w:sz w:val="22"/>
          <w:szCs w:val="22"/>
        </w:rPr>
        <w:t>Myasthenia Gravis</w:t>
      </w:r>
      <w:r w:rsidRPr="00DC6C71">
        <w:rPr>
          <w:sz w:val="22"/>
          <w:szCs w:val="22"/>
        </w:rPr>
        <w:t xml:space="preserve">, made under subsection 196B of the </w:t>
      </w:r>
      <w:r w:rsidRPr="00DC6C71">
        <w:rPr>
          <w:i/>
          <w:sz w:val="22"/>
          <w:szCs w:val="22"/>
        </w:rPr>
        <w:t xml:space="preserve">Veterans' Entitlements Act 1986 </w:t>
      </w:r>
      <w:r w:rsidRPr="00DC6C71">
        <w:rPr>
          <w:sz w:val="22"/>
          <w:szCs w:val="22"/>
        </w:rPr>
        <w:t>(the VEA), the Specialist Medical Review Council (the</w:t>
      </w:r>
      <w:r w:rsidR="008A2EED">
        <w:rPr>
          <w:sz w:val="22"/>
          <w:szCs w:val="22"/>
        </w:rPr>
        <w:t xml:space="preserve"> Council) under subsection 196W</w:t>
      </w:r>
      <w:r w:rsidR="00B54075">
        <w:rPr>
          <w:sz w:val="22"/>
          <w:szCs w:val="22"/>
        </w:rPr>
        <w:t>(5)</w:t>
      </w:r>
      <w:r w:rsidR="008A2EED">
        <w:rPr>
          <w:sz w:val="22"/>
          <w:szCs w:val="22"/>
        </w:rPr>
        <w:t xml:space="preserve"> </w:t>
      </w:r>
      <w:r w:rsidRPr="00DC6C71">
        <w:rPr>
          <w:sz w:val="22"/>
          <w:szCs w:val="22"/>
        </w:rPr>
        <w:t>of the VEA:</w:t>
      </w:r>
    </w:p>
    <w:p w:rsidR="00FD33D1" w:rsidRDefault="00FD33D1" w:rsidP="00FD33D1">
      <w:pPr>
        <w:pStyle w:val="NumberLevel1"/>
        <w:numPr>
          <w:ilvl w:val="0"/>
          <w:numId w:val="0"/>
        </w:numPr>
        <w:spacing w:line="276" w:lineRule="auto"/>
        <w:ind w:left="1275" w:right="327"/>
        <w:rPr>
          <w:sz w:val="22"/>
          <w:szCs w:val="22"/>
        </w:rPr>
      </w:pPr>
      <w:r w:rsidRPr="003D0E35">
        <w:rPr>
          <w:sz w:val="22"/>
          <w:szCs w:val="22"/>
        </w:rPr>
        <w:t xml:space="preserve">DECLARES that there was no sound medical-scientific evidence on which the RMA could have relied to amend either of the Statements of Principles </w:t>
      </w:r>
      <w:bookmarkStart w:id="1" w:name="_Ref384985709"/>
      <w:r w:rsidRPr="003D0E35">
        <w:rPr>
          <w:sz w:val="22"/>
          <w:szCs w:val="22"/>
        </w:rPr>
        <w:t>to include a factor or factors for exposure to ionising radiation and the clinical onset and/or clinical worsening of myasthenia gravis.</w:t>
      </w:r>
    </w:p>
    <w:p w:rsidR="00FD33D1" w:rsidRPr="00DC6C71" w:rsidRDefault="00FD33D1" w:rsidP="00FD33D1">
      <w:pPr>
        <w:pStyle w:val="NumberLevel1"/>
        <w:numPr>
          <w:ilvl w:val="0"/>
          <w:numId w:val="0"/>
        </w:numPr>
        <w:ind w:left="1275" w:right="327"/>
        <w:rPr>
          <w:sz w:val="22"/>
          <w:szCs w:val="22"/>
        </w:rPr>
      </w:pPr>
    </w:p>
    <w:tbl>
      <w:tblPr>
        <w:tblW w:w="0" w:type="auto"/>
        <w:tblInd w:w="1275" w:type="dxa"/>
        <w:tblLook w:val="04A0" w:firstRow="1" w:lastRow="0" w:firstColumn="1" w:lastColumn="0" w:noHBand="0" w:noVBand="1"/>
      </w:tblPr>
      <w:tblGrid>
        <w:gridCol w:w="2278"/>
        <w:gridCol w:w="3124"/>
        <w:gridCol w:w="2626"/>
        <w:gridCol w:w="335"/>
      </w:tblGrid>
      <w:tr w:rsidR="005F1335" w:rsidRPr="00DC6C71" w:rsidTr="005F1335">
        <w:tc>
          <w:tcPr>
            <w:tcW w:w="2477" w:type="dxa"/>
            <w:shd w:val="clear" w:color="auto" w:fill="auto"/>
          </w:tcPr>
          <w:p w:rsidR="005F1335" w:rsidRPr="00DC6C71" w:rsidRDefault="005F1335" w:rsidP="00EC3BA2">
            <w:pPr>
              <w:pStyle w:val="NumberLevel1"/>
              <w:numPr>
                <w:ilvl w:val="0"/>
                <w:numId w:val="0"/>
              </w:numPr>
              <w:ind w:right="327"/>
              <w:rPr>
                <w:sz w:val="22"/>
                <w:szCs w:val="22"/>
              </w:rPr>
            </w:pPr>
            <w:r>
              <w:rPr>
                <w:noProof/>
                <w:lang w:eastAsia="en-AU"/>
              </w:rPr>
              <w:drawing>
                <wp:inline distT="0" distB="0" distL="0" distR="0" wp14:anchorId="56AF16AF" wp14:editId="16061B88">
                  <wp:extent cx="1085850" cy="752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850" cy="752475"/>
                          </a:xfrm>
                          <a:prstGeom prst="rect">
                            <a:avLst/>
                          </a:prstGeom>
                          <a:noFill/>
                          <a:ln>
                            <a:noFill/>
                          </a:ln>
                        </pic:spPr>
                      </pic:pic>
                    </a:graphicData>
                  </a:graphic>
                </wp:inline>
              </w:drawing>
            </w:r>
          </w:p>
        </w:tc>
        <w:tc>
          <w:tcPr>
            <w:tcW w:w="1890" w:type="dxa"/>
            <w:shd w:val="clear" w:color="auto" w:fill="auto"/>
          </w:tcPr>
          <w:p w:rsidR="005F1335" w:rsidRPr="00DC6C71" w:rsidRDefault="005F1335" w:rsidP="00EC3BA2">
            <w:pPr>
              <w:pStyle w:val="NumberLevel1"/>
              <w:numPr>
                <w:ilvl w:val="0"/>
                <w:numId w:val="0"/>
              </w:numPr>
              <w:ind w:right="327"/>
              <w:rPr>
                <w:sz w:val="22"/>
                <w:szCs w:val="22"/>
              </w:rPr>
            </w:pPr>
            <w:r w:rsidRPr="005F1335">
              <w:rPr>
                <w:noProof/>
                <w:sz w:val="22"/>
                <w:szCs w:val="22"/>
                <w:lang w:eastAsia="en-AU"/>
              </w:rPr>
              <w:drawing>
                <wp:inline distT="0" distB="0" distL="0" distR="0" wp14:anchorId="0845392C" wp14:editId="62AF01E2">
                  <wp:extent cx="1638300" cy="926329"/>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6728" cy="931095"/>
                          </a:xfrm>
                          <a:prstGeom prst="rect">
                            <a:avLst/>
                          </a:prstGeom>
                          <a:noFill/>
                          <a:ln>
                            <a:noFill/>
                          </a:ln>
                        </pic:spPr>
                      </pic:pic>
                    </a:graphicData>
                  </a:graphic>
                </wp:inline>
              </w:drawing>
            </w:r>
          </w:p>
        </w:tc>
        <w:tc>
          <w:tcPr>
            <w:tcW w:w="2725" w:type="dxa"/>
            <w:shd w:val="clear" w:color="auto" w:fill="auto"/>
          </w:tcPr>
          <w:p w:rsidR="005F1335" w:rsidRPr="00DC6C71" w:rsidRDefault="005F1335" w:rsidP="00EC3BA2">
            <w:pPr>
              <w:pStyle w:val="NumberLevel1"/>
              <w:numPr>
                <w:ilvl w:val="0"/>
                <w:numId w:val="0"/>
              </w:numPr>
              <w:ind w:right="327"/>
              <w:rPr>
                <w:sz w:val="22"/>
                <w:szCs w:val="22"/>
              </w:rPr>
            </w:pPr>
            <w:r w:rsidRPr="001C401B">
              <w:rPr>
                <w:noProof/>
                <w:lang w:eastAsia="en-AU"/>
              </w:rPr>
              <w:drawing>
                <wp:inline distT="0" distB="0" distL="0" distR="0" wp14:anchorId="035AEFBA" wp14:editId="52AB5257">
                  <wp:extent cx="1314450" cy="762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tc>
        <w:tc>
          <w:tcPr>
            <w:tcW w:w="1271" w:type="dxa"/>
          </w:tcPr>
          <w:p w:rsidR="005F1335" w:rsidRPr="001C401B" w:rsidRDefault="005F1335" w:rsidP="00EC3BA2">
            <w:pPr>
              <w:pStyle w:val="NumberLevel1"/>
              <w:numPr>
                <w:ilvl w:val="0"/>
                <w:numId w:val="0"/>
              </w:numPr>
              <w:ind w:right="327"/>
              <w:rPr>
                <w:noProof/>
                <w:lang w:eastAsia="en-AU"/>
              </w:rPr>
            </w:pPr>
          </w:p>
        </w:tc>
      </w:tr>
      <w:tr w:rsidR="005F1335" w:rsidRPr="00DC6C71" w:rsidTr="005F1335">
        <w:tc>
          <w:tcPr>
            <w:tcW w:w="2477" w:type="dxa"/>
            <w:shd w:val="clear" w:color="auto" w:fill="auto"/>
          </w:tcPr>
          <w:p w:rsidR="005F1335" w:rsidRPr="00DC6C71" w:rsidRDefault="005F1335" w:rsidP="00FD33D1">
            <w:pPr>
              <w:spacing w:line="240" w:lineRule="auto"/>
              <w:jc w:val="center"/>
              <w:rPr>
                <w:rFonts w:ascii="Arial" w:hAnsi="Arial" w:cs="Arial"/>
              </w:rPr>
            </w:pPr>
            <w:r w:rsidRPr="00DC6C71">
              <w:rPr>
                <w:rFonts w:ascii="Arial" w:hAnsi="Arial" w:cs="Arial"/>
              </w:rPr>
              <w:t>Lin Fritschi</w:t>
            </w:r>
          </w:p>
          <w:p w:rsidR="005F1335" w:rsidRPr="00DC6C71" w:rsidRDefault="005F1335" w:rsidP="00FD33D1">
            <w:pPr>
              <w:spacing w:line="240" w:lineRule="auto"/>
              <w:jc w:val="center"/>
              <w:rPr>
                <w:rFonts w:ascii="Arial" w:hAnsi="Arial" w:cs="Arial"/>
              </w:rPr>
            </w:pPr>
            <w:r w:rsidRPr="00DC6C71">
              <w:rPr>
                <w:rFonts w:ascii="Arial" w:hAnsi="Arial" w:cs="Arial"/>
              </w:rPr>
              <w:t>Presiding Councillor</w:t>
            </w:r>
          </w:p>
        </w:tc>
        <w:tc>
          <w:tcPr>
            <w:tcW w:w="1890" w:type="dxa"/>
            <w:shd w:val="clear" w:color="auto" w:fill="auto"/>
          </w:tcPr>
          <w:p w:rsidR="005F1335" w:rsidRPr="00DC6C71" w:rsidRDefault="005F1335" w:rsidP="00FD33D1">
            <w:pPr>
              <w:spacing w:line="240" w:lineRule="auto"/>
              <w:jc w:val="center"/>
              <w:rPr>
                <w:rFonts w:ascii="Arial" w:hAnsi="Arial" w:cs="Arial"/>
              </w:rPr>
            </w:pPr>
            <w:r w:rsidRPr="00DC6C71">
              <w:rPr>
                <w:rFonts w:ascii="Arial" w:hAnsi="Arial" w:cs="Arial"/>
              </w:rPr>
              <w:t>John Worthington</w:t>
            </w:r>
          </w:p>
          <w:p w:rsidR="005F1335" w:rsidRPr="00DC6C71" w:rsidRDefault="005F1335" w:rsidP="00FD33D1">
            <w:pPr>
              <w:spacing w:line="240" w:lineRule="auto"/>
              <w:jc w:val="center"/>
              <w:rPr>
                <w:rFonts w:ascii="Arial" w:hAnsi="Arial" w:cs="Arial"/>
              </w:rPr>
            </w:pPr>
            <w:r w:rsidRPr="00DC6C71">
              <w:rPr>
                <w:rFonts w:ascii="Arial" w:hAnsi="Arial" w:cs="Arial"/>
              </w:rPr>
              <w:t>Councillor</w:t>
            </w:r>
          </w:p>
        </w:tc>
        <w:tc>
          <w:tcPr>
            <w:tcW w:w="2725" w:type="dxa"/>
            <w:shd w:val="clear" w:color="auto" w:fill="auto"/>
          </w:tcPr>
          <w:p w:rsidR="005F1335" w:rsidRPr="00DC6C71" w:rsidRDefault="005F1335" w:rsidP="00FD33D1">
            <w:pPr>
              <w:spacing w:line="240" w:lineRule="auto"/>
              <w:jc w:val="center"/>
              <w:rPr>
                <w:rFonts w:ascii="Arial" w:hAnsi="Arial" w:cs="Arial"/>
              </w:rPr>
            </w:pPr>
            <w:r w:rsidRPr="00DC6C71">
              <w:rPr>
                <w:rFonts w:ascii="Arial" w:hAnsi="Arial" w:cs="Arial"/>
              </w:rPr>
              <w:t>Rick Tinker</w:t>
            </w:r>
          </w:p>
          <w:p w:rsidR="005F1335" w:rsidRPr="00DC6C71" w:rsidRDefault="005F1335" w:rsidP="00FD33D1">
            <w:pPr>
              <w:spacing w:line="240" w:lineRule="auto"/>
              <w:jc w:val="center"/>
              <w:rPr>
                <w:rFonts w:ascii="Arial" w:hAnsi="Arial" w:cs="Arial"/>
              </w:rPr>
            </w:pPr>
            <w:r w:rsidRPr="00DC6C71">
              <w:rPr>
                <w:rFonts w:ascii="Arial" w:hAnsi="Arial" w:cs="Arial"/>
              </w:rPr>
              <w:t>Councillor</w:t>
            </w:r>
          </w:p>
        </w:tc>
        <w:tc>
          <w:tcPr>
            <w:tcW w:w="1271" w:type="dxa"/>
          </w:tcPr>
          <w:p w:rsidR="005F1335" w:rsidRPr="00DC6C71" w:rsidRDefault="005F1335" w:rsidP="00FD33D1">
            <w:pPr>
              <w:spacing w:line="240" w:lineRule="auto"/>
              <w:jc w:val="center"/>
              <w:rPr>
                <w:rFonts w:ascii="Arial" w:hAnsi="Arial" w:cs="Arial"/>
              </w:rPr>
            </w:pPr>
          </w:p>
        </w:tc>
      </w:tr>
      <w:bookmarkEnd w:id="1"/>
    </w:tbl>
    <w:p w:rsidR="00FD33D1" w:rsidRPr="00DC6C71" w:rsidRDefault="00FD33D1" w:rsidP="00FD33D1"/>
    <w:tbl>
      <w:tblPr>
        <w:tblW w:w="0" w:type="auto"/>
        <w:tblInd w:w="250" w:type="dxa"/>
        <w:tblLook w:val="04A0" w:firstRow="1" w:lastRow="0" w:firstColumn="1" w:lastColumn="0" w:noHBand="0" w:noVBand="1"/>
      </w:tblPr>
      <w:tblGrid>
        <w:gridCol w:w="4678"/>
        <w:gridCol w:w="4710"/>
      </w:tblGrid>
      <w:tr w:rsidR="00FD33D1" w:rsidRPr="00DC6C71" w:rsidTr="00EC3BA2">
        <w:tc>
          <w:tcPr>
            <w:tcW w:w="4845" w:type="dxa"/>
            <w:shd w:val="clear" w:color="auto" w:fill="auto"/>
          </w:tcPr>
          <w:tbl>
            <w:tblPr>
              <w:tblW w:w="3861" w:type="dxa"/>
              <w:tblInd w:w="108" w:type="dxa"/>
              <w:tblLook w:val="01E0" w:firstRow="1" w:lastRow="1" w:firstColumn="1" w:lastColumn="1" w:noHBand="0" w:noVBand="0"/>
            </w:tblPr>
            <w:tblGrid>
              <w:gridCol w:w="3595"/>
              <w:gridCol w:w="266"/>
            </w:tblGrid>
            <w:tr w:rsidR="00FD33D1" w:rsidRPr="00DC6C71" w:rsidTr="00EC3BA2">
              <w:tc>
                <w:tcPr>
                  <w:tcW w:w="4656" w:type="pct"/>
                  <w:shd w:val="clear" w:color="auto" w:fill="auto"/>
                </w:tcPr>
                <w:p w:rsidR="00FD33D1" w:rsidRPr="00DC6C71" w:rsidRDefault="00FD33D1" w:rsidP="00FD33D1">
                  <w:pPr>
                    <w:spacing w:line="240" w:lineRule="auto"/>
                    <w:rPr>
                      <w:rFonts w:ascii="Arial" w:hAnsi="Arial" w:cs="Arial"/>
                    </w:rPr>
                  </w:pPr>
                  <w:r w:rsidRPr="00DC6C71">
                    <w:rPr>
                      <w:rFonts w:ascii="Arial" w:hAnsi="Arial" w:cs="Arial"/>
                    </w:rPr>
                    <w:lastRenderedPageBreak/>
                    <w:t>The Common Seal of the</w:t>
                  </w:r>
                  <w:r w:rsidRPr="00DC6C71">
                    <w:rPr>
                      <w:rFonts w:ascii="Arial" w:hAnsi="Arial" w:cs="Arial"/>
                    </w:rPr>
                    <w:tab/>
                    <w:t>)</w:t>
                  </w:r>
                  <w:r w:rsidRPr="00DC6C71">
                    <w:rPr>
                      <w:rFonts w:ascii="Arial" w:hAnsi="Arial" w:cs="Arial"/>
                    </w:rPr>
                    <w:br/>
                    <w:t>Specialist Medical Review</w:t>
                  </w:r>
                  <w:r w:rsidRPr="00DC6C71">
                    <w:rPr>
                      <w:rFonts w:ascii="Arial" w:hAnsi="Arial" w:cs="Arial"/>
                    </w:rPr>
                    <w:tab/>
                    <w:t xml:space="preserve">) Council was affixed by </w:t>
                  </w:r>
                  <w:r w:rsidRPr="00DC6C71">
                    <w:rPr>
                      <w:rFonts w:ascii="Arial" w:hAnsi="Arial" w:cs="Arial"/>
                    </w:rPr>
                    <w:tab/>
                    <w:t>)</w:t>
                  </w:r>
                </w:p>
                <w:p w:rsidR="00FD33D1" w:rsidRPr="00DC6C71" w:rsidRDefault="00FD33D1" w:rsidP="00FD33D1">
                  <w:pPr>
                    <w:spacing w:line="240" w:lineRule="auto"/>
                    <w:rPr>
                      <w:rFonts w:ascii="Arial" w:hAnsi="Arial" w:cs="Arial"/>
                    </w:rPr>
                  </w:pPr>
                  <w:r w:rsidRPr="00DC6C71">
                    <w:rPr>
                      <w:rFonts w:ascii="Arial" w:hAnsi="Arial" w:cs="Arial"/>
                    </w:rPr>
                    <w:t>authority of the Council in</w:t>
                  </w:r>
                  <w:r w:rsidRPr="00DC6C71">
                    <w:rPr>
                      <w:rFonts w:ascii="Arial" w:hAnsi="Arial" w:cs="Arial"/>
                    </w:rPr>
                    <w:tab/>
                    <w:t>)</w:t>
                  </w:r>
                </w:p>
                <w:p w:rsidR="00FD33D1" w:rsidRPr="00DC6C71" w:rsidRDefault="00FD33D1" w:rsidP="00FD33D1">
                  <w:pPr>
                    <w:spacing w:line="240" w:lineRule="auto"/>
                    <w:rPr>
                      <w:rFonts w:ascii="Arial" w:hAnsi="Arial" w:cs="Arial"/>
                    </w:rPr>
                  </w:pPr>
                  <w:r w:rsidRPr="00DC6C71">
                    <w:rPr>
                      <w:rFonts w:ascii="Arial" w:hAnsi="Arial" w:cs="Arial"/>
                    </w:rPr>
                    <w:t>the presence of:</w:t>
                  </w:r>
                  <w:r w:rsidRPr="00DC6C71">
                    <w:rPr>
                      <w:rFonts w:ascii="Arial" w:hAnsi="Arial" w:cs="Arial"/>
                    </w:rPr>
                    <w:tab/>
                  </w:r>
                  <w:r w:rsidRPr="00DC6C71">
                    <w:rPr>
                      <w:rFonts w:ascii="Arial" w:hAnsi="Arial" w:cs="Arial"/>
                    </w:rPr>
                    <w:tab/>
                    <w:t>)</w:t>
                  </w:r>
                </w:p>
                <w:p w:rsidR="00FD33D1" w:rsidRPr="00DC6C71" w:rsidRDefault="00FD33D1" w:rsidP="00FD33D1">
                  <w:pPr>
                    <w:spacing w:line="240" w:lineRule="auto"/>
                    <w:jc w:val="center"/>
                    <w:rPr>
                      <w:rFonts w:ascii="Arial" w:hAnsi="Arial" w:cs="Arial"/>
                    </w:rPr>
                  </w:pPr>
                </w:p>
              </w:tc>
              <w:tc>
                <w:tcPr>
                  <w:tcW w:w="344" w:type="pct"/>
                  <w:shd w:val="clear" w:color="auto" w:fill="auto"/>
                </w:tcPr>
                <w:p w:rsidR="00FD33D1" w:rsidRPr="00DC6C71" w:rsidRDefault="00FD33D1" w:rsidP="00EC3BA2">
                  <w:pPr>
                    <w:rPr>
                      <w:rFonts w:ascii="Arial" w:hAnsi="Arial" w:cs="Arial"/>
                    </w:rPr>
                  </w:pPr>
                </w:p>
                <w:p w:rsidR="00FD33D1" w:rsidRPr="00DC6C71" w:rsidRDefault="00FD33D1" w:rsidP="00EC3BA2">
                  <w:pPr>
                    <w:jc w:val="center"/>
                    <w:rPr>
                      <w:rFonts w:ascii="Arial" w:hAnsi="Arial" w:cs="Arial"/>
                    </w:rPr>
                  </w:pPr>
                </w:p>
              </w:tc>
            </w:tr>
          </w:tbl>
          <w:p w:rsidR="00FD33D1" w:rsidRPr="00DC6C71" w:rsidRDefault="00FD33D1" w:rsidP="00EC3BA2"/>
        </w:tc>
        <w:tc>
          <w:tcPr>
            <w:tcW w:w="5095" w:type="dxa"/>
            <w:shd w:val="clear" w:color="auto" w:fill="auto"/>
          </w:tcPr>
          <w:p w:rsidR="00FD33D1" w:rsidRPr="00DC6C71" w:rsidRDefault="00FD33D1" w:rsidP="00EC3BA2">
            <w:r>
              <w:rPr>
                <w:noProof/>
                <w:lang w:eastAsia="en-AU"/>
              </w:rPr>
              <w:drawing>
                <wp:anchor distT="0" distB="0" distL="114300" distR="114300" simplePos="0" relativeHeight="251659264" behindDoc="0" locked="0" layoutInCell="1" allowOverlap="1">
                  <wp:simplePos x="0" y="0"/>
                  <wp:positionH relativeFrom="column">
                    <wp:align>right</wp:align>
                  </wp:positionH>
                  <wp:positionV relativeFrom="paragraph">
                    <wp:posOffset>-2725420</wp:posOffset>
                  </wp:positionV>
                  <wp:extent cx="2129155" cy="1731645"/>
                  <wp:effectExtent l="0" t="0" r="4445"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9155" cy="17316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D33D1" w:rsidRPr="00DC6C71" w:rsidRDefault="00FD33D1" w:rsidP="00FD33D1">
      <w:pPr>
        <w:rPr>
          <w:rFonts w:ascii="Arial" w:hAnsi="Arial" w:cs="Arial"/>
        </w:rPr>
      </w:pPr>
      <w:r w:rsidRPr="00DC6C71">
        <w:rPr>
          <w:rFonts w:ascii="Arial" w:hAnsi="Arial" w:cs="Arial"/>
        </w:rPr>
        <w:t xml:space="preserve">                    </w:t>
      </w:r>
    </w:p>
    <w:tbl>
      <w:tblPr>
        <w:tblW w:w="0" w:type="auto"/>
        <w:tblInd w:w="4786" w:type="dxa"/>
        <w:tblLook w:val="04A0" w:firstRow="1" w:lastRow="0" w:firstColumn="1" w:lastColumn="0" w:noHBand="0" w:noVBand="1"/>
      </w:tblPr>
      <w:tblGrid>
        <w:gridCol w:w="4852"/>
      </w:tblGrid>
      <w:tr w:rsidR="00FD33D1" w:rsidRPr="00DC6C71" w:rsidTr="00EC3BA2">
        <w:tc>
          <w:tcPr>
            <w:tcW w:w="5404" w:type="dxa"/>
            <w:shd w:val="clear" w:color="auto" w:fill="auto"/>
          </w:tcPr>
          <w:p w:rsidR="00FD33D1" w:rsidRPr="00DC6C71" w:rsidRDefault="00FD33D1" w:rsidP="00EC3BA2">
            <w:pPr>
              <w:jc w:val="center"/>
              <w:rPr>
                <w:rFonts w:ascii="Arial" w:hAnsi="Arial" w:cs="Arial"/>
              </w:rPr>
            </w:pPr>
            <w:r w:rsidRPr="00896431">
              <w:rPr>
                <w:noProof/>
                <w:szCs w:val="24"/>
                <w:lang w:eastAsia="en-AU"/>
              </w:rPr>
              <w:drawing>
                <wp:inline distT="0" distB="0" distL="0" distR="0">
                  <wp:extent cx="1566256" cy="723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0230" cy="725737"/>
                          </a:xfrm>
                          <a:prstGeom prst="rect">
                            <a:avLst/>
                          </a:prstGeom>
                          <a:noFill/>
                          <a:ln>
                            <a:noFill/>
                          </a:ln>
                        </pic:spPr>
                      </pic:pic>
                    </a:graphicData>
                  </a:graphic>
                </wp:inline>
              </w:drawing>
            </w:r>
          </w:p>
        </w:tc>
      </w:tr>
      <w:tr w:rsidR="00FD33D1" w:rsidRPr="00DC6C71" w:rsidTr="00EC3BA2">
        <w:tc>
          <w:tcPr>
            <w:tcW w:w="5404" w:type="dxa"/>
            <w:shd w:val="clear" w:color="auto" w:fill="auto"/>
          </w:tcPr>
          <w:p w:rsidR="00FD33D1" w:rsidRPr="00DC6C71" w:rsidRDefault="00FD33D1" w:rsidP="00FD33D1">
            <w:pPr>
              <w:spacing w:after="0"/>
              <w:jc w:val="center"/>
              <w:rPr>
                <w:rFonts w:ascii="Arial" w:hAnsi="Arial" w:cs="Arial"/>
              </w:rPr>
            </w:pPr>
            <w:r w:rsidRPr="00DC6C71">
              <w:rPr>
                <w:rFonts w:ascii="Arial" w:hAnsi="Arial" w:cs="Arial"/>
              </w:rPr>
              <w:t>Jan Bowman</w:t>
            </w:r>
          </w:p>
          <w:p w:rsidR="00FD33D1" w:rsidRDefault="00FD33D1" w:rsidP="00FD33D1">
            <w:pPr>
              <w:spacing w:after="0"/>
              <w:jc w:val="center"/>
              <w:rPr>
                <w:rFonts w:ascii="Arial" w:hAnsi="Arial" w:cs="Arial"/>
              </w:rPr>
            </w:pPr>
            <w:r>
              <w:rPr>
                <w:rFonts w:ascii="Arial" w:hAnsi="Arial" w:cs="Arial"/>
              </w:rPr>
              <w:t>Registrar, SMRC</w:t>
            </w:r>
          </w:p>
          <w:p w:rsidR="00FD33D1" w:rsidRPr="00DC6C71" w:rsidRDefault="00FD33D1" w:rsidP="00FD33D1">
            <w:pPr>
              <w:spacing w:after="0"/>
              <w:jc w:val="center"/>
              <w:rPr>
                <w:rFonts w:ascii="Arial" w:hAnsi="Arial" w:cs="Arial"/>
              </w:rPr>
            </w:pPr>
          </w:p>
        </w:tc>
      </w:tr>
      <w:tr w:rsidR="00FD33D1" w:rsidRPr="00DC6C71" w:rsidTr="00EC3BA2">
        <w:tc>
          <w:tcPr>
            <w:tcW w:w="5404" w:type="dxa"/>
            <w:shd w:val="clear" w:color="auto" w:fill="auto"/>
          </w:tcPr>
          <w:p w:rsidR="00FD33D1" w:rsidRPr="00DC6C71" w:rsidRDefault="00FD33D1" w:rsidP="001B5C2C">
            <w:pPr>
              <w:jc w:val="center"/>
              <w:rPr>
                <w:rFonts w:ascii="Arial" w:hAnsi="Arial" w:cs="Arial"/>
              </w:rPr>
            </w:pPr>
            <w:r w:rsidRPr="00DC6C71">
              <w:rPr>
                <w:rFonts w:ascii="Arial" w:hAnsi="Arial" w:cs="Arial"/>
              </w:rPr>
              <w:t xml:space="preserve">Dated this </w:t>
            </w:r>
            <w:r w:rsidR="001B5C2C">
              <w:rPr>
                <w:rFonts w:ascii="Arial" w:hAnsi="Arial" w:cs="Arial"/>
                <w:b/>
                <w:i/>
              </w:rPr>
              <w:t xml:space="preserve">twenty third </w:t>
            </w:r>
            <w:r w:rsidRPr="00DC6C71">
              <w:rPr>
                <w:rFonts w:ascii="Arial" w:hAnsi="Arial" w:cs="Arial"/>
              </w:rPr>
              <w:t xml:space="preserve">day of </w:t>
            </w:r>
            <w:r>
              <w:rPr>
                <w:rFonts w:ascii="Arial" w:hAnsi="Arial" w:cs="Arial"/>
                <w:b/>
                <w:i/>
              </w:rPr>
              <w:t>May</w:t>
            </w:r>
            <w:r w:rsidRPr="00DC6C71">
              <w:rPr>
                <w:rFonts w:ascii="Arial" w:hAnsi="Arial" w:cs="Arial"/>
                <w:b/>
                <w:i/>
              </w:rPr>
              <w:t xml:space="preserve"> </w:t>
            </w:r>
            <w:r w:rsidRPr="00DC6C71">
              <w:rPr>
                <w:rFonts w:ascii="Arial" w:hAnsi="Arial" w:cs="Arial"/>
              </w:rPr>
              <w:t>2016</w:t>
            </w:r>
          </w:p>
        </w:tc>
      </w:tr>
    </w:tbl>
    <w:p w:rsidR="00FD33D1" w:rsidRPr="00F36730" w:rsidRDefault="00FD33D1" w:rsidP="00FD33D1">
      <w:pPr>
        <w:pStyle w:val="Heading7"/>
        <w:numPr>
          <w:ilvl w:val="0"/>
          <w:numId w:val="0"/>
        </w:numPr>
        <w:jc w:val="left"/>
        <w:rPr>
          <w:rFonts w:ascii="Arial" w:hAnsi="Arial" w:cs="Arial"/>
          <w:sz w:val="22"/>
          <w:szCs w:val="22"/>
        </w:rPr>
      </w:pPr>
    </w:p>
    <w:p w:rsidR="004B2753" w:rsidRPr="00424B97" w:rsidRDefault="004B2753" w:rsidP="00424B97"/>
    <w:sectPr w:rsidR="004B2753" w:rsidRPr="00424B97" w:rsidSect="008E4F6C">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tima">
    <w:panose1 w:val="00000000000000000000"/>
    <w:charset w:val="00"/>
    <w:family w:val="swiss"/>
    <w:notTrueType/>
    <w:pitch w:val="variable"/>
    <w:sig w:usb0="00000003" w:usb1="00000000" w:usb2="00000000" w:usb3="00000000" w:csb0="00000001" w:csb1="00000000"/>
  </w:font>
  <w:font w:name="Frit-Qat">
    <w:altName w:val="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22" w:rsidRPr="00F36730" w:rsidRDefault="00191E22" w:rsidP="00191E22">
    <w:pPr>
      <w:pStyle w:val="Footer"/>
      <w:jc w:val="both"/>
      <w:rPr>
        <w:rFonts w:ascii="Arial" w:hAnsi="Arial" w:cs="Arial"/>
        <w:sz w:val="16"/>
        <w:szCs w:val="16"/>
      </w:rPr>
    </w:pPr>
    <w:r w:rsidRPr="00F36730">
      <w:rPr>
        <w:rFonts w:ascii="Arial" w:hAnsi="Arial" w:cs="Arial"/>
        <w:sz w:val="16"/>
        <w:szCs w:val="16"/>
      </w:rPr>
      <w:t>The Council’s Reasons for Decision in relation to this Declaration can be obtained from its website at www.smrc.gov.au, or on request by writing to the Specialist Medical Review Council Secretariat, PO Box 965, Brisbane, QLD, 4001 or by telephoning  (07) 3223 8840.</w:t>
    </w:r>
  </w:p>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B3395"/>
    <w:multiLevelType w:val="multilevel"/>
    <w:tmpl w:val="7FF43AA0"/>
    <w:lvl w:ilvl="0">
      <w:start w:val="1"/>
      <w:numFmt w:val="decimal"/>
      <w:pStyle w:val="NumberLevel1"/>
      <w:lvlText w:val="%1."/>
      <w:lvlJc w:val="left"/>
      <w:pPr>
        <w:tabs>
          <w:tab w:val="num" w:pos="0"/>
        </w:tabs>
        <w:ind w:left="0" w:hanging="850"/>
      </w:pPr>
      <w:rPr>
        <w:rFonts w:ascii="Arial" w:hAnsi="Arial" w:cs="Arial"/>
        <w:b w:val="0"/>
      </w:rPr>
    </w:lvl>
    <w:lvl w:ilvl="1">
      <w:start w:val="1"/>
      <w:numFmt w:val="decimal"/>
      <w:pStyle w:val="NumberLevel2"/>
      <w:lvlText w:val="%1.%2."/>
      <w:lvlJc w:val="left"/>
      <w:pPr>
        <w:tabs>
          <w:tab w:val="num" w:pos="0"/>
        </w:tabs>
        <w:ind w:left="0" w:hanging="850"/>
      </w:pPr>
      <w:rPr>
        <w:rFonts w:ascii="Arial" w:hAnsi="Arial" w:cs="Arial"/>
        <w:b w:val="0"/>
      </w:rPr>
    </w:lvl>
    <w:lvl w:ilvl="2">
      <w:start w:val="1"/>
      <w:numFmt w:val="decimal"/>
      <w:pStyle w:val="NumberLevel3"/>
      <w:lvlText w:val="%1.%2.%3."/>
      <w:lvlJc w:val="left"/>
      <w:pPr>
        <w:tabs>
          <w:tab w:val="num" w:pos="0"/>
        </w:tabs>
        <w:ind w:left="0" w:hanging="850"/>
      </w:pPr>
      <w:rPr>
        <w:rFonts w:ascii="Arial" w:hAnsi="Arial" w:cs="Arial"/>
        <w:b w:val="0"/>
      </w:rPr>
    </w:lvl>
    <w:lvl w:ilvl="3">
      <w:start w:val="1"/>
      <w:numFmt w:val="lowerLetter"/>
      <w:pStyle w:val="NumberLevel4"/>
      <w:lvlText w:val="%4."/>
      <w:lvlJc w:val="left"/>
      <w:pPr>
        <w:tabs>
          <w:tab w:val="num" w:pos="425"/>
        </w:tabs>
        <w:ind w:left="425" w:hanging="425"/>
      </w:pPr>
      <w:rPr>
        <w:rFonts w:ascii="Arial" w:hAnsi="Arial" w:cs="Arial"/>
        <w:b w:val="0"/>
      </w:rPr>
    </w:lvl>
    <w:lvl w:ilvl="4">
      <w:start w:val="1"/>
      <w:numFmt w:val="bullet"/>
      <w:lvlRestart w:val="0"/>
      <w:pStyle w:val="NumberLevel5"/>
      <w:lvlText w:val="–"/>
      <w:lvlJc w:val="left"/>
      <w:pPr>
        <w:tabs>
          <w:tab w:val="num" w:pos="850"/>
        </w:tabs>
        <w:ind w:left="850" w:hanging="425"/>
      </w:pPr>
      <w:rPr>
        <w:rFonts w:ascii="Arial" w:hAnsi="Arial" w:cs="Arial"/>
        <w:b w:val="0"/>
      </w:rPr>
    </w:lvl>
    <w:lvl w:ilvl="5">
      <w:start w:val="1"/>
      <w:numFmt w:val="bullet"/>
      <w:lvlRestart w:val="0"/>
      <w:pStyle w:val="NumberLevel6"/>
      <w:lvlText w:val="–"/>
      <w:lvlJc w:val="left"/>
      <w:pPr>
        <w:tabs>
          <w:tab w:val="num" w:pos="1276"/>
        </w:tabs>
        <w:ind w:left="1276" w:hanging="426"/>
      </w:pPr>
      <w:rPr>
        <w:rFonts w:ascii="Arial" w:hAnsi="Arial" w:cs="Arial"/>
        <w:b w:val="0"/>
      </w:rPr>
    </w:lvl>
    <w:lvl w:ilvl="6">
      <w:start w:val="1"/>
      <w:numFmt w:val="bullet"/>
      <w:lvlRestart w:val="0"/>
      <w:pStyle w:val="NumberLevel7"/>
      <w:lvlText w:val="–"/>
      <w:lvlJc w:val="left"/>
      <w:pPr>
        <w:tabs>
          <w:tab w:val="num" w:pos="1701"/>
        </w:tabs>
        <w:ind w:left="1701" w:hanging="425"/>
      </w:pPr>
      <w:rPr>
        <w:rFonts w:ascii="Arial" w:hAnsi="Arial" w:cs="Arial"/>
        <w:b w:val="0"/>
      </w:rPr>
    </w:lvl>
    <w:lvl w:ilvl="7">
      <w:start w:val="1"/>
      <w:numFmt w:val="bullet"/>
      <w:lvlRestart w:val="0"/>
      <w:pStyle w:val="NumberLevel8"/>
      <w:lvlText w:val="–"/>
      <w:lvlJc w:val="left"/>
      <w:pPr>
        <w:tabs>
          <w:tab w:val="num" w:pos="2126"/>
        </w:tabs>
        <w:ind w:left="2126" w:hanging="425"/>
      </w:pPr>
      <w:rPr>
        <w:rFonts w:ascii="Arial" w:hAnsi="Arial" w:cs="Arial"/>
        <w:b w:val="0"/>
      </w:rPr>
    </w:lvl>
    <w:lvl w:ilvl="8">
      <w:start w:val="1"/>
      <w:numFmt w:val="bullet"/>
      <w:lvlRestart w:val="0"/>
      <w:pStyle w:val="NumberLevel9"/>
      <w:lvlText w:val="–"/>
      <w:lvlJc w:val="left"/>
      <w:pPr>
        <w:tabs>
          <w:tab w:val="num" w:pos="2551"/>
        </w:tabs>
        <w:ind w:left="2551" w:hanging="425"/>
      </w:pPr>
      <w:rPr>
        <w:rFonts w:ascii="Arial" w:hAnsi="Arial" w:cs="Arial"/>
        <w:b w:val="0"/>
      </w:rPr>
    </w:lvl>
  </w:abstractNum>
  <w:abstractNum w:abstractNumId="1" w15:restartNumberingAfterBreak="0">
    <w:nsid w:val="52135ADF"/>
    <w:multiLevelType w:val="hybridMultilevel"/>
    <w:tmpl w:val="350424DE"/>
    <w:lvl w:ilvl="0" w:tplc="F558B176">
      <w:start w:val="1"/>
      <w:numFmt w:val="decimal"/>
      <w:lvlText w:val="%1."/>
      <w:lvlJc w:val="left"/>
      <w:pPr>
        <w:tabs>
          <w:tab w:val="num" w:pos="720"/>
        </w:tabs>
        <w:ind w:left="720" w:hanging="720"/>
      </w:pPr>
      <w:rPr>
        <w:rFonts w:ascii="Arial" w:hAnsi="Arial" w:hint="default"/>
        <w:sz w:val="22"/>
        <w:szCs w:val="22"/>
      </w:rPr>
    </w:lvl>
    <w:lvl w:ilvl="1" w:tplc="F558B176">
      <w:start w:val="1"/>
      <w:numFmt w:val="decimal"/>
      <w:lvlText w:val="%2."/>
      <w:lvlJc w:val="left"/>
      <w:pPr>
        <w:tabs>
          <w:tab w:val="num" w:pos="360"/>
        </w:tabs>
        <w:ind w:left="360" w:hanging="360"/>
      </w:pPr>
      <w:rPr>
        <w:rFonts w:hint="default"/>
        <w:sz w:val="22"/>
        <w:szCs w:val="22"/>
      </w:rPr>
    </w:lvl>
    <w:lvl w:ilvl="2" w:tplc="0C09001B">
      <w:start w:val="1"/>
      <w:numFmt w:val="bullet"/>
      <w:lvlText w:val=""/>
      <w:lvlJc w:val="left"/>
      <w:pPr>
        <w:tabs>
          <w:tab w:val="num" w:pos="576"/>
        </w:tabs>
        <w:ind w:left="576" w:hanging="576"/>
      </w:pPr>
      <w:rPr>
        <w:rFonts w:ascii="Symbol" w:hAnsi="Symbol" w:hint="default"/>
        <w:color w:val="auto"/>
        <w:sz w:val="16"/>
        <w:szCs w:val="22"/>
      </w:rPr>
    </w:lvl>
    <w:lvl w:ilvl="3" w:tplc="0C09000F">
      <w:start w:val="1"/>
      <w:numFmt w:val="decimal"/>
      <w:lvlText w:val="(%4)"/>
      <w:lvlJc w:val="left"/>
      <w:pPr>
        <w:tabs>
          <w:tab w:val="num" w:pos="2520"/>
        </w:tabs>
        <w:ind w:left="2520" w:hanging="360"/>
      </w:pPr>
      <w:rPr>
        <w:rFonts w:hint="default"/>
      </w:r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76740E95"/>
    <w:multiLevelType w:val="multilevel"/>
    <w:tmpl w:val="0DE0C660"/>
    <w:lvl w:ilvl="0">
      <w:start w:val="1"/>
      <w:numFmt w:val="decimal"/>
      <w:pStyle w:val="Number1"/>
      <w:lvlText w:val="%1."/>
      <w:lvlJc w:val="left"/>
      <w:pPr>
        <w:tabs>
          <w:tab w:val="num" w:pos="567"/>
        </w:tabs>
        <w:ind w:left="0" w:firstLine="0"/>
      </w:pPr>
    </w:lvl>
    <w:lvl w:ilvl="1">
      <w:start w:val="1"/>
      <w:numFmt w:val="lowerRoman"/>
      <w:pStyle w:val="Numbera"/>
      <w:lvlText w:val="(%2)"/>
      <w:lvlJc w:val="left"/>
      <w:pPr>
        <w:tabs>
          <w:tab w:val="num" w:pos="1287"/>
        </w:tabs>
        <w:ind w:left="992" w:hanging="425"/>
      </w:pPr>
    </w:lvl>
    <w:lvl w:ilvl="2">
      <w:start w:val="1"/>
      <w:numFmt w:val="lowerRoman"/>
      <w:pStyle w:val="Numberi"/>
      <w:lvlText w:val="(%3)"/>
      <w:lvlJc w:val="left"/>
      <w:pPr>
        <w:tabs>
          <w:tab w:val="num" w:pos="1712"/>
        </w:tabs>
        <w:ind w:left="1417" w:hanging="425"/>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E1F2B"/>
    <w:rsid w:val="00122364"/>
    <w:rsid w:val="00191E22"/>
    <w:rsid w:val="001B5C2C"/>
    <w:rsid w:val="001C2AAD"/>
    <w:rsid w:val="001F6E54"/>
    <w:rsid w:val="00280BCD"/>
    <w:rsid w:val="003A707F"/>
    <w:rsid w:val="003B0EC1"/>
    <w:rsid w:val="003B573B"/>
    <w:rsid w:val="003F2CBD"/>
    <w:rsid w:val="00424B97"/>
    <w:rsid w:val="004B2753"/>
    <w:rsid w:val="00520873"/>
    <w:rsid w:val="00573D44"/>
    <w:rsid w:val="005F1335"/>
    <w:rsid w:val="0060313B"/>
    <w:rsid w:val="00840A06"/>
    <w:rsid w:val="008439B7"/>
    <w:rsid w:val="0087253F"/>
    <w:rsid w:val="008A2EED"/>
    <w:rsid w:val="008E4F6C"/>
    <w:rsid w:val="00940452"/>
    <w:rsid w:val="009539C7"/>
    <w:rsid w:val="009665B4"/>
    <w:rsid w:val="00A00F21"/>
    <w:rsid w:val="00B54075"/>
    <w:rsid w:val="00B84226"/>
    <w:rsid w:val="00C63C4E"/>
    <w:rsid w:val="00C72C30"/>
    <w:rsid w:val="00D229E5"/>
    <w:rsid w:val="00D77A88"/>
    <w:rsid w:val="00F40885"/>
    <w:rsid w:val="00FD33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B838229-BCD5-46AC-9D2A-D5D0783A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FD33D1"/>
    <w:pPr>
      <w:keepNext/>
      <w:keepLines/>
      <w:widowControl w:val="0"/>
      <w:numPr>
        <w:ilvl w:val="3"/>
        <w:numId w:val="1"/>
      </w:numPr>
      <w:spacing w:before="160" w:after="60" w:line="240" w:lineRule="atLeast"/>
      <w:outlineLvl w:val="3"/>
    </w:pPr>
    <w:rPr>
      <w:rFonts w:ascii="Optima" w:eastAsia="Times New Roman" w:hAnsi="Optima" w:cs="Times New Roman"/>
      <w:b/>
      <w:sz w:val="20"/>
      <w:szCs w:val="20"/>
    </w:rPr>
  </w:style>
  <w:style w:type="paragraph" w:styleId="Heading5">
    <w:name w:val="heading 5"/>
    <w:basedOn w:val="Normal"/>
    <w:next w:val="Normal"/>
    <w:link w:val="Heading5Char"/>
    <w:qFormat/>
    <w:rsid w:val="00FD33D1"/>
    <w:pPr>
      <w:keepNext/>
      <w:numPr>
        <w:ilvl w:val="4"/>
        <w:numId w:val="1"/>
      </w:numPr>
      <w:spacing w:after="0" w:line="240" w:lineRule="auto"/>
      <w:jc w:val="both"/>
      <w:outlineLvl w:val="4"/>
    </w:pPr>
    <w:rPr>
      <w:rFonts w:ascii="Times New Roman" w:eastAsia="Times New Roman" w:hAnsi="Times New Roman" w:cs="Times New Roman"/>
      <w:b/>
      <w:sz w:val="24"/>
      <w:szCs w:val="20"/>
      <w:lang w:val="en-US"/>
    </w:rPr>
  </w:style>
  <w:style w:type="paragraph" w:styleId="Heading6">
    <w:name w:val="heading 6"/>
    <w:basedOn w:val="Normal"/>
    <w:next w:val="Normal"/>
    <w:link w:val="Heading6Char"/>
    <w:qFormat/>
    <w:rsid w:val="00FD33D1"/>
    <w:pPr>
      <w:keepNext/>
      <w:widowControl w:val="0"/>
      <w:numPr>
        <w:ilvl w:val="5"/>
        <w:numId w:val="1"/>
      </w:numPr>
      <w:spacing w:after="0" w:line="240" w:lineRule="auto"/>
      <w:jc w:val="center"/>
      <w:outlineLvl w:val="5"/>
    </w:pPr>
    <w:rPr>
      <w:rFonts w:ascii="Times New Roman" w:eastAsia="Times New Roman" w:hAnsi="Times New Roman" w:cs="Times New Roman"/>
      <w:sz w:val="32"/>
      <w:szCs w:val="20"/>
    </w:rPr>
  </w:style>
  <w:style w:type="paragraph" w:styleId="Heading7">
    <w:name w:val="heading 7"/>
    <w:basedOn w:val="Normal"/>
    <w:next w:val="Normal"/>
    <w:link w:val="Heading7Char"/>
    <w:qFormat/>
    <w:rsid w:val="00FD33D1"/>
    <w:pPr>
      <w:keepNext/>
      <w:widowControl w:val="0"/>
      <w:numPr>
        <w:ilvl w:val="6"/>
        <w:numId w:val="1"/>
      </w:numPr>
      <w:spacing w:after="0" w:line="240" w:lineRule="auto"/>
      <w:jc w:val="center"/>
      <w:outlineLvl w:val="6"/>
    </w:pPr>
    <w:rPr>
      <w:rFonts w:ascii="Frit-Qat" w:eastAsia="Times New Roman" w:hAnsi="Frit-Qat" w:cs="Times New Roman"/>
      <w:b/>
      <w:sz w:val="24"/>
      <w:szCs w:val="20"/>
    </w:rPr>
  </w:style>
  <w:style w:type="paragraph" w:styleId="Heading8">
    <w:name w:val="heading 8"/>
    <w:basedOn w:val="Normal"/>
    <w:next w:val="Normal"/>
    <w:link w:val="Heading8Char"/>
    <w:qFormat/>
    <w:rsid w:val="00FD33D1"/>
    <w:pPr>
      <w:keepNext/>
      <w:numPr>
        <w:ilvl w:val="7"/>
        <w:numId w:val="1"/>
      </w:numPr>
      <w:spacing w:after="0" w:line="240" w:lineRule="auto"/>
      <w:outlineLvl w:val="7"/>
    </w:pPr>
    <w:rPr>
      <w:rFonts w:ascii="Times New Roman" w:eastAsia="Times New Roman" w:hAnsi="Times New Roman" w:cs="Times New Roman"/>
      <w:b/>
      <w:sz w:val="20"/>
      <w:szCs w:val="20"/>
      <w:lang w:val="en-US"/>
    </w:rPr>
  </w:style>
  <w:style w:type="paragraph" w:styleId="Heading9">
    <w:name w:val="heading 9"/>
    <w:basedOn w:val="Normal"/>
    <w:next w:val="Normal"/>
    <w:link w:val="Heading9Char"/>
    <w:qFormat/>
    <w:rsid w:val="00FD33D1"/>
    <w:pPr>
      <w:keepNext/>
      <w:numPr>
        <w:ilvl w:val="8"/>
        <w:numId w:val="1"/>
      </w:numPr>
      <w:spacing w:after="0" w:line="240" w:lineRule="auto"/>
      <w:outlineLvl w:val="8"/>
    </w:pPr>
    <w:rPr>
      <w:rFonts w:ascii="Times New Roman" w:eastAsia="Times New Roman" w:hAnsi="Times New Roman" w:cs="Times New Roman"/>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4Char">
    <w:name w:val="Heading 4 Char"/>
    <w:basedOn w:val="DefaultParagraphFont"/>
    <w:link w:val="Heading4"/>
    <w:rsid w:val="00FD33D1"/>
    <w:rPr>
      <w:rFonts w:ascii="Optima" w:eastAsia="Times New Roman" w:hAnsi="Optima" w:cs="Times New Roman"/>
      <w:b/>
      <w:sz w:val="20"/>
      <w:szCs w:val="20"/>
    </w:rPr>
  </w:style>
  <w:style w:type="character" w:customStyle="1" w:styleId="Heading5Char">
    <w:name w:val="Heading 5 Char"/>
    <w:basedOn w:val="DefaultParagraphFont"/>
    <w:link w:val="Heading5"/>
    <w:rsid w:val="00FD33D1"/>
    <w:rPr>
      <w:rFonts w:ascii="Times New Roman" w:eastAsia="Times New Roman" w:hAnsi="Times New Roman" w:cs="Times New Roman"/>
      <w:b/>
      <w:sz w:val="24"/>
      <w:szCs w:val="20"/>
      <w:lang w:val="en-US"/>
    </w:rPr>
  </w:style>
  <w:style w:type="character" w:customStyle="1" w:styleId="Heading6Char">
    <w:name w:val="Heading 6 Char"/>
    <w:basedOn w:val="DefaultParagraphFont"/>
    <w:link w:val="Heading6"/>
    <w:rsid w:val="00FD33D1"/>
    <w:rPr>
      <w:rFonts w:ascii="Times New Roman" w:eastAsia="Times New Roman" w:hAnsi="Times New Roman" w:cs="Times New Roman"/>
      <w:sz w:val="32"/>
      <w:szCs w:val="20"/>
    </w:rPr>
  </w:style>
  <w:style w:type="character" w:customStyle="1" w:styleId="Heading7Char">
    <w:name w:val="Heading 7 Char"/>
    <w:basedOn w:val="DefaultParagraphFont"/>
    <w:link w:val="Heading7"/>
    <w:rsid w:val="00FD33D1"/>
    <w:rPr>
      <w:rFonts w:ascii="Frit-Qat" w:eastAsia="Times New Roman" w:hAnsi="Frit-Qat" w:cs="Times New Roman"/>
      <w:b/>
      <w:sz w:val="24"/>
      <w:szCs w:val="20"/>
    </w:rPr>
  </w:style>
  <w:style w:type="character" w:customStyle="1" w:styleId="Heading8Char">
    <w:name w:val="Heading 8 Char"/>
    <w:basedOn w:val="DefaultParagraphFont"/>
    <w:link w:val="Heading8"/>
    <w:rsid w:val="00FD33D1"/>
    <w:rPr>
      <w:rFonts w:ascii="Times New Roman" w:eastAsia="Times New Roman" w:hAnsi="Times New Roman" w:cs="Times New Roman"/>
      <w:b/>
      <w:sz w:val="20"/>
      <w:szCs w:val="20"/>
      <w:lang w:val="en-US"/>
    </w:rPr>
  </w:style>
  <w:style w:type="character" w:customStyle="1" w:styleId="Heading9Char">
    <w:name w:val="Heading 9 Char"/>
    <w:basedOn w:val="DefaultParagraphFont"/>
    <w:link w:val="Heading9"/>
    <w:rsid w:val="00FD33D1"/>
    <w:rPr>
      <w:rFonts w:ascii="Times New Roman" w:eastAsia="Times New Roman" w:hAnsi="Times New Roman" w:cs="Times New Roman"/>
      <w:i/>
      <w:sz w:val="20"/>
      <w:szCs w:val="20"/>
      <w:lang w:val="en-US"/>
    </w:rPr>
  </w:style>
  <w:style w:type="paragraph" w:customStyle="1" w:styleId="Number1">
    <w:name w:val="Number 1"/>
    <w:basedOn w:val="Normal"/>
    <w:rsid w:val="00FD33D1"/>
    <w:pPr>
      <w:numPr>
        <w:numId w:val="1"/>
      </w:numPr>
      <w:spacing w:before="120" w:after="120" w:line="300" w:lineRule="atLeast"/>
      <w:jc w:val="both"/>
    </w:pPr>
    <w:rPr>
      <w:rFonts w:ascii="Times" w:eastAsia="Times New Roman" w:hAnsi="Times" w:cs="Times New Roman"/>
      <w:color w:val="000000"/>
      <w:sz w:val="24"/>
      <w:szCs w:val="20"/>
    </w:rPr>
  </w:style>
  <w:style w:type="paragraph" w:customStyle="1" w:styleId="Numbera">
    <w:name w:val="Number(a)"/>
    <w:basedOn w:val="Normal"/>
    <w:rsid w:val="00FD33D1"/>
    <w:pPr>
      <w:numPr>
        <w:ilvl w:val="1"/>
        <w:numId w:val="1"/>
      </w:numPr>
      <w:spacing w:before="80" w:after="80" w:line="280" w:lineRule="atLeast"/>
      <w:jc w:val="both"/>
    </w:pPr>
    <w:rPr>
      <w:rFonts w:ascii="Times" w:eastAsia="Times New Roman" w:hAnsi="Times" w:cs="Times New Roman"/>
      <w:color w:val="000000"/>
      <w:sz w:val="24"/>
      <w:szCs w:val="20"/>
    </w:rPr>
  </w:style>
  <w:style w:type="paragraph" w:customStyle="1" w:styleId="Numberi">
    <w:name w:val="Number(i)"/>
    <w:basedOn w:val="Normal"/>
    <w:rsid w:val="00FD33D1"/>
    <w:pPr>
      <w:numPr>
        <w:ilvl w:val="2"/>
        <w:numId w:val="1"/>
      </w:numPr>
      <w:spacing w:before="80" w:after="80" w:line="280" w:lineRule="atLeast"/>
      <w:jc w:val="both"/>
    </w:pPr>
    <w:rPr>
      <w:rFonts w:ascii="Times" w:eastAsia="Times New Roman" w:hAnsi="Times" w:cs="Times New Roman"/>
      <w:color w:val="000000"/>
      <w:sz w:val="24"/>
      <w:szCs w:val="20"/>
    </w:rPr>
  </w:style>
  <w:style w:type="paragraph" w:styleId="BodyText">
    <w:name w:val="Body Text"/>
    <w:basedOn w:val="Normal"/>
    <w:link w:val="BodyTextChar"/>
    <w:rsid w:val="00FD33D1"/>
    <w:pPr>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FD33D1"/>
    <w:rPr>
      <w:rFonts w:ascii="Times New Roman" w:eastAsia="Times New Roman" w:hAnsi="Times New Roman" w:cs="Times New Roman"/>
      <w:sz w:val="20"/>
      <w:szCs w:val="20"/>
    </w:rPr>
  </w:style>
  <w:style w:type="paragraph" w:customStyle="1" w:styleId="NumberLevel1">
    <w:name w:val="Number Level 1"/>
    <w:basedOn w:val="Normal"/>
    <w:link w:val="NumberLevel1Char1"/>
    <w:rsid w:val="00FD33D1"/>
    <w:pPr>
      <w:numPr>
        <w:numId w:val="2"/>
      </w:numPr>
      <w:spacing w:before="140" w:after="140" w:line="280" w:lineRule="atLeast"/>
    </w:pPr>
    <w:rPr>
      <w:rFonts w:ascii="Arial" w:eastAsia="Times New Roman" w:hAnsi="Arial" w:cs="Times New Roman"/>
      <w:sz w:val="21"/>
      <w:szCs w:val="20"/>
    </w:rPr>
  </w:style>
  <w:style w:type="paragraph" w:customStyle="1" w:styleId="NumberLevel2">
    <w:name w:val="Number Level 2"/>
    <w:basedOn w:val="Normal"/>
    <w:rsid w:val="00FD33D1"/>
    <w:pPr>
      <w:numPr>
        <w:ilvl w:val="1"/>
        <w:numId w:val="2"/>
      </w:numPr>
      <w:spacing w:before="140" w:after="140" w:line="280" w:lineRule="atLeast"/>
    </w:pPr>
    <w:rPr>
      <w:rFonts w:ascii="Arial" w:eastAsia="Times New Roman" w:hAnsi="Arial" w:cs="Times New Roman"/>
      <w:sz w:val="21"/>
      <w:szCs w:val="20"/>
    </w:rPr>
  </w:style>
  <w:style w:type="paragraph" w:customStyle="1" w:styleId="NumberLevel3">
    <w:name w:val="Number Level 3"/>
    <w:basedOn w:val="Normal"/>
    <w:rsid w:val="00FD33D1"/>
    <w:pPr>
      <w:numPr>
        <w:ilvl w:val="2"/>
        <w:numId w:val="2"/>
      </w:numPr>
      <w:spacing w:before="140" w:after="140" w:line="280" w:lineRule="atLeast"/>
    </w:pPr>
    <w:rPr>
      <w:rFonts w:ascii="Arial" w:eastAsia="Times New Roman" w:hAnsi="Arial" w:cs="Times New Roman"/>
      <w:sz w:val="21"/>
      <w:szCs w:val="20"/>
    </w:rPr>
  </w:style>
  <w:style w:type="paragraph" w:customStyle="1" w:styleId="NumberLevel4">
    <w:name w:val="Number Level 4"/>
    <w:basedOn w:val="Normal"/>
    <w:rsid w:val="00FD33D1"/>
    <w:pPr>
      <w:numPr>
        <w:ilvl w:val="3"/>
        <w:numId w:val="2"/>
      </w:numPr>
      <w:spacing w:after="140" w:line="280" w:lineRule="atLeast"/>
    </w:pPr>
    <w:rPr>
      <w:rFonts w:ascii="Arial" w:eastAsia="Times New Roman" w:hAnsi="Arial" w:cs="Times New Roman"/>
      <w:sz w:val="21"/>
      <w:szCs w:val="20"/>
    </w:rPr>
  </w:style>
  <w:style w:type="paragraph" w:customStyle="1" w:styleId="NumberLevel5">
    <w:name w:val="Number Level 5"/>
    <w:basedOn w:val="Normal"/>
    <w:semiHidden/>
    <w:rsid w:val="00FD33D1"/>
    <w:pPr>
      <w:numPr>
        <w:ilvl w:val="4"/>
        <w:numId w:val="2"/>
      </w:numPr>
      <w:spacing w:after="140" w:line="280" w:lineRule="atLeast"/>
    </w:pPr>
    <w:rPr>
      <w:rFonts w:ascii="Arial" w:eastAsia="Times New Roman" w:hAnsi="Arial" w:cs="Times New Roman"/>
      <w:sz w:val="21"/>
      <w:szCs w:val="20"/>
    </w:rPr>
  </w:style>
  <w:style w:type="paragraph" w:customStyle="1" w:styleId="NumberLevel6">
    <w:name w:val="Number Level 6"/>
    <w:basedOn w:val="NumberLevel5"/>
    <w:semiHidden/>
    <w:rsid w:val="00FD33D1"/>
    <w:pPr>
      <w:numPr>
        <w:ilvl w:val="5"/>
      </w:numPr>
      <w:tabs>
        <w:tab w:val="clear" w:pos="1276"/>
        <w:tab w:val="num" w:pos="360"/>
        <w:tab w:val="num" w:pos="576"/>
        <w:tab w:val="num" w:pos="720"/>
      </w:tabs>
      <w:ind w:left="576" w:hanging="576"/>
    </w:pPr>
  </w:style>
  <w:style w:type="paragraph" w:customStyle="1" w:styleId="NumberLevel7">
    <w:name w:val="Number Level 7"/>
    <w:basedOn w:val="NumberLevel6"/>
    <w:semiHidden/>
    <w:rsid w:val="00FD33D1"/>
    <w:pPr>
      <w:numPr>
        <w:ilvl w:val="6"/>
      </w:numPr>
      <w:tabs>
        <w:tab w:val="clear" w:pos="1701"/>
        <w:tab w:val="num" w:pos="360"/>
        <w:tab w:val="num" w:pos="576"/>
      </w:tabs>
      <w:ind w:left="576" w:hanging="576"/>
    </w:pPr>
  </w:style>
  <w:style w:type="paragraph" w:customStyle="1" w:styleId="NumberLevel8">
    <w:name w:val="Number Level 8"/>
    <w:basedOn w:val="NumberLevel7"/>
    <w:semiHidden/>
    <w:rsid w:val="00FD33D1"/>
    <w:pPr>
      <w:numPr>
        <w:ilvl w:val="7"/>
      </w:numPr>
      <w:tabs>
        <w:tab w:val="clear" w:pos="2126"/>
        <w:tab w:val="num" w:pos="360"/>
        <w:tab w:val="num" w:pos="576"/>
      </w:tabs>
      <w:ind w:left="576" w:hanging="576"/>
    </w:pPr>
  </w:style>
  <w:style w:type="paragraph" w:customStyle="1" w:styleId="NumberLevel9">
    <w:name w:val="Number Level 9"/>
    <w:basedOn w:val="NumberLevel8"/>
    <w:semiHidden/>
    <w:rsid w:val="00FD33D1"/>
    <w:pPr>
      <w:numPr>
        <w:ilvl w:val="8"/>
      </w:numPr>
      <w:tabs>
        <w:tab w:val="clear" w:pos="2551"/>
        <w:tab w:val="num" w:pos="360"/>
        <w:tab w:val="num" w:pos="576"/>
      </w:tabs>
      <w:ind w:left="576" w:hanging="576"/>
    </w:pPr>
  </w:style>
  <w:style w:type="character" w:customStyle="1" w:styleId="NumberLevel1Char1">
    <w:name w:val="Number Level 1 Char1"/>
    <w:link w:val="NumberLevel1"/>
    <w:rsid w:val="00FD33D1"/>
    <w:rPr>
      <w:rFonts w:ascii="Arial" w:eastAsia="Times New Roman" w:hAnsi="Arial"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8293F-B2ED-40B0-A00A-8909C332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Bowman, Jan</cp:lastModifiedBy>
  <cp:revision>4</cp:revision>
  <cp:lastPrinted>2013-06-24T01:35:00Z</cp:lastPrinted>
  <dcterms:created xsi:type="dcterms:W3CDTF">2016-05-22T22:56:00Z</dcterms:created>
  <dcterms:modified xsi:type="dcterms:W3CDTF">2016-05-22T23:18:00Z</dcterms:modified>
</cp:coreProperties>
</file>