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p w:rsidR="003C347F" w:rsidRPr="006110F2" w:rsidRDefault="003C347F" w:rsidP="003C347F">
      <w:pPr>
        <w:jc w:val="center"/>
        <w:rPr>
          <w:b/>
        </w:rPr>
      </w:pPr>
      <w:r w:rsidRPr="006110F2">
        <w:rPr>
          <w:b/>
        </w:rPr>
        <w:t xml:space="preserve">NOTICE UNDER SUBSECTION </w:t>
      </w:r>
      <w:proofErr w:type="gramStart"/>
      <w:r w:rsidRPr="006110F2">
        <w:rPr>
          <w:b/>
        </w:rPr>
        <w:t>19A(</w:t>
      </w:r>
      <w:proofErr w:type="gramEnd"/>
      <w:r w:rsidRPr="006110F2">
        <w:rPr>
          <w:b/>
        </w:rPr>
        <w:t xml:space="preserve">2) AND 20(3) OF THE </w:t>
      </w:r>
      <w:r w:rsidRPr="006110F2">
        <w:rPr>
          <w:b/>
          <w:i/>
        </w:rPr>
        <w:t>INDUSTRY RESEARCH AND DEVELOPMENT ACT 1986</w:t>
      </w:r>
    </w:p>
    <w:p w:rsidR="003C347F" w:rsidRPr="006110F2" w:rsidRDefault="003C347F" w:rsidP="00424B97">
      <w:pPr>
        <w:rPr>
          <w:b/>
          <w:i/>
        </w:rPr>
      </w:pPr>
      <w:r w:rsidRPr="006110F2">
        <w:rPr>
          <w:b/>
        </w:rPr>
        <w:t xml:space="preserve">Directions to </w:t>
      </w:r>
      <w:r w:rsidRPr="006110F2">
        <w:rPr>
          <w:b/>
          <w:i/>
        </w:rPr>
        <w:t>Innovation Australia</w:t>
      </w:r>
      <w:r w:rsidRPr="006110F2">
        <w:rPr>
          <w:b/>
        </w:rPr>
        <w:t xml:space="preserve"> under sections 18A, 19 and 20(1) of the </w:t>
      </w:r>
      <w:r w:rsidRPr="006110F2">
        <w:rPr>
          <w:b/>
          <w:i/>
        </w:rPr>
        <w:t>Industry Research and Development Act 1986</w:t>
      </w:r>
    </w:p>
    <w:p w:rsidR="009F62A4" w:rsidRPr="006110F2" w:rsidRDefault="009F62A4" w:rsidP="009F62A4">
      <w:r w:rsidRPr="006110F2">
        <w:t xml:space="preserve">I, CHRISTOPHER PYNE, Minister for Industry, Innovation and Science, direct pursuant to sections 18A, 19 and 20(1) of the </w:t>
      </w:r>
      <w:r w:rsidRPr="006110F2">
        <w:rPr>
          <w:i/>
        </w:rPr>
        <w:t>Industry</w:t>
      </w:r>
      <w:r w:rsidRPr="006110F2">
        <w:t> </w:t>
      </w:r>
      <w:r w:rsidRPr="006110F2">
        <w:rPr>
          <w:i/>
        </w:rPr>
        <w:t>Research and Development Act 1986:</w:t>
      </w:r>
    </w:p>
    <w:p w:rsidR="00081289" w:rsidRPr="006110F2" w:rsidRDefault="00081289" w:rsidP="00081289">
      <w:pPr>
        <w:pStyle w:val="Heading3"/>
      </w:pPr>
      <w:r w:rsidRPr="006110F2">
        <w:t>Part 1: Preliminary</w:t>
      </w:r>
    </w:p>
    <w:p w:rsidR="003C347F" w:rsidRPr="006110F2" w:rsidRDefault="003C347F" w:rsidP="003C347F">
      <w:pPr>
        <w:pStyle w:val="Heading4"/>
      </w:pPr>
      <w:r w:rsidRPr="006110F2">
        <w:t>Commencement</w:t>
      </w:r>
    </w:p>
    <w:p w:rsidR="003C347F" w:rsidRPr="006110F2" w:rsidRDefault="003C347F" w:rsidP="003C347F">
      <w:pPr>
        <w:pStyle w:val="ListNumber"/>
      </w:pPr>
      <w:r w:rsidRPr="006110F2">
        <w:t>Th</w:t>
      </w:r>
      <w:r w:rsidR="00391EAD" w:rsidRPr="006110F2">
        <w:t>ese</w:t>
      </w:r>
      <w:r w:rsidRPr="006110F2">
        <w:t xml:space="preserve"> </w:t>
      </w:r>
      <w:r w:rsidR="009F62A4" w:rsidRPr="006110F2">
        <w:t>d</w:t>
      </w:r>
      <w:r w:rsidRPr="006110F2">
        <w:t>irection</w:t>
      </w:r>
      <w:r w:rsidR="00391EAD" w:rsidRPr="006110F2">
        <w:t>s</w:t>
      </w:r>
      <w:r w:rsidRPr="006110F2">
        <w:t xml:space="preserve"> commence on </w:t>
      </w:r>
      <w:r w:rsidR="00926967">
        <w:t>26</w:t>
      </w:r>
      <w:r w:rsidRPr="00926967">
        <w:t>January 2016.</w:t>
      </w:r>
    </w:p>
    <w:p w:rsidR="003C347F" w:rsidRPr="006110F2" w:rsidRDefault="003C347F" w:rsidP="003C347F">
      <w:pPr>
        <w:pStyle w:val="Heading4"/>
      </w:pPr>
      <w:r w:rsidRPr="006110F2">
        <w:t>Object of th</w:t>
      </w:r>
      <w:r w:rsidR="00391EAD" w:rsidRPr="006110F2">
        <w:t>ese</w:t>
      </w:r>
      <w:r w:rsidRPr="006110F2">
        <w:t xml:space="preserve"> Direction</w:t>
      </w:r>
      <w:r w:rsidR="00391EAD" w:rsidRPr="006110F2">
        <w:t>s</w:t>
      </w:r>
    </w:p>
    <w:p w:rsidR="003C347F" w:rsidRPr="006110F2" w:rsidRDefault="003C347F" w:rsidP="003C347F">
      <w:pPr>
        <w:pStyle w:val="ListNumber"/>
      </w:pPr>
      <w:r w:rsidRPr="006110F2">
        <w:t>The object of th</w:t>
      </w:r>
      <w:r w:rsidR="00391EAD" w:rsidRPr="006110F2">
        <w:t>ese</w:t>
      </w:r>
      <w:r w:rsidRPr="006110F2">
        <w:t xml:space="preserve"> </w:t>
      </w:r>
      <w:r w:rsidR="009F62A4" w:rsidRPr="006110F2">
        <w:t>direction</w:t>
      </w:r>
      <w:r w:rsidR="00391EAD" w:rsidRPr="006110F2">
        <w:t>s</w:t>
      </w:r>
      <w:r w:rsidR="009F62A4" w:rsidRPr="006110F2">
        <w:t xml:space="preserve"> </w:t>
      </w:r>
      <w:r w:rsidRPr="006110F2">
        <w:t xml:space="preserve">is to give direction to </w:t>
      </w:r>
      <w:r w:rsidRPr="006110F2">
        <w:rPr>
          <w:i/>
        </w:rPr>
        <w:t>Innovation Australia</w:t>
      </w:r>
      <w:r w:rsidRPr="006110F2">
        <w:t xml:space="preserve"> to:</w:t>
      </w:r>
    </w:p>
    <w:p w:rsidR="003C347F" w:rsidRPr="006110F2" w:rsidRDefault="003C347F" w:rsidP="003C347F">
      <w:pPr>
        <w:pStyle w:val="ListNumber"/>
        <w:numPr>
          <w:ilvl w:val="1"/>
          <w:numId w:val="1"/>
        </w:numPr>
      </w:pPr>
      <w:bookmarkStart w:id="0" w:name="_Ref436140375"/>
      <w:r w:rsidRPr="006110F2">
        <w:t xml:space="preserve">provide </w:t>
      </w:r>
      <w:r w:rsidRPr="006110F2">
        <w:rPr>
          <w:i/>
        </w:rPr>
        <w:t>Technical Assessments</w:t>
      </w:r>
      <w:r w:rsidRPr="006110F2">
        <w:t xml:space="preserve"> to the </w:t>
      </w:r>
      <w:r w:rsidR="00C141F3" w:rsidRPr="006110F2">
        <w:rPr>
          <w:i/>
        </w:rPr>
        <w:t>Minister</w:t>
      </w:r>
      <w:r w:rsidR="002F0694">
        <w:rPr>
          <w:i/>
        </w:rPr>
        <w:t xml:space="preserve"> </w:t>
      </w:r>
      <w:r w:rsidRPr="006110F2">
        <w:t xml:space="preserve">in relation to the </w:t>
      </w:r>
      <w:r w:rsidRPr="006110F2">
        <w:rPr>
          <w:i/>
        </w:rPr>
        <w:t xml:space="preserve">Cooperative Research Centres Programme </w:t>
      </w:r>
      <w:r w:rsidRPr="006110F2">
        <w:t xml:space="preserve">under section 18A of the </w:t>
      </w:r>
      <w:r w:rsidRPr="006110F2">
        <w:rPr>
          <w:i/>
        </w:rPr>
        <w:t>Act</w:t>
      </w:r>
      <w:r w:rsidRPr="006110F2">
        <w:t xml:space="preserve">, including, but not limited to, the merit ranking of </w:t>
      </w:r>
      <w:r w:rsidRPr="006110F2">
        <w:rPr>
          <w:i/>
        </w:rPr>
        <w:t>Compliant Applications</w:t>
      </w:r>
      <w:r w:rsidRPr="006110F2">
        <w:t xml:space="preserve"> under the </w:t>
      </w:r>
      <w:r w:rsidRPr="006110F2">
        <w:rPr>
          <w:i/>
        </w:rPr>
        <w:t>Cooperative Research Centres Programme;</w:t>
      </w:r>
      <w:r w:rsidRPr="006110F2">
        <w:t xml:space="preserve"> and</w:t>
      </w:r>
      <w:bookmarkEnd w:id="0"/>
    </w:p>
    <w:p w:rsidR="003C347F" w:rsidRPr="006110F2" w:rsidRDefault="007B5EAF" w:rsidP="003C347F">
      <w:pPr>
        <w:pStyle w:val="ListNumber"/>
        <w:numPr>
          <w:ilvl w:val="1"/>
          <w:numId w:val="1"/>
        </w:numPr>
      </w:pPr>
      <w:bookmarkStart w:id="1" w:name="_Ref436140383"/>
      <w:r w:rsidRPr="006110F2">
        <w:t xml:space="preserve">undertake the additional function under section 19 of the </w:t>
      </w:r>
      <w:r w:rsidRPr="006110F2">
        <w:rPr>
          <w:i/>
        </w:rPr>
        <w:t>Act</w:t>
      </w:r>
      <w:r w:rsidRPr="006110F2">
        <w:t xml:space="preserve"> to provide strategic oversight of the </w:t>
      </w:r>
      <w:r w:rsidRPr="006110F2">
        <w:rPr>
          <w:i/>
        </w:rPr>
        <w:t>Cooperative Research Centres Programme</w:t>
      </w:r>
      <w:r w:rsidRPr="006110F2">
        <w:t xml:space="preserve">, including advice to the </w:t>
      </w:r>
      <w:r w:rsidR="00C141F3" w:rsidRPr="006110F2">
        <w:rPr>
          <w:i/>
        </w:rPr>
        <w:t>Minister</w:t>
      </w:r>
      <w:r w:rsidRPr="006110F2">
        <w:t xml:space="preserve"> in relation to </w:t>
      </w:r>
      <w:r w:rsidR="003C347F" w:rsidRPr="006110F2">
        <w:t xml:space="preserve">the delivery and performance of the </w:t>
      </w:r>
      <w:r w:rsidR="003C347F" w:rsidRPr="006110F2">
        <w:rPr>
          <w:i/>
        </w:rPr>
        <w:t xml:space="preserve">Cooperative Research Centres Programme; </w:t>
      </w:r>
      <w:r w:rsidR="003C347F" w:rsidRPr="006110F2">
        <w:t>and</w:t>
      </w:r>
      <w:bookmarkEnd w:id="1"/>
    </w:p>
    <w:p w:rsidR="003C347F" w:rsidRPr="006110F2" w:rsidRDefault="003C347F" w:rsidP="003C347F">
      <w:pPr>
        <w:pStyle w:val="ListNumber"/>
        <w:numPr>
          <w:ilvl w:val="1"/>
          <w:numId w:val="1"/>
        </w:numPr>
      </w:pPr>
      <w:proofErr w:type="gramStart"/>
      <w:r w:rsidRPr="006110F2">
        <w:t>the</w:t>
      </w:r>
      <w:proofErr w:type="gramEnd"/>
      <w:r w:rsidRPr="006110F2">
        <w:t xml:space="preserve"> policies and practices to be followed by </w:t>
      </w:r>
      <w:r w:rsidRPr="006110F2">
        <w:rPr>
          <w:i/>
        </w:rPr>
        <w:t>Innovation Australia</w:t>
      </w:r>
      <w:r w:rsidRPr="006110F2">
        <w:t xml:space="preserve"> in the performance of the activities set out in paragraphs </w:t>
      </w:r>
      <w:r w:rsidR="00081289" w:rsidRPr="006110F2">
        <w:fldChar w:fldCharType="begin"/>
      </w:r>
      <w:r w:rsidR="00081289" w:rsidRPr="006110F2">
        <w:instrText xml:space="preserve"> REF _Ref436140375 \r \h </w:instrText>
      </w:r>
      <w:r w:rsidR="006110F2">
        <w:instrText xml:space="preserve"> \* MERGEFORMAT </w:instrText>
      </w:r>
      <w:r w:rsidR="00081289" w:rsidRPr="006110F2">
        <w:fldChar w:fldCharType="separate"/>
      </w:r>
      <w:r w:rsidR="00081289" w:rsidRPr="006110F2">
        <w:t>(a)</w:t>
      </w:r>
      <w:r w:rsidR="00081289" w:rsidRPr="006110F2">
        <w:fldChar w:fldCharType="end"/>
      </w:r>
      <w:r w:rsidRPr="006110F2">
        <w:t xml:space="preserve">and </w:t>
      </w:r>
      <w:r w:rsidR="00081289" w:rsidRPr="006110F2">
        <w:fldChar w:fldCharType="begin"/>
      </w:r>
      <w:r w:rsidR="00081289" w:rsidRPr="006110F2">
        <w:instrText xml:space="preserve"> REF _Ref436140383 \r \h </w:instrText>
      </w:r>
      <w:r w:rsidR="006110F2">
        <w:instrText xml:space="preserve"> \* MERGEFORMAT </w:instrText>
      </w:r>
      <w:r w:rsidR="00081289" w:rsidRPr="006110F2">
        <w:fldChar w:fldCharType="separate"/>
      </w:r>
      <w:r w:rsidR="00081289" w:rsidRPr="006110F2">
        <w:t>(b)</w:t>
      </w:r>
      <w:r w:rsidR="00081289" w:rsidRPr="006110F2">
        <w:fldChar w:fldCharType="end"/>
      </w:r>
      <w:r w:rsidR="007B0409">
        <w:t xml:space="preserve"> </w:t>
      </w:r>
      <w:r w:rsidRPr="006110F2">
        <w:t xml:space="preserve">in accordance with subsection 20(1) of the </w:t>
      </w:r>
      <w:r w:rsidRPr="006110F2">
        <w:rPr>
          <w:i/>
        </w:rPr>
        <w:t>Act</w:t>
      </w:r>
      <w:r w:rsidRPr="006110F2">
        <w:t>.</w:t>
      </w:r>
    </w:p>
    <w:p w:rsidR="003C347F" w:rsidRPr="006110F2" w:rsidRDefault="003C347F" w:rsidP="003C347F">
      <w:pPr>
        <w:pStyle w:val="Heading4"/>
      </w:pPr>
      <w:r w:rsidRPr="006110F2">
        <w:t>Introduction</w:t>
      </w:r>
    </w:p>
    <w:p w:rsidR="003C347F" w:rsidRPr="006110F2" w:rsidRDefault="003C347F" w:rsidP="003C347F">
      <w:pPr>
        <w:pStyle w:val="ListNumber"/>
      </w:pPr>
      <w:r w:rsidRPr="006110F2">
        <w:t xml:space="preserve">The </w:t>
      </w:r>
      <w:r w:rsidRPr="006110F2">
        <w:rPr>
          <w:i/>
        </w:rPr>
        <w:t xml:space="preserve">Cooperative Research Centres Programme </w:t>
      </w:r>
      <w:r w:rsidRPr="006110F2">
        <w:t>will improve the competitiveness, productivity and sustainability of Australian industries, especially where Australia has a competitive strength, and in line with government priorities.</w:t>
      </w:r>
    </w:p>
    <w:p w:rsidR="003C347F" w:rsidRPr="006110F2" w:rsidRDefault="003C347F" w:rsidP="003C347F">
      <w:pPr>
        <w:pStyle w:val="ListNumber"/>
        <w:numPr>
          <w:ilvl w:val="0"/>
          <w:numId w:val="0"/>
        </w:numPr>
        <w:ind w:left="567"/>
      </w:pPr>
      <w:r w:rsidRPr="006110F2">
        <w:rPr>
          <w:i/>
        </w:rPr>
        <w:t>Innovation Australia</w:t>
      </w:r>
      <w:r w:rsidRPr="006110F2">
        <w:t xml:space="preserve"> will assess and prioritise applications against the </w:t>
      </w:r>
      <w:r w:rsidR="00900304">
        <w:t>selection criteria</w:t>
      </w:r>
      <w:r w:rsidRPr="006110F2">
        <w:t xml:space="preserve"> and provide </w:t>
      </w:r>
      <w:r w:rsidRPr="006110F2">
        <w:rPr>
          <w:i/>
        </w:rPr>
        <w:t>Technical Assessments</w:t>
      </w:r>
      <w:r w:rsidRPr="006110F2">
        <w:t xml:space="preserve"> to the </w:t>
      </w:r>
      <w:r w:rsidR="00C141F3" w:rsidRPr="006110F2">
        <w:rPr>
          <w:i/>
        </w:rPr>
        <w:t>Minister</w:t>
      </w:r>
      <w:r w:rsidRPr="006110F2">
        <w:t xml:space="preserve">. </w:t>
      </w:r>
      <w:r w:rsidRPr="006110F2">
        <w:rPr>
          <w:i/>
        </w:rPr>
        <w:t>Innovation Australia</w:t>
      </w:r>
      <w:r w:rsidRPr="006110F2">
        <w:t xml:space="preserve"> will conduct </w:t>
      </w:r>
      <w:r w:rsidRPr="006110F2">
        <w:rPr>
          <w:i/>
        </w:rPr>
        <w:t>Technical Assessment</w:t>
      </w:r>
      <w:r w:rsidRPr="006110F2">
        <w:t xml:space="preserve">s in relation to </w:t>
      </w:r>
      <w:r w:rsidRPr="006110F2">
        <w:rPr>
          <w:i/>
        </w:rPr>
        <w:t>Compliant Applications</w:t>
      </w:r>
      <w:r w:rsidRPr="006110F2">
        <w:t xml:space="preserve"> for </w:t>
      </w:r>
      <w:r w:rsidRPr="006110F2">
        <w:rPr>
          <w:i/>
        </w:rPr>
        <w:t>Grant Funds</w:t>
      </w:r>
      <w:r w:rsidRPr="006110F2">
        <w:t>. The application process will be competitive</w:t>
      </w:r>
      <w:r w:rsidR="00081289" w:rsidRPr="006110F2">
        <w:t>,</w:t>
      </w:r>
      <w:r w:rsidRPr="006110F2">
        <w:t xml:space="preserve"> based on </w:t>
      </w:r>
      <w:r w:rsidR="00900304">
        <w:t>selection criteria</w:t>
      </w:r>
      <w:r w:rsidRPr="006110F2">
        <w:t xml:space="preserve"> and other information as identified under these </w:t>
      </w:r>
      <w:r w:rsidR="00081289" w:rsidRPr="006110F2">
        <w:t>d</w:t>
      </w:r>
      <w:r w:rsidRPr="006110F2">
        <w:t xml:space="preserve">irections and the </w:t>
      </w:r>
      <w:r w:rsidRPr="006110F2">
        <w:rPr>
          <w:i/>
        </w:rPr>
        <w:t>Programme Guidelines</w:t>
      </w:r>
      <w:r w:rsidRPr="006110F2">
        <w:t xml:space="preserve">. </w:t>
      </w:r>
    </w:p>
    <w:p w:rsidR="003C347F" w:rsidRPr="006110F2" w:rsidRDefault="003C347F" w:rsidP="003C347F">
      <w:pPr>
        <w:pStyle w:val="ListNumber"/>
        <w:numPr>
          <w:ilvl w:val="0"/>
          <w:numId w:val="0"/>
        </w:numPr>
        <w:ind w:left="567"/>
      </w:pPr>
      <w:r w:rsidRPr="006110F2">
        <w:t xml:space="preserve">The </w:t>
      </w:r>
      <w:r w:rsidR="00C141F3" w:rsidRPr="006110F2">
        <w:rPr>
          <w:i/>
        </w:rPr>
        <w:t>Minister</w:t>
      </w:r>
      <w:r w:rsidRPr="006110F2">
        <w:t xml:space="preserve"> will consider the advice of </w:t>
      </w:r>
      <w:r w:rsidRPr="006110F2">
        <w:rPr>
          <w:i/>
        </w:rPr>
        <w:t>Innovation Australia</w:t>
      </w:r>
      <w:r w:rsidRPr="006110F2">
        <w:t xml:space="preserve"> and select applicants to whom grants will be offered under the </w:t>
      </w:r>
      <w:r w:rsidRPr="006110F2">
        <w:rPr>
          <w:i/>
        </w:rPr>
        <w:t>Cooperative Research Centres Programme</w:t>
      </w:r>
      <w:r w:rsidRPr="006110F2">
        <w:t xml:space="preserve">. Participants will be monitored closely and on-going support under the </w:t>
      </w:r>
      <w:r w:rsidRPr="006110F2">
        <w:rPr>
          <w:i/>
        </w:rPr>
        <w:t xml:space="preserve">Cooperative Research Centres Programme </w:t>
      </w:r>
      <w:r w:rsidRPr="006110F2">
        <w:t xml:space="preserve">will depend on successfully achieving agreed performance criteria and compliance with the </w:t>
      </w:r>
      <w:r w:rsidR="00B66B3A" w:rsidRPr="006110F2">
        <w:rPr>
          <w:i/>
        </w:rPr>
        <w:t>Funding Agreement</w:t>
      </w:r>
      <w:r w:rsidRPr="006110F2">
        <w:t>.</w:t>
      </w:r>
    </w:p>
    <w:p w:rsidR="003C347F" w:rsidRPr="006110F2" w:rsidRDefault="003C347F" w:rsidP="003C347F">
      <w:pPr>
        <w:pStyle w:val="Heading4"/>
      </w:pPr>
      <w:r w:rsidRPr="006110F2">
        <w:lastRenderedPageBreak/>
        <w:t>Additional Function</w:t>
      </w:r>
    </w:p>
    <w:p w:rsidR="003C347F" w:rsidRPr="006110F2" w:rsidRDefault="003C347F" w:rsidP="003C347F">
      <w:pPr>
        <w:pStyle w:val="ListNumber"/>
        <w:rPr>
          <w:i/>
        </w:rPr>
      </w:pPr>
      <w:r w:rsidRPr="006110F2">
        <w:t>As set out in th</w:t>
      </w:r>
      <w:r w:rsidR="00391EAD" w:rsidRPr="006110F2">
        <w:t>ese</w:t>
      </w:r>
      <w:r w:rsidRPr="006110F2">
        <w:t xml:space="preserve"> </w:t>
      </w:r>
      <w:r w:rsidR="00391EAD" w:rsidRPr="006110F2">
        <w:t>d</w:t>
      </w:r>
      <w:r w:rsidRPr="006110F2">
        <w:t>irection</w:t>
      </w:r>
      <w:r w:rsidR="00391EAD" w:rsidRPr="006110F2">
        <w:t>s</w:t>
      </w:r>
      <w:r w:rsidRPr="006110F2">
        <w:t xml:space="preserve">, </w:t>
      </w:r>
      <w:r w:rsidRPr="006110F2">
        <w:rPr>
          <w:i/>
        </w:rPr>
        <w:t>Innovation Australia</w:t>
      </w:r>
      <w:r w:rsidRPr="006110F2">
        <w:t xml:space="preserve"> will be responsible for the strategic oversight of the </w:t>
      </w:r>
      <w:r w:rsidRPr="006110F2">
        <w:rPr>
          <w:i/>
        </w:rPr>
        <w:t>Cooperative Research Centres Programme.</w:t>
      </w:r>
    </w:p>
    <w:p w:rsidR="003C347F" w:rsidRPr="006110F2" w:rsidRDefault="003C347F" w:rsidP="003C347F">
      <w:pPr>
        <w:pStyle w:val="ListNumber"/>
        <w:rPr>
          <w:i/>
        </w:rPr>
      </w:pPr>
      <w:r w:rsidRPr="006110F2">
        <w:t xml:space="preserve">The </w:t>
      </w:r>
      <w:r w:rsidRPr="006110F2">
        <w:rPr>
          <w:i/>
        </w:rPr>
        <w:t>Department</w:t>
      </w:r>
      <w:r w:rsidRPr="006110F2">
        <w:t xml:space="preserve"> will be responsible for administering the </w:t>
      </w:r>
      <w:r w:rsidRPr="006110F2">
        <w:rPr>
          <w:i/>
        </w:rPr>
        <w:t>Cooperative Research Centres Programme</w:t>
      </w:r>
      <w:r w:rsidRPr="006110F2">
        <w:t xml:space="preserve"> and assisting </w:t>
      </w:r>
      <w:r w:rsidRPr="006110F2">
        <w:rPr>
          <w:i/>
        </w:rPr>
        <w:t>Innovation Australia</w:t>
      </w:r>
      <w:r w:rsidRPr="006110F2">
        <w:t xml:space="preserve"> with its strategic oversight of the </w:t>
      </w:r>
      <w:r w:rsidRPr="006110F2">
        <w:rPr>
          <w:i/>
        </w:rPr>
        <w:t>Cooperative Research Centres Programme</w:t>
      </w:r>
      <w:r w:rsidRPr="006110F2">
        <w:t>.</w:t>
      </w:r>
    </w:p>
    <w:p w:rsidR="003C347F" w:rsidRPr="006110F2" w:rsidRDefault="003C347F" w:rsidP="003C347F">
      <w:pPr>
        <w:pStyle w:val="Heading4"/>
      </w:pPr>
      <w:r w:rsidRPr="006110F2">
        <w:t>Innovation Australia to have regard to policy objectives</w:t>
      </w:r>
    </w:p>
    <w:p w:rsidR="003C347F" w:rsidRPr="006110F2" w:rsidRDefault="003C347F" w:rsidP="003C347F">
      <w:pPr>
        <w:pStyle w:val="ListNumber"/>
      </w:pPr>
      <w:r w:rsidRPr="006110F2">
        <w:rPr>
          <w:i/>
        </w:rPr>
        <w:t>Innovation Australia</w:t>
      </w:r>
      <w:r w:rsidRPr="006110F2">
        <w:t xml:space="preserve"> must have regard to the following policy objectives in giving effect to </w:t>
      </w:r>
      <w:r w:rsidRPr="006110F2">
        <w:rPr>
          <w:lang w:eastAsia="ja-JP"/>
        </w:rPr>
        <w:t>th</w:t>
      </w:r>
      <w:r w:rsidR="00391EAD" w:rsidRPr="006110F2">
        <w:rPr>
          <w:lang w:eastAsia="ja-JP"/>
        </w:rPr>
        <w:t>ese</w:t>
      </w:r>
      <w:r w:rsidRPr="006110F2">
        <w:t xml:space="preserve"> </w:t>
      </w:r>
      <w:r w:rsidR="00081289" w:rsidRPr="006110F2">
        <w:t>d</w:t>
      </w:r>
      <w:r w:rsidRPr="006110F2">
        <w:t>irection</w:t>
      </w:r>
      <w:r w:rsidR="00391EAD" w:rsidRPr="006110F2">
        <w:t>s</w:t>
      </w:r>
      <w:r w:rsidRPr="006110F2">
        <w:t>:</w:t>
      </w:r>
    </w:p>
    <w:p w:rsidR="003C347F" w:rsidRPr="006110F2" w:rsidRDefault="003C347F" w:rsidP="003C347F">
      <w:pPr>
        <w:pStyle w:val="ListNumber"/>
        <w:numPr>
          <w:ilvl w:val="0"/>
          <w:numId w:val="0"/>
        </w:numPr>
        <w:ind w:left="567"/>
      </w:pPr>
      <w:r w:rsidRPr="006110F2">
        <w:t xml:space="preserve">The policy objectives of the </w:t>
      </w:r>
      <w:r w:rsidRPr="006110F2">
        <w:rPr>
          <w:i/>
        </w:rPr>
        <w:t xml:space="preserve">Cooperative Research Centres Programme </w:t>
      </w:r>
      <w:r w:rsidRPr="006110F2">
        <w:t>are to:</w:t>
      </w:r>
    </w:p>
    <w:p w:rsidR="003C347F" w:rsidRPr="006110F2" w:rsidRDefault="003C347F" w:rsidP="003C347F">
      <w:pPr>
        <w:pStyle w:val="ListNumber"/>
        <w:numPr>
          <w:ilvl w:val="0"/>
          <w:numId w:val="2"/>
        </w:numPr>
      </w:pPr>
      <w:r w:rsidRPr="006110F2">
        <w:t xml:space="preserve">improve the competitiveness, productivity and sustainability of Australian industry, especially where Australia has a competitive strength, and in line with government priorities; </w:t>
      </w:r>
    </w:p>
    <w:p w:rsidR="003C347F" w:rsidRPr="006110F2" w:rsidRDefault="003C347F" w:rsidP="003C347F">
      <w:pPr>
        <w:pStyle w:val="ListNumber"/>
        <w:numPr>
          <w:ilvl w:val="0"/>
          <w:numId w:val="2"/>
        </w:numPr>
      </w:pPr>
      <w:r w:rsidRPr="006110F2">
        <w:t xml:space="preserve">foster high quality research to solve industry problems through industry-led and outcome-focused collaborative research partnerships between industry entities and research organisations; and </w:t>
      </w:r>
    </w:p>
    <w:p w:rsidR="003C347F" w:rsidRPr="006110F2" w:rsidRDefault="003C347F" w:rsidP="003C347F">
      <w:pPr>
        <w:pStyle w:val="ListNumber"/>
        <w:numPr>
          <w:ilvl w:val="0"/>
          <w:numId w:val="2"/>
        </w:numPr>
      </w:pPr>
      <w:proofErr w:type="gramStart"/>
      <w:r w:rsidRPr="006110F2">
        <w:t>encourage</w:t>
      </w:r>
      <w:proofErr w:type="gramEnd"/>
      <w:r w:rsidRPr="006110F2">
        <w:t xml:space="preserve"> and facilitate Small and Medium Enterprise (SME) participation in collaborative research.</w:t>
      </w:r>
    </w:p>
    <w:p w:rsidR="003C347F" w:rsidRPr="006110F2" w:rsidRDefault="003C347F" w:rsidP="003C347F">
      <w:pPr>
        <w:pStyle w:val="Heading3"/>
      </w:pPr>
      <w:bookmarkStart w:id="2" w:name="_DV_M44"/>
      <w:bookmarkStart w:id="3" w:name="_DV_M47"/>
      <w:bookmarkStart w:id="4" w:name="_DV_M51"/>
      <w:bookmarkStart w:id="5" w:name="_DV_M52"/>
      <w:bookmarkStart w:id="6" w:name="_DV_M53"/>
      <w:bookmarkStart w:id="7" w:name="_DV_M54"/>
      <w:bookmarkStart w:id="8" w:name="_DV_M55"/>
      <w:bookmarkStart w:id="9" w:name="_DV_M57"/>
      <w:bookmarkStart w:id="10" w:name="_DV_M58"/>
      <w:bookmarkStart w:id="11" w:name="_DV_M62"/>
      <w:bookmarkStart w:id="12" w:name="_DV_M63"/>
      <w:bookmarkStart w:id="13" w:name="_DV_M65"/>
      <w:bookmarkStart w:id="14" w:name="_DV_M73"/>
      <w:bookmarkStart w:id="15" w:name="_DV_M79"/>
      <w:bookmarkStart w:id="16" w:name="_DV_M81"/>
      <w:bookmarkStart w:id="17" w:name="_DV_M8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6110F2">
        <w:t>Part 2: Technical Assessment of applications</w:t>
      </w:r>
    </w:p>
    <w:p w:rsidR="003C347F" w:rsidRPr="006110F2" w:rsidRDefault="003C347F" w:rsidP="003C347F">
      <w:pPr>
        <w:pStyle w:val="Heading4"/>
      </w:pPr>
      <w:r w:rsidRPr="006110F2">
        <w:t xml:space="preserve">Procedure </w:t>
      </w:r>
    </w:p>
    <w:p w:rsidR="003C347F" w:rsidRPr="006110F2" w:rsidRDefault="003C347F" w:rsidP="003C347F">
      <w:pPr>
        <w:pStyle w:val="ListNumber"/>
      </w:pPr>
      <w:r w:rsidRPr="006110F2">
        <w:rPr>
          <w:i/>
        </w:rPr>
        <w:t>Innovation Australia</w:t>
      </w:r>
      <w:r w:rsidRPr="006110F2">
        <w:t xml:space="preserve"> will assess the merit of each </w:t>
      </w:r>
      <w:r w:rsidRPr="006110F2">
        <w:rPr>
          <w:i/>
        </w:rPr>
        <w:t xml:space="preserve">Compliant Application </w:t>
      </w:r>
      <w:r w:rsidRPr="006110F2">
        <w:t xml:space="preserve">referred by the </w:t>
      </w:r>
      <w:r w:rsidRPr="006110F2">
        <w:rPr>
          <w:i/>
        </w:rPr>
        <w:t>Minister</w:t>
      </w:r>
      <w:r w:rsidRPr="006110F2">
        <w:t xml:space="preserve"> and provide its recommendation to the </w:t>
      </w:r>
      <w:r w:rsidR="00C141F3" w:rsidRPr="006110F2">
        <w:rPr>
          <w:i/>
        </w:rPr>
        <w:t>Minister</w:t>
      </w:r>
      <w:r w:rsidRPr="006110F2">
        <w:t>.</w:t>
      </w:r>
    </w:p>
    <w:p w:rsidR="003C347F" w:rsidRPr="006110F2" w:rsidRDefault="003C347F" w:rsidP="003C347F">
      <w:pPr>
        <w:pStyle w:val="ListNumber"/>
      </w:pPr>
      <w:r w:rsidRPr="006110F2">
        <w:rPr>
          <w:i/>
        </w:rPr>
        <w:t>Innovation Australia</w:t>
      </w:r>
      <w:r w:rsidRPr="006110F2">
        <w:t xml:space="preserve"> must consider </w:t>
      </w:r>
      <w:r w:rsidRPr="006110F2">
        <w:rPr>
          <w:i/>
        </w:rPr>
        <w:t xml:space="preserve">Compliant Applications </w:t>
      </w:r>
      <w:r w:rsidRPr="006110F2">
        <w:t xml:space="preserve">as soon as practicable after those applications have been provided to </w:t>
      </w:r>
      <w:r w:rsidRPr="006110F2">
        <w:rPr>
          <w:i/>
        </w:rPr>
        <w:t>Innovation Australia</w:t>
      </w:r>
      <w:r w:rsidRPr="006110F2">
        <w:t>.</w:t>
      </w:r>
    </w:p>
    <w:p w:rsidR="003C347F" w:rsidRPr="006110F2" w:rsidRDefault="003C347F" w:rsidP="003C347F">
      <w:pPr>
        <w:pStyle w:val="ListNumber"/>
      </w:pPr>
      <w:r w:rsidRPr="006110F2">
        <w:t xml:space="preserve">In considering </w:t>
      </w:r>
      <w:r w:rsidRPr="006110F2">
        <w:rPr>
          <w:i/>
        </w:rPr>
        <w:t>Compliant Applications</w:t>
      </w:r>
      <w:r w:rsidRPr="006110F2">
        <w:t xml:space="preserve">, </w:t>
      </w:r>
      <w:r w:rsidRPr="006110F2">
        <w:rPr>
          <w:i/>
        </w:rPr>
        <w:t>Innovation Australia</w:t>
      </w:r>
      <w:r w:rsidRPr="006110F2">
        <w:t xml:space="preserve"> must take into account advice provided by the </w:t>
      </w:r>
      <w:r w:rsidRPr="006110F2">
        <w:rPr>
          <w:i/>
        </w:rPr>
        <w:t>Department</w:t>
      </w:r>
      <w:r w:rsidRPr="006110F2">
        <w:t xml:space="preserve"> on policy issues that are relevant to, or impact on, any of the </w:t>
      </w:r>
      <w:r w:rsidR="00900304">
        <w:t>selection criteria</w:t>
      </w:r>
      <w:r w:rsidRPr="006110F2">
        <w:t>.</w:t>
      </w:r>
    </w:p>
    <w:p w:rsidR="003C347F" w:rsidRPr="006110F2" w:rsidRDefault="003C347F" w:rsidP="003C347F">
      <w:pPr>
        <w:pStyle w:val="ListNumber"/>
      </w:pPr>
      <w:r w:rsidRPr="006110F2">
        <w:rPr>
          <w:i/>
          <w:w w:val="0"/>
        </w:rPr>
        <w:t>Innovation Australia</w:t>
      </w:r>
      <w:r w:rsidRPr="006110F2">
        <w:rPr>
          <w:w w:val="0"/>
        </w:rPr>
        <w:t xml:space="preserve"> may request additional information from an applicant that is relevant to the </w:t>
      </w:r>
      <w:r w:rsidRPr="006110F2">
        <w:rPr>
          <w:i/>
          <w:w w:val="0"/>
        </w:rPr>
        <w:t>Compliant Application</w:t>
      </w:r>
      <w:r w:rsidRPr="006110F2">
        <w:rPr>
          <w:w w:val="0"/>
        </w:rPr>
        <w:t xml:space="preserve"> after its lodgement.</w:t>
      </w:r>
    </w:p>
    <w:p w:rsidR="003C347F" w:rsidRPr="006110F2" w:rsidRDefault="003C347F" w:rsidP="003C347F">
      <w:pPr>
        <w:pStyle w:val="ListNumber"/>
      </w:pPr>
      <w:r w:rsidRPr="006110F2">
        <w:rPr>
          <w:w w:val="0"/>
        </w:rPr>
        <w:t xml:space="preserve">In providing the </w:t>
      </w:r>
      <w:r w:rsidR="00C141F3" w:rsidRPr="006110F2">
        <w:rPr>
          <w:i/>
          <w:w w:val="0"/>
        </w:rPr>
        <w:t>Minister</w:t>
      </w:r>
      <w:r w:rsidR="002F0694">
        <w:rPr>
          <w:i/>
          <w:w w:val="0"/>
        </w:rPr>
        <w:t xml:space="preserve"> </w:t>
      </w:r>
      <w:r w:rsidRPr="006110F2">
        <w:rPr>
          <w:w w:val="0"/>
        </w:rPr>
        <w:t>with an assessment</w:t>
      </w:r>
      <w:r w:rsidRPr="006110F2">
        <w:rPr>
          <w:i/>
          <w:w w:val="0"/>
        </w:rPr>
        <w:t xml:space="preserve"> </w:t>
      </w:r>
      <w:r w:rsidRPr="006110F2">
        <w:rPr>
          <w:w w:val="0"/>
        </w:rPr>
        <w:t xml:space="preserve">for a </w:t>
      </w:r>
      <w:r w:rsidRPr="006110F2">
        <w:rPr>
          <w:i/>
          <w:w w:val="0"/>
        </w:rPr>
        <w:t>Compliant Application,</w:t>
      </w:r>
      <w:r w:rsidRPr="006110F2">
        <w:rPr>
          <w:w w:val="0"/>
        </w:rPr>
        <w:t xml:space="preserve"> </w:t>
      </w:r>
      <w:r w:rsidRPr="006110F2">
        <w:rPr>
          <w:i/>
          <w:w w:val="0"/>
        </w:rPr>
        <w:t>Innovation Australia</w:t>
      </w:r>
      <w:r w:rsidRPr="006110F2">
        <w:rPr>
          <w:w w:val="0"/>
        </w:rPr>
        <w:t xml:space="preserve"> may include advice as to whether the relative merits of an application would warrant </w:t>
      </w:r>
      <w:r w:rsidRPr="006110F2">
        <w:t xml:space="preserve">that any approval </w:t>
      </w:r>
      <w:proofErr w:type="gramStart"/>
      <w:r w:rsidRPr="006110F2">
        <w:t>be</w:t>
      </w:r>
      <w:proofErr w:type="gramEnd"/>
      <w:r w:rsidRPr="006110F2">
        <w:t xml:space="preserve"> subject to particular conditions.</w:t>
      </w:r>
    </w:p>
    <w:p w:rsidR="003C347F" w:rsidRPr="006110F2" w:rsidRDefault="003C347F" w:rsidP="003C347F">
      <w:pPr>
        <w:pStyle w:val="Heading4"/>
      </w:pPr>
      <w:r w:rsidRPr="006110F2">
        <w:t xml:space="preserve">Assessment against </w:t>
      </w:r>
      <w:r w:rsidR="00900304">
        <w:t>Selection criteria</w:t>
      </w:r>
    </w:p>
    <w:p w:rsidR="003C347F" w:rsidRPr="006110F2" w:rsidRDefault="003C347F" w:rsidP="003C347F">
      <w:pPr>
        <w:pStyle w:val="ListNumber"/>
        <w:rPr>
          <w:w w:val="0"/>
        </w:rPr>
      </w:pPr>
      <w:bookmarkStart w:id="18" w:name="_Ref436140414"/>
      <w:bookmarkStart w:id="19" w:name="_Ref398900885"/>
      <w:bookmarkStart w:id="20" w:name="_DV_C68"/>
      <w:r w:rsidRPr="006110F2">
        <w:rPr>
          <w:i/>
        </w:rPr>
        <w:t>Innovation Australia</w:t>
      </w:r>
      <w:r w:rsidRPr="006110F2">
        <w:t xml:space="preserve"> may decide to decline to complete an assessment in respect of a particular application if it is not satisfied:</w:t>
      </w:r>
      <w:bookmarkEnd w:id="18"/>
    </w:p>
    <w:p w:rsidR="003C347F" w:rsidRPr="006110F2" w:rsidRDefault="003C347F" w:rsidP="003C347F">
      <w:pPr>
        <w:pStyle w:val="ListNumber"/>
        <w:numPr>
          <w:ilvl w:val="1"/>
          <w:numId w:val="1"/>
        </w:numPr>
      </w:pPr>
      <w:r w:rsidRPr="006110F2">
        <w:t xml:space="preserve">with the level of merit of an </w:t>
      </w:r>
      <w:r w:rsidRPr="006110F2">
        <w:rPr>
          <w:i/>
        </w:rPr>
        <w:t>Compliant Application</w:t>
      </w:r>
      <w:r w:rsidRPr="006110F2">
        <w:t xml:space="preserve"> in relation to one or more of the </w:t>
      </w:r>
      <w:r w:rsidR="00900304">
        <w:t>selection criteria</w:t>
      </w:r>
      <w:r w:rsidRPr="006110F2">
        <w:t>; or</w:t>
      </w:r>
    </w:p>
    <w:p w:rsidR="003C347F" w:rsidRPr="006110F2" w:rsidRDefault="003C347F" w:rsidP="003C347F">
      <w:pPr>
        <w:pStyle w:val="ListNumber"/>
        <w:numPr>
          <w:ilvl w:val="1"/>
          <w:numId w:val="1"/>
        </w:numPr>
      </w:pPr>
      <w:r w:rsidRPr="006110F2">
        <w:t xml:space="preserve">that the activities described in the compliant application are </w:t>
      </w:r>
      <w:r w:rsidRPr="006110F2">
        <w:rPr>
          <w:i/>
        </w:rPr>
        <w:t>Eligible Activities</w:t>
      </w:r>
      <w:r w:rsidRPr="006110F2">
        <w:t xml:space="preserve">; or </w:t>
      </w:r>
    </w:p>
    <w:p w:rsidR="003C347F" w:rsidRPr="006110F2" w:rsidRDefault="003C347F" w:rsidP="003C347F">
      <w:pPr>
        <w:pStyle w:val="ListNumber"/>
        <w:numPr>
          <w:ilvl w:val="1"/>
          <w:numId w:val="1"/>
        </w:numPr>
      </w:pPr>
      <w:proofErr w:type="gramStart"/>
      <w:r w:rsidRPr="006110F2">
        <w:lastRenderedPageBreak/>
        <w:t>without</w:t>
      </w:r>
      <w:proofErr w:type="gramEnd"/>
      <w:r w:rsidRPr="006110F2">
        <w:t xml:space="preserve"> limiting the generality of subclause (a) above, with the overall level of merit of an </w:t>
      </w:r>
      <w:r w:rsidRPr="006110F2">
        <w:rPr>
          <w:i/>
        </w:rPr>
        <w:t>Compliant Application</w:t>
      </w:r>
      <w:r w:rsidRPr="006110F2">
        <w:t xml:space="preserve"> having regard to all applicable </w:t>
      </w:r>
      <w:r w:rsidR="00900304">
        <w:t>selection criteria</w:t>
      </w:r>
      <w:r w:rsidRPr="006110F2">
        <w:t>.</w:t>
      </w:r>
    </w:p>
    <w:p w:rsidR="003C347F" w:rsidRPr="006110F2" w:rsidRDefault="003C347F" w:rsidP="003C347F">
      <w:pPr>
        <w:pStyle w:val="ListNumber"/>
      </w:pPr>
      <w:r w:rsidRPr="006110F2">
        <w:rPr>
          <w:i/>
        </w:rPr>
        <w:t xml:space="preserve">Innovation Australia </w:t>
      </w:r>
      <w:r w:rsidRPr="006110F2">
        <w:t xml:space="preserve">must base its assessment of each </w:t>
      </w:r>
      <w:r w:rsidRPr="006110F2">
        <w:rPr>
          <w:i/>
        </w:rPr>
        <w:t>Compliant Application</w:t>
      </w:r>
      <w:r w:rsidRPr="006110F2">
        <w:t xml:space="preserve"> on the </w:t>
      </w:r>
      <w:r w:rsidR="00900304">
        <w:t>selection criteria</w:t>
      </w:r>
      <w:r w:rsidRPr="006110F2">
        <w:t xml:space="preserve"> requirements specified in the </w:t>
      </w:r>
      <w:r w:rsidRPr="006110F2">
        <w:rPr>
          <w:i/>
        </w:rPr>
        <w:t>Programme Guidelines</w:t>
      </w:r>
      <w:r w:rsidRPr="006110F2">
        <w:t>.</w:t>
      </w:r>
      <w:bookmarkEnd w:id="19"/>
    </w:p>
    <w:p w:rsidR="003C347F" w:rsidRPr="006110F2" w:rsidRDefault="003C347F" w:rsidP="003C347F">
      <w:pPr>
        <w:pStyle w:val="ListNumber"/>
      </w:pPr>
      <w:r w:rsidRPr="006110F2">
        <w:t xml:space="preserve">The </w:t>
      </w:r>
      <w:r w:rsidRPr="006110F2">
        <w:rPr>
          <w:i/>
        </w:rPr>
        <w:t xml:space="preserve">Minister </w:t>
      </w:r>
      <w:r w:rsidRPr="006110F2">
        <w:t xml:space="preserve">may request that </w:t>
      </w:r>
      <w:r w:rsidRPr="006110F2">
        <w:rPr>
          <w:i/>
        </w:rPr>
        <w:t>Innovation Australia</w:t>
      </w:r>
      <w:r w:rsidRPr="006110F2">
        <w:t xml:space="preserve"> provide advice on indicators of merit for some or all of the </w:t>
      </w:r>
      <w:r w:rsidR="00900304">
        <w:t>selection criteria</w:t>
      </w:r>
      <w:r w:rsidRPr="006110F2">
        <w:t>.</w:t>
      </w:r>
    </w:p>
    <w:bookmarkEnd w:id="20"/>
    <w:p w:rsidR="003C347F" w:rsidRPr="006110F2" w:rsidRDefault="003C347F" w:rsidP="003C347F">
      <w:pPr>
        <w:pStyle w:val="Heading3"/>
      </w:pPr>
      <w:r w:rsidRPr="006110F2">
        <w:t>Part 3: Technical Assessment of proposals for variation to a Funding Agreement</w:t>
      </w:r>
    </w:p>
    <w:p w:rsidR="003C347F" w:rsidRPr="006110F2" w:rsidRDefault="003C347F" w:rsidP="003C347F">
      <w:pPr>
        <w:pStyle w:val="ListNumber"/>
      </w:pPr>
      <w:bookmarkStart w:id="21" w:name="_Ref436140496"/>
      <w:r w:rsidRPr="006110F2">
        <w:t xml:space="preserve">If a </w:t>
      </w:r>
      <w:r w:rsidRPr="006110F2">
        <w:rPr>
          <w:i/>
        </w:rPr>
        <w:t>Recipient</w:t>
      </w:r>
      <w:r w:rsidRPr="006110F2">
        <w:t xml:space="preserve"> has submitted a proposal to the </w:t>
      </w:r>
      <w:r w:rsidRPr="006110F2">
        <w:rPr>
          <w:i/>
        </w:rPr>
        <w:t>Department</w:t>
      </w:r>
      <w:r w:rsidRPr="006110F2">
        <w:t xml:space="preserve"> for approval of changes to an agreed </w:t>
      </w:r>
      <w:r w:rsidRPr="006110F2">
        <w:rPr>
          <w:i/>
        </w:rPr>
        <w:t>Funding Agreement</w:t>
      </w:r>
      <w:r w:rsidRPr="006110F2">
        <w:t xml:space="preserve">, including the addition of new activities, the discontinuance of activities, the substitution of new activities in the place of discontinued activities, a variation to milestones, a variation to funding, or a variation to the </w:t>
      </w:r>
      <w:r w:rsidR="00B66B3A" w:rsidRPr="006110F2">
        <w:rPr>
          <w:i/>
        </w:rPr>
        <w:t>Funding Agreement</w:t>
      </w:r>
      <w:r w:rsidRPr="006110F2">
        <w:rPr>
          <w:i/>
        </w:rPr>
        <w:t>’s</w:t>
      </w:r>
      <w:r w:rsidRPr="006110F2">
        <w:t xml:space="preserve"> timeframe, the </w:t>
      </w:r>
      <w:r w:rsidRPr="006110F2">
        <w:rPr>
          <w:i/>
        </w:rPr>
        <w:t xml:space="preserve">Minister </w:t>
      </w:r>
      <w:r w:rsidRPr="006110F2">
        <w:t>may request that Innovation Australia assess the proposal.</w:t>
      </w:r>
      <w:bookmarkEnd w:id="21"/>
    </w:p>
    <w:p w:rsidR="003C347F" w:rsidRPr="006110F2" w:rsidRDefault="003C347F" w:rsidP="003C347F">
      <w:pPr>
        <w:pStyle w:val="ListNumber"/>
      </w:pPr>
      <w:r w:rsidRPr="006110F2">
        <w:t xml:space="preserve">If </w:t>
      </w:r>
      <w:r w:rsidRPr="006110F2">
        <w:rPr>
          <w:i/>
        </w:rPr>
        <w:t>Innovation Australia</w:t>
      </w:r>
      <w:r w:rsidRPr="006110F2">
        <w:t xml:space="preserve"> receives a request under clause </w:t>
      </w:r>
      <w:r w:rsidR="00081289" w:rsidRPr="006110F2">
        <w:fldChar w:fldCharType="begin"/>
      </w:r>
      <w:r w:rsidR="00081289" w:rsidRPr="006110F2">
        <w:instrText xml:space="preserve"> REF _Ref436140496 \r \h </w:instrText>
      </w:r>
      <w:r w:rsidR="006110F2">
        <w:instrText xml:space="preserve"> \* MERGEFORMAT </w:instrText>
      </w:r>
      <w:r w:rsidR="00081289" w:rsidRPr="006110F2">
        <w:fldChar w:fldCharType="separate"/>
      </w:r>
      <w:r w:rsidR="00081289" w:rsidRPr="006110F2">
        <w:t>15</w:t>
      </w:r>
      <w:r w:rsidR="00081289" w:rsidRPr="006110F2">
        <w:fldChar w:fldCharType="end"/>
      </w:r>
      <w:r w:rsidR="00372BAE">
        <w:t xml:space="preserve"> </w:t>
      </w:r>
      <w:r w:rsidRPr="006110F2">
        <w:t xml:space="preserve">it must assess the proposal as soon as is practicable and provide the assessment to the </w:t>
      </w:r>
      <w:r w:rsidR="00C141F3" w:rsidRPr="006110F2">
        <w:rPr>
          <w:i/>
        </w:rPr>
        <w:t>Minister</w:t>
      </w:r>
      <w:r w:rsidRPr="006110F2">
        <w:t>.</w:t>
      </w:r>
    </w:p>
    <w:p w:rsidR="003C347F" w:rsidRPr="006110F2" w:rsidRDefault="003C347F" w:rsidP="003C347F">
      <w:pPr>
        <w:pStyle w:val="ListNumber"/>
      </w:pPr>
      <w:r w:rsidRPr="006110F2">
        <w:t xml:space="preserve">In undertaking an assessment of a proposal to change a </w:t>
      </w:r>
      <w:r w:rsidRPr="006110F2">
        <w:rPr>
          <w:i/>
        </w:rPr>
        <w:t>Funding Agreement,</w:t>
      </w:r>
      <w:r w:rsidRPr="006110F2">
        <w:t xml:space="preserve"> </w:t>
      </w:r>
      <w:r w:rsidRPr="006110F2">
        <w:rPr>
          <w:i/>
        </w:rPr>
        <w:t>Innovation Australia</w:t>
      </w:r>
      <w:r w:rsidRPr="006110F2">
        <w:t xml:space="preserve"> will consider:</w:t>
      </w:r>
    </w:p>
    <w:p w:rsidR="003C347F" w:rsidRPr="006110F2" w:rsidRDefault="003C347F" w:rsidP="003C347F">
      <w:pPr>
        <w:pStyle w:val="ListNumber"/>
        <w:numPr>
          <w:ilvl w:val="1"/>
          <w:numId w:val="1"/>
        </w:numPr>
      </w:pPr>
      <w:r w:rsidRPr="006110F2">
        <w:t xml:space="preserve">the extent to which the changed </w:t>
      </w:r>
      <w:r w:rsidRPr="006110F2">
        <w:rPr>
          <w:i/>
        </w:rPr>
        <w:t>Funding Agreement</w:t>
      </w:r>
      <w:r w:rsidRPr="006110F2">
        <w:t xml:space="preserve"> meets the </w:t>
      </w:r>
      <w:r w:rsidR="00900304">
        <w:t>selection criteria</w:t>
      </w:r>
      <w:r w:rsidRPr="006110F2">
        <w:t>;</w:t>
      </w:r>
    </w:p>
    <w:p w:rsidR="003C347F" w:rsidRPr="006110F2" w:rsidRDefault="003C347F" w:rsidP="003C347F">
      <w:pPr>
        <w:pStyle w:val="ListNumber"/>
        <w:numPr>
          <w:ilvl w:val="1"/>
          <w:numId w:val="1"/>
        </w:numPr>
      </w:pPr>
      <w:r w:rsidRPr="006110F2">
        <w:t xml:space="preserve">the impact on the outcomes of the </w:t>
      </w:r>
      <w:r w:rsidRPr="006110F2">
        <w:rPr>
          <w:i/>
        </w:rPr>
        <w:t>Funding Agreement</w:t>
      </w:r>
      <w:r w:rsidRPr="006110F2">
        <w:t>; and</w:t>
      </w:r>
    </w:p>
    <w:p w:rsidR="003C347F" w:rsidRPr="006110F2" w:rsidRDefault="003C347F" w:rsidP="003C347F">
      <w:pPr>
        <w:pStyle w:val="ListNumber"/>
        <w:numPr>
          <w:ilvl w:val="1"/>
          <w:numId w:val="1"/>
        </w:numPr>
      </w:pPr>
      <w:r w:rsidRPr="006110F2">
        <w:t xml:space="preserve">whether the change to the </w:t>
      </w:r>
      <w:r w:rsidRPr="006110F2">
        <w:rPr>
          <w:i/>
        </w:rPr>
        <w:t xml:space="preserve">Funding Agreement </w:t>
      </w:r>
      <w:r w:rsidRPr="006110F2">
        <w:t>would:</w:t>
      </w:r>
    </w:p>
    <w:p w:rsidR="003C347F" w:rsidRPr="006110F2" w:rsidRDefault="003C347F" w:rsidP="003C347F">
      <w:pPr>
        <w:pStyle w:val="ListNumber"/>
        <w:numPr>
          <w:ilvl w:val="2"/>
          <w:numId w:val="1"/>
        </w:numPr>
      </w:pPr>
      <w:r w:rsidRPr="006110F2">
        <w:t xml:space="preserve">be consistent with the policy objectives set out in the </w:t>
      </w:r>
      <w:r w:rsidRPr="006110F2">
        <w:rPr>
          <w:i/>
        </w:rPr>
        <w:t>Programme Guidelines</w:t>
      </w:r>
      <w:r w:rsidRPr="006110F2">
        <w:t>; and</w:t>
      </w:r>
    </w:p>
    <w:p w:rsidR="003C347F" w:rsidRPr="006110F2" w:rsidRDefault="003C347F" w:rsidP="003C347F">
      <w:pPr>
        <w:pStyle w:val="ListNumber"/>
        <w:numPr>
          <w:ilvl w:val="2"/>
          <w:numId w:val="1"/>
        </w:numPr>
      </w:pPr>
      <w:proofErr w:type="gramStart"/>
      <w:r w:rsidRPr="006110F2">
        <w:t>otherwise</w:t>
      </w:r>
      <w:proofErr w:type="gramEnd"/>
      <w:r w:rsidRPr="006110F2">
        <w:t xml:space="preserve"> be appropriate in all the circumstances.</w:t>
      </w:r>
    </w:p>
    <w:p w:rsidR="003C347F" w:rsidRPr="006110F2" w:rsidRDefault="003C347F" w:rsidP="003C347F">
      <w:pPr>
        <w:pStyle w:val="Heading3"/>
      </w:pPr>
      <w:r w:rsidRPr="006110F2">
        <w:t xml:space="preserve">Part 4: Other advice related to the administration of the Cooperative Research Centres Programme </w:t>
      </w:r>
    </w:p>
    <w:p w:rsidR="003C347F" w:rsidRPr="006110F2" w:rsidRDefault="003C347F" w:rsidP="003C347F">
      <w:pPr>
        <w:pStyle w:val="ListNumber"/>
      </w:pPr>
      <w:bookmarkStart w:id="22" w:name="_Ref436140516"/>
      <w:r w:rsidRPr="006110F2">
        <w:t xml:space="preserve">The </w:t>
      </w:r>
      <w:r w:rsidRPr="006110F2">
        <w:rPr>
          <w:i/>
        </w:rPr>
        <w:t xml:space="preserve">Minister </w:t>
      </w:r>
      <w:r w:rsidRPr="006110F2">
        <w:t xml:space="preserve">may request </w:t>
      </w:r>
      <w:r w:rsidRPr="006110F2">
        <w:rPr>
          <w:i/>
        </w:rPr>
        <w:t>Innovation Australia</w:t>
      </w:r>
      <w:r w:rsidRPr="006110F2">
        <w:t xml:space="preserve"> to provide assessments of technical matters associated with applications, activities and projects, or on any other matter relevant to or impacting on a merit criterion, including:</w:t>
      </w:r>
      <w:bookmarkEnd w:id="22"/>
    </w:p>
    <w:p w:rsidR="003C347F" w:rsidRPr="006110F2" w:rsidRDefault="003C347F" w:rsidP="003C347F">
      <w:pPr>
        <w:pStyle w:val="ListNumber"/>
        <w:numPr>
          <w:ilvl w:val="1"/>
          <w:numId w:val="1"/>
        </w:numPr>
      </w:pPr>
      <w:r w:rsidRPr="006110F2">
        <w:t>matters relating to the eligibility of applications, activities or projects against the definitions contained in these</w:t>
      </w:r>
      <w:r w:rsidR="00081289" w:rsidRPr="006110F2">
        <w:t xml:space="preserve"> d</w:t>
      </w:r>
      <w:r w:rsidRPr="006110F2">
        <w:t xml:space="preserve">irections or the </w:t>
      </w:r>
      <w:r w:rsidRPr="006110F2">
        <w:rPr>
          <w:i/>
        </w:rPr>
        <w:t>Programme Guidelines;</w:t>
      </w:r>
    </w:p>
    <w:p w:rsidR="003C347F" w:rsidRPr="006110F2" w:rsidRDefault="003C347F" w:rsidP="003C347F">
      <w:pPr>
        <w:pStyle w:val="ListNumber"/>
        <w:numPr>
          <w:ilvl w:val="1"/>
          <w:numId w:val="1"/>
        </w:numPr>
      </w:pPr>
      <w:r w:rsidRPr="006110F2">
        <w:t xml:space="preserve">the progress reported by a </w:t>
      </w:r>
      <w:r w:rsidRPr="006110F2">
        <w:rPr>
          <w:i/>
        </w:rPr>
        <w:t>Recipient</w:t>
      </w:r>
      <w:r w:rsidRPr="006110F2">
        <w:t xml:space="preserve"> against the milestones under a </w:t>
      </w:r>
      <w:r w:rsidRPr="006110F2">
        <w:rPr>
          <w:i/>
        </w:rPr>
        <w:t xml:space="preserve">Funding </w:t>
      </w:r>
      <w:r w:rsidRPr="006110F2">
        <w:t xml:space="preserve">Agreement or compliance with </w:t>
      </w:r>
      <w:r w:rsidR="00B66B3A" w:rsidRPr="006110F2">
        <w:rPr>
          <w:i/>
        </w:rPr>
        <w:t>Funding Agreement</w:t>
      </w:r>
      <w:r w:rsidRPr="006110F2">
        <w:t xml:space="preserve"> conditions;</w:t>
      </w:r>
    </w:p>
    <w:p w:rsidR="003C347F" w:rsidRPr="006110F2" w:rsidRDefault="003C347F" w:rsidP="003C347F">
      <w:pPr>
        <w:pStyle w:val="ListNumber"/>
        <w:numPr>
          <w:ilvl w:val="1"/>
          <w:numId w:val="1"/>
        </w:numPr>
      </w:pPr>
      <w:proofErr w:type="gramStart"/>
      <w:r w:rsidRPr="006110F2">
        <w:t>any</w:t>
      </w:r>
      <w:proofErr w:type="gramEnd"/>
      <w:r w:rsidRPr="006110F2">
        <w:t xml:space="preserve"> other matter that pertains to merit assessment or compliance with the terms and conditions of the </w:t>
      </w:r>
      <w:r w:rsidRPr="006110F2">
        <w:rPr>
          <w:i/>
        </w:rPr>
        <w:t>Cooperative Research Centres Programme.</w:t>
      </w:r>
    </w:p>
    <w:p w:rsidR="003C347F" w:rsidRPr="006110F2" w:rsidRDefault="003C347F" w:rsidP="003C347F">
      <w:pPr>
        <w:pStyle w:val="ListNumber"/>
      </w:pPr>
      <w:r w:rsidRPr="006110F2">
        <w:lastRenderedPageBreak/>
        <w:t xml:space="preserve">In carrying out assessments pursuant to clause </w:t>
      </w:r>
      <w:r w:rsidR="00081289" w:rsidRPr="006110F2">
        <w:fldChar w:fldCharType="begin"/>
      </w:r>
      <w:r w:rsidR="00081289" w:rsidRPr="006110F2">
        <w:instrText xml:space="preserve"> REF _Ref436140516 \r \h </w:instrText>
      </w:r>
      <w:r w:rsidR="006110F2">
        <w:instrText xml:space="preserve"> \* MERGEFORMAT </w:instrText>
      </w:r>
      <w:r w:rsidR="00081289" w:rsidRPr="006110F2">
        <w:fldChar w:fldCharType="separate"/>
      </w:r>
      <w:r w:rsidR="00081289" w:rsidRPr="006110F2">
        <w:t>18</w:t>
      </w:r>
      <w:r w:rsidR="00081289" w:rsidRPr="006110F2">
        <w:fldChar w:fldCharType="end"/>
      </w:r>
      <w:r w:rsidRPr="006110F2">
        <w:t xml:space="preserve">, </w:t>
      </w:r>
      <w:r w:rsidRPr="006110F2">
        <w:rPr>
          <w:i/>
        </w:rPr>
        <w:t>Innovation Australia</w:t>
      </w:r>
      <w:r w:rsidRPr="006110F2">
        <w:t xml:space="preserve"> will take into account any relevant policies or guidelines relating to the administration of the </w:t>
      </w:r>
      <w:r w:rsidRPr="006110F2">
        <w:rPr>
          <w:i/>
        </w:rPr>
        <w:t xml:space="preserve">Cooperative Research Centres Programme </w:t>
      </w:r>
      <w:r w:rsidRPr="006110F2">
        <w:t xml:space="preserve">that are issued under the </w:t>
      </w:r>
      <w:r w:rsidRPr="006110F2">
        <w:rPr>
          <w:i/>
        </w:rPr>
        <w:t>Programme Guidelines.</w:t>
      </w:r>
    </w:p>
    <w:p w:rsidR="003C347F" w:rsidRPr="006110F2" w:rsidRDefault="003C347F" w:rsidP="003C347F">
      <w:pPr>
        <w:pStyle w:val="ListNumber"/>
      </w:pPr>
      <w:r w:rsidRPr="006110F2">
        <w:t xml:space="preserve">If </w:t>
      </w:r>
      <w:r w:rsidRPr="006110F2">
        <w:rPr>
          <w:i/>
        </w:rPr>
        <w:t>Innovation Australia</w:t>
      </w:r>
      <w:r w:rsidRPr="006110F2">
        <w:t xml:space="preserve"> receives a request under clause </w:t>
      </w:r>
      <w:r w:rsidR="00081289" w:rsidRPr="006110F2">
        <w:fldChar w:fldCharType="begin"/>
      </w:r>
      <w:r w:rsidR="00081289" w:rsidRPr="006110F2">
        <w:instrText xml:space="preserve"> REF _Ref436140516 \r \h </w:instrText>
      </w:r>
      <w:r w:rsidR="006110F2">
        <w:instrText xml:space="preserve"> \* MERGEFORMAT </w:instrText>
      </w:r>
      <w:r w:rsidR="00081289" w:rsidRPr="006110F2">
        <w:fldChar w:fldCharType="separate"/>
      </w:r>
      <w:r w:rsidR="00081289" w:rsidRPr="006110F2">
        <w:t>18</w:t>
      </w:r>
      <w:r w:rsidR="00081289" w:rsidRPr="006110F2">
        <w:fldChar w:fldCharType="end"/>
      </w:r>
      <w:r w:rsidRPr="006110F2">
        <w:t xml:space="preserve"> it must conduct the assessment within a reasonable time and provide the assessment to the </w:t>
      </w:r>
      <w:r w:rsidRPr="006110F2">
        <w:rPr>
          <w:i/>
        </w:rPr>
        <w:t>Programme Delegate.</w:t>
      </w:r>
    </w:p>
    <w:p w:rsidR="003C347F" w:rsidRPr="006110F2" w:rsidRDefault="003C347F" w:rsidP="003C347F">
      <w:pPr>
        <w:pStyle w:val="ListNumber"/>
      </w:pPr>
      <w:r w:rsidRPr="006110F2">
        <w:t xml:space="preserve">The </w:t>
      </w:r>
      <w:r w:rsidRPr="006110F2">
        <w:rPr>
          <w:i/>
        </w:rPr>
        <w:t>Programme Delegate</w:t>
      </w:r>
      <w:r w:rsidRPr="006110F2">
        <w:t xml:space="preserve"> may request advice from </w:t>
      </w:r>
      <w:r w:rsidRPr="006110F2">
        <w:rPr>
          <w:i/>
        </w:rPr>
        <w:t>Innovation Australia</w:t>
      </w:r>
      <w:r w:rsidRPr="006110F2">
        <w:t xml:space="preserve"> on other matters relevant to the administration of the programme, including but not limited to:</w:t>
      </w:r>
    </w:p>
    <w:p w:rsidR="003C347F" w:rsidRPr="006110F2" w:rsidRDefault="003C347F" w:rsidP="003C347F">
      <w:pPr>
        <w:pStyle w:val="ListNumber"/>
        <w:numPr>
          <w:ilvl w:val="1"/>
          <w:numId w:val="1"/>
        </w:numPr>
      </w:pPr>
      <w:r w:rsidRPr="006110F2">
        <w:rPr>
          <w:color w:val="000000"/>
          <w:w w:val="0"/>
        </w:rPr>
        <w:t>additional requirements for the application and assessment process;</w:t>
      </w:r>
    </w:p>
    <w:p w:rsidR="003C347F" w:rsidRPr="006110F2" w:rsidRDefault="003C347F" w:rsidP="003C347F">
      <w:pPr>
        <w:pStyle w:val="ListNumber"/>
        <w:numPr>
          <w:ilvl w:val="1"/>
          <w:numId w:val="1"/>
        </w:numPr>
      </w:pPr>
      <w:r w:rsidRPr="006110F2">
        <w:t xml:space="preserve">the scope of </w:t>
      </w:r>
      <w:r w:rsidRPr="006110F2">
        <w:rPr>
          <w:i/>
        </w:rPr>
        <w:t>Eligible Activities</w:t>
      </w:r>
      <w:r w:rsidRPr="006110F2">
        <w:t>; and</w:t>
      </w:r>
    </w:p>
    <w:p w:rsidR="003C347F" w:rsidRPr="006110F2" w:rsidRDefault="003C347F" w:rsidP="003C347F">
      <w:pPr>
        <w:pStyle w:val="ListNumber"/>
        <w:numPr>
          <w:ilvl w:val="1"/>
          <w:numId w:val="1"/>
        </w:numPr>
      </w:pPr>
      <w:proofErr w:type="gramStart"/>
      <w:r w:rsidRPr="006110F2">
        <w:t>the</w:t>
      </w:r>
      <w:proofErr w:type="gramEnd"/>
      <w:r w:rsidRPr="006110F2">
        <w:t xml:space="preserve"> scope of </w:t>
      </w:r>
      <w:r w:rsidRPr="006110F2">
        <w:rPr>
          <w:i/>
        </w:rPr>
        <w:t>Eligible Expenditure.</w:t>
      </w:r>
    </w:p>
    <w:p w:rsidR="003C347F" w:rsidRPr="006110F2" w:rsidRDefault="003C347F" w:rsidP="003C347F">
      <w:pPr>
        <w:pStyle w:val="Heading3"/>
      </w:pPr>
      <w:r w:rsidRPr="006110F2">
        <w:t>Part 5: Innovation Australia to provide advice on policies and operations of the Programme</w:t>
      </w:r>
    </w:p>
    <w:p w:rsidR="003C347F" w:rsidRPr="006110F2" w:rsidRDefault="003C347F" w:rsidP="003C347F">
      <w:pPr>
        <w:pStyle w:val="ListNumber"/>
      </w:pPr>
      <w:r w:rsidRPr="006110F2">
        <w:rPr>
          <w:i/>
        </w:rPr>
        <w:t>Innovation Australia</w:t>
      </w:r>
      <w:r w:rsidRPr="006110F2">
        <w:t xml:space="preserve"> may advise the </w:t>
      </w:r>
      <w:r w:rsidRPr="006110F2">
        <w:rPr>
          <w:i/>
        </w:rPr>
        <w:t>Minister</w:t>
      </w:r>
      <w:r w:rsidRPr="006110F2">
        <w:t xml:space="preserve">, on non-financial administration matters relating to the </w:t>
      </w:r>
      <w:r w:rsidRPr="006110F2">
        <w:rPr>
          <w:i/>
        </w:rPr>
        <w:t>Cooperative Research Centres Programme</w:t>
      </w:r>
      <w:r w:rsidRPr="006110F2">
        <w:t>, including programme administration and the extent to which the programme is meeting its objectives.</w:t>
      </w:r>
    </w:p>
    <w:p w:rsidR="003C347F" w:rsidRPr="006110F2" w:rsidRDefault="003C347F" w:rsidP="003C347F">
      <w:pPr>
        <w:pStyle w:val="ListNumber"/>
      </w:pPr>
      <w:r w:rsidRPr="006110F2">
        <w:rPr>
          <w:i/>
        </w:rPr>
        <w:t>Innovation Australia</w:t>
      </w:r>
      <w:r w:rsidRPr="006110F2">
        <w:t xml:space="preserve"> may collect and analyse data on the performance of the </w:t>
      </w:r>
      <w:r w:rsidRPr="006110F2">
        <w:rPr>
          <w:i/>
        </w:rPr>
        <w:t>Cooperative Research Centres Programme</w:t>
      </w:r>
      <w:r w:rsidRPr="006110F2">
        <w:t xml:space="preserve">, and provide advice to the </w:t>
      </w:r>
      <w:r w:rsidR="00C141F3" w:rsidRPr="006110F2">
        <w:rPr>
          <w:i/>
        </w:rPr>
        <w:t>Minister</w:t>
      </w:r>
      <w:r w:rsidR="002F0694">
        <w:rPr>
          <w:i/>
        </w:rPr>
        <w:t xml:space="preserve"> </w:t>
      </w:r>
      <w:r w:rsidRPr="006110F2">
        <w:t>on such performance, and will cooperate with any independent evaluation of the programme.</w:t>
      </w:r>
    </w:p>
    <w:p w:rsidR="003C347F" w:rsidRPr="006110F2" w:rsidRDefault="003C347F" w:rsidP="003C347F">
      <w:pPr>
        <w:pStyle w:val="ListNumber"/>
        <w:numPr>
          <w:ilvl w:val="0"/>
          <w:numId w:val="0"/>
        </w:numPr>
        <w:ind w:left="567"/>
      </w:pPr>
    </w:p>
    <w:p w:rsidR="003C347F" w:rsidRPr="006110F2" w:rsidRDefault="003C347F" w:rsidP="003C347F">
      <w:pPr>
        <w:pStyle w:val="Heading4"/>
      </w:pPr>
      <w:r w:rsidRPr="006110F2">
        <w:t>Interpretation</w:t>
      </w:r>
    </w:p>
    <w:p w:rsidR="003C347F" w:rsidRPr="006110F2" w:rsidRDefault="003C347F" w:rsidP="003C347F">
      <w:pPr>
        <w:pStyle w:val="ListNumber"/>
      </w:pPr>
      <w:r w:rsidRPr="006110F2">
        <w:t>In th</w:t>
      </w:r>
      <w:r w:rsidR="00391EAD" w:rsidRPr="006110F2">
        <w:t>ese</w:t>
      </w:r>
      <w:r w:rsidRPr="006110F2">
        <w:t xml:space="preserve"> </w:t>
      </w:r>
      <w:r w:rsidR="00081289" w:rsidRPr="006110F2">
        <w:t>d</w:t>
      </w:r>
      <w:r w:rsidRPr="006110F2">
        <w:t>irection</w:t>
      </w:r>
      <w:r w:rsidR="00391EAD" w:rsidRPr="006110F2">
        <w:t>s</w:t>
      </w:r>
      <w:r w:rsidRPr="006110F2">
        <w:t>:</w:t>
      </w:r>
    </w:p>
    <w:p w:rsidR="003C347F" w:rsidRPr="006110F2" w:rsidRDefault="003C347F" w:rsidP="003C347F">
      <w:pPr>
        <w:pStyle w:val="ListNumber"/>
        <w:numPr>
          <w:ilvl w:val="0"/>
          <w:numId w:val="0"/>
        </w:numPr>
        <w:ind w:left="567"/>
        <w:rPr>
          <w:w w:val="0"/>
        </w:rPr>
      </w:pPr>
      <w:r w:rsidRPr="006110F2">
        <w:rPr>
          <w:w w:val="0"/>
        </w:rPr>
        <w:t>“</w:t>
      </w:r>
      <w:r w:rsidRPr="006110F2">
        <w:rPr>
          <w:b/>
          <w:w w:val="0"/>
        </w:rPr>
        <w:t>Act</w:t>
      </w:r>
      <w:r w:rsidRPr="006110F2">
        <w:rPr>
          <w:w w:val="0"/>
        </w:rPr>
        <w:t xml:space="preserve">” means the </w:t>
      </w:r>
      <w:r w:rsidRPr="006110F2">
        <w:rPr>
          <w:i/>
          <w:w w:val="0"/>
        </w:rPr>
        <w:t>Industry Research and Development Act 1986</w:t>
      </w:r>
      <w:r w:rsidRPr="006110F2">
        <w:rPr>
          <w:w w:val="0"/>
        </w:rPr>
        <w:t xml:space="preserve"> (</w:t>
      </w:r>
      <w:proofErr w:type="spellStart"/>
      <w:r w:rsidRPr="006110F2">
        <w:rPr>
          <w:w w:val="0"/>
        </w:rPr>
        <w:t>Cth</w:t>
      </w:r>
      <w:proofErr w:type="spellEnd"/>
      <w:r w:rsidRPr="006110F2">
        <w:rPr>
          <w:w w:val="0"/>
        </w:rPr>
        <w:t>).</w:t>
      </w:r>
    </w:p>
    <w:p w:rsidR="003C347F" w:rsidRPr="006110F2" w:rsidRDefault="003C347F" w:rsidP="003C347F">
      <w:pPr>
        <w:pStyle w:val="ListNumber"/>
        <w:numPr>
          <w:ilvl w:val="0"/>
          <w:numId w:val="0"/>
        </w:numPr>
        <w:ind w:left="567"/>
      </w:pPr>
      <w:r w:rsidRPr="006110F2">
        <w:rPr>
          <w:b/>
          <w:bCs/>
          <w:iCs/>
        </w:rPr>
        <w:t>“Applicant”</w:t>
      </w:r>
      <w:r w:rsidRPr="006110F2">
        <w:rPr>
          <w:b/>
          <w:bCs/>
          <w:i/>
          <w:iCs/>
        </w:rPr>
        <w:t xml:space="preserve"> </w:t>
      </w:r>
      <w:r w:rsidRPr="006110F2">
        <w:t xml:space="preserve">means an entity that makes an application for funding under the </w:t>
      </w:r>
      <w:r w:rsidRPr="006110F2">
        <w:rPr>
          <w:i/>
        </w:rPr>
        <w:t>Cooperative Research Centres Programme</w:t>
      </w:r>
      <w:r w:rsidRPr="006110F2">
        <w:t>.</w:t>
      </w:r>
    </w:p>
    <w:p w:rsidR="003C347F" w:rsidRPr="006110F2" w:rsidRDefault="003C347F" w:rsidP="003C347F">
      <w:pPr>
        <w:pStyle w:val="ListNumber"/>
        <w:numPr>
          <w:ilvl w:val="0"/>
          <w:numId w:val="0"/>
        </w:numPr>
        <w:ind w:left="567"/>
      </w:pPr>
      <w:r w:rsidRPr="006110F2">
        <w:rPr>
          <w:b/>
          <w:bCs/>
          <w:iCs/>
        </w:rPr>
        <w:t xml:space="preserve">“Commonwealth” </w:t>
      </w:r>
      <w:r w:rsidRPr="006110F2">
        <w:rPr>
          <w:bCs/>
          <w:iCs/>
        </w:rPr>
        <w:t>means the Commonwealth of Australia.</w:t>
      </w:r>
    </w:p>
    <w:p w:rsidR="003C347F" w:rsidRPr="006110F2" w:rsidRDefault="003C347F" w:rsidP="003C347F">
      <w:pPr>
        <w:pStyle w:val="ListNumber"/>
        <w:numPr>
          <w:ilvl w:val="0"/>
          <w:numId w:val="0"/>
        </w:numPr>
        <w:ind w:left="567"/>
        <w:rPr>
          <w:w w:val="0"/>
        </w:rPr>
      </w:pPr>
      <w:r w:rsidRPr="006110F2">
        <w:rPr>
          <w:b/>
          <w:w w:val="0"/>
        </w:rPr>
        <w:t xml:space="preserve">“Compliant Application” </w:t>
      </w:r>
      <w:r w:rsidRPr="006110F2">
        <w:rPr>
          <w:w w:val="0"/>
        </w:rPr>
        <w:t xml:space="preserve">means an application that satisfies the requirements of clause 77 and clauses 24 to 31 of the </w:t>
      </w:r>
      <w:r w:rsidRPr="006110F2">
        <w:rPr>
          <w:i/>
          <w:w w:val="0"/>
        </w:rPr>
        <w:t>Programme Guidelines</w:t>
      </w:r>
      <w:r w:rsidRPr="006110F2">
        <w:rPr>
          <w:w w:val="0"/>
        </w:rPr>
        <w:t>.</w:t>
      </w:r>
    </w:p>
    <w:p w:rsidR="003C347F" w:rsidRPr="006110F2" w:rsidRDefault="003C347F" w:rsidP="003C347F">
      <w:pPr>
        <w:pStyle w:val="ListNumber"/>
        <w:numPr>
          <w:ilvl w:val="0"/>
          <w:numId w:val="0"/>
        </w:numPr>
        <w:ind w:left="567"/>
        <w:rPr>
          <w:w w:val="0"/>
        </w:rPr>
      </w:pPr>
      <w:r w:rsidRPr="006110F2">
        <w:rPr>
          <w:b/>
          <w:w w:val="0"/>
        </w:rPr>
        <w:t xml:space="preserve">“Cooperative Research Centres Programme” </w:t>
      </w:r>
      <w:r w:rsidRPr="006110F2">
        <w:rPr>
          <w:w w:val="0"/>
        </w:rPr>
        <w:t>means the Programme of the same name which is administered by the Department.</w:t>
      </w:r>
    </w:p>
    <w:p w:rsidR="003C347F" w:rsidRPr="006110F2" w:rsidRDefault="003C347F" w:rsidP="003C347F">
      <w:pPr>
        <w:pStyle w:val="ListNumber"/>
        <w:numPr>
          <w:ilvl w:val="0"/>
          <w:numId w:val="0"/>
        </w:numPr>
        <w:ind w:left="567"/>
        <w:rPr>
          <w:rStyle w:val="DeltaViewInsertion"/>
          <w:color w:val="000000"/>
          <w:w w:val="0"/>
        </w:rPr>
      </w:pPr>
      <w:r w:rsidRPr="006110F2">
        <w:rPr>
          <w:b/>
          <w:w w:val="0"/>
        </w:rPr>
        <w:t xml:space="preserve">“Department” </w:t>
      </w:r>
      <w:r w:rsidRPr="006110F2">
        <w:rPr>
          <w:w w:val="0"/>
        </w:rPr>
        <w:t xml:space="preserve">means the Department of the </w:t>
      </w:r>
      <w:r w:rsidRPr="006110F2">
        <w:rPr>
          <w:i/>
          <w:w w:val="0"/>
        </w:rPr>
        <w:t>Minister</w:t>
      </w:r>
      <w:r w:rsidRPr="006110F2">
        <w:rPr>
          <w:w w:val="0"/>
        </w:rPr>
        <w:t xml:space="preserve"> responsible for administering the </w:t>
      </w:r>
      <w:r w:rsidRPr="006110F2">
        <w:rPr>
          <w:i/>
          <w:w w:val="0"/>
        </w:rPr>
        <w:t>Act</w:t>
      </w:r>
      <w:r w:rsidRPr="006110F2">
        <w:rPr>
          <w:w w:val="0"/>
        </w:rPr>
        <w:t>.</w:t>
      </w:r>
    </w:p>
    <w:p w:rsidR="003C347F" w:rsidRPr="006110F2" w:rsidRDefault="003C347F" w:rsidP="003C347F">
      <w:pPr>
        <w:pStyle w:val="ListNumber"/>
        <w:numPr>
          <w:ilvl w:val="0"/>
          <w:numId w:val="0"/>
        </w:numPr>
        <w:ind w:left="567"/>
        <w:rPr>
          <w:w w:val="0"/>
        </w:rPr>
      </w:pPr>
      <w:r w:rsidRPr="006110F2">
        <w:rPr>
          <w:b/>
          <w:w w:val="0"/>
        </w:rPr>
        <w:t xml:space="preserve">“Eligible Activity” </w:t>
      </w:r>
      <w:r w:rsidRPr="006110F2">
        <w:rPr>
          <w:w w:val="0"/>
        </w:rPr>
        <w:t xml:space="preserve">means an activity that satisfies the requirements of the </w:t>
      </w:r>
      <w:r w:rsidRPr="006110F2">
        <w:rPr>
          <w:i/>
          <w:w w:val="0"/>
        </w:rPr>
        <w:t>Programme Guidelines</w:t>
      </w:r>
      <w:r w:rsidRPr="006110F2">
        <w:rPr>
          <w:w w:val="0"/>
        </w:rPr>
        <w:t>.</w:t>
      </w:r>
    </w:p>
    <w:p w:rsidR="003C347F" w:rsidRPr="006110F2" w:rsidRDefault="003C347F" w:rsidP="003C347F">
      <w:pPr>
        <w:pStyle w:val="ListNumber"/>
        <w:numPr>
          <w:ilvl w:val="0"/>
          <w:numId w:val="0"/>
        </w:numPr>
        <w:ind w:left="567"/>
        <w:rPr>
          <w:rStyle w:val="DeltaViewInsertion"/>
          <w:color w:val="000000"/>
          <w:w w:val="0"/>
        </w:rPr>
      </w:pPr>
      <w:r w:rsidRPr="006110F2">
        <w:rPr>
          <w:b/>
          <w:w w:val="0"/>
        </w:rPr>
        <w:t xml:space="preserve">“Eligible Applicant” </w:t>
      </w:r>
      <w:r w:rsidRPr="006110F2">
        <w:rPr>
          <w:w w:val="0"/>
        </w:rPr>
        <w:t xml:space="preserve">means an </w:t>
      </w:r>
      <w:r w:rsidRPr="006110F2">
        <w:rPr>
          <w:i/>
          <w:w w:val="0"/>
        </w:rPr>
        <w:t>Applicant</w:t>
      </w:r>
      <w:r w:rsidRPr="006110F2">
        <w:rPr>
          <w:w w:val="0"/>
        </w:rPr>
        <w:t xml:space="preserve"> that satisfies the requirements of the </w:t>
      </w:r>
      <w:r w:rsidRPr="006110F2">
        <w:rPr>
          <w:i/>
          <w:w w:val="0"/>
        </w:rPr>
        <w:t>Programme Guidelines</w:t>
      </w:r>
      <w:r w:rsidRPr="006110F2">
        <w:rPr>
          <w:w w:val="0"/>
        </w:rPr>
        <w:t>.</w:t>
      </w:r>
    </w:p>
    <w:p w:rsidR="003C347F" w:rsidRPr="006110F2" w:rsidRDefault="003C347F" w:rsidP="003C347F">
      <w:pPr>
        <w:pStyle w:val="ListNumber"/>
        <w:numPr>
          <w:ilvl w:val="0"/>
          <w:numId w:val="0"/>
        </w:numPr>
        <w:ind w:left="567"/>
        <w:rPr>
          <w:w w:val="0"/>
        </w:rPr>
      </w:pPr>
      <w:r w:rsidRPr="006110F2">
        <w:rPr>
          <w:b/>
          <w:w w:val="0"/>
        </w:rPr>
        <w:lastRenderedPageBreak/>
        <w:t xml:space="preserve">“Eligible Expenditure” </w:t>
      </w:r>
      <w:r w:rsidRPr="006110F2">
        <w:rPr>
          <w:w w:val="0"/>
        </w:rPr>
        <w:t xml:space="preserve">means the expenditure incurred by an </w:t>
      </w:r>
      <w:r w:rsidRPr="006110F2">
        <w:rPr>
          <w:i/>
          <w:w w:val="0"/>
        </w:rPr>
        <w:t>Applicant</w:t>
      </w:r>
      <w:r w:rsidRPr="006110F2">
        <w:rPr>
          <w:w w:val="0"/>
        </w:rPr>
        <w:t xml:space="preserve"> in relation to a </w:t>
      </w:r>
      <w:r w:rsidRPr="006110F2">
        <w:rPr>
          <w:i/>
          <w:w w:val="0"/>
        </w:rPr>
        <w:t xml:space="preserve">Funding Agreement </w:t>
      </w:r>
      <w:r w:rsidRPr="006110F2">
        <w:rPr>
          <w:w w:val="0"/>
        </w:rPr>
        <w:t xml:space="preserve">that satisfies the requirements of the </w:t>
      </w:r>
      <w:r w:rsidRPr="006110F2">
        <w:rPr>
          <w:i/>
          <w:w w:val="0"/>
        </w:rPr>
        <w:t>Programme Guidelines</w:t>
      </w:r>
      <w:r w:rsidRPr="006110F2">
        <w:rPr>
          <w:w w:val="0"/>
        </w:rPr>
        <w:t xml:space="preserve"> and is deemed eligible for funding support by the </w:t>
      </w:r>
      <w:r w:rsidR="00C141F3" w:rsidRPr="006110F2">
        <w:rPr>
          <w:i/>
          <w:w w:val="0"/>
        </w:rPr>
        <w:t>Minister</w:t>
      </w:r>
      <w:r w:rsidRPr="006110F2">
        <w:rPr>
          <w:w w:val="0"/>
        </w:rPr>
        <w:t>.</w:t>
      </w:r>
      <w:r w:rsidRPr="006110F2" w:rsidDel="007623E6">
        <w:rPr>
          <w:w w:val="0"/>
        </w:rPr>
        <w:t xml:space="preserve"> </w:t>
      </w:r>
    </w:p>
    <w:p w:rsidR="003C347F" w:rsidRPr="006110F2" w:rsidRDefault="003C347F" w:rsidP="003C347F">
      <w:pPr>
        <w:pStyle w:val="ListNumber"/>
        <w:numPr>
          <w:ilvl w:val="0"/>
          <w:numId w:val="0"/>
        </w:numPr>
        <w:ind w:left="567"/>
        <w:rPr>
          <w:w w:val="0"/>
        </w:rPr>
      </w:pPr>
      <w:r w:rsidRPr="006110F2">
        <w:rPr>
          <w:b/>
          <w:w w:val="0"/>
        </w:rPr>
        <w:t xml:space="preserve">“Funding Agreement” </w:t>
      </w:r>
      <w:r w:rsidRPr="006110F2">
        <w:rPr>
          <w:w w:val="0"/>
        </w:rPr>
        <w:t xml:space="preserve">means a single agreement for the receipt of </w:t>
      </w:r>
      <w:r w:rsidRPr="006110F2">
        <w:rPr>
          <w:i/>
          <w:w w:val="0"/>
        </w:rPr>
        <w:t xml:space="preserve">Grant Funds </w:t>
      </w:r>
      <w:r w:rsidRPr="006110F2">
        <w:rPr>
          <w:w w:val="0"/>
        </w:rPr>
        <w:t>under the</w:t>
      </w:r>
      <w:r w:rsidRPr="006110F2">
        <w:rPr>
          <w:i/>
        </w:rPr>
        <w:t xml:space="preserve"> Cooperative Research Centres Programme</w:t>
      </w:r>
      <w:r w:rsidRPr="006110F2">
        <w:rPr>
          <w:w w:val="0"/>
        </w:rPr>
        <w:t xml:space="preserve"> signed between the Commonwealth and a Cooperative Research Centre or Lead Participant of a CRC-Project </w:t>
      </w:r>
      <w:r w:rsidR="00B66B3A" w:rsidRPr="006110F2">
        <w:rPr>
          <w:w w:val="0"/>
        </w:rPr>
        <w:t xml:space="preserve">as set out in </w:t>
      </w:r>
      <w:r w:rsidRPr="006110F2">
        <w:rPr>
          <w:w w:val="0"/>
        </w:rPr>
        <w:t xml:space="preserve">the </w:t>
      </w:r>
      <w:r w:rsidRPr="006110F2">
        <w:rPr>
          <w:i/>
          <w:w w:val="0"/>
        </w:rPr>
        <w:t>Programme Guidelines</w:t>
      </w:r>
      <w:r w:rsidRPr="006110F2">
        <w:rPr>
          <w:w w:val="0"/>
        </w:rPr>
        <w:t>.</w:t>
      </w:r>
    </w:p>
    <w:p w:rsidR="003C347F" w:rsidRPr="006110F2" w:rsidRDefault="003C347F" w:rsidP="003C347F">
      <w:pPr>
        <w:pStyle w:val="ListNumber"/>
        <w:numPr>
          <w:ilvl w:val="0"/>
          <w:numId w:val="0"/>
        </w:numPr>
        <w:ind w:left="567"/>
        <w:rPr>
          <w:w w:val="0"/>
        </w:rPr>
      </w:pPr>
      <w:r w:rsidRPr="006110F2">
        <w:rPr>
          <w:b/>
          <w:w w:val="0"/>
        </w:rPr>
        <w:t xml:space="preserve">“Grant Funds” </w:t>
      </w:r>
      <w:r w:rsidRPr="006110F2">
        <w:rPr>
          <w:w w:val="0"/>
        </w:rPr>
        <w:t xml:space="preserve">means the funds awarded to </w:t>
      </w:r>
      <w:r w:rsidRPr="006110F2">
        <w:rPr>
          <w:i/>
          <w:w w:val="0"/>
        </w:rPr>
        <w:t>Recipients</w:t>
      </w:r>
      <w:r w:rsidRPr="006110F2">
        <w:rPr>
          <w:w w:val="0"/>
        </w:rPr>
        <w:t xml:space="preserve"> under the </w:t>
      </w:r>
      <w:r w:rsidRPr="006110F2">
        <w:rPr>
          <w:i/>
        </w:rPr>
        <w:t>Cooperative Research Centres Programme</w:t>
      </w:r>
      <w:r w:rsidR="000752C0" w:rsidRPr="006110F2">
        <w:rPr>
          <w:i/>
        </w:rPr>
        <w:t xml:space="preserve"> </w:t>
      </w:r>
      <w:r w:rsidR="000752C0" w:rsidRPr="006110F2">
        <w:t xml:space="preserve">as set out in a </w:t>
      </w:r>
      <w:r w:rsidR="000752C0" w:rsidRPr="006110F2">
        <w:rPr>
          <w:i/>
        </w:rPr>
        <w:t>Funding Agreement</w:t>
      </w:r>
      <w:r w:rsidRPr="006110F2">
        <w:rPr>
          <w:i/>
        </w:rPr>
        <w:t>.</w:t>
      </w:r>
    </w:p>
    <w:p w:rsidR="003C347F" w:rsidRPr="006110F2" w:rsidRDefault="003C347F" w:rsidP="003C347F">
      <w:pPr>
        <w:pStyle w:val="ListNumber"/>
        <w:numPr>
          <w:ilvl w:val="0"/>
          <w:numId w:val="0"/>
        </w:numPr>
        <w:ind w:left="567"/>
        <w:rPr>
          <w:i/>
          <w:w w:val="0"/>
        </w:rPr>
      </w:pPr>
      <w:r w:rsidRPr="006110F2">
        <w:rPr>
          <w:b/>
          <w:w w:val="0"/>
        </w:rPr>
        <w:t xml:space="preserve">“Innovation Australia” </w:t>
      </w:r>
      <w:r w:rsidRPr="006110F2">
        <w:rPr>
          <w:w w:val="0"/>
        </w:rPr>
        <w:t xml:space="preserve">means the body established by section 6 of the </w:t>
      </w:r>
      <w:r w:rsidRPr="006110F2">
        <w:rPr>
          <w:i/>
          <w:w w:val="0"/>
        </w:rPr>
        <w:t>Act.</w:t>
      </w:r>
    </w:p>
    <w:p w:rsidR="003C347F" w:rsidRPr="006110F2" w:rsidRDefault="003C347F" w:rsidP="003C347F">
      <w:pPr>
        <w:pStyle w:val="ListNumber"/>
        <w:numPr>
          <w:ilvl w:val="0"/>
          <w:numId w:val="0"/>
        </w:numPr>
        <w:ind w:left="567"/>
        <w:rPr>
          <w:w w:val="0"/>
        </w:rPr>
      </w:pPr>
      <w:r w:rsidRPr="006110F2">
        <w:rPr>
          <w:b/>
          <w:w w:val="0"/>
        </w:rPr>
        <w:t xml:space="preserve">“Minister” </w:t>
      </w:r>
      <w:r w:rsidRPr="006110F2">
        <w:rPr>
          <w:w w:val="0"/>
        </w:rPr>
        <w:t xml:space="preserve">means the </w:t>
      </w:r>
      <w:r w:rsidRPr="006110F2">
        <w:rPr>
          <w:i/>
          <w:w w:val="0"/>
        </w:rPr>
        <w:t>Minister</w:t>
      </w:r>
      <w:r w:rsidRPr="006110F2">
        <w:rPr>
          <w:w w:val="0"/>
        </w:rPr>
        <w:t xml:space="preserve"> that administers the </w:t>
      </w:r>
      <w:r w:rsidRPr="006110F2">
        <w:rPr>
          <w:i/>
          <w:w w:val="0"/>
        </w:rPr>
        <w:t>Act</w:t>
      </w:r>
      <w:r w:rsidRPr="006110F2">
        <w:rPr>
          <w:w w:val="0"/>
        </w:rPr>
        <w:t>.</w:t>
      </w:r>
    </w:p>
    <w:p w:rsidR="00C141F3" w:rsidRPr="006110F2" w:rsidRDefault="00C141F3" w:rsidP="003C347F">
      <w:pPr>
        <w:pStyle w:val="ListNumber"/>
        <w:numPr>
          <w:ilvl w:val="0"/>
          <w:numId w:val="0"/>
        </w:numPr>
        <w:ind w:left="567"/>
        <w:rPr>
          <w:w w:val="0"/>
        </w:rPr>
      </w:pPr>
      <w:r w:rsidRPr="006110F2">
        <w:rPr>
          <w:b/>
          <w:w w:val="0"/>
        </w:rPr>
        <w:t xml:space="preserve">“Programme Delegate” </w:t>
      </w:r>
      <w:r w:rsidRPr="006110F2">
        <w:rPr>
          <w:w w:val="0"/>
        </w:rPr>
        <w:t xml:space="preserve">means an employee of the </w:t>
      </w:r>
      <w:r w:rsidRPr="006110F2">
        <w:rPr>
          <w:i/>
          <w:w w:val="0"/>
        </w:rPr>
        <w:t>Department</w:t>
      </w:r>
      <w:r w:rsidRPr="006110F2">
        <w:rPr>
          <w:w w:val="0"/>
        </w:rPr>
        <w:t xml:space="preserve"> who has been empowered by the Minister, or is otherwise duly</w:t>
      </w:r>
      <w:r w:rsidR="009E6A63" w:rsidRPr="006110F2">
        <w:rPr>
          <w:w w:val="0"/>
        </w:rPr>
        <w:t xml:space="preserve"> authorised, to carry out the Minister’s functions and powers in relation to the administration of the </w:t>
      </w:r>
      <w:r w:rsidR="009E6A63" w:rsidRPr="006110F2">
        <w:rPr>
          <w:i/>
        </w:rPr>
        <w:t>Cooperative Research Centres Programme.</w:t>
      </w:r>
    </w:p>
    <w:p w:rsidR="003C347F" w:rsidRPr="006110F2" w:rsidRDefault="003C347F" w:rsidP="003C347F">
      <w:pPr>
        <w:pStyle w:val="ListNumber"/>
        <w:numPr>
          <w:ilvl w:val="0"/>
          <w:numId w:val="0"/>
        </w:numPr>
        <w:ind w:left="567"/>
        <w:rPr>
          <w:w w:val="0"/>
        </w:rPr>
      </w:pPr>
      <w:r w:rsidRPr="006110F2">
        <w:rPr>
          <w:w w:val="0"/>
        </w:rPr>
        <w:t>“</w:t>
      </w:r>
      <w:r w:rsidRPr="006110F2">
        <w:rPr>
          <w:b/>
          <w:w w:val="0"/>
        </w:rPr>
        <w:t>Programme Guidelines</w:t>
      </w:r>
      <w:r w:rsidRPr="006110F2">
        <w:rPr>
          <w:w w:val="0"/>
        </w:rPr>
        <w:t xml:space="preserve">” means the guidelines that are given by the </w:t>
      </w:r>
      <w:r w:rsidRPr="006110F2">
        <w:rPr>
          <w:i/>
          <w:w w:val="0"/>
        </w:rPr>
        <w:t>Minister</w:t>
      </w:r>
      <w:r w:rsidRPr="006110F2">
        <w:rPr>
          <w:w w:val="0"/>
        </w:rPr>
        <w:t xml:space="preserve"> to the </w:t>
      </w:r>
      <w:r w:rsidRPr="006110F2">
        <w:rPr>
          <w:i/>
          <w:w w:val="0"/>
        </w:rPr>
        <w:t>Department</w:t>
      </w:r>
      <w:r w:rsidRPr="006110F2">
        <w:rPr>
          <w:w w:val="0"/>
        </w:rPr>
        <w:t xml:space="preserve"> to provide a framework for the operation and administration of the </w:t>
      </w:r>
      <w:r w:rsidRPr="006110F2">
        <w:rPr>
          <w:i/>
        </w:rPr>
        <w:t>Cooperative Research Centres Programme,</w:t>
      </w:r>
      <w:r w:rsidRPr="006110F2">
        <w:rPr>
          <w:w w:val="0"/>
        </w:rPr>
        <w:t xml:space="preserve"> as in force from time to time.</w:t>
      </w:r>
    </w:p>
    <w:p w:rsidR="003C347F" w:rsidRPr="006110F2" w:rsidRDefault="003C347F" w:rsidP="003C347F">
      <w:pPr>
        <w:pStyle w:val="ListNumber"/>
        <w:numPr>
          <w:ilvl w:val="0"/>
          <w:numId w:val="0"/>
        </w:numPr>
        <w:ind w:left="567"/>
        <w:rPr>
          <w:w w:val="0"/>
        </w:rPr>
      </w:pPr>
      <w:r w:rsidRPr="006110F2">
        <w:rPr>
          <w:b/>
          <w:w w:val="0"/>
        </w:rPr>
        <w:t xml:space="preserve">“Project” </w:t>
      </w:r>
      <w:r w:rsidRPr="006110F2">
        <w:rPr>
          <w:w w:val="0"/>
        </w:rPr>
        <w:t xml:space="preserve">means the set of activities that is the subject matter of the </w:t>
      </w:r>
      <w:r w:rsidRPr="006110F2">
        <w:rPr>
          <w:i/>
          <w:w w:val="0"/>
        </w:rPr>
        <w:t xml:space="preserve">Applicant’s </w:t>
      </w:r>
      <w:r w:rsidRPr="006110F2">
        <w:rPr>
          <w:w w:val="0"/>
        </w:rPr>
        <w:t>application for funding.</w:t>
      </w:r>
    </w:p>
    <w:p w:rsidR="003C347F" w:rsidRPr="006110F2" w:rsidRDefault="003C347F" w:rsidP="003C347F">
      <w:pPr>
        <w:pStyle w:val="ListNumber"/>
        <w:numPr>
          <w:ilvl w:val="0"/>
          <w:numId w:val="0"/>
        </w:numPr>
        <w:ind w:left="567"/>
        <w:rPr>
          <w:i/>
          <w:color w:val="000000"/>
          <w:w w:val="0"/>
        </w:rPr>
      </w:pPr>
      <w:r w:rsidRPr="006110F2">
        <w:rPr>
          <w:b/>
          <w:w w:val="0"/>
        </w:rPr>
        <w:t>“Recipient”</w:t>
      </w:r>
      <w:r w:rsidRPr="006110F2">
        <w:rPr>
          <w:w w:val="0"/>
        </w:rPr>
        <w:t xml:space="preserve"> means an entity that is awarded funding under the </w:t>
      </w:r>
      <w:r w:rsidRPr="006110F2">
        <w:rPr>
          <w:i/>
        </w:rPr>
        <w:t>Cooperative Research Centres Programme</w:t>
      </w:r>
      <w:r w:rsidRPr="006110F2">
        <w:rPr>
          <w:i/>
          <w:color w:val="000000"/>
          <w:w w:val="0"/>
        </w:rPr>
        <w:t>.</w:t>
      </w:r>
    </w:p>
    <w:p w:rsidR="003C347F" w:rsidRPr="006110F2" w:rsidRDefault="003C347F" w:rsidP="003C347F">
      <w:pPr>
        <w:pStyle w:val="ListNumber"/>
        <w:numPr>
          <w:ilvl w:val="0"/>
          <w:numId w:val="0"/>
        </w:numPr>
        <w:ind w:left="567"/>
        <w:rPr>
          <w:w w:val="0"/>
        </w:rPr>
      </w:pPr>
      <w:r w:rsidRPr="006110F2">
        <w:rPr>
          <w:w w:val="0"/>
        </w:rPr>
        <w:t>“</w:t>
      </w:r>
      <w:r w:rsidRPr="006110F2">
        <w:rPr>
          <w:b/>
          <w:w w:val="0"/>
        </w:rPr>
        <w:t>Technical Assessment</w:t>
      </w:r>
      <w:r w:rsidRPr="006110F2">
        <w:rPr>
          <w:w w:val="0"/>
        </w:rPr>
        <w:t xml:space="preserve">” has the meaning given to it in section 4 of the </w:t>
      </w:r>
      <w:r w:rsidRPr="006110F2">
        <w:rPr>
          <w:i/>
          <w:w w:val="0"/>
        </w:rPr>
        <w:t>Act</w:t>
      </w:r>
      <w:r w:rsidRPr="006110F2">
        <w:rPr>
          <w:w w:val="0"/>
        </w:rPr>
        <w:t>.</w:t>
      </w:r>
    </w:p>
    <w:p w:rsidR="003C347F" w:rsidRPr="006110F2" w:rsidRDefault="003C347F" w:rsidP="00424B97"/>
    <w:p w:rsidR="00081289" w:rsidRPr="006110F2" w:rsidRDefault="00081289" w:rsidP="00424B97"/>
    <w:p w:rsidR="00081289" w:rsidRPr="006110F2" w:rsidRDefault="003D1FEE" w:rsidP="00424B97">
      <w:r>
        <w:t>CHRISTOPHER PYNE</w:t>
      </w:r>
    </w:p>
    <w:p w:rsidR="003C347F" w:rsidRPr="006110F2" w:rsidRDefault="00391EAD" w:rsidP="00424B97">
      <w:r w:rsidRPr="006110F2">
        <w:t>_________________________________</w:t>
      </w:r>
      <w:r w:rsidRPr="006110F2">
        <w:br/>
      </w:r>
      <w:proofErr w:type="gramStart"/>
      <w:r w:rsidR="003C347F" w:rsidRPr="006110F2">
        <w:t>The</w:t>
      </w:r>
      <w:proofErr w:type="gramEnd"/>
      <w:r w:rsidR="003C347F" w:rsidRPr="006110F2">
        <w:t xml:space="preserve"> Hon Christopher Pyne</w:t>
      </w:r>
    </w:p>
    <w:p w:rsidR="009F62A4" w:rsidRPr="006110F2" w:rsidRDefault="009F62A4" w:rsidP="00424B97">
      <w:r w:rsidRPr="006110F2">
        <w:t>Minister for Industry, Innovation and Science</w:t>
      </w:r>
    </w:p>
    <w:p w:rsidR="003C347F" w:rsidRPr="00424B97" w:rsidRDefault="003C347F" w:rsidP="00424B97">
      <w:r w:rsidRPr="006110F2">
        <w:t>Dated:</w:t>
      </w:r>
      <w:r w:rsidR="003D1FEE">
        <w:t xml:space="preserve">  26 January 2016</w:t>
      </w:r>
      <w:bookmarkStart w:id="23" w:name="_GoBack"/>
      <w:bookmarkEnd w:id="23"/>
    </w:p>
    <w:sectPr w:rsidR="003C347F" w:rsidRPr="00424B97" w:rsidSect="008E4F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6F3" w:rsidRDefault="008946F3" w:rsidP="003A707F">
      <w:pPr>
        <w:spacing w:after="0" w:line="240" w:lineRule="auto"/>
      </w:pPr>
      <w:r>
        <w:separator/>
      </w:r>
    </w:p>
  </w:endnote>
  <w:endnote w:type="continuationSeparator" w:id="0">
    <w:p w:rsidR="008946F3" w:rsidRDefault="008946F3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6F3" w:rsidRDefault="008946F3" w:rsidP="003A707F">
      <w:pPr>
        <w:spacing w:after="0" w:line="240" w:lineRule="auto"/>
      </w:pPr>
      <w:r>
        <w:separator/>
      </w:r>
    </w:p>
  </w:footnote>
  <w:footnote w:type="continuationSeparator" w:id="0">
    <w:p w:rsidR="008946F3" w:rsidRDefault="008946F3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4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5" w:name="GazNo"/>
          <w:bookmarkEnd w:id="25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4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C425C"/>
    <w:multiLevelType w:val="hybridMultilevel"/>
    <w:tmpl w:val="0F766E32"/>
    <w:lvl w:ilvl="0" w:tplc="47282872">
      <w:start w:val="2"/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C3A0C37"/>
    <w:multiLevelType w:val="multilevel"/>
    <w:tmpl w:val="C2AA7C56"/>
    <w:lvl w:ilvl="0">
      <w:start w:val="1"/>
      <w:numFmt w:val="decimal"/>
      <w:pStyle w:val="ListNumber"/>
      <w:lvlText w:val="%1."/>
      <w:lvlJc w:val="left"/>
      <w:pPr>
        <w:tabs>
          <w:tab w:val="num" w:pos="0"/>
        </w:tabs>
        <w:ind w:left="567" w:hanging="567"/>
      </w:pPr>
      <w:rPr>
        <w:rFonts w:ascii="Arial" w:hAnsi="Arial" w:cs="Arial" w:hint="default"/>
        <w:b w:val="0"/>
        <w:i w:val="0"/>
        <w:color w:val="000000"/>
        <w:spacing w:val="0"/>
        <w:sz w:val="20"/>
        <w:szCs w:val="20"/>
        <w:u w:val="none"/>
      </w:rPr>
    </w:lvl>
    <w:lvl w:ilvl="1">
      <w:start w:val="1"/>
      <w:numFmt w:val="lowerLetter"/>
      <w:lvlText w:val="(%2)"/>
      <w:lvlJc w:val="left"/>
      <w:pPr>
        <w:tabs>
          <w:tab w:val="num" w:pos="-152"/>
        </w:tabs>
        <w:ind w:left="1134" w:hanging="566"/>
      </w:pPr>
      <w:rPr>
        <w:rFonts w:cs="Tunga" w:hint="eastAsia"/>
        <w:color w:val="auto"/>
        <w:spacing w:val="0"/>
        <w:sz w:val="20"/>
        <w:szCs w:val="20"/>
        <w:u w:val="none"/>
      </w:rPr>
    </w:lvl>
    <w:lvl w:ilvl="2">
      <w:start w:val="1"/>
      <w:numFmt w:val="lowerRoman"/>
      <w:lvlText w:val="(%3)"/>
      <w:lvlJc w:val="left"/>
      <w:pPr>
        <w:tabs>
          <w:tab w:val="num" w:pos="993"/>
        </w:tabs>
        <w:ind w:left="1560" w:hanging="567"/>
      </w:pPr>
      <w:rPr>
        <w:rFonts w:cs="Tunga" w:hint="eastAsia"/>
        <w:i w:val="0"/>
        <w:color w:val="auto"/>
        <w:spacing w:val="0"/>
        <w:u w:val="none"/>
      </w:rPr>
    </w:lvl>
    <w:lvl w:ilvl="3">
      <w:start w:val="1"/>
      <w:numFmt w:val="upperLetter"/>
      <w:lvlText w:val="(%4)"/>
      <w:lvlJc w:val="left"/>
      <w:pPr>
        <w:tabs>
          <w:tab w:val="num" w:pos="0"/>
        </w:tabs>
        <w:ind w:left="2880" w:hanging="720"/>
      </w:pPr>
      <w:rPr>
        <w:rFonts w:cs="Tunga" w:hint="eastAsia"/>
        <w:color w:val="008000"/>
        <w:spacing w:val="0"/>
        <w:u w:val="singl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cs="Tunga" w:hint="eastAsia"/>
        <w:color w:val="008000"/>
        <w:spacing w:val="0"/>
        <w:u w:val="singl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cs="Tunga" w:hint="eastAsia"/>
        <w:color w:val="008000"/>
        <w:spacing w:val="0"/>
        <w:u w:val="singl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cs="Tunga" w:hint="eastAsia"/>
        <w:color w:val="008000"/>
        <w:spacing w:val="0"/>
        <w:u w:val="singl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cs="Tunga" w:hint="eastAsia"/>
        <w:color w:val="008000"/>
        <w:spacing w:val="0"/>
        <w:u w:val="single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cs="Tunga" w:hint="eastAsia"/>
        <w:color w:val="008000"/>
        <w:spacing w:val="0"/>
        <w:u w:val="singl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32FED"/>
    <w:rsid w:val="000752C0"/>
    <w:rsid w:val="00081289"/>
    <w:rsid w:val="000E1F2B"/>
    <w:rsid w:val="001C2AAD"/>
    <w:rsid w:val="001F6E54"/>
    <w:rsid w:val="00280BCD"/>
    <w:rsid w:val="002F0694"/>
    <w:rsid w:val="00372BAE"/>
    <w:rsid w:val="00391EAD"/>
    <w:rsid w:val="003A707F"/>
    <w:rsid w:val="003B0EC1"/>
    <w:rsid w:val="003B573B"/>
    <w:rsid w:val="003C347F"/>
    <w:rsid w:val="003D1FEE"/>
    <w:rsid w:val="003F2CBD"/>
    <w:rsid w:val="00424B97"/>
    <w:rsid w:val="004B2753"/>
    <w:rsid w:val="00520873"/>
    <w:rsid w:val="00573D44"/>
    <w:rsid w:val="006110F2"/>
    <w:rsid w:val="007B0409"/>
    <w:rsid w:val="007B5EAF"/>
    <w:rsid w:val="00840A06"/>
    <w:rsid w:val="008439B7"/>
    <w:rsid w:val="0087253F"/>
    <w:rsid w:val="008946F3"/>
    <w:rsid w:val="008E4F6C"/>
    <w:rsid w:val="00900304"/>
    <w:rsid w:val="00926967"/>
    <w:rsid w:val="009539C7"/>
    <w:rsid w:val="00993073"/>
    <w:rsid w:val="009E6A63"/>
    <w:rsid w:val="009F62A4"/>
    <w:rsid w:val="00A00F21"/>
    <w:rsid w:val="00AE5307"/>
    <w:rsid w:val="00B66B3A"/>
    <w:rsid w:val="00B7680B"/>
    <w:rsid w:val="00B84226"/>
    <w:rsid w:val="00C141F3"/>
    <w:rsid w:val="00C27DD3"/>
    <w:rsid w:val="00C63C4E"/>
    <w:rsid w:val="00C72C30"/>
    <w:rsid w:val="00D12B56"/>
    <w:rsid w:val="00D229E5"/>
    <w:rsid w:val="00D77A88"/>
    <w:rsid w:val="00F40885"/>
    <w:rsid w:val="00FF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4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link w:val="Heading3Char"/>
    <w:qFormat/>
    <w:rsid w:val="003C347F"/>
    <w:pPr>
      <w:keepNext w:val="0"/>
      <w:keepLines w:val="0"/>
      <w:pBdr>
        <w:bottom w:val="single" w:sz="2" w:space="1" w:color="auto"/>
      </w:pBdr>
      <w:spacing w:before="480" w:after="480" w:line="240" w:lineRule="auto"/>
      <w:outlineLvl w:val="2"/>
    </w:pPr>
    <w:rPr>
      <w:rFonts w:ascii="Arial" w:eastAsiaTheme="minorEastAsia" w:hAnsi="Arial" w:cs="Arial"/>
      <w:b w:val="0"/>
      <w:bCs w:val="0"/>
      <w:color w:val="auto"/>
      <w:sz w:val="28"/>
      <w:szCs w:val="28"/>
      <w:lang w:eastAsia="en-AU"/>
    </w:rPr>
  </w:style>
  <w:style w:type="paragraph" w:styleId="Heading4">
    <w:name w:val="heading 4"/>
    <w:basedOn w:val="Normal"/>
    <w:link w:val="Heading4Char"/>
    <w:qFormat/>
    <w:rsid w:val="003C347F"/>
    <w:pPr>
      <w:keepNext/>
      <w:spacing w:before="360" w:after="120" w:line="240" w:lineRule="auto"/>
      <w:outlineLvl w:val="3"/>
    </w:pPr>
    <w:rPr>
      <w:rFonts w:ascii="Arial" w:eastAsiaTheme="minorEastAsia" w:hAnsi="Arial" w:cs="Arial"/>
      <w:b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3Char">
    <w:name w:val="Heading 3 Char"/>
    <w:basedOn w:val="DefaultParagraphFont"/>
    <w:link w:val="Heading3"/>
    <w:rsid w:val="003C347F"/>
    <w:rPr>
      <w:rFonts w:ascii="Arial" w:eastAsiaTheme="minorEastAsia" w:hAnsi="Arial" w:cs="Arial"/>
      <w:sz w:val="28"/>
      <w:szCs w:val="28"/>
      <w:lang w:eastAsia="en-AU"/>
    </w:rPr>
  </w:style>
  <w:style w:type="character" w:customStyle="1" w:styleId="Heading4Char">
    <w:name w:val="Heading 4 Char"/>
    <w:basedOn w:val="DefaultParagraphFont"/>
    <w:link w:val="Heading4"/>
    <w:rsid w:val="003C347F"/>
    <w:rPr>
      <w:rFonts w:ascii="Arial" w:eastAsiaTheme="minorEastAsia" w:hAnsi="Arial" w:cs="Arial"/>
      <w:b/>
      <w:szCs w:val="24"/>
      <w:lang w:eastAsia="en-AU"/>
    </w:rPr>
  </w:style>
  <w:style w:type="character" w:styleId="CommentReference">
    <w:name w:val="annotation reference"/>
    <w:basedOn w:val="DefaultParagraphFont"/>
    <w:unhideWhenUsed/>
    <w:rsid w:val="003C347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C347F"/>
    <w:pPr>
      <w:spacing w:before="40" w:after="240" w:line="240" w:lineRule="auto"/>
    </w:pPr>
    <w:rPr>
      <w:rFonts w:ascii="Arial" w:eastAsiaTheme="minorEastAsia" w:hAnsi="Arial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3C347F"/>
    <w:rPr>
      <w:rFonts w:ascii="Arial" w:eastAsiaTheme="minorEastAsia" w:hAnsi="Arial"/>
      <w:sz w:val="20"/>
      <w:szCs w:val="20"/>
      <w:lang w:eastAsia="en-AU"/>
    </w:rPr>
  </w:style>
  <w:style w:type="character" w:customStyle="1" w:styleId="DeltaViewInsertion">
    <w:name w:val="DeltaView Insertion"/>
    <w:rsid w:val="003C347F"/>
    <w:rPr>
      <w:color w:val="008000"/>
      <w:spacing w:val="0"/>
      <w:u w:val="single"/>
    </w:rPr>
  </w:style>
  <w:style w:type="paragraph" w:styleId="ListNumber">
    <w:name w:val="List Number"/>
    <w:basedOn w:val="Normal"/>
    <w:uiPriority w:val="99"/>
    <w:unhideWhenUsed/>
    <w:rsid w:val="003C347F"/>
    <w:pPr>
      <w:numPr>
        <w:numId w:val="1"/>
      </w:numPr>
      <w:spacing w:before="40" w:line="280" w:lineRule="atLeast"/>
    </w:pPr>
    <w:rPr>
      <w:rFonts w:ascii="Arial" w:eastAsiaTheme="minorEastAsia" w:hAnsi="Arial"/>
      <w:sz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4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EAD"/>
    <w:pPr>
      <w:spacing w:before="0" w:after="200"/>
    </w:pPr>
    <w:rPr>
      <w:rFonts w:asciiTheme="minorHAnsi" w:eastAsiaTheme="minorHAnsi" w:hAnsi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EAD"/>
    <w:rPr>
      <w:rFonts w:ascii="Arial" w:eastAsiaTheme="minorEastAsia" w:hAnsi="Arial"/>
      <w:b/>
      <w:bCs/>
      <w:sz w:val="20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4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link w:val="Heading3Char"/>
    <w:qFormat/>
    <w:rsid w:val="003C347F"/>
    <w:pPr>
      <w:keepNext w:val="0"/>
      <w:keepLines w:val="0"/>
      <w:pBdr>
        <w:bottom w:val="single" w:sz="2" w:space="1" w:color="auto"/>
      </w:pBdr>
      <w:spacing w:before="480" w:after="480" w:line="240" w:lineRule="auto"/>
      <w:outlineLvl w:val="2"/>
    </w:pPr>
    <w:rPr>
      <w:rFonts w:ascii="Arial" w:eastAsiaTheme="minorEastAsia" w:hAnsi="Arial" w:cs="Arial"/>
      <w:b w:val="0"/>
      <w:bCs w:val="0"/>
      <w:color w:val="auto"/>
      <w:sz w:val="28"/>
      <w:szCs w:val="28"/>
      <w:lang w:eastAsia="en-AU"/>
    </w:rPr>
  </w:style>
  <w:style w:type="paragraph" w:styleId="Heading4">
    <w:name w:val="heading 4"/>
    <w:basedOn w:val="Normal"/>
    <w:link w:val="Heading4Char"/>
    <w:qFormat/>
    <w:rsid w:val="003C347F"/>
    <w:pPr>
      <w:keepNext/>
      <w:spacing w:before="360" w:after="120" w:line="240" w:lineRule="auto"/>
      <w:outlineLvl w:val="3"/>
    </w:pPr>
    <w:rPr>
      <w:rFonts w:ascii="Arial" w:eastAsiaTheme="minorEastAsia" w:hAnsi="Arial" w:cs="Arial"/>
      <w:b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3Char">
    <w:name w:val="Heading 3 Char"/>
    <w:basedOn w:val="DefaultParagraphFont"/>
    <w:link w:val="Heading3"/>
    <w:rsid w:val="003C347F"/>
    <w:rPr>
      <w:rFonts w:ascii="Arial" w:eastAsiaTheme="minorEastAsia" w:hAnsi="Arial" w:cs="Arial"/>
      <w:sz w:val="28"/>
      <w:szCs w:val="28"/>
      <w:lang w:eastAsia="en-AU"/>
    </w:rPr>
  </w:style>
  <w:style w:type="character" w:customStyle="1" w:styleId="Heading4Char">
    <w:name w:val="Heading 4 Char"/>
    <w:basedOn w:val="DefaultParagraphFont"/>
    <w:link w:val="Heading4"/>
    <w:rsid w:val="003C347F"/>
    <w:rPr>
      <w:rFonts w:ascii="Arial" w:eastAsiaTheme="minorEastAsia" w:hAnsi="Arial" w:cs="Arial"/>
      <w:b/>
      <w:szCs w:val="24"/>
      <w:lang w:eastAsia="en-AU"/>
    </w:rPr>
  </w:style>
  <w:style w:type="character" w:styleId="CommentReference">
    <w:name w:val="annotation reference"/>
    <w:basedOn w:val="DefaultParagraphFont"/>
    <w:unhideWhenUsed/>
    <w:rsid w:val="003C347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C347F"/>
    <w:pPr>
      <w:spacing w:before="40" w:after="240" w:line="240" w:lineRule="auto"/>
    </w:pPr>
    <w:rPr>
      <w:rFonts w:ascii="Arial" w:eastAsiaTheme="minorEastAsia" w:hAnsi="Arial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3C347F"/>
    <w:rPr>
      <w:rFonts w:ascii="Arial" w:eastAsiaTheme="minorEastAsia" w:hAnsi="Arial"/>
      <w:sz w:val="20"/>
      <w:szCs w:val="20"/>
      <w:lang w:eastAsia="en-AU"/>
    </w:rPr>
  </w:style>
  <w:style w:type="character" w:customStyle="1" w:styleId="DeltaViewInsertion">
    <w:name w:val="DeltaView Insertion"/>
    <w:rsid w:val="003C347F"/>
    <w:rPr>
      <w:color w:val="008000"/>
      <w:spacing w:val="0"/>
      <w:u w:val="single"/>
    </w:rPr>
  </w:style>
  <w:style w:type="paragraph" w:styleId="ListNumber">
    <w:name w:val="List Number"/>
    <w:basedOn w:val="Normal"/>
    <w:uiPriority w:val="99"/>
    <w:unhideWhenUsed/>
    <w:rsid w:val="003C347F"/>
    <w:pPr>
      <w:numPr>
        <w:numId w:val="1"/>
      </w:numPr>
      <w:spacing w:before="40" w:line="280" w:lineRule="atLeast"/>
    </w:pPr>
    <w:rPr>
      <w:rFonts w:ascii="Arial" w:eastAsiaTheme="minorEastAsia" w:hAnsi="Arial"/>
      <w:sz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4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EAD"/>
    <w:pPr>
      <w:spacing w:before="0" w:after="200"/>
    </w:pPr>
    <w:rPr>
      <w:rFonts w:asciiTheme="minorHAnsi" w:eastAsiaTheme="minorHAnsi" w:hAnsi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EAD"/>
    <w:rPr>
      <w:rFonts w:ascii="Arial" w:eastAsiaTheme="minorEastAsia" w:hAnsi="Arial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SecurityClassification xmlns="436C7C5B-9BF3-44DF-A3F3-EF57B3987662" xsi:nil="true"/>
    <pdms_DocumentType xmlns="436C7C5B-9BF3-44DF-A3F3-EF57B3987662" xsi:nil="true"/>
    <pdms_AttachedBy xmlns="436C7C5B-9BF3-44DF-A3F3-EF57B3987662" xsi:nil="true"/>
    <pdms_Reason xmlns="436C7C5B-9BF3-44DF-A3F3-EF57B3987662" xsi:nil="true"/>
    <SecurityClassification xmlns="436C7C5B-9BF3-44DF-A3F3-EF57B39876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1EE2E235AF53FE4A8BB2E9148582F988" ma:contentTypeVersion="" ma:contentTypeDescription="PDMS Documentation Content Type" ma:contentTypeScope="" ma:versionID="dcdb783969c58627bcf3f248045d67db">
  <xsd:schema xmlns:xsd="http://www.w3.org/2001/XMLSchema" xmlns:xs="http://www.w3.org/2001/XMLSchema" xmlns:p="http://schemas.microsoft.com/office/2006/metadata/properties" xmlns:ns2="436C7C5B-9BF3-44DF-A3F3-EF57B3987662" targetNamespace="http://schemas.microsoft.com/office/2006/metadata/properties" ma:root="true" ma:fieldsID="7df531489716976bddd604a600c5cdca" ns2:_="">
    <xsd:import namespace="436C7C5B-9BF3-44DF-A3F3-EF57B398766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C7C5B-9BF3-44DF-A3F3-EF57B398766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E6AB6-C334-422E-B85A-5AE90EB7A21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436C7C5B-9BF3-44DF-A3F3-EF57B3987662"/>
  </ds:schemaRefs>
</ds:datastoreItem>
</file>

<file path=customXml/itemProps2.xml><?xml version="1.0" encoding="utf-8"?>
<ds:datastoreItem xmlns:ds="http://schemas.openxmlformats.org/officeDocument/2006/customXml" ds:itemID="{E577ECC1-6517-4317-A626-B919C65B95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AB5A9F-1F47-4D05-8F15-60AA4D07B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C7C5B-9BF3-44DF-A3F3-EF57B39876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0A1D32-F30E-4F63-B9A9-F9241CBC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1586</Words>
  <Characters>9400</Characters>
  <Application>Microsoft Office Word</Application>
  <DocSecurity>4</DocSecurity>
  <Lines>162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10912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Gilkes, Amanda</cp:lastModifiedBy>
  <cp:revision>2</cp:revision>
  <cp:lastPrinted>2013-06-24T01:35:00Z</cp:lastPrinted>
  <dcterms:created xsi:type="dcterms:W3CDTF">2016-04-19T06:18:00Z</dcterms:created>
  <dcterms:modified xsi:type="dcterms:W3CDTF">2016-04-19T06:18:00Z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0x010100266966F133664895A6EE3632470D45F501001EE2E235AF53FE4A8BB2E9148582F988</vt:lpwstr>
  </property>
</Properties>
</file>