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Pr="008D0A06" w:rsidRDefault="00114CB2" w:rsidP="008D0A06">
      <w:pPr>
        <w:spacing w:after="200"/>
        <w:rPr>
          <w:noProof/>
          <w:sz w:val="18"/>
          <w:szCs w:val="18"/>
        </w:rPr>
      </w:pPr>
    </w:p>
    <w:p w:rsidR="00114CB2" w:rsidRPr="00316A60" w:rsidRDefault="00114CB2" w:rsidP="00851F51">
      <w:pPr>
        <w:spacing w:after="80"/>
        <w:jc w:val="center"/>
        <w:rPr>
          <w:rFonts w:cs="Arial"/>
          <w:b/>
          <w:sz w:val="20"/>
          <w:szCs w:val="20"/>
        </w:rPr>
      </w:pPr>
      <w:r w:rsidRPr="00316A60">
        <w:rPr>
          <w:rFonts w:cs="Arial"/>
          <w:b/>
          <w:sz w:val="20"/>
          <w:szCs w:val="20"/>
        </w:rPr>
        <w:t>COMMISSIONER OF TAXATION</w:t>
      </w:r>
    </w:p>
    <w:p w:rsidR="00114CB2" w:rsidRPr="00316A60" w:rsidRDefault="00114CB2" w:rsidP="00851F51">
      <w:pPr>
        <w:rPr>
          <w:rFonts w:cs="Arial"/>
          <w:sz w:val="20"/>
          <w:szCs w:val="20"/>
        </w:rPr>
      </w:pPr>
      <w:r w:rsidRPr="00316A60">
        <w:rPr>
          <w:rFonts w:cs="Arial"/>
          <w:sz w:val="20"/>
          <w:szCs w:val="20"/>
        </w:rPr>
        <w:t xml:space="preserve">The Commissioner of Taxation, Chris Jordan, gives notice of the following Rulings, copies of which can be obtained from Branches of the Australian Taxation Office or at </w:t>
      </w:r>
      <w:hyperlink r:id="rId9" w:history="1">
        <w:r w:rsidRPr="00316A60">
          <w:rPr>
            <w:rStyle w:val="Hyperlink"/>
            <w:rFonts w:cs="Arial"/>
            <w:sz w:val="20"/>
            <w:szCs w:val="20"/>
          </w:rPr>
          <w:t>http://law.ato.gov.au</w:t>
        </w:r>
      </w:hyperlink>
      <w:r w:rsidRPr="00316A60">
        <w:rPr>
          <w:rFonts w:cs="Arial"/>
          <w:sz w:val="20"/>
          <w:szCs w:val="20"/>
        </w:rPr>
        <w:t>.</w:t>
      </w:r>
    </w:p>
    <w:tbl>
      <w:tblPr>
        <w:tblW w:w="9923" w:type="dxa"/>
        <w:tblLayout w:type="fixed"/>
        <w:tblLook w:val="0000" w:firstRow="0" w:lastRow="0" w:firstColumn="0" w:lastColumn="0" w:noHBand="0" w:noVBand="0"/>
      </w:tblPr>
      <w:tblGrid>
        <w:gridCol w:w="1984"/>
        <w:gridCol w:w="3686"/>
        <w:gridCol w:w="4253"/>
      </w:tblGrid>
      <w:tr w:rsidR="00EB39B7" w:rsidRPr="00E73832" w:rsidTr="00997D12">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EB39B7" w:rsidRPr="00E73832" w:rsidRDefault="00EB39B7" w:rsidP="00B3534C">
            <w:pPr>
              <w:pStyle w:val="Heading3"/>
              <w:keepNext w:val="0"/>
              <w:spacing w:before="80" w:after="80"/>
              <w:jc w:val="center"/>
              <w:rPr>
                <w:sz w:val="22"/>
                <w:szCs w:val="22"/>
              </w:rPr>
            </w:pPr>
            <w:r w:rsidRPr="00E73832">
              <w:rPr>
                <w:sz w:val="22"/>
                <w:szCs w:val="22"/>
              </w:rPr>
              <w:t xml:space="preserve">NOTICE OF </w:t>
            </w:r>
            <w:r w:rsidR="00D56C08" w:rsidRPr="00E73832">
              <w:rPr>
                <w:sz w:val="22"/>
                <w:szCs w:val="22"/>
              </w:rPr>
              <w:t>RULING</w:t>
            </w:r>
          </w:p>
        </w:tc>
      </w:tr>
      <w:tr w:rsidR="00EB39B7" w:rsidRPr="00E73832" w:rsidTr="00997D12">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EB39B7" w:rsidRPr="00E73832" w:rsidRDefault="00EB39B7" w:rsidP="00997D12">
            <w:pPr>
              <w:pStyle w:val="Heading3"/>
              <w:keepNext w:val="0"/>
              <w:spacing w:before="80" w:after="80"/>
              <w:jc w:val="center"/>
              <w:rPr>
                <w:sz w:val="22"/>
                <w:szCs w:val="22"/>
              </w:rPr>
            </w:pPr>
            <w:r w:rsidRPr="00E73832">
              <w:rPr>
                <w:sz w:val="22"/>
                <w:szCs w:val="22"/>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EB39B7" w:rsidRPr="00E73832" w:rsidRDefault="00EB39B7" w:rsidP="00997D12">
            <w:pPr>
              <w:pStyle w:val="Heading3"/>
              <w:keepNext w:val="0"/>
              <w:spacing w:before="80" w:after="80"/>
              <w:jc w:val="center"/>
              <w:rPr>
                <w:sz w:val="22"/>
                <w:szCs w:val="22"/>
              </w:rPr>
            </w:pPr>
            <w:r w:rsidRPr="00E73832">
              <w:rPr>
                <w:sz w:val="22"/>
                <w:szCs w:val="22"/>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EB39B7" w:rsidRPr="00E73832" w:rsidRDefault="00EB39B7" w:rsidP="00997D12">
            <w:pPr>
              <w:pStyle w:val="Heading3"/>
              <w:keepNext w:val="0"/>
              <w:spacing w:before="80" w:after="80"/>
              <w:jc w:val="center"/>
              <w:rPr>
                <w:sz w:val="22"/>
                <w:szCs w:val="22"/>
              </w:rPr>
            </w:pPr>
            <w:r w:rsidRPr="00E73832">
              <w:rPr>
                <w:sz w:val="22"/>
                <w:szCs w:val="22"/>
              </w:rPr>
              <w:t>Brief Description</w:t>
            </w:r>
          </w:p>
        </w:tc>
      </w:tr>
      <w:tr w:rsidR="00043D3D" w:rsidRPr="00E73832" w:rsidTr="00997D12">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043D3D" w:rsidRPr="000227BA" w:rsidRDefault="00043D3D" w:rsidP="00DF4F35">
            <w:pPr>
              <w:spacing w:before="60" w:after="60"/>
              <w:rPr>
                <w:sz w:val="20"/>
                <w:szCs w:val="20"/>
              </w:rPr>
            </w:pPr>
            <w:r w:rsidRPr="000227BA">
              <w:rPr>
                <w:sz w:val="20"/>
                <w:szCs w:val="20"/>
              </w:rPr>
              <w:t>CR 2016/</w:t>
            </w:r>
            <w:r w:rsidR="00DF4F35" w:rsidRPr="000227BA">
              <w:rPr>
                <w:sz w:val="20"/>
                <w:szCs w:val="20"/>
              </w:rPr>
              <w:t>9</w:t>
            </w:r>
          </w:p>
        </w:tc>
        <w:tc>
          <w:tcPr>
            <w:tcW w:w="3686" w:type="dxa"/>
            <w:tcBorders>
              <w:top w:val="single" w:sz="6" w:space="0" w:color="auto"/>
              <w:left w:val="single" w:sz="6" w:space="0" w:color="auto"/>
              <w:bottom w:val="single" w:sz="6" w:space="0" w:color="auto"/>
              <w:right w:val="single" w:sz="6" w:space="0" w:color="auto"/>
            </w:tcBorders>
          </w:tcPr>
          <w:p w:rsidR="00043D3D" w:rsidRPr="000227BA" w:rsidRDefault="00DF4F35" w:rsidP="00DF4F35">
            <w:pPr>
              <w:pStyle w:val="Header"/>
              <w:rPr>
                <w:sz w:val="20"/>
                <w:szCs w:val="20"/>
              </w:rPr>
            </w:pPr>
            <w:r w:rsidRPr="000227BA">
              <w:rPr>
                <w:sz w:val="20"/>
                <w:szCs w:val="20"/>
              </w:rPr>
              <w:t>Income tax:  Qantas Airways Limited – employee share schemes – return of capital</w:t>
            </w:r>
          </w:p>
        </w:tc>
        <w:tc>
          <w:tcPr>
            <w:tcW w:w="4253" w:type="dxa"/>
            <w:tcBorders>
              <w:top w:val="single" w:sz="6" w:space="0" w:color="auto"/>
              <w:left w:val="single" w:sz="6" w:space="0" w:color="auto"/>
              <w:bottom w:val="single" w:sz="6" w:space="0" w:color="auto"/>
              <w:right w:val="single" w:sz="6" w:space="0" w:color="auto"/>
            </w:tcBorders>
          </w:tcPr>
          <w:p w:rsidR="00E74810" w:rsidRPr="000227BA" w:rsidRDefault="00E74810" w:rsidP="00E73832">
            <w:pPr>
              <w:spacing w:before="60" w:after="60"/>
              <w:rPr>
                <w:sz w:val="20"/>
                <w:szCs w:val="20"/>
              </w:rPr>
            </w:pPr>
            <w:r w:rsidRPr="000227BA">
              <w:rPr>
                <w:sz w:val="20"/>
                <w:szCs w:val="20"/>
              </w:rPr>
              <w:t xml:space="preserve">The Ruling sets out the Commissioners position for </w:t>
            </w:r>
            <w:r w:rsidR="00DF4F35" w:rsidRPr="000227BA">
              <w:rPr>
                <w:sz w:val="20"/>
                <w:szCs w:val="20"/>
              </w:rPr>
              <w:t xml:space="preserve">eligible employees of Qantas Airways Limited and its subsidiaries, being Eastern Australia Airlines Pty Limited, Jetstar Airways Pty Limited, </w:t>
            </w:r>
            <w:proofErr w:type="spellStart"/>
            <w:r w:rsidR="00DF4F35" w:rsidRPr="000227BA">
              <w:rPr>
                <w:sz w:val="20"/>
                <w:szCs w:val="20"/>
              </w:rPr>
              <w:t>Sunstate</w:t>
            </w:r>
            <w:proofErr w:type="spellEnd"/>
            <w:r w:rsidR="00DF4F35" w:rsidRPr="000227BA">
              <w:rPr>
                <w:sz w:val="20"/>
                <w:szCs w:val="20"/>
              </w:rPr>
              <w:t xml:space="preserve"> Airlines (QLD) Pty Limited, and Qantas Defence Services Pty Limited</w:t>
            </w:r>
            <w:r w:rsidRPr="000227BA">
              <w:rPr>
                <w:sz w:val="20"/>
                <w:szCs w:val="20"/>
              </w:rPr>
              <w:t>.</w:t>
            </w:r>
          </w:p>
          <w:p w:rsidR="00DF4F35" w:rsidRPr="000227BA" w:rsidRDefault="00DF4F35" w:rsidP="00E73832">
            <w:pPr>
              <w:spacing w:before="60" w:after="60"/>
              <w:rPr>
                <w:sz w:val="20"/>
                <w:szCs w:val="20"/>
              </w:rPr>
            </w:pPr>
          </w:p>
          <w:p w:rsidR="00043D3D" w:rsidRPr="000227BA" w:rsidRDefault="00DF4F35" w:rsidP="009C4696">
            <w:pPr>
              <w:spacing w:before="60" w:after="60"/>
              <w:rPr>
                <w:sz w:val="20"/>
                <w:szCs w:val="20"/>
              </w:rPr>
            </w:pPr>
            <w:r w:rsidRPr="000227BA">
              <w:rPr>
                <w:sz w:val="20"/>
                <w:szCs w:val="20"/>
              </w:rPr>
              <w:t>Th</w:t>
            </w:r>
            <w:r w:rsidR="009C4696">
              <w:rPr>
                <w:sz w:val="20"/>
                <w:szCs w:val="20"/>
              </w:rPr>
              <w:t>e</w:t>
            </w:r>
            <w:bookmarkStart w:id="0" w:name="_GoBack"/>
            <w:bookmarkEnd w:id="0"/>
            <w:r w:rsidRPr="000227BA">
              <w:rPr>
                <w:sz w:val="20"/>
                <w:szCs w:val="20"/>
              </w:rPr>
              <w:t xml:space="preserve"> Ruling applies from 1 July 2015 to 30 June 2016.</w:t>
            </w:r>
          </w:p>
        </w:tc>
      </w:tr>
    </w:tbl>
    <w:p w:rsidR="00A028C1" w:rsidRPr="00A028C1" w:rsidRDefault="00A028C1" w:rsidP="00DF4F35">
      <w:pPr>
        <w:spacing w:after="60"/>
        <w:rPr>
          <w:sz w:val="16"/>
          <w:szCs w:val="16"/>
        </w:rPr>
      </w:pPr>
    </w:p>
    <w:sectPr w:rsidR="00A028C1" w:rsidRPr="00A028C1"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pPr>
      <w:r>
        <w:separator/>
      </w:r>
    </w:p>
  </w:endnote>
  <w:endnote w:type="continuationSeparator" w:id="0">
    <w:p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pPr>
      <w:r>
        <w:separator/>
      </w:r>
    </w:p>
  </w:footnote>
  <w:footnote w:type="continuationSeparator" w:id="0">
    <w:p w:rsidR="00114CB2" w:rsidRDefault="00114CB2" w:rsidP="003A70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9C4696" w:rsidP="008D0A06">
          <w:pPr>
            <w:spacing w:before="60" w:after="0" w:line="276" w:lineRule="auto"/>
            <w:ind w:left="-51"/>
            <w:rPr>
              <w:sz w:val="12"/>
            </w:rPr>
          </w:pPr>
          <w:r>
            <w:rPr>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75pt;height:41.25pt;visibility:visible">
                <v:imagedata r:id="rId1" o:title=""/>
              </v:shape>
            </w:pict>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cs="Arial"/>
              <w:b/>
              <w:spacing w:val="-2"/>
              <w:sz w:val="44"/>
              <w:szCs w:val="44"/>
            </w:rPr>
          </w:pPr>
          <w:r w:rsidRPr="005E7AE5">
            <w:rPr>
              <w:rFonts w:cs="Arial"/>
              <w:b/>
              <w:spacing w:val="-2"/>
              <w:sz w:val="44"/>
              <w:szCs w:val="44"/>
            </w:rPr>
            <w:t>Commonwealth</w:t>
          </w:r>
          <w:r w:rsidRPr="005E7AE5">
            <w:rPr>
              <w:rFonts w:cs="Arial"/>
              <w:b/>
              <w:spacing w:val="-2"/>
              <w:sz w:val="44"/>
              <w:szCs w:val="44"/>
            </w:rPr>
            <w:br/>
            <w:t xml:space="preserve">of </w:t>
          </w:r>
          <w:smartTag w:uri="urn:schemas-microsoft-com:office:smarttags" w:element="country-region">
            <w:smartTag w:uri="urn:schemas-microsoft-com:office:smarttags" w:element="place">
              <w:r w:rsidRPr="005E7AE5">
                <w:rPr>
                  <w:rFonts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cs="Arial"/>
              <w:b/>
              <w:sz w:val="100"/>
              <w:szCs w:val="100"/>
            </w:rPr>
          </w:pPr>
          <w:r w:rsidRPr="005E7AE5">
            <w:rPr>
              <w:rFonts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D0A06">
          <w:pPr>
            <w:spacing w:after="0" w:line="276" w:lineRule="auto"/>
            <w:ind w:left="-51"/>
            <w:rPr>
              <w:rFonts w:cs="Arial"/>
              <w:sz w:val="14"/>
              <w:szCs w:val="14"/>
            </w:rPr>
          </w:pPr>
          <w:r w:rsidRPr="005E7AE5">
            <w:rPr>
              <w:rFonts w:cs="Arial"/>
              <w:sz w:val="14"/>
              <w:szCs w:val="14"/>
            </w:rPr>
            <w:t xml:space="preserve">Published by the Commonwealth of </w:t>
          </w:r>
          <w:smartTag w:uri="urn:schemas-microsoft-com:office:smarttags" w:element="place">
            <w:smartTag w:uri="urn:schemas-microsoft-com:office:smarttags" w:element="country-region">
              <w:r w:rsidRPr="005E7AE5">
                <w:rPr>
                  <w:rFonts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D0A06">
          <w:pPr>
            <w:spacing w:after="0" w:line="276" w:lineRule="auto"/>
            <w:jc w:val="right"/>
            <w:rPr>
              <w:rFonts w:cs="Arial"/>
              <w:b/>
              <w:sz w:val="24"/>
              <w:szCs w:val="24"/>
            </w:rPr>
          </w:pPr>
          <w:r w:rsidRPr="005E7AE5">
            <w:rPr>
              <w:rFonts w:cs="Arial"/>
              <w:b/>
              <w:sz w:val="24"/>
              <w:szCs w:val="24"/>
            </w:rPr>
            <w:t>GOVERNMENT NOTICES</w:t>
          </w:r>
        </w:p>
      </w:tc>
    </w:tr>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204"/>
    <w:multiLevelType w:val="hybridMultilevel"/>
    <w:tmpl w:val="CC461704"/>
    <w:lvl w:ilvl="0" w:tplc="F8384114">
      <w:start w:val="1"/>
      <w:numFmt w:val="bullet"/>
      <w:lvlText w:val=""/>
      <w:lvlJc w:val="left"/>
      <w:pPr>
        <w:tabs>
          <w:tab w:val="num" w:pos="787"/>
        </w:tabs>
        <w:ind w:left="787" w:hanging="360"/>
      </w:pPr>
      <w:rPr>
        <w:rFonts w:ascii="Symbol" w:hAnsi="Symbol" w:hint="default"/>
        <w:color w:val="auto"/>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13F3173B"/>
    <w:multiLevelType w:val="hybridMultilevel"/>
    <w:tmpl w:val="E57EC2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5673B13"/>
    <w:multiLevelType w:val="singleLevel"/>
    <w:tmpl w:val="4EA0B89E"/>
    <w:lvl w:ilvl="0">
      <w:start w:val="1"/>
      <w:numFmt w:val="decimal"/>
      <w:lvlText w:val="%1."/>
      <w:lvlJc w:val="left"/>
      <w:pPr>
        <w:ind w:left="360" w:hanging="360"/>
      </w:pPr>
      <w:rPr>
        <w:i w:val="0"/>
      </w:rPr>
    </w:lvl>
  </w:abstractNum>
  <w:abstractNum w:abstractNumId="3">
    <w:nsid w:val="1FE602A0"/>
    <w:multiLevelType w:val="singleLevel"/>
    <w:tmpl w:val="D5EC54B6"/>
    <w:lvl w:ilvl="0">
      <w:start w:val="1"/>
      <w:numFmt w:val="decimal"/>
      <w:lvlText w:val="%1."/>
      <w:lvlJc w:val="left"/>
      <w:pPr>
        <w:tabs>
          <w:tab w:val="num" w:pos="360"/>
        </w:tabs>
        <w:ind w:left="360" w:hanging="360"/>
      </w:pPr>
      <w:rPr>
        <w:rFonts w:ascii="Arial" w:hAnsi="Arial" w:cs="Arial" w:hint="default"/>
        <w:color w:val="auto"/>
        <w:sz w:val="22"/>
        <w:szCs w:val="22"/>
      </w:rPr>
    </w:lvl>
  </w:abstractNum>
  <w:abstractNum w:abstractNumId="4">
    <w:nsid w:val="2F197E3E"/>
    <w:multiLevelType w:val="hybridMultilevel"/>
    <w:tmpl w:val="A93E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904915"/>
    <w:multiLevelType w:val="hybridMultilevel"/>
    <w:tmpl w:val="EACC2CFC"/>
    <w:lvl w:ilvl="0" w:tplc="8D1839E4">
      <w:start w:val="1"/>
      <w:numFmt w:val="lowerLetter"/>
      <w:lvlText w:val="(%1)"/>
      <w:lvlJc w:val="left"/>
      <w:pPr>
        <w:tabs>
          <w:tab w:val="num" w:pos="720"/>
        </w:tabs>
        <w:ind w:left="720" w:hanging="360"/>
      </w:pPr>
      <w:rPr>
        <w:rFonts w:hint="default"/>
        <w:color w:val="auto"/>
      </w:rPr>
    </w:lvl>
    <w:lvl w:ilvl="1" w:tplc="2C28709A">
      <w:start w:val="1"/>
      <w:numFmt w:val="lowerLetter"/>
      <w:lvlText w:val="(%2)"/>
      <w:lvlJc w:val="left"/>
      <w:pPr>
        <w:tabs>
          <w:tab w:val="num" w:pos="1800"/>
        </w:tabs>
        <w:ind w:left="1800" w:hanging="720"/>
      </w:pPr>
      <w:rPr>
        <w:rFonts w:hint="default"/>
        <w:color w:val="auto"/>
      </w:rPr>
    </w:lvl>
    <w:lvl w:ilvl="2" w:tplc="1DE2D55A" w:tentative="1">
      <w:start w:val="1"/>
      <w:numFmt w:val="bullet"/>
      <w:lvlText w:val=""/>
      <w:lvlJc w:val="left"/>
      <w:pPr>
        <w:tabs>
          <w:tab w:val="num" w:pos="2160"/>
        </w:tabs>
        <w:ind w:left="2160" w:hanging="360"/>
      </w:pPr>
      <w:rPr>
        <w:rFonts w:ascii="Wingdings" w:hAnsi="Wingdings" w:hint="default"/>
      </w:rPr>
    </w:lvl>
    <w:lvl w:ilvl="3" w:tplc="96EA166C" w:tentative="1">
      <w:start w:val="1"/>
      <w:numFmt w:val="bullet"/>
      <w:lvlText w:val=""/>
      <w:lvlJc w:val="left"/>
      <w:pPr>
        <w:tabs>
          <w:tab w:val="num" w:pos="2880"/>
        </w:tabs>
        <w:ind w:left="2880" w:hanging="360"/>
      </w:pPr>
      <w:rPr>
        <w:rFonts w:ascii="Symbol" w:hAnsi="Symbol" w:hint="default"/>
      </w:rPr>
    </w:lvl>
    <w:lvl w:ilvl="4" w:tplc="9586C7CC" w:tentative="1">
      <w:start w:val="1"/>
      <w:numFmt w:val="bullet"/>
      <w:lvlText w:val="o"/>
      <w:lvlJc w:val="left"/>
      <w:pPr>
        <w:tabs>
          <w:tab w:val="num" w:pos="3600"/>
        </w:tabs>
        <w:ind w:left="3600" w:hanging="360"/>
      </w:pPr>
      <w:rPr>
        <w:rFonts w:ascii="Courier New" w:hAnsi="Courier New" w:cs="Courier New" w:hint="default"/>
      </w:rPr>
    </w:lvl>
    <w:lvl w:ilvl="5" w:tplc="99609CF8" w:tentative="1">
      <w:start w:val="1"/>
      <w:numFmt w:val="bullet"/>
      <w:lvlText w:val=""/>
      <w:lvlJc w:val="left"/>
      <w:pPr>
        <w:tabs>
          <w:tab w:val="num" w:pos="4320"/>
        </w:tabs>
        <w:ind w:left="4320" w:hanging="360"/>
      </w:pPr>
      <w:rPr>
        <w:rFonts w:ascii="Wingdings" w:hAnsi="Wingdings" w:hint="default"/>
      </w:rPr>
    </w:lvl>
    <w:lvl w:ilvl="6" w:tplc="73A2B2D6" w:tentative="1">
      <w:start w:val="1"/>
      <w:numFmt w:val="bullet"/>
      <w:lvlText w:val=""/>
      <w:lvlJc w:val="left"/>
      <w:pPr>
        <w:tabs>
          <w:tab w:val="num" w:pos="5040"/>
        </w:tabs>
        <w:ind w:left="5040" w:hanging="360"/>
      </w:pPr>
      <w:rPr>
        <w:rFonts w:ascii="Symbol" w:hAnsi="Symbol" w:hint="default"/>
      </w:rPr>
    </w:lvl>
    <w:lvl w:ilvl="7" w:tplc="6058A22A" w:tentative="1">
      <w:start w:val="1"/>
      <w:numFmt w:val="bullet"/>
      <w:lvlText w:val="o"/>
      <w:lvlJc w:val="left"/>
      <w:pPr>
        <w:tabs>
          <w:tab w:val="num" w:pos="5760"/>
        </w:tabs>
        <w:ind w:left="5760" w:hanging="360"/>
      </w:pPr>
      <w:rPr>
        <w:rFonts w:ascii="Courier New" w:hAnsi="Courier New" w:cs="Courier New" w:hint="default"/>
      </w:rPr>
    </w:lvl>
    <w:lvl w:ilvl="8" w:tplc="C01C8374" w:tentative="1">
      <w:start w:val="1"/>
      <w:numFmt w:val="bullet"/>
      <w:lvlText w:val=""/>
      <w:lvlJc w:val="left"/>
      <w:pPr>
        <w:tabs>
          <w:tab w:val="num" w:pos="6480"/>
        </w:tabs>
        <w:ind w:left="6480" w:hanging="360"/>
      </w:pPr>
      <w:rPr>
        <w:rFonts w:ascii="Wingdings" w:hAnsi="Wingdings" w:hint="default"/>
      </w:rPr>
    </w:lvl>
  </w:abstractNum>
  <w:abstractNum w:abstractNumId="6">
    <w:nsid w:val="58300413"/>
    <w:multiLevelType w:val="hybridMultilevel"/>
    <w:tmpl w:val="9FC03B54"/>
    <w:lvl w:ilvl="0" w:tplc="87461508">
      <w:start w:val="1"/>
      <w:numFmt w:val="decimal"/>
      <w:lvlText w:val="%1."/>
      <w:lvlJc w:val="left"/>
      <w:pPr>
        <w:tabs>
          <w:tab w:val="num" w:pos="720"/>
        </w:tabs>
        <w:ind w:left="720" w:hanging="360"/>
      </w:pPr>
      <w:rPr>
        <w:rFonts w:ascii="Arial" w:hAnsi="Arial" w:cs="Arial" w:hint="default"/>
        <w:i w:val="0"/>
        <w:color w:val="auto"/>
        <w:sz w:val="22"/>
        <w:szCs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5A6108C8"/>
    <w:multiLevelType w:val="hybridMultilevel"/>
    <w:tmpl w:val="3FCE27DA"/>
    <w:lvl w:ilvl="0" w:tplc="707A8C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4D87E0D"/>
    <w:multiLevelType w:val="hybridMultilevel"/>
    <w:tmpl w:val="71240E12"/>
    <w:lvl w:ilvl="0" w:tplc="9792520A">
      <w:start w:val="1"/>
      <w:numFmt w:val="decimal"/>
      <w:lvlText w:val="%1."/>
      <w:lvlJc w:val="left"/>
      <w:pPr>
        <w:tabs>
          <w:tab w:val="num" w:pos="720"/>
        </w:tabs>
        <w:ind w:left="720" w:hanging="360"/>
      </w:pPr>
      <w:rPr>
        <w:rFonts w:ascii="Arial" w:hAnsi="Arial" w:cs="Arial" w:hint="default"/>
        <w:i w:val="0"/>
        <w:color w:val="auto"/>
        <w:sz w:val="22"/>
        <w:szCs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7FA2515F"/>
    <w:multiLevelType w:val="hybridMultilevel"/>
    <w:tmpl w:val="CCD459EE"/>
    <w:lvl w:ilvl="0" w:tplc="59DCAFDA">
      <w:start w:val="1"/>
      <w:numFmt w:val="decimal"/>
      <w:lvlText w:val="%1."/>
      <w:lvlJc w:val="left"/>
      <w:pPr>
        <w:tabs>
          <w:tab w:val="num" w:pos="720"/>
        </w:tabs>
        <w:ind w:left="720" w:hanging="360"/>
      </w:pPr>
      <w:rPr>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3"/>
  </w:num>
  <w:num w:numId="3">
    <w:abstractNumId w:val="9"/>
  </w:num>
  <w:num w:numId="4">
    <w:abstractNumId w:val="2"/>
  </w:num>
  <w:num w:numId="5">
    <w:abstractNumId w:val="1"/>
  </w:num>
  <w:num w:numId="6">
    <w:abstractNumId w:val="0"/>
  </w:num>
  <w:num w:numId="7">
    <w:abstractNumId w:val="5"/>
  </w:num>
  <w:num w:numId="8">
    <w:abstractNumId w:val="7"/>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88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07360"/>
    <w:rsid w:val="000227BA"/>
    <w:rsid w:val="00043D3D"/>
    <w:rsid w:val="00047890"/>
    <w:rsid w:val="000E1F2B"/>
    <w:rsid w:val="00114CB2"/>
    <w:rsid w:val="00141674"/>
    <w:rsid w:val="00146995"/>
    <w:rsid w:val="00173F35"/>
    <w:rsid w:val="001A2785"/>
    <w:rsid w:val="001C2AAD"/>
    <w:rsid w:val="001F6E54"/>
    <w:rsid w:val="00237961"/>
    <w:rsid w:val="0025277E"/>
    <w:rsid w:val="00280BCD"/>
    <w:rsid w:val="002C5371"/>
    <w:rsid w:val="002F3FFB"/>
    <w:rsid w:val="00316A60"/>
    <w:rsid w:val="00361157"/>
    <w:rsid w:val="003A707F"/>
    <w:rsid w:val="003B0EC1"/>
    <w:rsid w:val="003B573B"/>
    <w:rsid w:val="003E4D81"/>
    <w:rsid w:val="003F2CBD"/>
    <w:rsid w:val="003F4C7F"/>
    <w:rsid w:val="00424B97"/>
    <w:rsid w:val="004B2753"/>
    <w:rsid w:val="004C3BE1"/>
    <w:rsid w:val="004C5A5D"/>
    <w:rsid w:val="00520873"/>
    <w:rsid w:val="005311CC"/>
    <w:rsid w:val="00551C21"/>
    <w:rsid w:val="0056017C"/>
    <w:rsid w:val="00573D44"/>
    <w:rsid w:val="005D5C9C"/>
    <w:rsid w:val="005E7AE5"/>
    <w:rsid w:val="00657BFA"/>
    <w:rsid w:val="006B38CC"/>
    <w:rsid w:val="006C6E8B"/>
    <w:rsid w:val="006C7CF3"/>
    <w:rsid w:val="006E2B54"/>
    <w:rsid w:val="00731468"/>
    <w:rsid w:val="0074351D"/>
    <w:rsid w:val="00761291"/>
    <w:rsid w:val="00773255"/>
    <w:rsid w:val="007C490F"/>
    <w:rsid w:val="007E2CA6"/>
    <w:rsid w:val="00840A06"/>
    <w:rsid w:val="008439B7"/>
    <w:rsid w:val="00851F51"/>
    <w:rsid w:val="0087253F"/>
    <w:rsid w:val="008A2888"/>
    <w:rsid w:val="008A7748"/>
    <w:rsid w:val="008D0A06"/>
    <w:rsid w:val="008D17C9"/>
    <w:rsid w:val="008E3906"/>
    <w:rsid w:val="008E4F6C"/>
    <w:rsid w:val="00902E10"/>
    <w:rsid w:val="00902F9C"/>
    <w:rsid w:val="0091252B"/>
    <w:rsid w:val="0094219E"/>
    <w:rsid w:val="00943B8D"/>
    <w:rsid w:val="00946FBB"/>
    <w:rsid w:val="009539C7"/>
    <w:rsid w:val="0095650D"/>
    <w:rsid w:val="00980947"/>
    <w:rsid w:val="0099006A"/>
    <w:rsid w:val="009B2143"/>
    <w:rsid w:val="009C4696"/>
    <w:rsid w:val="009D5454"/>
    <w:rsid w:val="009F2727"/>
    <w:rsid w:val="00A00F21"/>
    <w:rsid w:val="00A028C1"/>
    <w:rsid w:val="00A221AF"/>
    <w:rsid w:val="00A31590"/>
    <w:rsid w:val="00A37885"/>
    <w:rsid w:val="00A41F5C"/>
    <w:rsid w:val="00A43BBC"/>
    <w:rsid w:val="00A60CE8"/>
    <w:rsid w:val="00A83BCC"/>
    <w:rsid w:val="00AA1768"/>
    <w:rsid w:val="00AD0943"/>
    <w:rsid w:val="00B04E06"/>
    <w:rsid w:val="00B3534C"/>
    <w:rsid w:val="00B4706B"/>
    <w:rsid w:val="00B84226"/>
    <w:rsid w:val="00BF0D5E"/>
    <w:rsid w:val="00C00AE8"/>
    <w:rsid w:val="00C303C9"/>
    <w:rsid w:val="00C51D3C"/>
    <w:rsid w:val="00C63C4E"/>
    <w:rsid w:val="00C67102"/>
    <w:rsid w:val="00C94DF2"/>
    <w:rsid w:val="00C95A53"/>
    <w:rsid w:val="00CA0247"/>
    <w:rsid w:val="00CA4A3A"/>
    <w:rsid w:val="00CB0020"/>
    <w:rsid w:val="00D00905"/>
    <w:rsid w:val="00D12A6A"/>
    <w:rsid w:val="00D56C08"/>
    <w:rsid w:val="00D77A88"/>
    <w:rsid w:val="00D916F8"/>
    <w:rsid w:val="00DF4F35"/>
    <w:rsid w:val="00E416F4"/>
    <w:rsid w:val="00E6027D"/>
    <w:rsid w:val="00E657EB"/>
    <w:rsid w:val="00E73832"/>
    <w:rsid w:val="00E74810"/>
    <w:rsid w:val="00E7522C"/>
    <w:rsid w:val="00E823AE"/>
    <w:rsid w:val="00EB39B7"/>
    <w:rsid w:val="00EB3C1D"/>
    <w:rsid w:val="00ED2E52"/>
    <w:rsid w:val="00ED5497"/>
    <w:rsid w:val="00EF1E30"/>
    <w:rsid w:val="00EF3643"/>
    <w:rsid w:val="00F2271A"/>
    <w:rsid w:val="00F40885"/>
    <w:rsid w:val="00F44FF5"/>
    <w:rsid w:val="00F5108C"/>
    <w:rsid w:val="00F658E1"/>
    <w:rsid w:val="00F7011A"/>
    <w:rsid w:val="00F70FCD"/>
    <w:rsid w:val="00FC16F4"/>
    <w:rsid w:val="00FF0119"/>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88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006A"/>
    <w:pPr>
      <w:spacing w:after="120"/>
    </w:pPr>
    <w:rPr>
      <w:rFonts w:ascii="Arial" w:hAnsi="Arial"/>
      <w:lang w:eastAsia="en-US"/>
    </w:rPr>
  </w:style>
  <w:style w:type="paragraph" w:styleId="Heading2">
    <w:name w:val="heading 2"/>
    <w:basedOn w:val="Normal"/>
    <w:next w:val="Normal"/>
    <w:link w:val="Heading2Char"/>
    <w:uiPriority w:val="9"/>
    <w:qFormat/>
    <w:locked/>
    <w:rsid w:val="00F7011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customStyle="1" w:styleId="RulingTitle">
    <w:name w:val="Ruling Title"/>
    <w:basedOn w:val="Normal"/>
    <w:rsid w:val="00761291"/>
    <w:pPr>
      <w:ind w:left="1843" w:hanging="1843"/>
    </w:pPr>
    <w:rPr>
      <w:rFonts w:eastAsia="Times New Roman" w:cs="Arial"/>
      <w:lang w:eastAsia="en-AU"/>
    </w:rPr>
  </w:style>
  <w:style w:type="paragraph" w:customStyle="1" w:styleId="PreviousRelease">
    <w:name w:val="Previous Release"/>
    <w:basedOn w:val="Normal"/>
    <w:rsid w:val="00761291"/>
    <w:pPr>
      <w:ind w:left="1843"/>
    </w:pPr>
    <w:rPr>
      <w:rFonts w:eastAsia="Arial" w:cs="Arial"/>
      <w:b/>
      <w:bCs/>
      <w:lang w:eastAsia="en-AU"/>
    </w:rPr>
  </w:style>
  <w:style w:type="table" w:styleId="TableGrid">
    <w:name w:val="Table Grid"/>
    <w:basedOn w:val="TableNormal"/>
    <w:locked/>
    <w:rsid w:val="0076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ingType">
    <w:name w:val="Ruling Type"/>
    <w:basedOn w:val="Normal"/>
    <w:rsid w:val="00EB39B7"/>
    <w:rPr>
      <w:rFonts w:eastAsia="Arial" w:cs="Arial"/>
      <w:b/>
      <w:bCs/>
      <w:u w:val="single"/>
      <w:lang w:eastAsia="en-AU"/>
    </w:rPr>
  </w:style>
  <w:style w:type="paragraph" w:styleId="FootnoteText">
    <w:name w:val="footnote text"/>
    <w:basedOn w:val="Normal"/>
    <w:link w:val="FootnoteTextChar"/>
    <w:uiPriority w:val="99"/>
    <w:rsid w:val="00EB39B7"/>
    <w:rPr>
      <w:rFonts w:eastAsia="Times New Roman" w:cs="Arial"/>
      <w:sz w:val="20"/>
      <w:lang w:eastAsia="en-AU"/>
    </w:rPr>
  </w:style>
  <w:style w:type="character" w:customStyle="1" w:styleId="FootnoteTextChar">
    <w:name w:val="Footnote Text Char"/>
    <w:basedOn w:val="DefaultParagraphFont"/>
    <w:link w:val="FootnoteText"/>
    <w:uiPriority w:val="99"/>
    <w:rsid w:val="00EB39B7"/>
    <w:rPr>
      <w:rFonts w:ascii="Arial" w:eastAsia="Times New Roman" w:hAnsi="Arial" w:cs="Arial"/>
      <w:sz w:val="20"/>
    </w:rPr>
  </w:style>
  <w:style w:type="character" w:styleId="FootnoteReference">
    <w:name w:val="footnote reference"/>
    <w:uiPriority w:val="99"/>
    <w:rsid w:val="00EB39B7"/>
    <w:rPr>
      <w:vertAlign w:val="superscript"/>
    </w:rPr>
  </w:style>
  <w:style w:type="paragraph" w:customStyle="1" w:styleId="CharCharCharCharCharCharChar">
    <w:name w:val="Char Char Char Char Char Char Char"/>
    <w:basedOn w:val="Normal"/>
    <w:rsid w:val="0099006A"/>
    <w:pPr>
      <w:spacing w:after="160" w:line="240" w:lineRule="exact"/>
    </w:pPr>
    <w:rPr>
      <w:rFonts w:ascii="Verdana" w:eastAsia="Times New Roman" w:hAnsi="Verdana" w:cs="Arial"/>
      <w:sz w:val="20"/>
      <w:szCs w:val="24"/>
      <w:lang w:val="en-US"/>
    </w:rPr>
  </w:style>
  <w:style w:type="paragraph" w:styleId="ListParagraph">
    <w:name w:val="List Paragraph"/>
    <w:basedOn w:val="Normal"/>
    <w:uiPriority w:val="34"/>
    <w:qFormat/>
    <w:rsid w:val="00F7011A"/>
    <w:pPr>
      <w:spacing w:after="200" w:line="276" w:lineRule="auto"/>
      <w:ind w:left="720"/>
      <w:contextualSpacing/>
    </w:pPr>
    <w:rPr>
      <w:rFonts w:ascii="Calibri" w:hAnsi="Calibri"/>
    </w:rPr>
  </w:style>
  <w:style w:type="character" w:customStyle="1" w:styleId="Heading2Char">
    <w:name w:val="Heading 2 Char"/>
    <w:basedOn w:val="DefaultParagraphFont"/>
    <w:link w:val="Heading2"/>
    <w:uiPriority w:val="9"/>
    <w:rsid w:val="00F7011A"/>
    <w:rPr>
      <w:rFonts w:asciiTheme="majorHAnsi" w:eastAsiaTheme="majorEastAsia" w:hAnsiTheme="majorHAnsi" w:cstheme="majorBidi"/>
      <w:b/>
      <w:bCs/>
      <w:i/>
      <w:iCs/>
      <w:sz w:val="28"/>
      <w:szCs w:val="28"/>
      <w:lang w:eastAsia="en-US"/>
    </w:rPr>
  </w:style>
  <w:style w:type="paragraph" w:customStyle="1" w:styleId="CharCharCharCharCharCharChar0">
    <w:name w:val="Char Char Char Char Char Char Char"/>
    <w:basedOn w:val="Normal"/>
    <w:rsid w:val="00731468"/>
    <w:pPr>
      <w:spacing w:after="160" w:line="240" w:lineRule="exact"/>
    </w:pPr>
    <w:rPr>
      <w:rFonts w:ascii="Verdana" w:eastAsia="Times New Roman" w:hAnsi="Verdana"/>
      <w:sz w:val="20"/>
      <w:szCs w:val="24"/>
      <w:lang w:val="en-US"/>
    </w:rPr>
  </w:style>
  <w:style w:type="character" w:styleId="CommentReference">
    <w:name w:val="annotation reference"/>
    <w:rsid w:val="00043D3D"/>
    <w:rPr>
      <w:sz w:val="16"/>
      <w:szCs w:val="16"/>
    </w:rPr>
  </w:style>
  <w:style w:type="paragraph" w:styleId="CommentText">
    <w:name w:val="annotation text"/>
    <w:basedOn w:val="Normal"/>
    <w:link w:val="CommentTextChar"/>
    <w:rsid w:val="00043D3D"/>
    <w:rPr>
      <w:rFonts w:eastAsia="Times New Roman" w:cs="Arial"/>
      <w:sz w:val="20"/>
      <w:lang w:eastAsia="en-AU"/>
    </w:rPr>
  </w:style>
  <w:style w:type="character" w:customStyle="1" w:styleId="CommentTextChar">
    <w:name w:val="Comment Text Char"/>
    <w:basedOn w:val="DefaultParagraphFont"/>
    <w:link w:val="CommentText"/>
    <w:rsid w:val="00043D3D"/>
    <w:rPr>
      <w:rFonts w:ascii="Arial" w:eastAsia="Times New Roman" w:hAnsi="Arial" w:cs="Arial"/>
      <w:sz w:val="20"/>
    </w:rPr>
  </w:style>
  <w:style w:type="paragraph" w:styleId="Revision">
    <w:name w:val="Revision"/>
    <w:hidden/>
    <w:uiPriority w:val="99"/>
    <w:semiHidden/>
    <w:rsid w:val="00A028C1"/>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aw.ato.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EE46-6F85-44F8-9811-75F118CE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Theresa Glover</cp:lastModifiedBy>
  <cp:revision>76</cp:revision>
  <cp:lastPrinted>2015-11-05T23:23:00Z</cp:lastPrinted>
  <dcterms:created xsi:type="dcterms:W3CDTF">2013-09-12T22:07:00Z</dcterms:created>
  <dcterms:modified xsi:type="dcterms:W3CDTF">2016-02-04T21:57:00Z</dcterms:modified>
</cp:coreProperties>
</file>