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E7D" w:rsidRDefault="007B616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fillcolor="window">
            <v:imagedata r:id="rId8" o:title=""/>
          </v:shape>
        </w:pict>
      </w:r>
    </w:p>
    <w:p w:rsidR="00D44E7D" w:rsidRDefault="00D44E7D"/>
    <w:p w:rsidR="00D44E7D" w:rsidRDefault="00D44E7D" w:rsidP="00D44E7D">
      <w:pPr>
        <w:spacing w:line="240" w:lineRule="auto"/>
      </w:pPr>
    </w:p>
    <w:p w:rsidR="00D44E7D" w:rsidRDefault="00D44E7D" w:rsidP="00D44E7D"/>
    <w:p w:rsidR="00D44E7D" w:rsidRDefault="00D44E7D" w:rsidP="00D44E7D"/>
    <w:p w:rsidR="00D44E7D" w:rsidRDefault="00D44E7D" w:rsidP="00D44E7D"/>
    <w:p w:rsidR="00D44E7D" w:rsidRDefault="00D44E7D" w:rsidP="00D44E7D"/>
    <w:p w:rsidR="0048364F" w:rsidRPr="00383870" w:rsidRDefault="009621B1" w:rsidP="0048364F">
      <w:pPr>
        <w:pStyle w:val="ShortT"/>
      </w:pPr>
      <w:r w:rsidRPr="00383870">
        <w:t>Tax Laws Amendment (</w:t>
      </w:r>
      <w:r w:rsidR="00AF3799" w:rsidRPr="00383870">
        <w:t xml:space="preserve">Implementation of the </w:t>
      </w:r>
      <w:r w:rsidRPr="00383870">
        <w:t xml:space="preserve">Common </w:t>
      </w:r>
      <w:r w:rsidR="001C72F3">
        <w:t xml:space="preserve">Reporting Standard) </w:t>
      </w:r>
      <w:r w:rsidR="00D44E7D">
        <w:t>Act</w:t>
      </w:r>
      <w:r w:rsidR="001C72F3">
        <w:t xml:space="preserve"> </w:t>
      </w:r>
      <w:bookmarkStart w:id="0" w:name="_GoBack"/>
      <w:bookmarkEnd w:id="0"/>
      <w:r w:rsidR="001C72F3">
        <w:t>2016</w:t>
      </w:r>
    </w:p>
    <w:p w:rsidR="0048364F" w:rsidRPr="00383870" w:rsidRDefault="0048364F" w:rsidP="0048364F"/>
    <w:p w:rsidR="0048364F" w:rsidRPr="00383870" w:rsidRDefault="00C164CA" w:rsidP="00D44E7D">
      <w:pPr>
        <w:pStyle w:val="Actno"/>
        <w:spacing w:before="400"/>
      </w:pPr>
      <w:r w:rsidRPr="00383870">
        <w:t>No.</w:t>
      </w:r>
      <w:r w:rsidR="00C278DA">
        <w:t xml:space="preserve"> 23</w:t>
      </w:r>
      <w:r w:rsidRPr="00383870">
        <w:t>, 201</w:t>
      </w:r>
      <w:r w:rsidR="001C72F3">
        <w:t>6</w:t>
      </w:r>
    </w:p>
    <w:p w:rsidR="0048364F" w:rsidRPr="00383870" w:rsidRDefault="0048364F" w:rsidP="0048364F"/>
    <w:p w:rsidR="00D44E7D" w:rsidRDefault="00D44E7D" w:rsidP="00D44E7D"/>
    <w:p w:rsidR="00D44E7D" w:rsidRDefault="00D44E7D" w:rsidP="00D44E7D"/>
    <w:p w:rsidR="00D44E7D" w:rsidRDefault="00D44E7D" w:rsidP="00D44E7D"/>
    <w:p w:rsidR="00D44E7D" w:rsidRDefault="00D44E7D" w:rsidP="00D44E7D"/>
    <w:p w:rsidR="0048364F" w:rsidRPr="00383870" w:rsidRDefault="00D44E7D" w:rsidP="0048364F">
      <w:pPr>
        <w:pStyle w:val="LongT"/>
      </w:pPr>
      <w:r>
        <w:t>An Act</w:t>
      </w:r>
      <w:r w:rsidR="0048364F" w:rsidRPr="00383870">
        <w:t xml:space="preserve"> to </w:t>
      </w:r>
      <w:r w:rsidR="00AF3799" w:rsidRPr="00383870">
        <w:t>implement the Common Reporting Standard</w:t>
      </w:r>
      <w:r w:rsidR="0048364F" w:rsidRPr="00383870">
        <w:t>, and for related purposes</w:t>
      </w:r>
    </w:p>
    <w:p w:rsidR="0048364F" w:rsidRPr="00383870" w:rsidRDefault="0048364F" w:rsidP="0048364F">
      <w:pPr>
        <w:pStyle w:val="Header"/>
        <w:tabs>
          <w:tab w:val="clear" w:pos="4150"/>
          <w:tab w:val="clear" w:pos="8307"/>
        </w:tabs>
      </w:pPr>
      <w:r w:rsidRPr="00383870">
        <w:rPr>
          <w:rStyle w:val="CharAmSchNo"/>
        </w:rPr>
        <w:t xml:space="preserve"> </w:t>
      </w:r>
      <w:r w:rsidRPr="00383870">
        <w:rPr>
          <w:rStyle w:val="CharAmSchText"/>
        </w:rPr>
        <w:t xml:space="preserve"> </w:t>
      </w:r>
    </w:p>
    <w:p w:rsidR="0048364F" w:rsidRPr="00383870" w:rsidRDefault="0048364F" w:rsidP="0048364F">
      <w:pPr>
        <w:pStyle w:val="Header"/>
        <w:tabs>
          <w:tab w:val="clear" w:pos="4150"/>
          <w:tab w:val="clear" w:pos="8307"/>
        </w:tabs>
      </w:pPr>
      <w:r w:rsidRPr="00383870">
        <w:rPr>
          <w:rStyle w:val="CharAmPartNo"/>
        </w:rPr>
        <w:t xml:space="preserve"> </w:t>
      </w:r>
      <w:r w:rsidRPr="00383870">
        <w:rPr>
          <w:rStyle w:val="CharAmPartText"/>
        </w:rPr>
        <w:t xml:space="preserve"> </w:t>
      </w:r>
    </w:p>
    <w:p w:rsidR="0048364F" w:rsidRPr="00383870" w:rsidRDefault="0048364F" w:rsidP="0048364F">
      <w:pPr>
        <w:sectPr w:rsidR="0048364F" w:rsidRPr="00383870" w:rsidSect="00D44E7D">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383870" w:rsidRDefault="0048364F" w:rsidP="008924D8">
      <w:pPr>
        <w:rPr>
          <w:sz w:val="36"/>
        </w:rPr>
      </w:pPr>
      <w:r w:rsidRPr="00383870">
        <w:rPr>
          <w:sz w:val="36"/>
        </w:rPr>
        <w:lastRenderedPageBreak/>
        <w:t>Contents</w:t>
      </w:r>
    </w:p>
    <w:bookmarkStart w:id="1" w:name="BKCheck15B_1"/>
    <w:bookmarkEnd w:id="1"/>
    <w:p w:rsidR="005E4869" w:rsidRDefault="005E4869" w:rsidP="005E4869">
      <w:pPr>
        <w:pStyle w:val="TOC5"/>
        <w:ind w:left="2098" w:hanging="680"/>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E4869">
        <w:rPr>
          <w:noProof/>
        </w:rPr>
        <w:tab/>
      </w:r>
      <w:r w:rsidRPr="005E4869">
        <w:rPr>
          <w:noProof/>
        </w:rPr>
        <w:fldChar w:fldCharType="begin"/>
      </w:r>
      <w:r w:rsidRPr="005E4869">
        <w:rPr>
          <w:noProof/>
        </w:rPr>
        <w:instrText xml:space="preserve"> PAGEREF _Toc446416442 \h </w:instrText>
      </w:r>
      <w:r w:rsidRPr="005E4869">
        <w:rPr>
          <w:noProof/>
        </w:rPr>
      </w:r>
      <w:r w:rsidRPr="005E4869">
        <w:rPr>
          <w:noProof/>
        </w:rPr>
        <w:fldChar w:fldCharType="separate"/>
      </w:r>
      <w:r w:rsidR="007B616A">
        <w:rPr>
          <w:noProof/>
        </w:rPr>
        <w:t>1</w:t>
      </w:r>
      <w:r w:rsidRPr="005E4869">
        <w:rPr>
          <w:noProof/>
        </w:rPr>
        <w:fldChar w:fldCharType="end"/>
      </w:r>
    </w:p>
    <w:p w:rsidR="005E4869" w:rsidRDefault="005E4869" w:rsidP="005E4869">
      <w:pPr>
        <w:pStyle w:val="TOC5"/>
        <w:ind w:left="2098" w:hanging="680"/>
        <w:rPr>
          <w:rFonts w:asciiTheme="minorHAnsi" w:eastAsiaTheme="minorEastAsia" w:hAnsiTheme="minorHAnsi" w:cstheme="minorBidi"/>
          <w:noProof/>
          <w:kern w:val="0"/>
          <w:sz w:val="22"/>
          <w:szCs w:val="22"/>
        </w:rPr>
      </w:pPr>
      <w:r>
        <w:rPr>
          <w:noProof/>
        </w:rPr>
        <w:t>2</w:t>
      </w:r>
      <w:r>
        <w:rPr>
          <w:noProof/>
        </w:rPr>
        <w:tab/>
        <w:t>Commencement</w:t>
      </w:r>
      <w:r w:rsidRPr="005E4869">
        <w:rPr>
          <w:noProof/>
        </w:rPr>
        <w:tab/>
      </w:r>
      <w:r w:rsidRPr="005E4869">
        <w:rPr>
          <w:noProof/>
        </w:rPr>
        <w:fldChar w:fldCharType="begin"/>
      </w:r>
      <w:r w:rsidRPr="005E4869">
        <w:rPr>
          <w:noProof/>
        </w:rPr>
        <w:instrText xml:space="preserve"> PAGEREF _Toc446416443 \h </w:instrText>
      </w:r>
      <w:r w:rsidRPr="005E4869">
        <w:rPr>
          <w:noProof/>
        </w:rPr>
      </w:r>
      <w:r w:rsidRPr="005E4869">
        <w:rPr>
          <w:noProof/>
        </w:rPr>
        <w:fldChar w:fldCharType="separate"/>
      </w:r>
      <w:r w:rsidR="007B616A">
        <w:rPr>
          <w:noProof/>
        </w:rPr>
        <w:t>2</w:t>
      </w:r>
      <w:r w:rsidRPr="005E4869">
        <w:rPr>
          <w:noProof/>
        </w:rPr>
        <w:fldChar w:fldCharType="end"/>
      </w:r>
    </w:p>
    <w:p w:rsidR="005E4869" w:rsidRDefault="005E4869" w:rsidP="005E4869">
      <w:pPr>
        <w:pStyle w:val="TOC5"/>
        <w:ind w:left="2098" w:hanging="680"/>
        <w:rPr>
          <w:rFonts w:asciiTheme="minorHAnsi" w:eastAsiaTheme="minorEastAsia" w:hAnsiTheme="minorHAnsi" w:cstheme="minorBidi"/>
          <w:noProof/>
          <w:kern w:val="0"/>
          <w:sz w:val="22"/>
          <w:szCs w:val="22"/>
        </w:rPr>
      </w:pPr>
      <w:r>
        <w:rPr>
          <w:noProof/>
        </w:rPr>
        <w:t>3</w:t>
      </w:r>
      <w:r>
        <w:rPr>
          <w:noProof/>
        </w:rPr>
        <w:tab/>
        <w:t>Schedules</w:t>
      </w:r>
      <w:r w:rsidRPr="005E4869">
        <w:rPr>
          <w:noProof/>
        </w:rPr>
        <w:tab/>
      </w:r>
      <w:r w:rsidRPr="005E4869">
        <w:rPr>
          <w:noProof/>
        </w:rPr>
        <w:fldChar w:fldCharType="begin"/>
      </w:r>
      <w:r w:rsidRPr="005E4869">
        <w:rPr>
          <w:noProof/>
        </w:rPr>
        <w:instrText xml:space="preserve"> PAGEREF _Toc446416444 \h </w:instrText>
      </w:r>
      <w:r w:rsidRPr="005E4869">
        <w:rPr>
          <w:noProof/>
        </w:rPr>
      </w:r>
      <w:r w:rsidRPr="005E4869">
        <w:rPr>
          <w:noProof/>
        </w:rPr>
        <w:fldChar w:fldCharType="separate"/>
      </w:r>
      <w:r w:rsidR="007B616A">
        <w:rPr>
          <w:noProof/>
        </w:rPr>
        <w:t>3</w:t>
      </w:r>
      <w:r w:rsidRPr="005E4869">
        <w:rPr>
          <w:noProof/>
        </w:rPr>
        <w:fldChar w:fldCharType="end"/>
      </w:r>
    </w:p>
    <w:p w:rsidR="005E4869" w:rsidRDefault="005E4869">
      <w:pPr>
        <w:pStyle w:val="TOC6"/>
        <w:rPr>
          <w:rFonts w:asciiTheme="minorHAnsi" w:eastAsiaTheme="minorEastAsia" w:hAnsiTheme="minorHAnsi" w:cstheme="minorBidi"/>
          <w:b w:val="0"/>
          <w:noProof/>
          <w:kern w:val="0"/>
          <w:sz w:val="22"/>
          <w:szCs w:val="22"/>
        </w:rPr>
      </w:pPr>
      <w:r>
        <w:rPr>
          <w:noProof/>
        </w:rPr>
        <w:t>Schedule 1—Common Reporting Standard</w:t>
      </w:r>
      <w:r w:rsidRPr="005E4869">
        <w:rPr>
          <w:b w:val="0"/>
          <w:noProof/>
          <w:sz w:val="18"/>
        </w:rPr>
        <w:tab/>
      </w:r>
      <w:r w:rsidRPr="005E4869">
        <w:rPr>
          <w:b w:val="0"/>
          <w:noProof/>
          <w:sz w:val="18"/>
        </w:rPr>
        <w:fldChar w:fldCharType="begin"/>
      </w:r>
      <w:r w:rsidRPr="005E4869">
        <w:rPr>
          <w:b w:val="0"/>
          <w:noProof/>
          <w:sz w:val="18"/>
        </w:rPr>
        <w:instrText xml:space="preserve"> PAGEREF _Toc446416445 \h </w:instrText>
      </w:r>
      <w:r w:rsidRPr="005E4869">
        <w:rPr>
          <w:b w:val="0"/>
          <w:noProof/>
          <w:sz w:val="18"/>
        </w:rPr>
      </w:r>
      <w:r w:rsidRPr="005E4869">
        <w:rPr>
          <w:b w:val="0"/>
          <w:noProof/>
          <w:sz w:val="18"/>
        </w:rPr>
        <w:fldChar w:fldCharType="separate"/>
      </w:r>
      <w:r w:rsidR="007B616A">
        <w:rPr>
          <w:b w:val="0"/>
          <w:noProof/>
          <w:sz w:val="18"/>
        </w:rPr>
        <w:t>4</w:t>
      </w:r>
      <w:r w:rsidRPr="005E4869">
        <w:rPr>
          <w:b w:val="0"/>
          <w:noProof/>
          <w:sz w:val="18"/>
        </w:rPr>
        <w:fldChar w:fldCharType="end"/>
      </w:r>
    </w:p>
    <w:p w:rsidR="005E4869" w:rsidRDefault="005E4869">
      <w:pPr>
        <w:pStyle w:val="TOC7"/>
        <w:rPr>
          <w:rFonts w:asciiTheme="minorHAnsi" w:eastAsiaTheme="minorEastAsia" w:hAnsiTheme="minorHAnsi" w:cstheme="minorBidi"/>
          <w:noProof/>
          <w:kern w:val="0"/>
          <w:sz w:val="22"/>
          <w:szCs w:val="22"/>
        </w:rPr>
      </w:pPr>
      <w:r>
        <w:rPr>
          <w:noProof/>
        </w:rPr>
        <w:t>Part 1—Main amendments</w:t>
      </w:r>
      <w:r w:rsidRPr="005E4869">
        <w:rPr>
          <w:noProof/>
          <w:sz w:val="18"/>
        </w:rPr>
        <w:tab/>
      </w:r>
      <w:r w:rsidRPr="005E4869">
        <w:rPr>
          <w:noProof/>
          <w:sz w:val="18"/>
        </w:rPr>
        <w:fldChar w:fldCharType="begin"/>
      </w:r>
      <w:r w:rsidRPr="005E4869">
        <w:rPr>
          <w:noProof/>
          <w:sz w:val="18"/>
        </w:rPr>
        <w:instrText xml:space="preserve"> PAGEREF _Toc446416446 \h </w:instrText>
      </w:r>
      <w:r w:rsidRPr="005E4869">
        <w:rPr>
          <w:noProof/>
          <w:sz w:val="18"/>
        </w:rPr>
      </w:r>
      <w:r w:rsidRPr="005E4869">
        <w:rPr>
          <w:noProof/>
          <w:sz w:val="18"/>
        </w:rPr>
        <w:fldChar w:fldCharType="separate"/>
      </w:r>
      <w:r w:rsidR="007B616A">
        <w:rPr>
          <w:noProof/>
          <w:sz w:val="18"/>
        </w:rPr>
        <w:t>4</w:t>
      </w:r>
      <w:r w:rsidRPr="005E4869">
        <w:rPr>
          <w:noProof/>
          <w:sz w:val="18"/>
        </w:rPr>
        <w:fldChar w:fldCharType="end"/>
      </w:r>
    </w:p>
    <w:p w:rsidR="005E4869" w:rsidRDefault="005E4869">
      <w:pPr>
        <w:pStyle w:val="TOC9"/>
        <w:rPr>
          <w:rFonts w:asciiTheme="minorHAnsi" w:eastAsiaTheme="minorEastAsia" w:hAnsiTheme="minorHAnsi" w:cstheme="minorBidi"/>
          <w:i w:val="0"/>
          <w:noProof/>
          <w:kern w:val="0"/>
          <w:sz w:val="22"/>
          <w:szCs w:val="22"/>
        </w:rPr>
      </w:pPr>
      <w:r>
        <w:rPr>
          <w:noProof/>
        </w:rPr>
        <w:t>Income Tax Assessment Act 1997</w:t>
      </w:r>
      <w:r w:rsidRPr="005E4869">
        <w:rPr>
          <w:i w:val="0"/>
          <w:noProof/>
          <w:sz w:val="18"/>
        </w:rPr>
        <w:tab/>
      </w:r>
      <w:r w:rsidRPr="005E4869">
        <w:rPr>
          <w:i w:val="0"/>
          <w:noProof/>
          <w:sz w:val="18"/>
        </w:rPr>
        <w:fldChar w:fldCharType="begin"/>
      </w:r>
      <w:r w:rsidRPr="005E4869">
        <w:rPr>
          <w:i w:val="0"/>
          <w:noProof/>
          <w:sz w:val="18"/>
        </w:rPr>
        <w:instrText xml:space="preserve"> PAGEREF _Toc446416447 \h </w:instrText>
      </w:r>
      <w:r w:rsidRPr="005E4869">
        <w:rPr>
          <w:i w:val="0"/>
          <w:noProof/>
          <w:sz w:val="18"/>
        </w:rPr>
      </w:r>
      <w:r w:rsidRPr="005E4869">
        <w:rPr>
          <w:i w:val="0"/>
          <w:noProof/>
          <w:sz w:val="18"/>
        </w:rPr>
        <w:fldChar w:fldCharType="separate"/>
      </w:r>
      <w:r w:rsidR="007B616A">
        <w:rPr>
          <w:i w:val="0"/>
          <w:noProof/>
          <w:sz w:val="18"/>
        </w:rPr>
        <w:t>4</w:t>
      </w:r>
      <w:r w:rsidRPr="005E4869">
        <w:rPr>
          <w:i w:val="0"/>
          <w:noProof/>
          <w:sz w:val="18"/>
        </w:rPr>
        <w:fldChar w:fldCharType="end"/>
      </w:r>
    </w:p>
    <w:p w:rsidR="005E4869" w:rsidRDefault="005E4869">
      <w:pPr>
        <w:pStyle w:val="TOC9"/>
        <w:rPr>
          <w:rFonts w:asciiTheme="minorHAnsi" w:eastAsiaTheme="minorEastAsia" w:hAnsiTheme="minorHAnsi" w:cstheme="minorBidi"/>
          <w:i w:val="0"/>
          <w:noProof/>
          <w:kern w:val="0"/>
          <w:sz w:val="22"/>
          <w:szCs w:val="22"/>
        </w:rPr>
      </w:pPr>
      <w:r>
        <w:rPr>
          <w:noProof/>
        </w:rPr>
        <w:t>Taxation Administration Act 1953</w:t>
      </w:r>
      <w:r w:rsidRPr="005E4869">
        <w:rPr>
          <w:i w:val="0"/>
          <w:noProof/>
          <w:sz w:val="18"/>
        </w:rPr>
        <w:tab/>
      </w:r>
      <w:r w:rsidRPr="005E4869">
        <w:rPr>
          <w:i w:val="0"/>
          <w:noProof/>
          <w:sz w:val="18"/>
        </w:rPr>
        <w:fldChar w:fldCharType="begin"/>
      </w:r>
      <w:r w:rsidRPr="005E4869">
        <w:rPr>
          <w:i w:val="0"/>
          <w:noProof/>
          <w:sz w:val="18"/>
        </w:rPr>
        <w:instrText xml:space="preserve"> PAGEREF _Toc446416448 \h </w:instrText>
      </w:r>
      <w:r w:rsidRPr="005E4869">
        <w:rPr>
          <w:i w:val="0"/>
          <w:noProof/>
          <w:sz w:val="18"/>
        </w:rPr>
      </w:r>
      <w:r w:rsidRPr="005E4869">
        <w:rPr>
          <w:i w:val="0"/>
          <w:noProof/>
          <w:sz w:val="18"/>
        </w:rPr>
        <w:fldChar w:fldCharType="separate"/>
      </w:r>
      <w:r w:rsidR="007B616A">
        <w:rPr>
          <w:i w:val="0"/>
          <w:noProof/>
          <w:sz w:val="18"/>
        </w:rPr>
        <w:t>4</w:t>
      </w:r>
      <w:r w:rsidRPr="005E4869">
        <w:rPr>
          <w:i w:val="0"/>
          <w:noProof/>
          <w:sz w:val="18"/>
        </w:rPr>
        <w:fldChar w:fldCharType="end"/>
      </w:r>
    </w:p>
    <w:p w:rsidR="005E4869" w:rsidRDefault="005E4869">
      <w:pPr>
        <w:pStyle w:val="TOC7"/>
        <w:rPr>
          <w:rFonts w:asciiTheme="minorHAnsi" w:eastAsiaTheme="minorEastAsia" w:hAnsiTheme="minorHAnsi" w:cstheme="minorBidi"/>
          <w:noProof/>
          <w:kern w:val="0"/>
          <w:sz w:val="22"/>
          <w:szCs w:val="22"/>
        </w:rPr>
      </w:pPr>
      <w:r>
        <w:rPr>
          <w:noProof/>
        </w:rPr>
        <w:t>Part 2—Amendments contingent on the Tax and Superannuation Laws Amendment (2015 Measures No. 5) Act 2015</w:t>
      </w:r>
      <w:r w:rsidRPr="005E4869">
        <w:rPr>
          <w:noProof/>
          <w:sz w:val="18"/>
        </w:rPr>
        <w:tab/>
      </w:r>
      <w:r w:rsidRPr="005E4869">
        <w:rPr>
          <w:noProof/>
          <w:sz w:val="18"/>
        </w:rPr>
        <w:fldChar w:fldCharType="begin"/>
      </w:r>
      <w:r w:rsidRPr="005E4869">
        <w:rPr>
          <w:noProof/>
          <w:sz w:val="18"/>
        </w:rPr>
        <w:instrText xml:space="preserve"> PAGEREF _Toc446416468 \h </w:instrText>
      </w:r>
      <w:r w:rsidRPr="005E4869">
        <w:rPr>
          <w:noProof/>
          <w:sz w:val="18"/>
        </w:rPr>
      </w:r>
      <w:r w:rsidRPr="005E4869">
        <w:rPr>
          <w:noProof/>
          <w:sz w:val="18"/>
        </w:rPr>
        <w:fldChar w:fldCharType="separate"/>
      </w:r>
      <w:r w:rsidR="007B616A">
        <w:rPr>
          <w:noProof/>
          <w:sz w:val="18"/>
        </w:rPr>
        <w:t>19</w:t>
      </w:r>
      <w:r w:rsidRPr="005E4869">
        <w:rPr>
          <w:noProof/>
          <w:sz w:val="18"/>
        </w:rPr>
        <w:fldChar w:fldCharType="end"/>
      </w:r>
    </w:p>
    <w:p w:rsidR="005E4869" w:rsidRDefault="005E4869">
      <w:pPr>
        <w:pStyle w:val="TOC9"/>
        <w:rPr>
          <w:rFonts w:asciiTheme="minorHAnsi" w:eastAsiaTheme="minorEastAsia" w:hAnsiTheme="minorHAnsi" w:cstheme="minorBidi"/>
          <w:i w:val="0"/>
          <w:noProof/>
          <w:kern w:val="0"/>
          <w:sz w:val="22"/>
          <w:szCs w:val="22"/>
        </w:rPr>
      </w:pPr>
      <w:r>
        <w:rPr>
          <w:noProof/>
        </w:rPr>
        <w:t>Tax and Superannuation Laws Amendment (2015 Measures No. 5) Act 2015</w:t>
      </w:r>
      <w:r w:rsidRPr="005E4869">
        <w:rPr>
          <w:i w:val="0"/>
          <w:noProof/>
          <w:sz w:val="18"/>
        </w:rPr>
        <w:tab/>
      </w:r>
      <w:r w:rsidRPr="005E4869">
        <w:rPr>
          <w:i w:val="0"/>
          <w:noProof/>
          <w:sz w:val="18"/>
        </w:rPr>
        <w:fldChar w:fldCharType="begin"/>
      </w:r>
      <w:r w:rsidRPr="005E4869">
        <w:rPr>
          <w:i w:val="0"/>
          <w:noProof/>
          <w:sz w:val="18"/>
        </w:rPr>
        <w:instrText xml:space="preserve"> PAGEREF _Toc446416469 \h </w:instrText>
      </w:r>
      <w:r w:rsidRPr="005E4869">
        <w:rPr>
          <w:i w:val="0"/>
          <w:noProof/>
          <w:sz w:val="18"/>
        </w:rPr>
      </w:r>
      <w:r w:rsidRPr="005E4869">
        <w:rPr>
          <w:i w:val="0"/>
          <w:noProof/>
          <w:sz w:val="18"/>
        </w:rPr>
        <w:fldChar w:fldCharType="separate"/>
      </w:r>
      <w:r w:rsidR="007B616A">
        <w:rPr>
          <w:i w:val="0"/>
          <w:noProof/>
          <w:sz w:val="18"/>
        </w:rPr>
        <w:t>19</w:t>
      </w:r>
      <w:r w:rsidRPr="005E4869">
        <w:rPr>
          <w:i w:val="0"/>
          <w:noProof/>
          <w:sz w:val="18"/>
        </w:rPr>
        <w:fldChar w:fldCharType="end"/>
      </w:r>
    </w:p>
    <w:p w:rsidR="005E4869" w:rsidRDefault="005E4869">
      <w:pPr>
        <w:pStyle w:val="TOC9"/>
        <w:rPr>
          <w:rFonts w:asciiTheme="minorHAnsi" w:eastAsiaTheme="minorEastAsia" w:hAnsiTheme="minorHAnsi" w:cstheme="minorBidi"/>
          <w:i w:val="0"/>
          <w:noProof/>
          <w:kern w:val="0"/>
          <w:sz w:val="22"/>
          <w:szCs w:val="22"/>
        </w:rPr>
      </w:pPr>
      <w:r>
        <w:rPr>
          <w:noProof/>
        </w:rPr>
        <w:t>Taxation Administration Act 1953</w:t>
      </w:r>
      <w:r w:rsidRPr="005E4869">
        <w:rPr>
          <w:i w:val="0"/>
          <w:noProof/>
          <w:sz w:val="18"/>
        </w:rPr>
        <w:tab/>
      </w:r>
      <w:r w:rsidRPr="005E4869">
        <w:rPr>
          <w:i w:val="0"/>
          <w:noProof/>
          <w:sz w:val="18"/>
        </w:rPr>
        <w:fldChar w:fldCharType="begin"/>
      </w:r>
      <w:r w:rsidRPr="005E4869">
        <w:rPr>
          <w:i w:val="0"/>
          <w:noProof/>
          <w:sz w:val="18"/>
        </w:rPr>
        <w:instrText xml:space="preserve"> PAGEREF _Toc446416470 \h </w:instrText>
      </w:r>
      <w:r w:rsidRPr="005E4869">
        <w:rPr>
          <w:i w:val="0"/>
          <w:noProof/>
          <w:sz w:val="18"/>
        </w:rPr>
      </w:r>
      <w:r w:rsidRPr="005E4869">
        <w:rPr>
          <w:i w:val="0"/>
          <w:noProof/>
          <w:sz w:val="18"/>
        </w:rPr>
        <w:fldChar w:fldCharType="separate"/>
      </w:r>
      <w:r w:rsidR="007B616A">
        <w:rPr>
          <w:i w:val="0"/>
          <w:noProof/>
          <w:sz w:val="18"/>
        </w:rPr>
        <w:t>19</w:t>
      </w:r>
      <w:r w:rsidRPr="005E4869">
        <w:rPr>
          <w:i w:val="0"/>
          <w:noProof/>
          <w:sz w:val="18"/>
        </w:rPr>
        <w:fldChar w:fldCharType="end"/>
      </w:r>
    </w:p>
    <w:p w:rsidR="00055B5C" w:rsidRPr="00383870" w:rsidRDefault="005E4869" w:rsidP="0048364F">
      <w:r>
        <w:fldChar w:fldCharType="end"/>
      </w:r>
    </w:p>
    <w:p w:rsidR="00060FF9" w:rsidRPr="00383870" w:rsidRDefault="00060FF9" w:rsidP="0048364F"/>
    <w:p w:rsidR="00FE7F93" w:rsidRPr="00383870" w:rsidRDefault="00FE7F93" w:rsidP="0048364F">
      <w:pPr>
        <w:sectPr w:rsidR="00FE7F93" w:rsidRPr="00383870" w:rsidSect="00D44E7D">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D44E7D" w:rsidRDefault="007B616A">
      <w:r>
        <w:lastRenderedPageBreak/>
        <w:pict>
          <v:shape id="_x0000_i1026" type="#_x0000_t75" style="width:110.25pt;height:79.5pt" fillcolor="window">
            <v:imagedata r:id="rId8" o:title=""/>
          </v:shape>
        </w:pict>
      </w:r>
    </w:p>
    <w:p w:rsidR="00D44E7D" w:rsidRDefault="00D44E7D"/>
    <w:p w:rsidR="00D44E7D" w:rsidRDefault="00D44E7D" w:rsidP="00D44E7D">
      <w:pPr>
        <w:spacing w:line="240" w:lineRule="auto"/>
      </w:pPr>
    </w:p>
    <w:p w:rsidR="00D44E7D" w:rsidRDefault="007B616A" w:rsidP="00D44E7D">
      <w:pPr>
        <w:pStyle w:val="ShortTP1"/>
      </w:pPr>
      <w:r>
        <w:fldChar w:fldCharType="begin"/>
      </w:r>
      <w:r>
        <w:instrText xml:space="preserve"> STYLEREF ShortT </w:instrText>
      </w:r>
      <w:r>
        <w:fldChar w:fldCharType="separate"/>
      </w:r>
      <w:r>
        <w:rPr>
          <w:noProof/>
        </w:rPr>
        <w:t>Tax Laws Amendment (Implementation of the Common Reporting Standard) Act 2016</w:t>
      </w:r>
      <w:r>
        <w:rPr>
          <w:noProof/>
        </w:rPr>
        <w:fldChar w:fldCharType="end"/>
      </w:r>
    </w:p>
    <w:p w:rsidR="00D44E7D" w:rsidRDefault="007B616A" w:rsidP="00D44E7D">
      <w:pPr>
        <w:pStyle w:val="ActNoP1"/>
      </w:pPr>
      <w:r>
        <w:fldChar w:fldCharType="begin"/>
      </w:r>
      <w:r>
        <w:instrText xml:space="preserve"> STYLEREF Actno </w:instrText>
      </w:r>
      <w:r>
        <w:fldChar w:fldCharType="separate"/>
      </w:r>
      <w:r>
        <w:rPr>
          <w:noProof/>
        </w:rPr>
        <w:t>No. 23, 2016</w:t>
      </w:r>
      <w:r>
        <w:rPr>
          <w:noProof/>
        </w:rPr>
        <w:fldChar w:fldCharType="end"/>
      </w:r>
    </w:p>
    <w:p w:rsidR="00D44E7D" w:rsidRPr="009A0728" w:rsidRDefault="00D44E7D" w:rsidP="00D44E7D">
      <w:pPr>
        <w:pBdr>
          <w:bottom w:val="single" w:sz="6" w:space="0" w:color="auto"/>
        </w:pBdr>
        <w:spacing w:before="400" w:line="240" w:lineRule="auto"/>
        <w:rPr>
          <w:rFonts w:eastAsia="Times New Roman"/>
          <w:b/>
          <w:sz w:val="28"/>
        </w:rPr>
      </w:pPr>
    </w:p>
    <w:p w:rsidR="00D44E7D" w:rsidRPr="009A0728" w:rsidRDefault="00D44E7D" w:rsidP="00D44E7D">
      <w:pPr>
        <w:spacing w:line="40" w:lineRule="exact"/>
        <w:rPr>
          <w:rFonts w:eastAsia="Calibri"/>
          <w:b/>
          <w:sz w:val="28"/>
        </w:rPr>
      </w:pPr>
    </w:p>
    <w:p w:rsidR="00D44E7D" w:rsidRPr="009A0728" w:rsidRDefault="00D44E7D" w:rsidP="00D44E7D">
      <w:pPr>
        <w:pBdr>
          <w:top w:val="single" w:sz="12" w:space="0" w:color="auto"/>
        </w:pBdr>
        <w:spacing w:line="240" w:lineRule="auto"/>
        <w:rPr>
          <w:rFonts w:eastAsia="Times New Roman"/>
          <w:b/>
          <w:sz w:val="28"/>
        </w:rPr>
      </w:pPr>
    </w:p>
    <w:p w:rsidR="00AF3799" w:rsidRPr="00383870" w:rsidRDefault="00D44E7D" w:rsidP="00383870">
      <w:pPr>
        <w:pStyle w:val="Page1"/>
      </w:pPr>
      <w:r>
        <w:t>An Act</w:t>
      </w:r>
      <w:r w:rsidR="00383870" w:rsidRPr="00383870">
        <w:t xml:space="preserve"> to implement the Common Reporting Standard, and for related purposes</w:t>
      </w:r>
    </w:p>
    <w:p w:rsidR="00C278DA" w:rsidRPr="005E4869" w:rsidRDefault="00C278DA" w:rsidP="005E4869">
      <w:pPr>
        <w:pStyle w:val="AssentDt"/>
        <w:spacing w:before="240"/>
        <w:rPr>
          <w:sz w:val="24"/>
        </w:rPr>
      </w:pPr>
      <w:r>
        <w:rPr>
          <w:sz w:val="24"/>
        </w:rPr>
        <w:t>[</w:t>
      </w:r>
      <w:r>
        <w:rPr>
          <w:i/>
          <w:sz w:val="24"/>
        </w:rPr>
        <w:t>Assented to 18 March 2016</w:t>
      </w:r>
      <w:r w:rsidR="005E4869">
        <w:rPr>
          <w:sz w:val="24"/>
        </w:rPr>
        <w:t>]</w:t>
      </w:r>
    </w:p>
    <w:p w:rsidR="0048364F" w:rsidRPr="00383870" w:rsidRDefault="0048364F" w:rsidP="00383870">
      <w:pPr>
        <w:spacing w:before="240" w:line="240" w:lineRule="auto"/>
        <w:rPr>
          <w:sz w:val="32"/>
        </w:rPr>
      </w:pPr>
      <w:r w:rsidRPr="00383870">
        <w:rPr>
          <w:sz w:val="32"/>
        </w:rPr>
        <w:t>The Parliament of Australia enacts:</w:t>
      </w:r>
    </w:p>
    <w:p w:rsidR="0048364F" w:rsidRPr="00383870" w:rsidRDefault="0048364F" w:rsidP="00383870">
      <w:pPr>
        <w:pStyle w:val="ActHead5"/>
      </w:pPr>
      <w:bookmarkStart w:id="2" w:name="_Toc446416442"/>
      <w:r w:rsidRPr="00383870">
        <w:rPr>
          <w:rStyle w:val="CharSectno"/>
        </w:rPr>
        <w:t>1</w:t>
      </w:r>
      <w:r w:rsidRPr="00383870">
        <w:t xml:space="preserve">  Short title</w:t>
      </w:r>
      <w:bookmarkEnd w:id="2"/>
    </w:p>
    <w:p w:rsidR="0048364F" w:rsidRPr="00383870" w:rsidRDefault="0048364F" w:rsidP="00383870">
      <w:pPr>
        <w:pStyle w:val="subsection"/>
      </w:pPr>
      <w:r w:rsidRPr="00383870">
        <w:tab/>
      </w:r>
      <w:r w:rsidRPr="00383870">
        <w:tab/>
        <w:t xml:space="preserve">This Act may be cited as the </w:t>
      </w:r>
      <w:r w:rsidR="009621B1" w:rsidRPr="00383870">
        <w:rPr>
          <w:i/>
        </w:rPr>
        <w:t>Tax Laws Amendment (</w:t>
      </w:r>
      <w:r w:rsidR="00AF3799" w:rsidRPr="00383870">
        <w:rPr>
          <w:i/>
        </w:rPr>
        <w:t xml:space="preserve">Implementation of the </w:t>
      </w:r>
      <w:r w:rsidR="009621B1" w:rsidRPr="00383870">
        <w:rPr>
          <w:i/>
        </w:rPr>
        <w:t>Common Reporting Standard)</w:t>
      </w:r>
      <w:r w:rsidR="00C164CA" w:rsidRPr="00383870">
        <w:rPr>
          <w:i/>
        </w:rPr>
        <w:t xml:space="preserve"> Act 201</w:t>
      </w:r>
      <w:r w:rsidR="001C72F3">
        <w:rPr>
          <w:i/>
        </w:rPr>
        <w:t>6</w:t>
      </w:r>
      <w:r w:rsidRPr="00383870">
        <w:t>.</w:t>
      </w:r>
    </w:p>
    <w:p w:rsidR="0048364F" w:rsidRPr="00383870" w:rsidRDefault="0048364F" w:rsidP="00383870">
      <w:pPr>
        <w:pStyle w:val="ActHead5"/>
      </w:pPr>
      <w:bookmarkStart w:id="3" w:name="_Toc446416443"/>
      <w:r w:rsidRPr="00383870">
        <w:rPr>
          <w:rStyle w:val="CharSectno"/>
        </w:rPr>
        <w:lastRenderedPageBreak/>
        <w:t>2</w:t>
      </w:r>
      <w:r w:rsidRPr="00383870">
        <w:t xml:space="preserve">  Commencement</w:t>
      </w:r>
      <w:bookmarkEnd w:id="3"/>
    </w:p>
    <w:p w:rsidR="0048364F" w:rsidRPr="00383870" w:rsidRDefault="0048364F" w:rsidP="00383870">
      <w:pPr>
        <w:pStyle w:val="subsection"/>
      </w:pPr>
      <w:r w:rsidRPr="00383870">
        <w:tab/>
        <w:t>(1)</w:t>
      </w:r>
      <w:r w:rsidRPr="00383870">
        <w:tab/>
        <w:t>Each provision of this Act specified in column 1 of the table commences, or is taken to have commenced, in accordance with column 2 of the table. Any other statement in column 2 has effect according to its terms.</w:t>
      </w:r>
    </w:p>
    <w:p w:rsidR="0048364F" w:rsidRPr="00383870" w:rsidRDefault="0048364F" w:rsidP="00383870">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383870" w:rsidTr="00E875D6">
        <w:trPr>
          <w:tblHeader/>
        </w:trPr>
        <w:tc>
          <w:tcPr>
            <w:tcW w:w="7111" w:type="dxa"/>
            <w:gridSpan w:val="3"/>
            <w:tcBorders>
              <w:top w:val="single" w:sz="12" w:space="0" w:color="auto"/>
              <w:bottom w:val="single" w:sz="2" w:space="0" w:color="auto"/>
            </w:tcBorders>
            <w:shd w:val="clear" w:color="auto" w:fill="auto"/>
          </w:tcPr>
          <w:p w:rsidR="0048364F" w:rsidRPr="00383870" w:rsidRDefault="0048364F" w:rsidP="00383870">
            <w:pPr>
              <w:pStyle w:val="TableHeading"/>
            </w:pPr>
            <w:r w:rsidRPr="00383870">
              <w:t>Commencement information</w:t>
            </w:r>
          </w:p>
        </w:tc>
      </w:tr>
      <w:tr w:rsidR="0048364F" w:rsidRPr="00383870" w:rsidTr="00E875D6">
        <w:trPr>
          <w:tblHeader/>
        </w:trPr>
        <w:tc>
          <w:tcPr>
            <w:tcW w:w="1701" w:type="dxa"/>
            <w:tcBorders>
              <w:top w:val="single" w:sz="2" w:space="0" w:color="auto"/>
              <w:bottom w:val="single" w:sz="2" w:space="0" w:color="auto"/>
            </w:tcBorders>
            <w:shd w:val="clear" w:color="auto" w:fill="auto"/>
          </w:tcPr>
          <w:p w:rsidR="0048364F" w:rsidRPr="00383870" w:rsidRDefault="0048364F" w:rsidP="00383870">
            <w:pPr>
              <w:pStyle w:val="TableHeading"/>
            </w:pPr>
            <w:r w:rsidRPr="00383870">
              <w:t>Column 1</w:t>
            </w:r>
          </w:p>
        </w:tc>
        <w:tc>
          <w:tcPr>
            <w:tcW w:w="3828" w:type="dxa"/>
            <w:tcBorders>
              <w:top w:val="single" w:sz="2" w:space="0" w:color="auto"/>
              <w:bottom w:val="single" w:sz="2" w:space="0" w:color="auto"/>
            </w:tcBorders>
            <w:shd w:val="clear" w:color="auto" w:fill="auto"/>
          </w:tcPr>
          <w:p w:rsidR="0048364F" w:rsidRPr="00383870" w:rsidRDefault="0048364F" w:rsidP="00383870">
            <w:pPr>
              <w:pStyle w:val="TableHeading"/>
            </w:pPr>
            <w:r w:rsidRPr="00383870">
              <w:t>Column 2</w:t>
            </w:r>
          </w:p>
        </w:tc>
        <w:tc>
          <w:tcPr>
            <w:tcW w:w="1582" w:type="dxa"/>
            <w:tcBorders>
              <w:top w:val="single" w:sz="2" w:space="0" w:color="auto"/>
              <w:bottom w:val="single" w:sz="2" w:space="0" w:color="auto"/>
            </w:tcBorders>
            <w:shd w:val="clear" w:color="auto" w:fill="auto"/>
          </w:tcPr>
          <w:p w:rsidR="0048364F" w:rsidRPr="00383870" w:rsidRDefault="0048364F" w:rsidP="00383870">
            <w:pPr>
              <w:pStyle w:val="TableHeading"/>
            </w:pPr>
            <w:r w:rsidRPr="00383870">
              <w:t>Column 3</w:t>
            </w:r>
          </w:p>
        </w:tc>
      </w:tr>
      <w:tr w:rsidR="0048364F" w:rsidRPr="00383870" w:rsidTr="00E875D6">
        <w:trPr>
          <w:tblHeader/>
        </w:trPr>
        <w:tc>
          <w:tcPr>
            <w:tcW w:w="1701" w:type="dxa"/>
            <w:tcBorders>
              <w:top w:val="single" w:sz="2" w:space="0" w:color="auto"/>
              <w:bottom w:val="single" w:sz="12" w:space="0" w:color="auto"/>
            </w:tcBorders>
            <w:shd w:val="clear" w:color="auto" w:fill="auto"/>
          </w:tcPr>
          <w:p w:rsidR="0048364F" w:rsidRPr="00383870" w:rsidRDefault="0048364F" w:rsidP="00383870">
            <w:pPr>
              <w:pStyle w:val="TableHeading"/>
            </w:pPr>
            <w:r w:rsidRPr="00383870">
              <w:t>Provisions</w:t>
            </w:r>
          </w:p>
        </w:tc>
        <w:tc>
          <w:tcPr>
            <w:tcW w:w="3828" w:type="dxa"/>
            <w:tcBorders>
              <w:top w:val="single" w:sz="2" w:space="0" w:color="auto"/>
              <w:bottom w:val="single" w:sz="12" w:space="0" w:color="auto"/>
            </w:tcBorders>
            <w:shd w:val="clear" w:color="auto" w:fill="auto"/>
          </w:tcPr>
          <w:p w:rsidR="0048364F" w:rsidRPr="00383870" w:rsidRDefault="0048364F" w:rsidP="00383870">
            <w:pPr>
              <w:pStyle w:val="TableHeading"/>
            </w:pPr>
            <w:r w:rsidRPr="00383870">
              <w:t>Commencement</w:t>
            </w:r>
          </w:p>
        </w:tc>
        <w:tc>
          <w:tcPr>
            <w:tcW w:w="1582" w:type="dxa"/>
            <w:tcBorders>
              <w:top w:val="single" w:sz="2" w:space="0" w:color="auto"/>
              <w:bottom w:val="single" w:sz="12" w:space="0" w:color="auto"/>
            </w:tcBorders>
            <w:shd w:val="clear" w:color="auto" w:fill="auto"/>
          </w:tcPr>
          <w:p w:rsidR="0048364F" w:rsidRPr="00383870" w:rsidRDefault="0048364F" w:rsidP="00383870">
            <w:pPr>
              <w:pStyle w:val="TableHeading"/>
            </w:pPr>
            <w:r w:rsidRPr="00383870">
              <w:t>Date/Details</w:t>
            </w:r>
          </w:p>
        </w:tc>
      </w:tr>
      <w:tr w:rsidR="0048364F" w:rsidRPr="00383870" w:rsidTr="00E875D6">
        <w:tc>
          <w:tcPr>
            <w:tcW w:w="1701" w:type="dxa"/>
            <w:tcBorders>
              <w:top w:val="single" w:sz="12" w:space="0" w:color="auto"/>
            </w:tcBorders>
            <w:shd w:val="clear" w:color="auto" w:fill="auto"/>
          </w:tcPr>
          <w:p w:rsidR="0048364F" w:rsidRPr="00383870" w:rsidRDefault="0048364F" w:rsidP="00383870">
            <w:pPr>
              <w:pStyle w:val="Tabletext"/>
            </w:pPr>
            <w:r w:rsidRPr="00383870">
              <w:t>1.  Sections</w:t>
            </w:r>
            <w:r w:rsidR="00383870" w:rsidRPr="00383870">
              <w:t> </w:t>
            </w:r>
            <w:r w:rsidRPr="00383870">
              <w:t>1 to 3 and anything in this Act not elsewhere covered by this table</w:t>
            </w:r>
          </w:p>
        </w:tc>
        <w:tc>
          <w:tcPr>
            <w:tcW w:w="3828" w:type="dxa"/>
            <w:tcBorders>
              <w:top w:val="single" w:sz="12" w:space="0" w:color="auto"/>
            </w:tcBorders>
            <w:shd w:val="clear" w:color="auto" w:fill="auto"/>
          </w:tcPr>
          <w:p w:rsidR="0048364F" w:rsidRPr="00383870" w:rsidRDefault="0048364F" w:rsidP="00383870">
            <w:pPr>
              <w:pStyle w:val="Tabletext"/>
            </w:pPr>
            <w:r w:rsidRPr="00383870">
              <w:t>The day this Act receives the Royal Assent.</w:t>
            </w:r>
          </w:p>
        </w:tc>
        <w:tc>
          <w:tcPr>
            <w:tcW w:w="1582" w:type="dxa"/>
            <w:tcBorders>
              <w:top w:val="single" w:sz="12" w:space="0" w:color="auto"/>
            </w:tcBorders>
            <w:shd w:val="clear" w:color="auto" w:fill="auto"/>
          </w:tcPr>
          <w:p w:rsidR="0048364F" w:rsidRPr="00383870" w:rsidRDefault="00C278DA" w:rsidP="00383870">
            <w:pPr>
              <w:pStyle w:val="Tabletext"/>
            </w:pPr>
            <w:r>
              <w:t>18 March 2016</w:t>
            </w:r>
          </w:p>
        </w:tc>
      </w:tr>
      <w:tr w:rsidR="008F0777" w:rsidRPr="00383870" w:rsidTr="00E875D6">
        <w:tc>
          <w:tcPr>
            <w:tcW w:w="1701" w:type="dxa"/>
            <w:shd w:val="clear" w:color="auto" w:fill="auto"/>
          </w:tcPr>
          <w:p w:rsidR="008F0777" w:rsidRPr="00383870" w:rsidRDefault="008F0777" w:rsidP="00383870">
            <w:pPr>
              <w:pStyle w:val="Tabletext"/>
            </w:pPr>
            <w:r w:rsidRPr="00383870">
              <w:t>2.  Schedule</w:t>
            </w:r>
            <w:r w:rsidR="00383870" w:rsidRPr="00383870">
              <w:t> </w:t>
            </w:r>
            <w:r w:rsidRPr="00383870">
              <w:t>1, items</w:t>
            </w:r>
            <w:r w:rsidR="00383870" w:rsidRPr="00383870">
              <w:t> </w:t>
            </w:r>
            <w:r w:rsidRPr="00383870">
              <w:t>1 and 2</w:t>
            </w:r>
          </w:p>
        </w:tc>
        <w:tc>
          <w:tcPr>
            <w:tcW w:w="3828" w:type="dxa"/>
            <w:shd w:val="clear" w:color="auto" w:fill="auto"/>
          </w:tcPr>
          <w:p w:rsidR="008F0777" w:rsidRPr="00383870" w:rsidRDefault="008F0777" w:rsidP="00383870">
            <w:pPr>
              <w:pStyle w:val="Tabletext"/>
            </w:pPr>
            <w:r w:rsidRPr="00383870">
              <w:t>The day after this Act receives the Royal Assent.</w:t>
            </w:r>
          </w:p>
        </w:tc>
        <w:tc>
          <w:tcPr>
            <w:tcW w:w="1582" w:type="dxa"/>
            <w:shd w:val="clear" w:color="auto" w:fill="auto"/>
          </w:tcPr>
          <w:p w:rsidR="008F0777" w:rsidRPr="00383870" w:rsidRDefault="00C278DA" w:rsidP="00383870">
            <w:pPr>
              <w:pStyle w:val="Tabletext"/>
            </w:pPr>
            <w:r>
              <w:t>19 March 2016</w:t>
            </w:r>
          </w:p>
        </w:tc>
      </w:tr>
      <w:tr w:rsidR="008F0777" w:rsidRPr="00383870" w:rsidTr="00E875D6">
        <w:tc>
          <w:tcPr>
            <w:tcW w:w="1701" w:type="dxa"/>
            <w:shd w:val="clear" w:color="auto" w:fill="auto"/>
          </w:tcPr>
          <w:p w:rsidR="008F0777" w:rsidRPr="00383870" w:rsidRDefault="008F0777" w:rsidP="00383870">
            <w:pPr>
              <w:pStyle w:val="Tabletext"/>
            </w:pPr>
            <w:r w:rsidRPr="00383870">
              <w:t>3.  Schedule</w:t>
            </w:r>
            <w:r w:rsidR="00383870" w:rsidRPr="00383870">
              <w:t> </w:t>
            </w:r>
            <w:r w:rsidRPr="00383870">
              <w:t>1, items</w:t>
            </w:r>
            <w:r w:rsidR="00383870" w:rsidRPr="00383870">
              <w:t> </w:t>
            </w:r>
            <w:r w:rsidRPr="00383870">
              <w:t>3 to 7</w:t>
            </w:r>
          </w:p>
        </w:tc>
        <w:tc>
          <w:tcPr>
            <w:tcW w:w="3828" w:type="dxa"/>
            <w:shd w:val="clear" w:color="auto" w:fill="auto"/>
          </w:tcPr>
          <w:p w:rsidR="008F0777" w:rsidRPr="00383870" w:rsidRDefault="008F0777" w:rsidP="00383870">
            <w:pPr>
              <w:pStyle w:val="Tabletext"/>
            </w:pPr>
            <w:r w:rsidRPr="00383870">
              <w:t>The day after this Act receives the Royal Assent.</w:t>
            </w:r>
          </w:p>
          <w:p w:rsidR="008F0777" w:rsidRPr="00383870" w:rsidRDefault="008F0777" w:rsidP="00383870">
            <w:pPr>
              <w:pStyle w:val="Tabletext"/>
            </w:pPr>
            <w:r w:rsidRPr="00383870">
              <w:t>However, the provisions do not commence at all if Part</w:t>
            </w:r>
            <w:r w:rsidR="00383870" w:rsidRPr="00383870">
              <w:t> </w:t>
            </w:r>
            <w:r w:rsidRPr="00383870">
              <w:t>2 of Schedule</w:t>
            </w:r>
            <w:r w:rsidR="00383870" w:rsidRPr="00383870">
              <w:t> </w:t>
            </w:r>
            <w:r w:rsidRPr="00383870">
              <w:t xml:space="preserve">4 to the </w:t>
            </w:r>
            <w:r w:rsidRPr="00383870">
              <w:rPr>
                <w:i/>
              </w:rPr>
              <w:t>Tax and Superannuation Laws Amendment (2015 Measures No.</w:t>
            </w:r>
            <w:r w:rsidR="00383870" w:rsidRPr="00383870">
              <w:rPr>
                <w:i/>
              </w:rPr>
              <w:t> </w:t>
            </w:r>
            <w:r w:rsidRPr="00383870">
              <w:rPr>
                <w:i/>
              </w:rPr>
              <w:t>5) Act 2015</w:t>
            </w:r>
            <w:r w:rsidRPr="00383870">
              <w:t xml:space="preserve"> commences before the day after this Act receives the Royal Assent.</w:t>
            </w:r>
          </w:p>
        </w:tc>
        <w:tc>
          <w:tcPr>
            <w:tcW w:w="1582" w:type="dxa"/>
            <w:shd w:val="clear" w:color="auto" w:fill="auto"/>
          </w:tcPr>
          <w:p w:rsidR="008F0777" w:rsidRPr="00383870" w:rsidRDefault="00C278DA" w:rsidP="00383870">
            <w:pPr>
              <w:pStyle w:val="Tabletext"/>
            </w:pPr>
            <w:r>
              <w:t>Never commenced</w:t>
            </w:r>
          </w:p>
        </w:tc>
      </w:tr>
      <w:tr w:rsidR="008F0777" w:rsidRPr="00383870" w:rsidTr="00E875D6">
        <w:tc>
          <w:tcPr>
            <w:tcW w:w="1701" w:type="dxa"/>
            <w:shd w:val="clear" w:color="auto" w:fill="auto"/>
          </w:tcPr>
          <w:p w:rsidR="008F0777" w:rsidRPr="00383870" w:rsidRDefault="008F0777" w:rsidP="00383870">
            <w:pPr>
              <w:pStyle w:val="Tabletext"/>
            </w:pPr>
            <w:r w:rsidRPr="00383870">
              <w:t>4.  Schedule</w:t>
            </w:r>
            <w:r w:rsidR="00383870" w:rsidRPr="00383870">
              <w:t> </w:t>
            </w:r>
            <w:r w:rsidRPr="00383870">
              <w:t>1, items</w:t>
            </w:r>
            <w:r w:rsidR="00383870" w:rsidRPr="00383870">
              <w:t> </w:t>
            </w:r>
            <w:r w:rsidRPr="00383870">
              <w:t>8 to 11</w:t>
            </w:r>
          </w:p>
        </w:tc>
        <w:tc>
          <w:tcPr>
            <w:tcW w:w="3828" w:type="dxa"/>
            <w:shd w:val="clear" w:color="auto" w:fill="auto"/>
          </w:tcPr>
          <w:p w:rsidR="008F0777" w:rsidRPr="00383870" w:rsidRDefault="008F0777" w:rsidP="00383870">
            <w:pPr>
              <w:pStyle w:val="Tabletext"/>
            </w:pPr>
            <w:r w:rsidRPr="00383870">
              <w:t>The day after this Act receives the Royal Assent.</w:t>
            </w:r>
          </w:p>
        </w:tc>
        <w:tc>
          <w:tcPr>
            <w:tcW w:w="1582" w:type="dxa"/>
            <w:shd w:val="clear" w:color="auto" w:fill="auto"/>
          </w:tcPr>
          <w:p w:rsidR="008F0777" w:rsidRPr="00383870" w:rsidRDefault="00C278DA" w:rsidP="00383870">
            <w:pPr>
              <w:pStyle w:val="Tabletext"/>
            </w:pPr>
            <w:r>
              <w:t>19 March 2016</w:t>
            </w:r>
          </w:p>
        </w:tc>
      </w:tr>
      <w:tr w:rsidR="008F0777" w:rsidRPr="00383870" w:rsidTr="00E875D6">
        <w:tc>
          <w:tcPr>
            <w:tcW w:w="1701" w:type="dxa"/>
            <w:shd w:val="clear" w:color="auto" w:fill="auto"/>
          </w:tcPr>
          <w:p w:rsidR="008F0777" w:rsidRPr="00383870" w:rsidRDefault="008F0777" w:rsidP="00383870">
            <w:pPr>
              <w:pStyle w:val="Tabletext"/>
            </w:pPr>
            <w:r w:rsidRPr="00383870">
              <w:t>5.  Schedule</w:t>
            </w:r>
            <w:r w:rsidR="00383870" w:rsidRPr="00383870">
              <w:t> </w:t>
            </w:r>
            <w:r w:rsidRPr="00383870">
              <w:t>1, item</w:t>
            </w:r>
            <w:r w:rsidR="00383870" w:rsidRPr="00383870">
              <w:t> </w:t>
            </w:r>
            <w:r w:rsidRPr="00383870">
              <w:t>12</w:t>
            </w:r>
          </w:p>
        </w:tc>
        <w:tc>
          <w:tcPr>
            <w:tcW w:w="3828" w:type="dxa"/>
            <w:shd w:val="clear" w:color="auto" w:fill="auto"/>
          </w:tcPr>
          <w:p w:rsidR="008F0777" w:rsidRPr="00383870" w:rsidRDefault="008F0777" w:rsidP="00383870">
            <w:pPr>
              <w:pStyle w:val="Tabletext"/>
            </w:pPr>
            <w:r w:rsidRPr="00383870">
              <w:t>The day after this Act receives the Royal Assent.</w:t>
            </w:r>
          </w:p>
          <w:p w:rsidR="008F0777" w:rsidRPr="00383870" w:rsidRDefault="008F0777" w:rsidP="00383870">
            <w:pPr>
              <w:pStyle w:val="Tabletext"/>
            </w:pPr>
            <w:r w:rsidRPr="00383870">
              <w:t>However, the provisions do not commence at all if Part</w:t>
            </w:r>
            <w:r w:rsidR="00383870" w:rsidRPr="00383870">
              <w:t> </w:t>
            </w:r>
            <w:r w:rsidRPr="00383870">
              <w:t>2 of Schedule</w:t>
            </w:r>
            <w:r w:rsidR="00383870" w:rsidRPr="00383870">
              <w:t> </w:t>
            </w:r>
            <w:r w:rsidRPr="00383870">
              <w:t xml:space="preserve">4 to the </w:t>
            </w:r>
            <w:r w:rsidRPr="00383870">
              <w:rPr>
                <w:i/>
              </w:rPr>
              <w:t>Tax and Superannuation Laws Amendment (2015 Measures No.</w:t>
            </w:r>
            <w:r w:rsidR="00383870" w:rsidRPr="00383870">
              <w:rPr>
                <w:i/>
              </w:rPr>
              <w:t> </w:t>
            </w:r>
            <w:r w:rsidRPr="00383870">
              <w:rPr>
                <w:i/>
              </w:rPr>
              <w:t>5) Act 2015</w:t>
            </w:r>
            <w:r w:rsidRPr="00383870">
              <w:t xml:space="preserve"> commences before the day after this Act receives the Royal Assent.</w:t>
            </w:r>
          </w:p>
        </w:tc>
        <w:tc>
          <w:tcPr>
            <w:tcW w:w="1582" w:type="dxa"/>
            <w:shd w:val="clear" w:color="auto" w:fill="auto"/>
          </w:tcPr>
          <w:p w:rsidR="008F0777" w:rsidRPr="00383870" w:rsidRDefault="00C278DA" w:rsidP="00383870">
            <w:pPr>
              <w:pStyle w:val="Tabletext"/>
            </w:pPr>
            <w:r>
              <w:t>Never commenced</w:t>
            </w:r>
          </w:p>
        </w:tc>
      </w:tr>
      <w:tr w:rsidR="008F0777" w:rsidRPr="00383870" w:rsidTr="00E875D6">
        <w:tc>
          <w:tcPr>
            <w:tcW w:w="1701" w:type="dxa"/>
            <w:shd w:val="clear" w:color="auto" w:fill="auto"/>
          </w:tcPr>
          <w:p w:rsidR="008F0777" w:rsidRPr="00383870" w:rsidRDefault="008F0777" w:rsidP="00383870">
            <w:pPr>
              <w:pStyle w:val="Tabletext"/>
            </w:pPr>
            <w:r w:rsidRPr="00383870">
              <w:t>6.  Schedule</w:t>
            </w:r>
            <w:r w:rsidR="00383870" w:rsidRPr="00383870">
              <w:t> </w:t>
            </w:r>
            <w:r w:rsidRPr="00383870">
              <w:t>1, items</w:t>
            </w:r>
            <w:r w:rsidR="00383870" w:rsidRPr="00383870">
              <w:t> </w:t>
            </w:r>
            <w:r w:rsidRPr="00383870">
              <w:t>13 to 15</w:t>
            </w:r>
          </w:p>
        </w:tc>
        <w:tc>
          <w:tcPr>
            <w:tcW w:w="3828" w:type="dxa"/>
            <w:shd w:val="clear" w:color="auto" w:fill="auto"/>
          </w:tcPr>
          <w:p w:rsidR="008F0777" w:rsidRPr="00383870" w:rsidRDefault="008F0777" w:rsidP="00383870">
            <w:pPr>
              <w:pStyle w:val="Tabletext"/>
            </w:pPr>
            <w:r w:rsidRPr="00383870">
              <w:t>The day after this Act receives the Royal Assent.</w:t>
            </w:r>
          </w:p>
        </w:tc>
        <w:tc>
          <w:tcPr>
            <w:tcW w:w="1582" w:type="dxa"/>
            <w:shd w:val="clear" w:color="auto" w:fill="auto"/>
          </w:tcPr>
          <w:p w:rsidR="008F0777" w:rsidRPr="00383870" w:rsidRDefault="00C278DA" w:rsidP="00383870">
            <w:pPr>
              <w:pStyle w:val="Tabletext"/>
            </w:pPr>
            <w:r>
              <w:t>19 March 2016</w:t>
            </w:r>
          </w:p>
        </w:tc>
      </w:tr>
      <w:tr w:rsidR="008F0777" w:rsidRPr="00383870" w:rsidTr="00E875D6">
        <w:tc>
          <w:tcPr>
            <w:tcW w:w="1701" w:type="dxa"/>
            <w:tcBorders>
              <w:bottom w:val="single" w:sz="4" w:space="0" w:color="auto"/>
            </w:tcBorders>
            <w:shd w:val="clear" w:color="auto" w:fill="auto"/>
          </w:tcPr>
          <w:p w:rsidR="008F0777" w:rsidRPr="00383870" w:rsidRDefault="008F0777" w:rsidP="00383870">
            <w:pPr>
              <w:pStyle w:val="Tabletext"/>
            </w:pPr>
            <w:r w:rsidRPr="00383870">
              <w:t>7.  Schedule</w:t>
            </w:r>
            <w:r w:rsidR="00383870" w:rsidRPr="00383870">
              <w:t> </w:t>
            </w:r>
            <w:r w:rsidRPr="00383870">
              <w:t>1, items</w:t>
            </w:r>
            <w:r w:rsidR="00383870" w:rsidRPr="00383870">
              <w:t> </w:t>
            </w:r>
            <w:r w:rsidRPr="00383870">
              <w:t>16 to 18</w:t>
            </w:r>
          </w:p>
        </w:tc>
        <w:tc>
          <w:tcPr>
            <w:tcW w:w="3828" w:type="dxa"/>
            <w:tcBorders>
              <w:bottom w:val="single" w:sz="4" w:space="0" w:color="auto"/>
            </w:tcBorders>
            <w:shd w:val="clear" w:color="auto" w:fill="auto"/>
          </w:tcPr>
          <w:p w:rsidR="008F0777" w:rsidRPr="00383870" w:rsidRDefault="008F0777" w:rsidP="00383870">
            <w:pPr>
              <w:pStyle w:val="Tabletext"/>
            </w:pPr>
            <w:r w:rsidRPr="00383870">
              <w:t>Immediately after the commencement of Part</w:t>
            </w:r>
            <w:r w:rsidR="00383870" w:rsidRPr="00383870">
              <w:t> </w:t>
            </w:r>
            <w:r w:rsidRPr="00383870">
              <w:t>1 of Schedule</w:t>
            </w:r>
            <w:r w:rsidR="00383870" w:rsidRPr="00383870">
              <w:t> </w:t>
            </w:r>
            <w:r w:rsidRPr="00383870">
              <w:t xml:space="preserve">4 to the </w:t>
            </w:r>
            <w:r w:rsidRPr="00383870">
              <w:rPr>
                <w:i/>
              </w:rPr>
              <w:t xml:space="preserve">Tax and </w:t>
            </w:r>
            <w:r w:rsidRPr="00383870">
              <w:rPr>
                <w:i/>
              </w:rPr>
              <w:lastRenderedPageBreak/>
              <w:t>Superannuation Laws Amendment (2015 Measures No.</w:t>
            </w:r>
            <w:r w:rsidR="00383870" w:rsidRPr="00383870">
              <w:rPr>
                <w:i/>
              </w:rPr>
              <w:t> </w:t>
            </w:r>
            <w:r w:rsidRPr="00383870">
              <w:rPr>
                <w:i/>
              </w:rPr>
              <w:t>5) Act 2015</w:t>
            </w:r>
            <w:r w:rsidRPr="00383870">
              <w:t>.</w:t>
            </w:r>
          </w:p>
          <w:p w:rsidR="008F0777" w:rsidRPr="00383870" w:rsidRDefault="008F0777" w:rsidP="00383870">
            <w:pPr>
              <w:pStyle w:val="Tabletext"/>
            </w:pPr>
            <w:r w:rsidRPr="00383870">
              <w:t>However, the provisions do not commence at all if that Part commences before the day after this Act receives the Royal Assent.</w:t>
            </w:r>
          </w:p>
        </w:tc>
        <w:tc>
          <w:tcPr>
            <w:tcW w:w="1582" w:type="dxa"/>
            <w:tcBorders>
              <w:bottom w:val="single" w:sz="4" w:space="0" w:color="auto"/>
            </w:tcBorders>
            <w:shd w:val="clear" w:color="auto" w:fill="auto"/>
          </w:tcPr>
          <w:p w:rsidR="008F0777" w:rsidRPr="00383870" w:rsidRDefault="00C278DA" w:rsidP="00383870">
            <w:pPr>
              <w:pStyle w:val="Tabletext"/>
            </w:pPr>
            <w:r>
              <w:lastRenderedPageBreak/>
              <w:t>Never commenced</w:t>
            </w:r>
          </w:p>
        </w:tc>
      </w:tr>
      <w:tr w:rsidR="008F0777" w:rsidRPr="00383870" w:rsidTr="00E875D6">
        <w:tc>
          <w:tcPr>
            <w:tcW w:w="1701" w:type="dxa"/>
            <w:tcBorders>
              <w:bottom w:val="single" w:sz="12" w:space="0" w:color="auto"/>
            </w:tcBorders>
            <w:shd w:val="clear" w:color="auto" w:fill="auto"/>
          </w:tcPr>
          <w:p w:rsidR="008F0777" w:rsidRPr="00383870" w:rsidRDefault="008F0777" w:rsidP="00383870">
            <w:pPr>
              <w:pStyle w:val="Tabletext"/>
            </w:pPr>
            <w:r w:rsidRPr="00383870">
              <w:lastRenderedPageBreak/>
              <w:t>8.  Schedule</w:t>
            </w:r>
            <w:r w:rsidR="00383870" w:rsidRPr="00383870">
              <w:t> </w:t>
            </w:r>
            <w:r w:rsidRPr="00383870">
              <w:t>1, item</w:t>
            </w:r>
            <w:r w:rsidR="00383870" w:rsidRPr="00383870">
              <w:t> </w:t>
            </w:r>
            <w:r w:rsidRPr="00383870">
              <w:t>19</w:t>
            </w:r>
          </w:p>
        </w:tc>
        <w:tc>
          <w:tcPr>
            <w:tcW w:w="3828" w:type="dxa"/>
            <w:tcBorders>
              <w:bottom w:val="single" w:sz="12" w:space="0" w:color="auto"/>
            </w:tcBorders>
            <w:shd w:val="clear" w:color="auto" w:fill="auto"/>
          </w:tcPr>
          <w:p w:rsidR="008F0777" w:rsidRPr="00383870" w:rsidRDefault="008F0777" w:rsidP="00383870">
            <w:pPr>
              <w:pStyle w:val="Tabletext"/>
            </w:pPr>
            <w:r w:rsidRPr="00383870">
              <w:t>The later of:</w:t>
            </w:r>
          </w:p>
          <w:p w:rsidR="008F0777" w:rsidRPr="00383870" w:rsidRDefault="008F0777" w:rsidP="00383870">
            <w:pPr>
              <w:pStyle w:val="Tablea"/>
            </w:pPr>
            <w:r w:rsidRPr="00383870">
              <w:t>(a) immediately after the commencement of the provisions covered by table item</w:t>
            </w:r>
            <w:r w:rsidR="00383870" w:rsidRPr="00383870">
              <w:t> </w:t>
            </w:r>
            <w:r w:rsidRPr="00383870">
              <w:t>6; and</w:t>
            </w:r>
          </w:p>
          <w:p w:rsidR="008F0777" w:rsidRPr="00383870" w:rsidRDefault="008F0777" w:rsidP="00383870">
            <w:pPr>
              <w:pStyle w:val="Tablea"/>
            </w:pPr>
            <w:r w:rsidRPr="00383870">
              <w:t>(b) immediately after the commencement of Part</w:t>
            </w:r>
            <w:r w:rsidR="00383870" w:rsidRPr="00383870">
              <w:t> </w:t>
            </w:r>
            <w:r w:rsidRPr="00383870">
              <w:t>2 of Schedule</w:t>
            </w:r>
            <w:r w:rsidR="00383870" w:rsidRPr="00383870">
              <w:t> </w:t>
            </w:r>
            <w:r w:rsidRPr="00383870">
              <w:t xml:space="preserve">4 to the </w:t>
            </w:r>
            <w:r w:rsidRPr="00383870">
              <w:rPr>
                <w:i/>
              </w:rPr>
              <w:t>Tax and Superannuation Laws Amendment (2015 Measures No.</w:t>
            </w:r>
            <w:r w:rsidR="00383870" w:rsidRPr="00383870">
              <w:rPr>
                <w:i/>
              </w:rPr>
              <w:t> </w:t>
            </w:r>
            <w:r w:rsidRPr="00383870">
              <w:rPr>
                <w:i/>
              </w:rPr>
              <w:t>5) Act 2015</w:t>
            </w:r>
            <w:r w:rsidRPr="00383870">
              <w:t>.</w:t>
            </w:r>
          </w:p>
          <w:p w:rsidR="008F0777" w:rsidRPr="00383870" w:rsidRDefault="008F0777" w:rsidP="00383870">
            <w:pPr>
              <w:pStyle w:val="Tabletext"/>
            </w:pPr>
            <w:r w:rsidRPr="00383870">
              <w:t xml:space="preserve">However, the provisions do not commence at all if the event mentioned in </w:t>
            </w:r>
            <w:r w:rsidR="00383870" w:rsidRPr="00383870">
              <w:t>paragraph (</w:t>
            </w:r>
            <w:r w:rsidRPr="00383870">
              <w:t>b) does not occur.</w:t>
            </w:r>
          </w:p>
        </w:tc>
        <w:tc>
          <w:tcPr>
            <w:tcW w:w="1582" w:type="dxa"/>
            <w:tcBorders>
              <w:bottom w:val="single" w:sz="12" w:space="0" w:color="auto"/>
            </w:tcBorders>
            <w:shd w:val="clear" w:color="auto" w:fill="auto"/>
          </w:tcPr>
          <w:p w:rsidR="00C278DA" w:rsidRDefault="00C278DA" w:rsidP="00383870">
            <w:pPr>
              <w:pStyle w:val="Tabletext"/>
            </w:pPr>
            <w:r>
              <w:t>19 March 2016</w:t>
            </w:r>
          </w:p>
          <w:p w:rsidR="008F0777" w:rsidRPr="00383870" w:rsidRDefault="00C278DA" w:rsidP="00383870">
            <w:pPr>
              <w:pStyle w:val="Tabletext"/>
            </w:pPr>
            <w:r>
              <w:t>(paragraph (a) applies)</w:t>
            </w:r>
          </w:p>
        </w:tc>
      </w:tr>
    </w:tbl>
    <w:p w:rsidR="0048364F" w:rsidRPr="00383870" w:rsidRDefault="00201D27" w:rsidP="00383870">
      <w:pPr>
        <w:pStyle w:val="notetext"/>
      </w:pPr>
      <w:r w:rsidRPr="00383870">
        <w:t>Note:</w:t>
      </w:r>
      <w:r w:rsidRPr="00383870">
        <w:tab/>
        <w:t>This table relates only to the provisions of this Act as originally enacted. It will not be amended to deal with any later amendments of this Act.</w:t>
      </w:r>
    </w:p>
    <w:p w:rsidR="0048364F" w:rsidRPr="00383870" w:rsidRDefault="0048364F" w:rsidP="00383870">
      <w:pPr>
        <w:pStyle w:val="subsection"/>
      </w:pPr>
      <w:r w:rsidRPr="00383870">
        <w:tab/>
        <w:t>(2)</w:t>
      </w:r>
      <w:r w:rsidRPr="00383870">
        <w:tab/>
      </w:r>
      <w:r w:rsidR="00201D27" w:rsidRPr="00383870">
        <w:t xml:space="preserve">Any information in </w:t>
      </w:r>
      <w:r w:rsidR="00877D48" w:rsidRPr="00383870">
        <w:t>c</w:t>
      </w:r>
      <w:r w:rsidR="00201D27" w:rsidRPr="00383870">
        <w:t>olumn 3 of the table is not part of this Act. Information may be inserted in this column, or information in it may be edited, in any published version of this Act.</w:t>
      </w:r>
    </w:p>
    <w:p w:rsidR="0048364F" w:rsidRPr="00383870" w:rsidRDefault="0048364F" w:rsidP="00383870">
      <w:pPr>
        <w:pStyle w:val="ActHead5"/>
      </w:pPr>
      <w:bookmarkStart w:id="4" w:name="_Toc446416444"/>
      <w:r w:rsidRPr="00383870">
        <w:rPr>
          <w:rStyle w:val="CharSectno"/>
        </w:rPr>
        <w:t>3</w:t>
      </w:r>
      <w:r w:rsidRPr="00383870">
        <w:t xml:space="preserve">  Schedules</w:t>
      </w:r>
      <w:bookmarkEnd w:id="4"/>
    </w:p>
    <w:p w:rsidR="0048364F" w:rsidRPr="00383870" w:rsidRDefault="0048364F" w:rsidP="00383870">
      <w:pPr>
        <w:pStyle w:val="subsection"/>
      </w:pPr>
      <w:r w:rsidRPr="00383870">
        <w:tab/>
      </w:r>
      <w:r w:rsidRPr="00383870">
        <w:tab/>
      </w:r>
      <w:r w:rsidR="00202618" w:rsidRPr="00383870">
        <w:t>Legislation that is specified in a Schedule to this Act is amended or repealed as set out in the applicable items in the Schedule concerned, and any other item in a Schedule to this Act has effect according to its terms.</w:t>
      </w:r>
    </w:p>
    <w:p w:rsidR="008F0777" w:rsidRPr="00383870" w:rsidRDefault="008F0777" w:rsidP="00383870">
      <w:pPr>
        <w:pStyle w:val="ActHead6"/>
        <w:pageBreakBefore/>
      </w:pPr>
      <w:bookmarkStart w:id="5" w:name="_Toc446416445"/>
      <w:bookmarkStart w:id="6" w:name="opcAmSched"/>
      <w:bookmarkStart w:id="7" w:name="opcCurrentFind"/>
      <w:r w:rsidRPr="00383870">
        <w:rPr>
          <w:rStyle w:val="CharAmSchNo"/>
        </w:rPr>
        <w:lastRenderedPageBreak/>
        <w:t>Schedule</w:t>
      </w:r>
      <w:r w:rsidR="00383870" w:rsidRPr="00383870">
        <w:rPr>
          <w:rStyle w:val="CharAmSchNo"/>
        </w:rPr>
        <w:t> </w:t>
      </w:r>
      <w:r w:rsidRPr="00383870">
        <w:rPr>
          <w:rStyle w:val="CharAmSchNo"/>
        </w:rPr>
        <w:t>1</w:t>
      </w:r>
      <w:r w:rsidRPr="00383870">
        <w:t>—</w:t>
      </w:r>
      <w:r w:rsidRPr="00383870">
        <w:rPr>
          <w:rStyle w:val="CharAmSchText"/>
        </w:rPr>
        <w:t>Common Reporting Standard</w:t>
      </w:r>
      <w:bookmarkEnd w:id="5"/>
    </w:p>
    <w:p w:rsidR="008F0777" w:rsidRPr="00383870" w:rsidRDefault="008F0777" w:rsidP="00383870">
      <w:pPr>
        <w:pStyle w:val="ActHead7"/>
      </w:pPr>
      <w:bookmarkStart w:id="8" w:name="_Toc446416446"/>
      <w:bookmarkEnd w:id="6"/>
      <w:bookmarkEnd w:id="7"/>
      <w:r w:rsidRPr="00383870">
        <w:rPr>
          <w:rStyle w:val="CharAmPartNo"/>
        </w:rPr>
        <w:t>Part</w:t>
      </w:r>
      <w:r w:rsidR="00383870" w:rsidRPr="00383870">
        <w:rPr>
          <w:rStyle w:val="CharAmPartNo"/>
        </w:rPr>
        <w:t> </w:t>
      </w:r>
      <w:r w:rsidRPr="00383870">
        <w:rPr>
          <w:rStyle w:val="CharAmPartNo"/>
        </w:rPr>
        <w:t>1</w:t>
      </w:r>
      <w:r w:rsidRPr="00383870">
        <w:t>—</w:t>
      </w:r>
      <w:r w:rsidRPr="00383870">
        <w:rPr>
          <w:rStyle w:val="CharAmPartText"/>
        </w:rPr>
        <w:t>Main amendments</w:t>
      </w:r>
      <w:bookmarkEnd w:id="8"/>
    </w:p>
    <w:p w:rsidR="008F0777" w:rsidRPr="00383870" w:rsidRDefault="008F0777" w:rsidP="00383870">
      <w:pPr>
        <w:pStyle w:val="ActHead9"/>
        <w:rPr>
          <w:i w:val="0"/>
        </w:rPr>
      </w:pPr>
      <w:bookmarkStart w:id="9" w:name="_Toc446416447"/>
      <w:r w:rsidRPr="00383870">
        <w:t>Income Tax Assessment Act 1997</w:t>
      </w:r>
      <w:bookmarkEnd w:id="9"/>
    </w:p>
    <w:p w:rsidR="008F0777" w:rsidRPr="00383870" w:rsidRDefault="008F0777" w:rsidP="00383870">
      <w:pPr>
        <w:pStyle w:val="ItemHead"/>
      </w:pPr>
      <w:r w:rsidRPr="00383870">
        <w:t>1  Subsection</w:t>
      </w:r>
      <w:r w:rsidR="00383870" w:rsidRPr="00383870">
        <w:t> </w:t>
      </w:r>
      <w:r w:rsidRPr="00383870">
        <w:t>995</w:t>
      </w:r>
      <w:r w:rsidR="00C51CD0">
        <w:noBreakHyphen/>
      </w:r>
      <w:r w:rsidRPr="00383870">
        <w:t>1(1)</w:t>
      </w:r>
    </w:p>
    <w:p w:rsidR="008F0777" w:rsidRPr="00383870" w:rsidRDefault="008F0777" w:rsidP="00383870">
      <w:pPr>
        <w:pStyle w:val="Item"/>
      </w:pPr>
      <w:r w:rsidRPr="00383870">
        <w:t>Insert:</w:t>
      </w:r>
    </w:p>
    <w:p w:rsidR="008F0777" w:rsidRPr="00383870" w:rsidRDefault="008F0777" w:rsidP="00383870">
      <w:pPr>
        <w:pStyle w:val="Definition"/>
      </w:pPr>
      <w:r w:rsidRPr="00383870">
        <w:rPr>
          <w:b/>
          <w:i/>
        </w:rPr>
        <w:t>CRS</w:t>
      </w:r>
      <w:r w:rsidRPr="00383870">
        <w:t xml:space="preserve"> (short for Common Reporting Standard) has the meaning given by subsection</w:t>
      </w:r>
      <w:r w:rsidR="00383870" w:rsidRPr="00383870">
        <w:t> </w:t>
      </w:r>
      <w:r w:rsidRPr="00383870">
        <w:t>396</w:t>
      </w:r>
      <w:r w:rsidR="00C51CD0">
        <w:noBreakHyphen/>
      </w:r>
      <w:r w:rsidRPr="00383870">
        <w:t>110(1) in Schedule</w:t>
      </w:r>
      <w:r w:rsidR="00383870" w:rsidRPr="00383870">
        <w:t> </w:t>
      </w:r>
      <w:r w:rsidRPr="00383870">
        <w:t xml:space="preserve">1 to the </w:t>
      </w:r>
      <w:r w:rsidRPr="00383870">
        <w:rPr>
          <w:i/>
        </w:rPr>
        <w:t>Taxation Administration Act 1953</w:t>
      </w:r>
      <w:r w:rsidRPr="00383870">
        <w:t>.</w:t>
      </w:r>
    </w:p>
    <w:p w:rsidR="008F0777" w:rsidRPr="00383870" w:rsidRDefault="008F0777" w:rsidP="00383870">
      <w:pPr>
        <w:pStyle w:val="Definition"/>
      </w:pPr>
      <w:r w:rsidRPr="00383870">
        <w:rPr>
          <w:b/>
          <w:i/>
        </w:rPr>
        <w:t>CRS Commentary</w:t>
      </w:r>
      <w:r w:rsidRPr="00383870">
        <w:t xml:space="preserve"> has the meaning given by subsection</w:t>
      </w:r>
      <w:r w:rsidR="00383870" w:rsidRPr="00383870">
        <w:t> </w:t>
      </w:r>
      <w:r w:rsidRPr="00383870">
        <w:t>396</w:t>
      </w:r>
      <w:r w:rsidR="00C51CD0">
        <w:noBreakHyphen/>
      </w:r>
      <w:r w:rsidRPr="00383870">
        <w:t>110(2) in Schedule</w:t>
      </w:r>
      <w:r w:rsidR="00383870" w:rsidRPr="00383870">
        <w:t> </w:t>
      </w:r>
      <w:r w:rsidRPr="00383870">
        <w:t xml:space="preserve">1 to the </w:t>
      </w:r>
      <w:r w:rsidRPr="00383870">
        <w:rPr>
          <w:i/>
        </w:rPr>
        <w:t>Taxation Administration Act 1953</w:t>
      </w:r>
      <w:r w:rsidRPr="00383870">
        <w:t>.</w:t>
      </w:r>
    </w:p>
    <w:p w:rsidR="008F0777" w:rsidRPr="00383870" w:rsidRDefault="008F0777" w:rsidP="00383870">
      <w:pPr>
        <w:pStyle w:val="ActHead9"/>
        <w:rPr>
          <w:i w:val="0"/>
        </w:rPr>
      </w:pPr>
      <w:bookmarkStart w:id="10" w:name="_Toc446416448"/>
      <w:r w:rsidRPr="00383870">
        <w:t>Taxation Administration Act 1953</w:t>
      </w:r>
      <w:bookmarkEnd w:id="10"/>
    </w:p>
    <w:p w:rsidR="008F0777" w:rsidRPr="00383870" w:rsidRDefault="008F0777" w:rsidP="00383870">
      <w:pPr>
        <w:pStyle w:val="ItemHead"/>
      </w:pPr>
      <w:r w:rsidRPr="00383870">
        <w:t>2  After section</w:t>
      </w:r>
      <w:r w:rsidR="00383870" w:rsidRPr="00383870">
        <w:t> </w:t>
      </w:r>
      <w:r w:rsidRPr="00383870">
        <w:t>288</w:t>
      </w:r>
      <w:r w:rsidR="00C51CD0">
        <w:noBreakHyphen/>
      </w:r>
      <w:r w:rsidRPr="00383870">
        <w:t>80 in Schedule</w:t>
      </w:r>
      <w:r w:rsidR="00383870" w:rsidRPr="00383870">
        <w:t> </w:t>
      </w:r>
      <w:r w:rsidRPr="00383870">
        <w:t>1</w:t>
      </w:r>
    </w:p>
    <w:p w:rsidR="008F0777" w:rsidRPr="00383870" w:rsidRDefault="008F0777" w:rsidP="00383870">
      <w:pPr>
        <w:pStyle w:val="Item"/>
      </w:pPr>
      <w:r w:rsidRPr="00383870">
        <w:t>Insert:</w:t>
      </w:r>
    </w:p>
    <w:p w:rsidR="008F0777" w:rsidRPr="00383870" w:rsidRDefault="008F0777" w:rsidP="00383870">
      <w:pPr>
        <w:pStyle w:val="ActHead5"/>
      </w:pPr>
      <w:bookmarkStart w:id="11" w:name="_Toc446416449"/>
      <w:r w:rsidRPr="00383870">
        <w:rPr>
          <w:rStyle w:val="CharSectno"/>
        </w:rPr>
        <w:t>288</w:t>
      </w:r>
      <w:r w:rsidR="00C51CD0">
        <w:rPr>
          <w:rStyle w:val="CharSectno"/>
        </w:rPr>
        <w:noBreakHyphen/>
      </w:r>
      <w:r w:rsidRPr="00383870">
        <w:rPr>
          <w:rStyle w:val="CharSectno"/>
        </w:rPr>
        <w:t>85</w:t>
      </w:r>
      <w:r w:rsidRPr="00383870">
        <w:t xml:space="preserve">  Failure by Reporting Financial Institution to obtain self</w:t>
      </w:r>
      <w:r w:rsidR="00C51CD0">
        <w:noBreakHyphen/>
      </w:r>
      <w:r w:rsidRPr="00383870">
        <w:t>certification</w:t>
      </w:r>
      <w:bookmarkEnd w:id="11"/>
    </w:p>
    <w:p w:rsidR="008F0777" w:rsidRPr="00383870" w:rsidRDefault="008F0777" w:rsidP="00383870">
      <w:pPr>
        <w:pStyle w:val="subsection"/>
      </w:pPr>
      <w:r w:rsidRPr="00383870">
        <w:tab/>
      </w:r>
      <w:r w:rsidRPr="00383870">
        <w:tab/>
        <w:t>An entity that:</w:t>
      </w:r>
    </w:p>
    <w:p w:rsidR="008F0777" w:rsidRPr="00383870" w:rsidRDefault="008F0777" w:rsidP="00383870">
      <w:pPr>
        <w:pStyle w:val="paragraph"/>
      </w:pPr>
      <w:r w:rsidRPr="00383870">
        <w:tab/>
        <w:t>(a)</w:t>
      </w:r>
      <w:r w:rsidRPr="00383870">
        <w:tab/>
        <w:t>is:</w:t>
      </w:r>
    </w:p>
    <w:p w:rsidR="008F0777" w:rsidRPr="00383870" w:rsidRDefault="008F0777" w:rsidP="00383870">
      <w:pPr>
        <w:pStyle w:val="paragraphsub"/>
      </w:pPr>
      <w:r w:rsidRPr="00383870">
        <w:tab/>
        <w:t>(i)</w:t>
      </w:r>
      <w:r w:rsidRPr="00383870">
        <w:tab/>
        <w:t xml:space="preserve">a Reporting Financial Institution (within the meaning of the </w:t>
      </w:r>
      <w:r w:rsidR="00383870" w:rsidRPr="00383870">
        <w:rPr>
          <w:position w:val="6"/>
          <w:sz w:val="16"/>
        </w:rPr>
        <w:t>*</w:t>
      </w:r>
      <w:r w:rsidRPr="00383870">
        <w:t>CRS); or</w:t>
      </w:r>
    </w:p>
    <w:p w:rsidR="008F0777" w:rsidRPr="00383870" w:rsidRDefault="008F0777" w:rsidP="00383870">
      <w:pPr>
        <w:pStyle w:val="paragraphsub"/>
      </w:pPr>
      <w:r w:rsidRPr="00383870">
        <w:tab/>
        <w:t>(ii)</w:t>
      </w:r>
      <w:r w:rsidRPr="00383870">
        <w:tab/>
        <w:t>an institution that a notice under subsection</w:t>
      </w:r>
      <w:r w:rsidR="00383870" w:rsidRPr="00383870">
        <w:t> </w:t>
      </w:r>
      <w:r w:rsidRPr="00383870">
        <w:t>396</w:t>
      </w:r>
      <w:r w:rsidR="00C51CD0">
        <w:noBreakHyphen/>
      </w:r>
      <w:r w:rsidRPr="00383870">
        <w:t>130(5) requires to act as a Reporting Financial Institution; and</w:t>
      </w:r>
    </w:p>
    <w:p w:rsidR="008F0777" w:rsidRPr="00383870" w:rsidRDefault="008F0777" w:rsidP="00383870">
      <w:pPr>
        <w:pStyle w:val="paragraph"/>
      </w:pPr>
      <w:r w:rsidRPr="00383870">
        <w:tab/>
        <w:t>(b)</w:t>
      </w:r>
      <w:r w:rsidRPr="00383870">
        <w:tab/>
        <w:t>is required to obtain a self</w:t>
      </w:r>
      <w:r w:rsidR="00C51CD0">
        <w:noBreakHyphen/>
      </w:r>
      <w:r w:rsidRPr="00383870">
        <w:t>certification, in relation to an account maintained by the institution, when applying the due diligence procedures described in the CRS; and</w:t>
      </w:r>
    </w:p>
    <w:p w:rsidR="008F0777" w:rsidRPr="00383870" w:rsidRDefault="008F0777" w:rsidP="00383870">
      <w:pPr>
        <w:pStyle w:val="paragraph"/>
      </w:pPr>
      <w:r w:rsidRPr="00383870">
        <w:tab/>
        <w:t>(c)</w:t>
      </w:r>
      <w:r w:rsidRPr="00383870">
        <w:tab/>
        <w:t>fails to obtain the self</w:t>
      </w:r>
      <w:r w:rsidR="00C51CD0">
        <w:noBreakHyphen/>
      </w:r>
      <w:r w:rsidRPr="00383870">
        <w:t>certification:</w:t>
      </w:r>
    </w:p>
    <w:p w:rsidR="008F0777" w:rsidRPr="00383870" w:rsidRDefault="008F0777" w:rsidP="00383870">
      <w:pPr>
        <w:pStyle w:val="paragraphsub"/>
      </w:pPr>
      <w:r w:rsidRPr="00383870">
        <w:tab/>
        <w:t>(i)</w:t>
      </w:r>
      <w:r w:rsidRPr="00383870">
        <w:tab/>
        <w:t>if the account is a Reportable Account (within the meaning of the CRS) or an account that a notice under subsection</w:t>
      </w:r>
      <w:r w:rsidR="00383870" w:rsidRPr="00383870">
        <w:t> </w:t>
      </w:r>
      <w:r w:rsidRPr="00383870">
        <w:t>396</w:t>
      </w:r>
      <w:r w:rsidR="00C51CD0">
        <w:noBreakHyphen/>
      </w:r>
      <w:r w:rsidRPr="00383870">
        <w:t xml:space="preserve">130(2) requires the entity to treat as a </w:t>
      </w:r>
      <w:r w:rsidRPr="00383870">
        <w:lastRenderedPageBreak/>
        <w:t>Reportable Account—by the time by which a statement under subsection</w:t>
      </w:r>
      <w:r w:rsidR="00383870" w:rsidRPr="00383870">
        <w:t> </w:t>
      </w:r>
      <w:r w:rsidRPr="00383870">
        <w:t>396</w:t>
      </w:r>
      <w:r w:rsidR="00C51CD0">
        <w:noBreakHyphen/>
      </w:r>
      <w:r w:rsidRPr="00383870">
        <w:t>105(2) relating to the account must be given to the Commissioner; or</w:t>
      </w:r>
    </w:p>
    <w:p w:rsidR="008F0777" w:rsidRPr="00383870" w:rsidRDefault="008F0777" w:rsidP="00383870">
      <w:pPr>
        <w:pStyle w:val="paragraphsub"/>
      </w:pPr>
      <w:r w:rsidRPr="00383870">
        <w:tab/>
        <w:t>(ii)</w:t>
      </w:r>
      <w:r w:rsidRPr="00383870">
        <w:tab/>
        <w:t>otherwise—by the time by which such a statement would be required to be given to the Commissioner if the account were such a Reportable Account;</w:t>
      </w:r>
    </w:p>
    <w:p w:rsidR="008F0777" w:rsidRPr="00383870" w:rsidRDefault="008F0777" w:rsidP="00383870">
      <w:pPr>
        <w:pStyle w:val="subsection2"/>
      </w:pPr>
      <w:r w:rsidRPr="00383870">
        <w:t>is liable to an administrative penalty of 1 penalty unit.</w:t>
      </w:r>
    </w:p>
    <w:p w:rsidR="008F0777" w:rsidRPr="00383870" w:rsidRDefault="008F0777" w:rsidP="00383870">
      <w:pPr>
        <w:pStyle w:val="ItemHead"/>
      </w:pPr>
      <w:r w:rsidRPr="00383870">
        <w:t>3  Division</w:t>
      </w:r>
      <w:r w:rsidR="00383870" w:rsidRPr="00383870">
        <w:t> </w:t>
      </w:r>
      <w:r w:rsidRPr="00383870">
        <w:t>396 in Schedule</w:t>
      </w:r>
      <w:r w:rsidR="00383870" w:rsidRPr="00383870">
        <w:t> </w:t>
      </w:r>
      <w:r w:rsidRPr="00383870">
        <w:t>1 (heading)</w:t>
      </w:r>
    </w:p>
    <w:p w:rsidR="008F0777" w:rsidRPr="00383870" w:rsidRDefault="008F0777" w:rsidP="00383870">
      <w:pPr>
        <w:pStyle w:val="Item"/>
      </w:pPr>
      <w:r w:rsidRPr="00383870">
        <w:t>Repeal the heading, substitute:</w:t>
      </w:r>
    </w:p>
    <w:p w:rsidR="008F0777" w:rsidRPr="00383870" w:rsidRDefault="008F0777" w:rsidP="00383870">
      <w:pPr>
        <w:pStyle w:val="ActHead3"/>
      </w:pPr>
      <w:bookmarkStart w:id="12" w:name="_Toc446416450"/>
      <w:r w:rsidRPr="00383870">
        <w:rPr>
          <w:rStyle w:val="CharDivNo"/>
        </w:rPr>
        <w:t>Division</w:t>
      </w:r>
      <w:r w:rsidR="00383870" w:rsidRPr="00383870">
        <w:rPr>
          <w:rStyle w:val="CharDivNo"/>
        </w:rPr>
        <w:t> </w:t>
      </w:r>
      <w:r w:rsidRPr="00383870">
        <w:rPr>
          <w:rStyle w:val="CharDivNo"/>
        </w:rPr>
        <w:t>396</w:t>
      </w:r>
      <w:r w:rsidRPr="00383870">
        <w:t>—</w:t>
      </w:r>
      <w:r w:rsidRPr="00383870">
        <w:rPr>
          <w:rStyle w:val="CharDivText"/>
        </w:rPr>
        <w:t>Third party reporting</w:t>
      </w:r>
      <w:bookmarkEnd w:id="12"/>
    </w:p>
    <w:p w:rsidR="008F0777" w:rsidRPr="00383870" w:rsidRDefault="008F0777" w:rsidP="00383870">
      <w:pPr>
        <w:pStyle w:val="ItemHead"/>
      </w:pPr>
      <w:r w:rsidRPr="00383870">
        <w:t>4  Division</w:t>
      </w:r>
      <w:r w:rsidR="00383870" w:rsidRPr="00383870">
        <w:t> </w:t>
      </w:r>
      <w:r w:rsidRPr="00383870">
        <w:t>396 in Schedule</w:t>
      </w:r>
      <w:r w:rsidR="00383870" w:rsidRPr="00383870">
        <w:t> </w:t>
      </w:r>
      <w:r w:rsidRPr="00383870">
        <w:t>1 (after the heading)</w:t>
      </w:r>
    </w:p>
    <w:p w:rsidR="008F0777" w:rsidRPr="00383870" w:rsidRDefault="008F0777" w:rsidP="00383870">
      <w:pPr>
        <w:pStyle w:val="Item"/>
      </w:pPr>
      <w:r w:rsidRPr="00383870">
        <w:t>Insert:</w:t>
      </w:r>
    </w:p>
    <w:p w:rsidR="008F0777" w:rsidRPr="00383870" w:rsidRDefault="008F0777" w:rsidP="00383870">
      <w:pPr>
        <w:pStyle w:val="TofSectsHeading"/>
      </w:pPr>
      <w:r w:rsidRPr="00383870">
        <w:t>Table of Subdivisions</w:t>
      </w:r>
    </w:p>
    <w:p w:rsidR="008F0777" w:rsidRPr="00383870" w:rsidRDefault="008F0777" w:rsidP="00383870">
      <w:pPr>
        <w:pStyle w:val="TofSectsSubdiv"/>
      </w:pPr>
      <w:r w:rsidRPr="00383870">
        <w:t>396</w:t>
      </w:r>
      <w:r w:rsidR="00C51CD0">
        <w:noBreakHyphen/>
      </w:r>
      <w:r w:rsidRPr="00383870">
        <w:t>A</w:t>
      </w:r>
      <w:r w:rsidRPr="00383870">
        <w:tab/>
        <w:t>FATCA</w:t>
      </w:r>
    </w:p>
    <w:p w:rsidR="008F0777" w:rsidRPr="00383870" w:rsidRDefault="008F0777" w:rsidP="00383870">
      <w:pPr>
        <w:pStyle w:val="TofSectsSubdiv"/>
      </w:pPr>
      <w:r w:rsidRPr="00383870">
        <w:t>396</w:t>
      </w:r>
      <w:r w:rsidR="00C51CD0">
        <w:noBreakHyphen/>
      </w:r>
      <w:r w:rsidRPr="00383870">
        <w:t>C</w:t>
      </w:r>
      <w:r w:rsidRPr="00383870">
        <w:tab/>
        <w:t>Common Reporting Standard</w:t>
      </w:r>
    </w:p>
    <w:p w:rsidR="008F0777" w:rsidRPr="00383870" w:rsidRDefault="008F0777" w:rsidP="00383870">
      <w:pPr>
        <w:pStyle w:val="ItemHead"/>
      </w:pPr>
      <w:r w:rsidRPr="00383870">
        <w:t>5  Before section</w:t>
      </w:r>
      <w:r w:rsidR="00383870" w:rsidRPr="00383870">
        <w:t> </w:t>
      </w:r>
      <w:r w:rsidRPr="00383870">
        <w:t>396</w:t>
      </w:r>
      <w:r w:rsidR="00C51CD0">
        <w:noBreakHyphen/>
      </w:r>
      <w:r w:rsidRPr="00383870">
        <w:t>1 in Schedule</w:t>
      </w:r>
      <w:r w:rsidR="00383870" w:rsidRPr="00383870">
        <w:t> </w:t>
      </w:r>
      <w:r w:rsidRPr="00383870">
        <w:t>1</w:t>
      </w:r>
    </w:p>
    <w:p w:rsidR="008F0777" w:rsidRPr="00383870" w:rsidRDefault="008F0777" w:rsidP="00383870">
      <w:pPr>
        <w:pStyle w:val="Item"/>
      </w:pPr>
      <w:r w:rsidRPr="00383870">
        <w:t>Insert:</w:t>
      </w:r>
    </w:p>
    <w:p w:rsidR="008F0777" w:rsidRPr="00383870" w:rsidRDefault="008F0777" w:rsidP="00383870">
      <w:pPr>
        <w:pStyle w:val="ActHead5"/>
      </w:pPr>
      <w:bookmarkStart w:id="13" w:name="_Toc446416451"/>
      <w:r w:rsidRPr="00383870">
        <w:rPr>
          <w:rStyle w:val="CharSectno"/>
        </w:rPr>
        <w:t>396</w:t>
      </w:r>
      <w:r w:rsidR="00C51CD0">
        <w:rPr>
          <w:rStyle w:val="CharSectno"/>
        </w:rPr>
        <w:noBreakHyphen/>
      </w:r>
      <w:r w:rsidRPr="00383870">
        <w:rPr>
          <w:rStyle w:val="CharSectno"/>
        </w:rPr>
        <w:t>1A</w:t>
      </w:r>
      <w:r w:rsidRPr="00383870">
        <w:t xml:space="preserve">  What this Division is about</w:t>
      </w:r>
      <w:bookmarkEnd w:id="13"/>
    </w:p>
    <w:p w:rsidR="008F0777" w:rsidRPr="00383870" w:rsidRDefault="008F0777" w:rsidP="00383870">
      <w:pPr>
        <w:pStyle w:val="SOText"/>
      </w:pPr>
      <w:r w:rsidRPr="00383870">
        <w:t>This Division requires financial institutions to give to the Commissioner information for the purposes of:</w:t>
      </w:r>
    </w:p>
    <w:p w:rsidR="008F0777" w:rsidRPr="00383870" w:rsidRDefault="008F0777" w:rsidP="00383870">
      <w:pPr>
        <w:pStyle w:val="SOPara"/>
      </w:pPr>
      <w:r w:rsidRPr="00383870">
        <w:tab/>
        <w:t>(a)</w:t>
      </w:r>
      <w:r w:rsidRPr="00383870">
        <w:tab/>
        <w:t>the FATCA Agreement; and</w:t>
      </w:r>
    </w:p>
    <w:p w:rsidR="008F0777" w:rsidRPr="00383870" w:rsidRDefault="008F0777" w:rsidP="00383870">
      <w:pPr>
        <w:pStyle w:val="SOPara"/>
      </w:pPr>
      <w:r w:rsidRPr="00383870">
        <w:tab/>
        <w:t>(b)</w:t>
      </w:r>
      <w:r w:rsidRPr="00383870">
        <w:tab/>
        <w:t>the Common Reporting Standard.</w:t>
      </w:r>
    </w:p>
    <w:p w:rsidR="008F0777" w:rsidRPr="00383870" w:rsidRDefault="008F0777" w:rsidP="00383870">
      <w:pPr>
        <w:pStyle w:val="ActHead4"/>
      </w:pPr>
      <w:bookmarkStart w:id="14" w:name="_Toc446416452"/>
      <w:r w:rsidRPr="00383870">
        <w:rPr>
          <w:rStyle w:val="CharSubdNo"/>
        </w:rPr>
        <w:t>Subdivision</w:t>
      </w:r>
      <w:r w:rsidR="00383870" w:rsidRPr="00383870">
        <w:rPr>
          <w:rStyle w:val="CharSubdNo"/>
        </w:rPr>
        <w:t> </w:t>
      </w:r>
      <w:r w:rsidRPr="00383870">
        <w:rPr>
          <w:rStyle w:val="CharSubdNo"/>
        </w:rPr>
        <w:t>396</w:t>
      </w:r>
      <w:r w:rsidR="00C51CD0">
        <w:rPr>
          <w:rStyle w:val="CharSubdNo"/>
        </w:rPr>
        <w:noBreakHyphen/>
      </w:r>
      <w:r w:rsidRPr="00383870">
        <w:rPr>
          <w:rStyle w:val="CharSubdNo"/>
        </w:rPr>
        <w:t>A</w:t>
      </w:r>
      <w:r w:rsidRPr="00383870">
        <w:t>—</w:t>
      </w:r>
      <w:r w:rsidRPr="00383870">
        <w:rPr>
          <w:rStyle w:val="CharSubdText"/>
        </w:rPr>
        <w:t>FATCA</w:t>
      </w:r>
      <w:bookmarkEnd w:id="14"/>
    </w:p>
    <w:p w:rsidR="008F0777" w:rsidRPr="00383870" w:rsidRDefault="008F0777" w:rsidP="00383870">
      <w:pPr>
        <w:pStyle w:val="ActHead4"/>
      </w:pPr>
      <w:bookmarkStart w:id="15" w:name="_Toc446416453"/>
      <w:r w:rsidRPr="00383870">
        <w:t>Guide to Subdivision</w:t>
      </w:r>
      <w:r w:rsidR="00383870" w:rsidRPr="00383870">
        <w:t> </w:t>
      </w:r>
      <w:r w:rsidRPr="00383870">
        <w:t>396</w:t>
      </w:r>
      <w:r w:rsidR="00C51CD0">
        <w:noBreakHyphen/>
      </w:r>
      <w:r w:rsidRPr="00383870">
        <w:t>A</w:t>
      </w:r>
      <w:bookmarkEnd w:id="15"/>
    </w:p>
    <w:p w:rsidR="008F0777" w:rsidRPr="00383870" w:rsidRDefault="008F0777" w:rsidP="00383870">
      <w:pPr>
        <w:pStyle w:val="ItemHead"/>
      </w:pPr>
      <w:r w:rsidRPr="00383870">
        <w:t>6  Section</w:t>
      </w:r>
      <w:r w:rsidR="00383870" w:rsidRPr="00383870">
        <w:t> </w:t>
      </w:r>
      <w:r w:rsidRPr="00383870">
        <w:t>396</w:t>
      </w:r>
      <w:r w:rsidR="00C51CD0">
        <w:noBreakHyphen/>
      </w:r>
      <w:r w:rsidRPr="00383870">
        <w:t>1 in Schedule</w:t>
      </w:r>
      <w:r w:rsidR="00383870" w:rsidRPr="00383870">
        <w:t> </w:t>
      </w:r>
      <w:r w:rsidRPr="00383870">
        <w:t>1 (heading)</w:t>
      </w:r>
    </w:p>
    <w:p w:rsidR="008F0777" w:rsidRPr="00383870" w:rsidRDefault="008F0777" w:rsidP="00383870">
      <w:pPr>
        <w:pStyle w:val="Item"/>
      </w:pPr>
      <w:r w:rsidRPr="00383870">
        <w:t>Repeal the heading, substitute:</w:t>
      </w:r>
    </w:p>
    <w:p w:rsidR="008F0777" w:rsidRPr="00383870" w:rsidRDefault="008F0777" w:rsidP="00383870">
      <w:pPr>
        <w:pStyle w:val="ActHead5"/>
      </w:pPr>
      <w:bookmarkStart w:id="16" w:name="_Toc446416454"/>
      <w:r w:rsidRPr="00383870">
        <w:rPr>
          <w:rStyle w:val="CharSectno"/>
        </w:rPr>
        <w:lastRenderedPageBreak/>
        <w:t>396</w:t>
      </w:r>
      <w:r w:rsidR="00C51CD0">
        <w:rPr>
          <w:rStyle w:val="CharSectno"/>
        </w:rPr>
        <w:noBreakHyphen/>
      </w:r>
      <w:r w:rsidRPr="00383870">
        <w:rPr>
          <w:rStyle w:val="CharSectno"/>
        </w:rPr>
        <w:t>1</w:t>
      </w:r>
      <w:r w:rsidRPr="00383870">
        <w:t xml:space="preserve">  What this Subdivision is about</w:t>
      </w:r>
      <w:bookmarkEnd w:id="16"/>
    </w:p>
    <w:p w:rsidR="008F0777" w:rsidRPr="00383870" w:rsidRDefault="008F0777" w:rsidP="00383870">
      <w:pPr>
        <w:pStyle w:val="ItemHead"/>
      </w:pPr>
      <w:r w:rsidRPr="00383870">
        <w:t>7  Before section</w:t>
      </w:r>
      <w:r w:rsidR="00383870" w:rsidRPr="00383870">
        <w:t> </w:t>
      </w:r>
      <w:r w:rsidRPr="00383870">
        <w:t>396</w:t>
      </w:r>
      <w:r w:rsidR="00C51CD0">
        <w:noBreakHyphen/>
      </w:r>
      <w:r w:rsidRPr="00383870">
        <w:t>5 in Schedule</w:t>
      </w:r>
      <w:r w:rsidR="00383870" w:rsidRPr="00383870">
        <w:t> </w:t>
      </w:r>
      <w:r w:rsidRPr="00383870">
        <w:t>1</w:t>
      </w:r>
    </w:p>
    <w:p w:rsidR="008F0777" w:rsidRPr="00383870" w:rsidRDefault="008F0777" w:rsidP="00383870">
      <w:pPr>
        <w:pStyle w:val="Item"/>
      </w:pPr>
      <w:r w:rsidRPr="00383870">
        <w:t>Insert:</w:t>
      </w:r>
    </w:p>
    <w:p w:rsidR="008F0777" w:rsidRPr="00383870" w:rsidRDefault="008F0777" w:rsidP="00383870">
      <w:pPr>
        <w:pStyle w:val="ActHead4"/>
      </w:pPr>
      <w:bookmarkStart w:id="17" w:name="_Toc446416455"/>
      <w:r w:rsidRPr="00383870">
        <w:t>Operative provisions</w:t>
      </w:r>
      <w:bookmarkEnd w:id="17"/>
    </w:p>
    <w:p w:rsidR="008F0777" w:rsidRPr="00383870" w:rsidRDefault="008F0777" w:rsidP="00383870">
      <w:pPr>
        <w:pStyle w:val="ItemHead"/>
      </w:pPr>
      <w:r w:rsidRPr="00383870">
        <w:t>8  At the end of subsection</w:t>
      </w:r>
      <w:r w:rsidR="00383870" w:rsidRPr="00383870">
        <w:t> </w:t>
      </w:r>
      <w:r w:rsidRPr="00383870">
        <w:t>396</w:t>
      </w:r>
      <w:r w:rsidR="00C51CD0">
        <w:noBreakHyphen/>
      </w:r>
      <w:r w:rsidRPr="00383870">
        <w:t>5(2) in Schedule</w:t>
      </w:r>
      <w:r w:rsidR="00383870" w:rsidRPr="00383870">
        <w:t> </w:t>
      </w:r>
      <w:r w:rsidRPr="00383870">
        <w:t>1</w:t>
      </w:r>
    </w:p>
    <w:p w:rsidR="008F0777" w:rsidRPr="00383870" w:rsidRDefault="008F0777" w:rsidP="00383870">
      <w:pPr>
        <w:pStyle w:val="Item"/>
      </w:pPr>
      <w:r w:rsidRPr="00383870">
        <w:t>Add:</w:t>
      </w:r>
    </w:p>
    <w:p w:rsidR="008F0777" w:rsidRPr="00383870" w:rsidRDefault="008F0777" w:rsidP="00383870">
      <w:pPr>
        <w:pStyle w:val="notetext"/>
      </w:pPr>
      <w:r w:rsidRPr="00383870">
        <w:t>Note:</w:t>
      </w:r>
      <w:r w:rsidRPr="00383870">
        <w:tab/>
        <w:t>Section</w:t>
      </w:r>
      <w:r w:rsidR="00383870" w:rsidRPr="00383870">
        <w:t> </w:t>
      </w:r>
      <w:r w:rsidRPr="00383870">
        <w:t>286</w:t>
      </w:r>
      <w:r w:rsidR="00C51CD0">
        <w:noBreakHyphen/>
      </w:r>
      <w:r w:rsidRPr="00383870">
        <w:t>75 provides an administrative penalty for breach of this subsection.</w:t>
      </w:r>
    </w:p>
    <w:p w:rsidR="008F0777" w:rsidRPr="00383870" w:rsidRDefault="008F0777" w:rsidP="00383870">
      <w:pPr>
        <w:pStyle w:val="ItemHead"/>
      </w:pPr>
      <w:r w:rsidRPr="00383870">
        <w:t>9  Subsection</w:t>
      </w:r>
      <w:r w:rsidR="00383870" w:rsidRPr="00383870">
        <w:t> </w:t>
      </w:r>
      <w:r w:rsidRPr="00383870">
        <w:t>396</w:t>
      </w:r>
      <w:r w:rsidR="00C51CD0">
        <w:noBreakHyphen/>
      </w:r>
      <w:r w:rsidRPr="00383870">
        <w:t>5(6) in Schedule</w:t>
      </w:r>
      <w:r w:rsidR="00383870" w:rsidRPr="00383870">
        <w:t> </w:t>
      </w:r>
      <w:r w:rsidRPr="00383870">
        <w:t>1</w:t>
      </w:r>
    </w:p>
    <w:p w:rsidR="008F0777" w:rsidRPr="00383870" w:rsidRDefault="008F0777" w:rsidP="00383870">
      <w:pPr>
        <w:pStyle w:val="Item"/>
      </w:pPr>
      <w:r w:rsidRPr="00383870">
        <w:t>Before “year”, insert “calendar”.</w:t>
      </w:r>
    </w:p>
    <w:p w:rsidR="008F0777" w:rsidRPr="00383870" w:rsidRDefault="008F0777" w:rsidP="00383870">
      <w:pPr>
        <w:pStyle w:val="ItemHead"/>
      </w:pPr>
      <w:r w:rsidRPr="00383870">
        <w:t>10  At the end of subsection</w:t>
      </w:r>
      <w:r w:rsidR="00383870" w:rsidRPr="00383870">
        <w:t> </w:t>
      </w:r>
      <w:r w:rsidRPr="00383870">
        <w:t>396</w:t>
      </w:r>
      <w:r w:rsidR="00C51CD0">
        <w:noBreakHyphen/>
      </w:r>
      <w:r w:rsidRPr="00383870">
        <w:t>10(2) in Schedule</w:t>
      </w:r>
      <w:r w:rsidR="00383870" w:rsidRPr="00383870">
        <w:t> </w:t>
      </w:r>
      <w:r w:rsidRPr="00383870">
        <w:t>1</w:t>
      </w:r>
    </w:p>
    <w:p w:rsidR="008F0777" w:rsidRPr="00383870" w:rsidRDefault="008F0777" w:rsidP="00383870">
      <w:pPr>
        <w:pStyle w:val="Item"/>
      </w:pPr>
      <w:r w:rsidRPr="00383870">
        <w:t>Add:</w:t>
      </w:r>
    </w:p>
    <w:p w:rsidR="008F0777" w:rsidRPr="00383870" w:rsidRDefault="008F0777" w:rsidP="00383870">
      <w:pPr>
        <w:pStyle w:val="notetext"/>
      </w:pPr>
      <w:r w:rsidRPr="00383870">
        <w:t>Note:</w:t>
      </w:r>
      <w:r w:rsidRPr="00383870">
        <w:tab/>
        <w:t>Section</w:t>
      </w:r>
      <w:r w:rsidR="00383870" w:rsidRPr="00383870">
        <w:t> </w:t>
      </w:r>
      <w:r w:rsidRPr="00383870">
        <w:t>286</w:t>
      </w:r>
      <w:r w:rsidR="00C51CD0">
        <w:noBreakHyphen/>
      </w:r>
      <w:r w:rsidRPr="00383870">
        <w:t>75 provides an administrative penalty for breach of this subsection.</w:t>
      </w:r>
    </w:p>
    <w:p w:rsidR="008F0777" w:rsidRPr="00383870" w:rsidRDefault="008F0777" w:rsidP="00383870">
      <w:pPr>
        <w:pStyle w:val="ItemHead"/>
      </w:pPr>
      <w:r w:rsidRPr="00383870">
        <w:t>11  Subsection</w:t>
      </w:r>
      <w:r w:rsidR="00383870" w:rsidRPr="00383870">
        <w:t> </w:t>
      </w:r>
      <w:r w:rsidRPr="00383870">
        <w:t>396</w:t>
      </w:r>
      <w:r w:rsidR="00C51CD0">
        <w:noBreakHyphen/>
      </w:r>
      <w:r w:rsidRPr="00383870">
        <w:t>10(6) in Schedule</w:t>
      </w:r>
      <w:r w:rsidR="00383870" w:rsidRPr="00383870">
        <w:t> </w:t>
      </w:r>
      <w:r w:rsidRPr="00383870">
        <w:t>1</w:t>
      </w:r>
    </w:p>
    <w:p w:rsidR="008F0777" w:rsidRPr="00383870" w:rsidRDefault="008F0777" w:rsidP="00383870">
      <w:pPr>
        <w:pStyle w:val="Item"/>
      </w:pPr>
      <w:r w:rsidRPr="00383870">
        <w:t>Before “year”, insert “calendar”.</w:t>
      </w:r>
    </w:p>
    <w:p w:rsidR="008F0777" w:rsidRPr="00383870" w:rsidRDefault="008F0777" w:rsidP="00383870">
      <w:pPr>
        <w:pStyle w:val="ItemHead"/>
      </w:pPr>
      <w:r w:rsidRPr="00383870">
        <w:t>12  Subsection</w:t>
      </w:r>
      <w:r w:rsidR="00383870" w:rsidRPr="00383870">
        <w:t> </w:t>
      </w:r>
      <w:r w:rsidRPr="00383870">
        <w:t>396</w:t>
      </w:r>
      <w:r w:rsidR="00C51CD0">
        <w:noBreakHyphen/>
      </w:r>
      <w:r w:rsidRPr="00383870">
        <w:t>20(1) in Schedule</w:t>
      </w:r>
      <w:r w:rsidR="00383870" w:rsidRPr="00383870">
        <w:t> </w:t>
      </w:r>
      <w:r w:rsidRPr="00383870">
        <w:t>1</w:t>
      </w:r>
    </w:p>
    <w:p w:rsidR="008F0777" w:rsidRPr="00383870" w:rsidRDefault="008F0777" w:rsidP="00383870">
      <w:pPr>
        <w:pStyle w:val="Item"/>
      </w:pPr>
      <w:r w:rsidRPr="00383870">
        <w:t>Omit “Division”, substitute “Subdivision”.</w:t>
      </w:r>
    </w:p>
    <w:p w:rsidR="008F0777" w:rsidRPr="00383870" w:rsidRDefault="008F0777" w:rsidP="00383870">
      <w:pPr>
        <w:pStyle w:val="ItemHead"/>
      </w:pPr>
      <w:r w:rsidRPr="00383870">
        <w:t>13  At the end of Division</w:t>
      </w:r>
      <w:r w:rsidR="00383870" w:rsidRPr="00383870">
        <w:t> </w:t>
      </w:r>
      <w:r w:rsidRPr="00383870">
        <w:t>396 in Schedule</w:t>
      </w:r>
      <w:r w:rsidR="00383870" w:rsidRPr="00383870">
        <w:t> </w:t>
      </w:r>
      <w:r w:rsidRPr="00383870">
        <w:t>1</w:t>
      </w:r>
    </w:p>
    <w:p w:rsidR="008F0777" w:rsidRPr="00383870" w:rsidRDefault="008F0777" w:rsidP="00383870">
      <w:pPr>
        <w:pStyle w:val="Item"/>
      </w:pPr>
      <w:r w:rsidRPr="00383870">
        <w:t>Add:</w:t>
      </w:r>
    </w:p>
    <w:p w:rsidR="008F0777" w:rsidRPr="00383870" w:rsidRDefault="008F0777" w:rsidP="00383870">
      <w:pPr>
        <w:pStyle w:val="ActHead4"/>
      </w:pPr>
      <w:bookmarkStart w:id="18" w:name="_Toc446416456"/>
      <w:r w:rsidRPr="00383870">
        <w:rPr>
          <w:rStyle w:val="CharSubdNo"/>
        </w:rPr>
        <w:lastRenderedPageBreak/>
        <w:t>Subdivision</w:t>
      </w:r>
      <w:r w:rsidR="00383870" w:rsidRPr="00383870">
        <w:rPr>
          <w:rStyle w:val="CharSubdNo"/>
        </w:rPr>
        <w:t> </w:t>
      </w:r>
      <w:r w:rsidRPr="00383870">
        <w:rPr>
          <w:rStyle w:val="CharSubdNo"/>
        </w:rPr>
        <w:t>396</w:t>
      </w:r>
      <w:r w:rsidR="00C51CD0">
        <w:rPr>
          <w:rStyle w:val="CharSubdNo"/>
        </w:rPr>
        <w:noBreakHyphen/>
      </w:r>
      <w:r w:rsidRPr="00383870">
        <w:rPr>
          <w:rStyle w:val="CharSubdNo"/>
        </w:rPr>
        <w:t>C</w:t>
      </w:r>
      <w:r w:rsidRPr="00383870">
        <w:t>—</w:t>
      </w:r>
      <w:r w:rsidRPr="00383870">
        <w:rPr>
          <w:rStyle w:val="CharSubdText"/>
        </w:rPr>
        <w:t>Common Reporting Standard</w:t>
      </w:r>
      <w:bookmarkEnd w:id="18"/>
    </w:p>
    <w:p w:rsidR="008F0777" w:rsidRPr="00383870" w:rsidRDefault="008F0777" w:rsidP="00383870">
      <w:pPr>
        <w:pStyle w:val="ActHead4"/>
      </w:pPr>
      <w:bookmarkStart w:id="19" w:name="_Toc446416457"/>
      <w:r w:rsidRPr="00383870">
        <w:t>Guide to Subdivision</w:t>
      </w:r>
      <w:r w:rsidR="00383870" w:rsidRPr="00383870">
        <w:t> </w:t>
      </w:r>
      <w:r w:rsidRPr="00383870">
        <w:t>396</w:t>
      </w:r>
      <w:r w:rsidR="00C51CD0">
        <w:noBreakHyphen/>
      </w:r>
      <w:r w:rsidRPr="00383870">
        <w:t>C</w:t>
      </w:r>
      <w:bookmarkEnd w:id="19"/>
    </w:p>
    <w:p w:rsidR="008F0777" w:rsidRPr="00383870" w:rsidRDefault="008F0777" w:rsidP="00383870">
      <w:pPr>
        <w:pStyle w:val="ActHead5"/>
      </w:pPr>
      <w:bookmarkStart w:id="20" w:name="_Toc446416458"/>
      <w:r w:rsidRPr="00383870">
        <w:rPr>
          <w:rStyle w:val="CharSectno"/>
        </w:rPr>
        <w:t>396</w:t>
      </w:r>
      <w:r w:rsidR="00C51CD0">
        <w:rPr>
          <w:rStyle w:val="CharSectno"/>
        </w:rPr>
        <w:noBreakHyphen/>
      </w:r>
      <w:r w:rsidRPr="00383870">
        <w:rPr>
          <w:rStyle w:val="CharSectno"/>
        </w:rPr>
        <w:t>100</w:t>
      </w:r>
      <w:r w:rsidRPr="00383870">
        <w:t xml:space="preserve">  What this Subdivision is about</w:t>
      </w:r>
      <w:bookmarkEnd w:id="20"/>
    </w:p>
    <w:p w:rsidR="008F0777" w:rsidRPr="00383870" w:rsidRDefault="008F0777" w:rsidP="00383870">
      <w:pPr>
        <w:pStyle w:val="SOText"/>
      </w:pPr>
      <w:r w:rsidRPr="00383870">
        <w:t>Australian Financial Institutions must give the Commissioner certain information about accounts of foreign residents. This obligation is based on the Common Reporting Standard.</w:t>
      </w:r>
    </w:p>
    <w:p w:rsidR="008F0777" w:rsidRPr="00383870" w:rsidRDefault="008F0777" w:rsidP="00383870">
      <w:pPr>
        <w:pStyle w:val="SOTextNote"/>
      </w:pPr>
      <w:r w:rsidRPr="00383870">
        <w:t>Note 1:</w:t>
      </w:r>
      <w:r w:rsidRPr="00383870">
        <w:tab/>
        <w:t>This obligation will assist the Australian Government to exchange information with other jurisdictions in accordance with international agreements, such as the Multilateral Convention on Mutual Administrative Assistance in Tax Matters, done at Strasbourg on 25</w:t>
      </w:r>
      <w:r w:rsidR="00383870" w:rsidRPr="00383870">
        <w:t> </w:t>
      </w:r>
      <w:r w:rsidRPr="00383870">
        <w:t>January 1988.</w:t>
      </w:r>
    </w:p>
    <w:p w:rsidR="008F0777" w:rsidRPr="00383870" w:rsidRDefault="008F0777" w:rsidP="00383870">
      <w:pPr>
        <w:pStyle w:val="SOTextNote"/>
      </w:pPr>
      <w:r w:rsidRPr="00383870">
        <w:tab/>
        <w:t>In 2015, the text of the Convention was available on the OECD’s website (http://www.oecd.org).</w:t>
      </w:r>
    </w:p>
    <w:p w:rsidR="008F0777" w:rsidRPr="00383870" w:rsidRDefault="008F0777" w:rsidP="00383870">
      <w:pPr>
        <w:pStyle w:val="SOTextNote"/>
      </w:pPr>
      <w:r w:rsidRPr="00383870">
        <w:t>Note 2:</w:t>
      </w:r>
      <w:r w:rsidRPr="00383870">
        <w:tab/>
        <w:t>The purpose of the Common Reporting Standard is to reduce international tax evasion. It sets out due diligence procedures for financial institutions to apply to identify account holders that are foreign tax residents, and provides for financial institutions to report information with respect to such account holders.</w:t>
      </w:r>
    </w:p>
    <w:p w:rsidR="008F0777" w:rsidRDefault="008F0777" w:rsidP="00383870">
      <w:pPr>
        <w:pStyle w:val="SOText"/>
      </w:pPr>
      <w:r w:rsidRPr="00383870">
        <w:t>This Subdivision also creates record</w:t>
      </w:r>
      <w:r w:rsidR="00C51CD0">
        <w:noBreakHyphen/>
      </w:r>
      <w:r w:rsidRPr="00383870">
        <w:t>keeping obligations in relation to the requirement to give the Commissioner information.</w:t>
      </w:r>
    </w:p>
    <w:p w:rsidR="006A6C8D" w:rsidRPr="00383870" w:rsidRDefault="006A6C8D" w:rsidP="00383870">
      <w:pPr>
        <w:pStyle w:val="SOText"/>
      </w:pPr>
      <w:r w:rsidRPr="000C667A">
        <w:t>This Subdivision also requires the Commissioner to report</w:t>
      </w:r>
      <w:r>
        <w:t xml:space="preserve"> </w:t>
      </w:r>
      <w:r w:rsidRPr="000C667A">
        <w:t>on certain Reportable Accounts that are maintained by Australian Reporting Financial Institutions.</w:t>
      </w:r>
    </w:p>
    <w:p w:rsidR="008F0777" w:rsidRPr="00383870" w:rsidRDefault="008F0777" w:rsidP="00383870">
      <w:pPr>
        <w:pStyle w:val="TofSectsHeading"/>
      </w:pPr>
      <w:r w:rsidRPr="00383870">
        <w:t>Table of sections</w:t>
      </w:r>
    </w:p>
    <w:p w:rsidR="008F0777" w:rsidRPr="00383870" w:rsidRDefault="008F0777" w:rsidP="00383870">
      <w:pPr>
        <w:pStyle w:val="TofSectsGroupHeading"/>
      </w:pPr>
      <w:r w:rsidRPr="00383870">
        <w:t>Operative provisions</w:t>
      </w:r>
    </w:p>
    <w:p w:rsidR="008F0777" w:rsidRPr="00383870" w:rsidRDefault="008F0777" w:rsidP="00383870">
      <w:pPr>
        <w:pStyle w:val="TofSectsSection"/>
      </w:pPr>
      <w:r w:rsidRPr="00383870">
        <w:t>396</w:t>
      </w:r>
      <w:r w:rsidR="00C51CD0">
        <w:noBreakHyphen/>
      </w:r>
      <w:r w:rsidRPr="00383870">
        <w:t>105</w:t>
      </w:r>
      <w:r w:rsidRPr="00383870">
        <w:tab/>
        <w:t>Statements about Reportable Accounts</w:t>
      </w:r>
    </w:p>
    <w:p w:rsidR="008F0777" w:rsidRPr="00383870" w:rsidRDefault="008F0777" w:rsidP="00383870">
      <w:pPr>
        <w:pStyle w:val="TofSectsSection"/>
        <w:rPr>
          <w:rStyle w:val="CharBoldItalic"/>
        </w:rPr>
      </w:pPr>
      <w:r w:rsidRPr="00383870">
        <w:t>396</w:t>
      </w:r>
      <w:r w:rsidR="00C51CD0">
        <w:noBreakHyphen/>
      </w:r>
      <w:r w:rsidRPr="00383870">
        <w:t>110</w:t>
      </w:r>
      <w:r w:rsidRPr="00383870">
        <w:tab/>
        <w:t xml:space="preserve">Meaning of </w:t>
      </w:r>
      <w:r w:rsidRPr="00383870">
        <w:rPr>
          <w:rStyle w:val="CharBoldItalic"/>
        </w:rPr>
        <w:t>CRS</w:t>
      </w:r>
    </w:p>
    <w:p w:rsidR="008F0777" w:rsidRPr="00383870" w:rsidRDefault="008F0777" w:rsidP="00383870">
      <w:pPr>
        <w:pStyle w:val="TofSectsSection"/>
      </w:pPr>
      <w:r w:rsidRPr="00383870">
        <w:t>396</w:t>
      </w:r>
      <w:r w:rsidR="00C51CD0">
        <w:noBreakHyphen/>
      </w:r>
      <w:r w:rsidRPr="00383870">
        <w:t>115</w:t>
      </w:r>
      <w:r w:rsidRPr="00383870">
        <w:tab/>
        <w:t>Matters Common Reporting Standard leaves to domestic law</w:t>
      </w:r>
    </w:p>
    <w:p w:rsidR="008F0777" w:rsidRPr="00383870" w:rsidRDefault="008F0777" w:rsidP="00383870">
      <w:pPr>
        <w:pStyle w:val="TofSectsSection"/>
      </w:pPr>
      <w:r w:rsidRPr="00383870">
        <w:t>396</w:t>
      </w:r>
      <w:r w:rsidR="00C51CD0">
        <w:noBreakHyphen/>
      </w:r>
      <w:r w:rsidRPr="00383870">
        <w:t>120</w:t>
      </w:r>
      <w:r w:rsidRPr="00383870">
        <w:tab/>
        <w:t>Application of Common Reporting Standard</w:t>
      </w:r>
    </w:p>
    <w:p w:rsidR="008F0777" w:rsidRPr="00383870" w:rsidRDefault="008F0777" w:rsidP="00383870">
      <w:pPr>
        <w:pStyle w:val="TofSectsSection"/>
      </w:pPr>
      <w:r w:rsidRPr="00383870">
        <w:t>396</w:t>
      </w:r>
      <w:r w:rsidR="00C51CD0">
        <w:noBreakHyphen/>
      </w:r>
      <w:r w:rsidRPr="00383870">
        <w:t>125</w:t>
      </w:r>
      <w:r w:rsidRPr="00383870">
        <w:tab/>
        <w:t>Record keeping</w:t>
      </w:r>
    </w:p>
    <w:p w:rsidR="008F0777" w:rsidRPr="00383870" w:rsidRDefault="008F0777" w:rsidP="00383870">
      <w:pPr>
        <w:pStyle w:val="TofSectsSection"/>
      </w:pPr>
      <w:r w:rsidRPr="00383870">
        <w:t>396</w:t>
      </w:r>
      <w:r w:rsidR="00C51CD0">
        <w:noBreakHyphen/>
      </w:r>
      <w:r w:rsidRPr="00383870">
        <w:t>130</w:t>
      </w:r>
      <w:r w:rsidRPr="00383870">
        <w:tab/>
        <w:t>Anti</w:t>
      </w:r>
      <w:r w:rsidR="00C51CD0">
        <w:noBreakHyphen/>
      </w:r>
      <w:r w:rsidRPr="00383870">
        <w:t>avoidance provisions</w:t>
      </w:r>
    </w:p>
    <w:p w:rsidR="008F0777" w:rsidRPr="00383870" w:rsidRDefault="008F0777" w:rsidP="00383870">
      <w:pPr>
        <w:pStyle w:val="TofSectsSection"/>
      </w:pPr>
      <w:bookmarkStart w:id="21" w:name="Heading"/>
      <w:r w:rsidRPr="00383870">
        <w:t>396</w:t>
      </w:r>
      <w:r w:rsidR="00C51CD0">
        <w:noBreakHyphen/>
      </w:r>
      <w:r w:rsidRPr="00383870">
        <w:t>135</w:t>
      </w:r>
      <w:r w:rsidRPr="00383870">
        <w:tab/>
        <w:t>Application of penalty to false or misleading self</w:t>
      </w:r>
      <w:r w:rsidR="00C51CD0">
        <w:noBreakHyphen/>
      </w:r>
      <w:r w:rsidRPr="00383870">
        <w:t>certification</w:t>
      </w:r>
    </w:p>
    <w:p w:rsidR="008F0777" w:rsidRPr="00383870" w:rsidRDefault="008F0777" w:rsidP="00383870">
      <w:pPr>
        <w:pStyle w:val="ActHead4"/>
      </w:pPr>
      <w:bookmarkStart w:id="22" w:name="_Toc446416459"/>
      <w:bookmarkEnd w:id="21"/>
      <w:r w:rsidRPr="00383870">
        <w:lastRenderedPageBreak/>
        <w:t>Operative provisions</w:t>
      </w:r>
      <w:bookmarkEnd w:id="22"/>
    </w:p>
    <w:p w:rsidR="008F0777" w:rsidRPr="00383870" w:rsidRDefault="008F0777" w:rsidP="00383870">
      <w:pPr>
        <w:pStyle w:val="ActHead5"/>
      </w:pPr>
      <w:bookmarkStart w:id="23" w:name="_Toc446416460"/>
      <w:r w:rsidRPr="00383870">
        <w:rPr>
          <w:rStyle w:val="CharSectno"/>
        </w:rPr>
        <w:t>396</w:t>
      </w:r>
      <w:r w:rsidR="00C51CD0">
        <w:rPr>
          <w:rStyle w:val="CharSectno"/>
        </w:rPr>
        <w:noBreakHyphen/>
      </w:r>
      <w:r w:rsidRPr="00383870">
        <w:rPr>
          <w:rStyle w:val="CharSectno"/>
        </w:rPr>
        <w:t>105</w:t>
      </w:r>
      <w:r w:rsidRPr="00383870">
        <w:t xml:space="preserve">  Statements about Reportable Accounts</w:t>
      </w:r>
      <w:bookmarkEnd w:id="23"/>
    </w:p>
    <w:p w:rsidR="008F0777" w:rsidRPr="00383870" w:rsidRDefault="008F0777" w:rsidP="00383870">
      <w:pPr>
        <w:pStyle w:val="subsection"/>
      </w:pPr>
      <w:r w:rsidRPr="00383870">
        <w:tab/>
        <w:t>(1)</w:t>
      </w:r>
      <w:r w:rsidRPr="00383870">
        <w:tab/>
      </w:r>
      <w:r w:rsidR="00383870" w:rsidRPr="00383870">
        <w:t>Subsection (</w:t>
      </w:r>
      <w:r w:rsidRPr="00383870">
        <w:t>2) applies if:</w:t>
      </w:r>
    </w:p>
    <w:p w:rsidR="008F0777" w:rsidRPr="00383870" w:rsidRDefault="008F0777" w:rsidP="00383870">
      <w:pPr>
        <w:pStyle w:val="paragraph"/>
      </w:pPr>
      <w:r w:rsidRPr="00383870">
        <w:tab/>
        <w:t>(a)</w:t>
      </w:r>
      <w:r w:rsidRPr="00383870">
        <w:tab/>
        <w:t>at any time in a calendar year, an entity:</w:t>
      </w:r>
    </w:p>
    <w:p w:rsidR="008F0777" w:rsidRPr="00383870" w:rsidRDefault="008F0777" w:rsidP="00383870">
      <w:pPr>
        <w:pStyle w:val="paragraphsub"/>
      </w:pPr>
      <w:r w:rsidRPr="00383870">
        <w:tab/>
        <w:t>(i)</w:t>
      </w:r>
      <w:r w:rsidRPr="00383870">
        <w:tab/>
        <w:t xml:space="preserve">is a Reporting Financial Institution (within the meaning of the </w:t>
      </w:r>
      <w:r w:rsidR="00383870" w:rsidRPr="00383870">
        <w:rPr>
          <w:position w:val="6"/>
          <w:sz w:val="16"/>
        </w:rPr>
        <w:t>*</w:t>
      </w:r>
      <w:r w:rsidRPr="00383870">
        <w:t>CRS); or</w:t>
      </w:r>
    </w:p>
    <w:p w:rsidR="008F0777" w:rsidRPr="00383870" w:rsidRDefault="008F0777" w:rsidP="00383870">
      <w:pPr>
        <w:pStyle w:val="paragraphsub"/>
      </w:pPr>
      <w:r w:rsidRPr="00383870">
        <w:tab/>
        <w:t>(ii)</w:t>
      </w:r>
      <w:r w:rsidRPr="00383870">
        <w:tab/>
        <w:t>is an institution that a notice under subsection</w:t>
      </w:r>
      <w:r w:rsidR="00383870" w:rsidRPr="00383870">
        <w:t> </w:t>
      </w:r>
      <w:r w:rsidRPr="00383870">
        <w:t>396</w:t>
      </w:r>
      <w:r w:rsidR="00C51CD0">
        <w:noBreakHyphen/>
      </w:r>
      <w:r w:rsidRPr="00383870">
        <w:t>130(5) requires to act as a Reporting Financial Institution; and</w:t>
      </w:r>
    </w:p>
    <w:p w:rsidR="008F0777" w:rsidRPr="00383870" w:rsidRDefault="008F0777" w:rsidP="00383870">
      <w:pPr>
        <w:pStyle w:val="paragraph"/>
      </w:pPr>
      <w:r w:rsidRPr="00383870">
        <w:tab/>
        <w:t>(b)</w:t>
      </w:r>
      <w:r w:rsidRPr="00383870">
        <w:tab/>
        <w:t>at that time in the year, the entity:</w:t>
      </w:r>
    </w:p>
    <w:p w:rsidR="008F0777" w:rsidRPr="00383870" w:rsidRDefault="008F0777" w:rsidP="00383870">
      <w:pPr>
        <w:pStyle w:val="paragraphsub"/>
      </w:pPr>
      <w:r w:rsidRPr="00383870">
        <w:tab/>
        <w:t>(i)</w:t>
      </w:r>
      <w:r w:rsidRPr="00383870">
        <w:tab/>
        <w:t>is resident in Australia (within the meaning of the CRS); or</w:t>
      </w:r>
    </w:p>
    <w:p w:rsidR="008F0777" w:rsidRPr="00383870" w:rsidRDefault="008F0777" w:rsidP="00383870">
      <w:pPr>
        <w:pStyle w:val="paragraphsub"/>
      </w:pPr>
      <w:r w:rsidRPr="00383870">
        <w:tab/>
        <w:t>(ii)</w:t>
      </w:r>
      <w:r w:rsidRPr="00383870">
        <w:tab/>
        <w:t>is a branch located in Australia (within the meaning of the CRS); and</w:t>
      </w:r>
    </w:p>
    <w:p w:rsidR="008F0777" w:rsidRPr="00383870" w:rsidRDefault="008F0777" w:rsidP="00383870">
      <w:pPr>
        <w:pStyle w:val="paragraph"/>
      </w:pPr>
      <w:r w:rsidRPr="00383870">
        <w:tab/>
        <w:t>(c)</w:t>
      </w:r>
      <w:r w:rsidRPr="00383870">
        <w:tab/>
        <w:t>at any time in the year, the entity maintains:</w:t>
      </w:r>
    </w:p>
    <w:p w:rsidR="008F0777" w:rsidRPr="00383870" w:rsidRDefault="008F0777" w:rsidP="00383870">
      <w:pPr>
        <w:pStyle w:val="paragraphsub"/>
      </w:pPr>
      <w:r w:rsidRPr="00383870">
        <w:tab/>
        <w:t>(i)</w:t>
      </w:r>
      <w:r w:rsidRPr="00383870">
        <w:tab/>
        <w:t>a Reportable Account (within the meaning of the CRS); or</w:t>
      </w:r>
    </w:p>
    <w:p w:rsidR="008F0777" w:rsidRPr="00383870" w:rsidRDefault="008F0777" w:rsidP="00383870">
      <w:pPr>
        <w:pStyle w:val="paragraphsub"/>
      </w:pPr>
      <w:r w:rsidRPr="00383870">
        <w:tab/>
        <w:t>(ii)</w:t>
      </w:r>
      <w:r w:rsidRPr="00383870">
        <w:tab/>
        <w:t>an account that a notice under subsection</w:t>
      </w:r>
      <w:r w:rsidR="00383870" w:rsidRPr="00383870">
        <w:t> </w:t>
      </w:r>
      <w:r w:rsidRPr="00383870">
        <w:t>396</w:t>
      </w:r>
      <w:r w:rsidR="00C51CD0">
        <w:noBreakHyphen/>
      </w:r>
      <w:r w:rsidRPr="00383870">
        <w:t>130(2) requires the entity to treat as a Reportable Account.</w:t>
      </w:r>
    </w:p>
    <w:p w:rsidR="008F0777" w:rsidRPr="00383870" w:rsidRDefault="008F0777" w:rsidP="00383870">
      <w:pPr>
        <w:pStyle w:val="notetext"/>
      </w:pPr>
      <w:r w:rsidRPr="00383870">
        <w:t>Note:</w:t>
      </w:r>
      <w:r w:rsidRPr="00383870">
        <w:tab/>
        <w:t>Subsection</w:t>
      </w:r>
      <w:r w:rsidR="00383870" w:rsidRPr="00383870">
        <w:t> </w:t>
      </w:r>
      <w:r w:rsidRPr="00383870">
        <w:t>396</w:t>
      </w:r>
      <w:r w:rsidR="00C51CD0">
        <w:noBreakHyphen/>
      </w:r>
      <w:r w:rsidRPr="00383870">
        <w:t>120(3) applies the CRS to all jurisdictions.</w:t>
      </w:r>
    </w:p>
    <w:p w:rsidR="008F0777" w:rsidRPr="00383870" w:rsidRDefault="008F0777" w:rsidP="00383870">
      <w:pPr>
        <w:pStyle w:val="subsection"/>
      </w:pPr>
      <w:r w:rsidRPr="00383870">
        <w:tab/>
        <w:t>(2)</w:t>
      </w:r>
      <w:r w:rsidRPr="00383870">
        <w:tab/>
        <w:t xml:space="preserve">The entity must give the Commissioner a statement that contains in respect of the account the information that the </w:t>
      </w:r>
      <w:r w:rsidR="00383870" w:rsidRPr="00383870">
        <w:rPr>
          <w:position w:val="6"/>
          <w:sz w:val="16"/>
        </w:rPr>
        <w:t>*</w:t>
      </w:r>
      <w:r w:rsidRPr="00383870">
        <w:t>CRS states the entity must report.</w:t>
      </w:r>
    </w:p>
    <w:p w:rsidR="008F0777" w:rsidRPr="00383870" w:rsidRDefault="008F0777" w:rsidP="00383870">
      <w:pPr>
        <w:pStyle w:val="notetext"/>
      </w:pPr>
      <w:r w:rsidRPr="00383870">
        <w:t>Note:</w:t>
      </w:r>
      <w:r w:rsidRPr="00383870">
        <w:tab/>
        <w:t>Section</w:t>
      </w:r>
      <w:r w:rsidR="00383870" w:rsidRPr="00383870">
        <w:t> </w:t>
      </w:r>
      <w:r w:rsidRPr="00383870">
        <w:t>286</w:t>
      </w:r>
      <w:r w:rsidR="00C51CD0">
        <w:noBreakHyphen/>
      </w:r>
      <w:r w:rsidRPr="00383870">
        <w:t>75 provides an administrative penalty for breach of this subsection.</w:t>
      </w:r>
    </w:p>
    <w:p w:rsidR="008F0777" w:rsidRPr="00383870" w:rsidRDefault="008F0777" w:rsidP="00383870">
      <w:pPr>
        <w:pStyle w:val="subsection"/>
      </w:pPr>
      <w:r w:rsidRPr="00383870">
        <w:tab/>
        <w:t>(3)</w:t>
      </w:r>
      <w:r w:rsidRPr="00383870">
        <w:tab/>
        <w:t xml:space="preserve">Whether an entity maintains a Reportable Account (within the meaning of the </w:t>
      </w:r>
      <w:r w:rsidR="00383870" w:rsidRPr="00383870">
        <w:rPr>
          <w:position w:val="6"/>
          <w:sz w:val="16"/>
        </w:rPr>
        <w:t>*</w:t>
      </w:r>
      <w:r w:rsidRPr="00383870">
        <w:t>CRS) must be determined by the entity by applying the due diligence procedures described in the CRS.</w:t>
      </w:r>
    </w:p>
    <w:p w:rsidR="008F0777" w:rsidRPr="00383870" w:rsidRDefault="008F0777" w:rsidP="00383870">
      <w:pPr>
        <w:pStyle w:val="notetext"/>
      </w:pPr>
      <w:r w:rsidRPr="00383870">
        <w:t>Note:</w:t>
      </w:r>
      <w:r w:rsidRPr="00383870">
        <w:tab/>
        <w:t>Section</w:t>
      </w:r>
      <w:r w:rsidR="00383870" w:rsidRPr="00383870">
        <w:t> </w:t>
      </w:r>
      <w:r w:rsidRPr="00383870">
        <w:t>288</w:t>
      </w:r>
      <w:r w:rsidR="00C51CD0">
        <w:noBreakHyphen/>
      </w:r>
      <w:r w:rsidRPr="00383870">
        <w:t>85 provides an administrative penalty for failing to obtain a self</w:t>
      </w:r>
      <w:r w:rsidR="00C51CD0">
        <w:noBreakHyphen/>
      </w:r>
      <w:r w:rsidRPr="00383870">
        <w:t>certification in relation to the account when applying the due diligence procedures.</w:t>
      </w:r>
    </w:p>
    <w:p w:rsidR="008F0777" w:rsidRPr="00383870" w:rsidRDefault="008F0777" w:rsidP="00383870">
      <w:pPr>
        <w:pStyle w:val="subsection"/>
      </w:pPr>
      <w:r w:rsidRPr="00383870">
        <w:tab/>
        <w:t>(4)</w:t>
      </w:r>
      <w:r w:rsidRPr="00383870">
        <w:tab/>
        <w:t xml:space="preserve">A statement under </w:t>
      </w:r>
      <w:r w:rsidR="00383870" w:rsidRPr="00383870">
        <w:t>subsection (</w:t>
      </w:r>
      <w:r w:rsidRPr="00383870">
        <w:t xml:space="preserve">2) must be in the </w:t>
      </w:r>
      <w:r w:rsidR="00383870" w:rsidRPr="00383870">
        <w:rPr>
          <w:position w:val="6"/>
          <w:sz w:val="16"/>
        </w:rPr>
        <w:t>*</w:t>
      </w:r>
      <w:r w:rsidRPr="00383870">
        <w:t>approved form.</w:t>
      </w:r>
    </w:p>
    <w:p w:rsidR="008F0777" w:rsidRPr="00383870" w:rsidRDefault="008F0777" w:rsidP="00383870">
      <w:pPr>
        <w:pStyle w:val="subsection"/>
      </w:pPr>
      <w:r w:rsidRPr="00383870">
        <w:tab/>
        <w:t>(5)</w:t>
      </w:r>
      <w:r w:rsidRPr="00383870">
        <w:tab/>
        <w:t xml:space="preserve">More than one statement under </w:t>
      </w:r>
      <w:r w:rsidR="00383870" w:rsidRPr="00383870">
        <w:t>subsection (</w:t>
      </w:r>
      <w:r w:rsidRPr="00383870">
        <w:t>2) may be included in the same document.</w:t>
      </w:r>
    </w:p>
    <w:p w:rsidR="008F0777" w:rsidRPr="00383870" w:rsidRDefault="008F0777" w:rsidP="00383870">
      <w:pPr>
        <w:pStyle w:val="subsection"/>
      </w:pPr>
      <w:r w:rsidRPr="00383870">
        <w:lastRenderedPageBreak/>
        <w:tab/>
        <w:t>(6)</w:t>
      </w:r>
      <w:r w:rsidRPr="00383870">
        <w:tab/>
        <w:t>The statement must be given to the Commissioner no later than the first 31</w:t>
      </w:r>
      <w:r w:rsidR="00383870" w:rsidRPr="00383870">
        <w:t> </w:t>
      </w:r>
      <w:r w:rsidRPr="00383870">
        <w:t>July after the end of the calendar year.</w:t>
      </w:r>
    </w:p>
    <w:p w:rsidR="008F0777" w:rsidRPr="00383870" w:rsidRDefault="008F0777" w:rsidP="00383870">
      <w:pPr>
        <w:pStyle w:val="notetext"/>
      </w:pPr>
      <w:r w:rsidRPr="00383870">
        <w:t>Note:</w:t>
      </w:r>
      <w:r w:rsidRPr="00383870">
        <w:tab/>
        <w:t>Section</w:t>
      </w:r>
      <w:r w:rsidR="00383870" w:rsidRPr="00383870">
        <w:t> </w:t>
      </w:r>
      <w:r w:rsidRPr="00383870">
        <w:t>388</w:t>
      </w:r>
      <w:r w:rsidR="00C51CD0">
        <w:noBreakHyphen/>
      </w:r>
      <w:r w:rsidRPr="00383870">
        <w:t>55 allows the Commissioner to defer the time for giving an approved form.</w:t>
      </w:r>
    </w:p>
    <w:p w:rsidR="008F0777" w:rsidRPr="00383870" w:rsidRDefault="008F0777" w:rsidP="00383870">
      <w:pPr>
        <w:pStyle w:val="ActHead5"/>
        <w:rPr>
          <w:i/>
        </w:rPr>
      </w:pPr>
      <w:bookmarkStart w:id="24" w:name="_Toc446416461"/>
      <w:r w:rsidRPr="00383870">
        <w:rPr>
          <w:rStyle w:val="CharSectno"/>
        </w:rPr>
        <w:t>396</w:t>
      </w:r>
      <w:r w:rsidR="00C51CD0">
        <w:rPr>
          <w:rStyle w:val="CharSectno"/>
        </w:rPr>
        <w:noBreakHyphen/>
      </w:r>
      <w:r w:rsidRPr="00383870">
        <w:rPr>
          <w:rStyle w:val="CharSectno"/>
        </w:rPr>
        <w:t>110</w:t>
      </w:r>
      <w:r w:rsidRPr="00383870">
        <w:t xml:space="preserve">  Meaning of </w:t>
      </w:r>
      <w:r w:rsidRPr="00383870">
        <w:rPr>
          <w:i/>
        </w:rPr>
        <w:t>CRS</w:t>
      </w:r>
      <w:bookmarkEnd w:id="24"/>
    </w:p>
    <w:p w:rsidR="008F0777" w:rsidRPr="00383870" w:rsidRDefault="008F0777" w:rsidP="00383870">
      <w:pPr>
        <w:pStyle w:val="subsection"/>
      </w:pPr>
      <w:r w:rsidRPr="00383870">
        <w:tab/>
        <w:t>(1)</w:t>
      </w:r>
      <w:r w:rsidRPr="00383870">
        <w:tab/>
        <w:t xml:space="preserve">The </w:t>
      </w:r>
      <w:r w:rsidRPr="00383870">
        <w:rPr>
          <w:b/>
          <w:i/>
        </w:rPr>
        <w:t>CRS</w:t>
      </w:r>
      <w:r w:rsidRPr="00383870">
        <w:t xml:space="preserve"> is the Common Reporting Standard set out in Part</w:t>
      </w:r>
      <w:r w:rsidR="00383870" w:rsidRPr="00383870">
        <w:t> </w:t>
      </w:r>
      <w:r w:rsidRPr="00383870">
        <w:t>II.B of the Standard for Automatic Exchange of Financial Account Information in Tax Matters approved by the Council of the Organisation for Economic Co</w:t>
      </w:r>
      <w:r w:rsidR="00C51CD0">
        <w:noBreakHyphen/>
      </w:r>
      <w:r w:rsidRPr="00383870">
        <w:t>Operation and Development on 15</w:t>
      </w:r>
      <w:r w:rsidR="00383870" w:rsidRPr="00383870">
        <w:t> </w:t>
      </w:r>
      <w:r w:rsidRPr="00383870">
        <w:t>July 2014.</w:t>
      </w:r>
    </w:p>
    <w:p w:rsidR="008F0777" w:rsidRPr="00383870" w:rsidRDefault="008F0777" w:rsidP="00383870">
      <w:pPr>
        <w:pStyle w:val="notetext"/>
      </w:pPr>
      <w:r w:rsidRPr="00383870">
        <w:t>Note:</w:t>
      </w:r>
      <w:r w:rsidRPr="00383870">
        <w:tab/>
        <w:t>In 2015, the text of the Standard was available on the OECD’s website (http://www.oecd.org).</w:t>
      </w:r>
    </w:p>
    <w:p w:rsidR="008F0777" w:rsidRPr="00383870" w:rsidRDefault="008F0777" w:rsidP="00383870">
      <w:pPr>
        <w:pStyle w:val="subsection"/>
      </w:pPr>
      <w:r w:rsidRPr="00383870">
        <w:tab/>
        <w:t>(2)</w:t>
      </w:r>
      <w:r w:rsidRPr="00383870">
        <w:tab/>
        <w:t>Subject to section</w:t>
      </w:r>
      <w:r w:rsidR="00383870" w:rsidRPr="00383870">
        <w:t> </w:t>
      </w:r>
      <w:r w:rsidRPr="00383870">
        <w:t>396</w:t>
      </w:r>
      <w:r w:rsidR="00C51CD0">
        <w:noBreakHyphen/>
      </w:r>
      <w:r w:rsidRPr="00383870">
        <w:t xml:space="preserve">120, for the purposes of this Subdivision, the </w:t>
      </w:r>
      <w:r w:rsidR="00383870" w:rsidRPr="00383870">
        <w:rPr>
          <w:position w:val="6"/>
          <w:sz w:val="16"/>
        </w:rPr>
        <w:t>*</w:t>
      </w:r>
      <w:r w:rsidRPr="00383870">
        <w:t>CRS must be applied consistently with Part</w:t>
      </w:r>
      <w:r w:rsidR="00383870" w:rsidRPr="00383870">
        <w:t> </w:t>
      </w:r>
      <w:r w:rsidRPr="00383870">
        <w:t xml:space="preserve">III.B (the </w:t>
      </w:r>
      <w:r w:rsidRPr="00383870">
        <w:rPr>
          <w:b/>
          <w:i/>
        </w:rPr>
        <w:t>CRS Commentary</w:t>
      </w:r>
      <w:r w:rsidRPr="00383870">
        <w:t>) of the Standard for Automatic Exchange of Financial Account Information in Tax Matters.</w:t>
      </w:r>
    </w:p>
    <w:p w:rsidR="008F0777" w:rsidRPr="00383870" w:rsidRDefault="008F0777" w:rsidP="00383870">
      <w:pPr>
        <w:pStyle w:val="ActHead5"/>
      </w:pPr>
      <w:bookmarkStart w:id="25" w:name="_Toc446416462"/>
      <w:r w:rsidRPr="00383870">
        <w:rPr>
          <w:rStyle w:val="CharSectno"/>
        </w:rPr>
        <w:t>396</w:t>
      </w:r>
      <w:r w:rsidR="00C51CD0">
        <w:rPr>
          <w:rStyle w:val="CharSectno"/>
        </w:rPr>
        <w:noBreakHyphen/>
      </w:r>
      <w:r w:rsidRPr="00383870">
        <w:rPr>
          <w:rStyle w:val="CharSectno"/>
        </w:rPr>
        <w:t>115</w:t>
      </w:r>
      <w:r w:rsidRPr="00383870">
        <w:t xml:space="preserve">  Matters Common Reporting Standard leaves to domestic law</w:t>
      </w:r>
      <w:bookmarkEnd w:id="25"/>
    </w:p>
    <w:p w:rsidR="008F0777" w:rsidRPr="00383870" w:rsidRDefault="008F0777" w:rsidP="00383870">
      <w:pPr>
        <w:pStyle w:val="SubsectionHead"/>
      </w:pPr>
      <w:r w:rsidRPr="00383870">
        <w:t>Defined terms</w:t>
      </w:r>
    </w:p>
    <w:p w:rsidR="008F0777" w:rsidRPr="00383870" w:rsidRDefault="008F0777" w:rsidP="00383870">
      <w:pPr>
        <w:pStyle w:val="subsection"/>
      </w:pPr>
      <w:r w:rsidRPr="00383870">
        <w:tab/>
        <w:t>(1)</w:t>
      </w:r>
      <w:r w:rsidRPr="00383870">
        <w:tab/>
        <w:t xml:space="preserve">For the purposes of subparagraph B(1)(c) of Section VIII of the </w:t>
      </w:r>
      <w:r w:rsidR="00383870" w:rsidRPr="00383870">
        <w:rPr>
          <w:position w:val="6"/>
          <w:sz w:val="16"/>
        </w:rPr>
        <w:t>*</w:t>
      </w:r>
      <w:r w:rsidRPr="00383870">
        <w:t>CRS, the following Entities (within the meaning of the CRS) are defined as Non</w:t>
      </w:r>
      <w:r w:rsidR="00C51CD0">
        <w:noBreakHyphen/>
      </w:r>
      <w:r w:rsidRPr="00383870">
        <w:t>Reporting Financial Institutions:</w:t>
      </w:r>
    </w:p>
    <w:p w:rsidR="008F0777" w:rsidRPr="00383870" w:rsidRDefault="008F0777" w:rsidP="00383870">
      <w:pPr>
        <w:pStyle w:val="paragraph"/>
      </w:pPr>
      <w:r w:rsidRPr="00383870">
        <w:tab/>
        <w:t>(a)</w:t>
      </w:r>
      <w:r w:rsidRPr="00383870">
        <w:tab/>
        <w:t xml:space="preserve">an Entity to which any of the following paragraphs of Annex II of the </w:t>
      </w:r>
      <w:r w:rsidR="00383870" w:rsidRPr="00383870">
        <w:rPr>
          <w:position w:val="6"/>
          <w:sz w:val="16"/>
        </w:rPr>
        <w:t>*</w:t>
      </w:r>
      <w:r w:rsidRPr="00383870">
        <w:t>FATCA Agreement applies:</w:t>
      </w:r>
    </w:p>
    <w:p w:rsidR="008F0777" w:rsidRPr="00383870" w:rsidRDefault="008F0777" w:rsidP="00383870">
      <w:pPr>
        <w:pStyle w:val="paragraphsub"/>
      </w:pPr>
      <w:r w:rsidRPr="00383870">
        <w:tab/>
        <w:t>(i)</w:t>
      </w:r>
      <w:r w:rsidRPr="00383870">
        <w:tab/>
        <w:t>paragraph A (government entity), B (international organisation) or C (central bank) of section I;</w:t>
      </w:r>
    </w:p>
    <w:p w:rsidR="008F0777" w:rsidRPr="00383870" w:rsidRDefault="008F0777" w:rsidP="00383870">
      <w:pPr>
        <w:pStyle w:val="paragraphsub"/>
      </w:pPr>
      <w:r w:rsidRPr="00383870">
        <w:tab/>
        <w:t>(ii)</w:t>
      </w:r>
      <w:r w:rsidRPr="00383870">
        <w:tab/>
        <w:t>paragraph A (retirement fund) of section II;</w:t>
      </w:r>
    </w:p>
    <w:p w:rsidR="008F0777" w:rsidRPr="00383870" w:rsidRDefault="008F0777" w:rsidP="00383870">
      <w:pPr>
        <w:pStyle w:val="paragraph"/>
      </w:pPr>
      <w:r w:rsidRPr="00383870">
        <w:tab/>
        <w:t>(b)</w:t>
      </w:r>
      <w:r w:rsidRPr="00383870">
        <w:tab/>
        <w:t>an Entity the Minister prescribes by legislative instrument.</w:t>
      </w:r>
    </w:p>
    <w:p w:rsidR="008F0777" w:rsidRPr="00383870" w:rsidRDefault="008F0777" w:rsidP="00383870">
      <w:pPr>
        <w:pStyle w:val="subsection"/>
      </w:pPr>
      <w:r w:rsidRPr="00383870">
        <w:tab/>
        <w:t>(2)</w:t>
      </w:r>
      <w:r w:rsidRPr="00383870">
        <w:tab/>
      </w:r>
      <w:r w:rsidR="00383870" w:rsidRPr="00383870">
        <w:t>Subparagraph (</w:t>
      </w:r>
      <w:r w:rsidRPr="00383870">
        <w:t xml:space="preserve">1)(a)(i) does not apply with respect to a payment that is derived from an obligation held in connection with a commercial financial activity of a type engaged in by a Specified Insurance Company, Custodial Institution, or Depository Institution (within the meaning of the </w:t>
      </w:r>
      <w:r w:rsidR="00383870" w:rsidRPr="00383870">
        <w:rPr>
          <w:position w:val="6"/>
          <w:sz w:val="16"/>
        </w:rPr>
        <w:t>*</w:t>
      </w:r>
      <w:r w:rsidRPr="00383870">
        <w:t>CRS).</w:t>
      </w:r>
    </w:p>
    <w:p w:rsidR="008F0777" w:rsidRPr="00383870" w:rsidRDefault="008F0777" w:rsidP="00383870">
      <w:pPr>
        <w:pStyle w:val="subsection"/>
      </w:pPr>
      <w:r w:rsidRPr="00383870">
        <w:lastRenderedPageBreak/>
        <w:tab/>
        <w:t>(3)</w:t>
      </w:r>
      <w:r w:rsidRPr="00383870">
        <w:tab/>
        <w:t xml:space="preserve">For the purposes of subparagraph C(17)(g) of Section VIII of the </w:t>
      </w:r>
      <w:r w:rsidR="00383870" w:rsidRPr="00383870">
        <w:rPr>
          <w:position w:val="6"/>
          <w:sz w:val="16"/>
        </w:rPr>
        <w:t>*</w:t>
      </w:r>
      <w:r w:rsidRPr="00383870">
        <w:t>CRS, the following accounts are defined as Excluded Accounts:</w:t>
      </w:r>
    </w:p>
    <w:p w:rsidR="008F0777" w:rsidRPr="00383870" w:rsidRDefault="008F0777" w:rsidP="00383870">
      <w:pPr>
        <w:pStyle w:val="paragraph"/>
      </w:pPr>
      <w:r w:rsidRPr="00383870">
        <w:tab/>
        <w:t>(a)</w:t>
      </w:r>
      <w:r w:rsidRPr="00383870">
        <w:tab/>
        <w:t xml:space="preserve">an account to which any of the following subparagraphs of paragraph A of section V of Annex II of the </w:t>
      </w:r>
      <w:r w:rsidR="00383870" w:rsidRPr="00383870">
        <w:rPr>
          <w:position w:val="6"/>
          <w:sz w:val="16"/>
        </w:rPr>
        <w:t>*</w:t>
      </w:r>
      <w:r w:rsidRPr="00383870">
        <w:t>FATCA Agreement applies:</w:t>
      </w:r>
    </w:p>
    <w:p w:rsidR="008F0777" w:rsidRPr="00383870" w:rsidRDefault="008F0777" w:rsidP="00383870">
      <w:pPr>
        <w:pStyle w:val="paragraphsub"/>
      </w:pPr>
      <w:r w:rsidRPr="00383870">
        <w:tab/>
        <w:t>(i)</w:t>
      </w:r>
      <w:r w:rsidRPr="00383870">
        <w:tab/>
      </w:r>
      <w:r w:rsidR="00383870" w:rsidRPr="00383870">
        <w:t>subparagraph (</w:t>
      </w:r>
      <w:r w:rsidRPr="00383870">
        <w:t>1) (retirement and pension accounts);</w:t>
      </w:r>
    </w:p>
    <w:p w:rsidR="008F0777" w:rsidRPr="00383870" w:rsidRDefault="008F0777" w:rsidP="00383870">
      <w:pPr>
        <w:pStyle w:val="paragraphsub"/>
      </w:pPr>
      <w:r w:rsidRPr="00383870">
        <w:tab/>
        <w:t>(ii)</w:t>
      </w:r>
      <w:r w:rsidRPr="00383870">
        <w:tab/>
      </w:r>
      <w:r w:rsidR="00383870" w:rsidRPr="00383870">
        <w:t>subparagraph (</w:t>
      </w:r>
      <w:r w:rsidRPr="00383870">
        <w:t>3) (certain other tax</w:t>
      </w:r>
      <w:r w:rsidR="00C51CD0">
        <w:noBreakHyphen/>
      </w:r>
      <w:r w:rsidRPr="00383870">
        <w:t>favoured accounts);</w:t>
      </w:r>
    </w:p>
    <w:p w:rsidR="008F0777" w:rsidRPr="00383870" w:rsidRDefault="008F0777" w:rsidP="00383870">
      <w:pPr>
        <w:pStyle w:val="paragraph"/>
      </w:pPr>
      <w:r w:rsidRPr="00383870">
        <w:tab/>
        <w:t>(b)</w:t>
      </w:r>
      <w:r w:rsidRPr="00383870">
        <w:tab/>
        <w:t>an account the Minister prescribes by legislative instrument.</w:t>
      </w:r>
    </w:p>
    <w:p w:rsidR="008F0777" w:rsidRPr="00383870" w:rsidRDefault="008F0777" w:rsidP="00383870">
      <w:pPr>
        <w:pStyle w:val="SubsectionHead"/>
      </w:pPr>
      <w:r w:rsidRPr="00383870">
        <w:t>Elections by entities</w:t>
      </w:r>
    </w:p>
    <w:p w:rsidR="008F0777" w:rsidRPr="00383870" w:rsidRDefault="008F0777" w:rsidP="00383870">
      <w:pPr>
        <w:pStyle w:val="subsection"/>
      </w:pPr>
      <w:r w:rsidRPr="00383870">
        <w:tab/>
        <w:t>(4)</w:t>
      </w:r>
      <w:r w:rsidRPr="00383870">
        <w:tab/>
        <w:t xml:space="preserve">To the extent that the </w:t>
      </w:r>
      <w:r w:rsidR="00383870" w:rsidRPr="00383870">
        <w:rPr>
          <w:position w:val="6"/>
          <w:sz w:val="16"/>
        </w:rPr>
        <w:t>*</w:t>
      </w:r>
      <w:r w:rsidRPr="00383870">
        <w:t>CRS gives Australia the ability to provide for an entity to make an election in determining obligations under the CRS, assume that the entity may make the election.</w:t>
      </w:r>
    </w:p>
    <w:p w:rsidR="008F0777" w:rsidRPr="00383870" w:rsidRDefault="008F0777" w:rsidP="00383870">
      <w:pPr>
        <w:pStyle w:val="SubsectionHead"/>
      </w:pPr>
      <w:r w:rsidRPr="00383870">
        <w:t>Modifications mentioned in CRS Commentary</w:t>
      </w:r>
    </w:p>
    <w:p w:rsidR="008F0777" w:rsidRPr="00383870" w:rsidRDefault="008F0777" w:rsidP="00383870">
      <w:pPr>
        <w:pStyle w:val="subsection"/>
      </w:pPr>
      <w:r w:rsidRPr="00383870">
        <w:tab/>
        <w:t>(5)</w:t>
      </w:r>
      <w:r w:rsidRPr="00383870">
        <w:tab/>
        <w:t xml:space="preserve">The </w:t>
      </w:r>
      <w:r w:rsidR="00383870" w:rsidRPr="00383870">
        <w:rPr>
          <w:position w:val="6"/>
          <w:sz w:val="16"/>
        </w:rPr>
        <w:t>*</w:t>
      </w:r>
      <w:r w:rsidRPr="00383870">
        <w:t xml:space="preserve">CRS has effect with the following modifications mentioned in the </w:t>
      </w:r>
      <w:r w:rsidR="00383870" w:rsidRPr="00383870">
        <w:rPr>
          <w:position w:val="6"/>
          <w:sz w:val="16"/>
        </w:rPr>
        <w:t>*</w:t>
      </w:r>
      <w:r w:rsidRPr="00383870">
        <w:t>CRS Commentary:</w:t>
      </w:r>
    </w:p>
    <w:p w:rsidR="008F0777" w:rsidRPr="00383870" w:rsidRDefault="008F0777" w:rsidP="00383870">
      <w:pPr>
        <w:pStyle w:val="paragraph"/>
      </w:pPr>
      <w:r w:rsidRPr="00383870">
        <w:tab/>
        <w:t>(a)</w:t>
      </w:r>
      <w:r w:rsidRPr="00383870">
        <w:tab/>
        <w:t>the inclusion mentioned in paragraph</w:t>
      </w:r>
      <w:r w:rsidR="00383870" w:rsidRPr="00383870">
        <w:t> </w:t>
      </w:r>
      <w:r w:rsidRPr="00383870">
        <w:t>13 of the Commentary on Section VII concerning Special Due Diligence Requirements;</w:t>
      </w:r>
    </w:p>
    <w:p w:rsidR="008F0777" w:rsidRPr="00383870" w:rsidRDefault="008F0777" w:rsidP="00383870">
      <w:pPr>
        <w:pStyle w:val="paragraph"/>
      </w:pPr>
      <w:r w:rsidRPr="00383870">
        <w:tab/>
        <w:t>(b)</w:t>
      </w:r>
      <w:r w:rsidRPr="00383870">
        <w:tab/>
        <w:t>the 2 replacements mentioned in paragraph</w:t>
      </w:r>
      <w:r w:rsidR="00383870" w:rsidRPr="00383870">
        <w:t> </w:t>
      </w:r>
      <w:r w:rsidRPr="00383870">
        <w:t>82 of the Commentary on Section VIII concerning Defined Terms.</w:t>
      </w:r>
    </w:p>
    <w:p w:rsidR="008F0777" w:rsidRPr="00383870" w:rsidRDefault="008F0777" w:rsidP="00383870">
      <w:pPr>
        <w:pStyle w:val="ActHead5"/>
      </w:pPr>
      <w:bookmarkStart w:id="26" w:name="_Toc446416463"/>
      <w:r w:rsidRPr="00383870">
        <w:rPr>
          <w:rStyle w:val="CharSectno"/>
        </w:rPr>
        <w:t>396</w:t>
      </w:r>
      <w:r w:rsidR="00C51CD0">
        <w:rPr>
          <w:rStyle w:val="CharSectno"/>
        </w:rPr>
        <w:noBreakHyphen/>
      </w:r>
      <w:r w:rsidRPr="00383870">
        <w:rPr>
          <w:rStyle w:val="CharSectno"/>
        </w:rPr>
        <w:t>120</w:t>
      </w:r>
      <w:r w:rsidRPr="00383870">
        <w:t xml:space="preserve">  Application of Common Reporting Standard</w:t>
      </w:r>
      <w:bookmarkEnd w:id="26"/>
    </w:p>
    <w:p w:rsidR="008F0777" w:rsidRPr="00383870" w:rsidRDefault="008F0777" w:rsidP="00383870">
      <w:pPr>
        <w:pStyle w:val="SubsectionHead"/>
      </w:pPr>
      <w:r w:rsidRPr="00383870">
        <w:t>Scope of this section</w:t>
      </w:r>
    </w:p>
    <w:p w:rsidR="008F0777" w:rsidRPr="00383870" w:rsidRDefault="008F0777" w:rsidP="00383870">
      <w:pPr>
        <w:pStyle w:val="subsection"/>
      </w:pPr>
      <w:r w:rsidRPr="00383870">
        <w:tab/>
        <w:t>(1)</w:t>
      </w:r>
      <w:r w:rsidRPr="00383870">
        <w:tab/>
        <w:t>This section applies:</w:t>
      </w:r>
    </w:p>
    <w:p w:rsidR="008F0777" w:rsidRPr="00383870" w:rsidRDefault="008F0777" w:rsidP="00383870">
      <w:pPr>
        <w:pStyle w:val="paragraph"/>
      </w:pPr>
      <w:r w:rsidRPr="00383870">
        <w:tab/>
        <w:t>(a)</w:t>
      </w:r>
      <w:r w:rsidRPr="00383870">
        <w:tab/>
        <w:t>for the purposes of section</w:t>
      </w:r>
      <w:r w:rsidR="00383870" w:rsidRPr="00383870">
        <w:t> </w:t>
      </w:r>
      <w:r w:rsidRPr="00383870">
        <w:t>288</w:t>
      </w:r>
      <w:r w:rsidR="00C51CD0">
        <w:noBreakHyphen/>
      </w:r>
      <w:r w:rsidRPr="00383870">
        <w:t>85 (Failure by Reporting Financial Institution to obtain self</w:t>
      </w:r>
      <w:r w:rsidR="00C51CD0">
        <w:noBreakHyphen/>
      </w:r>
      <w:r w:rsidRPr="00383870">
        <w:t>certification); and</w:t>
      </w:r>
    </w:p>
    <w:p w:rsidR="008F0777" w:rsidRPr="00383870" w:rsidRDefault="008F0777" w:rsidP="00383870">
      <w:pPr>
        <w:pStyle w:val="paragraph"/>
      </w:pPr>
      <w:r w:rsidRPr="00383870">
        <w:tab/>
        <w:t>(b)</w:t>
      </w:r>
      <w:r w:rsidRPr="00383870">
        <w:tab/>
        <w:t>for the purposes of this Subdivision:</w:t>
      </w:r>
    </w:p>
    <w:p w:rsidR="008F0777" w:rsidRPr="00383870" w:rsidRDefault="008F0777" w:rsidP="00383870">
      <w:pPr>
        <w:pStyle w:val="paragraphsub"/>
      </w:pPr>
      <w:r w:rsidRPr="00383870">
        <w:tab/>
        <w:t>(i)</w:t>
      </w:r>
      <w:r w:rsidRPr="00383870">
        <w:tab/>
        <w:t>in determining whether the conditions in subsection</w:t>
      </w:r>
      <w:r w:rsidR="00383870" w:rsidRPr="00383870">
        <w:t> </w:t>
      </w:r>
      <w:r w:rsidRPr="00383870">
        <w:t>396</w:t>
      </w:r>
      <w:r w:rsidR="00C51CD0">
        <w:noBreakHyphen/>
      </w:r>
      <w:r w:rsidRPr="00383870">
        <w:t>105(1) are satisfied; and</w:t>
      </w:r>
    </w:p>
    <w:p w:rsidR="008F0777" w:rsidRPr="00383870" w:rsidRDefault="008F0777" w:rsidP="00383870">
      <w:pPr>
        <w:pStyle w:val="paragraphsub"/>
      </w:pPr>
      <w:r w:rsidRPr="00383870">
        <w:tab/>
        <w:t>(ii)</w:t>
      </w:r>
      <w:r w:rsidRPr="00383870">
        <w:tab/>
        <w:t xml:space="preserve">in determining which information the </w:t>
      </w:r>
      <w:r w:rsidR="00383870" w:rsidRPr="00383870">
        <w:rPr>
          <w:position w:val="6"/>
          <w:sz w:val="16"/>
        </w:rPr>
        <w:t>*</w:t>
      </w:r>
      <w:r w:rsidRPr="00383870">
        <w:t>CRS states a Reporting Financial Institution must report.</w:t>
      </w:r>
    </w:p>
    <w:p w:rsidR="008F0777" w:rsidRPr="00383870" w:rsidRDefault="008F0777" w:rsidP="00383870">
      <w:pPr>
        <w:pStyle w:val="SubsectionHead"/>
      </w:pPr>
      <w:r w:rsidRPr="00383870">
        <w:lastRenderedPageBreak/>
        <w:t>General reporting requirements</w:t>
      </w:r>
    </w:p>
    <w:p w:rsidR="008F0777" w:rsidRPr="00383870" w:rsidRDefault="008F0777" w:rsidP="00383870">
      <w:pPr>
        <w:pStyle w:val="subsection"/>
      </w:pPr>
      <w:r w:rsidRPr="00383870">
        <w:tab/>
        <w:t>(2)</w:t>
      </w:r>
      <w:r w:rsidRPr="00383870">
        <w:tab/>
        <w:t xml:space="preserve">Paragraph F of Section I of the </w:t>
      </w:r>
      <w:r w:rsidR="00383870" w:rsidRPr="00383870">
        <w:rPr>
          <w:position w:val="6"/>
          <w:sz w:val="16"/>
        </w:rPr>
        <w:t>*</w:t>
      </w:r>
      <w:r w:rsidRPr="00383870">
        <w:t>CRS is to be disregarded.</w:t>
      </w:r>
    </w:p>
    <w:p w:rsidR="008F0777" w:rsidRPr="00383870" w:rsidRDefault="008F0777" w:rsidP="00383870">
      <w:pPr>
        <w:pStyle w:val="SubsectionHead"/>
      </w:pPr>
      <w:r w:rsidRPr="00383870">
        <w:t>Reportable and Participating Jurisdictions</w:t>
      </w:r>
    </w:p>
    <w:p w:rsidR="008F0777" w:rsidRPr="00383870" w:rsidRDefault="008F0777" w:rsidP="00383870">
      <w:pPr>
        <w:pStyle w:val="subsection"/>
      </w:pPr>
      <w:r w:rsidRPr="00383870">
        <w:tab/>
        <w:t>(3)</w:t>
      </w:r>
      <w:r w:rsidRPr="00383870">
        <w:tab/>
        <w:t>All jurisdictions (other than Australia) are to be treated as Reportable Jurisdictions.</w:t>
      </w:r>
    </w:p>
    <w:p w:rsidR="008F0777" w:rsidRPr="00383870" w:rsidRDefault="008F0777" w:rsidP="00383870">
      <w:pPr>
        <w:pStyle w:val="subsection"/>
      </w:pPr>
      <w:r w:rsidRPr="00383870">
        <w:tab/>
        <w:t>(4)</w:t>
      </w:r>
      <w:r w:rsidRPr="00383870">
        <w:tab/>
        <w:t xml:space="preserve">Without limiting subparagraph D(5) of Section VIII of the </w:t>
      </w:r>
      <w:r w:rsidR="00383870" w:rsidRPr="00383870">
        <w:rPr>
          <w:position w:val="6"/>
          <w:sz w:val="16"/>
        </w:rPr>
        <w:t>*</w:t>
      </w:r>
      <w:r w:rsidRPr="00383870">
        <w:t>CRS, Australia is to be treated as a Participating Jurisdiction.</w:t>
      </w:r>
    </w:p>
    <w:p w:rsidR="008F0777" w:rsidRPr="00383870" w:rsidRDefault="008F0777" w:rsidP="00383870">
      <w:pPr>
        <w:pStyle w:val="SubsectionHead"/>
      </w:pPr>
      <w:r w:rsidRPr="00383870">
        <w:t>Accounts</w:t>
      </w:r>
    </w:p>
    <w:p w:rsidR="008F0777" w:rsidRPr="00383870" w:rsidRDefault="008F0777" w:rsidP="00383870">
      <w:pPr>
        <w:pStyle w:val="subsection"/>
      </w:pPr>
      <w:r w:rsidRPr="00383870">
        <w:tab/>
        <w:t>(5)</w:t>
      </w:r>
      <w:r w:rsidRPr="00383870">
        <w:tab/>
        <w:t xml:space="preserve">Without limiting subparagraph D(1) of Section VIII of the </w:t>
      </w:r>
      <w:r w:rsidR="00383870" w:rsidRPr="00383870">
        <w:rPr>
          <w:position w:val="6"/>
          <w:sz w:val="16"/>
        </w:rPr>
        <w:t>*</w:t>
      </w:r>
      <w:r w:rsidRPr="00383870">
        <w:t>CRS, an account maintained by a Reporting Financial Institution for an entity is treated as being a Reportable Account (within the meaning of the CRS) if:</w:t>
      </w:r>
    </w:p>
    <w:p w:rsidR="008F0777" w:rsidRPr="00383870" w:rsidRDefault="008F0777" w:rsidP="00383870">
      <w:pPr>
        <w:pStyle w:val="paragraph"/>
      </w:pPr>
      <w:r w:rsidRPr="00383870">
        <w:tab/>
        <w:t>(a)</w:t>
      </w:r>
      <w:r w:rsidRPr="00383870">
        <w:tab/>
        <w:t>the Reporting Financial Institution does not apply the due diligence procedures described in the CRS in relation to the account; and</w:t>
      </w:r>
    </w:p>
    <w:p w:rsidR="008F0777" w:rsidRPr="00383870" w:rsidRDefault="008F0777" w:rsidP="00383870">
      <w:pPr>
        <w:pStyle w:val="paragraph"/>
      </w:pPr>
      <w:r w:rsidRPr="00383870">
        <w:tab/>
        <w:t>(b)</w:t>
      </w:r>
      <w:r w:rsidRPr="00383870">
        <w:tab/>
        <w:t>the CRS does not state that the account is not required to be identified; and</w:t>
      </w:r>
    </w:p>
    <w:p w:rsidR="008F0777" w:rsidRPr="00383870" w:rsidRDefault="008F0777" w:rsidP="00383870">
      <w:pPr>
        <w:pStyle w:val="paragraph"/>
      </w:pPr>
      <w:r w:rsidRPr="00383870">
        <w:tab/>
        <w:t>(c)</w:t>
      </w:r>
      <w:r w:rsidRPr="00383870">
        <w:tab/>
        <w:t>the account would be such a Reportable Account if the Reporting Financial Institution applied those procedures.</w:t>
      </w:r>
    </w:p>
    <w:p w:rsidR="008F0777" w:rsidRPr="00383870" w:rsidRDefault="008F0777" w:rsidP="00383870">
      <w:pPr>
        <w:pStyle w:val="subsection"/>
      </w:pPr>
      <w:r w:rsidRPr="00383870">
        <w:tab/>
        <w:t>(6)</w:t>
      </w:r>
      <w:r w:rsidRPr="00383870">
        <w:tab/>
        <w:t xml:space="preserve">The date provided for in subparagraph C(9) of Section VIII of the </w:t>
      </w:r>
      <w:r w:rsidR="00383870" w:rsidRPr="00383870">
        <w:rPr>
          <w:position w:val="6"/>
          <w:sz w:val="16"/>
        </w:rPr>
        <w:t>*</w:t>
      </w:r>
      <w:r w:rsidRPr="00383870">
        <w:t>CRS (about Preexisting Accounts) (as affected by paragraph</w:t>
      </w:r>
      <w:r w:rsidR="00383870" w:rsidRPr="00383870">
        <w:t> </w:t>
      </w:r>
      <w:r w:rsidRPr="00383870">
        <w:t>396</w:t>
      </w:r>
      <w:r w:rsidR="00C51CD0">
        <w:noBreakHyphen/>
      </w:r>
      <w:r w:rsidRPr="00383870">
        <w:t>115(5)(b) in this Schedule) is taken to be 30</w:t>
      </w:r>
      <w:r w:rsidR="00383870" w:rsidRPr="00383870">
        <w:t> </w:t>
      </w:r>
      <w:r w:rsidRPr="00383870">
        <w:t>June 2017.</w:t>
      </w:r>
    </w:p>
    <w:p w:rsidR="008F0777" w:rsidRPr="00383870" w:rsidRDefault="008F0777" w:rsidP="00383870">
      <w:pPr>
        <w:pStyle w:val="subsection"/>
      </w:pPr>
      <w:r w:rsidRPr="00383870">
        <w:tab/>
        <w:t>(7)</w:t>
      </w:r>
      <w:r w:rsidRPr="00383870">
        <w:tab/>
        <w:t xml:space="preserve">A reference in the </w:t>
      </w:r>
      <w:r w:rsidR="00383870" w:rsidRPr="00383870">
        <w:rPr>
          <w:position w:val="6"/>
          <w:sz w:val="16"/>
        </w:rPr>
        <w:t>*</w:t>
      </w:r>
      <w:r w:rsidRPr="00383870">
        <w:t>CRS to a New Account is treated as being a reference to a Financial Account maintained by a Reporting Financial Institution that is not a Preexisting Account.</w:t>
      </w:r>
    </w:p>
    <w:p w:rsidR="008F0777" w:rsidRPr="00383870" w:rsidRDefault="008F0777" w:rsidP="00383870">
      <w:pPr>
        <w:pStyle w:val="SubsectionHead"/>
      </w:pPr>
      <w:r w:rsidRPr="00383870">
        <w:t>Dollar amounts</w:t>
      </w:r>
    </w:p>
    <w:p w:rsidR="008F0777" w:rsidRPr="00383870" w:rsidRDefault="008F0777" w:rsidP="00383870">
      <w:pPr>
        <w:pStyle w:val="subsection"/>
      </w:pPr>
      <w:r w:rsidRPr="00383870">
        <w:tab/>
        <w:t>(8)</w:t>
      </w:r>
      <w:r w:rsidRPr="00383870">
        <w:tab/>
        <w:t xml:space="preserve">An entity may choose to treat all dollar amounts in the </w:t>
      </w:r>
      <w:r w:rsidR="00383870" w:rsidRPr="00383870">
        <w:rPr>
          <w:position w:val="6"/>
          <w:sz w:val="16"/>
        </w:rPr>
        <w:t>*</w:t>
      </w:r>
      <w:r w:rsidRPr="00383870">
        <w:t>CRS as being in Australian dollars.</w:t>
      </w:r>
    </w:p>
    <w:p w:rsidR="008F0777" w:rsidRPr="00383870" w:rsidRDefault="008F0777" w:rsidP="00383870">
      <w:pPr>
        <w:pStyle w:val="notetext"/>
      </w:pPr>
      <w:r w:rsidRPr="00383870">
        <w:t>Note:</w:t>
      </w:r>
      <w:r w:rsidRPr="00383870">
        <w:tab/>
        <w:t>Otherwise, all dollar amounts are in United States dollars: see subparagraph C(4) of Section VII of the CRS.</w:t>
      </w:r>
    </w:p>
    <w:p w:rsidR="008F0777" w:rsidRPr="00383870" w:rsidRDefault="008F0777" w:rsidP="00383870">
      <w:pPr>
        <w:pStyle w:val="ActHead5"/>
      </w:pPr>
      <w:bookmarkStart w:id="27" w:name="_Toc446416464"/>
      <w:r w:rsidRPr="00383870">
        <w:rPr>
          <w:rStyle w:val="CharSectno"/>
        </w:rPr>
        <w:lastRenderedPageBreak/>
        <w:t>396</w:t>
      </w:r>
      <w:r w:rsidR="00C51CD0">
        <w:rPr>
          <w:rStyle w:val="CharSectno"/>
        </w:rPr>
        <w:noBreakHyphen/>
      </w:r>
      <w:r w:rsidRPr="00383870">
        <w:rPr>
          <w:rStyle w:val="CharSectno"/>
        </w:rPr>
        <w:t>125</w:t>
      </w:r>
      <w:r w:rsidRPr="00383870">
        <w:t xml:space="preserve">  Record keeping</w:t>
      </w:r>
      <w:bookmarkEnd w:id="27"/>
    </w:p>
    <w:p w:rsidR="008F0777" w:rsidRPr="00383870" w:rsidRDefault="008F0777" w:rsidP="00383870">
      <w:pPr>
        <w:pStyle w:val="subsection"/>
      </w:pPr>
      <w:r w:rsidRPr="00383870">
        <w:tab/>
        <w:t>(1)</w:t>
      </w:r>
      <w:r w:rsidRPr="00383870">
        <w:tab/>
        <w:t>If paragraph</w:t>
      </w:r>
      <w:r w:rsidR="00383870" w:rsidRPr="00383870">
        <w:t> </w:t>
      </w:r>
      <w:r w:rsidRPr="00383870">
        <w:t>396</w:t>
      </w:r>
      <w:r w:rsidR="00C51CD0">
        <w:noBreakHyphen/>
      </w:r>
      <w:r w:rsidRPr="00383870">
        <w:t>105(1)(a) applies to an entity for a calendar year, the entity must keep written records that:</w:t>
      </w:r>
    </w:p>
    <w:p w:rsidR="008F0777" w:rsidRPr="00383870" w:rsidRDefault="008F0777" w:rsidP="00383870">
      <w:pPr>
        <w:pStyle w:val="paragraph"/>
      </w:pPr>
      <w:r w:rsidRPr="00383870">
        <w:tab/>
        <w:t>(a)</w:t>
      </w:r>
      <w:r w:rsidRPr="00383870">
        <w:tab/>
        <w:t>correctly record the procedures by which the entity determines:</w:t>
      </w:r>
    </w:p>
    <w:p w:rsidR="008F0777" w:rsidRPr="00383870" w:rsidRDefault="008F0777" w:rsidP="00383870">
      <w:pPr>
        <w:pStyle w:val="paragraphsub"/>
      </w:pPr>
      <w:r w:rsidRPr="00383870">
        <w:tab/>
        <w:t>(i)</w:t>
      </w:r>
      <w:r w:rsidRPr="00383870">
        <w:tab/>
        <w:t>whether, at any time during the year, the entity maintains an account to which paragraph</w:t>
      </w:r>
      <w:r w:rsidR="00383870" w:rsidRPr="00383870">
        <w:t> </w:t>
      </w:r>
      <w:r w:rsidRPr="00383870">
        <w:t>396</w:t>
      </w:r>
      <w:r w:rsidR="00C51CD0">
        <w:noBreakHyphen/>
      </w:r>
      <w:r w:rsidRPr="00383870">
        <w:t>105(1)(c) applies; and</w:t>
      </w:r>
    </w:p>
    <w:p w:rsidR="008F0777" w:rsidRPr="00383870" w:rsidRDefault="008F0777" w:rsidP="00383870">
      <w:pPr>
        <w:pStyle w:val="paragraphsub"/>
      </w:pPr>
      <w:r w:rsidRPr="00383870">
        <w:tab/>
        <w:t>(ii)</w:t>
      </w:r>
      <w:r w:rsidRPr="00383870">
        <w:tab/>
        <w:t>the information that is required to be contained in the statement (if any) the entity is obliged to give the Commissioner under subsection</w:t>
      </w:r>
      <w:r w:rsidR="00383870" w:rsidRPr="00383870">
        <w:t> </w:t>
      </w:r>
      <w:r w:rsidRPr="00383870">
        <w:t>396</w:t>
      </w:r>
      <w:r w:rsidR="00C51CD0">
        <w:noBreakHyphen/>
      </w:r>
      <w:r w:rsidRPr="00383870">
        <w:t>105(2); and</w:t>
      </w:r>
    </w:p>
    <w:p w:rsidR="008F0777" w:rsidRPr="00383870" w:rsidRDefault="008F0777" w:rsidP="00383870">
      <w:pPr>
        <w:pStyle w:val="paragraph"/>
      </w:pPr>
      <w:r w:rsidRPr="00383870">
        <w:tab/>
        <w:t>(b)</w:t>
      </w:r>
      <w:r w:rsidRPr="00383870">
        <w:tab/>
        <w:t>are in English, or readily accessible and easily convertible into English.</w:t>
      </w:r>
    </w:p>
    <w:p w:rsidR="008F0777" w:rsidRPr="00383870" w:rsidRDefault="008F0777" w:rsidP="00383870">
      <w:pPr>
        <w:pStyle w:val="subsection"/>
      </w:pPr>
      <w:r w:rsidRPr="00383870">
        <w:tab/>
        <w:t>(2)</w:t>
      </w:r>
      <w:r w:rsidRPr="00383870">
        <w:tab/>
        <w:t>The entity must retain the records, to the extent that they relate to a particular account, until:</w:t>
      </w:r>
    </w:p>
    <w:p w:rsidR="008F0777" w:rsidRPr="00383870" w:rsidRDefault="008F0777" w:rsidP="00383870">
      <w:pPr>
        <w:pStyle w:val="paragraph"/>
      </w:pPr>
      <w:r w:rsidRPr="00383870">
        <w:tab/>
        <w:t>(a)</w:t>
      </w:r>
      <w:r w:rsidRPr="00383870">
        <w:tab/>
        <w:t>the expiration of 5 years after the entity gives the Commissioner the statement in respect of the account under subsection</w:t>
      </w:r>
      <w:r w:rsidR="00383870" w:rsidRPr="00383870">
        <w:t> </w:t>
      </w:r>
      <w:r w:rsidRPr="00383870">
        <w:t>396</w:t>
      </w:r>
      <w:r w:rsidR="00C51CD0">
        <w:noBreakHyphen/>
      </w:r>
      <w:r w:rsidRPr="00383870">
        <w:t>105(2); or</w:t>
      </w:r>
    </w:p>
    <w:p w:rsidR="008F0777" w:rsidRPr="00383870" w:rsidRDefault="008F0777" w:rsidP="00383870">
      <w:pPr>
        <w:pStyle w:val="paragraph"/>
      </w:pPr>
      <w:r w:rsidRPr="00383870">
        <w:tab/>
        <w:t>(b)</w:t>
      </w:r>
      <w:r w:rsidRPr="00383870">
        <w:tab/>
        <w:t>if the entity is not required to give the Commissioner a statement in respect of the account for the year—31</w:t>
      </w:r>
      <w:r w:rsidR="00383870" w:rsidRPr="00383870">
        <w:t> </w:t>
      </w:r>
      <w:r w:rsidRPr="00383870">
        <w:t>July in the sixth year after the end of the year.</w:t>
      </w:r>
    </w:p>
    <w:p w:rsidR="008F0777" w:rsidRPr="00383870" w:rsidRDefault="008F0777" w:rsidP="00383870">
      <w:pPr>
        <w:pStyle w:val="notetext"/>
      </w:pPr>
      <w:r w:rsidRPr="00383870">
        <w:t>Note:</w:t>
      </w:r>
      <w:r w:rsidRPr="00383870">
        <w:tab/>
        <w:t>Section</w:t>
      </w:r>
      <w:r w:rsidR="00383870" w:rsidRPr="00383870">
        <w:t> </w:t>
      </w:r>
      <w:r w:rsidRPr="00383870">
        <w:t>288</w:t>
      </w:r>
      <w:r w:rsidR="00C51CD0">
        <w:noBreakHyphen/>
      </w:r>
      <w:r w:rsidRPr="00383870">
        <w:t>25 imposes an administrative penalty if an entity does not keep and retain records as required by this section.</w:t>
      </w:r>
    </w:p>
    <w:p w:rsidR="008F0777" w:rsidRPr="00383870" w:rsidRDefault="008F0777" w:rsidP="00383870">
      <w:pPr>
        <w:pStyle w:val="ActHead5"/>
      </w:pPr>
      <w:bookmarkStart w:id="28" w:name="_Toc446416465"/>
      <w:r w:rsidRPr="00383870">
        <w:rPr>
          <w:rStyle w:val="CharSectno"/>
        </w:rPr>
        <w:t>396</w:t>
      </w:r>
      <w:r w:rsidR="00C51CD0">
        <w:rPr>
          <w:rStyle w:val="CharSectno"/>
        </w:rPr>
        <w:noBreakHyphen/>
      </w:r>
      <w:r w:rsidRPr="00383870">
        <w:rPr>
          <w:rStyle w:val="CharSectno"/>
        </w:rPr>
        <w:t>130</w:t>
      </w:r>
      <w:r w:rsidRPr="00383870">
        <w:t xml:space="preserve">  Anti</w:t>
      </w:r>
      <w:r w:rsidR="00C51CD0">
        <w:noBreakHyphen/>
      </w:r>
      <w:r w:rsidRPr="00383870">
        <w:t>avoidance provisions</w:t>
      </w:r>
      <w:bookmarkEnd w:id="28"/>
    </w:p>
    <w:p w:rsidR="008F0777" w:rsidRPr="00383870" w:rsidRDefault="008F0777" w:rsidP="00383870">
      <w:pPr>
        <w:pStyle w:val="SubsectionHead"/>
      </w:pPr>
      <w:r w:rsidRPr="00383870">
        <w:t>Commissioner may require an account to be treated as a Reportable Account</w:t>
      </w:r>
    </w:p>
    <w:p w:rsidR="008F0777" w:rsidRPr="00383870" w:rsidRDefault="008F0777" w:rsidP="00383870">
      <w:pPr>
        <w:pStyle w:val="subsection"/>
      </w:pPr>
      <w:r w:rsidRPr="00383870">
        <w:tab/>
        <w:t>(1)</w:t>
      </w:r>
      <w:r w:rsidRPr="00383870">
        <w:tab/>
        <w:t>The Commissioner may require an entity that:</w:t>
      </w:r>
    </w:p>
    <w:p w:rsidR="008F0777" w:rsidRPr="00383870" w:rsidRDefault="008F0777" w:rsidP="00383870">
      <w:pPr>
        <w:pStyle w:val="paragraph"/>
      </w:pPr>
      <w:r w:rsidRPr="00383870">
        <w:tab/>
        <w:t>(a)</w:t>
      </w:r>
      <w:r w:rsidRPr="00383870">
        <w:tab/>
        <w:t xml:space="preserve">is a Reporting Financial Institution (within the meaning of the </w:t>
      </w:r>
      <w:r w:rsidR="00383870" w:rsidRPr="00383870">
        <w:rPr>
          <w:position w:val="6"/>
          <w:sz w:val="16"/>
        </w:rPr>
        <w:t>*</w:t>
      </w:r>
      <w:r w:rsidRPr="00383870">
        <w:t>CRS); or</w:t>
      </w:r>
    </w:p>
    <w:p w:rsidR="008F0777" w:rsidRPr="00383870" w:rsidRDefault="008F0777" w:rsidP="00383870">
      <w:pPr>
        <w:pStyle w:val="paragraph"/>
      </w:pPr>
      <w:r w:rsidRPr="00383870">
        <w:tab/>
        <w:t>(b)</w:t>
      </w:r>
      <w:r w:rsidRPr="00383870">
        <w:tab/>
        <w:t xml:space="preserve">is a Financial Institution that a notice under </w:t>
      </w:r>
      <w:r w:rsidR="00383870" w:rsidRPr="00383870">
        <w:t>subsection (</w:t>
      </w:r>
      <w:r w:rsidRPr="00383870">
        <w:t>5) requires to act as a Reporting Financial Institution;</w:t>
      </w:r>
    </w:p>
    <w:p w:rsidR="008F0777" w:rsidRPr="00383870" w:rsidRDefault="008F0777" w:rsidP="00383870">
      <w:pPr>
        <w:pStyle w:val="subsection2"/>
      </w:pPr>
      <w:r w:rsidRPr="00383870">
        <w:t>to treat an account the institution maintains or has maintained as if it is a Reportable Account (within the meaning of the CRS), if the Commissioner reasonably believes that:</w:t>
      </w:r>
    </w:p>
    <w:p w:rsidR="008F0777" w:rsidRPr="00383870" w:rsidRDefault="008F0777" w:rsidP="00383870">
      <w:pPr>
        <w:pStyle w:val="paragraph"/>
      </w:pPr>
      <w:r w:rsidRPr="00383870">
        <w:lastRenderedPageBreak/>
        <w:tab/>
        <w:t>(c)</w:t>
      </w:r>
      <w:r w:rsidRPr="00383870">
        <w:tab/>
        <w:t>the account would not be, or would not have been, such a Reportable Account if the Commissioner had not made such a requirement; and</w:t>
      </w:r>
    </w:p>
    <w:p w:rsidR="008F0777" w:rsidRPr="00383870" w:rsidRDefault="008F0777" w:rsidP="00383870">
      <w:pPr>
        <w:pStyle w:val="paragraph"/>
      </w:pPr>
      <w:r w:rsidRPr="00383870">
        <w:tab/>
        <w:t>(d)</w:t>
      </w:r>
      <w:r w:rsidRPr="00383870">
        <w:tab/>
        <w:t xml:space="preserve">the Reporting Financial Institution or the Account Holder (within the meaning of the CRS) undertook a transaction, or entered into an </w:t>
      </w:r>
      <w:r w:rsidR="00383870" w:rsidRPr="00383870">
        <w:rPr>
          <w:position w:val="6"/>
          <w:sz w:val="16"/>
        </w:rPr>
        <w:t>*</w:t>
      </w:r>
      <w:r w:rsidRPr="00383870">
        <w:t>arrangement:</w:t>
      </w:r>
    </w:p>
    <w:p w:rsidR="008F0777" w:rsidRPr="00383870" w:rsidRDefault="008F0777" w:rsidP="00383870">
      <w:pPr>
        <w:pStyle w:val="paragraphsub"/>
      </w:pPr>
      <w:r w:rsidRPr="00383870">
        <w:tab/>
        <w:t>(i)</w:t>
      </w:r>
      <w:r w:rsidRPr="00383870">
        <w:tab/>
        <w:t>for the purpose of causing the account not to be such a Reportable Account; or</w:t>
      </w:r>
    </w:p>
    <w:p w:rsidR="008F0777" w:rsidRPr="00383870" w:rsidRDefault="008F0777" w:rsidP="00383870">
      <w:pPr>
        <w:pStyle w:val="paragraphsub"/>
      </w:pPr>
      <w:r w:rsidRPr="00383870">
        <w:tab/>
        <w:t>(ii)</w:t>
      </w:r>
      <w:r w:rsidRPr="00383870">
        <w:tab/>
        <w:t>for 2 or more purposes of which that purpose is the dominant purpose.</w:t>
      </w:r>
    </w:p>
    <w:p w:rsidR="008F0777" w:rsidRPr="00383870" w:rsidRDefault="008F0777" w:rsidP="00383870">
      <w:pPr>
        <w:pStyle w:val="subsection"/>
      </w:pPr>
      <w:r w:rsidRPr="00383870">
        <w:tab/>
        <w:t>(2)</w:t>
      </w:r>
      <w:r w:rsidRPr="00383870">
        <w:tab/>
        <w:t>The Commissioner must give written notice of the requirement to the Reporting Financial Institution.</w:t>
      </w:r>
    </w:p>
    <w:p w:rsidR="008F0777" w:rsidRPr="00383870" w:rsidRDefault="008F0777" w:rsidP="00383870">
      <w:pPr>
        <w:pStyle w:val="subsection"/>
      </w:pPr>
      <w:r w:rsidRPr="00383870">
        <w:tab/>
        <w:t>(3)</w:t>
      </w:r>
      <w:r w:rsidRPr="00383870">
        <w:tab/>
        <w:t>The Reporting Financial Institution may object, in the manner set out in Part</w:t>
      </w:r>
      <w:r w:rsidR="00383870" w:rsidRPr="00383870">
        <w:t> </w:t>
      </w:r>
      <w:r w:rsidRPr="00383870">
        <w:t>IVC, against the Commissioner’s decision to give the notice.</w:t>
      </w:r>
    </w:p>
    <w:p w:rsidR="008F0777" w:rsidRPr="00383870" w:rsidRDefault="008F0777" w:rsidP="00383870">
      <w:pPr>
        <w:pStyle w:val="SubsectionHead"/>
      </w:pPr>
      <w:r w:rsidRPr="00383870">
        <w:t>Commissioner may require a Financial Institution to act as a Reporting Financial Institution</w:t>
      </w:r>
    </w:p>
    <w:p w:rsidR="008F0777" w:rsidRPr="00383870" w:rsidRDefault="008F0777" w:rsidP="00383870">
      <w:pPr>
        <w:pStyle w:val="subsection"/>
      </w:pPr>
      <w:r w:rsidRPr="00383870">
        <w:tab/>
        <w:t>(4)</w:t>
      </w:r>
      <w:r w:rsidRPr="00383870">
        <w:tab/>
        <w:t xml:space="preserve">The Commissioner may require an entity that is a Financial Institution (within the meaning of the </w:t>
      </w:r>
      <w:r w:rsidR="00383870" w:rsidRPr="00383870">
        <w:rPr>
          <w:position w:val="6"/>
          <w:sz w:val="16"/>
        </w:rPr>
        <w:t>*</w:t>
      </w:r>
      <w:r w:rsidRPr="00383870">
        <w:t>CRS) to act as if it is a Reporting Financial Institution (within the meaning of the CRS), if the Commissioner reasonably believes that:</w:t>
      </w:r>
    </w:p>
    <w:p w:rsidR="008F0777" w:rsidRPr="00383870" w:rsidRDefault="008F0777" w:rsidP="00383870">
      <w:pPr>
        <w:pStyle w:val="paragraph"/>
      </w:pPr>
      <w:r w:rsidRPr="00383870">
        <w:tab/>
        <w:t>(a)</w:t>
      </w:r>
      <w:r w:rsidRPr="00383870">
        <w:tab/>
        <w:t>the institution would not be, or would not have been, such a Reporting Financial Institution if the Commissioner had not made such a requirement; and</w:t>
      </w:r>
    </w:p>
    <w:p w:rsidR="008F0777" w:rsidRPr="00383870" w:rsidRDefault="008F0777" w:rsidP="00383870">
      <w:pPr>
        <w:pStyle w:val="paragraph"/>
      </w:pPr>
      <w:r w:rsidRPr="00383870">
        <w:tab/>
        <w:t>(b)</w:t>
      </w:r>
      <w:r w:rsidRPr="00383870">
        <w:tab/>
        <w:t xml:space="preserve">the Financial Institution undertook a transaction, or entered into an </w:t>
      </w:r>
      <w:r w:rsidR="00383870" w:rsidRPr="00383870">
        <w:rPr>
          <w:position w:val="6"/>
          <w:sz w:val="16"/>
        </w:rPr>
        <w:t>*</w:t>
      </w:r>
      <w:r w:rsidRPr="00383870">
        <w:t>arrangement:</w:t>
      </w:r>
    </w:p>
    <w:p w:rsidR="008F0777" w:rsidRPr="00383870" w:rsidRDefault="008F0777" w:rsidP="00383870">
      <w:pPr>
        <w:pStyle w:val="paragraphsub"/>
      </w:pPr>
      <w:r w:rsidRPr="00383870">
        <w:tab/>
        <w:t>(i)</w:t>
      </w:r>
      <w:r w:rsidRPr="00383870">
        <w:tab/>
        <w:t>for the purpose of causing the institution not to be such a Reporting Financial Institution; or</w:t>
      </w:r>
    </w:p>
    <w:p w:rsidR="008F0777" w:rsidRPr="00383870" w:rsidRDefault="008F0777" w:rsidP="00383870">
      <w:pPr>
        <w:pStyle w:val="paragraphsub"/>
      </w:pPr>
      <w:r w:rsidRPr="00383870">
        <w:tab/>
        <w:t>(ii)</w:t>
      </w:r>
      <w:r w:rsidRPr="00383870">
        <w:tab/>
        <w:t>for 2 or more purposes of which that purpose is the dominant purpose.</w:t>
      </w:r>
    </w:p>
    <w:p w:rsidR="008F0777" w:rsidRPr="00383870" w:rsidRDefault="008F0777" w:rsidP="00383870">
      <w:pPr>
        <w:pStyle w:val="subsection"/>
      </w:pPr>
      <w:r w:rsidRPr="00383870">
        <w:tab/>
        <w:t>(5)</w:t>
      </w:r>
      <w:r w:rsidRPr="00383870">
        <w:tab/>
        <w:t>The Commissioner must give written notice of the requirement to the institution.</w:t>
      </w:r>
    </w:p>
    <w:p w:rsidR="008F0777" w:rsidRPr="00383870" w:rsidRDefault="008F0777" w:rsidP="00383870">
      <w:pPr>
        <w:pStyle w:val="subsection"/>
      </w:pPr>
      <w:r w:rsidRPr="00383870">
        <w:tab/>
        <w:t>(6)</w:t>
      </w:r>
      <w:r w:rsidRPr="00383870">
        <w:tab/>
        <w:t>The institution may object, in the manner set out in Part</w:t>
      </w:r>
      <w:r w:rsidR="00383870" w:rsidRPr="00383870">
        <w:t> </w:t>
      </w:r>
      <w:r w:rsidRPr="00383870">
        <w:t>IVC, against the Commissioner’s decision to give the notice.</w:t>
      </w:r>
    </w:p>
    <w:p w:rsidR="008F0777" w:rsidRPr="00383870" w:rsidRDefault="008F0777" w:rsidP="00383870">
      <w:pPr>
        <w:pStyle w:val="ActHead5"/>
      </w:pPr>
      <w:bookmarkStart w:id="29" w:name="_Toc446416466"/>
      <w:r w:rsidRPr="00383870">
        <w:rPr>
          <w:rStyle w:val="CharSectno"/>
        </w:rPr>
        <w:lastRenderedPageBreak/>
        <w:t>396</w:t>
      </w:r>
      <w:r w:rsidR="00C51CD0">
        <w:rPr>
          <w:rStyle w:val="CharSectno"/>
        </w:rPr>
        <w:noBreakHyphen/>
      </w:r>
      <w:r w:rsidRPr="00383870">
        <w:rPr>
          <w:rStyle w:val="CharSectno"/>
        </w:rPr>
        <w:t>135</w:t>
      </w:r>
      <w:r w:rsidRPr="00383870">
        <w:t xml:space="preserve">  Application of penalty to false or misleading self</w:t>
      </w:r>
      <w:r w:rsidR="00C51CD0">
        <w:noBreakHyphen/>
      </w:r>
      <w:r w:rsidRPr="00383870">
        <w:t>certification</w:t>
      </w:r>
      <w:bookmarkEnd w:id="29"/>
    </w:p>
    <w:p w:rsidR="008F0777" w:rsidRPr="00383870" w:rsidRDefault="008F0777" w:rsidP="00383870">
      <w:pPr>
        <w:pStyle w:val="subsection"/>
      </w:pPr>
      <w:r w:rsidRPr="00383870">
        <w:tab/>
      </w:r>
      <w:r w:rsidRPr="00383870">
        <w:tab/>
        <w:t>For the purposes of applying Part</w:t>
      </w:r>
      <w:r w:rsidR="00383870" w:rsidRPr="00383870">
        <w:t> </w:t>
      </w:r>
      <w:r w:rsidRPr="00383870">
        <w:t>4</w:t>
      </w:r>
      <w:r w:rsidR="00C51CD0">
        <w:noBreakHyphen/>
      </w:r>
      <w:r w:rsidRPr="00383870">
        <w:t>25 (Charge and penalties) in relation to a statement that is, or that relates to, a self</w:t>
      </w:r>
      <w:r w:rsidR="00C51CD0">
        <w:noBreakHyphen/>
      </w:r>
      <w:r w:rsidRPr="00383870">
        <w:t xml:space="preserve">certification (within the meaning of the </w:t>
      </w:r>
      <w:r w:rsidR="00383870" w:rsidRPr="00383870">
        <w:rPr>
          <w:position w:val="6"/>
          <w:sz w:val="16"/>
        </w:rPr>
        <w:t>*</w:t>
      </w:r>
      <w:r w:rsidRPr="00383870">
        <w:t>CRS) that a Reporting Financial Institution is required to obtain when applying, under subsection</w:t>
      </w:r>
      <w:r w:rsidR="00383870" w:rsidRPr="00383870">
        <w:t> </w:t>
      </w:r>
      <w:r w:rsidRPr="00383870">
        <w:t>396</w:t>
      </w:r>
      <w:r w:rsidR="00C51CD0">
        <w:noBreakHyphen/>
      </w:r>
      <w:r w:rsidRPr="00383870">
        <w:t>105(3), the due diligence procedures described in the CRS:</w:t>
      </w:r>
    </w:p>
    <w:p w:rsidR="008F0777" w:rsidRPr="00383870" w:rsidRDefault="008F0777" w:rsidP="00383870">
      <w:pPr>
        <w:pStyle w:val="paragraph"/>
      </w:pPr>
      <w:r w:rsidRPr="00383870">
        <w:tab/>
        <w:t>(a)</w:t>
      </w:r>
      <w:r w:rsidRPr="00383870">
        <w:tab/>
        <w:t>the CRS is treated as permitting the self</w:t>
      </w:r>
      <w:r w:rsidR="00C51CD0">
        <w:noBreakHyphen/>
      </w:r>
      <w:r w:rsidRPr="00383870">
        <w:t>certification; and</w:t>
      </w:r>
    </w:p>
    <w:p w:rsidR="008F0777" w:rsidRPr="00383870" w:rsidRDefault="008F0777" w:rsidP="00383870">
      <w:pPr>
        <w:pStyle w:val="paragraph"/>
      </w:pPr>
      <w:r w:rsidRPr="00383870">
        <w:tab/>
        <w:t>(b)</w:t>
      </w:r>
      <w:r w:rsidRPr="00383870">
        <w:tab/>
        <w:t xml:space="preserve">the CRS is treated as being a </w:t>
      </w:r>
      <w:r w:rsidR="00383870" w:rsidRPr="00383870">
        <w:rPr>
          <w:position w:val="6"/>
          <w:sz w:val="16"/>
        </w:rPr>
        <w:t>*</w:t>
      </w:r>
      <w:r w:rsidRPr="00383870">
        <w:t xml:space="preserve">taxation law (but not an </w:t>
      </w:r>
      <w:r w:rsidR="00383870" w:rsidRPr="00383870">
        <w:rPr>
          <w:position w:val="6"/>
          <w:sz w:val="16"/>
        </w:rPr>
        <w:t>*</w:t>
      </w:r>
      <w:r w:rsidRPr="00383870">
        <w:t>Excise Act).</w:t>
      </w:r>
    </w:p>
    <w:p w:rsidR="008F0777" w:rsidRPr="00383870" w:rsidRDefault="008F0777" w:rsidP="00383870">
      <w:pPr>
        <w:pStyle w:val="notetext"/>
      </w:pPr>
      <w:r w:rsidRPr="00383870">
        <w:t>Note:</w:t>
      </w:r>
      <w:r w:rsidRPr="00383870">
        <w:tab/>
        <w:t>You are liable to an administrative penalty under subsection</w:t>
      </w:r>
      <w:r w:rsidR="00383870" w:rsidRPr="00383870">
        <w:t> </w:t>
      </w:r>
      <w:r w:rsidRPr="00383870">
        <w:t>284</w:t>
      </w:r>
      <w:r w:rsidR="00C51CD0">
        <w:noBreakHyphen/>
      </w:r>
      <w:r w:rsidRPr="00383870">
        <w:t>75(4) if you give a self</w:t>
      </w:r>
      <w:r w:rsidR="00C51CD0">
        <w:noBreakHyphen/>
      </w:r>
      <w:r w:rsidRPr="00383870">
        <w:t>certification that is false or misleading in a material particular.</w:t>
      </w:r>
    </w:p>
    <w:p w:rsidR="00912DBA" w:rsidRPr="000C667A" w:rsidRDefault="00912DBA" w:rsidP="00912DBA">
      <w:pPr>
        <w:pStyle w:val="ActHead5"/>
      </w:pPr>
      <w:bookmarkStart w:id="30" w:name="_Toc446416467"/>
      <w:r w:rsidRPr="000C667A">
        <w:rPr>
          <w:rStyle w:val="CharSectno"/>
        </w:rPr>
        <w:t>396</w:t>
      </w:r>
      <w:r w:rsidR="00C51CD0">
        <w:rPr>
          <w:rStyle w:val="CharSectno"/>
        </w:rPr>
        <w:noBreakHyphen/>
      </w:r>
      <w:r w:rsidRPr="000C667A">
        <w:rPr>
          <w:rStyle w:val="CharSectno"/>
        </w:rPr>
        <w:t>13</w:t>
      </w:r>
      <w:r>
        <w:rPr>
          <w:rStyle w:val="CharSectno"/>
        </w:rPr>
        <w:t>6</w:t>
      </w:r>
      <w:r w:rsidRPr="000C667A">
        <w:t xml:space="preserve">  Report on Reportable Accounts maintained by Australian Reporting Financial Institutions</w:t>
      </w:r>
      <w:bookmarkEnd w:id="30"/>
    </w:p>
    <w:p w:rsidR="00912DBA" w:rsidRDefault="00912DBA" w:rsidP="00912DBA">
      <w:pPr>
        <w:pStyle w:val="subsection"/>
      </w:pPr>
      <w:r w:rsidRPr="000C667A">
        <w:tab/>
        <w:t>(1)</w:t>
      </w:r>
      <w:r w:rsidRPr="000C667A">
        <w:tab/>
      </w:r>
      <w:r>
        <w:t>This section applies if:</w:t>
      </w:r>
    </w:p>
    <w:p w:rsidR="00912DBA" w:rsidRDefault="00912DBA" w:rsidP="00912DBA">
      <w:pPr>
        <w:pStyle w:val="paragraph"/>
      </w:pPr>
      <w:r w:rsidRPr="000C667A">
        <w:tab/>
        <w:t>(a)</w:t>
      </w:r>
      <w:r w:rsidRPr="000C667A">
        <w:tab/>
        <w:t xml:space="preserve">the Commissioner receives </w:t>
      </w:r>
      <w:r>
        <w:t>one or more</w:t>
      </w:r>
      <w:r w:rsidRPr="000C667A">
        <w:t xml:space="preserve"> statement</w:t>
      </w:r>
      <w:r>
        <w:t>s</w:t>
      </w:r>
      <w:r w:rsidRPr="000C667A">
        <w:t xml:space="preserve"> under subsection 396</w:t>
      </w:r>
      <w:r w:rsidR="00C51CD0">
        <w:noBreakHyphen/>
      </w:r>
      <w:r w:rsidRPr="000C667A">
        <w:t>105(2)</w:t>
      </w:r>
      <w:r>
        <w:t xml:space="preserve"> in relation to:</w:t>
      </w:r>
    </w:p>
    <w:p w:rsidR="00912DBA" w:rsidRDefault="00912DBA" w:rsidP="00912DBA">
      <w:pPr>
        <w:pStyle w:val="paragraphsub"/>
      </w:pPr>
      <w:r>
        <w:tab/>
        <w:t>(i)</w:t>
      </w:r>
      <w:r>
        <w:tab/>
        <w:t>the 2018 calendar year; or</w:t>
      </w:r>
    </w:p>
    <w:p w:rsidR="00912DBA" w:rsidRDefault="00912DBA" w:rsidP="00912DBA">
      <w:pPr>
        <w:pStyle w:val="paragraphsub"/>
      </w:pPr>
      <w:r>
        <w:tab/>
        <w:t>(ii)</w:t>
      </w:r>
      <w:r>
        <w:tab/>
        <w:t>a calendar year commencing after 2018</w:t>
      </w:r>
      <w:r w:rsidRPr="000C667A">
        <w:t>; and</w:t>
      </w:r>
    </w:p>
    <w:p w:rsidR="00912DBA" w:rsidRDefault="00912DBA" w:rsidP="00912DBA">
      <w:pPr>
        <w:pStyle w:val="paragraph"/>
      </w:pPr>
      <w:r>
        <w:tab/>
        <w:t>(b)</w:t>
      </w:r>
      <w:r>
        <w:tab/>
        <w:t>the statement contains information about</w:t>
      </w:r>
      <w:r w:rsidRPr="00087917">
        <w:t xml:space="preserve"> </w:t>
      </w:r>
      <w:r>
        <w:t>a Reportable Account (within the meaning of the CRS); and</w:t>
      </w:r>
    </w:p>
    <w:p w:rsidR="00912DBA" w:rsidRDefault="00912DBA" w:rsidP="00912DBA">
      <w:pPr>
        <w:pStyle w:val="paragraph"/>
      </w:pPr>
      <w:bookmarkStart w:id="31" w:name="BK_S1P2L7C81"/>
      <w:bookmarkEnd w:id="31"/>
      <w:r>
        <w:tab/>
        <w:t>(c)</w:t>
      </w:r>
      <w:r>
        <w:tab/>
        <w:t xml:space="preserve">the total number of accounts of the kind mentioned in paragraph (b) for a jurisdiction (other than Australia) that is a Reportable Jurisdiction (within the meaning of the CRS) (the </w:t>
      </w:r>
      <w:r w:rsidRPr="005A6F23">
        <w:rPr>
          <w:b/>
          <w:i/>
        </w:rPr>
        <w:t>relevant jurisdiction</w:t>
      </w:r>
      <w:r>
        <w:t>) for the calendar year is 6 or more.</w:t>
      </w:r>
    </w:p>
    <w:p w:rsidR="00912DBA" w:rsidRPr="000C667A" w:rsidRDefault="00912DBA" w:rsidP="00912DBA">
      <w:pPr>
        <w:pStyle w:val="subsection"/>
      </w:pPr>
      <w:r w:rsidRPr="000C667A">
        <w:tab/>
        <w:t>(2)</w:t>
      </w:r>
      <w:r w:rsidRPr="000C667A">
        <w:tab/>
      </w:r>
      <w:r>
        <w:t xml:space="preserve">The Commissioner must, no later than 31 December of the year following the calendar year, prepare and give to the Minister a report that sets out for each relevant jurisdiction in relation to the calendar year </w:t>
      </w:r>
      <w:r w:rsidRPr="000C667A">
        <w:t>the following information:</w:t>
      </w:r>
    </w:p>
    <w:p w:rsidR="00912DBA" w:rsidRDefault="00912DBA" w:rsidP="00912DBA">
      <w:pPr>
        <w:pStyle w:val="paragraph"/>
      </w:pPr>
      <w:r w:rsidRPr="000C667A">
        <w:tab/>
        <w:t>(a)</w:t>
      </w:r>
      <w:r w:rsidRPr="000C667A">
        <w:tab/>
      </w:r>
      <w:r>
        <w:t>the total number of accounts of the kind mentioned in paragraph (1)(b);</w:t>
      </w:r>
      <w:bookmarkStart w:id="32" w:name="BK_S1P2L16C79"/>
      <w:bookmarkEnd w:id="32"/>
      <w:r>
        <w:tab/>
      </w:r>
    </w:p>
    <w:p w:rsidR="00912DBA" w:rsidRDefault="00912DBA" w:rsidP="00912DBA">
      <w:pPr>
        <w:pStyle w:val="paragraph"/>
      </w:pPr>
      <w:r>
        <w:tab/>
        <w:t>(b)</w:t>
      </w:r>
      <w:r>
        <w:tab/>
        <w:t>the sum of the amounts in those accounts.</w:t>
      </w:r>
    </w:p>
    <w:p w:rsidR="00912DBA" w:rsidRPr="000C667A" w:rsidRDefault="00912DBA" w:rsidP="00912DBA">
      <w:pPr>
        <w:pStyle w:val="subsection"/>
      </w:pPr>
      <w:r w:rsidRPr="000C667A">
        <w:lastRenderedPageBreak/>
        <w:tab/>
        <w:t>(3)</w:t>
      </w:r>
      <w:r w:rsidRPr="000C667A">
        <w:tab/>
        <w:t>The Minister must cause a copy of the report given under subsection (2) to be tabled in each House of the Parliament within 15 sitting days of that House after the day on which the Minister receives the report.</w:t>
      </w:r>
    </w:p>
    <w:p w:rsidR="00912DBA" w:rsidRDefault="00912DBA" w:rsidP="00912DBA">
      <w:pPr>
        <w:pStyle w:val="subsection"/>
      </w:pPr>
      <w:r w:rsidRPr="000C667A">
        <w:tab/>
        <w:t>(4)</w:t>
      </w:r>
      <w:r w:rsidRPr="000C667A">
        <w:tab/>
        <w:t>The report given under subsection (2) is not a legislative instrument</w:t>
      </w:r>
      <w:bookmarkStart w:id="33" w:name="BK_S1P2L4C75"/>
      <w:bookmarkEnd w:id="33"/>
      <w:r w:rsidRPr="000C667A">
        <w:t>.</w:t>
      </w:r>
    </w:p>
    <w:p w:rsidR="008F0777" w:rsidRPr="00383870" w:rsidRDefault="008F0777" w:rsidP="00383870">
      <w:pPr>
        <w:pStyle w:val="ItemHead"/>
      </w:pPr>
      <w:r w:rsidRPr="00383870">
        <w:t>14  Application of amendments and CRS</w:t>
      </w:r>
    </w:p>
    <w:p w:rsidR="008F0777" w:rsidRPr="00383870" w:rsidRDefault="008F0777" w:rsidP="00383870">
      <w:pPr>
        <w:pStyle w:val="Subitem"/>
      </w:pPr>
      <w:r w:rsidRPr="00383870">
        <w:t>(1)</w:t>
      </w:r>
      <w:r w:rsidRPr="00383870">
        <w:tab/>
        <w:t>The amendments made by this Schedule apply to:</w:t>
      </w:r>
    </w:p>
    <w:p w:rsidR="008F0777" w:rsidRPr="00383870" w:rsidRDefault="008F0777" w:rsidP="00383870">
      <w:pPr>
        <w:pStyle w:val="paragraph"/>
      </w:pPr>
      <w:r w:rsidRPr="00383870">
        <w:tab/>
        <w:t>(a)</w:t>
      </w:r>
      <w:r w:rsidRPr="00383870">
        <w:tab/>
        <w:t>the period from 1</w:t>
      </w:r>
      <w:r w:rsidR="00383870" w:rsidRPr="00383870">
        <w:t> </w:t>
      </w:r>
      <w:r w:rsidRPr="00383870">
        <w:t>July 2017 to 31</w:t>
      </w:r>
      <w:r w:rsidR="00383870" w:rsidRPr="00383870">
        <w:t> </w:t>
      </w:r>
      <w:r w:rsidRPr="00383870">
        <w:t>December 2017, as if the period were a calendar year; and</w:t>
      </w:r>
    </w:p>
    <w:p w:rsidR="008F0777" w:rsidRPr="00383870" w:rsidRDefault="008F0777" w:rsidP="00383870">
      <w:pPr>
        <w:pStyle w:val="paragraph"/>
      </w:pPr>
      <w:r w:rsidRPr="00383870">
        <w:tab/>
        <w:t>(b)</w:t>
      </w:r>
      <w:r w:rsidRPr="00383870">
        <w:tab/>
        <w:t>2018 and later calendar years.</w:t>
      </w:r>
    </w:p>
    <w:p w:rsidR="008F0777" w:rsidRPr="00383870" w:rsidRDefault="008F0777" w:rsidP="00383870">
      <w:pPr>
        <w:pStyle w:val="Subitem"/>
      </w:pPr>
      <w:r w:rsidRPr="00383870">
        <w:t>(2)</w:t>
      </w:r>
      <w:r w:rsidRPr="00383870">
        <w:tab/>
        <w:t>The date provided for in the CRS as mentioned in column 1 of an item of the following table is taken to be the date mentioned in column 2 of the item:</w:t>
      </w:r>
    </w:p>
    <w:p w:rsidR="008F0777" w:rsidRPr="00383870" w:rsidRDefault="008F0777" w:rsidP="00383870">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676"/>
        <w:gridCol w:w="2693"/>
      </w:tblGrid>
      <w:tr w:rsidR="008F0777" w:rsidRPr="00383870" w:rsidTr="007D6D86">
        <w:trPr>
          <w:tblHeader/>
        </w:trPr>
        <w:tc>
          <w:tcPr>
            <w:tcW w:w="7083" w:type="dxa"/>
            <w:gridSpan w:val="3"/>
            <w:tcBorders>
              <w:top w:val="single" w:sz="12" w:space="0" w:color="auto"/>
              <w:bottom w:val="single" w:sz="2" w:space="0" w:color="auto"/>
            </w:tcBorders>
            <w:shd w:val="clear" w:color="auto" w:fill="auto"/>
          </w:tcPr>
          <w:p w:rsidR="008F0777" w:rsidRPr="00383870" w:rsidRDefault="008F0777" w:rsidP="00383870">
            <w:pPr>
              <w:pStyle w:val="TableHeading"/>
            </w:pPr>
            <w:r w:rsidRPr="00383870">
              <w:t>Dates</w:t>
            </w:r>
          </w:p>
        </w:tc>
      </w:tr>
      <w:tr w:rsidR="008F0777" w:rsidRPr="00383870" w:rsidTr="007D6D86">
        <w:trPr>
          <w:tblHeader/>
        </w:trPr>
        <w:tc>
          <w:tcPr>
            <w:tcW w:w="714" w:type="dxa"/>
            <w:tcBorders>
              <w:top w:val="single" w:sz="2" w:space="0" w:color="auto"/>
              <w:bottom w:val="single" w:sz="12" w:space="0" w:color="auto"/>
            </w:tcBorders>
            <w:shd w:val="clear" w:color="auto" w:fill="auto"/>
          </w:tcPr>
          <w:p w:rsidR="008F0777" w:rsidRPr="00383870" w:rsidRDefault="008F0777" w:rsidP="00383870">
            <w:pPr>
              <w:pStyle w:val="TableHeading"/>
            </w:pPr>
            <w:r w:rsidRPr="00383870">
              <w:t>Item</w:t>
            </w:r>
          </w:p>
        </w:tc>
        <w:tc>
          <w:tcPr>
            <w:tcW w:w="3676" w:type="dxa"/>
            <w:tcBorders>
              <w:top w:val="single" w:sz="2" w:space="0" w:color="auto"/>
              <w:bottom w:val="single" w:sz="12" w:space="0" w:color="auto"/>
            </w:tcBorders>
            <w:shd w:val="clear" w:color="auto" w:fill="auto"/>
          </w:tcPr>
          <w:p w:rsidR="008F0777" w:rsidRPr="00383870" w:rsidRDefault="008F0777" w:rsidP="00383870">
            <w:pPr>
              <w:pStyle w:val="TableHeading"/>
            </w:pPr>
            <w:r w:rsidRPr="00383870">
              <w:t>Column 1</w:t>
            </w:r>
            <w:r w:rsidRPr="00383870">
              <w:br/>
              <w:t>Date provided for in the CRS</w:t>
            </w:r>
          </w:p>
        </w:tc>
        <w:tc>
          <w:tcPr>
            <w:tcW w:w="2693" w:type="dxa"/>
            <w:tcBorders>
              <w:top w:val="single" w:sz="2" w:space="0" w:color="auto"/>
              <w:bottom w:val="single" w:sz="12" w:space="0" w:color="auto"/>
            </w:tcBorders>
            <w:shd w:val="clear" w:color="auto" w:fill="auto"/>
          </w:tcPr>
          <w:p w:rsidR="008F0777" w:rsidRPr="00383870" w:rsidRDefault="008F0777" w:rsidP="00383870">
            <w:pPr>
              <w:pStyle w:val="TableHeading"/>
            </w:pPr>
            <w:r w:rsidRPr="00383870">
              <w:t>Column 2</w:t>
            </w:r>
            <w:r w:rsidRPr="00383870">
              <w:br/>
              <w:t>Actual date</w:t>
            </w:r>
          </w:p>
        </w:tc>
      </w:tr>
      <w:tr w:rsidR="008F0777" w:rsidRPr="00383870" w:rsidTr="007D6D86">
        <w:tc>
          <w:tcPr>
            <w:tcW w:w="714" w:type="dxa"/>
            <w:tcBorders>
              <w:top w:val="single" w:sz="12" w:space="0" w:color="auto"/>
            </w:tcBorders>
            <w:shd w:val="clear" w:color="auto" w:fill="auto"/>
          </w:tcPr>
          <w:p w:rsidR="008F0777" w:rsidRPr="00383870" w:rsidRDefault="008F0777" w:rsidP="00383870">
            <w:pPr>
              <w:pStyle w:val="Tabletext"/>
            </w:pPr>
            <w:r w:rsidRPr="00383870">
              <w:t>1</w:t>
            </w:r>
          </w:p>
        </w:tc>
        <w:tc>
          <w:tcPr>
            <w:tcW w:w="3676" w:type="dxa"/>
            <w:tcBorders>
              <w:top w:val="single" w:sz="12" w:space="0" w:color="auto"/>
            </w:tcBorders>
            <w:shd w:val="clear" w:color="auto" w:fill="auto"/>
          </w:tcPr>
          <w:p w:rsidR="008F0777" w:rsidRPr="00383870" w:rsidRDefault="008F0777" w:rsidP="00383870">
            <w:pPr>
              <w:pStyle w:val="Tabletext"/>
            </w:pPr>
            <w:r w:rsidRPr="00383870">
              <w:t>the date provided for in subparagraph C(6) of Section III</w:t>
            </w:r>
          </w:p>
        </w:tc>
        <w:tc>
          <w:tcPr>
            <w:tcW w:w="2693" w:type="dxa"/>
            <w:tcBorders>
              <w:top w:val="single" w:sz="12" w:space="0" w:color="auto"/>
            </w:tcBorders>
            <w:shd w:val="clear" w:color="auto" w:fill="auto"/>
          </w:tcPr>
          <w:p w:rsidR="008F0777" w:rsidRPr="00383870" w:rsidRDefault="008F0777" w:rsidP="00383870">
            <w:pPr>
              <w:pStyle w:val="Tabletext"/>
            </w:pPr>
            <w:r w:rsidRPr="00383870">
              <w:t>30</w:t>
            </w:r>
            <w:r w:rsidR="00383870" w:rsidRPr="00383870">
              <w:t> </w:t>
            </w:r>
            <w:r w:rsidRPr="00383870">
              <w:t>June 2017</w:t>
            </w:r>
          </w:p>
        </w:tc>
      </w:tr>
      <w:tr w:rsidR="008F0777" w:rsidRPr="00383870" w:rsidTr="007D6D86">
        <w:tc>
          <w:tcPr>
            <w:tcW w:w="714" w:type="dxa"/>
            <w:shd w:val="clear" w:color="auto" w:fill="auto"/>
          </w:tcPr>
          <w:p w:rsidR="008F0777" w:rsidRPr="00383870" w:rsidRDefault="008F0777" w:rsidP="00383870">
            <w:pPr>
              <w:pStyle w:val="Tabletext"/>
            </w:pPr>
            <w:r w:rsidRPr="00383870">
              <w:t>2</w:t>
            </w:r>
          </w:p>
        </w:tc>
        <w:tc>
          <w:tcPr>
            <w:tcW w:w="3676" w:type="dxa"/>
            <w:shd w:val="clear" w:color="auto" w:fill="auto"/>
          </w:tcPr>
          <w:p w:rsidR="008F0777" w:rsidRPr="00383870" w:rsidRDefault="008F0777" w:rsidP="00383870">
            <w:pPr>
              <w:pStyle w:val="Tabletext"/>
            </w:pPr>
            <w:r w:rsidRPr="00383870">
              <w:t>the date provided for in paragraph D of Section III</w:t>
            </w:r>
          </w:p>
        </w:tc>
        <w:tc>
          <w:tcPr>
            <w:tcW w:w="2693" w:type="dxa"/>
            <w:shd w:val="clear" w:color="auto" w:fill="auto"/>
          </w:tcPr>
          <w:p w:rsidR="008F0777" w:rsidRPr="00383870" w:rsidRDefault="008F0777" w:rsidP="00383870">
            <w:pPr>
              <w:pStyle w:val="Tablea"/>
            </w:pPr>
            <w:r w:rsidRPr="00383870">
              <w:t>(a) in relation to a Preexisting Individual Account (within the meaning of the CRS) that is a Lower Value Account (within the meaning of the CRS)—31</w:t>
            </w:r>
            <w:r w:rsidR="00383870" w:rsidRPr="00383870">
              <w:t> </w:t>
            </w:r>
            <w:r w:rsidRPr="00383870">
              <w:t>July 2019; and</w:t>
            </w:r>
          </w:p>
          <w:p w:rsidR="008F0777" w:rsidRPr="00383870" w:rsidRDefault="008F0777" w:rsidP="00383870">
            <w:pPr>
              <w:pStyle w:val="Tablea"/>
            </w:pPr>
            <w:r w:rsidRPr="00383870">
              <w:t>(b) in relation to a Preexisting Individual Account that is a High Value Account (within the meaning of the CRS)—31</w:t>
            </w:r>
            <w:r w:rsidR="00383870" w:rsidRPr="00383870">
              <w:t> </w:t>
            </w:r>
            <w:r w:rsidRPr="00383870">
              <w:t>July 2018</w:t>
            </w:r>
          </w:p>
        </w:tc>
      </w:tr>
      <w:tr w:rsidR="008F0777" w:rsidRPr="00383870" w:rsidTr="007D6D86">
        <w:tc>
          <w:tcPr>
            <w:tcW w:w="714" w:type="dxa"/>
            <w:shd w:val="clear" w:color="auto" w:fill="auto"/>
          </w:tcPr>
          <w:p w:rsidR="008F0777" w:rsidRPr="00383870" w:rsidRDefault="008F0777" w:rsidP="00383870">
            <w:pPr>
              <w:pStyle w:val="Tabletext"/>
            </w:pPr>
            <w:r w:rsidRPr="00383870">
              <w:t>3</w:t>
            </w:r>
          </w:p>
        </w:tc>
        <w:tc>
          <w:tcPr>
            <w:tcW w:w="3676" w:type="dxa"/>
            <w:shd w:val="clear" w:color="auto" w:fill="auto"/>
          </w:tcPr>
          <w:p w:rsidR="008F0777" w:rsidRPr="00383870" w:rsidRDefault="008F0777" w:rsidP="00383870">
            <w:pPr>
              <w:pStyle w:val="Tabletext"/>
            </w:pPr>
            <w:r w:rsidRPr="00383870">
              <w:t>the date provided for in paragraph A of Section V</w:t>
            </w:r>
          </w:p>
        </w:tc>
        <w:tc>
          <w:tcPr>
            <w:tcW w:w="2693" w:type="dxa"/>
            <w:shd w:val="clear" w:color="auto" w:fill="auto"/>
          </w:tcPr>
          <w:p w:rsidR="008F0777" w:rsidRPr="00383870" w:rsidRDefault="008F0777" w:rsidP="00383870">
            <w:pPr>
              <w:pStyle w:val="Tabletext"/>
            </w:pPr>
            <w:r w:rsidRPr="00383870">
              <w:t>30</w:t>
            </w:r>
            <w:r w:rsidR="00383870" w:rsidRPr="00383870">
              <w:t> </w:t>
            </w:r>
            <w:r w:rsidRPr="00383870">
              <w:t>June 2017</w:t>
            </w:r>
          </w:p>
        </w:tc>
      </w:tr>
      <w:tr w:rsidR="008F0777" w:rsidRPr="00383870" w:rsidTr="007D6D86">
        <w:tc>
          <w:tcPr>
            <w:tcW w:w="714" w:type="dxa"/>
            <w:shd w:val="clear" w:color="auto" w:fill="auto"/>
          </w:tcPr>
          <w:p w:rsidR="008F0777" w:rsidRPr="00383870" w:rsidRDefault="008F0777" w:rsidP="00383870">
            <w:pPr>
              <w:pStyle w:val="Tabletext"/>
            </w:pPr>
            <w:r w:rsidRPr="00383870">
              <w:t>4</w:t>
            </w:r>
          </w:p>
        </w:tc>
        <w:tc>
          <w:tcPr>
            <w:tcW w:w="3676" w:type="dxa"/>
            <w:shd w:val="clear" w:color="auto" w:fill="auto"/>
          </w:tcPr>
          <w:p w:rsidR="008F0777" w:rsidRPr="00383870" w:rsidRDefault="008F0777" w:rsidP="00383870">
            <w:pPr>
              <w:pStyle w:val="Tabletext"/>
            </w:pPr>
            <w:r w:rsidRPr="00383870">
              <w:t>the dates provided for in paragraph B of Section V</w:t>
            </w:r>
          </w:p>
        </w:tc>
        <w:tc>
          <w:tcPr>
            <w:tcW w:w="2693" w:type="dxa"/>
            <w:shd w:val="clear" w:color="auto" w:fill="auto"/>
          </w:tcPr>
          <w:p w:rsidR="008F0777" w:rsidRPr="00383870" w:rsidRDefault="008F0777" w:rsidP="00383870">
            <w:pPr>
              <w:pStyle w:val="Tabletext"/>
            </w:pPr>
            <w:r w:rsidRPr="00383870">
              <w:t>30</w:t>
            </w:r>
            <w:r w:rsidR="00383870" w:rsidRPr="00383870">
              <w:t> </w:t>
            </w:r>
            <w:r w:rsidRPr="00383870">
              <w:t>June 2017</w:t>
            </w:r>
          </w:p>
        </w:tc>
      </w:tr>
      <w:tr w:rsidR="008F0777" w:rsidRPr="00383870" w:rsidTr="007D6D86">
        <w:tc>
          <w:tcPr>
            <w:tcW w:w="714" w:type="dxa"/>
            <w:shd w:val="clear" w:color="auto" w:fill="auto"/>
          </w:tcPr>
          <w:p w:rsidR="008F0777" w:rsidRPr="00383870" w:rsidRDefault="008F0777" w:rsidP="00383870">
            <w:pPr>
              <w:pStyle w:val="Tabletext"/>
            </w:pPr>
            <w:r w:rsidRPr="00383870">
              <w:lastRenderedPageBreak/>
              <w:t>5</w:t>
            </w:r>
          </w:p>
        </w:tc>
        <w:tc>
          <w:tcPr>
            <w:tcW w:w="3676" w:type="dxa"/>
            <w:shd w:val="clear" w:color="auto" w:fill="auto"/>
          </w:tcPr>
          <w:p w:rsidR="008F0777" w:rsidRPr="00383870" w:rsidRDefault="008F0777" w:rsidP="00383870">
            <w:pPr>
              <w:pStyle w:val="Tabletext"/>
            </w:pPr>
            <w:r w:rsidRPr="00383870">
              <w:t>the first occurring date provided for in subparagraph E(1) of Section V</w:t>
            </w:r>
          </w:p>
        </w:tc>
        <w:tc>
          <w:tcPr>
            <w:tcW w:w="2693" w:type="dxa"/>
            <w:shd w:val="clear" w:color="auto" w:fill="auto"/>
          </w:tcPr>
          <w:p w:rsidR="008F0777" w:rsidRPr="00383870" w:rsidRDefault="008F0777" w:rsidP="00383870">
            <w:pPr>
              <w:pStyle w:val="Tabletext"/>
            </w:pPr>
            <w:r w:rsidRPr="00383870">
              <w:t>30</w:t>
            </w:r>
            <w:r w:rsidR="00383870" w:rsidRPr="00383870">
              <w:t> </w:t>
            </w:r>
            <w:r w:rsidRPr="00383870">
              <w:t>June 2017</w:t>
            </w:r>
          </w:p>
          <w:p w:rsidR="008F0777" w:rsidRPr="00383870" w:rsidRDefault="008F0777" w:rsidP="00383870">
            <w:pPr>
              <w:pStyle w:val="Tabletext"/>
            </w:pPr>
          </w:p>
        </w:tc>
      </w:tr>
      <w:tr w:rsidR="008F0777" w:rsidRPr="00383870" w:rsidTr="007D6D86">
        <w:tc>
          <w:tcPr>
            <w:tcW w:w="714" w:type="dxa"/>
            <w:tcBorders>
              <w:bottom w:val="single" w:sz="4" w:space="0" w:color="auto"/>
            </w:tcBorders>
            <w:shd w:val="clear" w:color="auto" w:fill="auto"/>
          </w:tcPr>
          <w:p w:rsidR="008F0777" w:rsidRPr="00383870" w:rsidRDefault="008F0777" w:rsidP="00383870">
            <w:pPr>
              <w:pStyle w:val="Tabletext"/>
            </w:pPr>
            <w:r w:rsidRPr="00383870">
              <w:t>6</w:t>
            </w:r>
          </w:p>
        </w:tc>
        <w:tc>
          <w:tcPr>
            <w:tcW w:w="3676" w:type="dxa"/>
            <w:tcBorders>
              <w:bottom w:val="single" w:sz="4" w:space="0" w:color="auto"/>
            </w:tcBorders>
            <w:shd w:val="clear" w:color="auto" w:fill="auto"/>
          </w:tcPr>
          <w:p w:rsidR="008F0777" w:rsidRPr="00383870" w:rsidRDefault="008F0777" w:rsidP="00383870">
            <w:pPr>
              <w:pStyle w:val="Tabletext"/>
            </w:pPr>
            <w:r w:rsidRPr="00383870">
              <w:t>the last occurring date provided for in subparagraph E(1) of Section V</w:t>
            </w:r>
          </w:p>
        </w:tc>
        <w:tc>
          <w:tcPr>
            <w:tcW w:w="2693" w:type="dxa"/>
            <w:tcBorders>
              <w:bottom w:val="single" w:sz="4" w:space="0" w:color="auto"/>
            </w:tcBorders>
            <w:shd w:val="clear" w:color="auto" w:fill="auto"/>
          </w:tcPr>
          <w:p w:rsidR="008F0777" w:rsidRPr="00383870" w:rsidRDefault="008F0777" w:rsidP="00383870">
            <w:pPr>
              <w:pStyle w:val="Tabletext"/>
            </w:pPr>
            <w:r w:rsidRPr="00383870">
              <w:t>31</w:t>
            </w:r>
            <w:r w:rsidR="00383870" w:rsidRPr="00383870">
              <w:t> </w:t>
            </w:r>
            <w:r w:rsidR="00912DBA">
              <w:t>July 2018</w:t>
            </w:r>
          </w:p>
        </w:tc>
      </w:tr>
      <w:tr w:rsidR="008F0777" w:rsidRPr="00383870" w:rsidTr="007D6D86">
        <w:tc>
          <w:tcPr>
            <w:tcW w:w="714" w:type="dxa"/>
            <w:shd w:val="clear" w:color="auto" w:fill="auto"/>
          </w:tcPr>
          <w:p w:rsidR="008F0777" w:rsidRPr="00383870" w:rsidRDefault="008F0777" w:rsidP="00383870">
            <w:pPr>
              <w:pStyle w:val="Tabletext"/>
            </w:pPr>
            <w:r w:rsidRPr="00383870">
              <w:t>7</w:t>
            </w:r>
          </w:p>
        </w:tc>
        <w:tc>
          <w:tcPr>
            <w:tcW w:w="3676" w:type="dxa"/>
            <w:shd w:val="clear" w:color="auto" w:fill="auto"/>
          </w:tcPr>
          <w:p w:rsidR="008F0777" w:rsidRPr="00383870" w:rsidRDefault="008F0777" w:rsidP="00383870">
            <w:pPr>
              <w:pStyle w:val="Tabletext"/>
            </w:pPr>
            <w:r w:rsidRPr="00383870">
              <w:t>the date provided for in subparagraph E(2) of Section V</w:t>
            </w:r>
          </w:p>
        </w:tc>
        <w:tc>
          <w:tcPr>
            <w:tcW w:w="2693" w:type="dxa"/>
            <w:shd w:val="clear" w:color="auto" w:fill="auto"/>
          </w:tcPr>
          <w:p w:rsidR="008F0777" w:rsidRPr="00383870" w:rsidRDefault="008F0777" w:rsidP="00383870">
            <w:pPr>
              <w:pStyle w:val="Tabletext"/>
            </w:pPr>
            <w:r w:rsidRPr="00383870">
              <w:t>30</w:t>
            </w:r>
            <w:r w:rsidR="00383870" w:rsidRPr="00383870">
              <w:t> </w:t>
            </w:r>
            <w:r w:rsidRPr="00383870">
              <w:t>June 2017</w:t>
            </w:r>
          </w:p>
        </w:tc>
      </w:tr>
      <w:tr w:rsidR="008F0777" w:rsidRPr="00383870" w:rsidTr="007D6D86">
        <w:tc>
          <w:tcPr>
            <w:tcW w:w="714" w:type="dxa"/>
            <w:shd w:val="clear" w:color="auto" w:fill="auto"/>
          </w:tcPr>
          <w:p w:rsidR="008F0777" w:rsidRPr="00383870" w:rsidRDefault="008F0777" w:rsidP="00383870">
            <w:pPr>
              <w:pStyle w:val="Tabletext"/>
            </w:pPr>
            <w:r w:rsidRPr="00383870">
              <w:t>8</w:t>
            </w:r>
          </w:p>
        </w:tc>
        <w:tc>
          <w:tcPr>
            <w:tcW w:w="3676" w:type="dxa"/>
            <w:shd w:val="clear" w:color="auto" w:fill="auto"/>
          </w:tcPr>
          <w:p w:rsidR="008F0777" w:rsidRPr="00383870" w:rsidRDefault="008F0777" w:rsidP="00383870">
            <w:pPr>
              <w:pStyle w:val="Tabletext"/>
            </w:pPr>
            <w:r w:rsidRPr="00383870">
              <w:t>the date provided for in subparagraph B(8)(b) of Section VIII</w:t>
            </w:r>
          </w:p>
        </w:tc>
        <w:tc>
          <w:tcPr>
            <w:tcW w:w="2693" w:type="dxa"/>
            <w:shd w:val="clear" w:color="auto" w:fill="auto"/>
          </w:tcPr>
          <w:p w:rsidR="008F0777" w:rsidRPr="00383870" w:rsidRDefault="008F0777" w:rsidP="00383870">
            <w:pPr>
              <w:pStyle w:val="Tabletext"/>
            </w:pPr>
            <w:r w:rsidRPr="00383870">
              <w:t>1</w:t>
            </w:r>
            <w:r w:rsidR="00383870" w:rsidRPr="00383870">
              <w:t> </w:t>
            </w:r>
            <w:r w:rsidRPr="00383870">
              <w:t>July 2017</w:t>
            </w:r>
          </w:p>
        </w:tc>
      </w:tr>
      <w:tr w:rsidR="008F0777" w:rsidRPr="00383870" w:rsidTr="007D6D86">
        <w:tc>
          <w:tcPr>
            <w:tcW w:w="714" w:type="dxa"/>
            <w:shd w:val="clear" w:color="auto" w:fill="auto"/>
          </w:tcPr>
          <w:p w:rsidR="008F0777" w:rsidRPr="00383870" w:rsidRDefault="008F0777" w:rsidP="00383870">
            <w:pPr>
              <w:pStyle w:val="Tabletext"/>
            </w:pPr>
            <w:r w:rsidRPr="00383870">
              <w:t>9</w:t>
            </w:r>
          </w:p>
        </w:tc>
        <w:tc>
          <w:tcPr>
            <w:tcW w:w="3676" w:type="dxa"/>
            <w:shd w:val="clear" w:color="auto" w:fill="auto"/>
          </w:tcPr>
          <w:p w:rsidR="008F0777" w:rsidRPr="00383870" w:rsidRDefault="008F0777" w:rsidP="00383870">
            <w:pPr>
              <w:pStyle w:val="Tabletext"/>
            </w:pPr>
            <w:r w:rsidRPr="00383870">
              <w:t>the date provided for in subparagraph C(14) of Section VIII</w:t>
            </w:r>
          </w:p>
        </w:tc>
        <w:tc>
          <w:tcPr>
            <w:tcW w:w="2693" w:type="dxa"/>
            <w:shd w:val="clear" w:color="auto" w:fill="auto"/>
          </w:tcPr>
          <w:p w:rsidR="008F0777" w:rsidRPr="00383870" w:rsidRDefault="008F0777" w:rsidP="00383870">
            <w:pPr>
              <w:pStyle w:val="Tabletext"/>
            </w:pPr>
            <w:r w:rsidRPr="00383870">
              <w:t>30</w:t>
            </w:r>
            <w:r w:rsidR="00383870" w:rsidRPr="00383870">
              <w:t> </w:t>
            </w:r>
            <w:r w:rsidRPr="00383870">
              <w:t>June 2017</w:t>
            </w:r>
          </w:p>
        </w:tc>
      </w:tr>
      <w:tr w:rsidR="008F0777" w:rsidRPr="00383870" w:rsidTr="007D6D86">
        <w:tc>
          <w:tcPr>
            <w:tcW w:w="714" w:type="dxa"/>
            <w:shd w:val="clear" w:color="auto" w:fill="auto"/>
          </w:tcPr>
          <w:p w:rsidR="008F0777" w:rsidRPr="00383870" w:rsidRDefault="008F0777" w:rsidP="00383870">
            <w:pPr>
              <w:pStyle w:val="Tabletext"/>
            </w:pPr>
            <w:r w:rsidRPr="00383870">
              <w:t>10</w:t>
            </w:r>
          </w:p>
        </w:tc>
        <w:tc>
          <w:tcPr>
            <w:tcW w:w="3676" w:type="dxa"/>
            <w:shd w:val="clear" w:color="auto" w:fill="auto"/>
          </w:tcPr>
          <w:p w:rsidR="008F0777" w:rsidRPr="00383870" w:rsidRDefault="008F0777" w:rsidP="00383870">
            <w:pPr>
              <w:pStyle w:val="Tabletext"/>
            </w:pPr>
            <w:r w:rsidRPr="00383870">
              <w:t>the first occurring date provided for in subparagraph C(15) of Section VIII</w:t>
            </w:r>
          </w:p>
        </w:tc>
        <w:tc>
          <w:tcPr>
            <w:tcW w:w="2693" w:type="dxa"/>
            <w:shd w:val="clear" w:color="auto" w:fill="auto"/>
          </w:tcPr>
          <w:p w:rsidR="008F0777" w:rsidRPr="00383870" w:rsidRDefault="008F0777" w:rsidP="00383870">
            <w:pPr>
              <w:pStyle w:val="Tabletext"/>
            </w:pPr>
            <w:r w:rsidRPr="00383870">
              <w:t>30</w:t>
            </w:r>
            <w:r w:rsidR="00383870" w:rsidRPr="00383870">
              <w:t> </w:t>
            </w:r>
            <w:r w:rsidRPr="00383870">
              <w:t>June 2017</w:t>
            </w:r>
          </w:p>
        </w:tc>
      </w:tr>
      <w:tr w:rsidR="008F0777" w:rsidRPr="00383870" w:rsidTr="007D6D86">
        <w:tc>
          <w:tcPr>
            <w:tcW w:w="714" w:type="dxa"/>
            <w:tcBorders>
              <w:bottom w:val="single" w:sz="12" w:space="0" w:color="auto"/>
            </w:tcBorders>
            <w:shd w:val="clear" w:color="auto" w:fill="auto"/>
          </w:tcPr>
          <w:p w:rsidR="008F0777" w:rsidRPr="00383870" w:rsidRDefault="008F0777" w:rsidP="00383870">
            <w:pPr>
              <w:pStyle w:val="Tabletext"/>
            </w:pPr>
            <w:r w:rsidRPr="00383870">
              <w:t>11</w:t>
            </w:r>
          </w:p>
        </w:tc>
        <w:tc>
          <w:tcPr>
            <w:tcW w:w="3676" w:type="dxa"/>
            <w:tcBorders>
              <w:bottom w:val="single" w:sz="12" w:space="0" w:color="auto"/>
            </w:tcBorders>
            <w:shd w:val="clear" w:color="auto" w:fill="auto"/>
          </w:tcPr>
          <w:p w:rsidR="008F0777" w:rsidRPr="00383870" w:rsidRDefault="008F0777" w:rsidP="00383870">
            <w:pPr>
              <w:pStyle w:val="Tabletext"/>
            </w:pPr>
            <w:r w:rsidRPr="00383870">
              <w:t>the date provided for in subparagraph C(17)(f)(ii) of Section VIII</w:t>
            </w:r>
          </w:p>
        </w:tc>
        <w:tc>
          <w:tcPr>
            <w:tcW w:w="2693" w:type="dxa"/>
            <w:tcBorders>
              <w:bottom w:val="single" w:sz="12" w:space="0" w:color="auto"/>
            </w:tcBorders>
            <w:shd w:val="clear" w:color="auto" w:fill="auto"/>
          </w:tcPr>
          <w:p w:rsidR="008F0777" w:rsidRPr="00383870" w:rsidRDefault="008F0777" w:rsidP="00383870">
            <w:pPr>
              <w:pStyle w:val="Tabletext"/>
            </w:pPr>
            <w:r w:rsidRPr="00383870">
              <w:t>1</w:t>
            </w:r>
            <w:r w:rsidR="00383870" w:rsidRPr="00383870">
              <w:t> </w:t>
            </w:r>
            <w:r w:rsidRPr="00383870">
              <w:t>July 2017</w:t>
            </w:r>
          </w:p>
        </w:tc>
      </w:tr>
    </w:tbl>
    <w:p w:rsidR="008F0777" w:rsidRPr="00383870" w:rsidRDefault="008F0777" w:rsidP="00383870">
      <w:pPr>
        <w:pStyle w:val="Subitem"/>
      </w:pPr>
      <w:r w:rsidRPr="00383870">
        <w:t>(3)</w:t>
      </w:r>
      <w:r w:rsidRPr="00383870">
        <w:tab/>
        <w:t>For the purposes of:</w:t>
      </w:r>
    </w:p>
    <w:p w:rsidR="008F0777" w:rsidRPr="00383870" w:rsidRDefault="008F0777" w:rsidP="00383870">
      <w:pPr>
        <w:pStyle w:val="paragraph"/>
      </w:pPr>
      <w:r w:rsidRPr="00383870">
        <w:tab/>
        <w:t>(a)</w:t>
      </w:r>
      <w:r w:rsidRPr="00383870">
        <w:tab/>
        <w:t>subparagraph C(6) of Section III of the CRS; and</w:t>
      </w:r>
    </w:p>
    <w:p w:rsidR="008F0777" w:rsidRPr="00383870" w:rsidRDefault="008F0777" w:rsidP="00383870">
      <w:pPr>
        <w:pStyle w:val="paragraph"/>
      </w:pPr>
      <w:r w:rsidRPr="00383870">
        <w:tab/>
        <w:t>(b)</w:t>
      </w:r>
      <w:r w:rsidRPr="00383870">
        <w:tab/>
        <w:t>paragraphs A and B and subparagraph E(2) of Section V; and</w:t>
      </w:r>
    </w:p>
    <w:p w:rsidR="008F0777" w:rsidRPr="00383870" w:rsidRDefault="008F0777" w:rsidP="00383870">
      <w:pPr>
        <w:pStyle w:val="paragraph"/>
      </w:pPr>
      <w:r w:rsidRPr="00383870">
        <w:tab/>
        <w:t>(c)</w:t>
      </w:r>
      <w:r w:rsidRPr="00383870">
        <w:tab/>
        <w:t>subparagraph C(15) of Section VIII;</w:t>
      </w:r>
    </w:p>
    <w:p w:rsidR="008F0777" w:rsidRPr="00383870" w:rsidRDefault="008F0777" w:rsidP="00383870">
      <w:pPr>
        <w:pStyle w:val="Item"/>
      </w:pPr>
      <w:r w:rsidRPr="00383870">
        <w:t>the following periods are taken to be separate calendar years:</w:t>
      </w:r>
    </w:p>
    <w:p w:rsidR="008F0777" w:rsidRPr="00383870" w:rsidRDefault="008F0777" w:rsidP="00383870">
      <w:pPr>
        <w:pStyle w:val="paragraph"/>
      </w:pPr>
      <w:r w:rsidRPr="00383870">
        <w:tab/>
        <w:t>(d)</w:t>
      </w:r>
      <w:r w:rsidRPr="00383870">
        <w:tab/>
        <w:t>the period from 1</w:t>
      </w:r>
      <w:r w:rsidR="00383870" w:rsidRPr="00383870">
        <w:t> </w:t>
      </w:r>
      <w:r w:rsidRPr="00383870">
        <w:t>January 2017 to 30</w:t>
      </w:r>
      <w:r w:rsidR="00383870" w:rsidRPr="00383870">
        <w:t> </w:t>
      </w:r>
      <w:r w:rsidRPr="00383870">
        <w:t>June 2017;</w:t>
      </w:r>
    </w:p>
    <w:p w:rsidR="008F0777" w:rsidRPr="00383870" w:rsidRDefault="008F0777" w:rsidP="00383870">
      <w:pPr>
        <w:pStyle w:val="paragraph"/>
      </w:pPr>
      <w:r w:rsidRPr="00383870">
        <w:tab/>
        <w:t>(e)</w:t>
      </w:r>
      <w:r w:rsidRPr="00383870">
        <w:tab/>
        <w:t>the period from 1</w:t>
      </w:r>
      <w:r w:rsidR="00383870" w:rsidRPr="00383870">
        <w:t> </w:t>
      </w:r>
      <w:r w:rsidRPr="00383870">
        <w:t>July 2017 to 31</w:t>
      </w:r>
      <w:r w:rsidR="00383870" w:rsidRPr="00383870">
        <w:t> </w:t>
      </w:r>
      <w:r w:rsidRPr="00383870">
        <w:t>December 2017.</w:t>
      </w:r>
    </w:p>
    <w:p w:rsidR="008F0777" w:rsidRPr="00383870" w:rsidRDefault="008F0777" w:rsidP="00383870">
      <w:pPr>
        <w:pStyle w:val="ItemHead"/>
      </w:pPr>
      <w:r w:rsidRPr="00383870">
        <w:t>15  Transitional provisions</w:t>
      </w:r>
    </w:p>
    <w:p w:rsidR="008F0777" w:rsidRPr="00383870" w:rsidRDefault="008F0777" w:rsidP="00383870">
      <w:pPr>
        <w:pStyle w:val="SubitemHead"/>
      </w:pPr>
      <w:r w:rsidRPr="00383870">
        <w:t>Participating Jurisdiction Financial Institutions</w:t>
      </w:r>
    </w:p>
    <w:p w:rsidR="008F0777" w:rsidRPr="00383870" w:rsidRDefault="008F0777" w:rsidP="00383870">
      <w:pPr>
        <w:pStyle w:val="Subitem"/>
      </w:pPr>
      <w:r w:rsidRPr="00383870">
        <w:t>(1)</w:t>
      </w:r>
      <w:r w:rsidRPr="00383870">
        <w:tab/>
        <w:t xml:space="preserve">For the purposes </w:t>
      </w:r>
      <w:r w:rsidR="00E55AED" w:rsidRPr="00383870">
        <w:t xml:space="preserve">of </w:t>
      </w:r>
      <w:r w:rsidRPr="00383870">
        <w:t>applying subparagraph D(2) of Section V and subparagraph A(2) of Section VI of the CRS under Schedule</w:t>
      </w:r>
      <w:r w:rsidR="00383870" w:rsidRPr="00383870">
        <w:t> </w:t>
      </w:r>
      <w:r w:rsidRPr="00383870">
        <w:t xml:space="preserve">1 </w:t>
      </w:r>
      <w:r w:rsidR="00E55AED" w:rsidRPr="00383870">
        <w:t xml:space="preserve">to </w:t>
      </w:r>
      <w:r w:rsidRPr="00383870">
        <w:t xml:space="preserve">the </w:t>
      </w:r>
      <w:r w:rsidRPr="00383870">
        <w:rPr>
          <w:i/>
        </w:rPr>
        <w:t>Taxation Administration Act 1953</w:t>
      </w:r>
      <w:r w:rsidRPr="00383870">
        <w:t xml:space="preserve"> (as amended by this Part), a Financial Institution (within the meaning of the CRS) that:</w:t>
      </w:r>
    </w:p>
    <w:p w:rsidR="008F0777" w:rsidRPr="00383870" w:rsidRDefault="008F0777" w:rsidP="00383870">
      <w:pPr>
        <w:pStyle w:val="paragraph"/>
      </w:pPr>
      <w:r w:rsidRPr="00383870">
        <w:tab/>
        <w:t>(a)</w:t>
      </w:r>
      <w:r w:rsidRPr="00383870">
        <w:tab/>
        <w:t>is an Investment Entity (within the meaning of the CRS) because of subparagraph A(6)(b) of Section VIII of the CRS; and</w:t>
      </w:r>
    </w:p>
    <w:p w:rsidR="008F0777" w:rsidRPr="00383870" w:rsidRDefault="008F0777" w:rsidP="00383870">
      <w:pPr>
        <w:pStyle w:val="paragraph"/>
      </w:pPr>
      <w:r w:rsidRPr="00383870">
        <w:lastRenderedPageBreak/>
        <w:tab/>
        <w:t>(b)</w:t>
      </w:r>
      <w:r w:rsidRPr="00383870">
        <w:tab/>
        <w:t>is not a Participating Jurisdiction Financial Institution (within the meaning of the CRS); and</w:t>
      </w:r>
    </w:p>
    <w:p w:rsidR="008F0777" w:rsidRPr="00383870" w:rsidRDefault="008F0777" w:rsidP="00383870">
      <w:pPr>
        <w:pStyle w:val="paragraph"/>
      </w:pPr>
      <w:r w:rsidRPr="00383870">
        <w:tab/>
        <w:t>(c)</w:t>
      </w:r>
      <w:r w:rsidRPr="00383870">
        <w:tab/>
        <w:t xml:space="preserve">would be a Participating Jurisdiction Financial Institution if the jurisdictions declared to be committed jurisdictions under </w:t>
      </w:r>
      <w:r w:rsidR="00383870" w:rsidRPr="00383870">
        <w:t>subitem (</w:t>
      </w:r>
      <w:r w:rsidRPr="00383870">
        <w:t>2) were Participating Jurisdictions (within the meaning of the CRS);</w:t>
      </w:r>
    </w:p>
    <w:p w:rsidR="008F0777" w:rsidRPr="00383870" w:rsidRDefault="008F0777" w:rsidP="00383870">
      <w:pPr>
        <w:pStyle w:val="Item"/>
      </w:pPr>
      <w:r w:rsidRPr="00383870">
        <w:t>is taken not to be a Passive NFE (within the meaning of the CRS) during the period from 1</w:t>
      </w:r>
      <w:r w:rsidR="00383870" w:rsidRPr="00383870">
        <w:t> </w:t>
      </w:r>
      <w:r w:rsidRPr="00383870">
        <w:t>July 2017 to 31</w:t>
      </w:r>
      <w:r w:rsidR="00383870" w:rsidRPr="00383870">
        <w:t> </w:t>
      </w:r>
      <w:r w:rsidRPr="00383870">
        <w:t>December 2017, and during the whole of 2018 and 2019.</w:t>
      </w:r>
    </w:p>
    <w:p w:rsidR="008F0777" w:rsidRPr="00383870" w:rsidRDefault="008F0777" w:rsidP="00383870">
      <w:pPr>
        <w:pStyle w:val="Subitem"/>
      </w:pPr>
      <w:r w:rsidRPr="00383870">
        <w:t>(2)</w:t>
      </w:r>
      <w:r w:rsidRPr="00383870">
        <w:tab/>
        <w:t>The Commissioner may, by legislative instrument, declare one or more jurisdictions (within the meaning of the CRS) to be committed jurisdictions.</w:t>
      </w:r>
    </w:p>
    <w:p w:rsidR="009F1E5F" w:rsidRPr="00A5127B" w:rsidRDefault="009F1E5F" w:rsidP="009F1E5F">
      <w:pPr>
        <w:pStyle w:val="SubitemHead"/>
      </w:pPr>
      <w:r w:rsidRPr="00A5127B">
        <w:t>High Value Accounts</w:t>
      </w:r>
    </w:p>
    <w:p w:rsidR="009F1E5F" w:rsidRPr="00A5127B" w:rsidRDefault="009F1E5F" w:rsidP="009F1E5F">
      <w:pPr>
        <w:pStyle w:val="Subitem"/>
      </w:pPr>
      <w:r w:rsidRPr="00A5127B">
        <w:t>(2A)</w:t>
      </w:r>
      <w:r w:rsidRPr="00A5127B">
        <w:tab/>
        <w:t>For the purposes of subsections 396</w:t>
      </w:r>
      <w:r w:rsidR="00C51CD0">
        <w:noBreakHyphen/>
      </w:r>
      <w:r w:rsidRPr="00A5127B">
        <w:t xml:space="preserve">105(1) and (2) in Schedule 1 to the </w:t>
      </w:r>
      <w:r w:rsidRPr="00A5127B">
        <w:rPr>
          <w:i/>
        </w:rPr>
        <w:t>Taxation Administration Act 1953</w:t>
      </w:r>
      <w:r w:rsidRPr="00A5127B">
        <w:t>, as amended by this Schedule, an account maintained by a Reporting Financial Institution on 1 July 2017 is treated as being a Reportable Account (within the meaning of the CRS) on that day if the account:</w:t>
      </w:r>
    </w:p>
    <w:p w:rsidR="009F1E5F" w:rsidRPr="00A5127B" w:rsidRDefault="009F1E5F" w:rsidP="009F1E5F">
      <w:pPr>
        <w:pStyle w:val="paragraph"/>
      </w:pPr>
      <w:r w:rsidRPr="00A5127B">
        <w:tab/>
        <w:t>(a)</w:t>
      </w:r>
      <w:r w:rsidRPr="00A5127B">
        <w:tab/>
        <w:t>would be a Reportable Account (within the meaning of the CRS) on that day if the Reporting Financial Institution applied the due diligence procedures described in the CRS in relation to the account on or before that day; and</w:t>
      </w:r>
    </w:p>
    <w:p w:rsidR="009F1E5F" w:rsidRPr="00A5127B" w:rsidRDefault="009F1E5F" w:rsidP="009F1E5F">
      <w:pPr>
        <w:pStyle w:val="paragraph"/>
      </w:pPr>
      <w:r w:rsidRPr="00A5127B">
        <w:tab/>
        <w:t>(b)</w:t>
      </w:r>
      <w:r w:rsidRPr="00A5127B">
        <w:tab/>
        <w:t>is a High Value Account (within the meaning of the CRS) on 30 June 2017.</w:t>
      </w:r>
    </w:p>
    <w:p w:rsidR="009F1E5F" w:rsidRPr="00DF230A" w:rsidRDefault="009F1E5F" w:rsidP="009F1E5F">
      <w:pPr>
        <w:pStyle w:val="SubitemHead"/>
      </w:pPr>
      <w:r w:rsidRPr="00DF230A">
        <w:t>Preexisting Entity Accounts</w:t>
      </w:r>
    </w:p>
    <w:p w:rsidR="009F1E5F" w:rsidRPr="00DF230A" w:rsidRDefault="009F1E5F" w:rsidP="009F1E5F">
      <w:pPr>
        <w:pStyle w:val="Subitem"/>
      </w:pPr>
      <w:r w:rsidRPr="00DF230A">
        <w:t>(2B)</w:t>
      </w:r>
      <w:r w:rsidRPr="00DF230A">
        <w:tab/>
        <w:t>For the purposes of subsections 396</w:t>
      </w:r>
      <w:r w:rsidR="00C51CD0">
        <w:noBreakHyphen/>
      </w:r>
      <w:r w:rsidRPr="00DF230A">
        <w:t xml:space="preserve">105(1) and (2) in Schedule 1 to the </w:t>
      </w:r>
      <w:r w:rsidRPr="00DF230A">
        <w:rPr>
          <w:i/>
        </w:rPr>
        <w:t>Taxation Administration Act 1953</w:t>
      </w:r>
      <w:r w:rsidRPr="00DF230A">
        <w:t>, as amended by this Schedule, an account maintained by a Reporting Financial Institution on 1 July 2017 is treated as being a Reportable Account (within the meaning of the CRS) on that day if the account:</w:t>
      </w:r>
    </w:p>
    <w:p w:rsidR="009F1E5F" w:rsidRPr="00DF230A" w:rsidRDefault="009F1E5F" w:rsidP="009F1E5F">
      <w:pPr>
        <w:pStyle w:val="paragraph"/>
      </w:pPr>
      <w:r w:rsidRPr="00DF230A">
        <w:tab/>
        <w:t>(a)</w:t>
      </w:r>
      <w:r w:rsidRPr="00DF230A">
        <w:tab/>
        <w:t>would be a Reportable Account (within the meaning of the CRS) on that day if the Reporting Financial Institution applied the due diligence procedures described in the CRS in relation to the account on or before that day; and</w:t>
      </w:r>
    </w:p>
    <w:p w:rsidR="009F1E5F" w:rsidRPr="00A5127B" w:rsidRDefault="009F1E5F" w:rsidP="009F1E5F">
      <w:pPr>
        <w:pStyle w:val="paragraph"/>
      </w:pPr>
      <w:r w:rsidRPr="00DF230A">
        <w:tab/>
        <w:t>(b)</w:t>
      </w:r>
      <w:r w:rsidRPr="00DF230A">
        <w:tab/>
        <w:t>is a Preexisting Entity Account (within the meaning of the CRS).</w:t>
      </w:r>
    </w:p>
    <w:p w:rsidR="00C70840" w:rsidRPr="000C667A" w:rsidRDefault="00C70840" w:rsidP="00C70840">
      <w:pPr>
        <w:pStyle w:val="SubitemHead"/>
      </w:pPr>
      <w:r w:rsidRPr="000C667A">
        <w:lastRenderedPageBreak/>
        <w:t>Statements</w:t>
      </w:r>
    </w:p>
    <w:p w:rsidR="00C70840" w:rsidRPr="000C667A" w:rsidRDefault="00C70840" w:rsidP="00C70840">
      <w:pPr>
        <w:pStyle w:val="Subitem"/>
      </w:pPr>
      <w:r w:rsidRPr="000C667A">
        <w:t>(3)</w:t>
      </w:r>
      <w:r w:rsidRPr="000C667A">
        <w:tab/>
        <w:t>Despite subsection 396</w:t>
      </w:r>
      <w:r w:rsidR="00C51CD0">
        <w:noBreakHyphen/>
      </w:r>
      <w:r w:rsidRPr="000C667A">
        <w:t xml:space="preserve">105(6) in Schedule 1 to the </w:t>
      </w:r>
      <w:r w:rsidRPr="000C667A">
        <w:rPr>
          <w:i/>
        </w:rPr>
        <w:t>Taxation Administration Act 1953</w:t>
      </w:r>
      <w:r w:rsidRPr="000C667A">
        <w:t>, to the extent that a statement under subsection 396</w:t>
      </w:r>
      <w:r w:rsidR="00C51CD0">
        <w:noBreakHyphen/>
      </w:r>
      <w:r w:rsidRPr="000C667A">
        <w:t>105(2) in that Schedule for 2017 relates to an account that is a Lower Value Account (within the meaning of the CRS), the statement must be given to the Commissioner no later than 31 July 2019.</w:t>
      </w:r>
    </w:p>
    <w:p w:rsidR="00C70840" w:rsidRPr="000C667A" w:rsidRDefault="00C70840" w:rsidP="00C70840">
      <w:pPr>
        <w:pStyle w:val="notemargin"/>
      </w:pPr>
      <w:r w:rsidRPr="000C667A">
        <w:t>Note:</w:t>
      </w:r>
      <w:r w:rsidRPr="000C667A">
        <w:tab/>
        <w:t>Section 388</w:t>
      </w:r>
      <w:r w:rsidR="00C51CD0">
        <w:noBreakHyphen/>
      </w:r>
      <w:r w:rsidRPr="000C667A">
        <w:t>55 in that Schedule allows the Commissioner to defer the time for giving an approved form.</w:t>
      </w:r>
    </w:p>
    <w:p w:rsidR="008F0777" w:rsidRPr="00383870" w:rsidRDefault="008F0777" w:rsidP="00C70840">
      <w:pPr>
        <w:pStyle w:val="Subitem"/>
      </w:pPr>
      <w:r w:rsidRPr="00383870">
        <w:t>(4)</w:t>
      </w:r>
      <w:r w:rsidRPr="00383870">
        <w:tab/>
        <w:t xml:space="preserve">For the purpose of </w:t>
      </w:r>
      <w:r w:rsidR="00383870" w:rsidRPr="00383870">
        <w:t>subitem</w:t>
      </w:r>
      <w:r w:rsidR="00746A6B">
        <w:t> </w:t>
      </w:r>
      <w:r w:rsidR="00C70840" w:rsidRPr="00DF230A">
        <w:rPr>
          <w:color w:val="000000"/>
          <w:szCs w:val="22"/>
        </w:rPr>
        <w:t>(2A)</w:t>
      </w:r>
      <w:r w:rsidR="00C70840">
        <w:rPr>
          <w:color w:val="000000"/>
          <w:szCs w:val="22"/>
        </w:rPr>
        <w:t>, (2B)</w:t>
      </w:r>
      <w:r w:rsidR="00C70840" w:rsidRPr="00DF230A">
        <w:rPr>
          <w:color w:val="000000"/>
          <w:szCs w:val="22"/>
        </w:rPr>
        <w:t xml:space="preserve"> or</w:t>
      </w:r>
      <w:r w:rsidR="00383870" w:rsidRPr="00383870">
        <w:t> (</w:t>
      </w:r>
      <w:r w:rsidRPr="00383870">
        <w:t>3), subsections</w:t>
      </w:r>
      <w:r w:rsidR="00383870" w:rsidRPr="00383870">
        <w:t> </w:t>
      </w:r>
      <w:r w:rsidRPr="00383870">
        <w:t>396</w:t>
      </w:r>
      <w:r w:rsidR="00C51CD0">
        <w:noBreakHyphen/>
      </w:r>
      <w:r w:rsidRPr="00383870">
        <w:t>120(2) to (8) in Schedule</w:t>
      </w:r>
      <w:r w:rsidR="00383870" w:rsidRPr="00383870">
        <w:t> </w:t>
      </w:r>
      <w:r w:rsidRPr="00383870">
        <w:t xml:space="preserve">1 to the </w:t>
      </w:r>
      <w:r w:rsidRPr="00383870">
        <w:rPr>
          <w:i/>
        </w:rPr>
        <w:t>Taxation Administration Act 1953</w:t>
      </w:r>
      <w:r w:rsidRPr="00383870">
        <w:t>, as amended by this Part, apply in determining the meaning of a term used in that subitem.</w:t>
      </w:r>
    </w:p>
    <w:p w:rsidR="008F0777" w:rsidRPr="00383870" w:rsidRDefault="008F0777" w:rsidP="00383870">
      <w:pPr>
        <w:pStyle w:val="ActHead7"/>
        <w:pageBreakBefore/>
      </w:pPr>
      <w:bookmarkStart w:id="34" w:name="_Toc446416468"/>
      <w:r w:rsidRPr="00383870">
        <w:rPr>
          <w:rStyle w:val="CharAmPartNo"/>
        </w:rPr>
        <w:lastRenderedPageBreak/>
        <w:t>Part</w:t>
      </w:r>
      <w:r w:rsidR="00383870" w:rsidRPr="00383870">
        <w:rPr>
          <w:rStyle w:val="CharAmPartNo"/>
        </w:rPr>
        <w:t> </w:t>
      </w:r>
      <w:r w:rsidRPr="00383870">
        <w:rPr>
          <w:rStyle w:val="CharAmPartNo"/>
        </w:rPr>
        <w:t>2</w:t>
      </w:r>
      <w:r w:rsidRPr="00383870">
        <w:t>—</w:t>
      </w:r>
      <w:r w:rsidRPr="00383870">
        <w:rPr>
          <w:rStyle w:val="CharAmPartText"/>
        </w:rPr>
        <w:t>Amendments contingent on the Tax and Superannuation Laws Amendment (2015 Measures No.</w:t>
      </w:r>
      <w:r w:rsidR="00383870" w:rsidRPr="00383870">
        <w:rPr>
          <w:rStyle w:val="CharAmPartText"/>
        </w:rPr>
        <w:t> </w:t>
      </w:r>
      <w:r w:rsidRPr="00383870">
        <w:rPr>
          <w:rStyle w:val="CharAmPartText"/>
        </w:rPr>
        <w:t>5) Act 2015</w:t>
      </w:r>
      <w:bookmarkEnd w:id="34"/>
    </w:p>
    <w:p w:rsidR="008F0777" w:rsidRPr="00383870" w:rsidRDefault="008F0777" w:rsidP="00383870">
      <w:pPr>
        <w:pStyle w:val="ActHead9"/>
        <w:rPr>
          <w:i w:val="0"/>
        </w:rPr>
      </w:pPr>
      <w:bookmarkStart w:id="35" w:name="_Toc446416469"/>
      <w:r w:rsidRPr="00383870">
        <w:t>Tax and Superannuation Laws Amendment (2015 Measures No.</w:t>
      </w:r>
      <w:r w:rsidR="00383870" w:rsidRPr="00383870">
        <w:t> </w:t>
      </w:r>
      <w:r w:rsidRPr="00383870">
        <w:t>5) Act 2015</w:t>
      </w:r>
      <w:bookmarkEnd w:id="35"/>
    </w:p>
    <w:p w:rsidR="008F0777" w:rsidRPr="00383870" w:rsidRDefault="008F0777" w:rsidP="00383870">
      <w:pPr>
        <w:pStyle w:val="ItemHead"/>
      </w:pPr>
      <w:r w:rsidRPr="00383870">
        <w:t>16  Item</w:t>
      </w:r>
      <w:r w:rsidR="00383870" w:rsidRPr="00383870">
        <w:t> </w:t>
      </w:r>
      <w:r w:rsidRPr="00383870">
        <w:t>1 of Schedule</w:t>
      </w:r>
      <w:r w:rsidR="00383870" w:rsidRPr="00383870">
        <w:t> </w:t>
      </w:r>
      <w:r w:rsidRPr="00383870">
        <w:t>4 (heading)</w:t>
      </w:r>
    </w:p>
    <w:p w:rsidR="008F0777" w:rsidRPr="00383870" w:rsidRDefault="008F0777" w:rsidP="00383870">
      <w:pPr>
        <w:pStyle w:val="Item"/>
      </w:pPr>
      <w:r w:rsidRPr="00383870">
        <w:t>Repeal the heading, substitute:</w:t>
      </w:r>
    </w:p>
    <w:p w:rsidR="008F0777" w:rsidRPr="00383870" w:rsidRDefault="008F0777" w:rsidP="00383870">
      <w:pPr>
        <w:pStyle w:val="Specialih"/>
      </w:pPr>
      <w:r w:rsidRPr="00383870">
        <w:t>1  After Subdivision</w:t>
      </w:r>
      <w:r w:rsidR="00383870" w:rsidRPr="00383870">
        <w:t> </w:t>
      </w:r>
      <w:r w:rsidRPr="00383870">
        <w:t>396</w:t>
      </w:r>
      <w:r w:rsidR="00C51CD0">
        <w:noBreakHyphen/>
      </w:r>
      <w:r w:rsidRPr="00383870">
        <w:t>A in Schedule</w:t>
      </w:r>
      <w:r w:rsidR="00383870" w:rsidRPr="00383870">
        <w:t> </w:t>
      </w:r>
      <w:r w:rsidRPr="00383870">
        <w:t>1</w:t>
      </w:r>
    </w:p>
    <w:p w:rsidR="008F0777" w:rsidRPr="00383870" w:rsidRDefault="008F0777" w:rsidP="00383870">
      <w:pPr>
        <w:pStyle w:val="ItemHead"/>
      </w:pPr>
      <w:r w:rsidRPr="00383870">
        <w:t>17  Item</w:t>
      </w:r>
      <w:r w:rsidR="00383870" w:rsidRPr="00383870">
        <w:t> </w:t>
      </w:r>
      <w:r w:rsidRPr="00383870">
        <w:t>1 of Schedule</w:t>
      </w:r>
      <w:r w:rsidR="00383870" w:rsidRPr="00383870">
        <w:t> </w:t>
      </w:r>
      <w:r w:rsidRPr="00383870">
        <w:t>4</w:t>
      </w:r>
    </w:p>
    <w:p w:rsidR="008F0777" w:rsidRPr="00383870" w:rsidRDefault="008F0777" w:rsidP="00383870">
      <w:pPr>
        <w:pStyle w:val="Item"/>
      </w:pPr>
      <w:r w:rsidRPr="00383870">
        <w:t>Omit “Add”, substitute “Insert”.</w:t>
      </w:r>
    </w:p>
    <w:p w:rsidR="008F0777" w:rsidRPr="00383870" w:rsidRDefault="008F0777" w:rsidP="00383870">
      <w:pPr>
        <w:pStyle w:val="ItemHead"/>
      </w:pPr>
      <w:r w:rsidRPr="00383870">
        <w:t>18  Items</w:t>
      </w:r>
      <w:r w:rsidR="00383870" w:rsidRPr="00383870">
        <w:t> </w:t>
      </w:r>
      <w:r w:rsidRPr="00383870">
        <w:t>17 to 21 of Schedule</w:t>
      </w:r>
      <w:r w:rsidR="00383870" w:rsidRPr="00383870">
        <w:t> </w:t>
      </w:r>
      <w:r w:rsidRPr="00383870">
        <w:t>4</w:t>
      </w:r>
    </w:p>
    <w:p w:rsidR="008F0777" w:rsidRPr="00383870" w:rsidRDefault="008F0777" w:rsidP="00383870">
      <w:pPr>
        <w:pStyle w:val="Item"/>
      </w:pPr>
      <w:r w:rsidRPr="00383870">
        <w:t>Repeal the items.</w:t>
      </w:r>
    </w:p>
    <w:p w:rsidR="008F0777" w:rsidRPr="00383870" w:rsidRDefault="008F0777" w:rsidP="00383870">
      <w:pPr>
        <w:pStyle w:val="ActHead9"/>
        <w:rPr>
          <w:i w:val="0"/>
        </w:rPr>
      </w:pPr>
      <w:bookmarkStart w:id="36" w:name="_Toc446416470"/>
      <w:r w:rsidRPr="00383870">
        <w:t>Taxation Administration Act 1953</w:t>
      </w:r>
      <w:bookmarkEnd w:id="36"/>
    </w:p>
    <w:p w:rsidR="008F0777" w:rsidRPr="00383870" w:rsidRDefault="008F0777" w:rsidP="00383870">
      <w:pPr>
        <w:pStyle w:val="ItemHead"/>
      </w:pPr>
      <w:r w:rsidRPr="00383870">
        <w:t>19  Section</w:t>
      </w:r>
      <w:r w:rsidR="00383870" w:rsidRPr="00383870">
        <w:t> </w:t>
      </w:r>
      <w:r w:rsidRPr="00383870">
        <w:t>396</w:t>
      </w:r>
      <w:r w:rsidR="00C51CD0">
        <w:noBreakHyphen/>
      </w:r>
      <w:r w:rsidRPr="00383870">
        <w:t>1A in Schedule</w:t>
      </w:r>
      <w:r w:rsidR="00383870" w:rsidRPr="00383870">
        <w:t> </w:t>
      </w:r>
      <w:r w:rsidRPr="00383870">
        <w:t>1</w:t>
      </w:r>
    </w:p>
    <w:p w:rsidR="008F0777" w:rsidRPr="00383870" w:rsidRDefault="008F0777" w:rsidP="00383870">
      <w:pPr>
        <w:pStyle w:val="Item"/>
      </w:pPr>
      <w:r w:rsidRPr="00383870">
        <w:t>Repeal the section, substitute:</w:t>
      </w:r>
    </w:p>
    <w:p w:rsidR="008F0777" w:rsidRPr="00383870" w:rsidRDefault="008F0777" w:rsidP="00383870">
      <w:pPr>
        <w:pStyle w:val="ActHead5"/>
      </w:pPr>
      <w:bookmarkStart w:id="37" w:name="_Toc446416471"/>
      <w:r w:rsidRPr="00383870">
        <w:rPr>
          <w:rStyle w:val="CharSectno"/>
        </w:rPr>
        <w:t>396</w:t>
      </w:r>
      <w:r w:rsidR="00C51CD0">
        <w:rPr>
          <w:rStyle w:val="CharSectno"/>
        </w:rPr>
        <w:noBreakHyphen/>
      </w:r>
      <w:r w:rsidRPr="00383870">
        <w:rPr>
          <w:rStyle w:val="CharSectno"/>
        </w:rPr>
        <w:t>1A</w:t>
      </w:r>
      <w:r w:rsidRPr="00383870">
        <w:t xml:space="preserve">  What this Division is about</w:t>
      </w:r>
      <w:bookmarkEnd w:id="37"/>
    </w:p>
    <w:p w:rsidR="008F0777" w:rsidRPr="00383870" w:rsidRDefault="008F0777" w:rsidP="00383870">
      <w:pPr>
        <w:pStyle w:val="SOText"/>
      </w:pPr>
      <w:r w:rsidRPr="00383870">
        <w:t>This Division requires:</w:t>
      </w:r>
    </w:p>
    <w:p w:rsidR="008F0777" w:rsidRPr="00383870" w:rsidRDefault="008F0777" w:rsidP="00383870">
      <w:pPr>
        <w:pStyle w:val="SOPara"/>
      </w:pPr>
      <w:r w:rsidRPr="00383870">
        <w:tab/>
        <w:t>(a)</w:t>
      </w:r>
      <w:r w:rsidRPr="00383870">
        <w:tab/>
        <w:t>financial institutions to give to the Commissioner information for the purposes of the FATCA Agreement and the Common Reporting Standard; and</w:t>
      </w:r>
    </w:p>
    <w:p w:rsidR="00C51CD0" w:rsidRDefault="008F0777" w:rsidP="00383870">
      <w:pPr>
        <w:pStyle w:val="SOPara"/>
      </w:pPr>
      <w:r w:rsidRPr="00383870">
        <w:tab/>
        <w:t>(b)</w:t>
      </w:r>
      <w:r w:rsidRPr="00383870">
        <w:tab/>
        <w:t>certain entities to give to the Commissioner information about transactions that could have tax consequences for other entities.</w:t>
      </w:r>
    </w:p>
    <w:p w:rsidR="00D44E7D" w:rsidRDefault="00D44E7D" w:rsidP="00C278DA">
      <w:pPr>
        <w:pStyle w:val="SOPara"/>
        <w:pBdr>
          <w:bottom w:val="none" w:sz="0" w:space="0" w:color="auto"/>
        </w:pBdr>
        <w:sectPr w:rsidR="00D44E7D" w:rsidSect="00D44E7D">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pPr>
    </w:p>
    <w:p w:rsidR="00C278DA" w:rsidRDefault="00C278DA" w:rsidP="00C278DA">
      <w:pPr>
        <w:pStyle w:val="2ndRd"/>
        <w:keepNext/>
        <w:spacing w:line="260" w:lineRule="atLeast"/>
        <w:rPr>
          <w:i/>
        </w:rPr>
      </w:pPr>
      <w:r>
        <w:lastRenderedPageBreak/>
        <w:t>[</w:t>
      </w:r>
      <w:r>
        <w:rPr>
          <w:i/>
        </w:rPr>
        <w:t>Minister’s second reading speech made in—</w:t>
      </w:r>
    </w:p>
    <w:p w:rsidR="00C278DA" w:rsidRDefault="00C278DA" w:rsidP="00C278DA">
      <w:pPr>
        <w:pStyle w:val="2ndRd"/>
        <w:keepNext/>
        <w:spacing w:line="260" w:lineRule="atLeast"/>
        <w:rPr>
          <w:i/>
        </w:rPr>
      </w:pPr>
      <w:r>
        <w:rPr>
          <w:i/>
        </w:rPr>
        <w:t>House of Representatives on 3 December 2015</w:t>
      </w:r>
    </w:p>
    <w:p w:rsidR="00C278DA" w:rsidRDefault="00C278DA" w:rsidP="00C278DA">
      <w:pPr>
        <w:pStyle w:val="2ndRd"/>
        <w:keepNext/>
        <w:spacing w:line="260" w:lineRule="atLeast"/>
        <w:rPr>
          <w:i/>
        </w:rPr>
      </w:pPr>
      <w:r>
        <w:rPr>
          <w:i/>
        </w:rPr>
        <w:t>Senate on 22 February 2016</w:t>
      </w:r>
      <w:r>
        <w:t>]</w:t>
      </w:r>
    </w:p>
    <w:p w:rsidR="00C278DA" w:rsidRDefault="00C278DA" w:rsidP="00C278DA">
      <w:pPr>
        <w:framePr w:hSpace="180" w:wrap="around" w:vAnchor="text" w:hAnchor="page" w:x="2431" w:y="9440"/>
      </w:pPr>
      <w:r>
        <w:t>(211/15)</w:t>
      </w:r>
    </w:p>
    <w:p w:rsidR="00C278DA" w:rsidRDefault="00C278DA"/>
    <w:sectPr w:rsidR="00C278DA" w:rsidSect="00D44E7D">
      <w:headerReference w:type="even" r:id="rId26"/>
      <w:headerReference w:type="default" r:id="rId27"/>
      <w:footerReference w:type="even" r:id="rId28"/>
      <w:footerReference w:type="default" r:id="rId29"/>
      <w:headerReference w:type="first" r:id="rId30"/>
      <w:footerReference w:type="first" r:id="rId31"/>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8DA" w:rsidRDefault="00C278DA" w:rsidP="0048364F">
      <w:pPr>
        <w:spacing w:line="240" w:lineRule="auto"/>
      </w:pPr>
      <w:r>
        <w:separator/>
      </w:r>
    </w:p>
  </w:endnote>
  <w:endnote w:type="continuationSeparator" w:id="0">
    <w:p w:rsidR="00C278DA" w:rsidRDefault="00C278D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5F1388" w:rsidRDefault="00C278DA" w:rsidP="0038387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A961C4" w:rsidRDefault="00C278DA" w:rsidP="0038387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278DA" w:rsidTr="00383870">
      <w:tc>
        <w:tcPr>
          <w:tcW w:w="1247" w:type="dxa"/>
        </w:tcPr>
        <w:p w:rsidR="00C278DA" w:rsidRDefault="00C278DA" w:rsidP="007D6D86">
          <w:pPr>
            <w:rPr>
              <w:sz w:val="18"/>
            </w:rPr>
          </w:pPr>
          <w:r>
            <w:rPr>
              <w:i/>
              <w:sz w:val="18"/>
            </w:rPr>
            <w:t>No.      , 2016</w:t>
          </w:r>
        </w:p>
      </w:tc>
      <w:tc>
        <w:tcPr>
          <w:tcW w:w="5387" w:type="dxa"/>
        </w:tcPr>
        <w:p w:rsidR="00C278DA" w:rsidRDefault="00C278DA" w:rsidP="007D6D86">
          <w:pPr>
            <w:jc w:val="center"/>
            <w:rPr>
              <w:sz w:val="18"/>
            </w:rPr>
          </w:pPr>
          <w:r>
            <w:rPr>
              <w:i/>
              <w:sz w:val="18"/>
            </w:rPr>
            <w:t>Tax Laws Amendment (Implementation of the Common Reporting Standard) Act 2016</w:t>
          </w:r>
        </w:p>
      </w:tc>
      <w:tc>
        <w:tcPr>
          <w:tcW w:w="669" w:type="dxa"/>
        </w:tcPr>
        <w:p w:rsidR="00C278DA" w:rsidRDefault="00C278DA" w:rsidP="007D6D8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B616A">
            <w:rPr>
              <w:i/>
              <w:noProof/>
              <w:sz w:val="18"/>
            </w:rPr>
            <w:t>19</w:t>
          </w:r>
          <w:r w:rsidRPr="007A1328">
            <w:rPr>
              <w:i/>
              <w:sz w:val="18"/>
            </w:rPr>
            <w:fldChar w:fldCharType="end"/>
          </w:r>
        </w:p>
      </w:tc>
    </w:tr>
  </w:tbl>
  <w:p w:rsidR="00C278DA" w:rsidRPr="00055B5C" w:rsidRDefault="00C278DA"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A961C4" w:rsidRDefault="00C278DA" w:rsidP="0038387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278DA" w:rsidTr="00383870">
      <w:tc>
        <w:tcPr>
          <w:tcW w:w="1247" w:type="dxa"/>
        </w:tcPr>
        <w:p w:rsidR="00C278DA" w:rsidRDefault="00C278DA" w:rsidP="007D6D8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B616A">
            <w:rPr>
              <w:i/>
              <w:sz w:val="18"/>
            </w:rPr>
            <w:t>No. 23, 2016</w:t>
          </w:r>
          <w:r w:rsidRPr="007A1328">
            <w:rPr>
              <w:i/>
              <w:sz w:val="18"/>
            </w:rPr>
            <w:fldChar w:fldCharType="end"/>
          </w:r>
        </w:p>
      </w:tc>
      <w:tc>
        <w:tcPr>
          <w:tcW w:w="5387" w:type="dxa"/>
        </w:tcPr>
        <w:p w:rsidR="00C278DA" w:rsidRDefault="00C278DA" w:rsidP="007D6D8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B616A">
            <w:rPr>
              <w:i/>
              <w:sz w:val="18"/>
            </w:rPr>
            <w:t>Tax Laws Amendment (Implementation of the Common Reporting Standard) Act 2016</w:t>
          </w:r>
          <w:r w:rsidRPr="007A1328">
            <w:rPr>
              <w:i/>
              <w:sz w:val="18"/>
            </w:rPr>
            <w:fldChar w:fldCharType="end"/>
          </w:r>
        </w:p>
      </w:tc>
      <w:tc>
        <w:tcPr>
          <w:tcW w:w="669" w:type="dxa"/>
        </w:tcPr>
        <w:p w:rsidR="00C278DA" w:rsidRDefault="00C278DA" w:rsidP="007D6D8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B616A">
            <w:rPr>
              <w:i/>
              <w:noProof/>
              <w:sz w:val="18"/>
            </w:rPr>
            <w:t>19</w:t>
          </w:r>
          <w:r w:rsidRPr="007A1328">
            <w:rPr>
              <w:i/>
              <w:sz w:val="18"/>
            </w:rPr>
            <w:fldChar w:fldCharType="end"/>
          </w:r>
        </w:p>
      </w:tc>
    </w:tr>
  </w:tbl>
  <w:p w:rsidR="00C278DA" w:rsidRPr="00A961C4" w:rsidRDefault="00C278DA"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Default="00C278DA" w:rsidP="00C278DA">
    <w:pPr>
      <w:pStyle w:val="ScalePlusRef"/>
    </w:pPr>
    <w:r>
      <w:t>Note: An electronic version of this Act is available on the Federal Register of Legislation (</w:t>
    </w:r>
    <w:hyperlink r:id="rId1" w:history="1">
      <w:r>
        <w:t>https://www.legislation.gov.au/</w:t>
      </w:r>
    </w:hyperlink>
    <w:r>
      <w:t>)</w:t>
    </w:r>
  </w:p>
  <w:p w:rsidR="00C278DA" w:rsidRDefault="00C278DA" w:rsidP="00C278DA"/>
  <w:p w:rsidR="00C278DA" w:rsidRDefault="00C278DA" w:rsidP="00C278DA"/>
  <w:p w:rsidR="00C278DA" w:rsidRDefault="00C278DA" w:rsidP="00383870">
    <w:pPr>
      <w:pStyle w:val="Footer"/>
      <w:spacing w:before="120"/>
    </w:pPr>
  </w:p>
  <w:p w:rsidR="00C278DA" w:rsidRPr="005F1388" w:rsidRDefault="00C278D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ED79B6" w:rsidRDefault="00C278DA" w:rsidP="0038387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Default="00C278DA" w:rsidP="0038387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278DA" w:rsidTr="007D6D86">
      <w:tc>
        <w:tcPr>
          <w:tcW w:w="646" w:type="dxa"/>
        </w:tcPr>
        <w:p w:rsidR="00C278DA" w:rsidRDefault="00C278DA" w:rsidP="007D6D8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B616A">
            <w:rPr>
              <w:i/>
              <w:noProof/>
              <w:sz w:val="18"/>
            </w:rPr>
            <w:t>xix</w:t>
          </w:r>
          <w:r w:rsidRPr="00ED79B6">
            <w:rPr>
              <w:i/>
              <w:sz w:val="18"/>
            </w:rPr>
            <w:fldChar w:fldCharType="end"/>
          </w:r>
        </w:p>
      </w:tc>
      <w:tc>
        <w:tcPr>
          <w:tcW w:w="5387" w:type="dxa"/>
        </w:tcPr>
        <w:p w:rsidR="00C278DA" w:rsidRDefault="00C278DA" w:rsidP="007D6D86">
          <w:pPr>
            <w:jc w:val="center"/>
            <w:rPr>
              <w:sz w:val="18"/>
            </w:rPr>
          </w:pPr>
          <w:r>
            <w:rPr>
              <w:i/>
              <w:sz w:val="18"/>
            </w:rPr>
            <w:t>Tax Laws Amendment (Implementation of the Common Reporting Standard) Act 2016</w:t>
          </w:r>
        </w:p>
      </w:tc>
      <w:tc>
        <w:tcPr>
          <w:tcW w:w="1270" w:type="dxa"/>
        </w:tcPr>
        <w:p w:rsidR="00C278DA" w:rsidRDefault="00C278DA" w:rsidP="007D6D86">
          <w:pPr>
            <w:jc w:val="right"/>
            <w:rPr>
              <w:sz w:val="18"/>
            </w:rPr>
          </w:pPr>
          <w:r>
            <w:rPr>
              <w:i/>
              <w:sz w:val="18"/>
            </w:rPr>
            <w:t>No.      , 2016</w:t>
          </w:r>
        </w:p>
      </w:tc>
    </w:tr>
  </w:tbl>
  <w:p w:rsidR="00C278DA" w:rsidRDefault="00C278D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Default="00C278DA" w:rsidP="0038387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278DA" w:rsidTr="007D6D86">
      <w:tc>
        <w:tcPr>
          <w:tcW w:w="1247" w:type="dxa"/>
        </w:tcPr>
        <w:p w:rsidR="00C278DA" w:rsidRDefault="00C278DA" w:rsidP="007D6D86">
          <w:pPr>
            <w:rPr>
              <w:i/>
              <w:sz w:val="18"/>
            </w:rPr>
          </w:pPr>
          <w:r>
            <w:rPr>
              <w:i/>
              <w:sz w:val="18"/>
            </w:rPr>
            <w:t>No. 23, 2016</w:t>
          </w:r>
        </w:p>
      </w:tc>
      <w:tc>
        <w:tcPr>
          <w:tcW w:w="5387" w:type="dxa"/>
        </w:tcPr>
        <w:p w:rsidR="00C278DA" w:rsidRDefault="00C278DA" w:rsidP="007D6D86">
          <w:pPr>
            <w:jc w:val="center"/>
            <w:rPr>
              <w:i/>
              <w:sz w:val="18"/>
            </w:rPr>
          </w:pPr>
          <w:r>
            <w:rPr>
              <w:i/>
              <w:sz w:val="18"/>
            </w:rPr>
            <w:t>Tax Laws Amendment (Implementation of the Common Reporting Standard) Act 2016</w:t>
          </w:r>
        </w:p>
      </w:tc>
      <w:tc>
        <w:tcPr>
          <w:tcW w:w="669" w:type="dxa"/>
        </w:tcPr>
        <w:p w:rsidR="00C278DA" w:rsidRDefault="00C278DA" w:rsidP="007D6D8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B616A">
            <w:rPr>
              <w:i/>
              <w:noProof/>
              <w:sz w:val="18"/>
            </w:rPr>
            <w:t>i</w:t>
          </w:r>
          <w:r w:rsidRPr="00ED79B6">
            <w:rPr>
              <w:i/>
              <w:sz w:val="18"/>
            </w:rPr>
            <w:fldChar w:fldCharType="end"/>
          </w:r>
        </w:p>
      </w:tc>
    </w:tr>
  </w:tbl>
  <w:p w:rsidR="00C278DA" w:rsidRPr="00ED79B6" w:rsidRDefault="00C278DA"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A961C4" w:rsidRDefault="00C278DA" w:rsidP="0038387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278DA" w:rsidTr="00383870">
      <w:tc>
        <w:tcPr>
          <w:tcW w:w="646" w:type="dxa"/>
        </w:tcPr>
        <w:p w:rsidR="00C278DA" w:rsidRDefault="00C278DA" w:rsidP="007D6D8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B616A">
            <w:rPr>
              <w:i/>
              <w:noProof/>
              <w:sz w:val="18"/>
            </w:rPr>
            <w:t>18</w:t>
          </w:r>
          <w:r w:rsidRPr="007A1328">
            <w:rPr>
              <w:i/>
              <w:sz w:val="18"/>
            </w:rPr>
            <w:fldChar w:fldCharType="end"/>
          </w:r>
        </w:p>
      </w:tc>
      <w:tc>
        <w:tcPr>
          <w:tcW w:w="5387" w:type="dxa"/>
        </w:tcPr>
        <w:p w:rsidR="00C278DA" w:rsidRDefault="00C278DA" w:rsidP="007D6D86">
          <w:pPr>
            <w:jc w:val="center"/>
            <w:rPr>
              <w:sz w:val="18"/>
            </w:rPr>
          </w:pPr>
          <w:r>
            <w:rPr>
              <w:i/>
              <w:sz w:val="18"/>
            </w:rPr>
            <w:t>Tax Laws Amendment (Implementation of the Common Reporting Standard) Act 2016</w:t>
          </w:r>
        </w:p>
      </w:tc>
      <w:tc>
        <w:tcPr>
          <w:tcW w:w="1270" w:type="dxa"/>
        </w:tcPr>
        <w:p w:rsidR="00C278DA" w:rsidRDefault="00C278DA" w:rsidP="007D6D86">
          <w:pPr>
            <w:jc w:val="right"/>
            <w:rPr>
              <w:sz w:val="18"/>
            </w:rPr>
          </w:pPr>
          <w:r>
            <w:rPr>
              <w:i/>
              <w:sz w:val="18"/>
            </w:rPr>
            <w:t>No. 23, 2016</w:t>
          </w:r>
        </w:p>
      </w:tc>
    </w:tr>
  </w:tbl>
  <w:p w:rsidR="00C278DA" w:rsidRPr="00A961C4" w:rsidRDefault="00C278DA"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A961C4" w:rsidRDefault="00C278DA" w:rsidP="0038387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278DA" w:rsidTr="00383870">
      <w:tc>
        <w:tcPr>
          <w:tcW w:w="1247" w:type="dxa"/>
        </w:tcPr>
        <w:p w:rsidR="00C278DA" w:rsidRDefault="00C278DA" w:rsidP="007D6D86">
          <w:pPr>
            <w:rPr>
              <w:sz w:val="18"/>
            </w:rPr>
          </w:pPr>
          <w:r>
            <w:rPr>
              <w:i/>
              <w:sz w:val="18"/>
            </w:rPr>
            <w:t>No. 23, 2016</w:t>
          </w:r>
        </w:p>
      </w:tc>
      <w:tc>
        <w:tcPr>
          <w:tcW w:w="5387" w:type="dxa"/>
        </w:tcPr>
        <w:p w:rsidR="00C278DA" w:rsidRDefault="00C278DA" w:rsidP="007D6D86">
          <w:pPr>
            <w:jc w:val="center"/>
            <w:rPr>
              <w:sz w:val="18"/>
            </w:rPr>
          </w:pPr>
          <w:r>
            <w:rPr>
              <w:i/>
              <w:sz w:val="18"/>
            </w:rPr>
            <w:t>Tax Laws Amendment (Implementation of the Common Reporting Standard) Act 2016</w:t>
          </w:r>
        </w:p>
      </w:tc>
      <w:tc>
        <w:tcPr>
          <w:tcW w:w="669" w:type="dxa"/>
        </w:tcPr>
        <w:p w:rsidR="00C278DA" w:rsidRDefault="00C278DA" w:rsidP="007D6D8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B616A">
            <w:rPr>
              <w:i/>
              <w:noProof/>
              <w:sz w:val="18"/>
            </w:rPr>
            <w:t>19</w:t>
          </w:r>
          <w:r w:rsidRPr="007A1328">
            <w:rPr>
              <w:i/>
              <w:sz w:val="18"/>
            </w:rPr>
            <w:fldChar w:fldCharType="end"/>
          </w:r>
        </w:p>
      </w:tc>
    </w:tr>
  </w:tbl>
  <w:p w:rsidR="00C278DA" w:rsidRPr="00055B5C" w:rsidRDefault="00C278DA"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A961C4" w:rsidRDefault="00C278DA" w:rsidP="0038387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278DA" w:rsidTr="00383870">
      <w:tc>
        <w:tcPr>
          <w:tcW w:w="1247" w:type="dxa"/>
        </w:tcPr>
        <w:p w:rsidR="00C278DA" w:rsidRDefault="00C278DA" w:rsidP="007D6D86">
          <w:pPr>
            <w:rPr>
              <w:sz w:val="18"/>
            </w:rPr>
          </w:pPr>
          <w:r>
            <w:rPr>
              <w:i/>
              <w:sz w:val="18"/>
            </w:rPr>
            <w:t>No. 23, 2016</w:t>
          </w:r>
        </w:p>
      </w:tc>
      <w:tc>
        <w:tcPr>
          <w:tcW w:w="5387" w:type="dxa"/>
        </w:tcPr>
        <w:p w:rsidR="00C278DA" w:rsidRDefault="00C278DA" w:rsidP="007D6D86">
          <w:pPr>
            <w:jc w:val="center"/>
            <w:rPr>
              <w:sz w:val="18"/>
            </w:rPr>
          </w:pPr>
          <w:r>
            <w:rPr>
              <w:i/>
              <w:sz w:val="18"/>
            </w:rPr>
            <w:t>Tax Laws Amendment (Implementation of the Common Reporting Standard) Act 2016</w:t>
          </w:r>
        </w:p>
      </w:tc>
      <w:tc>
        <w:tcPr>
          <w:tcW w:w="669" w:type="dxa"/>
        </w:tcPr>
        <w:p w:rsidR="00C278DA" w:rsidRDefault="00C278DA" w:rsidP="007D6D8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B616A">
            <w:rPr>
              <w:i/>
              <w:noProof/>
              <w:sz w:val="18"/>
            </w:rPr>
            <w:t>1</w:t>
          </w:r>
          <w:r w:rsidRPr="007A1328">
            <w:rPr>
              <w:i/>
              <w:sz w:val="18"/>
            </w:rPr>
            <w:fldChar w:fldCharType="end"/>
          </w:r>
        </w:p>
      </w:tc>
    </w:tr>
  </w:tbl>
  <w:p w:rsidR="00C278DA" w:rsidRPr="00A961C4" w:rsidRDefault="00C278DA"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A961C4" w:rsidRDefault="00C278DA" w:rsidP="0038387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278DA" w:rsidTr="00383870">
      <w:tc>
        <w:tcPr>
          <w:tcW w:w="646" w:type="dxa"/>
        </w:tcPr>
        <w:p w:rsidR="00C278DA" w:rsidRDefault="00C278DA" w:rsidP="007D6D8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B616A">
            <w:rPr>
              <w:i/>
              <w:noProof/>
              <w:sz w:val="18"/>
            </w:rPr>
            <w:t>20</w:t>
          </w:r>
          <w:r w:rsidRPr="007A1328">
            <w:rPr>
              <w:i/>
              <w:sz w:val="18"/>
            </w:rPr>
            <w:fldChar w:fldCharType="end"/>
          </w:r>
        </w:p>
      </w:tc>
      <w:tc>
        <w:tcPr>
          <w:tcW w:w="5387" w:type="dxa"/>
        </w:tcPr>
        <w:p w:rsidR="00C278DA" w:rsidRDefault="00C278DA" w:rsidP="007D6D86">
          <w:pPr>
            <w:jc w:val="center"/>
            <w:rPr>
              <w:sz w:val="18"/>
            </w:rPr>
          </w:pPr>
          <w:r>
            <w:rPr>
              <w:i/>
              <w:sz w:val="18"/>
            </w:rPr>
            <w:t>Tax Laws Amendment (Implementation of the Common Reporting Standard) Act 2016</w:t>
          </w:r>
        </w:p>
      </w:tc>
      <w:tc>
        <w:tcPr>
          <w:tcW w:w="1270" w:type="dxa"/>
        </w:tcPr>
        <w:p w:rsidR="00C278DA" w:rsidRDefault="00C278DA" w:rsidP="007D6D86">
          <w:pPr>
            <w:jc w:val="right"/>
            <w:rPr>
              <w:sz w:val="18"/>
            </w:rPr>
          </w:pPr>
          <w:r>
            <w:rPr>
              <w:i/>
              <w:sz w:val="18"/>
            </w:rPr>
            <w:t>No. 23, 2016</w:t>
          </w:r>
        </w:p>
      </w:tc>
    </w:tr>
  </w:tbl>
  <w:p w:rsidR="00C278DA" w:rsidRPr="00A961C4" w:rsidRDefault="00C278DA"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8DA" w:rsidRDefault="00C278DA" w:rsidP="0048364F">
      <w:pPr>
        <w:spacing w:line="240" w:lineRule="auto"/>
      </w:pPr>
      <w:r>
        <w:separator/>
      </w:r>
    </w:p>
  </w:footnote>
  <w:footnote w:type="continuationSeparator" w:id="0">
    <w:p w:rsidR="00C278DA" w:rsidRDefault="00C278D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5F1388" w:rsidRDefault="00C278DA"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A961C4" w:rsidRDefault="00C278DA" w:rsidP="0048364F">
    <w:pPr>
      <w:rPr>
        <w:b/>
        <w:sz w:val="20"/>
      </w:rPr>
    </w:pPr>
  </w:p>
  <w:p w:rsidR="00C278DA" w:rsidRPr="00A961C4" w:rsidRDefault="00C278DA" w:rsidP="0048364F">
    <w:pPr>
      <w:rPr>
        <w:b/>
        <w:sz w:val="20"/>
      </w:rPr>
    </w:pPr>
  </w:p>
  <w:p w:rsidR="00C278DA" w:rsidRPr="00A961C4" w:rsidRDefault="00C278DA"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A961C4" w:rsidRDefault="00C278DA" w:rsidP="0048364F">
    <w:pPr>
      <w:jc w:val="right"/>
      <w:rPr>
        <w:sz w:val="20"/>
      </w:rPr>
    </w:pPr>
  </w:p>
  <w:p w:rsidR="00C278DA" w:rsidRPr="00A961C4" w:rsidRDefault="00C278DA" w:rsidP="0048364F">
    <w:pPr>
      <w:jc w:val="right"/>
      <w:rPr>
        <w:b/>
        <w:sz w:val="20"/>
      </w:rPr>
    </w:pPr>
  </w:p>
  <w:p w:rsidR="00C278DA" w:rsidRPr="00A961C4" w:rsidRDefault="00C278DA"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A961C4" w:rsidRDefault="00C278DA"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5F1388" w:rsidRDefault="00C278DA"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5F1388" w:rsidRDefault="00C278DA"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ED79B6" w:rsidRDefault="00C278DA"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ED79B6" w:rsidRDefault="00C278DA"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ED79B6" w:rsidRDefault="00C278DA"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A961C4" w:rsidRDefault="00C278DA" w:rsidP="0048364F">
    <w:pPr>
      <w:rPr>
        <w:b/>
        <w:sz w:val="20"/>
      </w:rPr>
    </w:pPr>
    <w:r>
      <w:rPr>
        <w:b/>
        <w:sz w:val="20"/>
      </w:rPr>
      <w:fldChar w:fldCharType="begin"/>
    </w:r>
    <w:r>
      <w:rPr>
        <w:b/>
        <w:sz w:val="20"/>
      </w:rPr>
      <w:instrText xml:space="preserve"> STYLEREF CharAmSchNo </w:instrText>
    </w:r>
    <w:r w:rsidR="007B616A">
      <w:rPr>
        <w:b/>
        <w:sz w:val="20"/>
      </w:rPr>
      <w:fldChar w:fldCharType="separate"/>
    </w:r>
    <w:r w:rsidR="007B616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7B616A">
      <w:rPr>
        <w:sz w:val="20"/>
      </w:rPr>
      <w:fldChar w:fldCharType="separate"/>
    </w:r>
    <w:r w:rsidR="007B616A">
      <w:rPr>
        <w:noProof/>
        <w:sz w:val="20"/>
      </w:rPr>
      <w:t>Common Reporting Standard</w:t>
    </w:r>
    <w:r>
      <w:rPr>
        <w:sz w:val="20"/>
      </w:rPr>
      <w:fldChar w:fldCharType="end"/>
    </w:r>
  </w:p>
  <w:p w:rsidR="00C278DA" w:rsidRPr="00A961C4" w:rsidRDefault="00C278DA" w:rsidP="0048364F">
    <w:pPr>
      <w:rPr>
        <w:b/>
        <w:sz w:val="20"/>
      </w:rPr>
    </w:pPr>
    <w:r>
      <w:rPr>
        <w:b/>
        <w:sz w:val="20"/>
      </w:rPr>
      <w:fldChar w:fldCharType="begin"/>
    </w:r>
    <w:r>
      <w:rPr>
        <w:b/>
        <w:sz w:val="20"/>
      </w:rPr>
      <w:instrText xml:space="preserve"> STYLEREF CharAmPartNo </w:instrText>
    </w:r>
    <w:r w:rsidR="007B616A">
      <w:rPr>
        <w:b/>
        <w:sz w:val="20"/>
      </w:rPr>
      <w:fldChar w:fldCharType="separate"/>
    </w:r>
    <w:r w:rsidR="007B616A">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7B616A">
      <w:rPr>
        <w:sz w:val="20"/>
      </w:rPr>
      <w:fldChar w:fldCharType="separate"/>
    </w:r>
    <w:r w:rsidR="007B616A">
      <w:rPr>
        <w:noProof/>
        <w:sz w:val="20"/>
      </w:rPr>
      <w:t>Main amendments</w:t>
    </w:r>
    <w:r>
      <w:rPr>
        <w:sz w:val="20"/>
      </w:rPr>
      <w:fldChar w:fldCharType="end"/>
    </w:r>
  </w:p>
  <w:p w:rsidR="00C278DA" w:rsidRPr="00A961C4" w:rsidRDefault="00C278DA"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A961C4" w:rsidRDefault="00C278DA" w:rsidP="0048364F">
    <w:pPr>
      <w:jc w:val="right"/>
      <w:rPr>
        <w:sz w:val="20"/>
      </w:rPr>
    </w:pPr>
    <w:r w:rsidRPr="00A961C4">
      <w:rPr>
        <w:sz w:val="20"/>
      </w:rPr>
      <w:fldChar w:fldCharType="begin"/>
    </w:r>
    <w:r w:rsidRPr="00A961C4">
      <w:rPr>
        <w:sz w:val="20"/>
      </w:rPr>
      <w:instrText xml:space="preserve"> STYLEREF CharAmSchText </w:instrText>
    </w:r>
    <w:r w:rsidR="007B616A">
      <w:rPr>
        <w:sz w:val="20"/>
      </w:rPr>
      <w:fldChar w:fldCharType="separate"/>
    </w:r>
    <w:r w:rsidR="007B616A">
      <w:rPr>
        <w:noProof/>
        <w:sz w:val="20"/>
      </w:rPr>
      <w:t>Common Reporting Standard</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7B616A">
      <w:rPr>
        <w:b/>
        <w:sz w:val="20"/>
      </w:rPr>
      <w:fldChar w:fldCharType="separate"/>
    </w:r>
    <w:r w:rsidR="007B616A">
      <w:rPr>
        <w:b/>
        <w:noProof/>
        <w:sz w:val="20"/>
      </w:rPr>
      <w:t>Schedule 1</w:t>
    </w:r>
    <w:r>
      <w:rPr>
        <w:b/>
        <w:sz w:val="20"/>
      </w:rPr>
      <w:fldChar w:fldCharType="end"/>
    </w:r>
  </w:p>
  <w:p w:rsidR="00C278DA" w:rsidRPr="00A961C4" w:rsidRDefault="00C278DA" w:rsidP="0048364F">
    <w:pPr>
      <w:jc w:val="right"/>
      <w:rPr>
        <w:b/>
        <w:sz w:val="20"/>
      </w:rPr>
    </w:pPr>
    <w:r w:rsidRPr="00A961C4">
      <w:rPr>
        <w:sz w:val="20"/>
      </w:rPr>
      <w:fldChar w:fldCharType="begin"/>
    </w:r>
    <w:r w:rsidRPr="00A961C4">
      <w:rPr>
        <w:sz w:val="20"/>
      </w:rPr>
      <w:instrText xml:space="preserve"> STYLEREF CharAmPartText </w:instrText>
    </w:r>
    <w:r w:rsidR="007B616A">
      <w:rPr>
        <w:sz w:val="20"/>
      </w:rPr>
      <w:fldChar w:fldCharType="separate"/>
    </w:r>
    <w:r w:rsidR="007B616A">
      <w:rPr>
        <w:noProof/>
        <w:sz w:val="20"/>
      </w:rPr>
      <w:t>Amendments contingent on the Tax and Superannuation Laws Amendment (2015 Measures No. 5) Act 2015</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7B616A">
      <w:rPr>
        <w:b/>
        <w:sz w:val="20"/>
      </w:rPr>
      <w:fldChar w:fldCharType="separate"/>
    </w:r>
    <w:r w:rsidR="007B616A">
      <w:rPr>
        <w:b/>
        <w:noProof/>
        <w:sz w:val="20"/>
      </w:rPr>
      <w:t>Part 2</w:t>
    </w:r>
    <w:r w:rsidRPr="00A961C4">
      <w:rPr>
        <w:b/>
        <w:sz w:val="20"/>
      </w:rPr>
      <w:fldChar w:fldCharType="end"/>
    </w:r>
  </w:p>
  <w:p w:rsidR="00C278DA" w:rsidRPr="00A961C4" w:rsidRDefault="00C278DA"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DA" w:rsidRPr="00A961C4" w:rsidRDefault="00C278DA"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1B1"/>
    <w:rsid w:val="000113BC"/>
    <w:rsid w:val="000136AF"/>
    <w:rsid w:val="000417C9"/>
    <w:rsid w:val="00055B5C"/>
    <w:rsid w:val="00060FF9"/>
    <w:rsid w:val="000614BF"/>
    <w:rsid w:val="000B1FD2"/>
    <w:rsid w:val="000D05EF"/>
    <w:rsid w:val="000F21C1"/>
    <w:rsid w:val="00101D90"/>
    <w:rsid w:val="0010745C"/>
    <w:rsid w:val="00113BD1"/>
    <w:rsid w:val="00122206"/>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C72F3"/>
    <w:rsid w:val="001E3590"/>
    <w:rsid w:val="001E7407"/>
    <w:rsid w:val="00201D27"/>
    <w:rsid w:val="00202618"/>
    <w:rsid w:val="00240749"/>
    <w:rsid w:val="00263820"/>
    <w:rsid w:val="00293B89"/>
    <w:rsid w:val="00297ECB"/>
    <w:rsid w:val="002B5A30"/>
    <w:rsid w:val="002D043A"/>
    <w:rsid w:val="002D395A"/>
    <w:rsid w:val="002F1316"/>
    <w:rsid w:val="003415D3"/>
    <w:rsid w:val="00350417"/>
    <w:rsid w:val="00352B0F"/>
    <w:rsid w:val="00375C6C"/>
    <w:rsid w:val="00383870"/>
    <w:rsid w:val="003C5F2B"/>
    <w:rsid w:val="003D0BFE"/>
    <w:rsid w:val="003D5700"/>
    <w:rsid w:val="00405579"/>
    <w:rsid w:val="00406D02"/>
    <w:rsid w:val="00410B8E"/>
    <w:rsid w:val="004116CD"/>
    <w:rsid w:val="00420B31"/>
    <w:rsid w:val="00421FC1"/>
    <w:rsid w:val="004229C7"/>
    <w:rsid w:val="00424CA9"/>
    <w:rsid w:val="00436785"/>
    <w:rsid w:val="00436BD5"/>
    <w:rsid w:val="00437E4B"/>
    <w:rsid w:val="0044291A"/>
    <w:rsid w:val="00442FE8"/>
    <w:rsid w:val="0048196B"/>
    <w:rsid w:val="0048364F"/>
    <w:rsid w:val="00496F97"/>
    <w:rsid w:val="004A2E2B"/>
    <w:rsid w:val="004B0E80"/>
    <w:rsid w:val="004C7C8C"/>
    <w:rsid w:val="004E2A4A"/>
    <w:rsid w:val="004F0D23"/>
    <w:rsid w:val="004F1FAC"/>
    <w:rsid w:val="00516B8D"/>
    <w:rsid w:val="00537FBC"/>
    <w:rsid w:val="00543469"/>
    <w:rsid w:val="00551B54"/>
    <w:rsid w:val="00583EE3"/>
    <w:rsid w:val="00584811"/>
    <w:rsid w:val="00593AA6"/>
    <w:rsid w:val="00594161"/>
    <w:rsid w:val="00594749"/>
    <w:rsid w:val="005A0D92"/>
    <w:rsid w:val="005B4067"/>
    <w:rsid w:val="005C3F41"/>
    <w:rsid w:val="005E152A"/>
    <w:rsid w:val="005E4869"/>
    <w:rsid w:val="00600219"/>
    <w:rsid w:val="00641DE5"/>
    <w:rsid w:val="00656F0C"/>
    <w:rsid w:val="0067575E"/>
    <w:rsid w:val="00677CC2"/>
    <w:rsid w:val="00681F92"/>
    <w:rsid w:val="006842C2"/>
    <w:rsid w:val="00685F42"/>
    <w:rsid w:val="0069207B"/>
    <w:rsid w:val="006A4203"/>
    <w:rsid w:val="006A6C8D"/>
    <w:rsid w:val="006C2874"/>
    <w:rsid w:val="006C7F8C"/>
    <w:rsid w:val="006D380D"/>
    <w:rsid w:val="006E0135"/>
    <w:rsid w:val="006E303A"/>
    <w:rsid w:val="006F7E19"/>
    <w:rsid w:val="00700B2C"/>
    <w:rsid w:val="00701222"/>
    <w:rsid w:val="00712D8D"/>
    <w:rsid w:val="00713084"/>
    <w:rsid w:val="00714B26"/>
    <w:rsid w:val="00731E00"/>
    <w:rsid w:val="007440B7"/>
    <w:rsid w:val="00746A6B"/>
    <w:rsid w:val="007634AD"/>
    <w:rsid w:val="007715C9"/>
    <w:rsid w:val="00774EDD"/>
    <w:rsid w:val="007757EC"/>
    <w:rsid w:val="007B616A"/>
    <w:rsid w:val="007D6D86"/>
    <w:rsid w:val="007E7D4A"/>
    <w:rsid w:val="008006CC"/>
    <w:rsid w:val="00807F18"/>
    <w:rsid w:val="00831E8D"/>
    <w:rsid w:val="00852C2B"/>
    <w:rsid w:val="00856A31"/>
    <w:rsid w:val="00857D6B"/>
    <w:rsid w:val="008754D0"/>
    <w:rsid w:val="00877D48"/>
    <w:rsid w:val="00883781"/>
    <w:rsid w:val="008851C0"/>
    <w:rsid w:val="00885570"/>
    <w:rsid w:val="008924D8"/>
    <w:rsid w:val="00893958"/>
    <w:rsid w:val="008A120E"/>
    <w:rsid w:val="008A2E77"/>
    <w:rsid w:val="008C6F6F"/>
    <w:rsid w:val="008D0EE0"/>
    <w:rsid w:val="008D123F"/>
    <w:rsid w:val="008F0777"/>
    <w:rsid w:val="008F4F1C"/>
    <w:rsid w:val="008F77C4"/>
    <w:rsid w:val="009103F3"/>
    <w:rsid w:val="00912DBA"/>
    <w:rsid w:val="00932377"/>
    <w:rsid w:val="009621B1"/>
    <w:rsid w:val="00967042"/>
    <w:rsid w:val="0098255A"/>
    <w:rsid w:val="009845BE"/>
    <w:rsid w:val="009969C9"/>
    <w:rsid w:val="009A4131"/>
    <w:rsid w:val="009B660D"/>
    <w:rsid w:val="009F1E5F"/>
    <w:rsid w:val="00A10775"/>
    <w:rsid w:val="00A231E2"/>
    <w:rsid w:val="00A30B0A"/>
    <w:rsid w:val="00A36C48"/>
    <w:rsid w:val="00A41E0B"/>
    <w:rsid w:val="00A55631"/>
    <w:rsid w:val="00A64912"/>
    <w:rsid w:val="00A70A74"/>
    <w:rsid w:val="00A83C84"/>
    <w:rsid w:val="00AA3795"/>
    <w:rsid w:val="00AC1E75"/>
    <w:rsid w:val="00AD5641"/>
    <w:rsid w:val="00AE1088"/>
    <w:rsid w:val="00AE3ED2"/>
    <w:rsid w:val="00AF1BA4"/>
    <w:rsid w:val="00AF3799"/>
    <w:rsid w:val="00B032D8"/>
    <w:rsid w:val="00B33B3C"/>
    <w:rsid w:val="00B6382D"/>
    <w:rsid w:val="00BA5026"/>
    <w:rsid w:val="00BB40BF"/>
    <w:rsid w:val="00BC0CD1"/>
    <w:rsid w:val="00BE719A"/>
    <w:rsid w:val="00BE720A"/>
    <w:rsid w:val="00BF0461"/>
    <w:rsid w:val="00BF4944"/>
    <w:rsid w:val="00C04409"/>
    <w:rsid w:val="00C067E5"/>
    <w:rsid w:val="00C164CA"/>
    <w:rsid w:val="00C176CF"/>
    <w:rsid w:val="00C278DA"/>
    <w:rsid w:val="00C42BF8"/>
    <w:rsid w:val="00C460AE"/>
    <w:rsid w:val="00C50043"/>
    <w:rsid w:val="00C51CD0"/>
    <w:rsid w:val="00C54E84"/>
    <w:rsid w:val="00C70840"/>
    <w:rsid w:val="00C7573B"/>
    <w:rsid w:val="00C76CF3"/>
    <w:rsid w:val="00CE1E31"/>
    <w:rsid w:val="00CF0BB2"/>
    <w:rsid w:val="00D00EAA"/>
    <w:rsid w:val="00D0642D"/>
    <w:rsid w:val="00D13441"/>
    <w:rsid w:val="00D243A3"/>
    <w:rsid w:val="00D44E7D"/>
    <w:rsid w:val="00D477C3"/>
    <w:rsid w:val="00D52EFE"/>
    <w:rsid w:val="00D63EF6"/>
    <w:rsid w:val="00D70DFB"/>
    <w:rsid w:val="00D73029"/>
    <w:rsid w:val="00D766DF"/>
    <w:rsid w:val="00DD3C54"/>
    <w:rsid w:val="00DF7AE9"/>
    <w:rsid w:val="00E05704"/>
    <w:rsid w:val="00E24D66"/>
    <w:rsid w:val="00E54292"/>
    <w:rsid w:val="00E55AED"/>
    <w:rsid w:val="00E706FE"/>
    <w:rsid w:val="00E74DC7"/>
    <w:rsid w:val="00E875D6"/>
    <w:rsid w:val="00E87699"/>
    <w:rsid w:val="00EB04C0"/>
    <w:rsid w:val="00ED1E7A"/>
    <w:rsid w:val="00ED492F"/>
    <w:rsid w:val="00EF2E3A"/>
    <w:rsid w:val="00F047E2"/>
    <w:rsid w:val="00F078DC"/>
    <w:rsid w:val="00F13E86"/>
    <w:rsid w:val="00F17B00"/>
    <w:rsid w:val="00F677A9"/>
    <w:rsid w:val="00F84CF5"/>
    <w:rsid w:val="00F92D35"/>
    <w:rsid w:val="00FA420B"/>
    <w:rsid w:val="00FD1E13"/>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3870"/>
    <w:pPr>
      <w:spacing w:line="260" w:lineRule="atLeast"/>
    </w:pPr>
    <w:rPr>
      <w:sz w:val="22"/>
    </w:rPr>
  </w:style>
  <w:style w:type="paragraph" w:styleId="Heading1">
    <w:name w:val="heading 1"/>
    <w:basedOn w:val="Normal"/>
    <w:next w:val="Normal"/>
    <w:link w:val="Heading1Char"/>
    <w:uiPriority w:val="9"/>
    <w:qFormat/>
    <w:rsid w:val="008F07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07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07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07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F077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F077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F077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077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F077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83870"/>
  </w:style>
  <w:style w:type="paragraph" w:customStyle="1" w:styleId="OPCParaBase">
    <w:name w:val="OPCParaBase"/>
    <w:link w:val="OPCParaBaseChar"/>
    <w:qFormat/>
    <w:rsid w:val="0038387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83870"/>
    <w:pPr>
      <w:spacing w:line="240" w:lineRule="auto"/>
    </w:pPr>
    <w:rPr>
      <w:b/>
      <w:sz w:val="40"/>
    </w:rPr>
  </w:style>
  <w:style w:type="paragraph" w:customStyle="1" w:styleId="ActHead1">
    <w:name w:val="ActHead 1"/>
    <w:aliases w:val="c"/>
    <w:basedOn w:val="OPCParaBase"/>
    <w:next w:val="Normal"/>
    <w:qFormat/>
    <w:rsid w:val="0038387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8387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8387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8387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8387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8387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8387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8387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8387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83870"/>
  </w:style>
  <w:style w:type="paragraph" w:customStyle="1" w:styleId="Blocks">
    <w:name w:val="Blocks"/>
    <w:aliases w:val="bb"/>
    <w:basedOn w:val="OPCParaBase"/>
    <w:qFormat/>
    <w:rsid w:val="00383870"/>
    <w:pPr>
      <w:spacing w:line="240" w:lineRule="auto"/>
    </w:pPr>
    <w:rPr>
      <w:sz w:val="24"/>
    </w:rPr>
  </w:style>
  <w:style w:type="paragraph" w:customStyle="1" w:styleId="BoxText">
    <w:name w:val="BoxText"/>
    <w:aliases w:val="bt"/>
    <w:basedOn w:val="OPCParaBase"/>
    <w:qFormat/>
    <w:rsid w:val="0038387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83870"/>
    <w:rPr>
      <w:b/>
    </w:rPr>
  </w:style>
  <w:style w:type="paragraph" w:customStyle="1" w:styleId="BoxHeadItalic">
    <w:name w:val="BoxHeadItalic"/>
    <w:aliases w:val="bhi"/>
    <w:basedOn w:val="BoxText"/>
    <w:next w:val="BoxStep"/>
    <w:qFormat/>
    <w:rsid w:val="00383870"/>
    <w:rPr>
      <w:i/>
    </w:rPr>
  </w:style>
  <w:style w:type="paragraph" w:customStyle="1" w:styleId="BoxList">
    <w:name w:val="BoxList"/>
    <w:aliases w:val="bl"/>
    <w:basedOn w:val="BoxText"/>
    <w:qFormat/>
    <w:rsid w:val="00383870"/>
    <w:pPr>
      <w:ind w:left="1559" w:hanging="425"/>
    </w:pPr>
  </w:style>
  <w:style w:type="paragraph" w:customStyle="1" w:styleId="BoxNote">
    <w:name w:val="BoxNote"/>
    <w:aliases w:val="bn"/>
    <w:basedOn w:val="BoxText"/>
    <w:qFormat/>
    <w:rsid w:val="00383870"/>
    <w:pPr>
      <w:tabs>
        <w:tab w:val="left" w:pos="1985"/>
      </w:tabs>
      <w:spacing w:before="122" w:line="198" w:lineRule="exact"/>
      <w:ind w:left="2948" w:hanging="1814"/>
    </w:pPr>
    <w:rPr>
      <w:sz w:val="18"/>
    </w:rPr>
  </w:style>
  <w:style w:type="paragraph" w:customStyle="1" w:styleId="BoxPara">
    <w:name w:val="BoxPara"/>
    <w:aliases w:val="bp"/>
    <w:basedOn w:val="BoxText"/>
    <w:qFormat/>
    <w:rsid w:val="00383870"/>
    <w:pPr>
      <w:tabs>
        <w:tab w:val="right" w:pos="2268"/>
      </w:tabs>
      <w:ind w:left="2552" w:hanging="1418"/>
    </w:pPr>
  </w:style>
  <w:style w:type="paragraph" w:customStyle="1" w:styleId="BoxStep">
    <w:name w:val="BoxStep"/>
    <w:aliases w:val="bs"/>
    <w:basedOn w:val="BoxText"/>
    <w:qFormat/>
    <w:rsid w:val="00383870"/>
    <w:pPr>
      <w:ind w:left="1985" w:hanging="851"/>
    </w:pPr>
  </w:style>
  <w:style w:type="character" w:customStyle="1" w:styleId="CharAmPartNo">
    <w:name w:val="CharAmPartNo"/>
    <w:basedOn w:val="OPCCharBase"/>
    <w:qFormat/>
    <w:rsid w:val="00383870"/>
  </w:style>
  <w:style w:type="character" w:customStyle="1" w:styleId="CharAmPartText">
    <w:name w:val="CharAmPartText"/>
    <w:basedOn w:val="OPCCharBase"/>
    <w:qFormat/>
    <w:rsid w:val="00383870"/>
  </w:style>
  <w:style w:type="character" w:customStyle="1" w:styleId="CharAmSchNo">
    <w:name w:val="CharAmSchNo"/>
    <w:basedOn w:val="OPCCharBase"/>
    <w:qFormat/>
    <w:rsid w:val="00383870"/>
  </w:style>
  <w:style w:type="character" w:customStyle="1" w:styleId="CharAmSchText">
    <w:name w:val="CharAmSchText"/>
    <w:basedOn w:val="OPCCharBase"/>
    <w:qFormat/>
    <w:rsid w:val="00383870"/>
  </w:style>
  <w:style w:type="character" w:customStyle="1" w:styleId="CharBoldItalic">
    <w:name w:val="CharBoldItalic"/>
    <w:basedOn w:val="OPCCharBase"/>
    <w:uiPriority w:val="1"/>
    <w:qFormat/>
    <w:rsid w:val="00383870"/>
    <w:rPr>
      <w:b/>
      <w:i/>
    </w:rPr>
  </w:style>
  <w:style w:type="character" w:customStyle="1" w:styleId="CharChapNo">
    <w:name w:val="CharChapNo"/>
    <w:basedOn w:val="OPCCharBase"/>
    <w:uiPriority w:val="1"/>
    <w:qFormat/>
    <w:rsid w:val="00383870"/>
  </w:style>
  <w:style w:type="character" w:customStyle="1" w:styleId="CharChapText">
    <w:name w:val="CharChapText"/>
    <w:basedOn w:val="OPCCharBase"/>
    <w:uiPriority w:val="1"/>
    <w:qFormat/>
    <w:rsid w:val="00383870"/>
  </w:style>
  <w:style w:type="character" w:customStyle="1" w:styleId="CharDivNo">
    <w:name w:val="CharDivNo"/>
    <w:basedOn w:val="OPCCharBase"/>
    <w:uiPriority w:val="1"/>
    <w:qFormat/>
    <w:rsid w:val="00383870"/>
  </w:style>
  <w:style w:type="character" w:customStyle="1" w:styleId="CharDivText">
    <w:name w:val="CharDivText"/>
    <w:basedOn w:val="OPCCharBase"/>
    <w:uiPriority w:val="1"/>
    <w:qFormat/>
    <w:rsid w:val="00383870"/>
  </w:style>
  <w:style w:type="character" w:customStyle="1" w:styleId="CharItalic">
    <w:name w:val="CharItalic"/>
    <w:basedOn w:val="OPCCharBase"/>
    <w:uiPriority w:val="1"/>
    <w:qFormat/>
    <w:rsid w:val="00383870"/>
    <w:rPr>
      <w:i/>
    </w:rPr>
  </w:style>
  <w:style w:type="character" w:customStyle="1" w:styleId="CharPartNo">
    <w:name w:val="CharPartNo"/>
    <w:basedOn w:val="OPCCharBase"/>
    <w:uiPriority w:val="1"/>
    <w:qFormat/>
    <w:rsid w:val="00383870"/>
  </w:style>
  <w:style w:type="character" w:customStyle="1" w:styleId="CharPartText">
    <w:name w:val="CharPartText"/>
    <w:basedOn w:val="OPCCharBase"/>
    <w:uiPriority w:val="1"/>
    <w:qFormat/>
    <w:rsid w:val="00383870"/>
  </w:style>
  <w:style w:type="character" w:customStyle="1" w:styleId="CharSectno">
    <w:name w:val="CharSectno"/>
    <w:basedOn w:val="OPCCharBase"/>
    <w:uiPriority w:val="1"/>
    <w:qFormat/>
    <w:rsid w:val="00383870"/>
  </w:style>
  <w:style w:type="character" w:customStyle="1" w:styleId="CharSubdNo">
    <w:name w:val="CharSubdNo"/>
    <w:basedOn w:val="OPCCharBase"/>
    <w:uiPriority w:val="1"/>
    <w:qFormat/>
    <w:rsid w:val="00383870"/>
  </w:style>
  <w:style w:type="character" w:customStyle="1" w:styleId="CharSubdText">
    <w:name w:val="CharSubdText"/>
    <w:basedOn w:val="OPCCharBase"/>
    <w:uiPriority w:val="1"/>
    <w:qFormat/>
    <w:rsid w:val="00383870"/>
  </w:style>
  <w:style w:type="paragraph" w:customStyle="1" w:styleId="CTA--">
    <w:name w:val="CTA --"/>
    <w:basedOn w:val="OPCParaBase"/>
    <w:next w:val="Normal"/>
    <w:rsid w:val="00383870"/>
    <w:pPr>
      <w:spacing w:before="60" w:line="240" w:lineRule="atLeast"/>
      <w:ind w:left="142" w:hanging="142"/>
    </w:pPr>
    <w:rPr>
      <w:sz w:val="20"/>
    </w:rPr>
  </w:style>
  <w:style w:type="paragraph" w:customStyle="1" w:styleId="CTA-">
    <w:name w:val="CTA -"/>
    <w:basedOn w:val="OPCParaBase"/>
    <w:rsid w:val="00383870"/>
    <w:pPr>
      <w:spacing w:before="60" w:line="240" w:lineRule="atLeast"/>
      <w:ind w:left="85" w:hanging="85"/>
    </w:pPr>
    <w:rPr>
      <w:sz w:val="20"/>
    </w:rPr>
  </w:style>
  <w:style w:type="paragraph" w:customStyle="1" w:styleId="CTA---">
    <w:name w:val="CTA ---"/>
    <w:basedOn w:val="OPCParaBase"/>
    <w:next w:val="Normal"/>
    <w:rsid w:val="00383870"/>
    <w:pPr>
      <w:spacing w:before="60" w:line="240" w:lineRule="atLeast"/>
      <w:ind w:left="198" w:hanging="198"/>
    </w:pPr>
    <w:rPr>
      <w:sz w:val="20"/>
    </w:rPr>
  </w:style>
  <w:style w:type="paragraph" w:customStyle="1" w:styleId="CTA----">
    <w:name w:val="CTA ----"/>
    <w:basedOn w:val="OPCParaBase"/>
    <w:next w:val="Normal"/>
    <w:rsid w:val="00383870"/>
    <w:pPr>
      <w:spacing w:before="60" w:line="240" w:lineRule="atLeast"/>
      <w:ind w:left="255" w:hanging="255"/>
    </w:pPr>
    <w:rPr>
      <w:sz w:val="20"/>
    </w:rPr>
  </w:style>
  <w:style w:type="paragraph" w:customStyle="1" w:styleId="CTA1a">
    <w:name w:val="CTA 1(a)"/>
    <w:basedOn w:val="OPCParaBase"/>
    <w:rsid w:val="00383870"/>
    <w:pPr>
      <w:tabs>
        <w:tab w:val="right" w:pos="414"/>
      </w:tabs>
      <w:spacing w:before="40" w:line="240" w:lineRule="atLeast"/>
      <w:ind w:left="675" w:hanging="675"/>
    </w:pPr>
    <w:rPr>
      <w:sz w:val="20"/>
    </w:rPr>
  </w:style>
  <w:style w:type="paragraph" w:customStyle="1" w:styleId="CTA1ai">
    <w:name w:val="CTA 1(a)(i)"/>
    <w:basedOn w:val="OPCParaBase"/>
    <w:rsid w:val="00383870"/>
    <w:pPr>
      <w:tabs>
        <w:tab w:val="right" w:pos="1004"/>
      </w:tabs>
      <w:spacing w:before="40" w:line="240" w:lineRule="atLeast"/>
      <w:ind w:left="1253" w:hanging="1253"/>
    </w:pPr>
    <w:rPr>
      <w:sz w:val="20"/>
    </w:rPr>
  </w:style>
  <w:style w:type="paragraph" w:customStyle="1" w:styleId="CTA2a">
    <w:name w:val="CTA 2(a)"/>
    <w:basedOn w:val="OPCParaBase"/>
    <w:rsid w:val="00383870"/>
    <w:pPr>
      <w:tabs>
        <w:tab w:val="right" w:pos="482"/>
      </w:tabs>
      <w:spacing w:before="40" w:line="240" w:lineRule="atLeast"/>
      <w:ind w:left="748" w:hanging="748"/>
    </w:pPr>
    <w:rPr>
      <w:sz w:val="20"/>
    </w:rPr>
  </w:style>
  <w:style w:type="paragraph" w:customStyle="1" w:styleId="CTA2ai">
    <w:name w:val="CTA 2(a)(i)"/>
    <w:basedOn w:val="OPCParaBase"/>
    <w:rsid w:val="00383870"/>
    <w:pPr>
      <w:tabs>
        <w:tab w:val="right" w:pos="1089"/>
      </w:tabs>
      <w:spacing w:before="40" w:line="240" w:lineRule="atLeast"/>
      <w:ind w:left="1327" w:hanging="1327"/>
    </w:pPr>
    <w:rPr>
      <w:sz w:val="20"/>
    </w:rPr>
  </w:style>
  <w:style w:type="paragraph" w:customStyle="1" w:styleId="CTA3a">
    <w:name w:val="CTA 3(a)"/>
    <w:basedOn w:val="OPCParaBase"/>
    <w:rsid w:val="00383870"/>
    <w:pPr>
      <w:tabs>
        <w:tab w:val="right" w:pos="556"/>
      </w:tabs>
      <w:spacing w:before="40" w:line="240" w:lineRule="atLeast"/>
      <w:ind w:left="805" w:hanging="805"/>
    </w:pPr>
    <w:rPr>
      <w:sz w:val="20"/>
    </w:rPr>
  </w:style>
  <w:style w:type="paragraph" w:customStyle="1" w:styleId="CTA3ai">
    <w:name w:val="CTA 3(a)(i)"/>
    <w:basedOn w:val="OPCParaBase"/>
    <w:rsid w:val="00383870"/>
    <w:pPr>
      <w:tabs>
        <w:tab w:val="right" w:pos="1140"/>
      </w:tabs>
      <w:spacing w:before="40" w:line="240" w:lineRule="atLeast"/>
      <w:ind w:left="1361" w:hanging="1361"/>
    </w:pPr>
    <w:rPr>
      <w:sz w:val="20"/>
    </w:rPr>
  </w:style>
  <w:style w:type="paragraph" w:customStyle="1" w:styleId="CTA4a">
    <w:name w:val="CTA 4(a)"/>
    <w:basedOn w:val="OPCParaBase"/>
    <w:rsid w:val="00383870"/>
    <w:pPr>
      <w:tabs>
        <w:tab w:val="right" w:pos="624"/>
      </w:tabs>
      <w:spacing w:before="40" w:line="240" w:lineRule="atLeast"/>
      <w:ind w:left="873" w:hanging="873"/>
    </w:pPr>
    <w:rPr>
      <w:sz w:val="20"/>
    </w:rPr>
  </w:style>
  <w:style w:type="paragraph" w:customStyle="1" w:styleId="CTA4ai">
    <w:name w:val="CTA 4(a)(i)"/>
    <w:basedOn w:val="OPCParaBase"/>
    <w:rsid w:val="00383870"/>
    <w:pPr>
      <w:tabs>
        <w:tab w:val="right" w:pos="1213"/>
      </w:tabs>
      <w:spacing w:before="40" w:line="240" w:lineRule="atLeast"/>
      <w:ind w:left="1452" w:hanging="1452"/>
    </w:pPr>
    <w:rPr>
      <w:sz w:val="20"/>
    </w:rPr>
  </w:style>
  <w:style w:type="paragraph" w:customStyle="1" w:styleId="CTACAPS">
    <w:name w:val="CTA CAPS"/>
    <w:basedOn w:val="OPCParaBase"/>
    <w:rsid w:val="00383870"/>
    <w:pPr>
      <w:spacing w:before="60" w:line="240" w:lineRule="atLeast"/>
    </w:pPr>
    <w:rPr>
      <w:sz w:val="20"/>
    </w:rPr>
  </w:style>
  <w:style w:type="paragraph" w:customStyle="1" w:styleId="CTAright">
    <w:name w:val="CTA right"/>
    <w:basedOn w:val="OPCParaBase"/>
    <w:rsid w:val="00383870"/>
    <w:pPr>
      <w:spacing w:before="60" w:line="240" w:lineRule="auto"/>
      <w:jc w:val="right"/>
    </w:pPr>
    <w:rPr>
      <w:sz w:val="20"/>
    </w:rPr>
  </w:style>
  <w:style w:type="paragraph" w:customStyle="1" w:styleId="subsection">
    <w:name w:val="subsection"/>
    <w:aliases w:val="ss"/>
    <w:basedOn w:val="OPCParaBase"/>
    <w:rsid w:val="00383870"/>
    <w:pPr>
      <w:tabs>
        <w:tab w:val="right" w:pos="1021"/>
      </w:tabs>
      <w:spacing w:before="180" w:line="240" w:lineRule="auto"/>
      <w:ind w:left="1134" w:hanging="1134"/>
    </w:pPr>
  </w:style>
  <w:style w:type="paragraph" w:customStyle="1" w:styleId="Definition">
    <w:name w:val="Definition"/>
    <w:aliases w:val="dd"/>
    <w:basedOn w:val="OPCParaBase"/>
    <w:rsid w:val="00383870"/>
    <w:pPr>
      <w:spacing w:before="180" w:line="240" w:lineRule="auto"/>
      <w:ind w:left="1134"/>
    </w:pPr>
  </w:style>
  <w:style w:type="paragraph" w:customStyle="1" w:styleId="ETAsubitem">
    <w:name w:val="ETA(subitem)"/>
    <w:basedOn w:val="OPCParaBase"/>
    <w:rsid w:val="00383870"/>
    <w:pPr>
      <w:tabs>
        <w:tab w:val="right" w:pos="340"/>
      </w:tabs>
      <w:spacing w:before="60" w:line="240" w:lineRule="auto"/>
      <w:ind w:left="454" w:hanging="454"/>
    </w:pPr>
    <w:rPr>
      <w:sz w:val="20"/>
    </w:rPr>
  </w:style>
  <w:style w:type="paragraph" w:customStyle="1" w:styleId="ETApara">
    <w:name w:val="ETA(para)"/>
    <w:basedOn w:val="OPCParaBase"/>
    <w:rsid w:val="00383870"/>
    <w:pPr>
      <w:tabs>
        <w:tab w:val="right" w:pos="754"/>
      </w:tabs>
      <w:spacing w:before="60" w:line="240" w:lineRule="auto"/>
      <w:ind w:left="828" w:hanging="828"/>
    </w:pPr>
    <w:rPr>
      <w:sz w:val="20"/>
    </w:rPr>
  </w:style>
  <w:style w:type="paragraph" w:customStyle="1" w:styleId="ETAsubpara">
    <w:name w:val="ETA(subpara)"/>
    <w:basedOn w:val="OPCParaBase"/>
    <w:rsid w:val="00383870"/>
    <w:pPr>
      <w:tabs>
        <w:tab w:val="right" w:pos="1083"/>
      </w:tabs>
      <w:spacing w:before="60" w:line="240" w:lineRule="auto"/>
      <w:ind w:left="1191" w:hanging="1191"/>
    </w:pPr>
    <w:rPr>
      <w:sz w:val="20"/>
    </w:rPr>
  </w:style>
  <w:style w:type="paragraph" w:customStyle="1" w:styleId="ETAsub-subpara">
    <w:name w:val="ETA(sub-subpara)"/>
    <w:basedOn w:val="OPCParaBase"/>
    <w:rsid w:val="00383870"/>
    <w:pPr>
      <w:tabs>
        <w:tab w:val="right" w:pos="1412"/>
      </w:tabs>
      <w:spacing w:before="60" w:line="240" w:lineRule="auto"/>
      <w:ind w:left="1525" w:hanging="1525"/>
    </w:pPr>
    <w:rPr>
      <w:sz w:val="20"/>
    </w:rPr>
  </w:style>
  <w:style w:type="paragraph" w:customStyle="1" w:styleId="Formula">
    <w:name w:val="Formula"/>
    <w:basedOn w:val="OPCParaBase"/>
    <w:rsid w:val="00383870"/>
    <w:pPr>
      <w:spacing w:line="240" w:lineRule="auto"/>
      <w:ind w:left="1134"/>
    </w:pPr>
    <w:rPr>
      <w:sz w:val="20"/>
    </w:rPr>
  </w:style>
  <w:style w:type="paragraph" w:styleId="Header">
    <w:name w:val="header"/>
    <w:basedOn w:val="OPCParaBase"/>
    <w:link w:val="HeaderChar"/>
    <w:unhideWhenUsed/>
    <w:rsid w:val="0038387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83870"/>
    <w:rPr>
      <w:rFonts w:eastAsia="Times New Roman" w:cs="Times New Roman"/>
      <w:sz w:val="16"/>
      <w:lang w:eastAsia="en-AU"/>
    </w:rPr>
  </w:style>
  <w:style w:type="paragraph" w:customStyle="1" w:styleId="House">
    <w:name w:val="House"/>
    <w:basedOn w:val="OPCParaBase"/>
    <w:rsid w:val="00383870"/>
    <w:pPr>
      <w:spacing w:line="240" w:lineRule="auto"/>
    </w:pPr>
    <w:rPr>
      <w:sz w:val="28"/>
    </w:rPr>
  </w:style>
  <w:style w:type="paragraph" w:customStyle="1" w:styleId="Item">
    <w:name w:val="Item"/>
    <w:aliases w:val="i"/>
    <w:basedOn w:val="OPCParaBase"/>
    <w:next w:val="ItemHead"/>
    <w:rsid w:val="00383870"/>
    <w:pPr>
      <w:keepLines/>
      <w:spacing w:before="80" w:line="240" w:lineRule="auto"/>
      <w:ind w:left="709"/>
    </w:pPr>
  </w:style>
  <w:style w:type="paragraph" w:customStyle="1" w:styleId="ItemHead">
    <w:name w:val="ItemHead"/>
    <w:aliases w:val="ih"/>
    <w:basedOn w:val="OPCParaBase"/>
    <w:next w:val="Item"/>
    <w:link w:val="ItemHeadChar"/>
    <w:rsid w:val="0038387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83870"/>
    <w:pPr>
      <w:spacing w:line="240" w:lineRule="auto"/>
    </w:pPr>
    <w:rPr>
      <w:b/>
      <w:sz w:val="32"/>
    </w:rPr>
  </w:style>
  <w:style w:type="paragraph" w:customStyle="1" w:styleId="notedraft">
    <w:name w:val="note(draft)"/>
    <w:aliases w:val="nd"/>
    <w:basedOn w:val="OPCParaBase"/>
    <w:rsid w:val="00383870"/>
    <w:pPr>
      <w:spacing w:before="240" w:line="240" w:lineRule="auto"/>
      <w:ind w:left="284" w:hanging="284"/>
    </w:pPr>
    <w:rPr>
      <w:i/>
      <w:sz w:val="24"/>
    </w:rPr>
  </w:style>
  <w:style w:type="paragraph" w:customStyle="1" w:styleId="notemargin">
    <w:name w:val="note(margin)"/>
    <w:aliases w:val="nm"/>
    <w:basedOn w:val="OPCParaBase"/>
    <w:rsid w:val="00383870"/>
    <w:pPr>
      <w:tabs>
        <w:tab w:val="left" w:pos="709"/>
      </w:tabs>
      <w:spacing w:before="122" w:line="198" w:lineRule="exact"/>
      <w:ind w:left="709" w:hanging="709"/>
    </w:pPr>
    <w:rPr>
      <w:sz w:val="18"/>
    </w:rPr>
  </w:style>
  <w:style w:type="paragraph" w:customStyle="1" w:styleId="noteToPara">
    <w:name w:val="noteToPara"/>
    <w:aliases w:val="ntp"/>
    <w:basedOn w:val="OPCParaBase"/>
    <w:rsid w:val="00383870"/>
    <w:pPr>
      <w:spacing w:before="122" w:line="198" w:lineRule="exact"/>
      <w:ind w:left="2353" w:hanging="709"/>
    </w:pPr>
    <w:rPr>
      <w:sz w:val="18"/>
    </w:rPr>
  </w:style>
  <w:style w:type="paragraph" w:customStyle="1" w:styleId="noteParlAmend">
    <w:name w:val="note(ParlAmend)"/>
    <w:aliases w:val="npp"/>
    <w:basedOn w:val="OPCParaBase"/>
    <w:next w:val="ParlAmend"/>
    <w:rsid w:val="00383870"/>
    <w:pPr>
      <w:spacing w:line="240" w:lineRule="auto"/>
      <w:jc w:val="right"/>
    </w:pPr>
    <w:rPr>
      <w:rFonts w:ascii="Arial" w:hAnsi="Arial"/>
      <w:b/>
      <w:i/>
    </w:rPr>
  </w:style>
  <w:style w:type="paragraph" w:customStyle="1" w:styleId="Page1">
    <w:name w:val="Page1"/>
    <w:basedOn w:val="OPCParaBase"/>
    <w:rsid w:val="00383870"/>
    <w:pPr>
      <w:spacing w:before="400" w:line="240" w:lineRule="auto"/>
    </w:pPr>
    <w:rPr>
      <w:b/>
      <w:sz w:val="32"/>
    </w:rPr>
  </w:style>
  <w:style w:type="paragraph" w:customStyle="1" w:styleId="PageBreak">
    <w:name w:val="PageBreak"/>
    <w:aliases w:val="pb"/>
    <w:basedOn w:val="OPCParaBase"/>
    <w:rsid w:val="00383870"/>
    <w:pPr>
      <w:spacing w:line="240" w:lineRule="auto"/>
    </w:pPr>
    <w:rPr>
      <w:sz w:val="20"/>
    </w:rPr>
  </w:style>
  <w:style w:type="paragraph" w:customStyle="1" w:styleId="paragraphsub">
    <w:name w:val="paragraph(sub)"/>
    <w:aliases w:val="aa"/>
    <w:basedOn w:val="OPCParaBase"/>
    <w:rsid w:val="00383870"/>
    <w:pPr>
      <w:tabs>
        <w:tab w:val="right" w:pos="1985"/>
      </w:tabs>
      <w:spacing w:before="40" w:line="240" w:lineRule="auto"/>
      <w:ind w:left="2098" w:hanging="2098"/>
    </w:pPr>
  </w:style>
  <w:style w:type="paragraph" w:customStyle="1" w:styleId="paragraphsub-sub">
    <w:name w:val="paragraph(sub-sub)"/>
    <w:aliases w:val="aaa"/>
    <w:basedOn w:val="OPCParaBase"/>
    <w:rsid w:val="00383870"/>
    <w:pPr>
      <w:tabs>
        <w:tab w:val="right" w:pos="2722"/>
      </w:tabs>
      <w:spacing w:before="40" w:line="240" w:lineRule="auto"/>
      <w:ind w:left="2835" w:hanging="2835"/>
    </w:pPr>
  </w:style>
  <w:style w:type="paragraph" w:customStyle="1" w:styleId="paragraph">
    <w:name w:val="paragraph"/>
    <w:aliases w:val="a"/>
    <w:basedOn w:val="OPCParaBase"/>
    <w:rsid w:val="00383870"/>
    <w:pPr>
      <w:tabs>
        <w:tab w:val="right" w:pos="1531"/>
      </w:tabs>
      <w:spacing w:before="40" w:line="240" w:lineRule="auto"/>
      <w:ind w:left="1644" w:hanging="1644"/>
    </w:pPr>
  </w:style>
  <w:style w:type="paragraph" w:customStyle="1" w:styleId="ParlAmend">
    <w:name w:val="ParlAmend"/>
    <w:aliases w:val="pp"/>
    <w:basedOn w:val="OPCParaBase"/>
    <w:rsid w:val="00383870"/>
    <w:pPr>
      <w:spacing w:before="240" w:line="240" w:lineRule="atLeast"/>
      <w:ind w:hanging="567"/>
    </w:pPr>
    <w:rPr>
      <w:sz w:val="24"/>
    </w:rPr>
  </w:style>
  <w:style w:type="paragraph" w:customStyle="1" w:styleId="Penalty">
    <w:name w:val="Penalty"/>
    <w:basedOn w:val="OPCParaBase"/>
    <w:rsid w:val="00383870"/>
    <w:pPr>
      <w:tabs>
        <w:tab w:val="left" w:pos="2977"/>
      </w:tabs>
      <w:spacing w:before="180" w:line="240" w:lineRule="auto"/>
      <w:ind w:left="1985" w:hanging="851"/>
    </w:pPr>
  </w:style>
  <w:style w:type="paragraph" w:customStyle="1" w:styleId="Portfolio">
    <w:name w:val="Portfolio"/>
    <w:basedOn w:val="OPCParaBase"/>
    <w:rsid w:val="00383870"/>
    <w:pPr>
      <w:spacing w:line="240" w:lineRule="auto"/>
    </w:pPr>
    <w:rPr>
      <w:i/>
      <w:sz w:val="20"/>
    </w:rPr>
  </w:style>
  <w:style w:type="paragraph" w:customStyle="1" w:styleId="Preamble">
    <w:name w:val="Preamble"/>
    <w:basedOn w:val="OPCParaBase"/>
    <w:next w:val="Normal"/>
    <w:rsid w:val="0038387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83870"/>
    <w:pPr>
      <w:spacing w:line="240" w:lineRule="auto"/>
    </w:pPr>
    <w:rPr>
      <w:i/>
      <w:sz w:val="20"/>
    </w:rPr>
  </w:style>
  <w:style w:type="paragraph" w:customStyle="1" w:styleId="Session">
    <w:name w:val="Session"/>
    <w:basedOn w:val="OPCParaBase"/>
    <w:rsid w:val="00383870"/>
    <w:pPr>
      <w:spacing w:line="240" w:lineRule="auto"/>
    </w:pPr>
    <w:rPr>
      <w:sz w:val="28"/>
    </w:rPr>
  </w:style>
  <w:style w:type="paragraph" w:customStyle="1" w:styleId="Sponsor">
    <w:name w:val="Sponsor"/>
    <w:basedOn w:val="OPCParaBase"/>
    <w:rsid w:val="00383870"/>
    <w:pPr>
      <w:spacing w:line="240" w:lineRule="auto"/>
    </w:pPr>
    <w:rPr>
      <w:i/>
    </w:rPr>
  </w:style>
  <w:style w:type="paragraph" w:customStyle="1" w:styleId="Subitem">
    <w:name w:val="Subitem"/>
    <w:aliases w:val="iss"/>
    <w:basedOn w:val="OPCParaBase"/>
    <w:rsid w:val="00383870"/>
    <w:pPr>
      <w:spacing w:before="180" w:line="240" w:lineRule="auto"/>
      <w:ind w:left="709" w:hanging="709"/>
    </w:pPr>
  </w:style>
  <w:style w:type="paragraph" w:customStyle="1" w:styleId="SubitemHead">
    <w:name w:val="SubitemHead"/>
    <w:aliases w:val="issh"/>
    <w:basedOn w:val="OPCParaBase"/>
    <w:rsid w:val="0038387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83870"/>
    <w:pPr>
      <w:spacing w:before="40" w:line="240" w:lineRule="auto"/>
      <w:ind w:left="1134"/>
    </w:pPr>
  </w:style>
  <w:style w:type="paragraph" w:customStyle="1" w:styleId="SubsectionHead">
    <w:name w:val="SubsectionHead"/>
    <w:aliases w:val="ssh"/>
    <w:basedOn w:val="OPCParaBase"/>
    <w:next w:val="subsection"/>
    <w:rsid w:val="00383870"/>
    <w:pPr>
      <w:keepNext/>
      <w:keepLines/>
      <w:spacing w:before="240" w:line="240" w:lineRule="auto"/>
      <w:ind w:left="1134"/>
    </w:pPr>
    <w:rPr>
      <w:i/>
    </w:rPr>
  </w:style>
  <w:style w:type="paragraph" w:customStyle="1" w:styleId="Tablea">
    <w:name w:val="Table(a)"/>
    <w:aliases w:val="ta"/>
    <w:basedOn w:val="OPCParaBase"/>
    <w:rsid w:val="00383870"/>
    <w:pPr>
      <w:spacing w:before="60" w:line="240" w:lineRule="auto"/>
      <w:ind w:left="284" w:hanging="284"/>
    </w:pPr>
    <w:rPr>
      <w:sz w:val="20"/>
    </w:rPr>
  </w:style>
  <w:style w:type="paragraph" w:customStyle="1" w:styleId="TableAA">
    <w:name w:val="Table(AA)"/>
    <w:aliases w:val="taaa"/>
    <w:basedOn w:val="OPCParaBase"/>
    <w:rsid w:val="0038387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8387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83870"/>
    <w:pPr>
      <w:spacing w:before="60" w:line="240" w:lineRule="atLeast"/>
    </w:pPr>
    <w:rPr>
      <w:sz w:val="20"/>
    </w:rPr>
  </w:style>
  <w:style w:type="paragraph" w:customStyle="1" w:styleId="TLPBoxTextnote">
    <w:name w:val="TLPBoxText(note"/>
    <w:aliases w:val="right)"/>
    <w:basedOn w:val="OPCParaBase"/>
    <w:rsid w:val="0038387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8387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83870"/>
    <w:pPr>
      <w:spacing w:before="122" w:line="198" w:lineRule="exact"/>
      <w:ind w:left="1985" w:hanging="851"/>
      <w:jc w:val="right"/>
    </w:pPr>
    <w:rPr>
      <w:sz w:val="18"/>
    </w:rPr>
  </w:style>
  <w:style w:type="paragraph" w:customStyle="1" w:styleId="TLPTableBullet">
    <w:name w:val="TLPTableBullet"/>
    <w:aliases w:val="ttb"/>
    <w:basedOn w:val="OPCParaBase"/>
    <w:rsid w:val="00383870"/>
    <w:pPr>
      <w:spacing w:line="240" w:lineRule="exact"/>
      <w:ind w:left="284" w:hanging="284"/>
    </w:pPr>
    <w:rPr>
      <w:sz w:val="20"/>
    </w:rPr>
  </w:style>
  <w:style w:type="paragraph" w:styleId="TOC1">
    <w:name w:val="toc 1"/>
    <w:basedOn w:val="OPCParaBase"/>
    <w:next w:val="Normal"/>
    <w:uiPriority w:val="39"/>
    <w:semiHidden/>
    <w:unhideWhenUsed/>
    <w:rsid w:val="0038387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8387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8387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8387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83870"/>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38387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8387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8387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8387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83870"/>
    <w:pPr>
      <w:keepLines/>
      <w:spacing w:before="240" w:after="120" w:line="240" w:lineRule="auto"/>
      <w:ind w:left="794"/>
    </w:pPr>
    <w:rPr>
      <w:b/>
      <w:kern w:val="28"/>
      <w:sz w:val="20"/>
    </w:rPr>
  </w:style>
  <w:style w:type="paragraph" w:customStyle="1" w:styleId="TofSectsHeading">
    <w:name w:val="TofSects(Heading)"/>
    <w:basedOn w:val="OPCParaBase"/>
    <w:rsid w:val="00383870"/>
    <w:pPr>
      <w:spacing w:before="240" w:after="120" w:line="240" w:lineRule="auto"/>
    </w:pPr>
    <w:rPr>
      <w:b/>
      <w:sz w:val="24"/>
    </w:rPr>
  </w:style>
  <w:style w:type="paragraph" w:customStyle="1" w:styleId="TofSectsSection">
    <w:name w:val="TofSects(Section)"/>
    <w:basedOn w:val="OPCParaBase"/>
    <w:rsid w:val="00383870"/>
    <w:pPr>
      <w:keepLines/>
      <w:spacing w:before="40" w:line="240" w:lineRule="auto"/>
      <w:ind w:left="1588" w:hanging="794"/>
    </w:pPr>
    <w:rPr>
      <w:kern w:val="28"/>
      <w:sz w:val="18"/>
    </w:rPr>
  </w:style>
  <w:style w:type="paragraph" w:customStyle="1" w:styleId="TofSectsSubdiv">
    <w:name w:val="TofSects(Subdiv)"/>
    <w:basedOn w:val="OPCParaBase"/>
    <w:rsid w:val="00383870"/>
    <w:pPr>
      <w:keepLines/>
      <w:spacing w:before="80" w:line="240" w:lineRule="auto"/>
      <w:ind w:left="1588" w:hanging="794"/>
    </w:pPr>
    <w:rPr>
      <w:kern w:val="28"/>
    </w:rPr>
  </w:style>
  <w:style w:type="paragraph" w:customStyle="1" w:styleId="WRStyle">
    <w:name w:val="WR Style"/>
    <w:aliases w:val="WR"/>
    <w:basedOn w:val="OPCParaBase"/>
    <w:rsid w:val="00383870"/>
    <w:pPr>
      <w:spacing w:before="240" w:line="240" w:lineRule="auto"/>
      <w:ind w:left="284" w:hanging="284"/>
    </w:pPr>
    <w:rPr>
      <w:b/>
      <w:i/>
      <w:kern w:val="28"/>
      <w:sz w:val="24"/>
    </w:rPr>
  </w:style>
  <w:style w:type="paragraph" w:customStyle="1" w:styleId="notepara">
    <w:name w:val="note(para)"/>
    <w:aliases w:val="na"/>
    <w:basedOn w:val="OPCParaBase"/>
    <w:rsid w:val="00383870"/>
    <w:pPr>
      <w:spacing w:before="40" w:line="198" w:lineRule="exact"/>
      <w:ind w:left="2354" w:hanging="369"/>
    </w:pPr>
    <w:rPr>
      <w:sz w:val="18"/>
    </w:rPr>
  </w:style>
  <w:style w:type="paragraph" w:styleId="Footer">
    <w:name w:val="footer"/>
    <w:link w:val="FooterChar"/>
    <w:rsid w:val="0038387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83870"/>
    <w:rPr>
      <w:rFonts w:eastAsia="Times New Roman" w:cs="Times New Roman"/>
      <w:sz w:val="22"/>
      <w:szCs w:val="24"/>
      <w:lang w:eastAsia="en-AU"/>
    </w:rPr>
  </w:style>
  <w:style w:type="character" w:styleId="LineNumber">
    <w:name w:val="line number"/>
    <w:basedOn w:val="OPCCharBase"/>
    <w:uiPriority w:val="99"/>
    <w:semiHidden/>
    <w:unhideWhenUsed/>
    <w:rsid w:val="00383870"/>
    <w:rPr>
      <w:sz w:val="16"/>
    </w:rPr>
  </w:style>
  <w:style w:type="table" w:customStyle="1" w:styleId="CFlag">
    <w:name w:val="CFlag"/>
    <w:basedOn w:val="TableNormal"/>
    <w:uiPriority w:val="99"/>
    <w:rsid w:val="00383870"/>
    <w:rPr>
      <w:rFonts w:eastAsia="Times New Roman" w:cs="Times New Roman"/>
      <w:lang w:eastAsia="en-AU"/>
    </w:rPr>
    <w:tblPr/>
  </w:style>
  <w:style w:type="paragraph" w:customStyle="1" w:styleId="NotesHeading1">
    <w:name w:val="NotesHeading 1"/>
    <w:basedOn w:val="OPCParaBase"/>
    <w:next w:val="Normal"/>
    <w:rsid w:val="00383870"/>
    <w:rPr>
      <w:b/>
      <w:sz w:val="28"/>
      <w:szCs w:val="28"/>
    </w:rPr>
  </w:style>
  <w:style w:type="paragraph" w:customStyle="1" w:styleId="NotesHeading2">
    <w:name w:val="NotesHeading 2"/>
    <w:basedOn w:val="OPCParaBase"/>
    <w:next w:val="Normal"/>
    <w:rsid w:val="00383870"/>
    <w:rPr>
      <w:b/>
      <w:sz w:val="28"/>
      <w:szCs w:val="28"/>
    </w:rPr>
  </w:style>
  <w:style w:type="paragraph" w:customStyle="1" w:styleId="SignCoverPageEnd">
    <w:name w:val="SignCoverPageEnd"/>
    <w:basedOn w:val="OPCParaBase"/>
    <w:next w:val="Normal"/>
    <w:rsid w:val="0038387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83870"/>
    <w:pPr>
      <w:pBdr>
        <w:top w:val="single" w:sz="4" w:space="1" w:color="auto"/>
      </w:pBdr>
      <w:spacing w:before="360"/>
      <w:ind w:right="397"/>
      <w:jc w:val="both"/>
    </w:pPr>
  </w:style>
  <w:style w:type="paragraph" w:customStyle="1" w:styleId="Paragraphsub-sub-sub">
    <w:name w:val="Paragraph(sub-sub-sub)"/>
    <w:aliases w:val="aaaa"/>
    <w:basedOn w:val="OPCParaBase"/>
    <w:rsid w:val="0038387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8387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8387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8387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8387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83870"/>
    <w:pPr>
      <w:spacing w:before="120"/>
    </w:pPr>
  </w:style>
  <w:style w:type="paragraph" w:customStyle="1" w:styleId="TableTextEndNotes">
    <w:name w:val="TableTextEndNotes"/>
    <w:aliases w:val="Tten"/>
    <w:basedOn w:val="Normal"/>
    <w:rsid w:val="00383870"/>
    <w:pPr>
      <w:spacing w:before="60" w:line="240" w:lineRule="auto"/>
    </w:pPr>
    <w:rPr>
      <w:rFonts w:cs="Arial"/>
      <w:sz w:val="20"/>
      <w:szCs w:val="22"/>
    </w:rPr>
  </w:style>
  <w:style w:type="paragraph" w:customStyle="1" w:styleId="TableHeading">
    <w:name w:val="TableHeading"/>
    <w:aliases w:val="th"/>
    <w:basedOn w:val="OPCParaBase"/>
    <w:next w:val="Tabletext"/>
    <w:rsid w:val="00383870"/>
    <w:pPr>
      <w:keepNext/>
      <w:spacing w:before="60" w:line="240" w:lineRule="atLeast"/>
    </w:pPr>
    <w:rPr>
      <w:b/>
      <w:sz w:val="20"/>
    </w:rPr>
  </w:style>
  <w:style w:type="paragraph" w:customStyle="1" w:styleId="NoteToSubpara">
    <w:name w:val="NoteToSubpara"/>
    <w:aliases w:val="nts"/>
    <w:basedOn w:val="OPCParaBase"/>
    <w:rsid w:val="00383870"/>
    <w:pPr>
      <w:spacing w:before="40" w:line="198" w:lineRule="exact"/>
      <w:ind w:left="2835" w:hanging="709"/>
    </w:pPr>
    <w:rPr>
      <w:sz w:val="18"/>
    </w:rPr>
  </w:style>
  <w:style w:type="paragraph" w:customStyle="1" w:styleId="ENoteTableHeading">
    <w:name w:val="ENoteTableHeading"/>
    <w:aliases w:val="enth"/>
    <w:basedOn w:val="OPCParaBase"/>
    <w:rsid w:val="00383870"/>
    <w:pPr>
      <w:keepNext/>
      <w:spacing w:before="60" w:line="240" w:lineRule="atLeast"/>
    </w:pPr>
    <w:rPr>
      <w:rFonts w:ascii="Arial" w:hAnsi="Arial"/>
      <w:b/>
      <w:sz w:val="16"/>
    </w:rPr>
  </w:style>
  <w:style w:type="paragraph" w:customStyle="1" w:styleId="ENoteTTi">
    <w:name w:val="ENoteTTi"/>
    <w:aliases w:val="entti"/>
    <w:basedOn w:val="OPCParaBase"/>
    <w:rsid w:val="00383870"/>
    <w:pPr>
      <w:keepNext/>
      <w:spacing w:before="60" w:line="240" w:lineRule="atLeast"/>
      <w:ind w:left="170"/>
    </w:pPr>
    <w:rPr>
      <w:sz w:val="16"/>
    </w:rPr>
  </w:style>
  <w:style w:type="paragraph" w:customStyle="1" w:styleId="ENotesHeading1">
    <w:name w:val="ENotesHeading 1"/>
    <w:aliases w:val="Enh1"/>
    <w:basedOn w:val="OPCParaBase"/>
    <w:next w:val="Normal"/>
    <w:rsid w:val="00383870"/>
    <w:pPr>
      <w:spacing w:before="120"/>
      <w:outlineLvl w:val="1"/>
    </w:pPr>
    <w:rPr>
      <w:b/>
      <w:sz w:val="28"/>
      <w:szCs w:val="28"/>
    </w:rPr>
  </w:style>
  <w:style w:type="paragraph" w:customStyle="1" w:styleId="ENotesHeading2">
    <w:name w:val="ENotesHeading 2"/>
    <w:aliases w:val="Enh2"/>
    <w:basedOn w:val="OPCParaBase"/>
    <w:next w:val="Normal"/>
    <w:rsid w:val="00383870"/>
    <w:pPr>
      <w:spacing w:before="120" w:after="120"/>
      <w:outlineLvl w:val="2"/>
    </w:pPr>
    <w:rPr>
      <w:b/>
      <w:sz w:val="24"/>
      <w:szCs w:val="28"/>
    </w:rPr>
  </w:style>
  <w:style w:type="paragraph" w:customStyle="1" w:styleId="ENoteTTIndentHeading">
    <w:name w:val="ENoteTTIndentHeading"/>
    <w:aliases w:val="enTTHi"/>
    <w:basedOn w:val="OPCParaBase"/>
    <w:rsid w:val="0038387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83870"/>
    <w:pPr>
      <w:spacing w:before="60" w:line="240" w:lineRule="atLeast"/>
    </w:pPr>
    <w:rPr>
      <w:sz w:val="16"/>
    </w:rPr>
  </w:style>
  <w:style w:type="paragraph" w:customStyle="1" w:styleId="MadeunderText">
    <w:name w:val="MadeunderText"/>
    <w:basedOn w:val="OPCParaBase"/>
    <w:next w:val="Normal"/>
    <w:rsid w:val="00383870"/>
    <w:pPr>
      <w:spacing w:before="240"/>
    </w:pPr>
    <w:rPr>
      <w:sz w:val="24"/>
      <w:szCs w:val="24"/>
    </w:rPr>
  </w:style>
  <w:style w:type="paragraph" w:customStyle="1" w:styleId="ENotesHeading3">
    <w:name w:val="ENotesHeading 3"/>
    <w:aliases w:val="Enh3"/>
    <w:basedOn w:val="OPCParaBase"/>
    <w:next w:val="Normal"/>
    <w:rsid w:val="00383870"/>
    <w:pPr>
      <w:keepNext/>
      <w:spacing w:before="120" w:line="240" w:lineRule="auto"/>
      <w:outlineLvl w:val="4"/>
    </w:pPr>
    <w:rPr>
      <w:b/>
      <w:szCs w:val="24"/>
    </w:rPr>
  </w:style>
  <w:style w:type="paragraph" w:customStyle="1" w:styleId="SubPartCASA">
    <w:name w:val="SubPart(CASA)"/>
    <w:aliases w:val="csp"/>
    <w:basedOn w:val="OPCParaBase"/>
    <w:next w:val="ActHead3"/>
    <w:rsid w:val="00383870"/>
    <w:pPr>
      <w:keepNext/>
      <w:keepLines/>
      <w:spacing w:before="280"/>
      <w:outlineLvl w:val="1"/>
    </w:pPr>
    <w:rPr>
      <w:b/>
      <w:kern w:val="28"/>
      <w:sz w:val="32"/>
    </w:rPr>
  </w:style>
  <w:style w:type="character" w:customStyle="1" w:styleId="CharSubPartTextCASA">
    <w:name w:val="CharSubPartText(CASA)"/>
    <w:basedOn w:val="OPCCharBase"/>
    <w:uiPriority w:val="1"/>
    <w:rsid w:val="00383870"/>
  </w:style>
  <w:style w:type="character" w:customStyle="1" w:styleId="CharSubPartNoCASA">
    <w:name w:val="CharSubPartNo(CASA)"/>
    <w:basedOn w:val="OPCCharBase"/>
    <w:uiPriority w:val="1"/>
    <w:rsid w:val="00383870"/>
  </w:style>
  <w:style w:type="paragraph" w:customStyle="1" w:styleId="ENoteTTIndentHeadingSub">
    <w:name w:val="ENoteTTIndentHeadingSub"/>
    <w:aliases w:val="enTTHis"/>
    <w:basedOn w:val="OPCParaBase"/>
    <w:rsid w:val="00383870"/>
    <w:pPr>
      <w:keepNext/>
      <w:spacing w:before="60" w:line="240" w:lineRule="atLeast"/>
      <w:ind w:left="340"/>
    </w:pPr>
    <w:rPr>
      <w:b/>
      <w:sz w:val="16"/>
    </w:rPr>
  </w:style>
  <w:style w:type="paragraph" w:customStyle="1" w:styleId="ENoteTTiSub">
    <w:name w:val="ENoteTTiSub"/>
    <w:aliases w:val="enttis"/>
    <w:basedOn w:val="OPCParaBase"/>
    <w:rsid w:val="00383870"/>
    <w:pPr>
      <w:keepNext/>
      <w:spacing w:before="60" w:line="240" w:lineRule="atLeast"/>
      <w:ind w:left="340"/>
    </w:pPr>
    <w:rPr>
      <w:sz w:val="16"/>
    </w:rPr>
  </w:style>
  <w:style w:type="paragraph" w:customStyle="1" w:styleId="SubDivisionMigration">
    <w:name w:val="SubDivisionMigration"/>
    <w:aliases w:val="sdm"/>
    <w:basedOn w:val="OPCParaBase"/>
    <w:rsid w:val="0038387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83870"/>
    <w:pPr>
      <w:keepNext/>
      <w:keepLines/>
      <w:spacing w:before="240" w:line="240" w:lineRule="auto"/>
      <w:ind w:left="1134" w:hanging="1134"/>
    </w:pPr>
    <w:rPr>
      <w:b/>
      <w:sz w:val="28"/>
    </w:rPr>
  </w:style>
  <w:style w:type="table" w:styleId="TableGrid">
    <w:name w:val="Table Grid"/>
    <w:basedOn w:val="TableNormal"/>
    <w:uiPriority w:val="59"/>
    <w:rsid w:val="0038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38387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38387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83870"/>
    <w:rPr>
      <w:sz w:val="22"/>
    </w:rPr>
  </w:style>
  <w:style w:type="paragraph" w:customStyle="1" w:styleId="SOTextNote">
    <w:name w:val="SO TextNote"/>
    <w:aliases w:val="sont"/>
    <w:basedOn w:val="SOText"/>
    <w:qFormat/>
    <w:rsid w:val="00383870"/>
    <w:pPr>
      <w:spacing w:before="122" w:line="198" w:lineRule="exact"/>
      <w:ind w:left="1843" w:hanging="709"/>
    </w:pPr>
    <w:rPr>
      <w:sz w:val="18"/>
    </w:rPr>
  </w:style>
  <w:style w:type="paragraph" w:customStyle="1" w:styleId="SOPara">
    <w:name w:val="SO Para"/>
    <w:aliases w:val="soa"/>
    <w:basedOn w:val="SOText"/>
    <w:link w:val="SOParaChar"/>
    <w:qFormat/>
    <w:rsid w:val="00383870"/>
    <w:pPr>
      <w:tabs>
        <w:tab w:val="right" w:pos="1786"/>
      </w:tabs>
      <w:spacing w:before="40"/>
      <w:ind w:left="2070" w:hanging="936"/>
    </w:pPr>
  </w:style>
  <w:style w:type="character" w:customStyle="1" w:styleId="SOParaChar">
    <w:name w:val="SO Para Char"/>
    <w:aliases w:val="soa Char"/>
    <w:basedOn w:val="DefaultParagraphFont"/>
    <w:link w:val="SOPara"/>
    <w:rsid w:val="00383870"/>
    <w:rPr>
      <w:sz w:val="22"/>
    </w:rPr>
  </w:style>
  <w:style w:type="paragraph" w:customStyle="1" w:styleId="FileName">
    <w:name w:val="FileName"/>
    <w:basedOn w:val="Normal"/>
    <w:rsid w:val="00383870"/>
  </w:style>
  <w:style w:type="paragraph" w:customStyle="1" w:styleId="SOHeadBold">
    <w:name w:val="SO HeadBold"/>
    <w:aliases w:val="sohb"/>
    <w:basedOn w:val="SOText"/>
    <w:next w:val="SOText"/>
    <w:link w:val="SOHeadBoldChar"/>
    <w:qFormat/>
    <w:rsid w:val="00383870"/>
    <w:rPr>
      <w:b/>
    </w:rPr>
  </w:style>
  <w:style w:type="character" w:customStyle="1" w:styleId="SOHeadBoldChar">
    <w:name w:val="SO HeadBold Char"/>
    <w:aliases w:val="sohb Char"/>
    <w:basedOn w:val="DefaultParagraphFont"/>
    <w:link w:val="SOHeadBold"/>
    <w:rsid w:val="00383870"/>
    <w:rPr>
      <w:b/>
      <w:sz w:val="22"/>
    </w:rPr>
  </w:style>
  <w:style w:type="paragraph" w:customStyle="1" w:styleId="SOHeadItalic">
    <w:name w:val="SO HeadItalic"/>
    <w:aliases w:val="sohi"/>
    <w:basedOn w:val="SOText"/>
    <w:next w:val="SOText"/>
    <w:link w:val="SOHeadItalicChar"/>
    <w:qFormat/>
    <w:rsid w:val="00383870"/>
    <w:rPr>
      <w:i/>
    </w:rPr>
  </w:style>
  <w:style w:type="character" w:customStyle="1" w:styleId="SOHeadItalicChar">
    <w:name w:val="SO HeadItalic Char"/>
    <w:aliases w:val="sohi Char"/>
    <w:basedOn w:val="DefaultParagraphFont"/>
    <w:link w:val="SOHeadItalic"/>
    <w:rsid w:val="00383870"/>
    <w:rPr>
      <w:i/>
      <w:sz w:val="22"/>
    </w:rPr>
  </w:style>
  <w:style w:type="paragraph" w:customStyle="1" w:styleId="SOBullet">
    <w:name w:val="SO Bullet"/>
    <w:aliases w:val="sotb"/>
    <w:basedOn w:val="SOText"/>
    <w:link w:val="SOBulletChar"/>
    <w:qFormat/>
    <w:rsid w:val="00383870"/>
    <w:pPr>
      <w:ind w:left="1559" w:hanging="425"/>
    </w:pPr>
  </w:style>
  <w:style w:type="character" w:customStyle="1" w:styleId="SOBulletChar">
    <w:name w:val="SO Bullet Char"/>
    <w:aliases w:val="sotb Char"/>
    <w:basedOn w:val="DefaultParagraphFont"/>
    <w:link w:val="SOBullet"/>
    <w:rsid w:val="00383870"/>
    <w:rPr>
      <w:sz w:val="22"/>
    </w:rPr>
  </w:style>
  <w:style w:type="paragraph" w:customStyle="1" w:styleId="SOBulletNote">
    <w:name w:val="SO BulletNote"/>
    <w:aliases w:val="sonb"/>
    <w:basedOn w:val="SOTextNote"/>
    <w:link w:val="SOBulletNoteChar"/>
    <w:qFormat/>
    <w:rsid w:val="00383870"/>
    <w:pPr>
      <w:tabs>
        <w:tab w:val="left" w:pos="1560"/>
      </w:tabs>
      <w:ind w:left="2268" w:hanging="1134"/>
    </w:pPr>
  </w:style>
  <w:style w:type="character" w:customStyle="1" w:styleId="SOBulletNoteChar">
    <w:name w:val="SO BulletNote Char"/>
    <w:aliases w:val="sonb Char"/>
    <w:basedOn w:val="DefaultParagraphFont"/>
    <w:link w:val="SOBulletNote"/>
    <w:rsid w:val="00383870"/>
    <w:rPr>
      <w:sz w:val="18"/>
    </w:rPr>
  </w:style>
  <w:style w:type="paragraph" w:customStyle="1" w:styleId="SOText2">
    <w:name w:val="SO Text2"/>
    <w:aliases w:val="sot2"/>
    <w:basedOn w:val="Normal"/>
    <w:next w:val="SOText"/>
    <w:link w:val="SOText2Char"/>
    <w:rsid w:val="0038387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83870"/>
    <w:rPr>
      <w:sz w:val="22"/>
    </w:rPr>
  </w:style>
  <w:style w:type="character" w:customStyle="1" w:styleId="Heading1Char">
    <w:name w:val="Heading 1 Char"/>
    <w:basedOn w:val="DefaultParagraphFont"/>
    <w:link w:val="Heading1"/>
    <w:uiPriority w:val="9"/>
    <w:rsid w:val="008F07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F07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077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F077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F077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F077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F077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F077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F0777"/>
    <w:rPr>
      <w:rFonts w:asciiTheme="majorHAnsi" w:eastAsiaTheme="majorEastAsia" w:hAnsiTheme="majorHAnsi" w:cstheme="majorBidi"/>
      <w:i/>
      <w:iCs/>
      <w:color w:val="404040" w:themeColor="text1" w:themeTint="BF"/>
    </w:rPr>
  </w:style>
  <w:style w:type="character" w:customStyle="1" w:styleId="charlegds2">
    <w:name w:val="charlegds2"/>
    <w:basedOn w:val="DefaultParagraphFont"/>
    <w:rsid w:val="008F0777"/>
    <w:rPr>
      <w:vanish w:val="0"/>
      <w:webHidden w:val="0"/>
      <w:specVanish w:val="0"/>
    </w:rPr>
  </w:style>
  <w:style w:type="paragraph" w:customStyle="1" w:styleId="Specialih">
    <w:name w:val="Special ih"/>
    <w:basedOn w:val="ItemHead"/>
    <w:link w:val="SpecialihChar"/>
    <w:rsid w:val="008F0777"/>
  </w:style>
  <w:style w:type="character" w:customStyle="1" w:styleId="OPCParaBaseChar">
    <w:name w:val="OPCParaBase Char"/>
    <w:basedOn w:val="DefaultParagraphFont"/>
    <w:link w:val="OPCParaBase"/>
    <w:rsid w:val="008F0777"/>
    <w:rPr>
      <w:rFonts w:eastAsia="Times New Roman" w:cs="Times New Roman"/>
      <w:sz w:val="22"/>
      <w:lang w:eastAsia="en-AU"/>
    </w:rPr>
  </w:style>
  <w:style w:type="character" w:customStyle="1" w:styleId="ItemHeadChar">
    <w:name w:val="ItemHead Char"/>
    <w:aliases w:val="ih Char"/>
    <w:basedOn w:val="OPCParaBaseChar"/>
    <w:link w:val="ItemHead"/>
    <w:rsid w:val="008F0777"/>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8F0777"/>
    <w:rPr>
      <w:rFonts w:ascii="Arial" w:eastAsia="Times New Roman" w:hAnsi="Arial" w:cs="Times New Roman"/>
      <w:b/>
      <w:kern w:val="28"/>
      <w:sz w:val="24"/>
      <w:lang w:eastAsia="en-AU"/>
    </w:rPr>
  </w:style>
  <w:style w:type="paragraph" w:customStyle="1" w:styleId="ShortTP1">
    <w:name w:val="ShortTP1"/>
    <w:basedOn w:val="ShortT"/>
    <w:link w:val="ShortTP1Char"/>
    <w:rsid w:val="00D44E7D"/>
    <w:pPr>
      <w:spacing w:before="800"/>
    </w:pPr>
  </w:style>
  <w:style w:type="character" w:customStyle="1" w:styleId="ShortTChar">
    <w:name w:val="ShortT Char"/>
    <w:basedOn w:val="OPCParaBaseChar"/>
    <w:link w:val="ShortT"/>
    <w:rsid w:val="00D44E7D"/>
    <w:rPr>
      <w:rFonts w:eastAsia="Times New Roman" w:cs="Times New Roman"/>
      <w:b/>
      <w:sz w:val="40"/>
      <w:lang w:eastAsia="en-AU"/>
    </w:rPr>
  </w:style>
  <w:style w:type="character" w:customStyle="1" w:styleId="ShortTP1Char">
    <w:name w:val="ShortTP1 Char"/>
    <w:basedOn w:val="ShortTChar"/>
    <w:link w:val="ShortTP1"/>
    <w:rsid w:val="00D44E7D"/>
    <w:rPr>
      <w:rFonts w:eastAsia="Times New Roman" w:cs="Times New Roman"/>
      <w:b/>
      <w:sz w:val="40"/>
      <w:lang w:eastAsia="en-AU"/>
    </w:rPr>
  </w:style>
  <w:style w:type="paragraph" w:customStyle="1" w:styleId="ActNoP1">
    <w:name w:val="ActNoP1"/>
    <w:basedOn w:val="Actno"/>
    <w:link w:val="ActNoP1Char"/>
    <w:rsid w:val="00D44E7D"/>
    <w:pPr>
      <w:spacing w:before="800"/>
    </w:pPr>
    <w:rPr>
      <w:sz w:val="28"/>
    </w:rPr>
  </w:style>
  <w:style w:type="character" w:customStyle="1" w:styleId="ActnoChar">
    <w:name w:val="Actno Char"/>
    <w:basedOn w:val="ShortTChar"/>
    <w:link w:val="Actno"/>
    <w:rsid w:val="00D44E7D"/>
    <w:rPr>
      <w:rFonts w:eastAsia="Times New Roman" w:cs="Times New Roman"/>
      <w:b/>
      <w:sz w:val="40"/>
      <w:lang w:eastAsia="en-AU"/>
    </w:rPr>
  </w:style>
  <w:style w:type="character" w:customStyle="1" w:styleId="ActNoP1Char">
    <w:name w:val="ActNoP1 Char"/>
    <w:basedOn w:val="ActnoChar"/>
    <w:link w:val="ActNoP1"/>
    <w:rsid w:val="00D44E7D"/>
    <w:rPr>
      <w:rFonts w:eastAsia="Times New Roman" w:cs="Times New Roman"/>
      <w:b/>
      <w:sz w:val="28"/>
      <w:lang w:eastAsia="en-AU"/>
    </w:rPr>
  </w:style>
  <w:style w:type="paragraph" w:customStyle="1" w:styleId="ShortTCP">
    <w:name w:val="ShortTCP"/>
    <w:basedOn w:val="ShortT"/>
    <w:link w:val="ShortTCPChar"/>
    <w:rsid w:val="00D44E7D"/>
  </w:style>
  <w:style w:type="character" w:customStyle="1" w:styleId="ShortTCPChar">
    <w:name w:val="ShortTCP Char"/>
    <w:basedOn w:val="ShortTChar"/>
    <w:link w:val="ShortTCP"/>
    <w:rsid w:val="00D44E7D"/>
    <w:rPr>
      <w:rFonts w:eastAsia="Times New Roman" w:cs="Times New Roman"/>
      <w:b/>
      <w:sz w:val="40"/>
      <w:lang w:eastAsia="en-AU"/>
    </w:rPr>
  </w:style>
  <w:style w:type="paragraph" w:customStyle="1" w:styleId="ActNoCP">
    <w:name w:val="ActNoCP"/>
    <w:basedOn w:val="Actno"/>
    <w:link w:val="ActNoCPChar"/>
    <w:rsid w:val="00D44E7D"/>
    <w:pPr>
      <w:spacing w:before="400"/>
    </w:pPr>
  </w:style>
  <w:style w:type="character" w:customStyle="1" w:styleId="ActNoCPChar">
    <w:name w:val="ActNoCP Char"/>
    <w:basedOn w:val="ActnoChar"/>
    <w:link w:val="ActNoCP"/>
    <w:rsid w:val="00D44E7D"/>
    <w:rPr>
      <w:rFonts w:eastAsia="Times New Roman" w:cs="Times New Roman"/>
      <w:b/>
      <w:sz w:val="40"/>
      <w:lang w:eastAsia="en-AU"/>
    </w:rPr>
  </w:style>
  <w:style w:type="paragraph" w:customStyle="1" w:styleId="AssentBk">
    <w:name w:val="AssentBk"/>
    <w:basedOn w:val="Normal"/>
    <w:rsid w:val="00D44E7D"/>
    <w:pPr>
      <w:spacing w:line="240" w:lineRule="auto"/>
    </w:pPr>
    <w:rPr>
      <w:rFonts w:eastAsia="Times New Roman" w:cs="Times New Roman"/>
      <w:sz w:val="20"/>
      <w:lang w:eastAsia="en-AU"/>
    </w:rPr>
  </w:style>
  <w:style w:type="paragraph" w:customStyle="1" w:styleId="AssentDt">
    <w:name w:val="AssentDt"/>
    <w:basedOn w:val="Normal"/>
    <w:rsid w:val="00C278DA"/>
    <w:pPr>
      <w:spacing w:line="240" w:lineRule="auto"/>
    </w:pPr>
    <w:rPr>
      <w:rFonts w:eastAsia="Times New Roman" w:cs="Times New Roman"/>
      <w:sz w:val="20"/>
      <w:lang w:eastAsia="en-AU"/>
    </w:rPr>
  </w:style>
  <w:style w:type="paragraph" w:customStyle="1" w:styleId="2ndRd">
    <w:name w:val="2ndRd"/>
    <w:basedOn w:val="Normal"/>
    <w:rsid w:val="00C278DA"/>
    <w:pPr>
      <w:spacing w:line="240" w:lineRule="auto"/>
    </w:pPr>
    <w:rPr>
      <w:rFonts w:eastAsia="Times New Roman" w:cs="Times New Roman"/>
      <w:sz w:val="20"/>
      <w:lang w:eastAsia="en-AU"/>
    </w:rPr>
  </w:style>
  <w:style w:type="paragraph" w:customStyle="1" w:styleId="ScalePlusRef">
    <w:name w:val="ScalePlusRef"/>
    <w:basedOn w:val="Normal"/>
    <w:rsid w:val="00C278D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3870"/>
    <w:pPr>
      <w:spacing w:line="260" w:lineRule="atLeast"/>
    </w:pPr>
    <w:rPr>
      <w:sz w:val="22"/>
    </w:rPr>
  </w:style>
  <w:style w:type="paragraph" w:styleId="Heading1">
    <w:name w:val="heading 1"/>
    <w:basedOn w:val="Normal"/>
    <w:next w:val="Normal"/>
    <w:link w:val="Heading1Char"/>
    <w:uiPriority w:val="9"/>
    <w:qFormat/>
    <w:rsid w:val="008F07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07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07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07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F077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F077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F077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077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F077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83870"/>
  </w:style>
  <w:style w:type="paragraph" w:customStyle="1" w:styleId="OPCParaBase">
    <w:name w:val="OPCParaBase"/>
    <w:link w:val="OPCParaBaseChar"/>
    <w:qFormat/>
    <w:rsid w:val="0038387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83870"/>
    <w:pPr>
      <w:spacing w:line="240" w:lineRule="auto"/>
    </w:pPr>
    <w:rPr>
      <w:b/>
      <w:sz w:val="40"/>
    </w:rPr>
  </w:style>
  <w:style w:type="paragraph" w:customStyle="1" w:styleId="ActHead1">
    <w:name w:val="ActHead 1"/>
    <w:aliases w:val="c"/>
    <w:basedOn w:val="OPCParaBase"/>
    <w:next w:val="Normal"/>
    <w:qFormat/>
    <w:rsid w:val="0038387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8387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8387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8387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8387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8387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8387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8387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8387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83870"/>
  </w:style>
  <w:style w:type="paragraph" w:customStyle="1" w:styleId="Blocks">
    <w:name w:val="Blocks"/>
    <w:aliases w:val="bb"/>
    <w:basedOn w:val="OPCParaBase"/>
    <w:qFormat/>
    <w:rsid w:val="00383870"/>
    <w:pPr>
      <w:spacing w:line="240" w:lineRule="auto"/>
    </w:pPr>
    <w:rPr>
      <w:sz w:val="24"/>
    </w:rPr>
  </w:style>
  <w:style w:type="paragraph" w:customStyle="1" w:styleId="BoxText">
    <w:name w:val="BoxText"/>
    <w:aliases w:val="bt"/>
    <w:basedOn w:val="OPCParaBase"/>
    <w:qFormat/>
    <w:rsid w:val="0038387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83870"/>
    <w:rPr>
      <w:b/>
    </w:rPr>
  </w:style>
  <w:style w:type="paragraph" w:customStyle="1" w:styleId="BoxHeadItalic">
    <w:name w:val="BoxHeadItalic"/>
    <w:aliases w:val="bhi"/>
    <w:basedOn w:val="BoxText"/>
    <w:next w:val="BoxStep"/>
    <w:qFormat/>
    <w:rsid w:val="00383870"/>
    <w:rPr>
      <w:i/>
    </w:rPr>
  </w:style>
  <w:style w:type="paragraph" w:customStyle="1" w:styleId="BoxList">
    <w:name w:val="BoxList"/>
    <w:aliases w:val="bl"/>
    <w:basedOn w:val="BoxText"/>
    <w:qFormat/>
    <w:rsid w:val="00383870"/>
    <w:pPr>
      <w:ind w:left="1559" w:hanging="425"/>
    </w:pPr>
  </w:style>
  <w:style w:type="paragraph" w:customStyle="1" w:styleId="BoxNote">
    <w:name w:val="BoxNote"/>
    <w:aliases w:val="bn"/>
    <w:basedOn w:val="BoxText"/>
    <w:qFormat/>
    <w:rsid w:val="00383870"/>
    <w:pPr>
      <w:tabs>
        <w:tab w:val="left" w:pos="1985"/>
      </w:tabs>
      <w:spacing w:before="122" w:line="198" w:lineRule="exact"/>
      <w:ind w:left="2948" w:hanging="1814"/>
    </w:pPr>
    <w:rPr>
      <w:sz w:val="18"/>
    </w:rPr>
  </w:style>
  <w:style w:type="paragraph" w:customStyle="1" w:styleId="BoxPara">
    <w:name w:val="BoxPara"/>
    <w:aliases w:val="bp"/>
    <w:basedOn w:val="BoxText"/>
    <w:qFormat/>
    <w:rsid w:val="00383870"/>
    <w:pPr>
      <w:tabs>
        <w:tab w:val="right" w:pos="2268"/>
      </w:tabs>
      <w:ind w:left="2552" w:hanging="1418"/>
    </w:pPr>
  </w:style>
  <w:style w:type="paragraph" w:customStyle="1" w:styleId="BoxStep">
    <w:name w:val="BoxStep"/>
    <w:aliases w:val="bs"/>
    <w:basedOn w:val="BoxText"/>
    <w:qFormat/>
    <w:rsid w:val="00383870"/>
    <w:pPr>
      <w:ind w:left="1985" w:hanging="851"/>
    </w:pPr>
  </w:style>
  <w:style w:type="character" w:customStyle="1" w:styleId="CharAmPartNo">
    <w:name w:val="CharAmPartNo"/>
    <w:basedOn w:val="OPCCharBase"/>
    <w:qFormat/>
    <w:rsid w:val="00383870"/>
  </w:style>
  <w:style w:type="character" w:customStyle="1" w:styleId="CharAmPartText">
    <w:name w:val="CharAmPartText"/>
    <w:basedOn w:val="OPCCharBase"/>
    <w:qFormat/>
    <w:rsid w:val="00383870"/>
  </w:style>
  <w:style w:type="character" w:customStyle="1" w:styleId="CharAmSchNo">
    <w:name w:val="CharAmSchNo"/>
    <w:basedOn w:val="OPCCharBase"/>
    <w:qFormat/>
    <w:rsid w:val="00383870"/>
  </w:style>
  <w:style w:type="character" w:customStyle="1" w:styleId="CharAmSchText">
    <w:name w:val="CharAmSchText"/>
    <w:basedOn w:val="OPCCharBase"/>
    <w:qFormat/>
    <w:rsid w:val="00383870"/>
  </w:style>
  <w:style w:type="character" w:customStyle="1" w:styleId="CharBoldItalic">
    <w:name w:val="CharBoldItalic"/>
    <w:basedOn w:val="OPCCharBase"/>
    <w:uiPriority w:val="1"/>
    <w:qFormat/>
    <w:rsid w:val="00383870"/>
    <w:rPr>
      <w:b/>
      <w:i/>
    </w:rPr>
  </w:style>
  <w:style w:type="character" w:customStyle="1" w:styleId="CharChapNo">
    <w:name w:val="CharChapNo"/>
    <w:basedOn w:val="OPCCharBase"/>
    <w:uiPriority w:val="1"/>
    <w:qFormat/>
    <w:rsid w:val="00383870"/>
  </w:style>
  <w:style w:type="character" w:customStyle="1" w:styleId="CharChapText">
    <w:name w:val="CharChapText"/>
    <w:basedOn w:val="OPCCharBase"/>
    <w:uiPriority w:val="1"/>
    <w:qFormat/>
    <w:rsid w:val="00383870"/>
  </w:style>
  <w:style w:type="character" w:customStyle="1" w:styleId="CharDivNo">
    <w:name w:val="CharDivNo"/>
    <w:basedOn w:val="OPCCharBase"/>
    <w:uiPriority w:val="1"/>
    <w:qFormat/>
    <w:rsid w:val="00383870"/>
  </w:style>
  <w:style w:type="character" w:customStyle="1" w:styleId="CharDivText">
    <w:name w:val="CharDivText"/>
    <w:basedOn w:val="OPCCharBase"/>
    <w:uiPriority w:val="1"/>
    <w:qFormat/>
    <w:rsid w:val="00383870"/>
  </w:style>
  <w:style w:type="character" w:customStyle="1" w:styleId="CharItalic">
    <w:name w:val="CharItalic"/>
    <w:basedOn w:val="OPCCharBase"/>
    <w:uiPriority w:val="1"/>
    <w:qFormat/>
    <w:rsid w:val="00383870"/>
    <w:rPr>
      <w:i/>
    </w:rPr>
  </w:style>
  <w:style w:type="character" w:customStyle="1" w:styleId="CharPartNo">
    <w:name w:val="CharPartNo"/>
    <w:basedOn w:val="OPCCharBase"/>
    <w:uiPriority w:val="1"/>
    <w:qFormat/>
    <w:rsid w:val="00383870"/>
  </w:style>
  <w:style w:type="character" w:customStyle="1" w:styleId="CharPartText">
    <w:name w:val="CharPartText"/>
    <w:basedOn w:val="OPCCharBase"/>
    <w:uiPriority w:val="1"/>
    <w:qFormat/>
    <w:rsid w:val="00383870"/>
  </w:style>
  <w:style w:type="character" w:customStyle="1" w:styleId="CharSectno">
    <w:name w:val="CharSectno"/>
    <w:basedOn w:val="OPCCharBase"/>
    <w:uiPriority w:val="1"/>
    <w:qFormat/>
    <w:rsid w:val="00383870"/>
  </w:style>
  <w:style w:type="character" w:customStyle="1" w:styleId="CharSubdNo">
    <w:name w:val="CharSubdNo"/>
    <w:basedOn w:val="OPCCharBase"/>
    <w:uiPriority w:val="1"/>
    <w:qFormat/>
    <w:rsid w:val="00383870"/>
  </w:style>
  <w:style w:type="character" w:customStyle="1" w:styleId="CharSubdText">
    <w:name w:val="CharSubdText"/>
    <w:basedOn w:val="OPCCharBase"/>
    <w:uiPriority w:val="1"/>
    <w:qFormat/>
    <w:rsid w:val="00383870"/>
  </w:style>
  <w:style w:type="paragraph" w:customStyle="1" w:styleId="CTA--">
    <w:name w:val="CTA --"/>
    <w:basedOn w:val="OPCParaBase"/>
    <w:next w:val="Normal"/>
    <w:rsid w:val="00383870"/>
    <w:pPr>
      <w:spacing w:before="60" w:line="240" w:lineRule="atLeast"/>
      <w:ind w:left="142" w:hanging="142"/>
    </w:pPr>
    <w:rPr>
      <w:sz w:val="20"/>
    </w:rPr>
  </w:style>
  <w:style w:type="paragraph" w:customStyle="1" w:styleId="CTA-">
    <w:name w:val="CTA -"/>
    <w:basedOn w:val="OPCParaBase"/>
    <w:rsid w:val="00383870"/>
    <w:pPr>
      <w:spacing w:before="60" w:line="240" w:lineRule="atLeast"/>
      <w:ind w:left="85" w:hanging="85"/>
    </w:pPr>
    <w:rPr>
      <w:sz w:val="20"/>
    </w:rPr>
  </w:style>
  <w:style w:type="paragraph" w:customStyle="1" w:styleId="CTA---">
    <w:name w:val="CTA ---"/>
    <w:basedOn w:val="OPCParaBase"/>
    <w:next w:val="Normal"/>
    <w:rsid w:val="00383870"/>
    <w:pPr>
      <w:spacing w:before="60" w:line="240" w:lineRule="atLeast"/>
      <w:ind w:left="198" w:hanging="198"/>
    </w:pPr>
    <w:rPr>
      <w:sz w:val="20"/>
    </w:rPr>
  </w:style>
  <w:style w:type="paragraph" w:customStyle="1" w:styleId="CTA----">
    <w:name w:val="CTA ----"/>
    <w:basedOn w:val="OPCParaBase"/>
    <w:next w:val="Normal"/>
    <w:rsid w:val="00383870"/>
    <w:pPr>
      <w:spacing w:before="60" w:line="240" w:lineRule="atLeast"/>
      <w:ind w:left="255" w:hanging="255"/>
    </w:pPr>
    <w:rPr>
      <w:sz w:val="20"/>
    </w:rPr>
  </w:style>
  <w:style w:type="paragraph" w:customStyle="1" w:styleId="CTA1a">
    <w:name w:val="CTA 1(a)"/>
    <w:basedOn w:val="OPCParaBase"/>
    <w:rsid w:val="00383870"/>
    <w:pPr>
      <w:tabs>
        <w:tab w:val="right" w:pos="414"/>
      </w:tabs>
      <w:spacing w:before="40" w:line="240" w:lineRule="atLeast"/>
      <w:ind w:left="675" w:hanging="675"/>
    </w:pPr>
    <w:rPr>
      <w:sz w:val="20"/>
    </w:rPr>
  </w:style>
  <w:style w:type="paragraph" w:customStyle="1" w:styleId="CTA1ai">
    <w:name w:val="CTA 1(a)(i)"/>
    <w:basedOn w:val="OPCParaBase"/>
    <w:rsid w:val="00383870"/>
    <w:pPr>
      <w:tabs>
        <w:tab w:val="right" w:pos="1004"/>
      </w:tabs>
      <w:spacing w:before="40" w:line="240" w:lineRule="atLeast"/>
      <w:ind w:left="1253" w:hanging="1253"/>
    </w:pPr>
    <w:rPr>
      <w:sz w:val="20"/>
    </w:rPr>
  </w:style>
  <w:style w:type="paragraph" w:customStyle="1" w:styleId="CTA2a">
    <w:name w:val="CTA 2(a)"/>
    <w:basedOn w:val="OPCParaBase"/>
    <w:rsid w:val="00383870"/>
    <w:pPr>
      <w:tabs>
        <w:tab w:val="right" w:pos="482"/>
      </w:tabs>
      <w:spacing w:before="40" w:line="240" w:lineRule="atLeast"/>
      <w:ind w:left="748" w:hanging="748"/>
    </w:pPr>
    <w:rPr>
      <w:sz w:val="20"/>
    </w:rPr>
  </w:style>
  <w:style w:type="paragraph" w:customStyle="1" w:styleId="CTA2ai">
    <w:name w:val="CTA 2(a)(i)"/>
    <w:basedOn w:val="OPCParaBase"/>
    <w:rsid w:val="00383870"/>
    <w:pPr>
      <w:tabs>
        <w:tab w:val="right" w:pos="1089"/>
      </w:tabs>
      <w:spacing w:before="40" w:line="240" w:lineRule="atLeast"/>
      <w:ind w:left="1327" w:hanging="1327"/>
    </w:pPr>
    <w:rPr>
      <w:sz w:val="20"/>
    </w:rPr>
  </w:style>
  <w:style w:type="paragraph" w:customStyle="1" w:styleId="CTA3a">
    <w:name w:val="CTA 3(a)"/>
    <w:basedOn w:val="OPCParaBase"/>
    <w:rsid w:val="00383870"/>
    <w:pPr>
      <w:tabs>
        <w:tab w:val="right" w:pos="556"/>
      </w:tabs>
      <w:spacing w:before="40" w:line="240" w:lineRule="atLeast"/>
      <w:ind w:left="805" w:hanging="805"/>
    </w:pPr>
    <w:rPr>
      <w:sz w:val="20"/>
    </w:rPr>
  </w:style>
  <w:style w:type="paragraph" w:customStyle="1" w:styleId="CTA3ai">
    <w:name w:val="CTA 3(a)(i)"/>
    <w:basedOn w:val="OPCParaBase"/>
    <w:rsid w:val="00383870"/>
    <w:pPr>
      <w:tabs>
        <w:tab w:val="right" w:pos="1140"/>
      </w:tabs>
      <w:spacing w:before="40" w:line="240" w:lineRule="atLeast"/>
      <w:ind w:left="1361" w:hanging="1361"/>
    </w:pPr>
    <w:rPr>
      <w:sz w:val="20"/>
    </w:rPr>
  </w:style>
  <w:style w:type="paragraph" w:customStyle="1" w:styleId="CTA4a">
    <w:name w:val="CTA 4(a)"/>
    <w:basedOn w:val="OPCParaBase"/>
    <w:rsid w:val="00383870"/>
    <w:pPr>
      <w:tabs>
        <w:tab w:val="right" w:pos="624"/>
      </w:tabs>
      <w:spacing w:before="40" w:line="240" w:lineRule="atLeast"/>
      <w:ind w:left="873" w:hanging="873"/>
    </w:pPr>
    <w:rPr>
      <w:sz w:val="20"/>
    </w:rPr>
  </w:style>
  <w:style w:type="paragraph" w:customStyle="1" w:styleId="CTA4ai">
    <w:name w:val="CTA 4(a)(i)"/>
    <w:basedOn w:val="OPCParaBase"/>
    <w:rsid w:val="00383870"/>
    <w:pPr>
      <w:tabs>
        <w:tab w:val="right" w:pos="1213"/>
      </w:tabs>
      <w:spacing w:before="40" w:line="240" w:lineRule="atLeast"/>
      <w:ind w:left="1452" w:hanging="1452"/>
    </w:pPr>
    <w:rPr>
      <w:sz w:val="20"/>
    </w:rPr>
  </w:style>
  <w:style w:type="paragraph" w:customStyle="1" w:styleId="CTACAPS">
    <w:name w:val="CTA CAPS"/>
    <w:basedOn w:val="OPCParaBase"/>
    <w:rsid w:val="00383870"/>
    <w:pPr>
      <w:spacing w:before="60" w:line="240" w:lineRule="atLeast"/>
    </w:pPr>
    <w:rPr>
      <w:sz w:val="20"/>
    </w:rPr>
  </w:style>
  <w:style w:type="paragraph" w:customStyle="1" w:styleId="CTAright">
    <w:name w:val="CTA right"/>
    <w:basedOn w:val="OPCParaBase"/>
    <w:rsid w:val="00383870"/>
    <w:pPr>
      <w:spacing w:before="60" w:line="240" w:lineRule="auto"/>
      <w:jc w:val="right"/>
    </w:pPr>
    <w:rPr>
      <w:sz w:val="20"/>
    </w:rPr>
  </w:style>
  <w:style w:type="paragraph" w:customStyle="1" w:styleId="subsection">
    <w:name w:val="subsection"/>
    <w:aliases w:val="ss"/>
    <w:basedOn w:val="OPCParaBase"/>
    <w:rsid w:val="00383870"/>
    <w:pPr>
      <w:tabs>
        <w:tab w:val="right" w:pos="1021"/>
      </w:tabs>
      <w:spacing w:before="180" w:line="240" w:lineRule="auto"/>
      <w:ind w:left="1134" w:hanging="1134"/>
    </w:pPr>
  </w:style>
  <w:style w:type="paragraph" w:customStyle="1" w:styleId="Definition">
    <w:name w:val="Definition"/>
    <w:aliases w:val="dd"/>
    <w:basedOn w:val="OPCParaBase"/>
    <w:rsid w:val="00383870"/>
    <w:pPr>
      <w:spacing w:before="180" w:line="240" w:lineRule="auto"/>
      <w:ind w:left="1134"/>
    </w:pPr>
  </w:style>
  <w:style w:type="paragraph" w:customStyle="1" w:styleId="ETAsubitem">
    <w:name w:val="ETA(subitem)"/>
    <w:basedOn w:val="OPCParaBase"/>
    <w:rsid w:val="00383870"/>
    <w:pPr>
      <w:tabs>
        <w:tab w:val="right" w:pos="340"/>
      </w:tabs>
      <w:spacing w:before="60" w:line="240" w:lineRule="auto"/>
      <w:ind w:left="454" w:hanging="454"/>
    </w:pPr>
    <w:rPr>
      <w:sz w:val="20"/>
    </w:rPr>
  </w:style>
  <w:style w:type="paragraph" w:customStyle="1" w:styleId="ETApara">
    <w:name w:val="ETA(para)"/>
    <w:basedOn w:val="OPCParaBase"/>
    <w:rsid w:val="00383870"/>
    <w:pPr>
      <w:tabs>
        <w:tab w:val="right" w:pos="754"/>
      </w:tabs>
      <w:spacing w:before="60" w:line="240" w:lineRule="auto"/>
      <w:ind w:left="828" w:hanging="828"/>
    </w:pPr>
    <w:rPr>
      <w:sz w:val="20"/>
    </w:rPr>
  </w:style>
  <w:style w:type="paragraph" w:customStyle="1" w:styleId="ETAsubpara">
    <w:name w:val="ETA(subpara)"/>
    <w:basedOn w:val="OPCParaBase"/>
    <w:rsid w:val="00383870"/>
    <w:pPr>
      <w:tabs>
        <w:tab w:val="right" w:pos="1083"/>
      </w:tabs>
      <w:spacing w:before="60" w:line="240" w:lineRule="auto"/>
      <w:ind w:left="1191" w:hanging="1191"/>
    </w:pPr>
    <w:rPr>
      <w:sz w:val="20"/>
    </w:rPr>
  </w:style>
  <w:style w:type="paragraph" w:customStyle="1" w:styleId="ETAsub-subpara">
    <w:name w:val="ETA(sub-subpara)"/>
    <w:basedOn w:val="OPCParaBase"/>
    <w:rsid w:val="00383870"/>
    <w:pPr>
      <w:tabs>
        <w:tab w:val="right" w:pos="1412"/>
      </w:tabs>
      <w:spacing w:before="60" w:line="240" w:lineRule="auto"/>
      <w:ind w:left="1525" w:hanging="1525"/>
    </w:pPr>
    <w:rPr>
      <w:sz w:val="20"/>
    </w:rPr>
  </w:style>
  <w:style w:type="paragraph" w:customStyle="1" w:styleId="Formula">
    <w:name w:val="Formula"/>
    <w:basedOn w:val="OPCParaBase"/>
    <w:rsid w:val="00383870"/>
    <w:pPr>
      <w:spacing w:line="240" w:lineRule="auto"/>
      <w:ind w:left="1134"/>
    </w:pPr>
    <w:rPr>
      <w:sz w:val="20"/>
    </w:rPr>
  </w:style>
  <w:style w:type="paragraph" w:styleId="Header">
    <w:name w:val="header"/>
    <w:basedOn w:val="OPCParaBase"/>
    <w:link w:val="HeaderChar"/>
    <w:unhideWhenUsed/>
    <w:rsid w:val="0038387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83870"/>
    <w:rPr>
      <w:rFonts w:eastAsia="Times New Roman" w:cs="Times New Roman"/>
      <w:sz w:val="16"/>
      <w:lang w:eastAsia="en-AU"/>
    </w:rPr>
  </w:style>
  <w:style w:type="paragraph" w:customStyle="1" w:styleId="House">
    <w:name w:val="House"/>
    <w:basedOn w:val="OPCParaBase"/>
    <w:rsid w:val="00383870"/>
    <w:pPr>
      <w:spacing w:line="240" w:lineRule="auto"/>
    </w:pPr>
    <w:rPr>
      <w:sz w:val="28"/>
    </w:rPr>
  </w:style>
  <w:style w:type="paragraph" w:customStyle="1" w:styleId="Item">
    <w:name w:val="Item"/>
    <w:aliases w:val="i"/>
    <w:basedOn w:val="OPCParaBase"/>
    <w:next w:val="ItemHead"/>
    <w:rsid w:val="00383870"/>
    <w:pPr>
      <w:keepLines/>
      <w:spacing w:before="80" w:line="240" w:lineRule="auto"/>
      <w:ind w:left="709"/>
    </w:pPr>
  </w:style>
  <w:style w:type="paragraph" w:customStyle="1" w:styleId="ItemHead">
    <w:name w:val="ItemHead"/>
    <w:aliases w:val="ih"/>
    <w:basedOn w:val="OPCParaBase"/>
    <w:next w:val="Item"/>
    <w:link w:val="ItemHeadChar"/>
    <w:rsid w:val="0038387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83870"/>
    <w:pPr>
      <w:spacing w:line="240" w:lineRule="auto"/>
    </w:pPr>
    <w:rPr>
      <w:b/>
      <w:sz w:val="32"/>
    </w:rPr>
  </w:style>
  <w:style w:type="paragraph" w:customStyle="1" w:styleId="notedraft">
    <w:name w:val="note(draft)"/>
    <w:aliases w:val="nd"/>
    <w:basedOn w:val="OPCParaBase"/>
    <w:rsid w:val="00383870"/>
    <w:pPr>
      <w:spacing w:before="240" w:line="240" w:lineRule="auto"/>
      <w:ind w:left="284" w:hanging="284"/>
    </w:pPr>
    <w:rPr>
      <w:i/>
      <w:sz w:val="24"/>
    </w:rPr>
  </w:style>
  <w:style w:type="paragraph" w:customStyle="1" w:styleId="notemargin">
    <w:name w:val="note(margin)"/>
    <w:aliases w:val="nm"/>
    <w:basedOn w:val="OPCParaBase"/>
    <w:rsid w:val="00383870"/>
    <w:pPr>
      <w:tabs>
        <w:tab w:val="left" w:pos="709"/>
      </w:tabs>
      <w:spacing w:before="122" w:line="198" w:lineRule="exact"/>
      <w:ind w:left="709" w:hanging="709"/>
    </w:pPr>
    <w:rPr>
      <w:sz w:val="18"/>
    </w:rPr>
  </w:style>
  <w:style w:type="paragraph" w:customStyle="1" w:styleId="noteToPara">
    <w:name w:val="noteToPara"/>
    <w:aliases w:val="ntp"/>
    <w:basedOn w:val="OPCParaBase"/>
    <w:rsid w:val="00383870"/>
    <w:pPr>
      <w:spacing w:before="122" w:line="198" w:lineRule="exact"/>
      <w:ind w:left="2353" w:hanging="709"/>
    </w:pPr>
    <w:rPr>
      <w:sz w:val="18"/>
    </w:rPr>
  </w:style>
  <w:style w:type="paragraph" w:customStyle="1" w:styleId="noteParlAmend">
    <w:name w:val="note(ParlAmend)"/>
    <w:aliases w:val="npp"/>
    <w:basedOn w:val="OPCParaBase"/>
    <w:next w:val="ParlAmend"/>
    <w:rsid w:val="00383870"/>
    <w:pPr>
      <w:spacing w:line="240" w:lineRule="auto"/>
      <w:jc w:val="right"/>
    </w:pPr>
    <w:rPr>
      <w:rFonts w:ascii="Arial" w:hAnsi="Arial"/>
      <w:b/>
      <w:i/>
    </w:rPr>
  </w:style>
  <w:style w:type="paragraph" w:customStyle="1" w:styleId="Page1">
    <w:name w:val="Page1"/>
    <w:basedOn w:val="OPCParaBase"/>
    <w:rsid w:val="00383870"/>
    <w:pPr>
      <w:spacing w:before="400" w:line="240" w:lineRule="auto"/>
    </w:pPr>
    <w:rPr>
      <w:b/>
      <w:sz w:val="32"/>
    </w:rPr>
  </w:style>
  <w:style w:type="paragraph" w:customStyle="1" w:styleId="PageBreak">
    <w:name w:val="PageBreak"/>
    <w:aliases w:val="pb"/>
    <w:basedOn w:val="OPCParaBase"/>
    <w:rsid w:val="00383870"/>
    <w:pPr>
      <w:spacing w:line="240" w:lineRule="auto"/>
    </w:pPr>
    <w:rPr>
      <w:sz w:val="20"/>
    </w:rPr>
  </w:style>
  <w:style w:type="paragraph" w:customStyle="1" w:styleId="paragraphsub">
    <w:name w:val="paragraph(sub)"/>
    <w:aliases w:val="aa"/>
    <w:basedOn w:val="OPCParaBase"/>
    <w:rsid w:val="00383870"/>
    <w:pPr>
      <w:tabs>
        <w:tab w:val="right" w:pos="1985"/>
      </w:tabs>
      <w:spacing w:before="40" w:line="240" w:lineRule="auto"/>
      <w:ind w:left="2098" w:hanging="2098"/>
    </w:pPr>
  </w:style>
  <w:style w:type="paragraph" w:customStyle="1" w:styleId="paragraphsub-sub">
    <w:name w:val="paragraph(sub-sub)"/>
    <w:aliases w:val="aaa"/>
    <w:basedOn w:val="OPCParaBase"/>
    <w:rsid w:val="00383870"/>
    <w:pPr>
      <w:tabs>
        <w:tab w:val="right" w:pos="2722"/>
      </w:tabs>
      <w:spacing w:before="40" w:line="240" w:lineRule="auto"/>
      <w:ind w:left="2835" w:hanging="2835"/>
    </w:pPr>
  </w:style>
  <w:style w:type="paragraph" w:customStyle="1" w:styleId="paragraph">
    <w:name w:val="paragraph"/>
    <w:aliases w:val="a"/>
    <w:basedOn w:val="OPCParaBase"/>
    <w:rsid w:val="00383870"/>
    <w:pPr>
      <w:tabs>
        <w:tab w:val="right" w:pos="1531"/>
      </w:tabs>
      <w:spacing w:before="40" w:line="240" w:lineRule="auto"/>
      <w:ind w:left="1644" w:hanging="1644"/>
    </w:pPr>
  </w:style>
  <w:style w:type="paragraph" w:customStyle="1" w:styleId="ParlAmend">
    <w:name w:val="ParlAmend"/>
    <w:aliases w:val="pp"/>
    <w:basedOn w:val="OPCParaBase"/>
    <w:rsid w:val="00383870"/>
    <w:pPr>
      <w:spacing w:before="240" w:line="240" w:lineRule="atLeast"/>
      <w:ind w:hanging="567"/>
    </w:pPr>
    <w:rPr>
      <w:sz w:val="24"/>
    </w:rPr>
  </w:style>
  <w:style w:type="paragraph" w:customStyle="1" w:styleId="Penalty">
    <w:name w:val="Penalty"/>
    <w:basedOn w:val="OPCParaBase"/>
    <w:rsid w:val="00383870"/>
    <w:pPr>
      <w:tabs>
        <w:tab w:val="left" w:pos="2977"/>
      </w:tabs>
      <w:spacing w:before="180" w:line="240" w:lineRule="auto"/>
      <w:ind w:left="1985" w:hanging="851"/>
    </w:pPr>
  </w:style>
  <w:style w:type="paragraph" w:customStyle="1" w:styleId="Portfolio">
    <w:name w:val="Portfolio"/>
    <w:basedOn w:val="OPCParaBase"/>
    <w:rsid w:val="00383870"/>
    <w:pPr>
      <w:spacing w:line="240" w:lineRule="auto"/>
    </w:pPr>
    <w:rPr>
      <w:i/>
      <w:sz w:val="20"/>
    </w:rPr>
  </w:style>
  <w:style w:type="paragraph" w:customStyle="1" w:styleId="Preamble">
    <w:name w:val="Preamble"/>
    <w:basedOn w:val="OPCParaBase"/>
    <w:next w:val="Normal"/>
    <w:rsid w:val="0038387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83870"/>
    <w:pPr>
      <w:spacing w:line="240" w:lineRule="auto"/>
    </w:pPr>
    <w:rPr>
      <w:i/>
      <w:sz w:val="20"/>
    </w:rPr>
  </w:style>
  <w:style w:type="paragraph" w:customStyle="1" w:styleId="Session">
    <w:name w:val="Session"/>
    <w:basedOn w:val="OPCParaBase"/>
    <w:rsid w:val="00383870"/>
    <w:pPr>
      <w:spacing w:line="240" w:lineRule="auto"/>
    </w:pPr>
    <w:rPr>
      <w:sz w:val="28"/>
    </w:rPr>
  </w:style>
  <w:style w:type="paragraph" w:customStyle="1" w:styleId="Sponsor">
    <w:name w:val="Sponsor"/>
    <w:basedOn w:val="OPCParaBase"/>
    <w:rsid w:val="00383870"/>
    <w:pPr>
      <w:spacing w:line="240" w:lineRule="auto"/>
    </w:pPr>
    <w:rPr>
      <w:i/>
    </w:rPr>
  </w:style>
  <w:style w:type="paragraph" w:customStyle="1" w:styleId="Subitem">
    <w:name w:val="Subitem"/>
    <w:aliases w:val="iss"/>
    <w:basedOn w:val="OPCParaBase"/>
    <w:rsid w:val="00383870"/>
    <w:pPr>
      <w:spacing w:before="180" w:line="240" w:lineRule="auto"/>
      <w:ind w:left="709" w:hanging="709"/>
    </w:pPr>
  </w:style>
  <w:style w:type="paragraph" w:customStyle="1" w:styleId="SubitemHead">
    <w:name w:val="SubitemHead"/>
    <w:aliases w:val="issh"/>
    <w:basedOn w:val="OPCParaBase"/>
    <w:rsid w:val="0038387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83870"/>
    <w:pPr>
      <w:spacing w:before="40" w:line="240" w:lineRule="auto"/>
      <w:ind w:left="1134"/>
    </w:pPr>
  </w:style>
  <w:style w:type="paragraph" w:customStyle="1" w:styleId="SubsectionHead">
    <w:name w:val="SubsectionHead"/>
    <w:aliases w:val="ssh"/>
    <w:basedOn w:val="OPCParaBase"/>
    <w:next w:val="subsection"/>
    <w:rsid w:val="00383870"/>
    <w:pPr>
      <w:keepNext/>
      <w:keepLines/>
      <w:spacing w:before="240" w:line="240" w:lineRule="auto"/>
      <w:ind w:left="1134"/>
    </w:pPr>
    <w:rPr>
      <w:i/>
    </w:rPr>
  </w:style>
  <w:style w:type="paragraph" w:customStyle="1" w:styleId="Tablea">
    <w:name w:val="Table(a)"/>
    <w:aliases w:val="ta"/>
    <w:basedOn w:val="OPCParaBase"/>
    <w:rsid w:val="00383870"/>
    <w:pPr>
      <w:spacing w:before="60" w:line="240" w:lineRule="auto"/>
      <w:ind w:left="284" w:hanging="284"/>
    </w:pPr>
    <w:rPr>
      <w:sz w:val="20"/>
    </w:rPr>
  </w:style>
  <w:style w:type="paragraph" w:customStyle="1" w:styleId="TableAA">
    <w:name w:val="Table(AA)"/>
    <w:aliases w:val="taaa"/>
    <w:basedOn w:val="OPCParaBase"/>
    <w:rsid w:val="0038387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8387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83870"/>
    <w:pPr>
      <w:spacing w:before="60" w:line="240" w:lineRule="atLeast"/>
    </w:pPr>
    <w:rPr>
      <w:sz w:val="20"/>
    </w:rPr>
  </w:style>
  <w:style w:type="paragraph" w:customStyle="1" w:styleId="TLPBoxTextnote">
    <w:name w:val="TLPBoxText(note"/>
    <w:aliases w:val="right)"/>
    <w:basedOn w:val="OPCParaBase"/>
    <w:rsid w:val="0038387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8387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83870"/>
    <w:pPr>
      <w:spacing w:before="122" w:line="198" w:lineRule="exact"/>
      <w:ind w:left="1985" w:hanging="851"/>
      <w:jc w:val="right"/>
    </w:pPr>
    <w:rPr>
      <w:sz w:val="18"/>
    </w:rPr>
  </w:style>
  <w:style w:type="paragraph" w:customStyle="1" w:styleId="TLPTableBullet">
    <w:name w:val="TLPTableBullet"/>
    <w:aliases w:val="ttb"/>
    <w:basedOn w:val="OPCParaBase"/>
    <w:rsid w:val="00383870"/>
    <w:pPr>
      <w:spacing w:line="240" w:lineRule="exact"/>
      <w:ind w:left="284" w:hanging="284"/>
    </w:pPr>
    <w:rPr>
      <w:sz w:val="20"/>
    </w:rPr>
  </w:style>
  <w:style w:type="paragraph" w:styleId="TOC1">
    <w:name w:val="toc 1"/>
    <w:basedOn w:val="OPCParaBase"/>
    <w:next w:val="Normal"/>
    <w:uiPriority w:val="39"/>
    <w:semiHidden/>
    <w:unhideWhenUsed/>
    <w:rsid w:val="0038387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8387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8387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8387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83870"/>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38387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8387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8387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8387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83870"/>
    <w:pPr>
      <w:keepLines/>
      <w:spacing w:before="240" w:after="120" w:line="240" w:lineRule="auto"/>
      <w:ind w:left="794"/>
    </w:pPr>
    <w:rPr>
      <w:b/>
      <w:kern w:val="28"/>
      <w:sz w:val="20"/>
    </w:rPr>
  </w:style>
  <w:style w:type="paragraph" w:customStyle="1" w:styleId="TofSectsHeading">
    <w:name w:val="TofSects(Heading)"/>
    <w:basedOn w:val="OPCParaBase"/>
    <w:rsid w:val="00383870"/>
    <w:pPr>
      <w:spacing w:before="240" w:after="120" w:line="240" w:lineRule="auto"/>
    </w:pPr>
    <w:rPr>
      <w:b/>
      <w:sz w:val="24"/>
    </w:rPr>
  </w:style>
  <w:style w:type="paragraph" w:customStyle="1" w:styleId="TofSectsSection">
    <w:name w:val="TofSects(Section)"/>
    <w:basedOn w:val="OPCParaBase"/>
    <w:rsid w:val="00383870"/>
    <w:pPr>
      <w:keepLines/>
      <w:spacing w:before="40" w:line="240" w:lineRule="auto"/>
      <w:ind w:left="1588" w:hanging="794"/>
    </w:pPr>
    <w:rPr>
      <w:kern w:val="28"/>
      <w:sz w:val="18"/>
    </w:rPr>
  </w:style>
  <w:style w:type="paragraph" w:customStyle="1" w:styleId="TofSectsSubdiv">
    <w:name w:val="TofSects(Subdiv)"/>
    <w:basedOn w:val="OPCParaBase"/>
    <w:rsid w:val="00383870"/>
    <w:pPr>
      <w:keepLines/>
      <w:spacing w:before="80" w:line="240" w:lineRule="auto"/>
      <w:ind w:left="1588" w:hanging="794"/>
    </w:pPr>
    <w:rPr>
      <w:kern w:val="28"/>
    </w:rPr>
  </w:style>
  <w:style w:type="paragraph" w:customStyle="1" w:styleId="WRStyle">
    <w:name w:val="WR Style"/>
    <w:aliases w:val="WR"/>
    <w:basedOn w:val="OPCParaBase"/>
    <w:rsid w:val="00383870"/>
    <w:pPr>
      <w:spacing w:before="240" w:line="240" w:lineRule="auto"/>
      <w:ind w:left="284" w:hanging="284"/>
    </w:pPr>
    <w:rPr>
      <w:b/>
      <w:i/>
      <w:kern w:val="28"/>
      <w:sz w:val="24"/>
    </w:rPr>
  </w:style>
  <w:style w:type="paragraph" w:customStyle="1" w:styleId="notepara">
    <w:name w:val="note(para)"/>
    <w:aliases w:val="na"/>
    <w:basedOn w:val="OPCParaBase"/>
    <w:rsid w:val="00383870"/>
    <w:pPr>
      <w:spacing w:before="40" w:line="198" w:lineRule="exact"/>
      <w:ind w:left="2354" w:hanging="369"/>
    </w:pPr>
    <w:rPr>
      <w:sz w:val="18"/>
    </w:rPr>
  </w:style>
  <w:style w:type="paragraph" w:styleId="Footer">
    <w:name w:val="footer"/>
    <w:link w:val="FooterChar"/>
    <w:rsid w:val="0038387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83870"/>
    <w:rPr>
      <w:rFonts w:eastAsia="Times New Roman" w:cs="Times New Roman"/>
      <w:sz w:val="22"/>
      <w:szCs w:val="24"/>
      <w:lang w:eastAsia="en-AU"/>
    </w:rPr>
  </w:style>
  <w:style w:type="character" w:styleId="LineNumber">
    <w:name w:val="line number"/>
    <w:basedOn w:val="OPCCharBase"/>
    <w:uiPriority w:val="99"/>
    <w:semiHidden/>
    <w:unhideWhenUsed/>
    <w:rsid w:val="00383870"/>
    <w:rPr>
      <w:sz w:val="16"/>
    </w:rPr>
  </w:style>
  <w:style w:type="table" w:customStyle="1" w:styleId="CFlag">
    <w:name w:val="CFlag"/>
    <w:basedOn w:val="TableNormal"/>
    <w:uiPriority w:val="99"/>
    <w:rsid w:val="00383870"/>
    <w:rPr>
      <w:rFonts w:eastAsia="Times New Roman" w:cs="Times New Roman"/>
      <w:lang w:eastAsia="en-AU"/>
    </w:rPr>
    <w:tblPr/>
  </w:style>
  <w:style w:type="paragraph" w:customStyle="1" w:styleId="NotesHeading1">
    <w:name w:val="NotesHeading 1"/>
    <w:basedOn w:val="OPCParaBase"/>
    <w:next w:val="Normal"/>
    <w:rsid w:val="00383870"/>
    <w:rPr>
      <w:b/>
      <w:sz w:val="28"/>
      <w:szCs w:val="28"/>
    </w:rPr>
  </w:style>
  <w:style w:type="paragraph" w:customStyle="1" w:styleId="NotesHeading2">
    <w:name w:val="NotesHeading 2"/>
    <w:basedOn w:val="OPCParaBase"/>
    <w:next w:val="Normal"/>
    <w:rsid w:val="00383870"/>
    <w:rPr>
      <w:b/>
      <w:sz w:val="28"/>
      <w:szCs w:val="28"/>
    </w:rPr>
  </w:style>
  <w:style w:type="paragraph" w:customStyle="1" w:styleId="SignCoverPageEnd">
    <w:name w:val="SignCoverPageEnd"/>
    <w:basedOn w:val="OPCParaBase"/>
    <w:next w:val="Normal"/>
    <w:rsid w:val="0038387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83870"/>
    <w:pPr>
      <w:pBdr>
        <w:top w:val="single" w:sz="4" w:space="1" w:color="auto"/>
      </w:pBdr>
      <w:spacing w:before="360"/>
      <w:ind w:right="397"/>
      <w:jc w:val="both"/>
    </w:pPr>
  </w:style>
  <w:style w:type="paragraph" w:customStyle="1" w:styleId="Paragraphsub-sub-sub">
    <w:name w:val="Paragraph(sub-sub-sub)"/>
    <w:aliases w:val="aaaa"/>
    <w:basedOn w:val="OPCParaBase"/>
    <w:rsid w:val="0038387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8387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8387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8387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8387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83870"/>
    <w:pPr>
      <w:spacing w:before="120"/>
    </w:pPr>
  </w:style>
  <w:style w:type="paragraph" w:customStyle="1" w:styleId="TableTextEndNotes">
    <w:name w:val="TableTextEndNotes"/>
    <w:aliases w:val="Tten"/>
    <w:basedOn w:val="Normal"/>
    <w:rsid w:val="00383870"/>
    <w:pPr>
      <w:spacing w:before="60" w:line="240" w:lineRule="auto"/>
    </w:pPr>
    <w:rPr>
      <w:rFonts w:cs="Arial"/>
      <w:sz w:val="20"/>
      <w:szCs w:val="22"/>
    </w:rPr>
  </w:style>
  <w:style w:type="paragraph" w:customStyle="1" w:styleId="TableHeading">
    <w:name w:val="TableHeading"/>
    <w:aliases w:val="th"/>
    <w:basedOn w:val="OPCParaBase"/>
    <w:next w:val="Tabletext"/>
    <w:rsid w:val="00383870"/>
    <w:pPr>
      <w:keepNext/>
      <w:spacing w:before="60" w:line="240" w:lineRule="atLeast"/>
    </w:pPr>
    <w:rPr>
      <w:b/>
      <w:sz w:val="20"/>
    </w:rPr>
  </w:style>
  <w:style w:type="paragraph" w:customStyle="1" w:styleId="NoteToSubpara">
    <w:name w:val="NoteToSubpara"/>
    <w:aliases w:val="nts"/>
    <w:basedOn w:val="OPCParaBase"/>
    <w:rsid w:val="00383870"/>
    <w:pPr>
      <w:spacing w:before="40" w:line="198" w:lineRule="exact"/>
      <w:ind w:left="2835" w:hanging="709"/>
    </w:pPr>
    <w:rPr>
      <w:sz w:val="18"/>
    </w:rPr>
  </w:style>
  <w:style w:type="paragraph" w:customStyle="1" w:styleId="ENoteTableHeading">
    <w:name w:val="ENoteTableHeading"/>
    <w:aliases w:val="enth"/>
    <w:basedOn w:val="OPCParaBase"/>
    <w:rsid w:val="00383870"/>
    <w:pPr>
      <w:keepNext/>
      <w:spacing w:before="60" w:line="240" w:lineRule="atLeast"/>
    </w:pPr>
    <w:rPr>
      <w:rFonts w:ascii="Arial" w:hAnsi="Arial"/>
      <w:b/>
      <w:sz w:val="16"/>
    </w:rPr>
  </w:style>
  <w:style w:type="paragraph" w:customStyle="1" w:styleId="ENoteTTi">
    <w:name w:val="ENoteTTi"/>
    <w:aliases w:val="entti"/>
    <w:basedOn w:val="OPCParaBase"/>
    <w:rsid w:val="00383870"/>
    <w:pPr>
      <w:keepNext/>
      <w:spacing w:before="60" w:line="240" w:lineRule="atLeast"/>
      <w:ind w:left="170"/>
    </w:pPr>
    <w:rPr>
      <w:sz w:val="16"/>
    </w:rPr>
  </w:style>
  <w:style w:type="paragraph" w:customStyle="1" w:styleId="ENotesHeading1">
    <w:name w:val="ENotesHeading 1"/>
    <w:aliases w:val="Enh1"/>
    <w:basedOn w:val="OPCParaBase"/>
    <w:next w:val="Normal"/>
    <w:rsid w:val="00383870"/>
    <w:pPr>
      <w:spacing w:before="120"/>
      <w:outlineLvl w:val="1"/>
    </w:pPr>
    <w:rPr>
      <w:b/>
      <w:sz w:val="28"/>
      <w:szCs w:val="28"/>
    </w:rPr>
  </w:style>
  <w:style w:type="paragraph" w:customStyle="1" w:styleId="ENotesHeading2">
    <w:name w:val="ENotesHeading 2"/>
    <w:aliases w:val="Enh2"/>
    <w:basedOn w:val="OPCParaBase"/>
    <w:next w:val="Normal"/>
    <w:rsid w:val="00383870"/>
    <w:pPr>
      <w:spacing w:before="120" w:after="120"/>
      <w:outlineLvl w:val="2"/>
    </w:pPr>
    <w:rPr>
      <w:b/>
      <w:sz w:val="24"/>
      <w:szCs w:val="28"/>
    </w:rPr>
  </w:style>
  <w:style w:type="paragraph" w:customStyle="1" w:styleId="ENoteTTIndentHeading">
    <w:name w:val="ENoteTTIndentHeading"/>
    <w:aliases w:val="enTTHi"/>
    <w:basedOn w:val="OPCParaBase"/>
    <w:rsid w:val="0038387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83870"/>
    <w:pPr>
      <w:spacing w:before="60" w:line="240" w:lineRule="atLeast"/>
    </w:pPr>
    <w:rPr>
      <w:sz w:val="16"/>
    </w:rPr>
  </w:style>
  <w:style w:type="paragraph" w:customStyle="1" w:styleId="MadeunderText">
    <w:name w:val="MadeunderText"/>
    <w:basedOn w:val="OPCParaBase"/>
    <w:next w:val="Normal"/>
    <w:rsid w:val="00383870"/>
    <w:pPr>
      <w:spacing w:before="240"/>
    </w:pPr>
    <w:rPr>
      <w:sz w:val="24"/>
      <w:szCs w:val="24"/>
    </w:rPr>
  </w:style>
  <w:style w:type="paragraph" w:customStyle="1" w:styleId="ENotesHeading3">
    <w:name w:val="ENotesHeading 3"/>
    <w:aliases w:val="Enh3"/>
    <w:basedOn w:val="OPCParaBase"/>
    <w:next w:val="Normal"/>
    <w:rsid w:val="00383870"/>
    <w:pPr>
      <w:keepNext/>
      <w:spacing w:before="120" w:line="240" w:lineRule="auto"/>
      <w:outlineLvl w:val="4"/>
    </w:pPr>
    <w:rPr>
      <w:b/>
      <w:szCs w:val="24"/>
    </w:rPr>
  </w:style>
  <w:style w:type="paragraph" w:customStyle="1" w:styleId="SubPartCASA">
    <w:name w:val="SubPart(CASA)"/>
    <w:aliases w:val="csp"/>
    <w:basedOn w:val="OPCParaBase"/>
    <w:next w:val="ActHead3"/>
    <w:rsid w:val="00383870"/>
    <w:pPr>
      <w:keepNext/>
      <w:keepLines/>
      <w:spacing w:before="280"/>
      <w:outlineLvl w:val="1"/>
    </w:pPr>
    <w:rPr>
      <w:b/>
      <w:kern w:val="28"/>
      <w:sz w:val="32"/>
    </w:rPr>
  </w:style>
  <w:style w:type="character" w:customStyle="1" w:styleId="CharSubPartTextCASA">
    <w:name w:val="CharSubPartText(CASA)"/>
    <w:basedOn w:val="OPCCharBase"/>
    <w:uiPriority w:val="1"/>
    <w:rsid w:val="00383870"/>
  </w:style>
  <w:style w:type="character" w:customStyle="1" w:styleId="CharSubPartNoCASA">
    <w:name w:val="CharSubPartNo(CASA)"/>
    <w:basedOn w:val="OPCCharBase"/>
    <w:uiPriority w:val="1"/>
    <w:rsid w:val="00383870"/>
  </w:style>
  <w:style w:type="paragraph" w:customStyle="1" w:styleId="ENoteTTIndentHeadingSub">
    <w:name w:val="ENoteTTIndentHeadingSub"/>
    <w:aliases w:val="enTTHis"/>
    <w:basedOn w:val="OPCParaBase"/>
    <w:rsid w:val="00383870"/>
    <w:pPr>
      <w:keepNext/>
      <w:spacing w:before="60" w:line="240" w:lineRule="atLeast"/>
      <w:ind w:left="340"/>
    </w:pPr>
    <w:rPr>
      <w:b/>
      <w:sz w:val="16"/>
    </w:rPr>
  </w:style>
  <w:style w:type="paragraph" w:customStyle="1" w:styleId="ENoteTTiSub">
    <w:name w:val="ENoteTTiSub"/>
    <w:aliases w:val="enttis"/>
    <w:basedOn w:val="OPCParaBase"/>
    <w:rsid w:val="00383870"/>
    <w:pPr>
      <w:keepNext/>
      <w:spacing w:before="60" w:line="240" w:lineRule="atLeast"/>
      <w:ind w:left="340"/>
    </w:pPr>
    <w:rPr>
      <w:sz w:val="16"/>
    </w:rPr>
  </w:style>
  <w:style w:type="paragraph" w:customStyle="1" w:styleId="SubDivisionMigration">
    <w:name w:val="SubDivisionMigration"/>
    <w:aliases w:val="sdm"/>
    <w:basedOn w:val="OPCParaBase"/>
    <w:rsid w:val="0038387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83870"/>
    <w:pPr>
      <w:keepNext/>
      <w:keepLines/>
      <w:spacing w:before="240" w:line="240" w:lineRule="auto"/>
      <w:ind w:left="1134" w:hanging="1134"/>
    </w:pPr>
    <w:rPr>
      <w:b/>
      <w:sz w:val="28"/>
    </w:rPr>
  </w:style>
  <w:style w:type="table" w:styleId="TableGrid">
    <w:name w:val="Table Grid"/>
    <w:basedOn w:val="TableNormal"/>
    <w:uiPriority w:val="59"/>
    <w:rsid w:val="0038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38387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38387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83870"/>
    <w:rPr>
      <w:sz w:val="22"/>
    </w:rPr>
  </w:style>
  <w:style w:type="paragraph" w:customStyle="1" w:styleId="SOTextNote">
    <w:name w:val="SO TextNote"/>
    <w:aliases w:val="sont"/>
    <w:basedOn w:val="SOText"/>
    <w:qFormat/>
    <w:rsid w:val="00383870"/>
    <w:pPr>
      <w:spacing w:before="122" w:line="198" w:lineRule="exact"/>
      <w:ind w:left="1843" w:hanging="709"/>
    </w:pPr>
    <w:rPr>
      <w:sz w:val="18"/>
    </w:rPr>
  </w:style>
  <w:style w:type="paragraph" w:customStyle="1" w:styleId="SOPara">
    <w:name w:val="SO Para"/>
    <w:aliases w:val="soa"/>
    <w:basedOn w:val="SOText"/>
    <w:link w:val="SOParaChar"/>
    <w:qFormat/>
    <w:rsid w:val="00383870"/>
    <w:pPr>
      <w:tabs>
        <w:tab w:val="right" w:pos="1786"/>
      </w:tabs>
      <w:spacing w:before="40"/>
      <w:ind w:left="2070" w:hanging="936"/>
    </w:pPr>
  </w:style>
  <w:style w:type="character" w:customStyle="1" w:styleId="SOParaChar">
    <w:name w:val="SO Para Char"/>
    <w:aliases w:val="soa Char"/>
    <w:basedOn w:val="DefaultParagraphFont"/>
    <w:link w:val="SOPara"/>
    <w:rsid w:val="00383870"/>
    <w:rPr>
      <w:sz w:val="22"/>
    </w:rPr>
  </w:style>
  <w:style w:type="paragraph" w:customStyle="1" w:styleId="FileName">
    <w:name w:val="FileName"/>
    <w:basedOn w:val="Normal"/>
    <w:rsid w:val="00383870"/>
  </w:style>
  <w:style w:type="paragraph" w:customStyle="1" w:styleId="SOHeadBold">
    <w:name w:val="SO HeadBold"/>
    <w:aliases w:val="sohb"/>
    <w:basedOn w:val="SOText"/>
    <w:next w:val="SOText"/>
    <w:link w:val="SOHeadBoldChar"/>
    <w:qFormat/>
    <w:rsid w:val="00383870"/>
    <w:rPr>
      <w:b/>
    </w:rPr>
  </w:style>
  <w:style w:type="character" w:customStyle="1" w:styleId="SOHeadBoldChar">
    <w:name w:val="SO HeadBold Char"/>
    <w:aliases w:val="sohb Char"/>
    <w:basedOn w:val="DefaultParagraphFont"/>
    <w:link w:val="SOHeadBold"/>
    <w:rsid w:val="00383870"/>
    <w:rPr>
      <w:b/>
      <w:sz w:val="22"/>
    </w:rPr>
  </w:style>
  <w:style w:type="paragraph" w:customStyle="1" w:styleId="SOHeadItalic">
    <w:name w:val="SO HeadItalic"/>
    <w:aliases w:val="sohi"/>
    <w:basedOn w:val="SOText"/>
    <w:next w:val="SOText"/>
    <w:link w:val="SOHeadItalicChar"/>
    <w:qFormat/>
    <w:rsid w:val="00383870"/>
    <w:rPr>
      <w:i/>
    </w:rPr>
  </w:style>
  <w:style w:type="character" w:customStyle="1" w:styleId="SOHeadItalicChar">
    <w:name w:val="SO HeadItalic Char"/>
    <w:aliases w:val="sohi Char"/>
    <w:basedOn w:val="DefaultParagraphFont"/>
    <w:link w:val="SOHeadItalic"/>
    <w:rsid w:val="00383870"/>
    <w:rPr>
      <w:i/>
      <w:sz w:val="22"/>
    </w:rPr>
  </w:style>
  <w:style w:type="paragraph" w:customStyle="1" w:styleId="SOBullet">
    <w:name w:val="SO Bullet"/>
    <w:aliases w:val="sotb"/>
    <w:basedOn w:val="SOText"/>
    <w:link w:val="SOBulletChar"/>
    <w:qFormat/>
    <w:rsid w:val="00383870"/>
    <w:pPr>
      <w:ind w:left="1559" w:hanging="425"/>
    </w:pPr>
  </w:style>
  <w:style w:type="character" w:customStyle="1" w:styleId="SOBulletChar">
    <w:name w:val="SO Bullet Char"/>
    <w:aliases w:val="sotb Char"/>
    <w:basedOn w:val="DefaultParagraphFont"/>
    <w:link w:val="SOBullet"/>
    <w:rsid w:val="00383870"/>
    <w:rPr>
      <w:sz w:val="22"/>
    </w:rPr>
  </w:style>
  <w:style w:type="paragraph" w:customStyle="1" w:styleId="SOBulletNote">
    <w:name w:val="SO BulletNote"/>
    <w:aliases w:val="sonb"/>
    <w:basedOn w:val="SOTextNote"/>
    <w:link w:val="SOBulletNoteChar"/>
    <w:qFormat/>
    <w:rsid w:val="00383870"/>
    <w:pPr>
      <w:tabs>
        <w:tab w:val="left" w:pos="1560"/>
      </w:tabs>
      <w:ind w:left="2268" w:hanging="1134"/>
    </w:pPr>
  </w:style>
  <w:style w:type="character" w:customStyle="1" w:styleId="SOBulletNoteChar">
    <w:name w:val="SO BulletNote Char"/>
    <w:aliases w:val="sonb Char"/>
    <w:basedOn w:val="DefaultParagraphFont"/>
    <w:link w:val="SOBulletNote"/>
    <w:rsid w:val="00383870"/>
    <w:rPr>
      <w:sz w:val="18"/>
    </w:rPr>
  </w:style>
  <w:style w:type="paragraph" w:customStyle="1" w:styleId="SOText2">
    <w:name w:val="SO Text2"/>
    <w:aliases w:val="sot2"/>
    <w:basedOn w:val="Normal"/>
    <w:next w:val="SOText"/>
    <w:link w:val="SOText2Char"/>
    <w:rsid w:val="0038387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83870"/>
    <w:rPr>
      <w:sz w:val="22"/>
    </w:rPr>
  </w:style>
  <w:style w:type="character" w:customStyle="1" w:styleId="Heading1Char">
    <w:name w:val="Heading 1 Char"/>
    <w:basedOn w:val="DefaultParagraphFont"/>
    <w:link w:val="Heading1"/>
    <w:uiPriority w:val="9"/>
    <w:rsid w:val="008F07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F07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077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F077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F077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F077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F077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F077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F0777"/>
    <w:rPr>
      <w:rFonts w:asciiTheme="majorHAnsi" w:eastAsiaTheme="majorEastAsia" w:hAnsiTheme="majorHAnsi" w:cstheme="majorBidi"/>
      <w:i/>
      <w:iCs/>
      <w:color w:val="404040" w:themeColor="text1" w:themeTint="BF"/>
    </w:rPr>
  </w:style>
  <w:style w:type="character" w:customStyle="1" w:styleId="charlegds2">
    <w:name w:val="charlegds2"/>
    <w:basedOn w:val="DefaultParagraphFont"/>
    <w:rsid w:val="008F0777"/>
    <w:rPr>
      <w:vanish w:val="0"/>
      <w:webHidden w:val="0"/>
      <w:specVanish w:val="0"/>
    </w:rPr>
  </w:style>
  <w:style w:type="paragraph" w:customStyle="1" w:styleId="Specialih">
    <w:name w:val="Special ih"/>
    <w:basedOn w:val="ItemHead"/>
    <w:link w:val="SpecialihChar"/>
    <w:rsid w:val="008F0777"/>
  </w:style>
  <w:style w:type="character" w:customStyle="1" w:styleId="OPCParaBaseChar">
    <w:name w:val="OPCParaBase Char"/>
    <w:basedOn w:val="DefaultParagraphFont"/>
    <w:link w:val="OPCParaBase"/>
    <w:rsid w:val="008F0777"/>
    <w:rPr>
      <w:rFonts w:eastAsia="Times New Roman" w:cs="Times New Roman"/>
      <w:sz w:val="22"/>
      <w:lang w:eastAsia="en-AU"/>
    </w:rPr>
  </w:style>
  <w:style w:type="character" w:customStyle="1" w:styleId="ItemHeadChar">
    <w:name w:val="ItemHead Char"/>
    <w:aliases w:val="ih Char"/>
    <w:basedOn w:val="OPCParaBaseChar"/>
    <w:link w:val="ItemHead"/>
    <w:rsid w:val="008F0777"/>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8F0777"/>
    <w:rPr>
      <w:rFonts w:ascii="Arial" w:eastAsia="Times New Roman" w:hAnsi="Arial" w:cs="Times New Roman"/>
      <w:b/>
      <w:kern w:val="28"/>
      <w:sz w:val="24"/>
      <w:lang w:eastAsia="en-AU"/>
    </w:rPr>
  </w:style>
  <w:style w:type="paragraph" w:customStyle="1" w:styleId="ShortTP1">
    <w:name w:val="ShortTP1"/>
    <w:basedOn w:val="ShortT"/>
    <w:link w:val="ShortTP1Char"/>
    <w:rsid w:val="00D44E7D"/>
    <w:pPr>
      <w:spacing w:before="800"/>
    </w:pPr>
  </w:style>
  <w:style w:type="character" w:customStyle="1" w:styleId="ShortTChar">
    <w:name w:val="ShortT Char"/>
    <w:basedOn w:val="OPCParaBaseChar"/>
    <w:link w:val="ShortT"/>
    <w:rsid w:val="00D44E7D"/>
    <w:rPr>
      <w:rFonts w:eastAsia="Times New Roman" w:cs="Times New Roman"/>
      <w:b/>
      <w:sz w:val="40"/>
      <w:lang w:eastAsia="en-AU"/>
    </w:rPr>
  </w:style>
  <w:style w:type="character" w:customStyle="1" w:styleId="ShortTP1Char">
    <w:name w:val="ShortTP1 Char"/>
    <w:basedOn w:val="ShortTChar"/>
    <w:link w:val="ShortTP1"/>
    <w:rsid w:val="00D44E7D"/>
    <w:rPr>
      <w:rFonts w:eastAsia="Times New Roman" w:cs="Times New Roman"/>
      <w:b/>
      <w:sz w:val="40"/>
      <w:lang w:eastAsia="en-AU"/>
    </w:rPr>
  </w:style>
  <w:style w:type="paragraph" w:customStyle="1" w:styleId="ActNoP1">
    <w:name w:val="ActNoP1"/>
    <w:basedOn w:val="Actno"/>
    <w:link w:val="ActNoP1Char"/>
    <w:rsid w:val="00D44E7D"/>
    <w:pPr>
      <w:spacing w:before="800"/>
    </w:pPr>
    <w:rPr>
      <w:sz w:val="28"/>
    </w:rPr>
  </w:style>
  <w:style w:type="character" w:customStyle="1" w:styleId="ActnoChar">
    <w:name w:val="Actno Char"/>
    <w:basedOn w:val="ShortTChar"/>
    <w:link w:val="Actno"/>
    <w:rsid w:val="00D44E7D"/>
    <w:rPr>
      <w:rFonts w:eastAsia="Times New Roman" w:cs="Times New Roman"/>
      <w:b/>
      <w:sz w:val="40"/>
      <w:lang w:eastAsia="en-AU"/>
    </w:rPr>
  </w:style>
  <w:style w:type="character" w:customStyle="1" w:styleId="ActNoP1Char">
    <w:name w:val="ActNoP1 Char"/>
    <w:basedOn w:val="ActnoChar"/>
    <w:link w:val="ActNoP1"/>
    <w:rsid w:val="00D44E7D"/>
    <w:rPr>
      <w:rFonts w:eastAsia="Times New Roman" w:cs="Times New Roman"/>
      <w:b/>
      <w:sz w:val="28"/>
      <w:lang w:eastAsia="en-AU"/>
    </w:rPr>
  </w:style>
  <w:style w:type="paragraph" w:customStyle="1" w:styleId="ShortTCP">
    <w:name w:val="ShortTCP"/>
    <w:basedOn w:val="ShortT"/>
    <w:link w:val="ShortTCPChar"/>
    <w:rsid w:val="00D44E7D"/>
  </w:style>
  <w:style w:type="character" w:customStyle="1" w:styleId="ShortTCPChar">
    <w:name w:val="ShortTCP Char"/>
    <w:basedOn w:val="ShortTChar"/>
    <w:link w:val="ShortTCP"/>
    <w:rsid w:val="00D44E7D"/>
    <w:rPr>
      <w:rFonts w:eastAsia="Times New Roman" w:cs="Times New Roman"/>
      <w:b/>
      <w:sz w:val="40"/>
      <w:lang w:eastAsia="en-AU"/>
    </w:rPr>
  </w:style>
  <w:style w:type="paragraph" w:customStyle="1" w:styleId="ActNoCP">
    <w:name w:val="ActNoCP"/>
    <w:basedOn w:val="Actno"/>
    <w:link w:val="ActNoCPChar"/>
    <w:rsid w:val="00D44E7D"/>
    <w:pPr>
      <w:spacing w:before="400"/>
    </w:pPr>
  </w:style>
  <w:style w:type="character" w:customStyle="1" w:styleId="ActNoCPChar">
    <w:name w:val="ActNoCP Char"/>
    <w:basedOn w:val="ActnoChar"/>
    <w:link w:val="ActNoCP"/>
    <w:rsid w:val="00D44E7D"/>
    <w:rPr>
      <w:rFonts w:eastAsia="Times New Roman" w:cs="Times New Roman"/>
      <w:b/>
      <w:sz w:val="40"/>
      <w:lang w:eastAsia="en-AU"/>
    </w:rPr>
  </w:style>
  <w:style w:type="paragraph" w:customStyle="1" w:styleId="AssentBk">
    <w:name w:val="AssentBk"/>
    <w:basedOn w:val="Normal"/>
    <w:rsid w:val="00D44E7D"/>
    <w:pPr>
      <w:spacing w:line="240" w:lineRule="auto"/>
    </w:pPr>
    <w:rPr>
      <w:rFonts w:eastAsia="Times New Roman" w:cs="Times New Roman"/>
      <w:sz w:val="20"/>
      <w:lang w:eastAsia="en-AU"/>
    </w:rPr>
  </w:style>
  <w:style w:type="paragraph" w:customStyle="1" w:styleId="AssentDt">
    <w:name w:val="AssentDt"/>
    <w:basedOn w:val="Normal"/>
    <w:rsid w:val="00C278DA"/>
    <w:pPr>
      <w:spacing w:line="240" w:lineRule="auto"/>
    </w:pPr>
    <w:rPr>
      <w:rFonts w:eastAsia="Times New Roman" w:cs="Times New Roman"/>
      <w:sz w:val="20"/>
      <w:lang w:eastAsia="en-AU"/>
    </w:rPr>
  </w:style>
  <w:style w:type="paragraph" w:customStyle="1" w:styleId="2ndRd">
    <w:name w:val="2ndRd"/>
    <w:basedOn w:val="Normal"/>
    <w:rsid w:val="00C278DA"/>
    <w:pPr>
      <w:spacing w:line="240" w:lineRule="auto"/>
    </w:pPr>
    <w:rPr>
      <w:rFonts w:eastAsia="Times New Roman" w:cs="Times New Roman"/>
      <w:sz w:val="20"/>
      <w:lang w:eastAsia="en-AU"/>
    </w:rPr>
  </w:style>
  <w:style w:type="paragraph" w:customStyle="1" w:styleId="ScalePlusRef">
    <w:name w:val="ScalePlusRef"/>
    <w:basedOn w:val="Normal"/>
    <w:rsid w:val="00C278D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3875</Words>
  <Characters>22089</Characters>
  <Application>Microsoft Office Word</Application>
  <DocSecurity>0</DocSecurity>
  <PresentationFormat/>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2016-03-21T22:23:00Z</dcterms:created>
  <dcterms:modified xsi:type="dcterms:W3CDTF">2016-03-22T02:29:00Z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Tax Laws Amendment (Implementation of the Common Reporting Standard) Act 2016</vt:lpwstr>
  </property>
  <property fmtid="{D5CDD505-2E9C-101B-9397-08002B2CF9AE}" pid="3" name="Actno">
    <vt:lpwstr>No. 23, 2016</vt:lpwstr>
  </property>
</Properties>
</file>