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9DE" w:rsidRDefault="00FE79DE" w:rsidP="00341017">
      <w:pPr>
        <w:framePr w:hSpace="187" w:wrap="around" w:vAnchor="text" w:hAnchor="page" w:x="5499" w:y="-794"/>
        <w:jc w:val="center"/>
      </w:pPr>
      <w:r>
        <w:object w:dxaOrig="105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pt;height:56.4pt" o:ole="">
            <v:imagedata r:id="rId9" o:title=""/>
          </v:shape>
          <o:OLEObject Type="Embed" ProgID="Word.Document.8" ShapeID="_x0000_i1025" DrawAspect="Content" ObjectID="_1553594942" r:id="rId10"/>
        </w:object>
      </w:r>
    </w:p>
    <w:p w:rsidR="00FE79DE" w:rsidRDefault="00FE79DE" w:rsidP="00FE79DE">
      <w:pPr>
        <w:spacing w:after="100"/>
        <w:ind w:left="1200" w:right="1200"/>
        <w:jc w:val="center"/>
        <w:rPr>
          <w:rFonts w:ascii="Helvetica" w:hAnsi="Helvetica"/>
          <w:b/>
        </w:rPr>
      </w:pPr>
    </w:p>
    <w:p w:rsidR="00FE79DE" w:rsidRDefault="00FE79DE" w:rsidP="00341017">
      <w:pPr>
        <w:framePr w:w="3050" w:h="289" w:hSpace="187" w:wrap="around" w:vAnchor="text" w:hAnchor="page" w:x="4389" w:y="-655" w:anchorLock="1"/>
        <w:jc w:val="center"/>
      </w:pPr>
      <w:r>
        <w:rPr>
          <w:b/>
          <w:sz w:val="18"/>
        </w:rPr>
        <w:t>NORFOLK</w:t>
      </w:r>
      <w:r>
        <w:rPr>
          <w:b/>
          <w:sz w:val="18"/>
        </w:rPr>
        <w:tab/>
      </w:r>
      <w:r>
        <w:rPr>
          <w:b/>
          <w:sz w:val="18"/>
        </w:rPr>
        <w:tab/>
        <w:t>ISLAND</w:t>
      </w:r>
    </w:p>
    <w:p w:rsidR="00FE79DE" w:rsidRDefault="00FE79DE" w:rsidP="00FE79DE">
      <w:pPr>
        <w:spacing w:after="100"/>
        <w:ind w:left="1200" w:right="1200"/>
        <w:jc w:val="center"/>
        <w:rPr>
          <w:rFonts w:ascii="Helvetica" w:hAnsi="Helvetica"/>
          <w:b/>
        </w:rPr>
      </w:pPr>
    </w:p>
    <w:p w:rsidR="00FE79DE" w:rsidRDefault="00FE79DE" w:rsidP="00FE79DE">
      <w:pPr>
        <w:pStyle w:val="ShortT"/>
        <w:rPr>
          <w:sz w:val="24"/>
          <w:szCs w:val="24"/>
        </w:rPr>
      </w:pPr>
      <w:r w:rsidRPr="00FE79DE">
        <w:t>Gaming Supervision Act 1998</w:t>
      </w:r>
    </w:p>
    <w:p w:rsidR="00FE79DE" w:rsidRDefault="00FE79DE" w:rsidP="00FE79DE">
      <w:pPr>
        <w:pStyle w:val="CompiledActNo"/>
        <w:spacing w:before="240"/>
      </w:pPr>
      <w:r>
        <w:t xml:space="preserve">No. </w:t>
      </w:r>
      <w:r w:rsidRPr="00FE79DE">
        <w:t>4, 1998</w:t>
      </w:r>
    </w:p>
    <w:p w:rsidR="00FE79DE" w:rsidRDefault="00FE79DE" w:rsidP="00FE79DE">
      <w:pPr>
        <w:spacing w:before="1000"/>
        <w:rPr>
          <w:rFonts w:cs="Arial"/>
          <w:b/>
          <w:sz w:val="32"/>
          <w:szCs w:val="32"/>
        </w:rPr>
      </w:pPr>
      <w:r>
        <w:rPr>
          <w:rFonts w:cs="Arial"/>
          <w:b/>
          <w:sz w:val="32"/>
          <w:szCs w:val="32"/>
        </w:rPr>
        <w:t xml:space="preserve">Compilation No. </w:t>
      </w:r>
      <w:r w:rsidR="007655FE">
        <w:rPr>
          <w:rFonts w:cs="Arial"/>
          <w:b/>
          <w:sz w:val="32"/>
          <w:szCs w:val="32"/>
        </w:rPr>
        <w:t>5</w:t>
      </w:r>
    </w:p>
    <w:p w:rsidR="00FE79DE" w:rsidRDefault="00907242" w:rsidP="00FE79DE">
      <w:pPr>
        <w:spacing w:before="480"/>
        <w:rPr>
          <w:rFonts w:cs="Arial"/>
        </w:rPr>
      </w:pPr>
      <w:r>
        <w:rPr>
          <w:rFonts w:cs="Arial"/>
          <w:b/>
        </w:rPr>
        <w:t>Compilation date:</w:t>
      </w:r>
      <w:r w:rsidR="00FE79DE">
        <w:rPr>
          <w:rFonts w:cs="Arial"/>
          <w:b/>
        </w:rPr>
        <w:tab/>
      </w:r>
      <w:r w:rsidR="00FE79DE">
        <w:rPr>
          <w:rFonts w:cs="Arial"/>
          <w:b/>
        </w:rPr>
        <w:tab/>
      </w:r>
      <w:r w:rsidR="00FE79DE">
        <w:rPr>
          <w:rFonts w:cs="Arial"/>
          <w:b/>
        </w:rPr>
        <w:tab/>
      </w:r>
      <w:r w:rsidR="00A14A1A">
        <w:rPr>
          <w:rFonts w:cs="Arial"/>
        </w:rPr>
        <w:t xml:space="preserve">1 </w:t>
      </w:r>
      <w:r w:rsidR="007655FE">
        <w:rPr>
          <w:rFonts w:cs="Arial"/>
        </w:rPr>
        <w:t>April 2017</w:t>
      </w:r>
    </w:p>
    <w:p w:rsidR="00FE79DE" w:rsidRDefault="00FE79DE" w:rsidP="00686EB0">
      <w:pPr>
        <w:tabs>
          <w:tab w:val="left" w:pos="3584"/>
        </w:tabs>
        <w:spacing w:before="240"/>
        <w:ind w:left="3612" w:hanging="3612"/>
        <w:rPr>
          <w:b/>
          <w:szCs w:val="22"/>
        </w:rPr>
      </w:pPr>
      <w:r>
        <w:rPr>
          <w:rFonts w:cs="Arial"/>
          <w:b/>
        </w:rPr>
        <w:t>Includes amendments up to:</w:t>
      </w:r>
      <w:r>
        <w:rPr>
          <w:rFonts w:cs="Arial"/>
          <w:b/>
        </w:rPr>
        <w:tab/>
      </w:r>
      <w:r>
        <w:rPr>
          <w:rFonts w:cs="Arial"/>
        </w:rPr>
        <w:t>Norfolk Island Continued Laws Ordinance 2015</w:t>
      </w:r>
      <w:r>
        <w:br/>
      </w:r>
      <w:r w:rsidRPr="004606BA">
        <w:rPr>
          <w:rFonts w:cs="Arial"/>
        </w:rPr>
        <w:t>(No. 2, 2015)</w:t>
      </w:r>
      <w:r w:rsidR="005C4CD7">
        <w:rPr>
          <w:rFonts w:cs="Arial"/>
        </w:rPr>
        <w:br/>
      </w:r>
    </w:p>
    <w:p w:rsidR="00FE79DE" w:rsidRDefault="00FE79DE" w:rsidP="00FE79DE">
      <w:pPr>
        <w:rPr>
          <w:b/>
          <w:szCs w:val="22"/>
        </w:rPr>
      </w:pPr>
    </w:p>
    <w:p w:rsidR="00FE79DE" w:rsidRDefault="00FE79DE" w:rsidP="00FE79DE">
      <w:pPr>
        <w:rPr>
          <w:b/>
          <w:szCs w:val="22"/>
        </w:rPr>
      </w:pPr>
    </w:p>
    <w:p w:rsidR="00FE79DE" w:rsidRDefault="00FE79DE" w:rsidP="00FE79DE">
      <w:pPr>
        <w:rPr>
          <w:b/>
          <w:szCs w:val="22"/>
        </w:rPr>
      </w:pPr>
    </w:p>
    <w:p w:rsidR="00FE79DE" w:rsidRDefault="00FE79DE" w:rsidP="00FE79DE">
      <w:pPr>
        <w:rPr>
          <w:b/>
          <w:szCs w:val="22"/>
        </w:rPr>
      </w:pPr>
    </w:p>
    <w:p w:rsidR="00FE79DE" w:rsidRDefault="00FE79DE" w:rsidP="00FE79DE">
      <w:pPr>
        <w:rPr>
          <w:b/>
          <w:szCs w:val="22"/>
        </w:rPr>
      </w:pPr>
    </w:p>
    <w:p w:rsidR="00FE79DE" w:rsidRDefault="00FE79DE" w:rsidP="00FE79DE">
      <w:pPr>
        <w:rPr>
          <w:b/>
          <w:szCs w:val="22"/>
        </w:rPr>
      </w:pPr>
    </w:p>
    <w:p w:rsidR="00FE79DE" w:rsidRDefault="00FE79DE" w:rsidP="00FE79DE">
      <w:pPr>
        <w:rPr>
          <w:b/>
          <w:szCs w:val="22"/>
        </w:rPr>
      </w:pPr>
    </w:p>
    <w:p w:rsidR="00FE79DE" w:rsidRDefault="00FE79DE" w:rsidP="00FE79DE">
      <w:pPr>
        <w:spacing w:before="0" w:after="0"/>
        <w:rPr>
          <w:rFonts w:ascii="Helvetica" w:hAnsi="Helvetica"/>
          <w:b/>
        </w:rPr>
        <w:sectPr w:rsidR="00FE79DE">
          <w:footerReference w:type="default" r:id="rId11"/>
          <w:pgSz w:w="11909" w:h="16834"/>
          <w:pgMar w:top="1440" w:right="1800" w:bottom="1440" w:left="1440" w:header="706" w:footer="2880" w:gutter="0"/>
          <w:cols w:space="720"/>
        </w:sectPr>
      </w:pPr>
    </w:p>
    <w:p w:rsidR="005E14A5" w:rsidRDefault="005E14A5" w:rsidP="00686EB0">
      <w:pPr>
        <w:framePr w:w="3050" w:h="289" w:hSpace="187" w:wrap="around" w:vAnchor="text" w:hAnchor="page" w:x="4284" w:y="196" w:anchorLock="1"/>
      </w:pPr>
      <w:r>
        <w:rPr>
          <w:b/>
          <w:sz w:val="18"/>
        </w:rPr>
        <w:lastRenderedPageBreak/>
        <w:t>NORFOLK</w:t>
      </w:r>
      <w:r>
        <w:rPr>
          <w:b/>
          <w:sz w:val="18"/>
        </w:rPr>
        <w:tab/>
      </w:r>
      <w:r>
        <w:rPr>
          <w:b/>
          <w:sz w:val="18"/>
        </w:rPr>
        <w:tab/>
        <w:t>ISLAND</w:t>
      </w:r>
    </w:p>
    <w:p w:rsidR="005E14A5" w:rsidRPr="00907242" w:rsidRDefault="005E14A5">
      <w:pPr>
        <w:spacing w:after="100"/>
        <w:ind w:left="1200" w:right="1200"/>
        <w:jc w:val="center"/>
        <w:rPr>
          <w:rFonts w:ascii="Helvetica" w:hAnsi="Helvetica"/>
          <w:b/>
        </w:rPr>
      </w:pPr>
    </w:p>
    <w:p w:rsidR="005E14A5" w:rsidRDefault="005E14A5">
      <w:pPr>
        <w:spacing w:before="60"/>
        <w:jc w:val="center"/>
      </w:pPr>
    </w:p>
    <w:p w:rsidR="00A14A1A" w:rsidRDefault="00A14A1A" w:rsidP="00686EB0">
      <w:pPr>
        <w:framePr w:hSpace="187" w:wrap="around" w:vAnchor="text" w:hAnchor="page" w:x="5304" w:y="-1036"/>
      </w:pPr>
      <w:r>
        <w:object w:dxaOrig="1051" w:dyaOrig="1125">
          <v:shape id="_x0000_i1026" type="#_x0000_t75" style="width:51.6pt;height:56.4pt" o:ole="" fillcolor="window">
            <v:imagedata r:id="rId12" o:title=""/>
          </v:shape>
          <o:OLEObject Type="Embed" ProgID="Word.Picture.8" ShapeID="_x0000_i1026" DrawAspect="Content" ObjectID="_1553594943" r:id="rId13"/>
        </w:object>
      </w:r>
    </w:p>
    <w:p w:rsidR="005E14A5" w:rsidRDefault="005E14A5"/>
    <w:p w:rsidR="005E14A5" w:rsidRDefault="005E14A5">
      <w:pPr>
        <w:pStyle w:val="Heading1"/>
      </w:pPr>
      <w:r>
        <w:t>gaming supervision Act 1998</w:t>
      </w:r>
    </w:p>
    <w:p w:rsidR="005E14A5" w:rsidRDefault="005E14A5">
      <w:pPr>
        <w:pStyle w:val="Header"/>
        <w:tabs>
          <w:tab w:val="clear" w:pos="4320"/>
          <w:tab w:val="clear" w:pos="8640"/>
        </w:tabs>
        <w:rPr>
          <w:sz w:val="6"/>
        </w:rPr>
      </w:pPr>
    </w:p>
    <w:p w:rsidR="005E14A5" w:rsidRDefault="005E14A5">
      <w:pPr>
        <w:pStyle w:val="Heading2"/>
        <w:rPr>
          <w:lang w:val="en-AU"/>
        </w:rPr>
      </w:pPr>
      <w:r>
        <w:rPr>
          <w:lang w:val="en-AU"/>
        </w:rPr>
        <w:t>TABLE OF PROVISIONS</w:t>
      </w:r>
    </w:p>
    <w:p w:rsidR="005E14A5" w:rsidRDefault="005E14A5">
      <w:pPr>
        <w:pStyle w:val="Heading6"/>
      </w:pPr>
      <w:r>
        <w:t xml:space="preserve">PART 1  </w:t>
      </w:r>
      <w:r>
        <w:rPr>
          <w:snapToGrid w:val="0"/>
        </w:rPr>
        <w:t xml:space="preserve">— </w:t>
      </w:r>
      <w:r>
        <w:t xml:space="preserve"> PRELIMINARY</w:t>
      </w:r>
    </w:p>
    <w:p w:rsidR="005E14A5" w:rsidRDefault="005E14A5">
      <w:pPr>
        <w:pStyle w:val="Header"/>
        <w:tabs>
          <w:tab w:val="clear" w:pos="4320"/>
          <w:tab w:val="clear" w:pos="8640"/>
          <w:tab w:val="right" w:pos="720"/>
          <w:tab w:val="left" w:pos="1080"/>
        </w:tabs>
      </w:pPr>
      <w:r>
        <w:tab/>
        <w:t>1.</w:t>
      </w:r>
      <w:r>
        <w:tab/>
        <w:t>Short title</w:t>
      </w:r>
    </w:p>
    <w:p w:rsidR="005E14A5" w:rsidRDefault="005E14A5">
      <w:pPr>
        <w:tabs>
          <w:tab w:val="right" w:pos="720"/>
          <w:tab w:val="left" w:pos="1080"/>
        </w:tabs>
      </w:pPr>
      <w:r>
        <w:tab/>
        <w:t>2.</w:t>
      </w:r>
      <w:r>
        <w:tab/>
        <w:t>Commencement</w:t>
      </w:r>
    </w:p>
    <w:p w:rsidR="005E14A5" w:rsidRDefault="005E14A5">
      <w:pPr>
        <w:tabs>
          <w:tab w:val="right" w:pos="720"/>
          <w:tab w:val="left" w:pos="1080"/>
        </w:tabs>
      </w:pPr>
      <w:r>
        <w:tab/>
        <w:t>3.</w:t>
      </w:r>
      <w:r>
        <w:tab/>
        <w:t>The Crown</w:t>
      </w:r>
    </w:p>
    <w:p w:rsidR="005E14A5" w:rsidRDefault="005E14A5">
      <w:pPr>
        <w:tabs>
          <w:tab w:val="right" w:pos="720"/>
          <w:tab w:val="left" w:pos="1080"/>
        </w:tabs>
      </w:pPr>
      <w:r>
        <w:tab/>
        <w:t>4.</w:t>
      </w:r>
      <w:r>
        <w:tab/>
        <w:t>Interpretation</w:t>
      </w:r>
    </w:p>
    <w:p w:rsidR="005E14A5" w:rsidRDefault="005E14A5">
      <w:pPr>
        <w:pStyle w:val="Heading6"/>
      </w:pPr>
      <w:r>
        <w:t xml:space="preserve">PART 2  </w:t>
      </w:r>
      <w:r>
        <w:rPr>
          <w:snapToGrid w:val="0"/>
        </w:rPr>
        <w:t xml:space="preserve">— </w:t>
      </w:r>
      <w:r>
        <w:t xml:space="preserve"> </w:t>
      </w:r>
      <w:smartTag w:uri="urn:schemas-microsoft-com:office:smarttags" w:element="place">
        <w:r>
          <w:t>Norfolk Island</w:t>
        </w:r>
      </w:smartTag>
      <w:r>
        <w:t xml:space="preserve"> gaming Authority</w:t>
      </w:r>
    </w:p>
    <w:p w:rsidR="005E14A5" w:rsidRDefault="005E14A5">
      <w:pPr>
        <w:pStyle w:val="Heading7"/>
      </w:pPr>
      <w:r>
        <w:t>Division 1 —  Establishment of the Authority</w:t>
      </w:r>
    </w:p>
    <w:p w:rsidR="005E14A5" w:rsidRDefault="005E14A5">
      <w:pPr>
        <w:tabs>
          <w:tab w:val="right" w:pos="720"/>
          <w:tab w:val="left" w:pos="1080"/>
        </w:tabs>
        <w:spacing w:before="20" w:after="20"/>
      </w:pPr>
      <w:r>
        <w:rPr>
          <w:caps/>
          <w:sz w:val="18"/>
        </w:rPr>
        <w:tab/>
      </w:r>
      <w:r w:rsidRPr="00DA3F7C">
        <w:rPr>
          <w:caps/>
          <w:szCs w:val="24"/>
        </w:rPr>
        <w:t>5.</w:t>
      </w:r>
      <w:r>
        <w:rPr>
          <w:caps/>
          <w:sz w:val="18"/>
        </w:rPr>
        <w:tab/>
      </w:r>
      <w:r>
        <w:t>Establishment</w:t>
      </w:r>
    </w:p>
    <w:p w:rsidR="00DA3F7C" w:rsidRPr="008E3CB7" w:rsidRDefault="005E14A5" w:rsidP="00DA3F7C">
      <w:pPr>
        <w:pStyle w:val="Header"/>
        <w:tabs>
          <w:tab w:val="clear" w:pos="4320"/>
          <w:tab w:val="clear" w:pos="8640"/>
          <w:tab w:val="right" w:pos="658"/>
          <w:tab w:val="left" w:pos="1080"/>
        </w:tabs>
        <w:spacing w:before="20" w:after="20"/>
      </w:pPr>
      <w:r>
        <w:tab/>
      </w:r>
      <w:r w:rsidR="00DA3F7C" w:rsidRPr="00DA3F7C">
        <w:t>6</w:t>
      </w:r>
      <w:r w:rsidR="00DA3F7C">
        <w:tab/>
      </w:r>
      <w:r w:rsidR="00DA3F7C" w:rsidRPr="008E3CB7">
        <w:t>Powers and functions of the Authority</w:t>
      </w:r>
    </w:p>
    <w:p w:rsidR="005E14A5" w:rsidRDefault="005E14A5" w:rsidP="00DA3F7C">
      <w:pPr>
        <w:pStyle w:val="Heading7"/>
      </w:pPr>
      <w:r>
        <w:t>Division 2  —  Functions and Powers of the Authority</w:t>
      </w:r>
    </w:p>
    <w:p w:rsidR="005E14A5" w:rsidRDefault="005E14A5">
      <w:pPr>
        <w:pStyle w:val="Header"/>
        <w:tabs>
          <w:tab w:val="clear" w:pos="4320"/>
          <w:tab w:val="clear" w:pos="8640"/>
          <w:tab w:val="right" w:pos="720"/>
          <w:tab w:val="left" w:pos="1080"/>
        </w:tabs>
        <w:spacing w:before="20" w:after="20"/>
      </w:pPr>
      <w:r>
        <w:tab/>
        <w:t>11.</w:t>
      </w:r>
      <w:r>
        <w:tab/>
        <w:t>Functions and powers</w:t>
      </w:r>
    </w:p>
    <w:p w:rsidR="005E14A5" w:rsidRDefault="005E14A5">
      <w:pPr>
        <w:tabs>
          <w:tab w:val="right" w:pos="720"/>
          <w:tab w:val="left" w:pos="1080"/>
        </w:tabs>
        <w:spacing w:before="20" w:after="20"/>
      </w:pPr>
      <w:r>
        <w:tab/>
        <w:t>12.</w:t>
      </w:r>
      <w:r>
        <w:tab/>
        <w:t>Inquiries</w:t>
      </w:r>
    </w:p>
    <w:p w:rsidR="005E14A5" w:rsidRDefault="005E14A5">
      <w:pPr>
        <w:tabs>
          <w:tab w:val="right" w:pos="720"/>
          <w:tab w:val="left" w:pos="1080"/>
        </w:tabs>
        <w:spacing w:before="20" w:after="20"/>
        <w:ind w:left="1080" w:hanging="1080"/>
      </w:pPr>
      <w:r>
        <w:tab/>
        <w:t>13.</w:t>
      </w:r>
      <w:r>
        <w:tab/>
        <w:t>Powers and procedures of Authority on inquiry or other proceeding</w:t>
      </w:r>
    </w:p>
    <w:p w:rsidR="005E14A5" w:rsidRDefault="005E14A5">
      <w:pPr>
        <w:pStyle w:val="Heading6"/>
      </w:pPr>
      <w:r>
        <w:t>Part 3  —  authorised officers</w:t>
      </w:r>
    </w:p>
    <w:p w:rsidR="005E14A5" w:rsidRDefault="005E14A5">
      <w:pPr>
        <w:tabs>
          <w:tab w:val="right" w:pos="720"/>
          <w:tab w:val="left" w:pos="1080"/>
        </w:tabs>
        <w:spacing w:before="20" w:after="20"/>
      </w:pPr>
      <w:r>
        <w:tab/>
        <w:t>16.</w:t>
      </w:r>
      <w:r>
        <w:tab/>
        <w:t>Authorised officers</w:t>
      </w:r>
    </w:p>
    <w:p w:rsidR="005E14A5" w:rsidRDefault="005E14A5">
      <w:pPr>
        <w:tabs>
          <w:tab w:val="right" w:pos="720"/>
          <w:tab w:val="left" w:pos="1080"/>
        </w:tabs>
        <w:spacing w:before="20" w:after="20"/>
      </w:pPr>
      <w:r>
        <w:tab/>
        <w:t>17.</w:t>
      </w:r>
      <w:r>
        <w:tab/>
        <w:t>Functions of authorised officers</w:t>
      </w:r>
    </w:p>
    <w:p w:rsidR="005E14A5" w:rsidRDefault="005E14A5">
      <w:pPr>
        <w:tabs>
          <w:tab w:val="right" w:pos="720"/>
          <w:tab w:val="left" w:pos="1080"/>
        </w:tabs>
        <w:spacing w:before="20" w:after="20"/>
      </w:pPr>
      <w:r>
        <w:tab/>
        <w:t>18.</w:t>
      </w:r>
      <w:r>
        <w:tab/>
        <w:t>Powers of authorised officers</w:t>
      </w:r>
    </w:p>
    <w:p w:rsidR="005E14A5" w:rsidRDefault="005E14A5">
      <w:pPr>
        <w:tabs>
          <w:tab w:val="right" w:pos="720"/>
          <w:tab w:val="left" w:pos="1080"/>
        </w:tabs>
        <w:spacing w:before="20" w:after="20"/>
      </w:pPr>
      <w:r>
        <w:tab/>
        <w:t>19.</w:t>
      </w:r>
      <w:r>
        <w:tab/>
        <w:t>Hindrance, etc, of authorised officers</w:t>
      </w:r>
    </w:p>
    <w:p w:rsidR="005E14A5" w:rsidRDefault="005E14A5">
      <w:pPr>
        <w:pStyle w:val="Heading6"/>
      </w:pPr>
      <w:r>
        <w:t>Part 4—miscellaneous</w:t>
      </w:r>
    </w:p>
    <w:p w:rsidR="005E14A5" w:rsidRDefault="005E14A5">
      <w:pPr>
        <w:pStyle w:val="Header"/>
        <w:tabs>
          <w:tab w:val="clear" w:pos="4320"/>
          <w:tab w:val="clear" w:pos="8640"/>
          <w:tab w:val="right" w:pos="720"/>
          <w:tab w:val="left" w:pos="1080"/>
        </w:tabs>
        <w:spacing w:before="20" w:after="20"/>
      </w:pPr>
      <w:r>
        <w:tab/>
        <w:t>20.</w:t>
      </w:r>
      <w:r>
        <w:tab/>
        <w:t>Privilege</w:t>
      </w:r>
    </w:p>
    <w:p w:rsidR="005E14A5" w:rsidRDefault="005E14A5">
      <w:pPr>
        <w:tabs>
          <w:tab w:val="right" w:pos="720"/>
          <w:tab w:val="left" w:pos="1080"/>
        </w:tabs>
        <w:spacing w:before="20" w:after="20"/>
      </w:pPr>
      <w:r>
        <w:tab/>
        <w:t>21.</w:t>
      </w:r>
      <w:r>
        <w:tab/>
        <w:t>Documents held in computers</w:t>
      </w:r>
    </w:p>
    <w:p w:rsidR="005E14A5" w:rsidRDefault="005E14A5">
      <w:pPr>
        <w:tabs>
          <w:tab w:val="right" w:pos="720"/>
          <w:tab w:val="left" w:pos="1080"/>
        </w:tabs>
        <w:spacing w:before="20" w:after="20"/>
      </w:pPr>
      <w:r>
        <w:tab/>
        <w:t>22.</w:t>
      </w:r>
      <w:r>
        <w:tab/>
        <w:t>Probity obligations</w:t>
      </w:r>
    </w:p>
    <w:p w:rsidR="005E14A5" w:rsidRDefault="005E14A5">
      <w:pPr>
        <w:tabs>
          <w:tab w:val="right" w:pos="720"/>
          <w:tab w:val="left" w:pos="1080"/>
        </w:tabs>
        <w:spacing w:before="20" w:after="20"/>
      </w:pPr>
      <w:r>
        <w:tab/>
        <w:t>23.</w:t>
      </w:r>
      <w:r>
        <w:tab/>
        <w:t>Restriction on actions</w:t>
      </w:r>
    </w:p>
    <w:p w:rsidR="005E14A5" w:rsidRDefault="005E14A5">
      <w:pPr>
        <w:tabs>
          <w:tab w:val="right" w:pos="720"/>
          <w:tab w:val="left" w:pos="1080"/>
        </w:tabs>
        <w:spacing w:before="20" w:after="20"/>
      </w:pPr>
      <w:r>
        <w:tab/>
        <w:t xml:space="preserve">24. </w:t>
      </w:r>
      <w:r>
        <w:tab/>
        <w:t>Secrecy</w:t>
      </w:r>
    </w:p>
    <w:p w:rsidR="0036227F" w:rsidRDefault="0036227F">
      <w:pPr>
        <w:tabs>
          <w:tab w:val="right" w:pos="720"/>
          <w:tab w:val="left" w:pos="1080"/>
        </w:tabs>
        <w:spacing w:before="20" w:after="20"/>
      </w:pPr>
      <w:r>
        <w:tab/>
        <w:t xml:space="preserve">25. </w:t>
      </w:r>
      <w:r>
        <w:tab/>
        <w:t>Commonwealth Minister may give directions to the Authority</w:t>
      </w:r>
    </w:p>
    <w:p w:rsidR="005E14A5" w:rsidRDefault="005E14A5">
      <w:pPr>
        <w:pStyle w:val="Header"/>
        <w:tabs>
          <w:tab w:val="clear" w:pos="4320"/>
          <w:tab w:val="clear" w:pos="8640"/>
          <w:tab w:val="right" w:pos="720"/>
          <w:tab w:val="left" w:pos="1080"/>
        </w:tabs>
        <w:spacing w:before="20" w:after="20"/>
      </w:pPr>
      <w:r>
        <w:tab/>
        <w:t>26.</w:t>
      </w:r>
      <w:r>
        <w:tab/>
        <w:t>Regulations</w:t>
      </w:r>
    </w:p>
    <w:p w:rsidR="005E14A5" w:rsidRDefault="005E14A5">
      <w:pPr>
        <w:spacing w:before="20" w:after="20"/>
      </w:pPr>
    </w:p>
    <w:p w:rsidR="005E14A5" w:rsidRDefault="005E14A5">
      <w:pPr>
        <w:tabs>
          <w:tab w:val="left" w:pos="720"/>
        </w:tabs>
        <w:spacing w:before="20" w:after="20"/>
      </w:pPr>
    </w:p>
    <w:p w:rsidR="005E14A5" w:rsidRDefault="005E14A5">
      <w:pPr>
        <w:tabs>
          <w:tab w:val="left" w:pos="720"/>
        </w:tabs>
        <w:spacing w:before="20" w:after="20"/>
        <w:rPr>
          <w:sz w:val="18"/>
        </w:rPr>
        <w:sectPr w:rsidR="005E14A5" w:rsidSect="00686EB0">
          <w:headerReference w:type="default" r:id="rId14"/>
          <w:footerReference w:type="default" r:id="rId15"/>
          <w:headerReference w:type="first" r:id="rId16"/>
          <w:pgSz w:w="11909" w:h="16834" w:code="9"/>
          <w:pgMar w:top="1440" w:right="1802" w:bottom="1276" w:left="1440" w:header="720" w:footer="974" w:gutter="0"/>
          <w:pgNumType w:fmt="lowerRoman" w:start="1"/>
          <w:cols w:space="720"/>
          <w:titlePg/>
        </w:sectPr>
      </w:pPr>
    </w:p>
    <w:p w:rsidR="005E14A5" w:rsidRPr="00907242" w:rsidRDefault="005E14A5">
      <w:pPr>
        <w:spacing w:after="100"/>
        <w:ind w:left="1200" w:right="1200"/>
        <w:jc w:val="center"/>
        <w:rPr>
          <w:rFonts w:ascii="Helvetica" w:hAnsi="Helvetica"/>
          <w:b/>
        </w:rPr>
      </w:pPr>
    </w:p>
    <w:p w:rsidR="005E14A5" w:rsidRPr="00907242" w:rsidRDefault="005E14A5" w:rsidP="00686EB0">
      <w:pPr>
        <w:framePr w:w="3050" w:h="289" w:hSpace="187" w:wrap="around" w:vAnchor="text" w:hAnchor="page" w:x="4434" w:y="-590" w:anchorLock="1"/>
      </w:pPr>
      <w:r w:rsidRPr="00907242">
        <w:rPr>
          <w:b/>
          <w:sz w:val="18"/>
        </w:rPr>
        <w:t>NORFOLK</w:t>
      </w:r>
      <w:r w:rsidRPr="00907242">
        <w:rPr>
          <w:b/>
          <w:sz w:val="18"/>
        </w:rPr>
        <w:tab/>
      </w:r>
      <w:r w:rsidRPr="00907242">
        <w:rPr>
          <w:b/>
          <w:sz w:val="18"/>
        </w:rPr>
        <w:tab/>
        <w:t>ISLAND</w:t>
      </w:r>
    </w:p>
    <w:p w:rsidR="00A14A1A" w:rsidRPr="00907242" w:rsidRDefault="00A14A1A" w:rsidP="00686EB0">
      <w:pPr>
        <w:framePr w:hSpace="187" w:wrap="around" w:vAnchor="text" w:hAnchor="page" w:x="5409" w:y="-995"/>
      </w:pPr>
      <w:r w:rsidRPr="00907242">
        <w:object w:dxaOrig="1051" w:dyaOrig="1125">
          <v:shape id="_x0000_i1027" type="#_x0000_t75" style="width:51.6pt;height:56.4pt" o:ole="">
            <v:imagedata r:id="rId9" o:title=""/>
          </v:shape>
          <o:OLEObject Type="Embed" ProgID="Word.Document.8" ShapeID="_x0000_i1027" DrawAspect="Content" ObjectID="_1553594944" r:id="rId17"/>
        </w:object>
      </w:r>
    </w:p>
    <w:p w:rsidR="005E14A5" w:rsidRPr="00907242" w:rsidRDefault="005E14A5">
      <w:pPr>
        <w:spacing w:after="100"/>
        <w:ind w:left="1200" w:right="1200"/>
        <w:jc w:val="center"/>
        <w:rPr>
          <w:rFonts w:ascii="Helvetica" w:hAnsi="Helvetica"/>
          <w:b/>
        </w:rPr>
      </w:pPr>
    </w:p>
    <w:p w:rsidR="005E14A5" w:rsidRDefault="005E14A5">
      <w:pPr>
        <w:jc w:val="center"/>
        <w:rPr>
          <w:b/>
          <w:sz w:val="14"/>
        </w:rPr>
      </w:pPr>
    </w:p>
    <w:p w:rsidR="005E14A5" w:rsidRDefault="005E14A5" w:rsidP="00686EB0">
      <w:pPr>
        <w:pStyle w:val="allsections"/>
        <w:ind w:right="6" w:firstLine="0"/>
        <w:jc w:val="center"/>
        <w:rPr>
          <w:b/>
        </w:rPr>
      </w:pPr>
      <w:r>
        <w:rPr>
          <w:b/>
          <w:sz w:val="28"/>
        </w:rPr>
        <w:t>Gaming Supervision Act 1998</w:t>
      </w:r>
    </w:p>
    <w:p w:rsidR="00D97E0A" w:rsidRDefault="00D97E0A">
      <w:pPr>
        <w:pStyle w:val="BodyText"/>
        <w:ind w:right="1827"/>
      </w:pPr>
    </w:p>
    <w:p w:rsidR="005E14A5" w:rsidRDefault="005E14A5" w:rsidP="0077033B">
      <w:pPr>
        <w:pStyle w:val="BodyText"/>
        <w:ind w:right="48"/>
        <w:jc w:val="left"/>
      </w:pPr>
      <w:r>
        <w:t>An Act to establish an administrative structure for the supervision and control of gaming licensed under certain Acts, to provide for its functions and powers and for other purposes.</w:t>
      </w:r>
    </w:p>
    <w:p w:rsidR="005E14A5" w:rsidRDefault="005E14A5">
      <w:pPr>
        <w:pStyle w:val="Heading2"/>
        <w:rPr>
          <w:lang w:val="en-AU"/>
        </w:rPr>
      </w:pPr>
      <w:r>
        <w:rPr>
          <w:lang w:val="en-AU"/>
        </w:rPr>
        <w:t>part 1  —  Preliminary</w:t>
      </w:r>
    </w:p>
    <w:p w:rsidR="005E14A5" w:rsidRDefault="005E14A5">
      <w:pPr>
        <w:pStyle w:val="Heading4"/>
      </w:pPr>
      <w:r>
        <w:t>Short title</w:t>
      </w:r>
    </w:p>
    <w:p w:rsidR="005E14A5" w:rsidRDefault="005E14A5">
      <w:pPr>
        <w:pStyle w:val="allsections"/>
        <w:tabs>
          <w:tab w:val="left" w:pos="360"/>
          <w:tab w:val="left" w:pos="900"/>
          <w:tab w:val="left" w:pos="1620"/>
        </w:tabs>
        <w:ind w:firstLine="360"/>
        <w:rPr>
          <w:lang w:val="en-AU"/>
        </w:rPr>
      </w:pPr>
      <w:r>
        <w:rPr>
          <w:b/>
          <w:lang w:val="en-AU"/>
        </w:rPr>
        <w:t>1.</w:t>
      </w:r>
      <w:r>
        <w:rPr>
          <w:b/>
          <w:lang w:val="en-AU"/>
        </w:rPr>
        <w:tab/>
      </w:r>
      <w:r>
        <w:rPr>
          <w:lang w:val="en-AU"/>
        </w:rPr>
        <w:t xml:space="preserve">This Act may be cited as the </w:t>
      </w:r>
      <w:r>
        <w:rPr>
          <w:i/>
          <w:lang w:val="en-AU"/>
        </w:rPr>
        <w:t>Gaming Supervision Act 1998</w:t>
      </w:r>
      <w:r>
        <w:rPr>
          <w:lang w:val="en-AU"/>
        </w:rPr>
        <w:t>.</w:t>
      </w:r>
    </w:p>
    <w:p w:rsidR="005E14A5" w:rsidRDefault="005E14A5">
      <w:pPr>
        <w:pStyle w:val="Heading4"/>
      </w:pPr>
      <w:r>
        <w:t>Commencement</w:t>
      </w:r>
    </w:p>
    <w:p w:rsidR="005E14A5" w:rsidRDefault="005E14A5">
      <w:pPr>
        <w:pStyle w:val="allsections"/>
        <w:tabs>
          <w:tab w:val="left" w:pos="360"/>
          <w:tab w:val="left" w:pos="900"/>
          <w:tab w:val="left" w:pos="1620"/>
        </w:tabs>
        <w:ind w:firstLine="360"/>
        <w:rPr>
          <w:lang w:val="en-AU"/>
        </w:rPr>
      </w:pPr>
      <w:r>
        <w:rPr>
          <w:b/>
          <w:lang w:val="en-AU"/>
        </w:rPr>
        <w:t>2.</w:t>
      </w:r>
      <w:r>
        <w:rPr>
          <w:b/>
          <w:lang w:val="en-AU"/>
        </w:rPr>
        <w:tab/>
        <w:t>(1)</w:t>
      </w:r>
      <w:r>
        <w:rPr>
          <w:b/>
          <w:lang w:val="en-AU"/>
        </w:rPr>
        <w:tab/>
      </w:r>
      <w:r>
        <w:rPr>
          <w:lang w:val="en-AU"/>
        </w:rPr>
        <w:t>Section 1 and this section commence on the day on which notification of Assent is published in the Gazette.</w:t>
      </w:r>
    </w:p>
    <w:p w:rsidR="005E14A5" w:rsidRDefault="005E14A5">
      <w:pPr>
        <w:pStyle w:val="allsections"/>
        <w:tabs>
          <w:tab w:val="left" w:pos="360"/>
          <w:tab w:val="left" w:pos="900"/>
          <w:tab w:val="left" w:pos="1620"/>
        </w:tabs>
        <w:rPr>
          <w:lang w:val="en-AU"/>
        </w:rPr>
      </w:pPr>
      <w:r>
        <w:rPr>
          <w:b/>
          <w:lang w:val="en-AU"/>
        </w:rPr>
        <w:tab/>
        <w:t>(2)</w:t>
      </w:r>
      <w:r>
        <w:rPr>
          <w:b/>
          <w:lang w:val="en-AU"/>
        </w:rPr>
        <w:tab/>
      </w:r>
      <w:r>
        <w:rPr>
          <w:lang w:val="en-AU"/>
        </w:rPr>
        <w:t>The remaining provisions commence on a day, or respective days, fixed by the Administrator by notice in the Gazette.</w:t>
      </w:r>
    </w:p>
    <w:p w:rsidR="005E14A5" w:rsidRDefault="005E14A5">
      <w:pPr>
        <w:pStyle w:val="Heading4"/>
      </w:pPr>
      <w:r>
        <w:t>The Crown</w:t>
      </w:r>
    </w:p>
    <w:p w:rsidR="005E14A5" w:rsidRDefault="005E14A5">
      <w:pPr>
        <w:pStyle w:val="allsections"/>
        <w:tabs>
          <w:tab w:val="left" w:pos="360"/>
          <w:tab w:val="left" w:pos="900"/>
          <w:tab w:val="left" w:pos="1620"/>
        </w:tabs>
        <w:ind w:firstLine="360"/>
      </w:pPr>
      <w:r>
        <w:rPr>
          <w:b/>
        </w:rPr>
        <w:t>3.</w:t>
      </w:r>
      <w:r>
        <w:rPr>
          <w:b/>
        </w:rPr>
        <w:tab/>
        <w:t>(1)</w:t>
      </w:r>
      <w:r>
        <w:rPr>
          <w:b/>
        </w:rPr>
        <w:tab/>
      </w:r>
      <w:r>
        <w:t>This Act binds the Crown.</w:t>
      </w:r>
    </w:p>
    <w:p w:rsidR="005E14A5" w:rsidRDefault="005E14A5">
      <w:pPr>
        <w:pStyle w:val="allsections"/>
        <w:tabs>
          <w:tab w:val="left" w:pos="360"/>
          <w:tab w:val="left" w:pos="900"/>
          <w:tab w:val="left" w:pos="1620"/>
        </w:tabs>
      </w:pPr>
      <w:r>
        <w:rPr>
          <w:b/>
        </w:rPr>
        <w:tab/>
        <w:t>(2)</w:t>
      </w:r>
      <w:r>
        <w:rPr>
          <w:b/>
        </w:rPr>
        <w:tab/>
      </w:r>
      <w:r>
        <w:t>Nothing in this Act makes the Crown in any capacity liable to be prosecuted for an offence.</w:t>
      </w:r>
    </w:p>
    <w:p w:rsidR="005E14A5" w:rsidRDefault="005E14A5">
      <w:pPr>
        <w:pStyle w:val="Heading4"/>
      </w:pPr>
      <w:r>
        <w:t>Interpretation</w:t>
      </w:r>
    </w:p>
    <w:p w:rsidR="005E14A5" w:rsidRDefault="005E14A5">
      <w:pPr>
        <w:pStyle w:val="allsections"/>
        <w:tabs>
          <w:tab w:val="left" w:pos="360"/>
          <w:tab w:val="left" w:pos="900"/>
          <w:tab w:val="left" w:pos="1620"/>
        </w:tabs>
        <w:ind w:firstLine="360"/>
      </w:pPr>
      <w:r>
        <w:rPr>
          <w:b/>
        </w:rPr>
        <w:t>4.</w:t>
      </w:r>
      <w:r>
        <w:rPr>
          <w:b/>
        </w:rPr>
        <w:tab/>
      </w:r>
      <w:r>
        <w:t>In this Act, unless the contrary intention appears —</w:t>
      </w:r>
    </w:p>
    <w:p w:rsidR="005E14A5" w:rsidRDefault="005E14A5">
      <w:pPr>
        <w:pStyle w:val="def"/>
        <w:tabs>
          <w:tab w:val="left" w:pos="360"/>
          <w:tab w:val="left" w:pos="900"/>
          <w:tab w:val="left" w:pos="1620"/>
        </w:tabs>
        <w:ind w:left="1620" w:hanging="720"/>
      </w:pPr>
      <w:r>
        <w:t>“authorised officer” means an authorised officer appointed under section 16 of this Act;</w:t>
      </w:r>
    </w:p>
    <w:p w:rsidR="005E14A5" w:rsidRDefault="005E14A5">
      <w:pPr>
        <w:pStyle w:val="def"/>
        <w:tabs>
          <w:tab w:val="left" w:pos="360"/>
          <w:tab w:val="left" w:pos="900"/>
          <w:tab w:val="left" w:pos="1620"/>
        </w:tabs>
        <w:ind w:left="1620" w:hanging="720"/>
      </w:pPr>
      <w:r>
        <w:t>“Authority” means the Norfolk Island Gaming Authority established under section 5 of this Act;</w:t>
      </w:r>
    </w:p>
    <w:p w:rsidR="005E14A5" w:rsidRDefault="005E14A5">
      <w:pPr>
        <w:pStyle w:val="def"/>
        <w:tabs>
          <w:tab w:val="left" w:pos="360"/>
          <w:tab w:val="left" w:pos="900"/>
          <w:tab w:val="left" w:pos="1620"/>
        </w:tabs>
        <w:ind w:left="1620" w:hanging="720"/>
      </w:pPr>
      <w:r>
        <w:t>“law enforcement agency” means —</w:t>
      </w:r>
    </w:p>
    <w:p w:rsidR="005E14A5" w:rsidRDefault="005E14A5">
      <w:pPr>
        <w:pStyle w:val="defaindent"/>
        <w:tabs>
          <w:tab w:val="clear" w:pos="1360"/>
          <w:tab w:val="left" w:pos="360"/>
          <w:tab w:val="left" w:pos="900"/>
          <w:tab w:val="left" w:pos="1620"/>
          <w:tab w:val="left" w:pos="2160"/>
        </w:tabs>
        <w:ind w:left="2160" w:hanging="540"/>
      </w:pPr>
      <w:r>
        <w:t>(a)</w:t>
      </w:r>
      <w:r>
        <w:tab/>
        <w:t xml:space="preserve">the </w:t>
      </w:r>
      <w:smartTag w:uri="urn:schemas-microsoft-com:office:smarttags" w:element="place">
        <w:r>
          <w:t>Norfolk Island</w:t>
        </w:r>
      </w:smartTag>
      <w:r>
        <w:t xml:space="preserve"> police force; or</w:t>
      </w:r>
    </w:p>
    <w:p w:rsidR="005E14A5" w:rsidRDefault="005E14A5">
      <w:pPr>
        <w:pStyle w:val="defaindent"/>
        <w:tabs>
          <w:tab w:val="clear" w:pos="1360"/>
          <w:tab w:val="left" w:pos="360"/>
          <w:tab w:val="left" w:pos="900"/>
          <w:tab w:val="left" w:pos="1620"/>
          <w:tab w:val="left" w:pos="2160"/>
        </w:tabs>
        <w:ind w:left="2160" w:hanging="540"/>
      </w:pPr>
      <w:r>
        <w:t>(b)</w:t>
      </w:r>
      <w:r>
        <w:tab/>
        <w:t xml:space="preserve">the police force of a State or Territory of the Commonwealth or </w:t>
      </w:r>
      <w:smartTag w:uri="urn:schemas-microsoft-com:office:smarttags" w:element="place">
        <w:smartTag w:uri="urn:schemas-microsoft-com:office:smarttags" w:element="country-region">
          <w:r>
            <w:t>New Zealand</w:t>
          </w:r>
        </w:smartTag>
      </w:smartTag>
      <w:r>
        <w:t>; or</w:t>
      </w:r>
    </w:p>
    <w:p w:rsidR="005E14A5" w:rsidRDefault="005E14A5">
      <w:pPr>
        <w:pStyle w:val="defaindent"/>
        <w:tabs>
          <w:tab w:val="clear" w:pos="1360"/>
          <w:tab w:val="left" w:pos="360"/>
          <w:tab w:val="left" w:pos="900"/>
          <w:tab w:val="left" w:pos="1620"/>
          <w:tab w:val="left" w:pos="2160"/>
        </w:tabs>
        <w:ind w:left="2160" w:hanging="540"/>
      </w:pPr>
      <w:r>
        <w:t>(c)</w:t>
      </w:r>
      <w:r>
        <w:tab/>
        <w:t>the Australian Federal Police; or</w:t>
      </w:r>
    </w:p>
    <w:p w:rsidR="005E14A5" w:rsidRDefault="005E14A5">
      <w:pPr>
        <w:pStyle w:val="defaindent"/>
        <w:tabs>
          <w:tab w:val="clear" w:pos="1360"/>
          <w:tab w:val="left" w:pos="360"/>
          <w:tab w:val="left" w:pos="900"/>
          <w:tab w:val="left" w:pos="1620"/>
          <w:tab w:val="left" w:pos="2160"/>
        </w:tabs>
        <w:ind w:left="2160" w:hanging="540"/>
      </w:pPr>
      <w:r>
        <w:t>(d)</w:t>
      </w:r>
      <w:r>
        <w:tab/>
        <w:t>any other prescribed authority or person responsible for the enforcement of law;</w:t>
      </w:r>
    </w:p>
    <w:p w:rsidR="005E14A5" w:rsidRDefault="005E14A5" w:rsidP="00F1520D">
      <w:pPr>
        <w:pStyle w:val="def"/>
        <w:tabs>
          <w:tab w:val="left" w:pos="360"/>
          <w:tab w:val="left" w:pos="900"/>
          <w:tab w:val="left" w:pos="1620"/>
        </w:tabs>
        <w:ind w:left="1401" w:hanging="499"/>
      </w:pPr>
      <w:r>
        <w:t>“prescribed Act” means —</w:t>
      </w:r>
    </w:p>
    <w:p w:rsidR="005E14A5" w:rsidRDefault="005E14A5">
      <w:pPr>
        <w:pStyle w:val="defaindent"/>
        <w:tabs>
          <w:tab w:val="clear" w:pos="1360"/>
          <w:tab w:val="left" w:pos="360"/>
          <w:tab w:val="left" w:pos="900"/>
          <w:tab w:val="left" w:pos="1620"/>
          <w:tab w:val="left" w:pos="2160"/>
        </w:tabs>
        <w:ind w:left="2160" w:hanging="540"/>
      </w:pPr>
      <w:r>
        <w:t>(a)</w:t>
      </w:r>
      <w:r>
        <w:tab/>
        <w:t xml:space="preserve">the </w:t>
      </w:r>
      <w:r>
        <w:rPr>
          <w:i/>
        </w:rPr>
        <w:t>Gaming Act 1998</w:t>
      </w:r>
      <w:r>
        <w:t>; and</w:t>
      </w:r>
    </w:p>
    <w:p w:rsidR="005E14A5" w:rsidRDefault="005E14A5">
      <w:pPr>
        <w:pStyle w:val="defaindent"/>
        <w:tabs>
          <w:tab w:val="clear" w:pos="1360"/>
          <w:tab w:val="left" w:pos="360"/>
          <w:tab w:val="left" w:pos="900"/>
          <w:tab w:val="left" w:pos="1620"/>
          <w:tab w:val="left" w:pos="2160"/>
        </w:tabs>
        <w:ind w:left="2160" w:hanging="540"/>
      </w:pPr>
      <w:r>
        <w:t>(b)</w:t>
      </w:r>
      <w:r>
        <w:tab/>
        <w:t xml:space="preserve">the </w:t>
      </w:r>
      <w:r>
        <w:rPr>
          <w:i/>
        </w:rPr>
        <w:t>Bookmakers and Betting Exchange Act 1998</w:t>
      </w:r>
      <w:r>
        <w:t>; and</w:t>
      </w:r>
    </w:p>
    <w:p w:rsidR="005E14A5" w:rsidRDefault="005E14A5">
      <w:pPr>
        <w:pStyle w:val="defaindent"/>
        <w:tabs>
          <w:tab w:val="clear" w:pos="1360"/>
          <w:tab w:val="left" w:pos="360"/>
          <w:tab w:val="left" w:pos="900"/>
          <w:tab w:val="left" w:pos="1620"/>
          <w:tab w:val="left" w:pos="2160"/>
        </w:tabs>
        <w:ind w:left="2160" w:hanging="540"/>
      </w:pPr>
      <w:r>
        <w:t>(c)</w:t>
      </w:r>
      <w:r>
        <w:tab/>
        <w:t>any other Act prescribed for the purposes of this definition; and</w:t>
      </w:r>
    </w:p>
    <w:p w:rsidR="005E14A5" w:rsidRDefault="005E14A5">
      <w:pPr>
        <w:pStyle w:val="Heading2"/>
      </w:pPr>
      <w:r>
        <w:lastRenderedPageBreak/>
        <w:t xml:space="preserve">Part 2  </w:t>
      </w:r>
      <w:r>
        <w:rPr>
          <w:lang w:val="en-AU"/>
        </w:rPr>
        <w:t xml:space="preserve">—  </w:t>
      </w:r>
      <w:smartTag w:uri="urn:schemas-microsoft-com:office:smarttags" w:element="place">
        <w:r>
          <w:t>Norfolk Island</w:t>
        </w:r>
      </w:smartTag>
      <w:r>
        <w:t xml:space="preserve"> gaming authority</w:t>
      </w:r>
    </w:p>
    <w:p w:rsidR="005E14A5" w:rsidRDefault="005E14A5" w:rsidP="0043644F">
      <w:pPr>
        <w:pStyle w:val="Heading3"/>
        <w:spacing w:before="120"/>
      </w:pPr>
      <w:r>
        <w:t>Division 1—Establishment of the Authority</w:t>
      </w:r>
    </w:p>
    <w:p w:rsidR="005E14A5" w:rsidRDefault="005E14A5">
      <w:pPr>
        <w:pStyle w:val="Heading4"/>
      </w:pPr>
      <w:r>
        <w:t>Establishment</w:t>
      </w:r>
    </w:p>
    <w:p w:rsidR="005E14A5" w:rsidRDefault="005E14A5">
      <w:pPr>
        <w:pStyle w:val="allsections"/>
        <w:tabs>
          <w:tab w:val="left" w:pos="360"/>
          <w:tab w:val="left" w:pos="900"/>
          <w:tab w:val="left" w:pos="1620"/>
        </w:tabs>
        <w:ind w:firstLine="360"/>
      </w:pPr>
      <w:r>
        <w:rPr>
          <w:b/>
        </w:rPr>
        <w:t>5.</w:t>
      </w:r>
      <w:r>
        <w:rPr>
          <w:b/>
        </w:rPr>
        <w:tab/>
      </w:r>
      <w:r>
        <w:t xml:space="preserve">The Norfolk Island </w:t>
      </w:r>
      <w:r>
        <w:rPr>
          <w:caps/>
        </w:rPr>
        <w:t>g</w:t>
      </w:r>
      <w:r>
        <w:t>aming Authority is established by this Act.</w:t>
      </w:r>
    </w:p>
    <w:p w:rsidR="00C2639D" w:rsidRPr="008E3CB7" w:rsidRDefault="00C2639D" w:rsidP="00C2639D">
      <w:pPr>
        <w:pStyle w:val="ActHead5"/>
      </w:pPr>
      <w:bookmarkStart w:id="0" w:name="_Toc478117428"/>
      <w:r w:rsidRPr="008E3CB7">
        <w:rPr>
          <w:rStyle w:val="CharSectno"/>
        </w:rPr>
        <w:t>6</w:t>
      </w:r>
      <w:r w:rsidRPr="008E3CB7">
        <w:t xml:space="preserve">  Powers and functions of the Authority</w:t>
      </w:r>
      <w:bookmarkEnd w:id="0"/>
    </w:p>
    <w:p w:rsidR="00C2639D" w:rsidRPr="008E3CB7" w:rsidRDefault="00C2639D" w:rsidP="00C2639D">
      <w:pPr>
        <w:pStyle w:val="subsection"/>
      </w:pPr>
      <w:r w:rsidRPr="008E3CB7">
        <w:tab/>
      </w:r>
      <w:r w:rsidRPr="008E3CB7">
        <w:tab/>
        <w:t>On and after 1 April 2017, the powers and functions of the Authority are to be exercised and performed by the Minister on behalf of the Authority.</w:t>
      </w:r>
    </w:p>
    <w:p w:rsidR="005E14A5" w:rsidRDefault="005E14A5" w:rsidP="0043644F">
      <w:pPr>
        <w:pStyle w:val="Heading3"/>
        <w:spacing w:before="120"/>
      </w:pPr>
      <w:r>
        <w:t>Division 2  —  Functions and Powers of the Authority</w:t>
      </w:r>
    </w:p>
    <w:p w:rsidR="005E14A5" w:rsidRDefault="005E14A5">
      <w:pPr>
        <w:pStyle w:val="Heading4"/>
      </w:pPr>
      <w:r>
        <w:t xml:space="preserve">Functions and powers </w:t>
      </w:r>
    </w:p>
    <w:p w:rsidR="005E14A5" w:rsidRDefault="005E14A5">
      <w:pPr>
        <w:pStyle w:val="allsections"/>
        <w:tabs>
          <w:tab w:val="left" w:pos="360"/>
          <w:tab w:val="left" w:pos="900"/>
          <w:tab w:val="left" w:pos="1620"/>
        </w:tabs>
        <w:ind w:firstLine="360"/>
      </w:pPr>
      <w:r>
        <w:rPr>
          <w:b/>
        </w:rPr>
        <w:t>11.</w:t>
      </w:r>
      <w:r>
        <w:rPr>
          <w:b/>
        </w:rPr>
        <w:tab/>
        <w:t>(1)</w:t>
      </w:r>
      <w:r>
        <w:rPr>
          <w:b/>
        </w:rPr>
        <w:tab/>
      </w:r>
      <w:r>
        <w:t>The functions of the Authority are —</w:t>
      </w:r>
    </w:p>
    <w:p w:rsidR="005E14A5" w:rsidRDefault="005E14A5">
      <w:pPr>
        <w:pStyle w:val="aindent"/>
        <w:tabs>
          <w:tab w:val="clear" w:pos="700"/>
          <w:tab w:val="left" w:pos="360"/>
          <w:tab w:val="left" w:pos="1080"/>
          <w:tab w:val="left" w:pos="1800"/>
        </w:tabs>
        <w:ind w:left="1800" w:hanging="720"/>
      </w:pPr>
      <w:r>
        <w:t>(a)</w:t>
      </w:r>
      <w:r>
        <w:tab/>
        <w:t>the functions conferred on, or assigned to, it by or under this or any prescribed Act; and</w:t>
      </w:r>
    </w:p>
    <w:p w:rsidR="005E14A5" w:rsidRDefault="005E14A5">
      <w:pPr>
        <w:pStyle w:val="aindent"/>
        <w:tabs>
          <w:tab w:val="clear" w:pos="700"/>
          <w:tab w:val="left" w:pos="360"/>
          <w:tab w:val="left" w:pos="1080"/>
          <w:tab w:val="left" w:pos="1800"/>
        </w:tabs>
        <w:ind w:left="1800" w:hanging="720"/>
      </w:pPr>
      <w:r>
        <w:t>(b)</w:t>
      </w:r>
      <w:r>
        <w:tab/>
        <w:t>to ensure that an efficient and effective system of supervision is established and maintained over the operations authorised by or under any prescribed Act; and</w:t>
      </w:r>
    </w:p>
    <w:p w:rsidR="005E14A5" w:rsidRDefault="005E14A5">
      <w:pPr>
        <w:pStyle w:val="aindent"/>
        <w:tabs>
          <w:tab w:val="clear" w:pos="700"/>
          <w:tab w:val="left" w:pos="360"/>
          <w:tab w:val="left" w:pos="1080"/>
          <w:tab w:val="left" w:pos="1800"/>
        </w:tabs>
        <w:ind w:left="1800" w:hanging="720"/>
      </w:pPr>
      <w:r>
        <w:t>(d)</w:t>
      </w:r>
      <w:r>
        <w:tab/>
        <w:t xml:space="preserve">to liaise with other gaming control agencies, whether in </w:t>
      </w:r>
      <w:smartTag w:uri="urn:schemas-microsoft-com:office:smarttags" w:element="place">
        <w:smartTag w:uri="urn:schemas-microsoft-com:office:smarttags" w:element="country-region">
          <w:r>
            <w:t>Australia</w:t>
          </w:r>
        </w:smartTag>
      </w:smartTag>
      <w:r>
        <w:t xml:space="preserve"> or elsewhere, on matters relating to the administration, operation or control of gaming.</w:t>
      </w:r>
    </w:p>
    <w:p w:rsidR="005E14A5" w:rsidRDefault="005E14A5">
      <w:pPr>
        <w:pStyle w:val="allsections"/>
        <w:tabs>
          <w:tab w:val="left" w:pos="360"/>
          <w:tab w:val="left" w:pos="900"/>
          <w:tab w:val="left" w:pos="1620"/>
        </w:tabs>
      </w:pPr>
      <w:r>
        <w:rPr>
          <w:b/>
        </w:rPr>
        <w:tab/>
        <w:t>(2)</w:t>
      </w:r>
      <w:r>
        <w:rPr>
          <w:b/>
        </w:rPr>
        <w:tab/>
      </w:r>
      <w:r>
        <w:t>The Authority has power to do all things necessary or convenient to be done for or in connection with, or incidental to, the performance of its functions and in particular has the specific powers conferred on, or assigned to, it by or under this or any prescribed Act.</w:t>
      </w:r>
    </w:p>
    <w:p w:rsidR="00C2639D" w:rsidRPr="007B5D9E" w:rsidRDefault="00C2639D" w:rsidP="00DF55CD">
      <w:pPr>
        <w:pStyle w:val="allsections"/>
        <w:tabs>
          <w:tab w:val="left" w:pos="360"/>
          <w:tab w:val="left" w:pos="900"/>
          <w:tab w:val="left" w:pos="1620"/>
        </w:tabs>
        <w:ind w:firstLine="360"/>
      </w:pPr>
      <w:r w:rsidRPr="007B5D9E">
        <w:tab/>
      </w:r>
      <w:r w:rsidRPr="00DF55CD">
        <w:rPr>
          <w:b/>
        </w:rPr>
        <w:t>(3)</w:t>
      </w:r>
      <w:r w:rsidRPr="007B5D9E">
        <w:tab/>
        <w:t>The Authority may direct an authorised officer in the exercise of the powers or functions conferred on him or her by or under this Act, or any prescribed Act.</w:t>
      </w:r>
    </w:p>
    <w:p w:rsidR="005E14A5" w:rsidRDefault="005E14A5">
      <w:pPr>
        <w:pStyle w:val="Heading4"/>
      </w:pPr>
      <w:r>
        <w:t>Inquiries</w:t>
      </w:r>
    </w:p>
    <w:p w:rsidR="005E14A5" w:rsidRDefault="005E14A5">
      <w:pPr>
        <w:pStyle w:val="allsections"/>
        <w:tabs>
          <w:tab w:val="left" w:pos="360"/>
          <w:tab w:val="left" w:pos="900"/>
          <w:tab w:val="left" w:pos="1620"/>
        </w:tabs>
        <w:ind w:firstLine="360"/>
      </w:pPr>
      <w:r>
        <w:rPr>
          <w:b/>
        </w:rPr>
        <w:t>12.</w:t>
      </w:r>
      <w:r>
        <w:rPr>
          <w:b/>
        </w:rPr>
        <w:tab/>
        <w:t>(1)</w:t>
      </w:r>
      <w:r>
        <w:rPr>
          <w:b/>
        </w:rPr>
        <w:tab/>
      </w:r>
      <w:r>
        <w:t>The Authority may —</w:t>
      </w:r>
    </w:p>
    <w:p w:rsidR="005E14A5" w:rsidRDefault="005E14A5">
      <w:pPr>
        <w:pStyle w:val="aindent"/>
        <w:tabs>
          <w:tab w:val="clear" w:pos="700"/>
          <w:tab w:val="left" w:pos="1080"/>
          <w:tab w:val="left" w:pos="1800"/>
        </w:tabs>
        <w:ind w:left="1800" w:hanging="720"/>
      </w:pPr>
      <w:r>
        <w:t>(a)</w:t>
      </w:r>
      <w:r>
        <w:tab/>
        <w:t>hold an inquiry whenever it considers it necessary or desirable for the purpose of carrying out its functions; and</w:t>
      </w:r>
    </w:p>
    <w:p w:rsidR="005E14A5" w:rsidRDefault="005E14A5">
      <w:pPr>
        <w:pStyle w:val="aindent"/>
        <w:tabs>
          <w:tab w:val="clear" w:pos="700"/>
          <w:tab w:val="left" w:pos="1080"/>
          <w:tab w:val="left" w:pos="1800"/>
        </w:tabs>
        <w:ind w:left="1800" w:hanging="720"/>
      </w:pPr>
      <w:r>
        <w:t>(b)</w:t>
      </w:r>
      <w:r>
        <w:tab/>
        <w:t xml:space="preserve">must, at the request of the </w:t>
      </w:r>
      <w:r w:rsidR="00CB2933">
        <w:t>Minister</w:t>
      </w:r>
      <w:r>
        <w:t>, hold an inquiry into any matter relating to the operation, administration or enforcement of any prescribed Act.</w:t>
      </w:r>
    </w:p>
    <w:p w:rsidR="005E14A5" w:rsidRDefault="005E14A5">
      <w:pPr>
        <w:pStyle w:val="allsections"/>
        <w:tabs>
          <w:tab w:val="left" w:pos="360"/>
          <w:tab w:val="left" w:pos="900"/>
          <w:tab w:val="left" w:pos="1620"/>
        </w:tabs>
      </w:pPr>
      <w:r>
        <w:rPr>
          <w:b/>
        </w:rPr>
        <w:tab/>
        <w:t>(2)</w:t>
      </w:r>
      <w:r>
        <w:rPr>
          <w:b/>
        </w:rPr>
        <w:tab/>
      </w:r>
      <w:r>
        <w:t xml:space="preserve">The Authority must provide the </w:t>
      </w:r>
      <w:r w:rsidR="00CB2933">
        <w:t>Minister</w:t>
      </w:r>
      <w:r>
        <w:t xml:space="preserve"> with a report of the Authority’s findings and recommendations for any action to be taken.</w:t>
      </w:r>
    </w:p>
    <w:p w:rsidR="005E14A5" w:rsidRDefault="005E14A5">
      <w:pPr>
        <w:pStyle w:val="allsections"/>
        <w:tabs>
          <w:tab w:val="left" w:pos="360"/>
          <w:tab w:val="left" w:pos="900"/>
          <w:tab w:val="left" w:pos="1620"/>
        </w:tabs>
      </w:pPr>
      <w:r>
        <w:rPr>
          <w:b/>
        </w:rPr>
        <w:tab/>
        <w:t>(3)</w:t>
      </w:r>
      <w:r>
        <w:rPr>
          <w:b/>
        </w:rPr>
        <w:tab/>
      </w:r>
      <w:r>
        <w:t xml:space="preserve">Unless the Authority recommends that the report should remain confidential, the </w:t>
      </w:r>
      <w:r w:rsidR="00CB2933">
        <w:t>Minister</w:t>
      </w:r>
      <w:r>
        <w:t xml:space="preserve"> must table a copy of the report in the Legislative Assembly within 2 sitting days after it is received.</w:t>
      </w:r>
    </w:p>
    <w:p w:rsidR="005E14A5" w:rsidRDefault="005E14A5">
      <w:pPr>
        <w:pStyle w:val="Heading4"/>
      </w:pPr>
      <w:r>
        <w:t>Powers and procedures of Authority on inquiry or other proceeding</w:t>
      </w:r>
    </w:p>
    <w:p w:rsidR="005E14A5" w:rsidRDefault="005E14A5">
      <w:pPr>
        <w:pStyle w:val="allsections"/>
        <w:tabs>
          <w:tab w:val="left" w:pos="360"/>
          <w:tab w:val="left" w:pos="900"/>
          <w:tab w:val="left" w:pos="1620"/>
        </w:tabs>
        <w:ind w:firstLine="360"/>
      </w:pPr>
      <w:r>
        <w:rPr>
          <w:b/>
        </w:rPr>
        <w:t>13.</w:t>
      </w:r>
      <w:r>
        <w:rPr>
          <w:b/>
        </w:rPr>
        <w:tab/>
        <w:t>(1)</w:t>
      </w:r>
      <w:r>
        <w:rPr>
          <w:b/>
        </w:rPr>
        <w:tab/>
      </w:r>
      <w:r>
        <w:t>For the purposes of an inquiry, investigation or other proceedings before the Authority (whether under this or any other Act), the Authority may —</w:t>
      </w:r>
    </w:p>
    <w:p w:rsidR="005E14A5" w:rsidRDefault="005E14A5">
      <w:pPr>
        <w:pStyle w:val="aindent"/>
        <w:tabs>
          <w:tab w:val="clear" w:pos="700"/>
          <w:tab w:val="left" w:pos="1080"/>
          <w:tab w:val="left" w:pos="1800"/>
        </w:tabs>
        <w:ind w:left="1800" w:hanging="720"/>
      </w:pPr>
      <w:r>
        <w:t>(a)</w:t>
      </w:r>
      <w:r>
        <w:tab/>
        <w:t>require —</w:t>
      </w:r>
    </w:p>
    <w:p w:rsidR="005E14A5" w:rsidRDefault="005E14A5">
      <w:pPr>
        <w:pStyle w:val="iindent"/>
        <w:tabs>
          <w:tab w:val="left" w:pos="360"/>
          <w:tab w:val="left" w:pos="900"/>
          <w:tab w:val="left" w:pos="1800"/>
          <w:tab w:val="left" w:pos="2340"/>
        </w:tabs>
        <w:ind w:left="2340" w:hanging="540"/>
      </w:pPr>
      <w:r>
        <w:t>(i)</w:t>
      </w:r>
      <w:r>
        <w:tab/>
        <w:t>the attendance before the Authority of any person; or</w:t>
      </w:r>
    </w:p>
    <w:p w:rsidR="005E14A5" w:rsidRDefault="005E14A5">
      <w:pPr>
        <w:pStyle w:val="iindent"/>
        <w:tabs>
          <w:tab w:val="left" w:pos="360"/>
          <w:tab w:val="left" w:pos="900"/>
          <w:tab w:val="left" w:pos="1800"/>
          <w:tab w:val="left" w:pos="2340"/>
        </w:tabs>
        <w:ind w:left="2340" w:hanging="540"/>
      </w:pPr>
      <w:r>
        <w:lastRenderedPageBreak/>
        <w:t>(ii)</w:t>
      </w:r>
      <w:r>
        <w:tab/>
        <w:t>the production of any equipment or other item, or any books, papers or documents; or</w:t>
      </w:r>
    </w:p>
    <w:p w:rsidR="005E14A5" w:rsidRDefault="005E14A5">
      <w:pPr>
        <w:pStyle w:val="aindent"/>
        <w:tabs>
          <w:tab w:val="clear" w:pos="700"/>
          <w:tab w:val="left" w:pos="360"/>
          <w:tab w:val="left" w:pos="1080"/>
          <w:tab w:val="left" w:pos="1800"/>
        </w:tabs>
        <w:ind w:left="1800" w:hanging="720"/>
      </w:pPr>
      <w:r>
        <w:t>(b)</w:t>
      </w:r>
      <w:r>
        <w:tab/>
        <w:t>require a person to answer a specified question to the best of the person’s knowledge and belief, verified by statutory declaration; or</w:t>
      </w:r>
    </w:p>
    <w:p w:rsidR="005E14A5" w:rsidRDefault="005E14A5">
      <w:pPr>
        <w:pStyle w:val="aindent"/>
        <w:tabs>
          <w:tab w:val="clear" w:pos="700"/>
          <w:tab w:val="left" w:pos="360"/>
          <w:tab w:val="left" w:pos="1080"/>
          <w:tab w:val="left" w:pos="1800"/>
        </w:tabs>
        <w:ind w:left="1800" w:hanging="720"/>
      </w:pPr>
      <w:r>
        <w:t>(c)</w:t>
      </w:r>
      <w:r>
        <w:tab/>
        <w:t>inspect any equipment or other items, or books, papers or documents produced before it and retain them for that purpose; or</w:t>
      </w:r>
    </w:p>
    <w:p w:rsidR="005E14A5" w:rsidRDefault="005E14A5">
      <w:pPr>
        <w:pStyle w:val="aindent"/>
        <w:tabs>
          <w:tab w:val="clear" w:pos="700"/>
          <w:tab w:val="left" w:pos="360"/>
          <w:tab w:val="left" w:pos="1080"/>
          <w:tab w:val="left" w:pos="1800"/>
        </w:tabs>
        <w:ind w:left="1800" w:hanging="720"/>
      </w:pPr>
      <w:r>
        <w:t>(d)</w:t>
      </w:r>
      <w:r>
        <w:tab/>
        <w:t>make copies of books, papers or documents produced before it; or</w:t>
      </w:r>
    </w:p>
    <w:p w:rsidR="005E14A5" w:rsidRDefault="005E14A5">
      <w:pPr>
        <w:pStyle w:val="aindent"/>
        <w:tabs>
          <w:tab w:val="clear" w:pos="700"/>
          <w:tab w:val="left" w:pos="360"/>
          <w:tab w:val="left" w:pos="1080"/>
          <w:tab w:val="left" w:pos="1800"/>
        </w:tabs>
        <w:ind w:left="1800" w:hanging="720"/>
      </w:pPr>
      <w:r>
        <w:t>(e)</w:t>
      </w:r>
      <w:r>
        <w:tab/>
        <w:t>require a person to make an oath, or affirm, that the person will truly answer all questions put to the person in the course of an inquiry; or</w:t>
      </w:r>
    </w:p>
    <w:p w:rsidR="005E14A5" w:rsidRDefault="005E14A5">
      <w:pPr>
        <w:pStyle w:val="aindent"/>
        <w:tabs>
          <w:tab w:val="clear" w:pos="700"/>
          <w:tab w:val="left" w:pos="360"/>
          <w:tab w:val="left" w:pos="1080"/>
          <w:tab w:val="left" w:pos="1800"/>
        </w:tabs>
        <w:ind w:left="1800" w:hanging="720"/>
      </w:pPr>
      <w:r>
        <w:t>(f)</w:t>
      </w:r>
      <w:r>
        <w:tab/>
        <w:t xml:space="preserve">require a person to answer any question put to the person by the Authority or any person appearing before the Authority. </w:t>
      </w:r>
    </w:p>
    <w:p w:rsidR="005E14A5" w:rsidRDefault="005E14A5">
      <w:pPr>
        <w:pStyle w:val="allsections"/>
        <w:tabs>
          <w:tab w:val="left" w:pos="360"/>
          <w:tab w:val="left" w:pos="900"/>
          <w:tab w:val="left" w:pos="1620"/>
        </w:tabs>
      </w:pPr>
      <w:r>
        <w:rPr>
          <w:b/>
        </w:rPr>
        <w:tab/>
        <w:t>(2)</w:t>
      </w:r>
      <w:r>
        <w:rPr>
          <w:b/>
        </w:rPr>
        <w:tab/>
      </w:r>
      <w:r>
        <w:t>A person must not —</w:t>
      </w:r>
    </w:p>
    <w:p w:rsidR="005E14A5" w:rsidRDefault="005E14A5">
      <w:pPr>
        <w:pStyle w:val="aindent"/>
        <w:tabs>
          <w:tab w:val="clear" w:pos="700"/>
          <w:tab w:val="left" w:pos="360"/>
          <w:tab w:val="left" w:pos="1080"/>
          <w:tab w:val="left" w:pos="1800"/>
        </w:tabs>
        <w:ind w:left="1800" w:hanging="720"/>
      </w:pPr>
      <w:r>
        <w:t>(a)</w:t>
      </w:r>
      <w:r>
        <w:tab/>
        <w:t>fail to comply with a requirement of the Authority under paragraph 13(1)(a) unless the person has a reasonable excuse (proof of which lies on the person); or</w:t>
      </w:r>
    </w:p>
    <w:p w:rsidR="005E14A5" w:rsidRDefault="005E14A5">
      <w:pPr>
        <w:pStyle w:val="aindent"/>
        <w:tabs>
          <w:tab w:val="clear" w:pos="700"/>
          <w:tab w:val="left" w:pos="360"/>
          <w:tab w:val="left" w:pos="1080"/>
          <w:tab w:val="left" w:pos="1800"/>
        </w:tabs>
        <w:ind w:left="1800" w:hanging="720"/>
      </w:pPr>
      <w:r>
        <w:t>(b)</w:t>
      </w:r>
      <w:r>
        <w:tab/>
        <w:t>disrupt the proceedings of, or misbehave before, the Authority; or</w:t>
      </w:r>
    </w:p>
    <w:p w:rsidR="005E14A5" w:rsidRDefault="005E14A5">
      <w:pPr>
        <w:pStyle w:val="aindent"/>
        <w:tabs>
          <w:tab w:val="clear" w:pos="700"/>
          <w:tab w:val="left" w:pos="360"/>
          <w:tab w:val="left" w:pos="1080"/>
          <w:tab w:val="left" w:pos="1800"/>
        </w:tabs>
        <w:ind w:left="1800" w:hanging="720"/>
      </w:pPr>
      <w:r>
        <w:t>(c)</w:t>
      </w:r>
      <w:r>
        <w:tab/>
        <w:t>insult the Authority; or</w:t>
      </w:r>
    </w:p>
    <w:p w:rsidR="005E14A5" w:rsidRDefault="005E14A5">
      <w:pPr>
        <w:pStyle w:val="aindent"/>
        <w:tabs>
          <w:tab w:val="clear" w:pos="700"/>
          <w:tab w:val="left" w:pos="360"/>
          <w:tab w:val="left" w:pos="1080"/>
          <w:tab w:val="left" w:pos="1800"/>
        </w:tabs>
        <w:ind w:left="1800" w:hanging="720"/>
      </w:pPr>
      <w:r>
        <w:t>(d)</w:t>
      </w:r>
      <w:r>
        <w:tab/>
        <w:t>fail to be sworn or affirm, or to answer any relevant question, when required to do so by the Authority.</w:t>
      </w:r>
    </w:p>
    <w:p w:rsidR="005E14A5" w:rsidRDefault="005E14A5">
      <w:pPr>
        <w:pStyle w:val="def"/>
        <w:tabs>
          <w:tab w:val="left" w:pos="1800"/>
        </w:tabs>
        <w:ind w:left="3600" w:hanging="2880"/>
      </w:pPr>
      <w:r>
        <w:t>Penalty (Subsection 13(2)):</w:t>
      </w:r>
      <w:r>
        <w:tab/>
        <w:t>100 penalty units or 12 months imprisonment or both.</w:t>
      </w:r>
    </w:p>
    <w:p w:rsidR="005E14A5" w:rsidRDefault="005E14A5">
      <w:pPr>
        <w:pStyle w:val="allsections"/>
        <w:tabs>
          <w:tab w:val="left" w:pos="360"/>
          <w:tab w:val="left" w:pos="900"/>
          <w:tab w:val="left" w:pos="1620"/>
        </w:tabs>
      </w:pPr>
      <w:r>
        <w:rPr>
          <w:b/>
        </w:rPr>
        <w:tab/>
        <w:t>(3)</w:t>
      </w:r>
      <w:r>
        <w:rPr>
          <w:b/>
        </w:rPr>
        <w:tab/>
      </w:r>
      <w:r>
        <w:t xml:space="preserve">The Authority may sit at any time and in any place (including a place outside </w:t>
      </w:r>
      <w:smartTag w:uri="urn:schemas-microsoft-com:office:smarttags" w:element="place">
        <w:r>
          <w:t>Norfolk Island</w:t>
        </w:r>
      </w:smartTag>
      <w:r>
        <w:t>) and may adjourn its sittings from time to time or from place to place.</w:t>
      </w:r>
    </w:p>
    <w:p w:rsidR="005E14A5" w:rsidRDefault="005E14A5">
      <w:pPr>
        <w:pStyle w:val="allsections"/>
        <w:tabs>
          <w:tab w:val="left" w:pos="360"/>
          <w:tab w:val="left" w:pos="900"/>
          <w:tab w:val="left" w:pos="1620"/>
        </w:tabs>
      </w:pPr>
      <w:r>
        <w:rPr>
          <w:b/>
        </w:rPr>
        <w:tab/>
        <w:t>(4)</w:t>
      </w:r>
      <w:r>
        <w:rPr>
          <w:b/>
        </w:rPr>
        <w:tab/>
      </w:r>
      <w:r>
        <w:t>In any proceeding, the Authority may —</w:t>
      </w:r>
    </w:p>
    <w:p w:rsidR="005E14A5" w:rsidRDefault="005E14A5">
      <w:pPr>
        <w:pStyle w:val="aindent"/>
        <w:tabs>
          <w:tab w:val="clear" w:pos="700"/>
          <w:tab w:val="left" w:pos="360"/>
          <w:tab w:val="left" w:pos="1080"/>
          <w:tab w:val="left" w:pos="1800"/>
        </w:tabs>
        <w:ind w:left="1800" w:hanging="720"/>
      </w:pPr>
      <w:r>
        <w:t>(a)</w:t>
      </w:r>
      <w:r>
        <w:tab/>
        <w:t>receive in evidence any transcript of evidence in proceedings before —</w:t>
      </w:r>
    </w:p>
    <w:p w:rsidR="005E14A5" w:rsidRDefault="005E14A5">
      <w:pPr>
        <w:pStyle w:val="iindent"/>
        <w:tabs>
          <w:tab w:val="left" w:pos="360"/>
          <w:tab w:val="left" w:pos="900"/>
          <w:tab w:val="left" w:pos="1800"/>
          <w:tab w:val="left" w:pos="2700"/>
        </w:tabs>
        <w:ind w:left="2700" w:hanging="900"/>
      </w:pPr>
      <w:r>
        <w:t>(i)</w:t>
      </w:r>
      <w:r>
        <w:tab/>
        <w:t xml:space="preserve">any court or tribunal; or </w:t>
      </w:r>
    </w:p>
    <w:p w:rsidR="005E14A5" w:rsidRDefault="005E14A5">
      <w:pPr>
        <w:pStyle w:val="iindent"/>
        <w:tabs>
          <w:tab w:val="left" w:pos="360"/>
          <w:tab w:val="left" w:pos="900"/>
          <w:tab w:val="left" w:pos="1800"/>
          <w:tab w:val="left" w:pos="2700"/>
        </w:tabs>
        <w:ind w:left="2700" w:hanging="900"/>
      </w:pPr>
      <w:r>
        <w:t>(ii)</w:t>
      </w:r>
      <w:r>
        <w:tab/>
        <w:t xml:space="preserve">any other person or body approved by the Administrator in writing for the purposes of this section, </w:t>
      </w:r>
    </w:p>
    <w:p w:rsidR="005E14A5" w:rsidRDefault="005E14A5">
      <w:pPr>
        <w:pStyle w:val="quarterout"/>
        <w:tabs>
          <w:tab w:val="left" w:pos="360"/>
          <w:tab w:val="left" w:pos="900"/>
          <w:tab w:val="left" w:pos="1800"/>
          <w:tab w:val="left" w:pos="2700"/>
        </w:tabs>
        <w:ind w:left="1800"/>
      </w:pPr>
      <w:r>
        <w:t>and may draw any conclusions of fact from the transcript as it thinks proper; or</w:t>
      </w:r>
    </w:p>
    <w:p w:rsidR="005E14A5" w:rsidRDefault="005E14A5">
      <w:pPr>
        <w:pStyle w:val="aindent"/>
        <w:tabs>
          <w:tab w:val="clear" w:pos="700"/>
          <w:tab w:val="left" w:pos="1080"/>
          <w:tab w:val="left" w:pos="1800"/>
        </w:tabs>
        <w:ind w:left="1800" w:hanging="720"/>
      </w:pPr>
      <w:r>
        <w:t>(b)</w:t>
      </w:r>
      <w:r>
        <w:tab/>
        <w:t>in its discretion, adopt any finding decision or judgement of —</w:t>
      </w:r>
    </w:p>
    <w:p w:rsidR="005E14A5" w:rsidRDefault="005E14A5">
      <w:pPr>
        <w:pStyle w:val="iindent"/>
        <w:tabs>
          <w:tab w:val="clear" w:pos="1340"/>
          <w:tab w:val="left" w:pos="360"/>
          <w:tab w:val="left" w:pos="1800"/>
          <w:tab w:val="left" w:pos="2700"/>
        </w:tabs>
        <w:ind w:left="2700" w:hanging="900"/>
      </w:pPr>
      <w:r>
        <w:t>(i)</w:t>
      </w:r>
      <w:r>
        <w:tab/>
        <w:t xml:space="preserve">any court or tribunal; or </w:t>
      </w:r>
    </w:p>
    <w:p w:rsidR="005E14A5" w:rsidRDefault="005E14A5">
      <w:pPr>
        <w:pStyle w:val="iindent"/>
        <w:tabs>
          <w:tab w:val="clear" w:pos="1340"/>
          <w:tab w:val="left" w:pos="360"/>
          <w:tab w:val="left" w:pos="1800"/>
          <w:tab w:val="left" w:pos="2700"/>
        </w:tabs>
        <w:ind w:left="2700" w:hanging="900"/>
      </w:pPr>
      <w:r>
        <w:t>(ii)</w:t>
      </w:r>
      <w:r>
        <w:tab/>
        <w:t>any other person or body approved by the Administrator in writing for the purposes of this section.</w:t>
      </w:r>
    </w:p>
    <w:p w:rsidR="006B5443" w:rsidRPr="008E3CB7" w:rsidRDefault="005E14A5" w:rsidP="00A36962">
      <w:pPr>
        <w:pStyle w:val="Heading2"/>
        <w:keepNext w:val="0"/>
      </w:pPr>
      <w:r>
        <w:br w:type="page"/>
      </w:r>
      <w:bookmarkStart w:id="1" w:name="_Toc478117429"/>
      <w:r w:rsidR="006B5443" w:rsidRPr="00242F9C">
        <w:lastRenderedPageBreak/>
        <w:t>Part 3</w:t>
      </w:r>
      <w:r w:rsidR="006B5443" w:rsidRPr="008E3CB7">
        <w:t>—</w:t>
      </w:r>
      <w:proofErr w:type="spellStart"/>
      <w:r w:rsidR="006B5443" w:rsidRPr="00242F9C">
        <w:t>Authorised</w:t>
      </w:r>
      <w:proofErr w:type="spellEnd"/>
      <w:r w:rsidR="006B5443" w:rsidRPr="00242F9C">
        <w:t xml:space="preserve"> officers</w:t>
      </w:r>
      <w:bookmarkEnd w:id="1"/>
    </w:p>
    <w:p w:rsidR="005E14A5" w:rsidRDefault="005E14A5">
      <w:pPr>
        <w:pStyle w:val="Heading4"/>
      </w:pPr>
      <w:r>
        <w:t>Authorised officers</w:t>
      </w:r>
    </w:p>
    <w:p w:rsidR="005E14A5" w:rsidRDefault="005E14A5">
      <w:pPr>
        <w:pStyle w:val="allsections"/>
        <w:tabs>
          <w:tab w:val="left" w:pos="360"/>
          <w:tab w:val="left" w:pos="900"/>
          <w:tab w:val="left" w:pos="1620"/>
        </w:tabs>
        <w:ind w:firstLine="360"/>
      </w:pPr>
      <w:r>
        <w:rPr>
          <w:b/>
        </w:rPr>
        <w:t>16.</w:t>
      </w:r>
      <w:r>
        <w:rPr>
          <w:b/>
        </w:rPr>
        <w:tab/>
        <w:t>(1)</w:t>
      </w:r>
      <w:r>
        <w:rPr>
          <w:b/>
        </w:rPr>
        <w:tab/>
      </w:r>
      <w:r>
        <w:t xml:space="preserve">The </w:t>
      </w:r>
      <w:r w:rsidR="00CB2933">
        <w:t>Minister</w:t>
      </w:r>
      <w:r>
        <w:t xml:space="preserve"> may appoint a person to be an authorised officer in respect of a prescribed Act or prescribed Acts.</w:t>
      </w:r>
    </w:p>
    <w:p w:rsidR="005E14A5" w:rsidRDefault="005E14A5">
      <w:pPr>
        <w:pStyle w:val="allsections"/>
        <w:tabs>
          <w:tab w:val="left" w:pos="360"/>
          <w:tab w:val="left" w:pos="900"/>
          <w:tab w:val="left" w:pos="1620"/>
        </w:tabs>
      </w:pPr>
      <w:r>
        <w:rPr>
          <w:b/>
        </w:rPr>
        <w:tab/>
        <w:t>(2)</w:t>
      </w:r>
      <w:r>
        <w:rPr>
          <w:b/>
        </w:rPr>
        <w:tab/>
      </w:r>
      <w:r>
        <w:t xml:space="preserve">The </w:t>
      </w:r>
      <w:r w:rsidR="00CB2933">
        <w:t>Minister</w:t>
      </w:r>
      <w:r>
        <w:t xml:space="preserve"> must provide each authorised officer with identification bearing a photograph of the person and identifying the person as an authorised officer.</w:t>
      </w:r>
    </w:p>
    <w:p w:rsidR="005E14A5" w:rsidRDefault="005E14A5">
      <w:pPr>
        <w:pStyle w:val="allsections"/>
        <w:tabs>
          <w:tab w:val="left" w:pos="360"/>
          <w:tab w:val="left" w:pos="900"/>
          <w:tab w:val="left" w:pos="1620"/>
        </w:tabs>
      </w:pPr>
      <w:r>
        <w:rPr>
          <w:b/>
        </w:rPr>
        <w:tab/>
        <w:t>(3)</w:t>
      </w:r>
      <w:r>
        <w:rPr>
          <w:b/>
        </w:rPr>
        <w:tab/>
      </w:r>
      <w:r>
        <w:t>An authorised officer must, on request, show his or her identification to a person when exercising the powers or functions of an authorised officer in respect of that person.</w:t>
      </w:r>
    </w:p>
    <w:p w:rsidR="005E14A5" w:rsidRDefault="005E14A5">
      <w:pPr>
        <w:pStyle w:val="allsections"/>
        <w:tabs>
          <w:tab w:val="left" w:pos="360"/>
          <w:tab w:val="left" w:pos="900"/>
          <w:tab w:val="left" w:pos="1620"/>
        </w:tabs>
      </w:pPr>
      <w:r>
        <w:rPr>
          <w:b/>
        </w:rPr>
        <w:tab/>
        <w:t>(4)</w:t>
      </w:r>
      <w:r>
        <w:rPr>
          <w:b/>
        </w:rPr>
        <w:tab/>
      </w:r>
      <w:r>
        <w:t>An authorised officer is subject only to the direction of the Authority in the performance of the functions, or exercise of the powers, of that office.</w:t>
      </w:r>
    </w:p>
    <w:p w:rsidR="005E14A5" w:rsidRDefault="005E14A5" w:rsidP="00F1520D">
      <w:pPr>
        <w:pStyle w:val="Heading4"/>
      </w:pPr>
      <w:r>
        <w:t>Functions of authorised officers</w:t>
      </w:r>
    </w:p>
    <w:p w:rsidR="005E14A5" w:rsidRDefault="005E14A5">
      <w:pPr>
        <w:pStyle w:val="allsections"/>
        <w:tabs>
          <w:tab w:val="left" w:pos="360"/>
          <w:tab w:val="left" w:pos="900"/>
          <w:tab w:val="left" w:pos="1620"/>
        </w:tabs>
        <w:ind w:firstLine="360"/>
      </w:pPr>
      <w:r>
        <w:rPr>
          <w:b/>
        </w:rPr>
        <w:t>17.</w:t>
      </w:r>
      <w:r>
        <w:rPr>
          <w:b/>
        </w:rPr>
        <w:tab/>
        <w:t>(1)</w:t>
      </w:r>
      <w:r>
        <w:rPr>
          <w:b/>
        </w:rPr>
        <w:tab/>
      </w:r>
      <w:r>
        <w:t>An authorised officer has the following functions —</w:t>
      </w:r>
    </w:p>
    <w:p w:rsidR="005E14A5" w:rsidRDefault="005E14A5">
      <w:pPr>
        <w:pStyle w:val="aindent"/>
        <w:tabs>
          <w:tab w:val="clear" w:pos="700"/>
          <w:tab w:val="left" w:pos="360"/>
          <w:tab w:val="left" w:pos="1080"/>
          <w:tab w:val="left" w:pos="1800"/>
        </w:tabs>
        <w:ind w:left="1800" w:hanging="720"/>
      </w:pPr>
      <w:r>
        <w:t>(a)</w:t>
      </w:r>
      <w:r>
        <w:tab/>
        <w:t>to directly supervise and inspect the licensed operations undertaken under any prescribed Act in respect of which the authorised officer is appointed; and</w:t>
      </w:r>
    </w:p>
    <w:p w:rsidR="005E14A5" w:rsidRDefault="005E14A5">
      <w:pPr>
        <w:pStyle w:val="aindent"/>
        <w:tabs>
          <w:tab w:val="clear" w:pos="700"/>
          <w:tab w:val="left" w:pos="360"/>
          <w:tab w:val="left" w:pos="1080"/>
          <w:tab w:val="left" w:pos="1800"/>
        </w:tabs>
        <w:ind w:left="1800" w:hanging="720"/>
      </w:pPr>
      <w:r>
        <w:t>(b)</w:t>
      </w:r>
      <w:r>
        <w:tab/>
        <w:t>to assist in detecting offences committed under this Act or any prescribed Act in respect of which the authorised officer is appointed; and</w:t>
      </w:r>
    </w:p>
    <w:p w:rsidR="005E14A5" w:rsidRDefault="005E14A5">
      <w:pPr>
        <w:pStyle w:val="aindent"/>
        <w:tabs>
          <w:tab w:val="clear" w:pos="700"/>
          <w:tab w:val="left" w:pos="360"/>
          <w:tab w:val="left" w:pos="1080"/>
          <w:tab w:val="left" w:pos="1800"/>
        </w:tabs>
        <w:ind w:left="1800" w:hanging="720"/>
      </w:pPr>
      <w:r>
        <w:t>(c)</w:t>
      </w:r>
      <w:r>
        <w:tab/>
        <w:t>to assist the Authority generally, as the Authority sees fit in the administration of this Act and any prescribed Act in respect of which the authorised officer is appointed; and</w:t>
      </w:r>
    </w:p>
    <w:p w:rsidR="005E14A5" w:rsidRDefault="005E14A5">
      <w:pPr>
        <w:pStyle w:val="aindent"/>
        <w:tabs>
          <w:tab w:val="clear" w:pos="700"/>
          <w:tab w:val="left" w:pos="360"/>
          <w:tab w:val="left" w:pos="1080"/>
          <w:tab w:val="left" w:pos="1800"/>
        </w:tabs>
        <w:ind w:left="1800" w:hanging="720"/>
      </w:pPr>
      <w:r>
        <w:t>(d)</w:t>
      </w:r>
      <w:r>
        <w:tab/>
        <w:t>any other function conferred on, or assigned to, the authorised officer by or under this Act or any prescribed Act in respect of which the authorised officer is appointed.</w:t>
      </w:r>
    </w:p>
    <w:p w:rsidR="005E14A5" w:rsidRDefault="005E14A5" w:rsidP="00FE23BC">
      <w:pPr>
        <w:pStyle w:val="allsections"/>
        <w:tabs>
          <w:tab w:val="left" w:pos="360"/>
          <w:tab w:val="left" w:pos="900"/>
          <w:tab w:val="left" w:pos="1620"/>
        </w:tabs>
        <w:ind w:firstLine="403"/>
        <w:rPr>
          <w:lang w:val="en-AU"/>
        </w:rPr>
      </w:pPr>
      <w:r>
        <w:rPr>
          <w:b/>
        </w:rPr>
        <w:tab/>
        <w:t>(2)</w:t>
      </w:r>
      <w:r>
        <w:tab/>
        <w:t>If an authorised officer becomes aware of an irregularity, deficiency or statutory default in relation to an</w:t>
      </w:r>
      <w:r>
        <w:rPr>
          <w:lang w:val="en-AU"/>
        </w:rPr>
        <w:t xml:space="preserve"> operation authorised under this Act or a prescribed Act in respect of which the authorised officer is appointed, the officer must make a written report on the </w:t>
      </w:r>
      <w:r>
        <w:t xml:space="preserve">irregularity, deficiency or default </w:t>
      </w:r>
      <w:r>
        <w:rPr>
          <w:lang w:val="en-AU"/>
        </w:rPr>
        <w:t>to the Authority.</w:t>
      </w:r>
    </w:p>
    <w:p w:rsidR="005E14A5" w:rsidRDefault="005E14A5">
      <w:pPr>
        <w:pStyle w:val="Heading4"/>
      </w:pPr>
      <w:r>
        <w:t>Powers of authorised officers</w:t>
      </w:r>
    </w:p>
    <w:p w:rsidR="005E14A5" w:rsidRDefault="005E14A5">
      <w:pPr>
        <w:pStyle w:val="allsections"/>
        <w:tabs>
          <w:tab w:val="left" w:pos="360"/>
          <w:tab w:val="left" w:pos="900"/>
          <w:tab w:val="left" w:pos="1620"/>
        </w:tabs>
        <w:ind w:firstLine="360"/>
      </w:pPr>
      <w:r>
        <w:rPr>
          <w:b/>
        </w:rPr>
        <w:t>18.</w:t>
      </w:r>
      <w:r>
        <w:rPr>
          <w:b/>
        </w:rPr>
        <w:tab/>
      </w:r>
      <w:r>
        <w:t>An authorised officer may, for the performance of the authorised officer’s functions —</w:t>
      </w:r>
    </w:p>
    <w:p w:rsidR="005E14A5" w:rsidRDefault="005E14A5">
      <w:pPr>
        <w:pStyle w:val="aindent"/>
        <w:tabs>
          <w:tab w:val="clear" w:pos="700"/>
          <w:tab w:val="left" w:pos="360"/>
          <w:tab w:val="left" w:pos="1080"/>
          <w:tab w:val="left" w:pos="1800"/>
        </w:tabs>
        <w:ind w:left="1800" w:hanging="720"/>
      </w:pPr>
      <w:r>
        <w:t>(a)</w:t>
      </w:r>
      <w:r>
        <w:tab/>
        <w:t>require a person to state the person’s full name and place of residence and to produce evidence of the person’s identity; or</w:t>
      </w:r>
    </w:p>
    <w:p w:rsidR="005E14A5" w:rsidRDefault="005E14A5">
      <w:pPr>
        <w:pStyle w:val="aindent"/>
        <w:tabs>
          <w:tab w:val="clear" w:pos="700"/>
          <w:tab w:val="left" w:pos="360"/>
          <w:tab w:val="left" w:pos="1080"/>
          <w:tab w:val="left" w:pos="1800"/>
        </w:tabs>
        <w:ind w:left="1800" w:hanging="720"/>
      </w:pPr>
      <w:r>
        <w:t>(b)</w:t>
      </w:r>
      <w:r>
        <w:tab/>
        <w:t>require a person to produce, or answer questions about, any equipment or other item, or any books, papers or documents in the person’s possession; or</w:t>
      </w:r>
    </w:p>
    <w:p w:rsidR="005E14A5" w:rsidRDefault="005E14A5">
      <w:pPr>
        <w:pStyle w:val="aindent"/>
        <w:tabs>
          <w:tab w:val="clear" w:pos="700"/>
          <w:tab w:val="left" w:pos="360"/>
          <w:tab w:val="left" w:pos="1080"/>
          <w:tab w:val="left" w:pos="1800"/>
        </w:tabs>
        <w:ind w:left="1800" w:hanging="720"/>
      </w:pPr>
      <w:r>
        <w:t>(c)</w:t>
      </w:r>
      <w:r>
        <w:tab/>
        <w:t>inspect any equipment or other item; or</w:t>
      </w:r>
    </w:p>
    <w:p w:rsidR="005E14A5" w:rsidRDefault="005E14A5">
      <w:pPr>
        <w:pStyle w:val="aindent"/>
        <w:tabs>
          <w:tab w:val="clear" w:pos="700"/>
          <w:tab w:val="left" w:pos="360"/>
          <w:tab w:val="left" w:pos="1080"/>
          <w:tab w:val="left" w:pos="1800"/>
        </w:tabs>
        <w:ind w:left="1800" w:hanging="720"/>
      </w:pPr>
      <w:r>
        <w:t>(d)</w:t>
      </w:r>
      <w:r>
        <w:tab/>
        <w:t>inspect any books, papers or documents and take copies of, or extracts from, them; or</w:t>
      </w:r>
    </w:p>
    <w:p w:rsidR="005E14A5" w:rsidRDefault="005E14A5">
      <w:pPr>
        <w:pStyle w:val="aindent"/>
        <w:tabs>
          <w:tab w:val="clear" w:pos="700"/>
          <w:tab w:val="left" w:pos="360"/>
          <w:tab w:val="left" w:pos="1080"/>
          <w:tab w:val="left" w:pos="1800"/>
        </w:tabs>
        <w:ind w:left="1800" w:hanging="720"/>
      </w:pPr>
      <w:r>
        <w:t>(e)</w:t>
      </w:r>
      <w:r>
        <w:tab/>
        <w:t>enter any premises —</w:t>
      </w:r>
    </w:p>
    <w:p w:rsidR="005E14A5" w:rsidRDefault="005E14A5">
      <w:pPr>
        <w:pStyle w:val="iindent"/>
        <w:tabs>
          <w:tab w:val="clear" w:pos="1340"/>
          <w:tab w:val="left" w:pos="360"/>
          <w:tab w:val="left" w:pos="900"/>
          <w:tab w:val="left" w:pos="1800"/>
          <w:tab w:val="left" w:pos="2700"/>
        </w:tabs>
        <w:ind w:left="2700" w:hanging="900"/>
      </w:pPr>
      <w:r>
        <w:t>(i)</w:t>
      </w:r>
      <w:r>
        <w:tab/>
        <w:t>with the consent of the occupier; or</w:t>
      </w:r>
    </w:p>
    <w:p w:rsidR="005E14A5" w:rsidRDefault="005E14A5" w:rsidP="00A36962">
      <w:pPr>
        <w:pStyle w:val="iindent"/>
        <w:keepNext/>
        <w:tabs>
          <w:tab w:val="clear" w:pos="1340"/>
          <w:tab w:val="left" w:pos="360"/>
          <w:tab w:val="left" w:pos="900"/>
          <w:tab w:val="left" w:pos="1800"/>
          <w:tab w:val="left" w:pos="2700"/>
        </w:tabs>
        <w:ind w:left="2699" w:hanging="902"/>
      </w:pPr>
      <w:r>
        <w:lastRenderedPageBreak/>
        <w:t>(ii)</w:t>
      </w:r>
      <w:r>
        <w:tab/>
        <w:t xml:space="preserve">accompanying a police officer who has a lawful right to enter the premises, </w:t>
      </w:r>
    </w:p>
    <w:p w:rsidR="005E14A5" w:rsidRDefault="005E14A5">
      <w:pPr>
        <w:pStyle w:val="quarterout"/>
        <w:tabs>
          <w:tab w:val="left" w:pos="360"/>
          <w:tab w:val="left" w:pos="900"/>
        </w:tabs>
        <w:ind w:left="1800"/>
      </w:pPr>
      <w:r>
        <w:t>and seize any equipment or other item, or any books, papers or documents, on those premises that the authorised officer considers will afford evidence of the commission of an offence; or</w:t>
      </w:r>
    </w:p>
    <w:p w:rsidR="005E14A5" w:rsidRDefault="005E14A5">
      <w:pPr>
        <w:pStyle w:val="aindent"/>
        <w:tabs>
          <w:tab w:val="left" w:pos="360"/>
          <w:tab w:val="left" w:pos="1080"/>
          <w:tab w:val="left" w:pos="1800"/>
        </w:tabs>
        <w:ind w:left="1800" w:hanging="720"/>
      </w:pPr>
      <w:r>
        <w:t>(f)</w:t>
      </w:r>
      <w:r>
        <w:tab/>
        <w:t>by written notice, require a person to attend before the authorised officer at a specified time and place and answer questions.</w:t>
      </w:r>
    </w:p>
    <w:p w:rsidR="005E14A5" w:rsidRDefault="005E14A5" w:rsidP="0049157A">
      <w:pPr>
        <w:pStyle w:val="Heading4"/>
      </w:pPr>
      <w:r>
        <w:t>Hindrance, etc, of authorised officers</w:t>
      </w:r>
    </w:p>
    <w:p w:rsidR="005E14A5" w:rsidRDefault="005E14A5">
      <w:pPr>
        <w:pStyle w:val="allsections"/>
        <w:tabs>
          <w:tab w:val="left" w:pos="360"/>
          <w:tab w:val="left" w:pos="900"/>
          <w:tab w:val="left" w:pos="1620"/>
        </w:tabs>
      </w:pPr>
      <w:r>
        <w:rPr>
          <w:b/>
        </w:rPr>
        <w:t>19.</w:t>
      </w:r>
      <w:r>
        <w:rPr>
          <w:b/>
        </w:rPr>
        <w:tab/>
        <w:t>(1)</w:t>
      </w:r>
      <w:r>
        <w:rPr>
          <w:b/>
        </w:rPr>
        <w:tab/>
      </w:r>
      <w:r>
        <w:t>A person must not —</w:t>
      </w:r>
    </w:p>
    <w:p w:rsidR="005E14A5" w:rsidRDefault="005E14A5">
      <w:pPr>
        <w:pStyle w:val="aindent"/>
        <w:tabs>
          <w:tab w:val="clear" w:pos="700"/>
          <w:tab w:val="left" w:pos="360"/>
          <w:tab w:val="left" w:pos="1080"/>
          <w:tab w:val="left" w:pos="1800"/>
        </w:tabs>
        <w:ind w:left="1800" w:hanging="720"/>
      </w:pPr>
      <w:r>
        <w:t>(a)</w:t>
      </w:r>
      <w:r>
        <w:tab/>
        <w:t>hinder or obstruct an authorised officer in the exercise of the authorised officer’s powers under this Act or any prescribed Act; or</w:t>
      </w:r>
    </w:p>
    <w:p w:rsidR="005E14A5" w:rsidRDefault="005E14A5">
      <w:pPr>
        <w:pStyle w:val="aindent"/>
        <w:tabs>
          <w:tab w:val="clear" w:pos="700"/>
          <w:tab w:val="left" w:pos="360"/>
          <w:tab w:val="left" w:pos="1080"/>
          <w:tab w:val="left" w:pos="1800"/>
        </w:tabs>
        <w:ind w:left="1800" w:hanging="720"/>
      </w:pPr>
      <w:r>
        <w:t>(b)</w:t>
      </w:r>
      <w:r>
        <w:tab/>
        <w:t>assault, or use abusive, threatening or insulting language to an authorised officer when the authorised officer is exercising the authorised officer’s powers under this Act or any prescribed Act; or</w:t>
      </w:r>
    </w:p>
    <w:p w:rsidR="005E14A5" w:rsidRDefault="005E14A5">
      <w:pPr>
        <w:pStyle w:val="aindent"/>
        <w:tabs>
          <w:tab w:val="clear" w:pos="700"/>
          <w:tab w:val="left" w:pos="360"/>
          <w:tab w:val="left" w:pos="1080"/>
          <w:tab w:val="left" w:pos="1800"/>
        </w:tabs>
        <w:ind w:left="1800" w:hanging="720"/>
      </w:pPr>
      <w:r>
        <w:t>(c)</w:t>
      </w:r>
      <w:r>
        <w:tab/>
        <w:t>refuse or fail to comply with a reasonable requirement or direction given by an authorised officer under this Act or any prescribed Act; or</w:t>
      </w:r>
    </w:p>
    <w:p w:rsidR="005E14A5" w:rsidRDefault="005E14A5">
      <w:pPr>
        <w:pStyle w:val="aindent"/>
        <w:tabs>
          <w:tab w:val="clear" w:pos="700"/>
          <w:tab w:val="left" w:pos="360"/>
          <w:tab w:val="left" w:pos="1080"/>
          <w:tab w:val="left" w:pos="1800"/>
        </w:tabs>
        <w:ind w:left="1800" w:hanging="720"/>
      </w:pPr>
      <w:r>
        <w:t>(d)</w:t>
      </w:r>
      <w:r>
        <w:tab/>
        <w:t>when required by an authorised officer under this Act or any prescribed Act to answer a question, fail to answer that question to the best of the person’s knowledge, information and belief; or</w:t>
      </w:r>
    </w:p>
    <w:p w:rsidR="005E14A5" w:rsidRDefault="005E14A5">
      <w:pPr>
        <w:pStyle w:val="aindent"/>
        <w:tabs>
          <w:tab w:val="clear" w:pos="700"/>
          <w:tab w:val="left" w:pos="360"/>
          <w:tab w:val="left" w:pos="1080"/>
          <w:tab w:val="left" w:pos="1800"/>
        </w:tabs>
        <w:ind w:left="1800" w:hanging="720"/>
      </w:pPr>
      <w:r>
        <w:t>(e)</w:t>
      </w:r>
      <w:r>
        <w:tab/>
        <w:t>falsely represent, by words or conduct, that he or she is an authorised officer.</w:t>
      </w:r>
    </w:p>
    <w:p w:rsidR="005E14A5" w:rsidRDefault="005E14A5">
      <w:pPr>
        <w:pStyle w:val="allsections"/>
        <w:tabs>
          <w:tab w:val="left" w:pos="720"/>
          <w:tab w:val="left" w:pos="1800"/>
        </w:tabs>
        <w:ind w:firstLine="0"/>
      </w:pPr>
      <w:r>
        <w:tab/>
        <w:t>Penalty:</w:t>
      </w:r>
      <w:r>
        <w:tab/>
        <w:t>100 penalty units or 12 months imprisonment or both.</w:t>
      </w:r>
    </w:p>
    <w:p w:rsidR="005E14A5" w:rsidRDefault="005E14A5">
      <w:pPr>
        <w:pStyle w:val="allsections"/>
        <w:tabs>
          <w:tab w:val="left" w:pos="360"/>
          <w:tab w:val="left" w:pos="900"/>
          <w:tab w:val="left" w:pos="1620"/>
        </w:tabs>
      </w:pPr>
      <w:r>
        <w:rPr>
          <w:b/>
        </w:rPr>
        <w:tab/>
        <w:t>(2)</w:t>
      </w:r>
      <w:r>
        <w:rPr>
          <w:b/>
        </w:rPr>
        <w:tab/>
      </w:r>
      <w:r>
        <w:t>A person must, on request by an authorised officer, facilitate the exercise of the authorised officer’s powers under any prescribed Act.</w:t>
      </w:r>
    </w:p>
    <w:p w:rsidR="005E14A5" w:rsidRDefault="005E14A5">
      <w:pPr>
        <w:pStyle w:val="allsections"/>
        <w:tabs>
          <w:tab w:val="left" w:pos="720"/>
          <w:tab w:val="left" w:pos="1800"/>
        </w:tabs>
        <w:ind w:firstLine="0"/>
      </w:pPr>
      <w:r>
        <w:tab/>
        <w:t>Penalty:</w:t>
      </w:r>
      <w:r>
        <w:tab/>
        <w:t>50 penalty units.</w:t>
      </w:r>
    </w:p>
    <w:p w:rsidR="005E14A5" w:rsidRDefault="005E14A5" w:rsidP="0049157A">
      <w:pPr>
        <w:pStyle w:val="Heading2"/>
        <w:pageBreakBefore/>
      </w:pPr>
      <w:r>
        <w:lastRenderedPageBreak/>
        <w:t>part 4  —  miscellaneous</w:t>
      </w:r>
    </w:p>
    <w:p w:rsidR="005E14A5" w:rsidRDefault="005E14A5">
      <w:pPr>
        <w:pStyle w:val="Heading4"/>
      </w:pPr>
      <w:r>
        <w:t xml:space="preserve">Privilege </w:t>
      </w:r>
    </w:p>
    <w:p w:rsidR="005E14A5" w:rsidRDefault="005E14A5">
      <w:pPr>
        <w:pStyle w:val="allsections"/>
        <w:tabs>
          <w:tab w:val="left" w:pos="360"/>
          <w:tab w:val="left" w:pos="900"/>
          <w:tab w:val="left" w:pos="1620"/>
        </w:tabs>
        <w:ind w:firstLine="360"/>
      </w:pPr>
      <w:r>
        <w:rPr>
          <w:b/>
        </w:rPr>
        <w:t>20.</w:t>
      </w:r>
      <w:r>
        <w:rPr>
          <w:b/>
        </w:rPr>
        <w:tab/>
      </w:r>
      <w:r>
        <w:t>A person is not excused from complying with an obligation under this Act, or any prescribed Act, to —</w:t>
      </w:r>
    </w:p>
    <w:p w:rsidR="005E14A5" w:rsidRDefault="005E14A5">
      <w:pPr>
        <w:pStyle w:val="aindent"/>
        <w:tabs>
          <w:tab w:val="clear" w:pos="700"/>
          <w:tab w:val="left" w:pos="360"/>
          <w:tab w:val="left" w:pos="1080"/>
          <w:tab w:val="left" w:pos="1800"/>
        </w:tabs>
        <w:ind w:left="1800" w:hanging="720"/>
      </w:pPr>
      <w:r>
        <w:t>(a)</w:t>
      </w:r>
      <w:r>
        <w:tab/>
        <w:t xml:space="preserve">answer a question; or </w:t>
      </w:r>
    </w:p>
    <w:p w:rsidR="005E14A5" w:rsidRDefault="005E14A5">
      <w:pPr>
        <w:pStyle w:val="aindent"/>
        <w:tabs>
          <w:tab w:val="clear" w:pos="700"/>
          <w:tab w:val="left" w:pos="360"/>
          <w:tab w:val="left" w:pos="1080"/>
          <w:tab w:val="left" w:pos="1800"/>
        </w:tabs>
        <w:ind w:left="1800" w:hanging="720"/>
      </w:pPr>
      <w:r>
        <w:t>(b)</w:t>
      </w:r>
      <w:r>
        <w:tab/>
        <w:t>produce any equipment or other item, or any books, papers or documents,</w:t>
      </w:r>
    </w:p>
    <w:p w:rsidR="005E14A5" w:rsidRDefault="005E14A5">
      <w:pPr>
        <w:pStyle w:val="fullout"/>
        <w:tabs>
          <w:tab w:val="left" w:pos="360"/>
          <w:tab w:val="left" w:pos="900"/>
          <w:tab w:val="left" w:pos="1620"/>
        </w:tabs>
      </w:pPr>
      <w:r>
        <w:t xml:space="preserve">under this section on grounds of the privilege against self incrimination, or legal professional privilege, </w:t>
      </w:r>
    </w:p>
    <w:p w:rsidR="005E14A5" w:rsidRDefault="005E14A5">
      <w:pPr>
        <w:pStyle w:val="fullout"/>
        <w:tabs>
          <w:tab w:val="left" w:pos="360"/>
          <w:tab w:val="left" w:pos="900"/>
          <w:tab w:val="left" w:pos="1620"/>
        </w:tabs>
        <w:rPr>
          <w:b/>
        </w:rPr>
      </w:pPr>
      <w:r>
        <w:rPr>
          <w:b/>
        </w:rPr>
        <w:t>but</w:t>
      </w:r>
    </w:p>
    <w:p w:rsidR="005E14A5" w:rsidRDefault="005E14A5">
      <w:pPr>
        <w:pStyle w:val="fullout"/>
        <w:tabs>
          <w:tab w:val="left" w:pos="360"/>
          <w:tab w:val="left" w:pos="900"/>
          <w:tab w:val="left" w:pos="1620"/>
        </w:tabs>
      </w:pPr>
      <w:r>
        <w:t>if a person claims privilege in respect of an answer, it will not be admissible against the person —</w:t>
      </w:r>
    </w:p>
    <w:p w:rsidR="005E14A5" w:rsidRDefault="005E14A5">
      <w:pPr>
        <w:pStyle w:val="aindent"/>
        <w:tabs>
          <w:tab w:val="clear" w:pos="700"/>
          <w:tab w:val="left" w:pos="360"/>
          <w:tab w:val="left" w:pos="1080"/>
          <w:tab w:val="left" w:pos="1800"/>
        </w:tabs>
        <w:ind w:left="1800" w:hanging="720"/>
      </w:pPr>
      <w:r>
        <w:t>(c)</w:t>
      </w:r>
      <w:r>
        <w:tab/>
        <w:t>in criminal proceedings (except in proceedings for perjury); or</w:t>
      </w:r>
    </w:p>
    <w:p w:rsidR="005E14A5" w:rsidRDefault="005E14A5">
      <w:pPr>
        <w:pStyle w:val="aindent"/>
        <w:tabs>
          <w:tab w:val="clear" w:pos="700"/>
          <w:tab w:val="left" w:pos="360"/>
          <w:tab w:val="left" w:pos="1080"/>
          <w:tab w:val="left" w:pos="1800"/>
        </w:tabs>
        <w:ind w:left="1800" w:hanging="720"/>
      </w:pPr>
      <w:r>
        <w:t>(d)</w:t>
      </w:r>
      <w:r>
        <w:tab/>
        <w:t xml:space="preserve">in respect of a claim of privilege based on legal professional privilege, in civil proceedings in which the person would be entitled to claim legal professional privilege. </w:t>
      </w:r>
    </w:p>
    <w:p w:rsidR="005E14A5" w:rsidRDefault="005E14A5">
      <w:pPr>
        <w:pStyle w:val="Heading4"/>
      </w:pPr>
      <w:r>
        <w:t>Documents held in computers</w:t>
      </w:r>
    </w:p>
    <w:p w:rsidR="005E14A5" w:rsidRDefault="005E14A5">
      <w:pPr>
        <w:pStyle w:val="allsections"/>
        <w:tabs>
          <w:tab w:val="left" w:pos="360"/>
          <w:tab w:val="left" w:pos="900"/>
          <w:tab w:val="left" w:pos="1620"/>
        </w:tabs>
        <w:ind w:firstLine="360"/>
      </w:pPr>
      <w:r>
        <w:rPr>
          <w:b/>
        </w:rPr>
        <w:t>21.</w:t>
      </w:r>
      <w:r>
        <w:rPr>
          <w:b/>
        </w:rPr>
        <w:tab/>
      </w:r>
      <w:r>
        <w:t>In this Act, or any prescribed Act —</w:t>
      </w:r>
    </w:p>
    <w:p w:rsidR="005E14A5" w:rsidRDefault="005E14A5">
      <w:pPr>
        <w:pStyle w:val="aindent"/>
        <w:tabs>
          <w:tab w:val="clear" w:pos="700"/>
          <w:tab w:val="left" w:pos="360"/>
          <w:tab w:val="left" w:pos="1080"/>
          <w:tab w:val="left" w:pos="1800"/>
        </w:tabs>
        <w:ind w:left="1800" w:hanging="720"/>
      </w:pPr>
      <w:r>
        <w:t>(a)</w:t>
      </w:r>
      <w:r>
        <w:tab/>
        <w:t>a reference to a document includes a disk, tape or other article from which information is capable of being reproduced (with or without the aid of another article or device); and</w:t>
      </w:r>
    </w:p>
    <w:p w:rsidR="005E14A5" w:rsidRDefault="005E14A5" w:rsidP="00F94BCD">
      <w:pPr>
        <w:pStyle w:val="aindent"/>
        <w:tabs>
          <w:tab w:val="clear" w:pos="700"/>
          <w:tab w:val="left" w:pos="360"/>
          <w:tab w:val="left" w:pos="1080"/>
          <w:tab w:val="left" w:pos="1800"/>
        </w:tabs>
        <w:ind w:left="1797" w:hanging="720"/>
      </w:pPr>
      <w:r>
        <w:t>(b)</w:t>
      </w:r>
      <w:r>
        <w:tab/>
        <w:t>an obligation to produce a document constituted by such a disk, tape or other article includes an obligation to reproduce the information contained in that disk, tape or other article in an understandable form, and, on request, to provide a permanent written copy of that document.</w:t>
      </w:r>
    </w:p>
    <w:p w:rsidR="005E14A5" w:rsidRDefault="005E14A5">
      <w:pPr>
        <w:pStyle w:val="Heading4"/>
      </w:pPr>
      <w:r>
        <w:t>Probity obligations</w:t>
      </w:r>
    </w:p>
    <w:p w:rsidR="005E14A5" w:rsidRDefault="005E14A5">
      <w:pPr>
        <w:pStyle w:val="allsections"/>
        <w:tabs>
          <w:tab w:val="left" w:pos="360"/>
          <w:tab w:val="left" w:pos="900"/>
          <w:tab w:val="left" w:pos="1620"/>
        </w:tabs>
        <w:ind w:firstLine="360"/>
      </w:pPr>
      <w:r>
        <w:rPr>
          <w:b/>
        </w:rPr>
        <w:t>22.</w:t>
      </w:r>
      <w:r>
        <w:rPr>
          <w:b/>
        </w:rPr>
        <w:tab/>
        <w:t>(1)</w:t>
      </w:r>
      <w:r>
        <w:rPr>
          <w:b/>
        </w:rPr>
        <w:tab/>
      </w:r>
      <w:r w:rsidR="006B5443" w:rsidRPr="008E3CB7">
        <w:t>An</w:t>
      </w:r>
      <w:r>
        <w:t xml:space="preserve"> authorised officer must not engage in gaming activity to which the Authority’s statutory responsibilities extend.</w:t>
      </w:r>
    </w:p>
    <w:p w:rsidR="005E14A5" w:rsidRDefault="005E14A5">
      <w:pPr>
        <w:pStyle w:val="allsections"/>
        <w:tabs>
          <w:tab w:val="left" w:pos="720"/>
          <w:tab w:val="left" w:pos="1800"/>
        </w:tabs>
        <w:ind w:left="1440" w:hanging="720"/>
      </w:pPr>
      <w:r>
        <w:t>Penalty:</w:t>
      </w:r>
      <w:r>
        <w:tab/>
        <w:t>100 penalty units or 12 months imprisonment or both.</w:t>
      </w:r>
    </w:p>
    <w:p w:rsidR="005E14A5" w:rsidRDefault="005E14A5">
      <w:pPr>
        <w:pStyle w:val="allsections"/>
        <w:tabs>
          <w:tab w:val="left" w:pos="360"/>
          <w:tab w:val="left" w:pos="900"/>
          <w:tab w:val="left" w:pos="1620"/>
        </w:tabs>
        <w:ind w:firstLine="360"/>
      </w:pPr>
      <w:r>
        <w:rPr>
          <w:b/>
        </w:rPr>
        <w:tab/>
        <w:t>(2)</w:t>
      </w:r>
      <w:r>
        <w:rPr>
          <w:b/>
        </w:rPr>
        <w:tab/>
      </w:r>
      <w:r w:rsidR="006B5443" w:rsidRPr="008E3CB7">
        <w:t>An</w:t>
      </w:r>
      <w:r>
        <w:t xml:space="preserve"> authorised officer must —</w:t>
      </w:r>
    </w:p>
    <w:p w:rsidR="005E14A5" w:rsidRDefault="005E14A5">
      <w:pPr>
        <w:pStyle w:val="aindent"/>
        <w:tabs>
          <w:tab w:val="clear" w:pos="700"/>
          <w:tab w:val="left" w:pos="360"/>
          <w:tab w:val="left" w:pos="1080"/>
          <w:tab w:val="left" w:pos="1800"/>
        </w:tabs>
        <w:ind w:left="1800" w:hanging="720"/>
      </w:pPr>
      <w:r>
        <w:t>(a)</w:t>
      </w:r>
      <w:r>
        <w:tab/>
        <w:t>disclose in writing to the Authority a conflict in respect of that person’s duties under this Act, or any prescribed Act, arising out of any direct or indirect financial or personal interest of the person; and</w:t>
      </w:r>
    </w:p>
    <w:p w:rsidR="005E14A5" w:rsidRDefault="005E14A5">
      <w:pPr>
        <w:pStyle w:val="aindent"/>
        <w:tabs>
          <w:tab w:val="clear" w:pos="700"/>
          <w:tab w:val="left" w:pos="360"/>
          <w:tab w:val="left" w:pos="1080"/>
          <w:tab w:val="left" w:pos="1800"/>
        </w:tabs>
        <w:ind w:left="1800" w:hanging="720"/>
      </w:pPr>
      <w:r>
        <w:t>(b)</w:t>
      </w:r>
      <w:r>
        <w:tab/>
        <w:t>comply with any written direction given by the Authority in respect of that interest.</w:t>
      </w:r>
    </w:p>
    <w:p w:rsidR="005E14A5" w:rsidRDefault="005E14A5">
      <w:pPr>
        <w:pStyle w:val="allsections"/>
        <w:tabs>
          <w:tab w:val="left" w:pos="720"/>
          <w:tab w:val="left" w:pos="1800"/>
        </w:tabs>
        <w:ind w:firstLine="720"/>
      </w:pPr>
      <w:r>
        <w:t>Penalty:</w:t>
      </w:r>
      <w:r>
        <w:tab/>
        <w:t>100 penalty units or 12 months imprisonment or both.</w:t>
      </w:r>
    </w:p>
    <w:p w:rsidR="005E14A5" w:rsidRDefault="005E14A5">
      <w:pPr>
        <w:pStyle w:val="allsections"/>
        <w:tabs>
          <w:tab w:val="left" w:pos="360"/>
          <w:tab w:val="left" w:pos="900"/>
          <w:tab w:val="left" w:pos="1620"/>
        </w:tabs>
      </w:pPr>
      <w:r>
        <w:rPr>
          <w:b/>
        </w:rPr>
        <w:tab/>
        <w:t>(3)</w:t>
      </w:r>
      <w:r>
        <w:rPr>
          <w:b/>
        </w:rPr>
        <w:tab/>
      </w:r>
      <w:r>
        <w:t>It is a defence to a charge of an offence against subsection 22(2) for the defendant to prove that he or she was not, at the time of the alleged offence, aware of his or her interest in a matter.</w:t>
      </w:r>
    </w:p>
    <w:p w:rsidR="005E14A5" w:rsidRDefault="005E14A5" w:rsidP="00F94BCD">
      <w:pPr>
        <w:pStyle w:val="Heading4"/>
        <w:keepLines/>
      </w:pPr>
      <w:r>
        <w:lastRenderedPageBreak/>
        <w:t>Restriction on actions</w:t>
      </w:r>
    </w:p>
    <w:p w:rsidR="005E14A5" w:rsidRDefault="005E14A5" w:rsidP="00F94BCD">
      <w:pPr>
        <w:pStyle w:val="allsections"/>
        <w:keepNext/>
        <w:keepLines/>
        <w:tabs>
          <w:tab w:val="left" w:pos="360"/>
          <w:tab w:val="left" w:pos="900"/>
          <w:tab w:val="left" w:pos="1620"/>
        </w:tabs>
        <w:ind w:firstLine="360"/>
        <w:rPr>
          <w:lang w:val="en-AU"/>
        </w:rPr>
      </w:pPr>
      <w:r>
        <w:rPr>
          <w:b/>
          <w:lang w:val="en-AU"/>
        </w:rPr>
        <w:t>23.</w:t>
      </w:r>
      <w:r>
        <w:rPr>
          <w:b/>
          <w:lang w:val="en-AU"/>
        </w:rPr>
        <w:tab/>
      </w:r>
      <w:r>
        <w:rPr>
          <w:lang w:val="en-AU"/>
        </w:rPr>
        <w:t>No action, suit or proceeding may be commenced—</w:t>
      </w:r>
    </w:p>
    <w:p w:rsidR="005E14A5" w:rsidRDefault="005E14A5">
      <w:pPr>
        <w:pStyle w:val="aindent"/>
        <w:tabs>
          <w:tab w:val="clear" w:pos="700"/>
          <w:tab w:val="left" w:pos="360"/>
          <w:tab w:val="left" w:pos="1080"/>
          <w:tab w:val="left" w:pos="1800"/>
        </w:tabs>
        <w:ind w:left="1800" w:hanging="720"/>
      </w:pPr>
      <w:r>
        <w:t>(a)</w:t>
      </w:r>
      <w:r>
        <w:tab/>
        <w:t xml:space="preserve">against </w:t>
      </w:r>
      <w:r w:rsidR="006B5443" w:rsidRPr="008E3CB7">
        <w:t>the Minister,</w:t>
      </w:r>
      <w:r w:rsidR="00242F9C">
        <w:t xml:space="preserve"> </w:t>
      </w:r>
      <w:r>
        <w:t>the Administration or the Authority in respect of any act done, or omitted to be done; or</w:t>
      </w:r>
    </w:p>
    <w:p w:rsidR="005E14A5" w:rsidRDefault="005E14A5">
      <w:pPr>
        <w:pStyle w:val="aindent"/>
        <w:tabs>
          <w:tab w:val="clear" w:pos="700"/>
          <w:tab w:val="left" w:pos="360"/>
          <w:tab w:val="left" w:pos="1080"/>
          <w:tab w:val="left" w:pos="1800"/>
        </w:tabs>
        <w:ind w:left="1800" w:hanging="720"/>
      </w:pPr>
      <w:r>
        <w:t>(b)</w:t>
      </w:r>
      <w:r>
        <w:tab/>
        <w:t>against any person as the agent or employee of the Administration or the Authority in respect of any act done, or omitted to be done, by that person,</w:t>
      </w:r>
    </w:p>
    <w:p w:rsidR="005E14A5" w:rsidRDefault="005E14A5">
      <w:pPr>
        <w:pStyle w:val="allsections"/>
        <w:tabs>
          <w:tab w:val="left" w:pos="360"/>
          <w:tab w:val="left" w:pos="900"/>
          <w:tab w:val="left" w:pos="1620"/>
        </w:tabs>
        <w:ind w:firstLine="0"/>
      </w:pPr>
      <w:r>
        <w:t xml:space="preserve">in good faith in the performance, or purported performance, of a function under this or any prescribed Act and, in particular but without limitation, for compensation </w:t>
      </w:r>
      <w:r>
        <w:rPr>
          <w:lang w:val="en-AU"/>
        </w:rPr>
        <w:t>in relation to the cancellation, suspension or variation of the terms or conditions of any licence granted under any prescribed Act.</w:t>
      </w:r>
    </w:p>
    <w:p w:rsidR="005E14A5" w:rsidRDefault="005E14A5">
      <w:pPr>
        <w:pStyle w:val="Heading4"/>
      </w:pPr>
      <w:r>
        <w:t>Secrecy</w:t>
      </w:r>
    </w:p>
    <w:p w:rsidR="005E14A5" w:rsidRDefault="005E14A5">
      <w:pPr>
        <w:pStyle w:val="allsections"/>
        <w:tabs>
          <w:tab w:val="left" w:pos="360"/>
          <w:tab w:val="left" w:pos="900"/>
          <w:tab w:val="left" w:pos="1620"/>
        </w:tabs>
        <w:ind w:firstLine="360"/>
      </w:pPr>
      <w:r>
        <w:rPr>
          <w:b/>
        </w:rPr>
        <w:t>24.</w:t>
      </w:r>
      <w:r>
        <w:rPr>
          <w:b/>
        </w:rPr>
        <w:tab/>
        <w:t>(1)</w:t>
      </w:r>
      <w:r>
        <w:rPr>
          <w:b/>
        </w:rPr>
        <w:tab/>
      </w:r>
      <w:r>
        <w:t>A person who acquires information in the exercise of a function under this Act or any prescribed Act must not make a record of the information or divulge the information to another person, except in the exercise of functions under this Act or a prescribed Act.</w:t>
      </w:r>
    </w:p>
    <w:p w:rsidR="005E14A5" w:rsidRDefault="005E14A5">
      <w:pPr>
        <w:pStyle w:val="allsections"/>
        <w:tabs>
          <w:tab w:val="left" w:pos="720"/>
          <w:tab w:val="left" w:pos="1800"/>
        </w:tabs>
        <w:ind w:left="1800" w:hanging="1080"/>
      </w:pPr>
      <w:r>
        <w:t>Penalty:</w:t>
      </w:r>
      <w:r>
        <w:tab/>
        <w:t>100 penalty units or imprisonment for 12 months or both.</w:t>
      </w:r>
    </w:p>
    <w:p w:rsidR="005E14A5" w:rsidRDefault="005E14A5">
      <w:pPr>
        <w:pStyle w:val="allsections"/>
        <w:tabs>
          <w:tab w:val="left" w:pos="360"/>
          <w:tab w:val="left" w:pos="900"/>
          <w:tab w:val="left" w:pos="1620"/>
        </w:tabs>
        <w:rPr>
          <w:b/>
          <w:lang w:val="en-AU"/>
        </w:rPr>
      </w:pPr>
      <w:r>
        <w:rPr>
          <w:b/>
        </w:rPr>
        <w:tab/>
        <w:t>(2)</w:t>
      </w:r>
      <w:r>
        <w:rPr>
          <w:lang w:val="en-AU"/>
        </w:rPr>
        <w:tab/>
        <w:t>Despite subsection 24(1), information may be divulged —</w:t>
      </w:r>
    </w:p>
    <w:p w:rsidR="005E14A5" w:rsidRDefault="005E14A5">
      <w:pPr>
        <w:pStyle w:val="aindent"/>
        <w:tabs>
          <w:tab w:val="clear" w:pos="700"/>
          <w:tab w:val="left" w:pos="360"/>
          <w:tab w:val="left" w:pos="1080"/>
          <w:tab w:val="left" w:pos="1800"/>
        </w:tabs>
        <w:ind w:left="1800" w:hanging="720"/>
      </w:pPr>
      <w:r>
        <w:t>(a)</w:t>
      </w:r>
      <w:r>
        <w:tab/>
        <w:t xml:space="preserve">to a particular person if the </w:t>
      </w:r>
      <w:r w:rsidR="00CB2933">
        <w:t>Minister</w:t>
      </w:r>
      <w:r>
        <w:t xml:space="preserve"> certifies that it is necessary in the public interest that the information be divulged to the person; or</w:t>
      </w:r>
    </w:p>
    <w:p w:rsidR="005E14A5" w:rsidRDefault="005E14A5">
      <w:pPr>
        <w:pStyle w:val="aindent"/>
        <w:tabs>
          <w:tab w:val="clear" w:pos="700"/>
          <w:tab w:val="left" w:pos="360"/>
          <w:tab w:val="left" w:pos="1080"/>
          <w:tab w:val="left" w:pos="1800"/>
        </w:tabs>
        <w:ind w:left="1800" w:hanging="720"/>
      </w:pPr>
      <w:r>
        <w:t>(b)</w:t>
      </w:r>
      <w:r>
        <w:tab/>
        <w:t>to a prescribed person.</w:t>
      </w:r>
    </w:p>
    <w:p w:rsidR="005E14A5" w:rsidRDefault="005E14A5">
      <w:pPr>
        <w:pStyle w:val="allsections"/>
        <w:tabs>
          <w:tab w:val="left" w:pos="360"/>
          <w:tab w:val="left" w:pos="900"/>
          <w:tab w:val="left" w:pos="1620"/>
        </w:tabs>
        <w:rPr>
          <w:lang w:val="en-AU"/>
        </w:rPr>
      </w:pPr>
      <w:r>
        <w:rPr>
          <w:b/>
          <w:lang w:val="en-AU"/>
        </w:rPr>
        <w:tab/>
        <w:t>(3)</w:t>
      </w:r>
      <w:r>
        <w:rPr>
          <w:b/>
          <w:lang w:val="en-AU"/>
        </w:rPr>
        <w:tab/>
      </w:r>
      <w:r>
        <w:rPr>
          <w:lang w:val="en-AU"/>
        </w:rPr>
        <w:t>A relevant person is, in respect of information divulged under subsection 24(2), subject to the same rights, privileges and duties under this section as the person would be if the person had acquired the information in the exercise of a function under this Act or a prescribed Act.</w:t>
      </w:r>
    </w:p>
    <w:p w:rsidR="005E14A5" w:rsidRDefault="005E14A5">
      <w:pPr>
        <w:pStyle w:val="allsections"/>
        <w:tabs>
          <w:tab w:val="left" w:pos="360"/>
          <w:tab w:val="left" w:pos="900"/>
          <w:tab w:val="left" w:pos="1620"/>
        </w:tabs>
        <w:rPr>
          <w:lang w:val="en-AU"/>
        </w:rPr>
      </w:pPr>
      <w:r>
        <w:rPr>
          <w:b/>
          <w:lang w:val="en-AU"/>
        </w:rPr>
        <w:tab/>
        <w:t>(4)</w:t>
      </w:r>
      <w:r>
        <w:rPr>
          <w:b/>
          <w:lang w:val="en-AU"/>
        </w:rPr>
        <w:tab/>
      </w:r>
      <w:r>
        <w:rPr>
          <w:lang w:val="en-AU"/>
        </w:rPr>
        <w:t>A person cannot be required —</w:t>
      </w:r>
    </w:p>
    <w:p w:rsidR="005E14A5" w:rsidRDefault="005E14A5">
      <w:pPr>
        <w:pStyle w:val="aindent"/>
        <w:tabs>
          <w:tab w:val="clear" w:pos="700"/>
          <w:tab w:val="left" w:pos="360"/>
          <w:tab w:val="left" w:pos="1080"/>
          <w:tab w:val="left" w:pos="1800"/>
        </w:tabs>
        <w:ind w:left="1800" w:hanging="720"/>
      </w:pPr>
      <w:r>
        <w:t>(a)</w:t>
      </w:r>
      <w:r>
        <w:tab/>
        <w:t xml:space="preserve">to produce in any court a document or other thing that has come into the person’s possession, custody or control by reason of, or in the course of, the exercise of the person’s functions under this Act; or </w:t>
      </w:r>
    </w:p>
    <w:p w:rsidR="005E14A5" w:rsidRDefault="005E14A5">
      <w:pPr>
        <w:pStyle w:val="aindent"/>
        <w:tabs>
          <w:tab w:val="clear" w:pos="700"/>
          <w:tab w:val="left" w:pos="360"/>
          <w:tab w:val="left" w:pos="1080"/>
          <w:tab w:val="left" w:pos="1800"/>
        </w:tabs>
        <w:ind w:left="1800" w:hanging="720"/>
      </w:pPr>
      <w:r>
        <w:t>(b)</w:t>
      </w:r>
      <w:r>
        <w:tab/>
        <w:t>to divulge to any court information that has come to the person’s notice in the exercise of the person’s functions under this Act,</w:t>
      </w:r>
    </w:p>
    <w:p w:rsidR="005E14A5" w:rsidRDefault="005E14A5">
      <w:pPr>
        <w:pStyle w:val="fullout"/>
        <w:tabs>
          <w:tab w:val="left" w:pos="360"/>
          <w:tab w:val="left" w:pos="900"/>
          <w:tab w:val="left" w:pos="1620"/>
        </w:tabs>
        <w:rPr>
          <w:lang w:val="en-AU"/>
        </w:rPr>
      </w:pPr>
      <w:r>
        <w:rPr>
          <w:lang w:val="en-AU"/>
        </w:rPr>
        <w:t>unless —</w:t>
      </w:r>
    </w:p>
    <w:p w:rsidR="005E14A5" w:rsidRDefault="005E14A5">
      <w:pPr>
        <w:pStyle w:val="aindent"/>
        <w:tabs>
          <w:tab w:val="clear" w:pos="700"/>
          <w:tab w:val="left" w:pos="360"/>
          <w:tab w:val="left" w:pos="1080"/>
          <w:tab w:val="left" w:pos="1800"/>
        </w:tabs>
        <w:ind w:left="1800" w:hanging="720"/>
      </w:pPr>
      <w:r>
        <w:t>(c)</w:t>
      </w:r>
      <w:r>
        <w:tab/>
        <w:t xml:space="preserve">the </w:t>
      </w:r>
      <w:r w:rsidR="00CB2933">
        <w:t>Minister</w:t>
      </w:r>
      <w:r>
        <w:t xml:space="preserve"> certifies that the production or divulgence is necessary in the public interest; or</w:t>
      </w:r>
    </w:p>
    <w:p w:rsidR="005E14A5" w:rsidRDefault="005E14A5">
      <w:pPr>
        <w:pStyle w:val="aindent"/>
        <w:tabs>
          <w:tab w:val="clear" w:pos="700"/>
          <w:tab w:val="left" w:pos="360"/>
          <w:tab w:val="left" w:pos="1080"/>
          <w:tab w:val="left" w:pos="1800"/>
        </w:tabs>
        <w:ind w:left="1800" w:hanging="720"/>
      </w:pPr>
      <w:r>
        <w:t>(d)</w:t>
      </w:r>
      <w:r>
        <w:tab/>
        <w:t>that production or divulgence is required under the regulations.</w:t>
      </w:r>
    </w:p>
    <w:p w:rsidR="005E14A5" w:rsidRDefault="005E14A5">
      <w:pPr>
        <w:pStyle w:val="allsections"/>
        <w:tabs>
          <w:tab w:val="left" w:pos="360"/>
          <w:tab w:val="left" w:pos="900"/>
          <w:tab w:val="left" w:pos="1620"/>
        </w:tabs>
        <w:rPr>
          <w:lang w:val="en-AU"/>
        </w:rPr>
      </w:pPr>
      <w:r>
        <w:rPr>
          <w:b/>
          <w:lang w:val="en-AU"/>
        </w:rPr>
        <w:tab/>
        <w:t>(5)</w:t>
      </w:r>
      <w:r>
        <w:rPr>
          <w:b/>
          <w:lang w:val="en-AU"/>
        </w:rPr>
        <w:tab/>
      </w:r>
      <w:r>
        <w:rPr>
          <w:lang w:val="en-AU"/>
        </w:rPr>
        <w:t>If —</w:t>
      </w:r>
    </w:p>
    <w:p w:rsidR="005E14A5" w:rsidRDefault="005E14A5">
      <w:pPr>
        <w:pStyle w:val="aindent"/>
        <w:tabs>
          <w:tab w:val="clear" w:pos="700"/>
          <w:tab w:val="left" w:pos="360"/>
          <w:tab w:val="left" w:pos="1080"/>
          <w:tab w:val="left" w:pos="1800"/>
        </w:tabs>
        <w:ind w:left="1800" w:hanging="720"/>
      </w:pPr>
      <w:r>
        <w:t>(a)</w:t>
      </w:r>
      <w:r>
        <w:tab/>
        <w:t>a law enforcement agency has provided information or a document for the purposes of this or any prescribed Act; and</w:t>
      </w:r>
    </w:p>
    <w:p w:rsidR="005E14A5" w:rsidRDefault="005E14A5">
      <w:pPr>
        <w:pStyle w:val="aindent"/>
        <w:tabs>
          <w:tab w:val="clear" w:pos="700"/>
          <w:tab w:val="left" w:pos="360"/>
          <w:tab w:val="left" w:pos="1080"/>
          <w:tab w:val="left" w:pos="1800"/>
        </w:tabs>
        <w:ind w:left="1800" w:hanging="720"/>
      </w:pPr>
      <w:r>
        <w:t>(b)</w:t>
      </w:r>
      <w:r>
        <w:tab/>
        <w:t>the law enforcement agency has requested that the information or document be kept confidential on the ground that its disclosure might —</w:t>
      </w:r>
    </w:p>
    <w:p w:rsidR="005E14A5" w:rsidRDefault="005E14A5">
      <w:pPr>
        <w:pStyle w:val="iindent"/>
        <w:tabs>
          <w:tab w:val="clear" w:pos="1340"/>
          <w:tab w:val="left" w:pos="360"/>
          <w:tab w:val="left" w:pos="1800"/>
          <w:tab w:val="left" w:pos="2700"/>
        </w:tabs>
        <w:ind w:left="2700" w:hanging="900"/>
        <w:rPr>
          <w:lang w:val="en-AU"/>
        </w:rPr>
      </w:pPr>
      <w:r>
        <w:rPr>
          <w:lang w:val="en-AU"/>
        </w:rPr>
        <w:t>(i)</w:t>
      </w:r>
      <w:r>
        <w:rPr>
          <w:lang w:val="en-AU"/>
        </w:rPr>
        <w:tab/>
        <w:t>prejudice present or future investigations or legal proceedings; or</w:t>
      </w:r>
    </w:p>
    <w:p w:rsidR="005E14A5" w:rsidRDefault="005E14A5">
      <w:pPr>
        <w:pStyle w:val="iindent"/>
        <w:tabs>
          <w:tab w:val="clear" w:pos="1340"/>
          <w:tab w:val="left" w:pos="360"/>
          <w:tab w:val="left" w:pos="1800"/>
          <w:tab w:val="left" w:pos="2700"/>
        </w:tabs>
        <w:ind w:left="2700" w:hanging="900"/>
        <w:rPr>
          <w:lang w:val="en-AU"/>
        </w:rPr>
      </w:pPr>
      <w:r>
        <w:rPr>
          <w:lang w:val="en-AU"/>
        </w:rPr>
        <w:lastRenderedPageBreak/>
        <w:t>(ii)</w:t>
      </w:r>
      <w:r>
        <w:rPr>
          <w:lang w:val="en-AU"/>
        </w:rPr>
        <w:tab/>
        <w:t>create a risk of loss, harm or undue distress to any person,</w:t>
      </w:r>
    </w:p>
    <w:p w:rsidR="005E14A5" w:rsidRDefault="005E14A5">
      <w:pPr>
        <w:pStyle w:val="fullout"/>
        <w:tabs>
          <w:tab w:val="left" w:pos="360"/>
          <w:tab w:val="left" w:pos="900"/>
          <w:tab w:val="left" w:pos="1620"/>
        </w:tabs>
        <w:rPr>
          <w:lang w:val="en-AU"/>
        </w:rPr>
      </w:pPr>
      <w:r>
        <w:rPr>
          <w:lang w:val="en-AU"/>
        </w:rPr>
        <w:t xml:space="preserve">the </w:t>
      </w:r>
      <w:r w:rsidR="00CB2933">
        <w:rPr>
          <w:lang w:val="en-AU"/>
        </w:rPr>
        <w:t>Minister</w:t>
      </w:r>
      <w:r>
        <w:rPr>
          <w:lang w:val="en-AU"/>
        </w:rPr>
        <w:t xml:space="preserve"> must, in determining for the purposes of this section whether to issue a certification in respect of that information or document, consult with the law enforcement agency and take into account any views expressed by the law enforcement agency on the matter. </w:t>
      </w:r>
    </w:p>
    <w:p w:rsidR="005E14A5" w:rsidRDefault="005E14A5">
      <w:pPr>
        <w:pStyle w:val="allsections"/>
        <w:tabs>
          <w:tab w:val="left" w:pos="360"/>
          <w:tab w:val="left" w:pos="900"/>
          <w:tab w:val="left" w:pos="1620"/>
        </w:tabs>
        <w:rPr>
          <w:lang w:val="en-AU"/>
        </w:rPr>
      </w:pPr>
      <w:r>
        <w:rPr>
          <w:b/>
          <w:lang w:val="en-AU"/>
        </w:rPr>
        <w:tab/>
        <w:t>(6)</w:t>
      </w:r>
      <w:r>
        <w:rPr>
          <w:b/>
          <w:lang w:val="en-AU"/>
        </w:rPr>
        <w:tab/>
      </w:r>
      <w:r>
        <w:rPr>
          <w:lang w:val="en-AU"/>
        </w:rPr>
        <w:t>In this section —</w:t>
      </w:r>
    </w:p>
    <w:p w:rsidR="005E14A5" w:rsidRDefault="005E14A5">
      <w:pPr>
        <w:pStyle w:val="def"/>
        <w:tabs>
          <w:tab w:val="left" w:pos="360"/>
          <w:tab w:val="left" w:pos="900"/>
          <w:tab w:val="left" w:pos="1620"/>
          <w:tab w:val="left" w:pos="2160"/>
        </w:tabs>
        <w:ind w:left="2160" w:hanging="540"/>
        <w:rPr>
          <w:lang w:val="en-AU"/>
        </w:rPr>
      </w:pPr>
      <w:r>
        <w:rPr>
          <w:lang w:val="en-AU"/>
        </w:rPr>
        <w:t xml:space="preserve">“court” includes any tribunal, authority or person having power to require the production of documents or the answering of questions; </w:t>
      </w:r>
    </w:p>
    <w:p w:rsidR="005E14A5" w:rsidRDefault="005E14A5">
      <w:pPr>
        <w:pStyle w:val="def"/>
        <w:tabs>
          <w:tab w:val="left" w:pos="360"/>
          <w:tab w:val="left" w:pos="900"/>
          <w:tab w:val="left" w:pos="1620"/>
          <w:tab w:val="left" w:pos="2160"/>
        </w:tabs>
        <w:ind w:left="2160" w:hanging="540"/>
        <w:rPr>
          <w:lang w:val="en-AU"/>
        </w:rPr>
      </w:pPr>
      <w:r>
        <w:rPr>
          <w:lang w:val="en-AU"/>
        </w:rPr>
        <w:t xml:space="preserve">“produce” includes permit access to; </w:t>
      </w:r>
    </w:p>
    <w:p w:rsidR="005E14A5" w:rsidRDefault="005E14A5">
      <w:pPr>
        <w:pStyle w:val="def"/>
        <w:tabs>
          <w:tab w:val="left" w:pos="360"/>
          <w:tab w:val="left" w:pos="900"/>
          <w:tab w:val="left" w:pos="1620"/>
          <w:tab w:val="left" w:pos="2160"/>
        </w:tabs>
        <w:ind w:left="2160" w:hanging="540"/>
        <w:rPr>
          <w:lang w:val="en-AU"/>
        </w:rPr>
      </w:pPr>
      <w:r>
        <w:rPr>
          <w:lang w:val="en-AU"/>
        </w:rPr>
        <w:t>“relevant person” means —</w:t>
      </w:r>
    </w:p>
    <w:p w:rsidR="005E14A5" w:rsidRDefault="005E14A5">
      <w:pPr>
        <w:pStyle w:val="defaindent"/>
        <w:tabs>
          <w:tab w:val="left" w:pos="360"/>
          <w:tab w:val="left" w:pos="900"/>
          <w:tab w:val="left" w:pos="1620"/>
          <w:tab w:val="left" w:pos="2160"/>
          <w:tab w:val="left" w:pos="2700"/>
        </w:tabs>
        <w:ind w:left="2700" w:hanging="540"/>
        <w:rPr>
          <w:lang w:val="en-AU"/>
        </w:rPr>
      </w:pPr>
      <w:r>
        <w:rPr>
          <w:lang w:val="en-AU"/>
        </w:rPr>
        <w:t>(a)</w:t>
      </w:r>
      <w:r>
        <w:rPr>
          <w:lang w:val="en-AU"/>
        </w:rPr>
        <w:tab/>
        <w:t xml:space="preserve">a person to whom information is divulged under subsection 24(2); or </w:t>
      </w:r>
    </w:p>
    <w:p w:rsidR="005E14A5" w:rsidRDefault="005E14A5">
      <w:pPr>
        <w:pStyle w:val="defaindent"/>
        <w:tabs>
          <w:tab w:val="left" w:pos="360"/>
          <w:tab w:val="left" w:pos="900"/>
          <w:tab w:val="left" w:pos="1620"/>
          <w:tab w:val="left" w:pos="2160"/>
          <w:tab w:val="left" w:pos="2700"/>
        </w:tabs>
        <w:ind w:left="2700" w:hanging="540"/>
        <w:rPr>
          <w:lang w:val="en-AU"/>
        </w:rPr>
      </w:pPr>
      <w:r>
        <w:rPr>
          <w:lang w:val="en-AU"/>
        </w:rPr>
        <w:t>(b)</w:t>
      </w:r>
      <w:r>
        <w:rPr>
          <w:lang w:val="en-AU"/>
        </w:rPr>
        <w:tab/>
        <w:t>a person employed by, or under the control of, a person referred to in paragraph 24(6)(a).</w:t>
      </w:r>
    </w:p>
    <w:p w:rsidR="0036227F" w:rsidRPr="00CB6AAC" w:rsidRDefault="0036227F" w:rsidP="0036227F">
      <w:pPr>
        <w:pStyle w:val="ActHead5"/>
      </w:pPr>
      <w:bookmarkStart w:id="2" w:name="_Toc435450581"/>
      <w:r w:rsidRPr="00CB6AAC">
        <w:rPr>
          <w:rStyle w:val="CharSectno"/>
        </w:rPr>
        <w:t>25</w:t>
      </w:r>
      <w:r w:rsidRPr="00CB6AAC">
        <w:t xml:space="preserve">  Commonwealth Minister may give directions to the Authority</w:t>
      </w:r>
      <w:bookmarkEnd w:id="2"/>
    </w:p>
    <w:p w:rsidR="0036227F" w:rsidRPr="00CB6AAC" w:rsidRDefault="0036227F" w:rsidP="0036227F">
      <w:pPr>
        <w:pStyle w:val="subsection"/>
      </w:pPr>
      <w:r w:rsidRPr="00CB6AAC">
        <w:tab/>
      </w:r>
      <w:r w:rsidRPr="00FE23BC">
        <w:rPr>
          <w:b/>
        </w:rPr>
        <w:t>(1)</w:t>
      </w:r>
      <w:r w:rsidRPr="00CB6AAC">
        <w:tab/>
        <w:t>The Commonwealth Minister may, by legislative instrument, give written directions of a general or specific nature to the Authority about the performance of any of the Authority’s functions or duties, or the performance of any of the Director’s functions or duties.</w:t>
      </w:r>
    </w:p>
    <w:p w:rsidR="00B07A6B" w:rsidRPr="0058455D" w:rsidRDefault="00B07A6B" w:rsidP="00B07A6B">
      <w:pPr>
        <w:pStyle w:val="subsection"/>
      </w:pPr>
      <w:r w:rsidRPr="0058455D">
        <w:tab/>
      </w:r>
      <w:r w:rsidRPr="0032787C">
        <w:rPr>
          <w:b/>
        </w:rPr>
        <w:t>(2)</w:t>
      </w:r>
      <w:r w:rsidRPr="0058455D">
        <w:tab/>
        <w:t>Without limiting subsection (1), a direction under that subsection may require the following:</w:t>
      </w:r>
    </w:p>
    <w:p w:rsidR="00B07A6B" w:rsidRPr="0058455D" w:rsidRDefault="00B07A6B" w:rsidP="00B07A6B">
      <w:pPr>
        <w:pStyle w:val="paragraph"/>
      </w:pPr>
      <w:r w:rsidRPr="0058455D">
        <w:tab/>
        <w:t>(a)</w:t>
      </w:r>
      <w:r w:rsidRPr="0058455D">
        <w:tab/>
        <w:t>the Authority to arrange for an external audit of the operations of the Authority or Director;</w:t>
      </w:r>
    </w:p>
    <w:p w:rsidR="00B07A6B" w:rsidRPr="0058455D" w:rsidRDefault="00B07A6B" w:rsidP="00B07A6B">
      <w:pPr>
        <w:pStyle w:val="paragraph"/>
      </w:pPr>
      <w:r w:rsidRPr="0058455D">
        <w:tab/>
        <w:t>(b)</w:t>
      </w:r>
      <w:r w:rsidRPr="0058455D">
        <w:tab/>
        <w:t>the Authority or the Director not to perform, or to no longer perform, one or more functions or duties.</w:t>
      </w:r>
    </w:p>
    <w:p w:rsidR="0036227F" w:rsidRPr="00CB6AAC" w:rsidRDefault="0036227F" w:rsidP="00FE23BC">
      <w:pPr>
        <w:pStyle w:val="subsection"/>
        <w:spacing w:after="80"/>
      </w:pPr>
      <w:r w:rsidRPr="00CB6AAC">
        <w:tab/>
      </w:r>
      <w:r w:rsidRPr="00FE23BC">
        <w:rPr>
          <w:b/>
        </w:rPr>
        <w:t>(3)</w:t>
      </w:r>
      <w:r w:rsidRPr="00CB6AAC">
        <w:tab/>
        <w:t>The Authority must comply with a direction under subsection (1).</w:t>
      </w:r>
    </w:p>
    <w:p w:rsidR="005E14A5" w:rsidRDefault="005E14A5">
      <w:pPr>
        <w:pStyle w:val="Heading4"/>
      </w:pPr>
      <w:r>
        <w:t>Regulations</w:t>
      </w:r>
    </w:p>
    <w:p w:rsidR="005E14A5" w:rsidRDefault="005E14A5">
      <w:pPr>
        <w:pStyle w:val="allsections"/>
        <w:tabs>
          <w:tab w:val="left" w:pos="360"/>
          <w:tab w:val="left" w:pos="900"/>
          <w:tab w:val="left" w:pos="1620"/>
        </w:tabs>
        <w:ind w:firstLine="360"/>
      </w:pPr>
      <w:r>
        <w:rPr>
          <w:b/>
        </w:rPr>
        <w:t>26.</w:t>
      </w:r>
      <w:r>
        <w:rPr>
          <w:b/>
        </w:rPr>
        <w:tab/>
        <w:t>(1)</w:t>
      </w:r>
      <w:r>
        <w:rPr>
          <w:b/>
        </w:rPr>
        <w:tab/>
      </w:r>
      <w:r>
        <w:t>The Administrator may make Regulations, not inconsistent with this Act, prescribing matters —</w:t>
      </w:r>
    </w:p>
    <w:p w:rsidR="005E14A5" w:rsidRDefault="005E14A5">
      <w:pPr>
        <w:pStyle w:val="aindent"/>
        <w:tabs>
          <w:tab w:val="clear" w:pos="700"/>
          <w:tab w:val="left" w:pos="360"/>
          <w:tab w:val="left" w:pos="1080"/>
          <w:tab w:val="left" w:pos="1800"/>
        </w:tabs>
        <w:ind w:left="1800" w:hanging="720"/>
      </w:pPr>
      <w:r>
        <w:t>(a)</w:t>
      </w:r>
      <w:r>
        <w:tab/>
        <w:t>required or permitted by this Act to be prescribed; or</w:t>
      </w:r>
    </w:p>
    <w:p w:rsidR="005E14A5" w:rsidRDefault="005E14A5">
      <w:pPr>
        <w:pStyle w:val="aindent"/>
        <w:tabs>
          <w:tab w:val="clear" w:pos="700"/>
          <w:tab w:val="left" w:pos="360"/>
          <w:tab w:val="left" w:pos="1080"/>
          <w:tab w:val="left" w:pos="1800"/>
        </w:tabs>
        <w:ind w:left="1800" w:hanging="720"/>
      </w:pPr>
      <w:r>
        <w:t>(b)</w:t>
      </w:r>
      <w:r>
        <w:tab/>
        <w:t>necessary or convenient to be prescribed for carrying out or giving effect to this Act,</w:t>
      </w:r>
    </w:p>
    <w:p w:rsidR="005E14A5" w:rsidRDefault="005E14A5">
      <w:pPr>
        <w:pStyle w:val="fullout"/>
        <w:tabs>
          <w:tab w:val="left" w:pos="360"/>
          <w:tab w:val="left" w:pos="900"/>
          <w:tab w:val="left" w:pos="1620"/>
        </w:tabs>
      </w:pPr>
      <w:r>
        <w:t>including Regulations —</w:t>
      </w:r>
    </w:p>
    <w:p w:rsidR="005E14A5" w:rsidRDefault="005E14A5">
      <w:pPr>
        <w:pStyle w:val="aindent"/>
        <w:tabs>
          <w:tab w:val="clear" w:pos="700"/>
          <w:tab w:val="left" w:pos="360"/>
          <w:tab w:val="left" w:pos="1080"/>
          <w:tab w:val="left" w:pos="1800"/>
        </w:tabs>
        <w:ind w:left="1800" w:hanging="720"/>
      </w:pPr>
      <w:r>
        <w:t>(c)</w:t>
      </w:r>
      <w:r>
        <w:tab/>
        <w:t>providing for the delegation of the functions and powers of the Authority under this Act or any prescribed Act; or</w:t>
      </w:r>
    </w:p>
    <w:p w:rsidR="005E14A5" w:rsidRDefault="005E14A5">
      <w:pPr>
        <w:pStyle w:val="aindent"/>
        <w:tabs>
          <w:tab w:val="clear" w:pos="700"/>
          <w:tab w:val="left" w:pos="360"/>
          <w:tab w:val="left" w:pos="1080"/>
          <w:tab w:val="left" w:pos="1800"/>
        </w:tabs>
        <w:ind w:left="1800" w:hanging="720"/>
      </w:pPr>
      <w:r>
        <w:t>(d)</w:t>
      </w:r>
      <w:r>
        <w:tab/>
        <w:t>deeming requirements issued by the Authority or an authorised officer in a manner specified in the Regulations to have been communicated to the person to whom they were issued; or</w:t>
      </w:r>
    </w:p>
    <w:p w:rsidR="005E14A5" w:rsidRDefault="005E14A5">
      <w:pPr>
        <w:pStyle w:val="aindent"/>
        <w:tabs>
          <w:tab w:val="clear" w:pos="700"/>
          <w:tab w:val="left" w:pos="360"/>
          <w:tab w:val="left" w:pos="1080"/>
          <w:tab w:val="left" w:pos="1800"/>
        </w:tabs>
        <w:ind w:left="1800" w:hanging="720"/>
      </w:pPr>
      <w:r>
        <w:t>(e)</w:t>
      </w:r>
      <w:r>
        <w:tab/>
        <w:t>providing that evidence may be given by certificate about the exercise or non-exercise of a power or function under this or a prescribed Act.</w:t>
      </w:r>
    </w:p>
    <w:p w:rsidR="005E14A5" w:rsidRDefault="005E14A5">
      <w:pPr>
        <w:pStyle w:val="allsections"/>
        <w:tabs>
          <w:tab w:val="left" w:pos="360"/>
          <w:tab w:val="left" w:pos="900"/>
          <w:tab w:val="left" w:pos="1620"/>
        </w:tabs>
        <w:ind w:firstLine="0"/>
      </w:pPr>
      <w:r>
        <w:lastRenderedPageBreak/>
        <w:tab/>
      </w:r>
      <w:r>
        <w:tab/>
      </w:r>
      <w:r>
        <w:rPr>
          <w:b/>
        </w:rPr>
        <w:t>(2)</w:t>
      </w:r>
      <w:r>
        <w:rPr>
          <w:b/>
        </w:rPr>
        <w:tab/>
      </w:r>
      <w:r>
        <w:t>The Regulations may prescribe penalties not exceeding 50 penalty units for a contravention of the Regulations.</w:t>
      </w:r>
    </w:p>
    <w:p w:rsidR="005E14A5" w:rsidRDefault="005E14A5">
      <w:pPr>
        <w:ind w:right="29"/>
        <w:jc w:val="center"/>
        <w:rPr>
          <w:snapToGrid w:val="0"/>
          <w:sz w:val="10"/>
          <w:u w:val="single"/>
        </w:rPr>
      </w:pPr>
      <w:r>
        <w:rPr>
          <w:snapToGrid w:val="0"/>
          <w:sz w:val="10"/>
          <w:u w:val="single"/>
        </w:rPr>
        <w:br w:type="page"/>
      </w:r>
    </w:p>
    <w:p w:rsidR="005E14A5" w:rsidRDefault="005E14A5" w:rsidP="006617C6">
      <w:pPr>
        <w:pStyle w:val="Heading5"/>
        <w:tabs>
          <w:tab w:val="clear" w:pos="360"/>
          <w:tab w:val="clear" w:pos="900"/>
          <w:tab w:val="clear" w:pos="1620"/>
          <w:tab w:val="clear" w:pos="4176"/>
        </w:tabs>
        <w:ind w:right="652"/>
        <w:rPr>
          <w:u w:val="single"/>
        </w:rPr>
      </w:pPr>
      <w:r>
        <w:rPr>
          <w:u w:val="single"/>
        </w:rPr>
        <w:lastRenderedPageBreak/>
        <w:t>NOTES</w:t>
      </w:r>
    </w:p>
    <w:p w:rsidR="005E14A5" w:rsidRDefault="005E14A5" w:rsidP="00686EB0">
      <w:pPr>
        <w:spacing w:before="120" w:after="120"/>
        <w:ind w:right="1106"/>
        <w:jc w:val="both"/>
        <w:rPr>
          <w:sz w:val="20"/>
        </w:rPr>
      </w:pPr>
      <w:r>
        <w:rPr>
          <w:sz w:val="20"/>
        </w:rPr>
        <w:t xml:space="preserve">The </w:t>
      </w:r>
      <w:r>
        <w:rPr>
          <w:i/>
          <w:sz w:val="20"/>
        </w:rPr>
        <w:t>Gaming Supervision Act 1998</w:t>
      </w:r>
      <w:r>
        <w:rPr>
          <w:sz w:val="20"/>
        </w:rPr>
        <w:t xml:space="preserve"> as shown in this consolidation comprises Act No. 4 of 1998 and amendments as indicated in the Tables below.</w:t>
      </w:r>
    </w:p>
    <w:tbl>
      <w:tblPr>
        <w:tblW w:w="0" w:type="auto"/>
        <w:tblLayout w:type="fixed"/>
        <w:tblLook w:val="0000" w:firstRow="0" w:lastRow="0" w:firstColumn="0" w:lastColumn="0" w:noHBand="0" w:noVBand="0"/>
      </w:tblPr>
      <w:tblGrid>
        <w:gridCol w:w="3440"/>
        <w:gridCol w:w="1080"/>
        <w:gridCol w:w="1620"/>
        <w:gridCol w:w="2332"/>
      </w:tblGrid>
      <w:tr w:rsidR="005E14A5" w:rsidTr="00726417">
        <w:tc>
          <w:tcPr>
            <w:tcW w:w="3440" w:type="dxa"/>
            <w:tcBorders>
              <w:top w:val="single" w:sz="4" w:space="0" w:color="auto"/>
              <w:bottom w:val="single" w:sz="4" w:space="0" w:color="auto"/>
            </w:tcBorders>
          </w:tcPr>
          <w:p w:rsidR="005E14A5" w:rsidRDefault="005E14A5">
            <w:pPr>
              <w:ind w:right="29"/>
              <w:jc w:val="both"/>
              <w:rPr>
                <w:snapToGrid w:val="0"/>
                <w:sz w:val="20"/>
                <w:u w:val="single"/>
              </w:rPr>
            </w:pPr>
            <w:r>
              <w:rPr>
                <w:b/>
                <w:sz w:val="20"/>
              </w:rPr>
              <w:t>Enactment</w:t>
            </w:r>
          </w:p>
        </w:tc>
        <w:tc>
          <w:tcPr>
            <w:tcW w:w="1080" w:type="dxa"/>
            <w:tcBorders>
              <w:top w:val="single" w:sz="4" w:space="0" w:color="auto"/>
              <w:bottom w:val="single" w:sz="4" w:space="0" w:color="auto"/>
            </w:tcBorders>
          </w:tcPr>
          <w:p w:rsidR="005E14A5" w:rsidRDefault="005E14A5">
            <w:pPr>
              <w:ind w:right="29"/>
              <w:jc w:val="both"/>
              <w:rPr>
                <w:snapToGrid w:val="0"/>
                <w:sz w:val="20"/>
                <w:u w:val="single"/>
              </w:rPr>
            </w:pPr>
            <w:r>
              <w:rPr>
                <w:b/>
                <w:sz w:val="20"/>
              </w:rPr>
              <w:t>Number and year</w:t>
            </w:r>
          </w:p>
        </w:tc>
        <w:tc>
          <w:tcPr>
            <w:tcW w:w="1620" w:type="dxa"/>
            <w:tcBorders>
              <w:top w:val="single" w:sz="4" w:space="0" w:color="auto"/>
              <w:bottom w:val="single" w:sz="4" w:space="0" w:color="auto"/>
            </w:tcBorders>
          </w:tcPr>
          <w:p w:rsidR="005E14A5" w:rsidRDefault="005E14A5" w:rsidP="00907242">
            <w:pPr>
              <w:ind w:right="29"/>
              <w:rPr>
                <w:snapToGrid w:val="0"/>
                <w:sz w:val="20"/>
                <w:u w:val="single"/>
              </w:rPr>
            </w:pPr>
            <w:r>
              <w:rPr>
                <w:b/>
                <w:sz w:val="20"/>
              </w:rPr>
              <w:t>Date of commencement</w:t>
            </w:r>
          </w:p>
        </w:tc>
        <w:tc>
          <w:tcPr>
            <w:tcW w:w="2332" w:type="dxa"/>
            <w:tcBorders>
              <w:top w:val="single" w:sz="4" w:space="0" w:color="auto"/>
              <w:bottom w:val="single" w:sz="4" w:space="0" w:color="auto"/>
            </w:tcBorders>
          </w:tcPr>
          <w:p w:rsidR="005E14A5" w:rsidRDefault="005E14A5" w:rsidP="00907242">
            <w:pPr>
              <w:ind w:right="29"/>
              <w:rPr>
                <w:snapToGrid w:val="0"/>
                <w:sz w:val="20"/>
                <w:u w:val="single"/>
              </w:rPr>
            </w:pPr>
            <w:r>
              <w:rPr>
                <w:b/>
                <w:sz w:val="20"/>
              </w:rPr>
              <w:t>Application saving or transitional provision</w:t>
            </w:r>
          </w:p>
        </w:tc>
      </w:tr>
      <w:tr w:rsidR="005E14A5" w:rsidTr="00726417">
        <w:tc>
          <w:tcPr>
            <w:tcW w:w="3440" w:type="dxa"/>
          </w:tcPr>
          <w:p w:rsidR="005E14A5" w:rsidRDefault="005E14A5" w:rsidP="00494F41">
            <w:pPr>
              <w:pStyle w:val="fullout"/>
              <w:spacing w:before="40" w:after="0"/>
              <w:ind w:right="164"/>
              <w:jc w:val="left"/>
              <w:rPr>
                <w:i/>
                <w:sz w:val="20"/>
              </w:rPr>
            </w:pPr>
            <w:r>
              <w:rPr>
                <w:i/>
                <w:sz w:val="20"/>
              </w:rPr>
              <w:t>Gaming Supervision Act 1998</w:t>
            </w:r>
          </w:p>
        </w:tc>
        <w:tc>
          <w:tcPr>
            <w:tcW w:w="1080" w:type="dxa"/>
          </w:tcPr>
          <w:p w:rsidR="005E14A5" w:rsidRDefault="005E14A5" w:rsidP="00494F41">
            <w:pPr>
              <w:pStyle w:val="fullout"/>
              <w:spacing w:before="40" w:after="0"/>
              <w:ind w:right="44"/>
              <w:rPr>
                <w:sz w:val="20"/>
              </w:rPr>
            </w:pPr>
            <w:r>
              <w:rPr>
                <w:sz w:val="20"/>
              </w:rPr>
              <w:t>4, 1998</w:t>
            </w:r>
          </w:p>
        </w:tc>
        <w:tc>
          <w:tcPr>
            <w:tcW w:w="1620" w:type="dxa"/>
          </w:tcPr>
          <w:p w:rsidR="005E14A5" w:rsidRDefault="005E14A5" w:rsidP="00494F41">
            <w:pPr>
              <w:pStyle w:val="fullout"/>
              <w:spacing w:before="40" w:after="0"/>
              <w:ind w:right="164"/>
              <w:jc w:val="left"/>
              <w:rPr>
                <w:sz w:val="20"/>
              </w:rPr>
            </w:pPr>
            <w:r>
              <w:rPr>
                <w:sz w:val="20"/>
              </w:rPr>
              <w:t>23.4.98</w:t>
            </w:r>
          </w:p>
        </w:tc>
        <w:tc>
          <w:tcPr>
            <w:tcW w:w="2332" w:type="dxa"/>
          </w:tcPr>
          <w:p w:rsidR="005E14A5" w:rsidRDefault="005E14A5" w:rsidP="00494F41">
            <w:pPr>
              <w:pStyle w:val="fullout"/>
              <w:spacing w:before="40" w:after="0"/>
              <w:ind w:right="29"/>
              <w:jc w:val="left"/>
              <w:rPr>
                <w:sz w:val="20"/>
              </w:rPr>
            </w:pPr>
            <w:r>
              <w:rPr>
                <w:sz w:val="20"/>
              </w:rPr>
              <w:t>27</w:t>
            </w:r>
          </w:p>
          <w:p w:rsidR="005E14A5" w:rsidRDefault="005E14A5" w:rsidP="00494F41">
            <w:pPr>
              <w:pStyle w:val="fullout"/>
              <w:spacing w:before="40" w:after="0"/>
              <w:ind w:right="29"/>
              <w:jc w:val="left"/>
              <w:rPr>
                <w:sz w:val="16"/>
              </w:rPr>
            </w:pPr>
            <w:r>
              <w:rPr>
                <w:sz w:val="16"/>
              </w:rPr>
              <w:t xml:space="preserve">[NB – transitional section now deleted] </w:t>
            </w:r>
          </w:p>
        </w:tc>
      </w:tr>
      <w:tr w:rsidR="005E14A5" w:rsidTr="00726417">
        <w:tc>
          <w:tcPr>
            <w:tcW w:w="3440" w:type="dxa"/>
          </w:tcPr>
          <w:p w:rsidR="005E14A5" w:rsidRDefault="005E14A5">
            <w:pPr>
              <w:pStyle w:val="fullout"/>
              <w:spacing w:before="0" w:after="0"/>
              <w:ind w:right="164"/>
              <w:jc w:val="left"/>
              <w:rPr>
                <w:i/>
                <w:sz w:val="20"/>
              </w:rPr>
            </w:pPr>
          </w:p>
        </w:tc>
        <w:tc>
          <w:tcPr>
            <w:tcW w:w="1080" w:type="dxa"/>
          </w:tcPr>
          <w:p w:rsidR="005E14A5" w:rsidRDefault="005E14A5">
            <w:pPr>
              <w:pStyle w:val="fullout"/>
              <w:spacing w:before="0" w:after="0"/>
              <w:ind w:right="44"/>
              <w:rPr>
                <w:sz w:val="20"/>
              </w:rPr>
            </w:pPr>
          </w:p>
        </w:tc>
        <w:tc>
          <w:tcPr>
            <w:tcW w:w="1620" w:type="dxa"/>
          </w:tcPr>
          <w:p w:rsidR="005E14A5" w:rsidRDefault="005E14A5" w:rsidP="00907242">
            <w:pPr>
              <w:pStyle w:val="fullout"/>
              <w:spacing w:before="0" w:after="0"/>
              <w:ind w:right="164"/>
              <w:jc w:val="left"/>
              <w:rPr>
                <w:sz w:val="20"/>
              </w:rPr>
            </w:pPr>
          </w:p>
        </w:tc>
        <w:tc>
          <w:tcPr>
            <w:tcW w:w="2332" w:type="dxa"/>
          </w:tcPr>
          <w:p w:rsidR="005E14A5" w:rsidRDefault="005E14A5" w:rsidP="00907242">
            <w:pPr>
              <w:pStyle w:val="fullout"/>
              <w:spacing w:before="0" w:after="0"/>
              <w:ind w:right="-144"/>
              <w:jc w:val="left"/>
              <w:rPr>
                <w:sz w:val="20"/>
              </w:rPr>
            </w:pPr>
          </w:p>
        </w:tc>
      </w:tr>
      <w:tr w:rsidR="005E14A5" w:rsidTr="00726417">
        <w:tc>
          <w:tcPr>
            <w:tcW w:w="3440" w:type="dxa"/>
          </w:tcPr>
          <w:p w:rsidR="005E14A5" w:rsidRDefault="005E14A5">
            <w:pPr>
              <w:pStyle w:val="fullout"/>
              <w:spacing w:before="0" w:after="0"/>
              <w:ind w:right="164"/>
              <w:jc w:val="left"/>
              <w:rPr>
                <w:i/>
                <w:sz w:val="20"/>
              </w:rPr>
            </w:pPr>
            <w:r>
              <w:rPr>
                <w:i/>
                <w:sz w:val="20"/>
              </w:rPr>
              <w:t>Gaming Supervision Amendment Act 1999</w:t>
            </w:r>
          </w:p>
        </w:tc>
        <w:tc>
          <w:tcPr>
            <w:tcW w:w="1080" w:type="dxa"/>
          </w:tcPr>
          <w:p w:rsidR="005E14A5" w:rsidRDefault="005E14A5">
            <w:pPr>
              <w:pStyle w:val="fullout"/>
              <w:spacing w:before="0" w:after="0"/>
              <w:ind w:right="44"/>
              <w:rPr>
                <w:sz w:val="20"/>
              </w:rPr>
            </w:pPr>
            <w:r>
              <w:rPr>
                <w:sz w:val="20"/>
              </w:rPr>
              <w:t>6, 1999</w:t>
            </w:r>
          </w:p>
        </w:tc>
        <w:tc>
          <w:tcPr>
            <w:tcW w:w="1620" w:type="dxa"/>
          </w:tcPr>
          <w:p w:rsidR="005E14A5" w:rsidRDefault="005E14A5" w:rsidP="00907242">
            <w:pPr>
              <w:pStyle w:val="fullout"/>
              <w:spacing w:before="0" w:after="0"/>
              <w:ind w:right="164"/>
              <w:jc w:val="left"/>
              <w:rPr>
                <w:sz w:val="20"/>
              </w:rPr>
            </w:pPr>
            <w:r>
              <w:rPr>
                <w:sz w:val="20"/>
              </w:rPr>
              <w:t>29.4.99</w:t>
            </w:r>
          </w:p>
        </w:tc>
        <w:tc>
          <w:tcPr>
            <w:tcW w:w="2332" w:type="dxa"/>
          </w:tcPr>
          <w:p w:rsidR="005E14A5" w:rsidRDefault="005E14A5" w:rsidP="00907242">
            <w:pPr>
              <w:pStyle w:val="fullout"/>
              <w:spacing w:before="0" w:after="0"/>
              <w:ind w:right="-144"/>
              <w:jc w:val="left"/>
              <w:rPr>
                <w:sz w:val="20"/>
              </w:rPr>
            </w:pPr>
          </w:p>
        </w:tc>
      </w:tr>
      <w:tr w:rsidR="005E14A5" w:rsidTr="00726417">
        <w:tc>
          <w:tcPr>
            <w:tcW w:w="3440" w:type="dxa"/>
          </w:tcPr>
          <w:p w:rsidR="005E14A5" w:rsidRDefault="005E14A5">
            <w:pPr>
              <w:pStyle w:val="fullout"/>
              <w:spacing w:before="0" w:after="0"/>
              <w:ind w:right="164"/>
              <w:jc w:val="left"/>
              <w:rPr>
                <w:i/>
                <w:sz w:val="20"/>
              </w:rPr>
            </w:pPr>
          </w:p>
        </w:tc>
        <w:tc>
          <w:tcPr>
            <w:tcW w:w="1080" w:type="dxa"/>
          </w:tcPr>
          <w:p w:rsidR="005E14A5" w:rsidRDefault="005E14A5">
            <w:pPr>
              <w:pStyle w:val="fullout"/>
              <w:spacing w:before="0" w:after="0"/>
              <w:ind w:right="44"/>
              <w:rPr>
                <w:sz w:val="20"/>
              </w:rPr>
            </w:pPr>
          </w:p>
        </w:tc>
        <w:tc>
          <w:tcPr>
            <w:tcW w:w="1620" w:type="dxa"/>
          </w:tcPr>
          <w:p w:rsidR="005E14A5" w:rsidRDefault="005E14A5" w:rsidP="00907242">
            <w:pPr>
              <w:pStyle w:val="fullout"/>
              <w:spacing w:before="0" w:after="0"/>
              <w:ind w:right="164"/>
              <w:jc w:val="left"/>
              <w:rPr>
                <w:sz w:val="20"/>
              </w:rPr>
            </w:pPr>
          </w:p>
        </w:tc>
        <w:tc>
          <w:tcPr>
            <w:tcW w:w="2332" w:type="dxa"/>
          </w:tcPr>
          <w:p w:rsidR="005E14A5" w:rsidRDefault="005E14A5" w:rsidP="00907242">
            <w:pPr>
              <w:pStyle w:val="fullout"/>
              <w:spacing w:before="0" w:after="0"/>
              <w:ind w:right="-144"/>
              <w:jc w:val="left"/>
              <w:rPr>
                <w:sz w:val="20"/>
              </w:rPr>
            </w:pPr>
          </w:p>
        </w:tc>
      </w:tr>
      <w:tr w:rsidR="005E14A5" w:rsidTr="00726417">
        <w:tc>
          <w:tcPr>
            <w:tcW w:w="3440" w:type="dxa"/>
          </w:tcPr>
          <w:p w:rsidR="005E14A5" w:rsidRDefault="005E14A5">
            <w:pPr>
              <w:pStyle w:val="fullout"/>
              <w:spacing w:before="0" w:after="0"/>
              <w:ind w:right="164"/>
              <w:jc w:val="left"/>
              <w:rPr>
                <w:i/>
                <w:sz w:val="20"/>
              </w:rPr>
            </w:pPr>
            <w:r>
              <w:rPr>
                <w:i/>
                <w:sz w:val="20"/>
              </w:rPr>
              <w:t>Gaming Supervision Amendment (No. 2) Act 1999</w:t>
            </w:r>
          </w:p>
        </w:tc>
        <w:tc>
          <w:tcPr>
            <w:tcW w:w="1080" w:type="dxa"/>
          </w:tcPr>
          <w:p w:rsidR="005E14A5" w:rsidRDefault="005E14A5">
            <w:pPr>
              <w:pStyle w:val="fullout"/>
              <w:spacing w:before="0" w:after="0"/>
              <w:ind w:right="44"/>
              <w:rPr>
                <w:sz w:val="20"/>
              </w:rPr>
            </w:pPr>
            <w:r>
              <w:rPr>
                <w:sz w:val="20"/>
              </w:rPr>
              <w:t>24, 1999</w:t>
            </w:r>
          </w:p>
        </w:tc>
        <w:tc>
          <w:tcPr>
            <w:tcW w:w="1620" w:type="dxa"/>
          </w:tcPr>
          <w:p w:rsidR="005E14A5" w:rsidRDefault="005E14A5" w:rsidP="00907242">
            <w:pPr>
              <w:pStyle w:val="fullout"/>
              <w:spacing w:before="0" w:after="0"/>
              <w:ind w:right="164"/>
              <w:jc w:val="left"/>
              <w:rPr>
                <w:sz w:val="20"/>
              </w:rPr>
            </w:pPr>
            <w:r>
              <w:rPr>
                <w:sz w:val="20"/>
              </w:rPr>
              <w:t>2.12.99</w:t>
            </w:r>
          </w:p>
        </w:tc>
        <w:tc>
          <w:tcPr>
            <w:tcW w:w="2332" w:type="dxa"/>
          </w:tcPr>
          <w:p w:rsidR="005E14A5" w:rsidRDefault="005E14A5" w:rsidP="00907242">
            <w:pPr>
              <w:pStyle w:val="fullout"/>
              <w:spacing w:before="0" w:after="0"/>
              <w:ind w:right="-144"/>
              <w:jc w:val="left"/>
              <w:rPr>
                <w:sz w:val="20"/>
              </w:rPr>
            </w:pPr>
          </w:p>
        </w:tc>
      </w:tr>
      <w:tr w:rsidR="0023392C" w:rsidTr="00726417">
        <w:tc>
          <w:tcPr>
            <w:tcW w:w="3440" w:type="dxa"/>
          </w:tcPr>
          <w:p w:rsidR="0023392C" w:rsidRDefault="0023392C" w:rsidP="00996F3B">
            <w:pPr>
              <w:pStyle w:val="fullout"/>
              <w:spacing w:before="0" w:after="0"/>
              <w:ind w:right="164"/>
              <w:jc w:val="left"/>
              <w:rPr>
                <w:i/>
                <w:sz w:val="20"/>
              </w:rPr>
            </w:pPr>
          </w:p>
        </w:tc>
        <w:tc>
          <w:tcPr>
            <w:tcW w:w="1080" w:type="dxa"/>
          </w:tcPr>
          <w:p w:rsidR="0023392C" w:rsidRDefault="0023392C" w:rsidP="00996F3B">
            <w:pPr>
              <w:pStyle w:val="fullout"/>
              <w:spacing w:before="0" w:after="0"/>
              <w:ind w:right="44"/>
              <w:rPr>
                <w:sz w:val="20"/>
              </w:rPr>
            </w:pPr>
          </w:p>
        </w:tc>
        <w:tc>
          <w:tcPr>
            <w:tcW w:w="1620" w:type="dxa"/>
          </w:tcPr>
          <w:p w:rsidR="0023392C" w:rsidRDefault="0023392C" w:rsidP="00996F3B">
            <w:pPr>
              <w:pStyle w:val="fullout"/>
              <w:spacing w:before="0" w:after="0"/>
              <w:ind w:right="164"/>
              <w:jc w:val="left"/>
              <w:rPr>
                <w:sz w:val="20"/>
              </w:rPr>
            </w:pPr>
          </w:p>
        </w:tc>
        <w:tc>
          <w:tcPr>
            <w:tcW w:w="2332" w:type="dxa"/>
          </w:tcPr>
          <w:p w:rsidR="0023392C" w:rsidRDefault="0023392C" w:rsidP="00996F3B">
            <w:pPr>
              <w:pStyle w:val="fullout"/>
              <w:spacing w:before="0" w:after="0"/>
              <w:ind w:right="-144"/>
              <w:jc w:val="left"/>
              <w:rPr>
                <w:sz w:val="20"/>
              </w:rPr>
            </w:pPr>
          </w:p>
        </w:tc>
      </w:tr>
      <w:tr w:rsidR="00CB2933" w:rsidRPr="00667120" w:rsidTr="00726417">
        <w:tc>
          <w:tcPr>
            <w:tcW w:w="8472" w:type="dxa"/>
            <w:gridSpan w:val="4"/>
            <w:tcBorders>
              <w:top w:val="nil"/>
              <w:left w:val="nil"/>
              <w:bottom w:val="nil"/>
              <w:right w:val="nil"/>
            </w:tcBorders>
          </w:tcPr>
          <w:p w:rsidR="00CB2933" w:rsidRPr="005D4F56" w:rsidRDefault="00CB2933" w:rsidP="00092B17">
            <w:pPr>
              <w:spacing w:before="20" w:after="20"/>
              <w:jc w:val="center"/>
              <w:rPr>
                <w:i/>
                <w:iCs/>
                <w:sz w:val="20"/>
              </w:rPr>
            </w:pPr>
            <w:r w:rsidRPr="005D4F56">
              <w:rPr>
                <w:i/>
                <w:iCs/>
                <w:sz w:val="20"/>
              </w:rPr>
              <w:t>[previously consolidated as at 10 March 2000]</w:t>
            </w:r>
          </w:p>
        </w:tc>
      </w:tr>
      <w:tr w:rsidR="00CB2933" w:rsidTr="00726417">
        <w:tc>
          <w:tcPr>
            <w:tcW w:w="3440" w:type="dxa"/>
          </w:tcPr>
          <w:p w:rsidR="00CB2933" w:rsidRDefault="00CB2933" w:rsidP="00092B17">
            <w:pPr>
              <w:pStyle w:val="PlainText"/>
              <w:rPr>
                <w:rFonts w:ascii="Times" w:hAnsi="Times"/>
              </w:rPr>
            </w:pPr>
          </w:p>
        </w:tc>
        <w:tc>
          <w:tcPr>
            <w:tcW w:w="1080" w:type="dxa"/>
          </w:tcPr>
          <w:p w:rsidR="00CB2933" w:rsidRDefault="00CB2933" w:rsidP="00092B17">
            <w:pPr>
              <w:pStyle w:val="PlainText"/>
              <w:jc w:val="both"/>
              <w:rPr>
                <w:rFonts w:ascii="Times" w:hAnsi="Times"/>
              </w:rPr>
            </w:pPr>
          </w:p>
        </w:tc>
        <w:tc>
          <w:tcPr>
            <w:tcW w:w="1620" w:type="dxa"/>
          </w:tcPr>
          <w:p w:rsidR="00CB2933" w:rsidRDefault="00CB2933" w:rsidP="00092B17">
            <w:pPr>
              <w:pStyle w:val="PlainText"/>
              <w:jc w:val="center"/>
              <w:rPr>
                <w:rFonts w:ascii="Times" w:hAnsi="Times"/>
              </w:rPr>
            </w:pPr>
          </w:p>
        </w:tc>
        <w:tc>
          <w:tcPr>
            <w:tcW w:w="2332" w:type="dxa"/>
          </w:tcPr>
          <w:p w:rsidR="00CB2933" w:rsidRDefault="00CB2933" w:rsidP="00092B17">
            <w:pPr>
              <w:pStyle w:val="PlainText"/>
              <w:jc w:val="both"/>
              <w:rPr>
                <w:rFonts w:ascii="Times" w:hAnsi="Times"/>
              </w:rPr>
            </w:pPr>
          </w:p>
        </w:tc>
      </w:tr>
      <w:tr w:rsidR="00CB2933" w:rsidTr="00726417">
        <w:tc>
          <w:tcPr>
            <w:tcW w:w="3440" w:type="dxa"/>
          </w:tcPr>
          <w:p w:rsidR="00CB2933" w:rsidRDefault="00CB2933" w:rsidP="00092B17">
            <w:pPr>
              <w:pStyle w:val="PlainText"/>
              <w:rPr>
                <w:rFonts w:ascii="Times" w:hAnsi="Times"/>
                <w:i/>
              </w:rPr>
            </w:pPr>
            <w:r>
              <w:rPr>
                <w:rFonts w:ascii="Times" w:hAnsi="Times"/>
                <w:i/>
              </w:rPr>
              <w:t>Interpretation (Amendment) Act 2012</w:t>
            </w:r>
          </w:p>
          <w:p w:rsidR="00CB2933" w:rsidRDefault="00CB2933" w:rsidP="00092B17">
            <w:pPr>
              <w:pStyle w:val="PlainText"/>
              <w:rPr>
                <w:rFonts w:ascii="Times" w:hAnsi="Times"/>
                <w:i/>
              </w:rPr>
            </w:pPr>
            <w:r>
              <w:rPr>
                <w:rFonts w:ascii="Times" w:hAnsi="Times"/>
                <w:i/>
              </w:rPr>
              <w:t>[to substitute throughout —Commonwealth Minister for Minister; and to substitute Minister for executive member]</w:t>
            </w:r>
          </w:p>
        </w:tc>
        <w:tc>
          <w:tcPr>
            <w:tcW w:w="1080" w:type="dxa"/>
          </w:tcPr>
          <w:p w:rsidR="00CB2933" w:rsidRDefault="00CB2933" w:rsidP="00ED478C">
            <w:pPr>
              <w:pStyle w:val="PlainText"/>
              <w:rPr>
                <w:rFonts w:ascii="Times" w:hAnsi="Times"/>
              </w:rPr>
            </w:pPr>
            <w:r>
              <w:rPr>
                <w:rFonts w:ascii="Times" w:hAnsi="Times"/>
              </w:rPr>
              <w:t>14, 2012</w:t>
            </w:r>
          </w:p>
        </w:tc>
        <w:tc>
          <w:tcPr>
            <w:tcW w:w="1620" w:type="dxa"/>
          </w:tcPr>
          <w:p w:rsidR="00CB2933" w:rsidRDefault="00CB2933" w:rsidP="00ED478C">
            <w:pPr>
              <w:pStyle w:val="PlainText"/>
              <w:rPr>
                <w:rFonts w:ascii="Times" w:hAnsi="Times"/>
              </w:rPr>
            </w:pPr>
            <w:r>
              <w:rPr>
                <w:rFonts w:ascii="Times" w:hAnsi="Times"/>
              </w:rPr>
              <w:t>28.12.12</w:t>
            </w:r>
          </w:p>
        </w:tc>
        <w:tc>
          <w:tcPr>
            <w:tcW w:w="2332" w:type="dxa"/>
          </w:tcPr>
          <w:p w:rsidR="00CB2933" w:rsidRDefault="00CB2933" w:rsidP="00092B17">
            <w:pPr>
              <w:pStyle w:val="PlainText"/>
              <w:jc w:val="both"/>
              <w:rPr>
                <w:rFonts w:ascii="Times" w:hAnsi="Times"/>
              </w:rPr>
            </w:pPr>
          </w:p>
        </w:tc>
      </w:tr>
      <w:tr w:rsidR="005E14A5" w:rsidTr="00726417">
        <w:tc>
          <w:tcPr>
            <w:tcW w:w="8472" w:type="dxa"/>
            <w:gridSpan w:val="4"/>
          </w:tcPr>
          <w:p w:rsidR="005E14A5" w:rsidRDefault="005E14A5" w:rsidP="006617C6">
            <w:pPr>
              <w:spacing w:before="0" w:after="0"/>
              <w:jc w:val="center"/>
            </w:pPr>
          </w:p>
        </w:tc>
      </w:tr>
      <w:tr w:rsidR="004606BA" w:rsidTr="00726417">
        <w:tblPrEx>
          <w:tblLook w:val="04A0" w:firstRow="1" w:lastRow="0" w:firstColumn="1" w:lastColumn="0" w:noHBand="0" w:noVBand="1"/>
        </w:tblPrEx>
        <w:tc>
          <w:tcPr>
            <w:tcW w:w="8472" w:type="dxa"/>
            <w:gridSpan w:val="4"/>
            <w:hideMark/>
          </w:tcPr>
          <w:p w:rsidR="004606BA" w:rsidRDefault="004606BA" w:rsidP="004606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before="20" w:after="20"/>
              <w:jc w:val="center"/>
              <w:rPr>
                <w:i/>
                <w:iCs/>
                <w:spacing w:val="-3"/>
                <w:sz w:val="20"/>
                <w:szCs w:val="26"/>
                <w:lang w:val="en-GB"/>
              </w:rPr>
            </w:pPr>
            <w:r>
              <w:rPr>
                <w:i/>
                <w:iCs/>
                <w:sz w:val="20"/>
              </w:rPr>
              <w:t>[Previously consolidated as at 28 January 2014]</w:t>
            </w:r>
          </w:p>
        </w:tc>
      </w:tr>
      <w:tr w:rsidR="004606BA" w:rsidTr="00726417">
        <w:tc>
          <w:tcPr>
            <w:tcW w:w="8472" w:type="dxa"/>
            <w:gridSpan w:val="4"/>
            <w:tcBorders>
              <w:bottom w:val="single" w:sz="4" w:space="0" w:color="auto"/>
            </w:tcBorders>
          </w:tcPr>
          <w:p w:rsidR="004606BA" w:rsidRDefault="004606BA" w:rsidP="006617C6">
            <w:pPr>
              <w:spacing w:before="0" w:after="0"/>
              <w:jc w:val="center"/>
            </w:pPr>
          </w:p>
        </w:tc>
      </w:tr>
    </w:tbl>
    <w:p w:rsidR="00FE79DE" w:rsidRDefault="00FE79DE" w:rsidP="00FE79DE">
      <w:pPr>
        <w:pStyle w:val="Tabletext"/>
      </w:pPr>
    </w:p>
    <w:tbl>
      <w:tblPr>
        <w:tblW w:w="8506" w:type="dxa"/>
        <w:tblInd w:w="-34"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3110"/>
        <w:gridCol w:w="1498"/>
        <w:gridCol w:w="1707"/>
        <w:gridCol w:w="2191"/>
      </w:tblGrid>
      <w:tr w:rsidR="00FE79DE" w:rsidTr="004552D7">
        <w:trPr>
          <w:tblHeader/>
        </w:trPr>
        <w:tc>
          <w:tcPr>
            <w:tcW w:w="3110" w:type="dxa"/>
            <w:tcBorders>
              <w:top w:val="single" w:sz="12" w:space="0" w:color="auto"/>
              <w:left w:val="nil"/>
              <w:bottom w:val="single" w:sz="12" w:space="0" w:color="auto"/>
              <w:right w:val="nil"/>
            </w:tcBorders>
            <w:hideMark/>
          </w:tcPr>
          <w:p w:rsidR="00FE79DE" w:rsidRDefault="00FE79DE" w:rsidP="00D25007">
            <w:pPr>
              <w:pStyle w:val="ENoteTableHeading"/>
            </w:pPr>
            <w:r>
              <w:t>Ordinance</w:t>
            </w:r>
          </w:p>
        </w:tc>
        <w:tc>
          <w:tcPr>
            <w:tcW w:w="1498" w:type="dxa"/>
            <w:tcBorders>
              <w:top w:val="single" w:sz="12" w:space="0" w:color="auto"/>
              <w:left w:val="nil"/>
              <w:bottom w:val="single" w:sz="12" w:space="0" w:color="auto"/>
              <w:right w:val="nil"/>
            </w:tcBorders>
            <w:hideMark/>
          </w:tcPr>
          <w:p w:rsidR="00FE79DE" w:rsidRDefault="00D24AFE" w:rsidP="00D25007">
            <w:pPr>
              <w:pStyle w:val="ENoteTableHeading"/>
            </w:pPr>
            <w:r>
              <w:t>R</w:t>
            </w:r>
            <w:r w:rsidR="00FE79DE">
              <w:t>egistration</w:t>
            </w:r>
          </w:p>
        </w:tc>
        <w:tc>
          <w:tcPr>
            <w:tcW w:w="1707" w:type="dxa"/>
            <w:tcBorders>
              <w:top w:val="single" w:sz="12" w:space="0" w:color="auto"/>
              <w:left w:val="nil"/>
              <w:bottom w:val="single" w:sz="12" w:space="0" w:color="auto"/>
              <w:right w:val="nil"/>
            </w:tcBorders>
            <w:hideMark/>
          </w:tcPr>
          <w:p w:rsidR="00FE79DE" w:rsidRDefault="00FE79DE" w:rsidP="00D25007">
            <w:pPr>
              <w:pStyle w:val="ENoteTableHeading"/>
            </w:pPr>
            <w:r>
              <w:t>Commencement</w:t>
            </w:r>
          </w:p>
        </w:tc>
        <w:tc>
          <w:tcPr>
            <w:tcW w:w="2191" w:type="dxa"/>
            <w:tcBorders>
              <w:top w:val="single" w:sz="12" w:space="0" w:color="auto"/>
              <w:left w:val="nil"/>
              <w:bottom w:val="single" w:sz="12" w:space="0" w:color="auto"/>
              <w:right w:val="nil"/>
            </w:tcBorders>
            <w:hideMark/>
          </w:tcPr>
          <w:p w:rsidR="00FE79DE" w:rsidRDefault="00FE79DE" w:rsidP="00D25007">
            <w:pPr>
              <w:pStyle w:val="ENoteTableHeading"/>
            </w:pPr>
            <w:r>
              <w:t>Application, saving and transitional provision</w:t>
            </w:r>
          </w:p>
        </w:tc>
      </w:tr>
      <w:tr w:rsidR="00FE79DE" w:rsidTr="004552D7">
        <w:trPr>
          <w:cantSplit/>
        </w:trPr>
        <w:tc>
          <w:tcPr>
            <w:tcW w:w="3110" w:type="dxa"/>
            <w:tcBorders>
              <w:top w:val="single" w:sz="12" w:space="0" w:color="auto"/>
              <w:left w:val="nil"/>
              <w:bottom w:val="nil"/>
              <w:right w:val="nil"/>
            </w:tcBorders>
            <w:hideMark/>
          </w:tcPr>
          <w:p w:rsidR="00FE79DE" w:rsidRDefault="00FE79DE" w:rsidP="00CA156C">
            <w:pPr>
              <w:pStyle w:val="ENoteTableText"/>
            </w:pPr>
            <w:r>
              <w:t>Norfolk Island Continued Laws Amendment Ordinance 2015</w:t>
            </w:r>
            <w:r>
              <w:br/>
              <w:t>(No. 2, 2015)</w:t>
            </w:r>
            <w:r w:rsidR="0090210C">
              <w:br/>
              <w:t>(</w:t>
            </w:r>
            <w:r w:rsidR="00CA156C">
              <w:t>now cited as</w:t>
            </w:r>
            <w:r w:rsidR="0090210C">
              <w:t xml:space="preserve"> </w:t>
            </w:r>
            <w:r w:rsidR="0090210C" w:rsidRPr="00B7131D">
              <w:t xml:space="preserve">Norfolk Island Continued Laws </w:t>
            </w:r>
            <w:r w:rsidR="0090210C">
              <w:t xml:space="preserve"> </w:t>
            </w:r>
            <w:r w:rsidR="0090210C" w:rsidRPr="00B7131D">
              <w:t xml:space="preserve">Ordinance 2015 </w:t>
            </w:r>
            <w:r w:rsidR="0090210C">
              <w:t>(see F2015L01491))</w:t>
            </w:r>
          </w:p>
        </w:tc>
        <w:tc>
          <w:tcPr>
            <w:tcW w:w="1498" w:type="dxa"/>
            <w:tcBorders>
              <w:top w:val="single" w:sz="12" w:space="0" w:color="auto"/>
              <w:left w:val="nil"/>
              <w:bottom w:val="nil"/>
              <w:right w:val="nil"/>
            </w:tcBorders>
            <w:hideMark/>
          </w:tcPr>
          <w:p w:rsidR="00FE79DE" w:rsidRDefault="00FE79DE" w:rsidP="00D25007">
            <w:pPr>
              <w:pStyle w:val="ENoteTableText"/>
            </w:pPr>
            <w:r>
              <w:t>17 June 2015 (F2015L00835)</w:t>
            </w:r>
          </w:p>
        </w:tc>
        <w:tc>
          <w:tcPr>
            <w:tcW w:w="1707" w:type="dxa"/>
            <w:tcBorders>
              <w:top w:val="single" w:sz="12" w:space="0" w:color="auto"/>
              <w:left w:val="nil"/>
              <w:bottom w:val="nil"/>
              <w:right w:val="nil"/>
            </w:tcBorders>
            <w:hideMark/>
          </w:tcPr>
          <w:p w:rsidR="00FE79DE" w:rsidRDefault="00FE79DE" w:rsidP="00AB7298">
            <w:pPr>
              <w:pStyle w:val="ENoteTableText"/>
            </w:pPr>
            <w:r>
              <w:t>Sch 1 (</w:t>
            </w:r>
            <w:r w:rsidRPr="00907242">
              <w:t xml:space="preserve">items 101, 344, </w:t>
            </w:r>
            <w:r>
              <w:t>345): 18 June 2015 (s 2(1) item 1)</w:t>
            </w:r>
          </w:p>
        </w:tc>
        <w:tc>
          <w:tcPr>
            <w:tcW w:w="2191" w:type="dxa"/>
            <w:tcBorders>
              <w:top w:val="single" w:sz="12" w:space="0" w:color="auto"/>
              <w:left w:val="nil"/>
              <w:bottom w:val="nil"/>
              <w:right w:val="nil"/>
            </w:tcBorders>
            <w:hideMark/>
          </w:tcPr>
          <w:p w:rsidR="00FE79DE" w:rsidRDefault="00FE79DE" w:rsidP="0043644F">
            <w:pPr>
              <w:pStyle w:val="ENoteTableText"/>
            </w:pPr>
            <w:r>
              <w:t>Sch 1 (items 344, 345)</w:t>
            </w:r>
            <w:r w:rsidR="00242F9C">
              <w:br/>
              <w:t xml:space="preserve">Sch 1 (items 359–362) </w:t>
            </w:r>
            <w:r w:rsidR="0043644F">
              <w:t>(</w:t>
            </w:r>
            <w:r w:rsidR="00242F9C">
              <w:t>ad by</w:t>
            </w:r>
            <w:r w:rsidR="0043644F">
              <w:t xml:space="preserve"> </w:t>
            </w:r>
            <w:r w:rsidR="004552D7">
              <w:t xml:space="preserve"> F2017L00367,</w:t>
            </w:r>
            <w:r w:rsidR="0043644F">
              <w:t xml:space="preserve"> Sch </w:t>
            </w:r>
            <w:bookmarkStart w:id="3" w:name="_GoBack"/>
            <w:bookmarkEnd w:id="3"/>
            <w:r w:rsidR="0043644F">
              <w:t>1 (item 7))</w:t>
            </w:r>
          </w:p>
        </w:tc>
      </w:tr>
      <w:tr w:rsidR="0036227F" w:rsidRPr="00B7131D" w:rsidTr="004552D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3110" w:type="dxa"/>
          </w:tcPr>
          <w:p w:rsidR="0036227F" w:rsidRPr="00846B0D" w:rsidRDefault="0036227F" w:rsidP="002736F9">
            <w:pPr>
              <w:pStyle w:val="ENoteTTIndentHeading"/>
            </w:pPr>
            <w:r w:rsidRPr="00846B0D">
              <w:t>as amended by</w:t>
            </w:r>
          </w:p>
        </w:tc>
        <w:tc>
          <w:tcPr>
            <w:tcW w:w="1498" w:type="dxa"/>
          </w:tcPr>
          <w:p w:rsidR="0036227F" w:rsidRPr="00846B0D" w:rsidRDefault="0036227F" w:rsidP="002736F9">
            <w:pPr>
              <w:pStyle w:val="ENoteTableText"/>
            </w:pPr>
          </w:p>
        </w:tc>
        <w:tc>
          <w:tcPr>
            <w:tcW w:w="1707" w:type="dxa"/>
          </w:tcPr>
          <w:p w:rsidR="0036227F" w:rsidRPr="00846B0D" w:rsidRDefault="0036227F" w:rsidP="002736F9">
            <w:pPr>
              <w:pStyle w:val="ENoteTableText"/>
            </w:pPr>
          </w:p>
        </w:tc>
        <w:tc>
          <w:tcPr>
            <w:tcW w:w="2191" w:type="dxa"/>
          </w:tcPr>
          <w:p w:rsidR="0036227F" w:rsidRPr="00846B0D" w:rsidRDefault="0036227F" w:rsidP="002736F9">
            <w:pPr>
              <w:pStyle w:val="ENoteTableText"/>
            </w:pPr>
          </w:p>
        </w:tc>
      </w:tr>
      <w:tr w:rsidR="0036227F" w:rsidRPr="00B7131D" w:rsidTr="004552D7">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3110" w:type="dxa"/>
          </w:tcPr>
          <w:p w:rsidR="0036227F" w:rsidRPr="00961F6F" w:rsidRDefault="0036227F" w:rsidP="002736F9">
            <w:pPr>
              <w:pStyle w:val="ENoteTTi"/>
            </w:pPr>
            <w:r>
              <w:rPr>
                <w:rFonts w:cs="Arial"/>
              </w:rPr>
              <w:t>Norfolk Island Continued Laws Amendment (2015 Measures No.</w:t>
            </w:r>
            <w:r w:rsidR="002825F9">
              <w:rPr>
                <w:rFonts w:cs="Arial"/>
              </w:rPr>
              <w:t> </w:t>
            </w:r>
            <w:r>
              <w:rPr>
                <w:rFonts w:cs="Arial"/>
              </w:rPr>
              <w:t>1) Ordinance 2015</w:t>
            </w:r>
            <w:r>
              <w:rPr>
                <w:rFonts w:cs="Arial"/>
              </w:rPr>
              <w:br/>
              <w:t>(No. 10, 2015)</w:t>
            </w:r>
          </w:p>
        </w:tc>
        <w:tc>
          <w:tcPr>
            <w:tcW w:w="1498" w:type="dxa"/>
          </w:tcPr>
          <w:p w:rsidR="0036227F" w:rsidRPr="00961F6F" w:rsidRDefault="0036227F" w:rsidP="002736F9">
            <w:pPr>
              <w:pStyle w:val="ENoteTableText"/>
            </w:pPr>
            <w:r>
              <w:t>14 Dec 2015 (F2015L01994)</w:t>
            </w:r>
            <w:r w:rsidRPr="00961F6F">
              <w:t xml:space="preserve"> </w:t>
            </w:r>
          </w:p>
        </w:tc>
        <w:tc>
          <w:tcPr>
            <w:tcW w:w="1707" w:type="dxa"/>
          </w:tcPr>
          <w:p w:rsidR="00FA45F3" w:rsidRPr="00961F6F" w:rsidRDefault="0036227F" w:rsidP="002736F9">
            <w:pPr>
              <w:pStyle w:val="ENoteTableText"/>
            </w:pPr>
            <w:r>
              <w:t>Sch 3 (item 2): 15 Dec 2015 (s 2(1) item 2)</w:t>
            </w:r>
          </w:p>
        </w:tc>
        <w:tc>
          <w:tcPr>
            <w:tcW w:w="2191" w:type="dxa"/>
          </w:tcPr>
          <w:p w:rsidR="0036227F" w:rsidRPr="00961F6F" w:rsidRDefault="0036227F" w:rsidP="0023392C">
            <w:pPr>
              <w:pStyle w:val="ENoteTableText"/>
            </w:pPr>
            <w:r>
              <w:t>—</w:t>
            </w:r>
          </w:p>
        </w:tc>
      </w:tr>
      <w:tr w:rsidR="002963B0" w:rsidRPr="00A011E1" w:rsidTr="004552D7">
        <w:tblPrEx>
          <w:tblLook w:val="0000" w:firstRow="0" w:lastRow="0" w:firstColumn="0" w:lastColumn="0" w:noHBand="0" w:noVBand="0"/>
        </w:tblPrEx>
        <w:trPr>
          <w:cantSplit/>
          <w:trHeight w:val="87"/>
        </w:trPr>
        <w:tc>
          <w:tcPr>
            <w:tcW w:w="3110" w:type="dxa"/>
            <w:tcBorders>
              <w:top w:val="nil"/>
              <w:bottom w:val="nil"/>
            </w:tcBorders>
          </w:tcPr>
          <w:p w:rsidR="002825F9" w:rsidRPr="00A011E1" w:rsidRDefault="002825F9" w:rsidP="002963B0">
            <w:pPr>
              <w:pStyle w:val="ENoteTTi"/>
            </w:pPr>
            <w:r w:rsidRPr="00A011E1">
              <w:rPr>
                <w:rFonts w:cs="Arial"/>
              </w:rPr>
              <w:t>Norfolk Island Continued Laws Amendment (</w:t>
            </w:r>
            <w:r>
              <w:rPr>
                <w:rFonts w:cs="Arial"/>
              </w:rPr>
              <w:t xml:space="preserve">2016 Measures No. </w:t>
            </w:r>
            <w:r w:rsidR="002963B0">
              <w:rPr>
                <w:rFonts w:cs="Arial"/>
              </w:rPr>
              <w:t>2</w:t>
            </w:r>
            <w:r>
              <w:rPr>
                <w:rFonts w:cs="Arial"/>
              </w:rPr>
              <w:t>) Ordinance 2016</w:t>
            </w:r>
            <w:r w:rsidRPr="00A011E1">
              <w:rPr>
                <w:rFonts w:cs="Arial"/>
              </w:rPr>
              <w:br/>
              <w:t xml:space="preserve">(No. </w:t>
            </w:r>
            <w:r w:rsidR="00941E23">
              <w:rPr>
                <w:rFonts w:cs="Arial"/>
              </w:rPr>
              <w:t>5</w:t>
            </w:r>
            <w:r>
              <w:rPr>
                <w:rFonts w:cs="Arial"/>
              </w:rPr>
              <w:t>, 2016</w:t>
            </w:r>
            <w:r w:rsidRPr="00A011E1">
              <w:rPr>
                <w:rFonts w:cs="Arial"/>
              </w:rPr>
              <w:t>)</w:t>
            </w:r>
          </w:p>
        </w:tc>
        <w:tc>
          <w:tcPr>
            <w:tcW w:w="1498" w:type="dxa"/>
            <w:tcBorders>
              <w:top w:val="nil"/>
              <w:bottom w:val="nil"/>
            </w:tcBorders>
          </w:tcPr>
          <w:p w:rsidR="002825F9" w:rsidRPr="00A011E1" w:rsidRDefault="002825F9" w:rsidP="00754C96">
            <w:pPr>
              <w:pStyle w:val="ENoteTableText"/>
            </w:pPr>
            <w:r>
              <w:t xml:space="preserve">10 May 2016 </w:t>
            </w:r>
            <w:r w:rsidR="009636F8">
              <w:t>(F2016L007</w:t>
            </w:r>
            <w:r w:rsidR="002963B0">
              <w:t>51</w:t>
            </w:r>
            <w:r w:rsidRPr="00A011E1">
              <w:t xml:space="preserve">) </w:t>
            </w:r>
          </w:p>
        </w:tc>
        <w:tc>
          <w:tcPr>
            <w:tcW w:w="1707" w:type="dxa"/>
            <w:tcBorders>
              <w:top w:val="nil"/>
              <w:bottom w:val="nil"/>
            </w:tcBorders>
          </w:tcPr>
          <w:p w:rsidR="002825F9" w:rsidRDefault="002825F9" w:rsidP="00D24AFE">
            <w:pPr>
              <w:pStyle w:val="ENoteTableText"/>
            </w:pPr>
            <w:r>
              <w:t xml:space="preserve">Sch </w:t>
            </w:r>
            <w:r w:rsidR="00941E23">
              <w:t>4</w:t>
            </w:r>
            <w:r>
              <w:t xml:space="preserve"> (item</w:t>
            </w:r>
            <w:r w:rsidR="00941E23">
              <w:t xml:space="preserve"> 5</w:t>
            </w:r>
            <w:r>
              <w:t>): 11 May 2016</w:t>
            </w:r>
            <w:r w:rsidR="00D24AFE">
              <w:t xml:space="preserve"> (s 2(1) item 3)</w:t>
            </w:r>
          </w:p>
          <w:p w:rsidR="008F7994" w:rsidRPr="00A011E1" w:rsidRDefault="008F7994" w:rsidP="00740B2D">
            <w:pPr>
              <w:pStyle w:val="ENoteTableText"/>
            </w:pPr>
            <w:r>
              <w:t>Sch 4 (item 21): 1 July 2016 (s 2(1) item 4)</w:t>
            </w:r>
          </w:p>
        </w:tc>
        <w:tc>
          <w:tcPr>
            <w:tcW w:w="2191" w:type="dxa"/>
            <w:tcBorders>
              <w:top w:val="nil"/>
              <w:bottom w:val="nil"/>
            </w:tcBorders>
          </w:tcPr>
          <w:p w:rsidR="002825F9" w:rsidRPr="00A011E1" w:rsidRDefault="002825F9" w:rsidP="00754C96">
            <w:pPr>
              <w:pStyle w:val="ENoteTableText"/>
            </w:pPr>
            <w:r w:rsidRPr="00A011E1">
              <w:t>—</w:t>
            </w:r>
          </w:p>
        </w:tc>
      </w:tr>
      <w:tr w:rsidR="005B55C5" w:rsidRPr="00A011E1" w:rsidTr="004552D7">
        <w:tblPrEx>
          <w:tblLook w:val="0000" w:firstRow="0" w:lastRow="0" w:firstColumn="0" w:lastColumn="0" w:noHBand="0" w:noVBand="0"/>
        </w:tblPrEx>
        <w:trPr>
          <w:cantSplit/>
          <w:trHeight w:val="87"/>
        </w:trPr>
        <w:tc>
          <w:tcPr>
            <w:tcW w:w="3110" w:type="dxa"/>
            <w:tcBorders>
              <w:top w:val="nil"/>
              <w:bottom w:val="single" w:sz="12" w:space="0" w:color="auto"/>
            </w:tcBorders>
          </w:tcPr>
          <w:p w:rsidR="005B55C5" w:rsidRPr="007B5D9E" w:rsidRDefault="005B55C5" w:rsidP="00242F9C">
            <w:pPr>
              <w:pStyle w:val="ENoteTTi"/>
              <w:rPr>
                <w:rFonts w:cs="Arial"/>
              </w:rPr>
            </w:pPr>
            <w:r w:rsidRPr="007B5D9E">
              <w:rPr>
                <w:rFonts w:cs="Arial"/>
              </w:rPr>
              <w:t>Norfolk Island Continued Laws Amendment (Gaming Authority) Rules 2017</w:t>
            </w:r>
          </w:p>
        </w:tc>
        <w:tc>
          <w:tcPr>
            <w:tcW w:w="1498" w:type="dxa"/>
            <w:tcBorders>
              <w:top w:val="nil"/>
              <w:bottom w:val="single" w:sz="12" w:space="0" w:color="auto"/>
            </w:tcBorders>
          </w:tcPr>
          <w:p w:rsidR="005B55C5" w:rsidRDefault="005B55C5" w:rsidP="00754C96">
            <w:pPr>
              <w:pStyle w:val="ENoteTableText"/>
            </w:pPr>
            <w:r>
              <w:rPr>
                <w:bCs/>
              </w:rPr>
              <w:t>31 Mar 2017 (F2017L00367)</w:t>
            </w:r>
          </w:p>
        </w:tc>
        <w:tc>
          <w:tcPr>
            <w:tcW w:w="1707" w:type="dxa"/>
            <w:tcBorders>
              <w:top w:val="nil"/>
              <w:bottom w:val="single" w:sz="12" w:space="0" w:color="auto"/>
            </w:tcBorders>
          </w:tcPr>
          <w:p w:rsidR="005B55C5" w:rsidRDefault="007B5D9E" w:rsidP="00D24AFE">
            <w:pPr>
              <w:pStyle w:val="ENoteTableText"/>
            </w:pPr>
            <w:r>
              <w:t xml:space="preserve">Sch 1 (items 1, 7): </w:t>
            </w:r>
            <w:r w:rsidR="005B55C5">
              <w:t>1 Apr 2017 (s 2(1) item 1)</w:t>
            </w:r>
          </w:p>
        </w:tc>
        <w:tc>
          <w:tcPr>
            <w:tcW w:w="2191" w:type="dxa"/>
            <w:tcBorders>
              <w:top w:val="nil"/>
              <w:bottom w:val="single" w:sz="12" w:space="0" w:color="auto"/>
            </w:tcBorders>
          </w:tcPr>
          <w:p w:rsidR="005B55C5" w:rsidRPr="00A011E1" w:rsidRDefault="00242F9C" w:rsidP="00754C96">
            <w:pPr>
              <w:pStyle w:val="ENoteTableText"/>
            </w:pPr>
            <w:r>
              <w:t>—</w:t>
            </w:r>
          </w:p>
        </w:tc>
      </w:tr>
    </w:tbl>
    <w:p w:rsidR="00FE79DE" w:rsidRDefault="00FE79DE">
      <w:pPr>
        <w:pStyle w:val="allsections"/>
        <w:tabs>
          <w:tab w:val="left" w:pos="1890"/>
          <w:tab w:val="left" w:pos="3690"/>
          <w:tab w:val="left" w:pos="5490"/>
        </w:tabs>
        <w:spacing w:before="0" w:after="0"/>
        <w:jc w:val="center"/>
        <w:rPr>
          <w:b/>
          <w:sz w:val="20"/>
        </w:rPr>
      </w:pPr>
    </w:p>
    <w:p w:rsidR="005E14A5" w:rsidRDefault="005E14A5" w:rsidP="00F035AF">
      <w:pPr>
        <w:pStyle w:val="Heading5"/>
        <w:pageBreakBefore/>
        <w:spacing w:after="120"/>
        <w:ind w:right="1106"/>
      </w:pPr>
      <w:r>
        <w:lastRenderedPageBreak/>
        <w:t>Table of Amendments</w:t>
      </w:r>
    </w:p>
    <w:tbl>
      <w:tblPr>
        <w:tblW w:w="0" w:type="auto"/>
        <w:tblLayout w:type="fixed"/>
        <w:tblLook w:val="0000" w:firstRow="0" w:lastRow="0" w:firstColumn="0" w:lastColumn="0" w:noHBand="0" w:noVBand="0"/>
      </w:tblPr>
      <w:tblGrid>
        <w:gridCol w:w="2235"/>
        <w:gridCol w:w="477"/>
        <w:gridCol w:w="1010"/>
        <w:gridCol w:w="1606"/>
        <w:gridCol w:w="3144"/>
      </w:tblGrid>
      <w:tr w:rsidR="005E14A5" w:rsidTr="00686EB0">
        <w:trPr>
          <w:cantSplit/>
          <w:tblHeader/>
        </w:trPr>
        <w:tc>
          <w:tcPr>
            <w:tcW w:w="2235" w:type="dxa"/>
          </w:tcPr>
          <w:p w:rsidR="005E14A5" w:rsidRDefault="005E14A5" w:rsidP="00740B2D">
            <w:pPr>
              <w:tabs>
                <w:tab w:val="left" w:pos="540"/>
              </w:tabs>
              <w:ind w:left="540" w:hanging="540"/>
              <w:rPr>
                <w:snapToGrid w:val="0"/>
                <w:sz w:val="20"/>
              </w:rPr>
            </w:pPr>
            <w:r>
              <w:rPr>
                <w:snapToGrid w:val="0"/>
                <w:sz w:val="20"/>
              </w:rPr>
              <w:t>ad =</w:t>
            </w:r>
            <w:r w:rsidR="00341017">
              <w:rPr>
                <w:snapToGrid w:val="0"/>
                <w:sz w:val="20"/>
              </w:rPr>
              <w:t xml:space="preserve"> </w:t>
            </w:r>
            <w:r>
              <w:rPr>
                <w:snapToGrid w:val="0"/>
                <w:sz w:val="20"/>
              </w:rPr>
              <w:t>added or inserted</w:t>
            </w:r>
          </w:p>
        </w:tc>
        <w:tc>
          <w:tcPr>
            <w:tcW w:w="1487" w:type="dxa"/>
            <w:gridSpan w:val="2"/>
          </w:tcPr>
          <w:p w:rsidR="005E14A5" w:rsidRDefault="005E14A5" w:rsidP="00ED478C">
            <w:pPr>
              <w:ind w:right="29"/>
              <w:rPr>
                <w:snapToGrid w:val="0"/>
                <w:sz w:val="20"/>
              </w:rPr>
            </w:pPr>
            <w:r>
              <w:rPr>
                <w:snapToGrid w:val="0"/>
                <w:sz w:val="20"/>
              </w:rPr>
              <w:t>am = amended</w:t>
            </w:r>
          </w:p>
        </w:tc>
        <w:tc>
          <w:tcPr>
            <w:tcW w:w="1606" w:type="dxa"/>
          </w:tcPr>
          <w:p w:rsidR="005E14A5" w:rsidRDefault="005E14A5" w:rsidP="00ED478C">
            <w:pPr>
              <w:ind w:right="29"/>
              <w:rPr>
                <w:snapToGrid w:val="0"/>
                <w:sz w:val="20"/>
              </w:rPr>
            </w:pPr>
            <w:r>
              <w:rPr>
                <w:snapToGrid w:val="0"/>
                <w:sz w:val="20"/>
              </w:rPr>
              <w:t>rep = repealed</w:t>
            </w:r>
          </w:p>
        </w:tc>
        <w:tc>
          <w:tcPr>
            <w:tcW w:w="3144" w:type="dxa"/>
          </w:tcPr>
          <w:p w:rsidR="005E14A5" w:rsidRDefault="005E14A5" w:rsidP="00ED478C">
            <w:pPr>
              <w:tabs>
                <w:tab w:val="left" w:pos="537"/>
              </w:tabs>
              <w:ind w:left="537" w:right="29" w:hanging="537"/>
              <w:rPr>
                <w:snapToGrid w:val="0"/>
                <w:sz w:val="20"/>
              </w:rPr>
            </w:pPr>
            <w:r>
              <w:rPr>
                <w:snapToGrid w:val="0"/>
                <w:sz w:val="20"/>
              </w:rPr>
              <w:t>rs =</w:t>
            </w:r>
            <w:r w:rsidR="00341017">
              <w:rPr>
                <w:snapToGrid w:val="0"/>
                <w:sz w:val="20"/>
              </w:rPr>
              <w:t xml:space="preserve"> </w:t>
            </w:r>
            <w:r>
              <w:rPr>
                <w:snapToGrid w:val="0"/>
                <w:sz w:val="20"/>
              </w:rPr>
              <w:t>repealed and substituted</w:t>
            </w:r>
          </w:p>
        </w:tc>
      </w:tr>
      <w:tr w:rsidR="005E14A5" w:rsidTr="00D24AFE">
        <w:trPr>
          <w:cantSplit/>
          <w:tblHeader/>
        </w:trPr>
        <w:tc>
          <w:tcPr>
            <w:tcW w:w="8472" w:type="dxa"/>
            <w:gridSpan w:val="5"/>
            <w:tcBorders>
              <w:top w:val="single" w:sz="4" w:space="0" w:color="auto"/>
              <w:bottom w:val="single" w:sz="4" w:space="0" w:color="auto"/>
            </w:tcBorders>
          </w:tcPr>
          <w:p w:rsidR="005E14A5" w:rsidRDefault="005E14A5">
            <w:pPr>
              <w:rPr>
                <w:snapToGrid w:val="0"/>
              </w:rPr>
            </w:pPr>
            <w:r>
              <w:rPr>
                <w:b/>
                <w:snapToGrid w:val="0"/>
                <w:sz w:val="20"/>
              </w:rPr>
              <w:t>Provisions affected</w:t>
            </w:r>
            <w:r>
              <w:rPr>
                <w:snapToGrid w:val="0"/>
              </w:rPr>
              <w:tab/>
            </w:r>
            <w:r>
              <w:rPr>
                <w:b/>
                <w:snapToGrid w:val="0"/>
                <w:sz w:val="20"/>
              </w:rPr>
              <w:t>How affected</w:t>
            </w:r>
          </w:p>
        </w:tc>
      </w:tr>
      <w:tr w:rsidR="00764AE8" w:rsidTr="00686EB0">
        <w:tc>
          <w:tcPr>
            <w:tcW w:w="2235" w:type="dxa"/>
          </w:tcPr>
          <w:p w:rsidR="00764AE8" w:rsidRDefault="00764AE8" w:rsidP="00DE4036">
            <w:pPr>
              <w:pStyle w:val="fullout"/>
              <w:spacing w:before="40" w:after="0" w:line="240" w:lineRule="atLeast"/>
              <w:jc w:val="left"/>
              <w:rPr>
                <w:sz w:val="20"/>
              </w:rPr>
            </w:pPr>
            <w:r>
              <w:rPr>
                <w:sz w:val="20"/>
              </w:rPr>
              <w:t>4</w:t>
            </w:r>
          </w:p>
        </w:tc>
        <w:tc>
          <w:tcPr>
            <w:tcW w:w="477" w:type="dxa"/>
          </w:tcPr>
          <w:p w:rsidR="00764AE8" w:rsidRDefault="00764AE8" w:rsidP="00DE4036">
            <w:pPr>
              <w:pStyle w:val="fullout"/>
              <w:spacing w:before="40" w:after="0" w:line="240" w:lineRule="atLeast"/>
              <w:jc w:val="left"/>
              <w:rPr>
                <w:sz w:val="20"/>
              </w:rPr>
            </w:pPr>
            <w:r>
              <w:rPr>
                <w:sz w:val="20"/>
              </w:rPr>
              <w:t>am</w:t>
            </w:r>
          </w:p>
        </w:tc>
        <w:tc>
          <w:tcPr>
            <w:tcW w:w="5760" w:type="dxa"/>
            <w:gridSpan w:val="3"/>
          </w:tcPr>
          <w:p w:rsidR="00764AE8" w:rsidRDefault="00764AE8" w:rsidP="009E324D">
            <w:pPr>
              <w:pStyle w:val="fullout"/>
              <w:spacing w:before="40" w:after="0" w:line="240" w:lineRule="atLeast"/>
              <w:jc w:val="left"/>
              <w:rPr>
                <w:sz w:val="20"/>
              </w:rPr>
            </w:pPr>
            <w:r>
              <w:rPr>
                <w:sz w:val="20"/>
              </w:rPr>
              <w:t>Ord No </w:t>
            </w:r>
            <w:r w:rsidR="009E324D">
              <w:rPr>
                <w:sz w:val="20"/>
              </w:rPr>
              <w:t>2</w:t>
            </w:r>
            <w:r>
              <w:rPr>
                <w:sz w:val="20"/>
              </w:rPr>
              <w:t>, 201</w:t>
            </w:r>
            <w:r w:rsidR="009E324D">
              <w:rPr>
                <w:sz w:val="20"/>
              </w:rPr>
              <w:t>5</w:t>
            </w:r>
            <w:r>
              <w:rPr>
                <w:sz w:val="20"/>
              </w:rPr>
              <w:t xml:space="preserve"> (as am by F2017L00367)</w:t>
            </w:r>
          </w:p>
        </w:tc>
      </w:tr>
      <w:tr w:rsidR="00CB2933" w:rsidTr="00686EB0">
        <w:tc>
          <w:tcPr>
            <w:tcW w:w="2235" w:type="dxa"/>
          </w:tcPr>
          <w:p w:rsidR="00CB2933" w:rsidRDefault="00833A8E" w:rsidP="00DE4036">
            <w:pPr>
              <w:pStyle w:val="fullout"/>
              <w:spacing w:before="40" w:after="0" w:line="240" w:lineRule="atLeast"/>
              <w:jc w:val="left"/>
              <w:rPr>
                <w:sz w:val="20"/>
              </w:rPr>
            </w:pPr>
            <w:r>
              <w:rPr>
                <w:sz w:val="20"/>
              </w:rPr>
              <w:t>6</w:t>
            </w:r>
          </w:p>
        </w:tc>
        <w:tc>
          <w:tcPr>
            <w:tcW w:w="477" w:type="dxa"/>
          </w:tcPr>
          <w:p w:rsidR="00CB2933" w:rsidRDefault="00CB2933" w:rsidP="00DE4036">
            <w:pPr>
              <w:pStyle w:val="fullout"/>
              <w:spacing w:before="40" w:after="0" w:line="240" w:lineRule="atLeast"/>
              <w:jc w:val="left"/>
              <w:rPr>
                <w:sz w:val="20"/>
              </w:rPr>
            </w:pPr>
            <w:r>
              <w:rPr>
                <w:sz w:val="20"/>
              </w:rPr>
              <w:t>am</w:t>
            </w:r>
          </w:p>
        </w:tc>
        <w:tc>
          <w:tcPr>
            <w:tcW w:w="5760" w:type="dxa"/>
            <w:gridSpan w:val="3"/>
          </w:tcPr>
          <w:p w:rsidR="00CB2933" w:rsidRDefault="00CB2933" w:rsidP="00DE4036">
            <w:pPr>
              <w:pStyle w:val="fullout"/>
              <w:spacing w:before="40" w:after="0" w:line="240" w:lineRule="atLeast"/>
              <w:jc w:val="left"/>
              <w:rPr>
                <w:sz w:val="20"/>
              </w:rPr>
            </w:pPr>
            <w:r>
              <w:rPr>
                <w:sz w:val="20"/>
              </w:rPr>
              <w:t>14, 2012</w:t>
            </w:r>
          </w:p>
        </w:tc>
      </w:tr>
      <w:tr w:rsidR="00764AE8" w:rsidTr="00686EB0">
        <w:tc>
          <w:tcPr>
            <w:tcW w:w="2235" w:type="dxa"/>
          </w:tcPr>
          <w:p w:rsidR="00764AE8" w:rsidRDefault="00764AE8" w:rsidP="00DE4036">
            <w:pPr>
              <w:pStyle w:val="fullout"/>
              <w:spacing w:before="40" w:after="0" w:line="240" w:lineRule="atLeast"/>
              <w:jc w:val="left"/>
              <w:rPr>
                <w:sz w:val="20"/>
              </w:rPr>
            </w:pPr>
          </w:p>
        </w:tc>
        <w:tc>
          <w:tcPr>
            <w:tcW w:w="477" w:type="dxa"/>
          </w:tcPr>
          <w:p w:rsidR="00764AE8" w:rsidRDefault="00764AE8" w:rsidP="00DE4036">
            <w:pPr>
              <w:pStyle w:val="fullout"/>
              <w:spacing w:before="40" w:after="0" w:line="240" w:lineRule="atLeast"/>
              <w:jc w:val="left"/>
              <w:rPr>
                <w:sz w:val="20"/>
              </w:rPr>
            </w:pPr>
            <w:r>
              <w:rPr>
                <w:sz w:val="20"/>
              </w:rPr>
              <w:t>rs</w:t>
            </w:r>
          </w:p>
        </w:tc>
        <w:tc>
          <w:tcPr>
            <w:tcW w:w="5760" w:type="dxa"/>
            <w:gridSpan w:val="3"/>
          </w:tcPr>
          <w:p w:rsidR="00764AE8" w:rsidRDefault="009E324D" w:rsidP="00DE4036">
            <w:pPr>
              <w:pStyle w:val="fullout"/>
              <w:spacing w:before="40" w:after="0" w:line="240" w:lineRule="atLeast"/>
              <w:jc w:val="left"/>
              <w:rPr>
                <w:sz w:val="20"/>
              </w:rPr>
            </w:pPr>
            <w:r>
              <w:rPr>
                <w:sz w:val="20"/>
              </w:rPr>
              <w:t>Ord No 2, 2015 (as am by F2017L00367)</w:t>
            </w:r>
          </w:p>
        </w:tc>
      </w:tr>
      <w:tr w:rsidR="00833A8E" w:rsidTr="00686EB0">
        <w:tc>
          <w:tcPr>
            <w:tcW w:w="2235" w:type="dxa"/>
          </w:tcPr>
          <w:p w:rsidR="00833A8E" w:rsidRDefault="00833A8E" w:rsidP="00DE4036">
            <w:pPr>
              <w:pStyle w:val="fullout"/>
              <w:spacing w:before="40" w:after="0" w:line="240" w:lineRule="atLeast"/>
              <w:jc w:val="left"/>
              <w:rPr>
                <w:sz w:val="20"/>
              </w:rPr>
            </w:pPr>
            <w:r>
              <w:rPr>
                <w:sz w:val="20"/>
              </w:rPr>
              <w:t>7</w:t>
            </w:r>
          </w:p>
        </w:tc>
        <w:tc>
          <w:tcPr>
            <w:tcW w:w="477" w:type="dxa"/>
          </w:tcPr>
          <w:p w:rsidR="00833A8E" w:rsidRDefault="00833A8E" w:rsidP="00DE4036">
            <w:pPr>
              <w:pStyle w:val="fullout"/>
              <w:spacing w:before="40" w:after="0" w:line="240" w:lineRule="atLeast"/>
              <w:jc w:val="left"/>
              <w:rPr>
                <w:sz w:val="20"/>
              </w:rPr>
            </w:pPr>
            <w:r>
              <w:rPr>
                <w:sz w:val="20"/>
              </w:rPr>
              <w:t>am</w:t>
            </w:r>
          </w:p>
        </w:tc>
        <w:tc>
          <w:tcPr>
            <w:tcW w:w="5760" w:type="dxa"/>
            <w:gridSpan w:val="3"/>
          </w:tcPr>
          <w:p w:rsidR="00833A8E" w:rsidRDefault="00833A8E" w:rsidP="00DE4036">
            <w:pPr>
              <w:pStyle w:val="fullout"/>
              <w:spacing w:before="40" w:after="0" w:line="240" w:lineRule="atLeast"/>
              <w:jc w:val="left"/>
              <w:rPr>
                <w:sz w:val="20"/>
              </w:rPr>
            </w:pPr>
            <w:r>
              <w:rPr>
                <w:sz w:val="20"/>
              </w:rPr>
              <w:t>14, 2012</w:t>
            </w:r>
            <w:r w:rsidR="00FE79DE">
              <w:rPr>
                <w:sz w:val="20"/>
              </w:rPr>
              <w:t>; Ord No 2, 2015</w:t>
            </w:r>
          </w:p>
        </w:tc>
      </w:tr>
      <w:tr w:rsidR="00764AE8" w:rsidTr="00686EB0">
        <w:tc>
          <w:tcPr>
            <w:tcW w:w="2235" w:type="dxa"/>
          </w:tcPr>
          <w:p w:rsidR="00764AE8" w:rsidRDefault="00764AE8" w:rsidP="00DE4036">
            <w:pPr>
              <w:pStyle w:val="fullout"/>
              <w:spacing w:before="40" w:after="0" w:line="240" w:lineRule="atLeast"/>
              <w:jc w:val="left"/>
              <w:rPr>
                <w:sz w:val="20"/>
              </w:rPr>
            </w:pPr>
          </w:p>
        </w:tc>
        <w:tc>
          <w:tcPr>
            <w:tcW w:w="477" w:type="dxa"/>
          </w:tcPr>
          <w:p w:rsidR="00764AE8" w:rsidRDefault="00764AE8" w:rsidP="00DE4036">
            <w:pPr>
              <w:pStyle w:val="fullout"/>
              <w:spacing w:before="40" w:after="0" w:line="240" w:lineRule="atLeast"/>
              <w:jc w:val="left"/>
              <w:rPr>
                <w:sz w:val="20"/>
              </w:rPr>
            </w:pPr>
            <w:r>
              <w:rPr>
                <w:sz w:val="20"/>
              </w:rPr>
              <w:t>rep</w:t>
            </w:r>
          </w:p>
        </w:tc>
        <w:tc>
          <w:tcPr>
            <w:tcW w:w="5760" w:type="dxa"/>
            <w:gridSpan w:val="3"/>
          </w:tcPr>
          <w:p w:rsidR="00764AE8" w:rsidRDefault="009E324D" w:rsidP="00DE4036">
            <w:pPr>
              <w:pStyle w:val="fullout"/>
              <w:spacing w:before="40" w:after="0" w:line="240" w:lineRule="atLeast"/>
              <w:jc w:val="left"/>
              <w:rPr>
                <w:sz w:val="20"/>
              </w:rPr>
            </w:pPr>
            <w:r>
              <w:rPr>
                <w:sz w:val="20"/>
              </w:rPr>
              <w:t>Ord No 2, 2015 (as am by F2017L00367)</w:t>
            </w:r>
          </w:p>
        </w:tc>
      </w:tr>
      <w:tr w:rsidR="005E14A5" w:rsidTr="00686EB0">
        <w:tc>
          <w:tcPr>
            <w:tcW w:w="2235" w:type="dxa"/>
          </w:tcPr>
          <w:p w:rsidR="005E14A5" w:rsidRDefault="005E14A5" w:rsidP="00DE4036">
            <w:pPr>
              <w:pStyle w:val="fullout"/>
              <w:spacing w:before="40" w:after="0" w:line="240" w:lineRule="atLeast"/>
              <w:jc w:val="left"/>
              <w:rPr>
                <w:sz w:val="20"/>
              </w:rPr>
            </w:pPr>
            <w:r>
              <w:rPr>
                <w:sz w:val="20"/>
              </w:rPr>
              <w:t>8</w:t>
            </w:r>
          </w:p>
        </w:tc>
        <w:tc>
          <w:tcPr>
            <w:tcW w:w="477" w:type="dxa"/>
          </w:tcPr>
          <w:p w:rsidR="005E14A5" w:rsidRDefault="005E14A5" w:rsidP="00DE4036">
            <w:pPr>
              <w:pStyle w:val="fullout"/>
              <w:spacing w:before="40" w:after="0" w:line="240" w:lineRule="atLeast"/>
              <w:jc w:val="left"/>
              <w:rPr>
                <w:sz w:val="20"/>
              </w:rPr>
            </w:pPr>
            <w:r>
              <w:rPr>
                <w:sz w:val="20"/>
              </w:rPr>
              <w:t>am</w:t>
            </w:r>
          </w:p>
        </w:tc>
        <w:tc>
          <w:tcPr>
            <w:tcW w:w="5760" w:type="dxa"/>
            <w:gridSpan w:val="3"/>
          </w:tcPr>
          <w:p w:rsidR="005E14A5" w:rsidRDefault="005E14A5" w:rsidP="00DE4036">
            <w:pPr>
              <w:pStyle w:val="fullout"/>
              <w:spacing w:before="40" w:after="0" w:line="240" w:lineRule="atLeast"/>
              <w:jc w:val="left"/>
              <w:rPr>
                <w:sz w:val="20"/>
              </w:rPr>
            </w:pPr>
            <w:r>
              <w:rPr>
                <w:sz w:val="20"/>
              </w:rPr>
              <w:t>6, 1999</w:t>
            </w:r>
          </w:p>
        </w:tc>
      </w:tr>
      <w:tr w:rsidR="00764AE8" w:rsidTr="00686EB0">
        <w:tc>
          <w:tcPr>
            <w:tcW w:w="2235" w:type="dxa"/>
          </w:tcPr>
          <w:p w:rsidR="00764AE8" w:rsidRDefault="00764AE8" w:rsidP="00DE4036">
            <w:pPr>
              <w:pStyle w:val="fullout"/>
              <w:spacing w:before="40" w:after="0" w:line="240" w:lineRule="atLeast"/>
              <w:jc w:val="left"/>
              <w:rPr>
                <w:sz w:val="20"/>
              </w:rPr>
            </w:pPr>
          </w:p>
        </w:tc>
        <w:tc>
          <w:tcPr>
            <w:tcW w:w="477" w:type="dxa"/>
          </w:tcPr>
          <w:p w:rsidR="00764AE8" w:rsidRDefault="00764AE8" w:rsidP="00DE4036">
            <w:pPr>
              <w:pStyle w:val="fullout"/>
              <w:spacing w:before="40" w:after="0" w:line="240" w:lineRule="atLeast"/>
              <w:jc w:val="left"/>
              <w:rPr>
                <w:sz w:val="20"/>
              </w:rPr>
            </w:pPr>
            <w:r>
              <w:rPr>
                <w:sz w:val="20"/>
              </w:rPr>
              <w:t>rep</w:t>
            </w:r>
          </w:p>
        </w:tc>
        <w:tc>
          <w:tcPr>
            <w:tcW w:w="5760" w:type="dxa"/>
            <w:gridSpan w:val="3"/>
          </w:tcPr>
          <w:p w:rsidR="00764AE8" w:rsidRDefault="009E324D" w:rsidP="00DE4036">
            <w:pPr>
              <w:pStyle w:val="fullout"/>
              <w:spacing w:before="40" w:after="0" w:line="240" w:lineRule="atLeast"/>
              <w:jc w:val="left"/>
              <w:rPr>
                <w:sz w:val="20"/>
              </w:rPr>
            </w:pPr>
            <w:r>
              <w:rPr>
                <w:sz w:val="20"/>
              </w:rPr>
              <w:t>Ord No 2, 2015 (as am by F2017L00367)</w:t>
            </w:r>
          </w:p>
        </w:tc>
      </w:tr>
      <w:tr w:rsidR="009E324D" w:rsidTr="00686EB0">
        <w:tc>
          <w:tcPr>
            <w:tcW w:w="2235" w:type="dxa"/>
          </w:tcPr>
          <w:p w:rsidR="009E324D" w:rsidRDefault="009E324D" w:rsidP="00DE4036">
            <w:pPr>
              <w:pStyle w:val="fullout"/>
              <w:spacing w:before="40" w:after="0" w:line="240" w:lineRule="atLeast"/>
              <w:jc w:val="left"/>
              <w:rPr>
                <w:sz w:val="20"/>
              </w:rPr>
            </w:pPr>
            <w:r>
              <w:rPr>
                <w:sz w:val="20"/>
              </w:rPr>
              <w:t>9</w:t>
            </w:r>
          </w:p>
        </w:tc>
        <w:tc>
          <w:tcPr>
            <w:tcW w:w="477" w:type="dxa"/>
          </w:tcPr>
          <w:p w:rsidR="009E324D" w:rsidRDefault="009E324D" w:rsidP="00DE4036">
            <w:pPr>
              <w:pStyle w:val="fullout"/>
              <w:spacing w:before="40" w:after="0" w:line="240" w:lineRule="atLeast"/>
              <w:jc w:val="left"/>
              <w:rPr>
                <w:sz w:val="20"/>
              </w:rPr>
            </w:pPr>
            <w:r>
              <w:rPr>
                <w:sz w:val="20"/>
              </w:rPr>
              <w:t>rep</w:t>
            </w:r>
          </w:p>
        </w:tc>
        <w:tc>
          <w:tcPr>
            <w:tcW w:w="5760" w:type="dxa"/>
            <w:gridSpan w:val="3"/>
          </w:tcPr>
          <w:p w:rsidR="009E324D" w:rsidRDefault="009E324D" w:rsidP="00DE4036">
            <w:pPr>
              <w:pStyle w:val="fullout"/>
              <w:spacing w:before="40" w:after="0" w:line="240" w:lineRule="atLeast"/>
              <w:jc w:val="left"/>
              <w:rPr>
                <w:sz w:val="20"/>
              </w:rPr>
            </w:pPr>
            <w:r>
              <w:rPr>
                <w:sz w:val="20"/>
              </w:rPr>
              <w:t>Ord No 2, 2015 (as am by F2017L00367)</w:t>
            </w:r>
          </w:p>
        </w:tc>
      </w:tr>
      <w:tr w:rsidR="00833A8E" w:rsidTr="00686EB0">
        <w:tc>
          <w:tcPr>
            <w:tcW w:w="2235" w:type="dxa"/>
          </w:tcPr>
          <w:p w:rsidR="00833A8E" w:rsidRDefault="00833A8E" w:rsidP="00DE4036">
            <w:pPr>
              <w:pStyle w:val="fullout"/>
              <w:spacing w:before="40" w:after="0" w:line="240" w:lineRule="atLeast"/>
              <w:jc w:val="left"/>
              <w:rPr>
                <w:sz w:val="20"/>
              </w:rPr>
            </w:pPr>
            <w:r>
              <w:rPr>
                <w:sz w:val="20"/>
              </w:rPr>
              <w:t>10</w:t>
            </w:r>
          </w:p>
        </w:tc>
        <w:tc>
          <w:tcPr>
            <w:tcW w:w="477" w:type="dxa"/>
          </w:tcPr>
          <w:p w:rsidR="00833A8E" w:rsidRDefault="00833A8E" w:rsidP="00DE4036">
            <w:pPr>
              <w:pStyle w:val="fullout"/>
              <w:spacing w:before="40" w:after="0" w:line="240" w:lineRule="atLeast"/>
              <w:jc w:val="left"/>
              <w:rPr>
                <w:sz w:val="20"/>
              </w:rPr>
            </w:pPr>
            <w:r>
              <w:rPr>
                <w:sz w:val="20"/>
              </w:rPr>
              <w:t>am</w:t>
            </w:r>
          </w:p>
        </w:tc>
        <w:tc>
          <w:tcPr>
            <w:tcW w:w="5760" w:type="dxa"/>
            <w:gridSpan w:val="3"/>
          </w:tcPr>
          <w:p w:rsidR="00833A8E" w:rsidRDefault="00833A8E" w:rsidP="00DE4036">
            <w:pPr>
              <w:pStyle w:val="fullout"/>
              <w:spacing w:before="40" w:after="0" w:line="240" w:lineRule="atLeast"/>
              <w:jc w:val="left"/>
              <w:rPr>
                <w:sz w:val="20"/>
              </w:rPr>
            </w:pPr>
            <w:r>
              <w:rPr>
                <w:sz w:val="20"/>
              </w:rPr>
              <w:t>14, 2012</w:t>
            </w:r>
            <w:r w:rsidR="00341017">
              <w:rPr>
                <w:sz w:val="20"/>
              </w:rPr>
              <w:t xml:space="preserve">; </w:t>
            </w:r>
            <w:r w:rsidR="00341017" w:rsidRPr="00D036BA">
              <w:rPr>
                <w:sz w:val="20"/>
              </w:rPr>
              <w:t>Ord No 2, 2015 (as am by Ord No 5, 2016)</w:t>
            </w:r>
          </w:p>
        </w:tc>
      </w:tr>
      <w:tr w:rsidR="00764AE8" w:rsidTr="00686EB0">
        <w:tc>
          <w:tcPr>
            <w:tcW w:w="2235" w:type="dxa"/>
          </w:tcPr>
          <w:p w:rsidR="00764AE8" w:rsidRDefault="00764AE8" w:rsidP="00DE4036">
            <w:pPr>
              <w:pStyle w:val="fullout"/>
              <w:spacing w:before="40" w:after="0" w:line="240" w:lineRule="atLeast"/>
              <w:jc w:val="left"/>
              <w:rPr>
                <w:sz w:val="20"/>
              </w:rPr>
            </w:pPr>
          </w:p>
        </w:tc>
        <w:tc>
          <w:tcPr>
            <w:tcW w:w="477" w:type="dxa"/>
          </w:tcPr>
          <w:p w:rsidR="00764AE8" w:rsidRDefault="00764AE8" w:rsidP="00DE4036">
            <w:pPr>
              <w:pStyle w:val="fullout"/>
              <w:spacing w:before="40" w:after="0" w:line="240" w:lineRule="atLeast"/>
              <w:jc w:val="left"/>
              <w:rPr>
                <w:sz w:val="20"/>
              </w:rPr>
            </w:pPr>
            <w:r>
              <w:rPr>
                <w:sz w:val="20"/>
              </w:rPr>
              <w:t>rep</w:t>
            </w:r>
          </w:p>
        </w:tc>
        <w:tc>
          <w:tcPr>
            <w:tcW w:w="5760" w:type="dxa"/>
            <w:gridSpan w:val="3"/>
          </w:tcPr>
          <w:p w:rsidR="00764AE8" w:rsidRDefault="009E324D" w:rsidP="00DE4036">
            <w:pPr>
              <w:pStyle w:val="fullout"/>
              <w:spacing w:before="40" w:after="0" w:line="240" w:lineRule="atLeast"/>
              <w:jc w:val="left"/>
              <w:rPr>
                <w:sz w:val="20"/>
              </w:rPr>
            </w:pPr>
            <w:r>
              <w:rPr>
                <w:sz w:val="20"/>
              </w:rPr>
              <w:t>Ord No 2, 2015 (as am by F2017L00367)</w:t>
            </w:r>
          </w:p>
        </w:tc>
      </w:tr>
      <w:tr w:rsidR="00833A8E" w:rsidTr="00686EB0">
        <w:tc>
          <w:tcPr>
            <w:tcW w:w="2235" w:type="dxa"/>
          </w:tcPr>
          <w:p w:rsidR="00833A8E" w:rsidRDefault="00833A8E" w:rsidP="00DE4036">
            <w:pPr>
              <w:pStyle w:val="fullout"/>
              <w:spacing w:before="40" w:after="0" w:line="240" w:lineRule="atLeast"/>
              <w:jc w:val="left"/>
              <w:rPr>
                <w:sz w:val="20"/>
              </w:rPr>
            </w:pPr>
            <w:r>
              <w:rPr>
                <w:sz w:val="20"/>
              </w:rPr>
              <w:t>11</w:t>
            </w:r>
          </w:p>
        </w:tc>
        <w:tc>
          <w:tcPr>
            <w:tcW w:w="477" w:type="dxa"/>
          </w:tcPr>
          <w:p w:rsidR="00833A8E" w:rsidRDefault="00833A8E" w:rsidP="00DE4036">
            <w:pPr>
              <w:pStyle w:val="fullout"/>
              <w:spacing w:before="40" w:after="0" w:line="240" w:lineRule="atLeast"/>
              <w:jc w:val="left"/>
              <w:rPr>
                <w:sz w:val="20"/>
              </w:rPr>
            </w:pPr>
            <w:r>
              <w:rPr>
                <w:sz w:val="20"/>
              </w:rPr>
              <w:t>am</w:t>
            </w:r>
          </w:p>
        </w:tc>
        <w:tc>
          <w:tcPr>
            <w:tcW w:w="5760" w:type="dxa"/>
            <w:gridSpan w:val="3"/>
          </w:tcPr>
          <w:p w:rsidR="00833A8E" w:rsidRDefault="00833A8E" w:rsidP="00DE4036">
            <w:pPr>
              <w:pStyle w:val="fullout"/>
              <w:spacing w:before="40" w:after="0" w:line="240" w:lineRule="atLeast"/>
              <w:jc w:val="left"/>
              <w:rPr>
                <w:sz w:val="20"/>
              </w:rPr>
            </w:pPr>
            <w:r>
              <w:rPr>
                <w:sz w:val="20"/>
              </w:rPr>
              <w:t>14, 2012</w:t>
            </w:r>
            <w:r w:rsidR="00764AE8">
              <w:rPr>
                <w:sz w:val="20"/>
              </w:rPr>
              <w:t xml:space="preserve">; </w:t>
            </w:r>
            <w:r w:rsidR="009E324D">
              <w:rPr>
                <w:sz w:val="20"/>
              </w:rPr>
              <w:t>Ord No 2, 2015 (as am by F2017L00367)</w:t>
            </w:r>
          </w:p>
        </w:tc>
      </w:tr>
      <w:tr w:rsidR="00833A8E" w:rsidTr="00686EB0">
        <w:tc>
          <w:tcPr>
            <w:tcW w:w="2235" w:type="dxa"/>
          </w:tcPr>
          <w:p w:rsidR="00833A8E" w:rsidRDefault="00833A8E" w:rsidP="00DE4036">
            <w:pPr>
              <w:pStyle w:val="fullout"/>
              <w:spacing w:before="40" w:after="0" w:line="240" w:lineRule="atLeast"/>
              <w:jc w:val="left"/>
              <w:rPr>
                <w:sz w:val="20"/>
              </w:rPr>
            </w:pPr>
            <w:r>
              <w:rPr>
                <w:sz w:val="20"/>
              </w:rPr>
              <w:t>12</w:t>
            </w:r>
          </w:p>
        </w:tc>
        <w:tc>
          <w:tcPr>
            <w:tcW w:w="477" w:type="dxa"/>
          </w:tcPr>
          <w:p w:rsidR="00833A8E" w:rsidRDefault="00833A8E" w:rsidP="00DE4036">
            <w:pPr>
              <w:pStyle w:val="fullout"/>
              <w:spacing w:before="40" w:after="0" w:line="240" w:lineRule="atLeast"/>
              <w:jc w:val="left"/>
              <w:rPr>
                <w:sz w:val="20"/>
              </w:rPr>
            </w:pPr>
            <w:r>
              <w:rPr>
                <w:sz w:val="20"/>
              </w:rPr>
              <w:t>am</w:t>
            </w:r>
          </w:p>
        </w:tc>
        <w:tc>
          <w:tcPr>
            <w:tcW w:w="5760" w:type="dxa"/>
            <w:gridSpan w:val="3"/>
          </w:tcPr>
          <w:p w:rsidR="00833A8E" w:rsidRDefault="00833A8E" w:rsidP="00DE4036">
            <w:pPr>
              <w:pStyle w:val="fullout"/>
              <w:spacing w:before="40" w:after="0" w:line="240" w:lineRule="atLeast"/>
              <w:jc w:val="left"/>
              <w:rPr>
                <w:sz w:val="20"/>
              </w:rPr>
            </w:pPr>
            <w:r>
              <w:rPr>
                <w:sz w:val="20"/>
              </w:rPr>
              <w:t>14, 2012</w:t>
            </w:r>
          </w:p>
        </w:tc>
      </w:tr>
      <w:tr w:rsidR="00764AE8" w:rsidTr="00686EB0">
        <w:tc>
          <w:tcPr>
            <w:tcW w:w="2235" w:type="dxa"/>
          </w:tcPr>
          <w:p w:rsidR="00764AE8" w:rsidRDefault="00764AE8" w:rsidP="00DE4036">
            <w:pPr>
              <w:pStyle w:val="fullout"/>
              <w:spacing w:before="40" w:after="0" w:line="240" w:lineRule="atLeast"/>
              <w:jc w:val="left"/>
              <w:rPr>
                <w:sz w:val="20"/>
              </w:rPr>
            </w:pPr>
            <w:r>
              <w:rPr>
                <w:sz w:val="20"/>
              </w:rPr>
              <w:t>13</w:t>
            </w:r>
          </w:p>
        </w:tc>
        <w:tc>
          <w:tcPr>
            <w:tcW w:w="477" w:type="dxa"/>
          </w:tcPr>
          <w:p w:rsidR="00764AE8" w:rsidRDefault="00764AE8" w:rsidP="00DE4036">
            <w:pPr>
              <w:pStyle w:val="fullout"/>
              <w:spacing w:before="40" w:after="0" w:line="240" w:lineRule="atLeast"/>
              <w:jc w:val="left"/>
              <w:rPr>
                <w:sz w:val="20"/>
              </w:rPr>
            </w:pPr>
            <w:r>
              <w:rPr>
                <w:sz w:val="20"/>
              </w:rPr>
              <w:t>am</w:t>
            </w:r>
          </w:p>
        </w:tc>
        <w:tc>
          <w:tcPr>
            <w:tcW w:w="5760" w:type="dxa"/>
            <w:gridSpan w:val="3"/>
          </w:tcPr>
          <w:p w:rsidR="00764AE8" w:rsidRDefault="009E324D" w:rsidP="00DE4036">
            <w:pPr>
              <w:pStyle w:val="fullout"/>
              <w:spacing w:before="40" w:after="0" w:line="240" w:lineRule="atLeast"/>
              <w:jc w:val="left"/>
              <w:rPr>
                <w:sz w:val="20"/>
              </w:rPr>
            </w:pPr>
            <w:r>
              <w:rPr>
                <w:sz w:val="20"/>
              </w:rPr>
              <w:t>Ord No 2, 2015 (as am by F2017L00367)</w:t>
            </w:r>
          </w:p>
        </w:tc>
      </w:tr>
      <w:tr w:rsidR="00764AE8" w:rsidTr="00686EB0">
        <w:tc>
          <w:tcPr>
            <w:tcW w:w="2235" w:type="dxa"/>
          </w:tcPr>
          <w:p w:rsidR="00764AE8" w:rsidRDefault="00764AE8" w:rsidP="00DE4036">
            <w:pPr>
              <w:pStyle w:val="fullout"/>
              <w:spacing w:before="40" w:after="0" w:line="240" w:lineRule="atLeast"/>
              <w:jc w:val="left"/>
              <w:rPr>
                <w:sz w:val="20"/>
              </w:rPr>
            </w:pPr>
            <w:r>
              <w:rPr>
                <w:sz w:val="20"/>
              </w:rPr>
              <w:t>14</w:t>
            </w:r>
          </w:p>
        </w:tc>
        <w:tc>
          <w:tcPr>
            <w:tcW w:w="477" w:type="dxa"/>
          </w:tcPr>
          <w:p w:rsidR="00764AE8" w:rsidRDefault="00764AE8" w:rsidP="00DE4036">
            <w:pPr>
              <w:pStyle w:val="fullout"/>
              <w:spacing w:before="40" w:after="0" w:line="240" w:lineRule="atLeast"/>
              <w:jc w:val="left"/>
              <w:rPr>
                <w:sz w:val="20"/>
              </w:rPr>
            </w:pPr>
            <w:r>
              <w:rPr>
                <w:sz w:val="20"/>
              </w:rPr>
              <w:t>rep</w:t>
            </w:r>
          </w:p>
        </w:tc>
        <w:tc>
          <w:tcPr>
            <w:tcW w:w="5760" w:type="dxa"/>
            <w:gridSpan w:val="3"/>
          </w:tcPr>
          <w:p w:rsidR="00764AE8" w:rsidRDefault="009E324D" w:rsidP="00DE4036">
            <w:pPr>
              <w:pStyle w:val="fullout"/>
              <w:spacing w:before="40" w:after="0" w:line="240" w:lineRule="atLeast"/>
              <w:jc w:val="left"/>
              <w:rPr>
                <w:sz w:val="20"/>
              </w:rPr>
            </w:pPr>
            <w:r>
              <w:rPr>
                <w:sz w:val="20"/>
              </w:rPr>
              <w:t>Ord No 2, 2015 (as am by F2017L00367)</w:t>
            </w:r>
          </w:p>
        </w:tc>
      </w:tr>
      <w:tr w:rsidR="00764AE8" w:rsidTr="00686EB0">
        <w:tc>
          <w:tcPr>
            <w:tcW w:w="2235" w:type="dxa"/>
          </w:tcPr>
          <w:p w:rsidR="00764AE8" w:rsidRPr="009E324D" w:rsidRDefault="00764AE8" w:rsidP="00DE4036">
            <w:pPr>
              <w:pStyle w:val="fullout"/>
              <w:spacing w:before="40" w:after="0" w:line="240" w:lineRule="atLeast"/>
              <w:jc w:val="left"/>
              <w:rPr>
                <w:b/>
                <w:sz w:val="20"/>
              </w:rPr>
            </w:pPr>
            <w:r w:rsidRPr="009E324D">
              <w:rPr>
                <w:b/>
                <w:sz w:val="20"/>
              </w:rPr>
              <w:t>Part 3</w:t>
            </w:r>
          </w:p>
        </w:tc>
        <w:tc>
          <w:tcPr>
            <w:tcW w:w="477" w:type="dxa"/>
          </w:tcPr>
          <w:p w:rsidR="00764AE8" w:rsidRDefault="00764AE8" w:rsidP="00DE4036">
            <w:pPr>
              <w:pStyle w:val="fullout"/>
              <w:spacing w:before="40" w:after="0" w:line="240" w:lineRule="atLeast"/>
              <w:jc w:val="left"/>
              <w:rPr>
                <w:sz w:val="20"/>
              </w:rPr>
            </w:pPr>
          </w:p>
        </w:tc>
        <w:tc>
          <w:tcPr>
            <w:tcW w:w="5760" w:type="dxa"/>
            <w:gridSpan w:val="3"/>
          </w:tcPr>
          <w:p w:rsidR="00764AE8" w:rsidRDefault="00764AE8" w:rsidP="00DE4036">
            <w:pPr>
              <w:pStyle w:val="fullout"/>
              <w:spacing w:before="40" w:after="0" w:line="240" w:lineRule="atLeast"/>
              <w:jc w:val="left"/>
              <w:rPr>
                <w:sz w:val="20"/>
              </w:rPr>
            </w:pPr>
          </w:p>
        </w:tc>
      </w:tr>
      <w:tr w:rsidR="00764AE8" w:rsidTr="00686EB0">
        <w:tc>
          <w:tcPr>
            <w:tcW w:w="2235" w:type="dxa"/>
          </w:tcPr>
          <w:p w:rsidR="00764AE8" w:rsidRPr="009E324D" w:rsidRDefault="00764AE8" w:rsidP="00DE4036">
            <w:pPr>
              <w:pStyle w:val="fullout"/>
              <w:spacing w:before="40" w:after="0" w:line="240" w:lineRule="atLeast"/>
              <w:jc w:val="left"/>
              <w:rPr>
                <w:sz w:val="20"/>
              </w:rPr>
            </w:pPr>
            <w:r w:rsidRPr="009E324D">
              <w:rPr>
                <w:sz w:val="20"/>
              </w:rPr>
              <w:t>Part 3 heading</w:t>
            </w:r>
          </w:p>
        </w:tc>
        <w:tc>
          <w:tcPr>
            <w:tcW w:w="477" w:type="dxa"/>
          </w:tcPr>
          <w:p w:rsidR="00764AE8" w:rsidRDefault="00764AE8" w:rsidP="00DE4036">
            <w:pPr>
              <w:pStyle w:val="fullout"/>
              <w:spacing w:before="40" w:after="0" w:line="240" w:lineRule="atLeast"/>
              <w:jc w:val="left"/>
              <w:rPr>
                <w:sz w:val="20"/>
              </w:rPr>
            </w:pPr>
            <w:r>
              <w:rPr>
                <w:sz w:val="20"/>
              </w:rPr>
              <w:t>rs</w:t>
            </w:r>
          </w:p>
        </w:tc>
        <w:tc>
          <w:tcPr>
            <w:tcW w:w="5760" w:type="dxa"/>
            <w:gridSpan w:val="3"/>
          </w:tcPr>
          <w:p w:rsidR="00764AE8" w:rsidRDefault="009E324D" w:rsidP="00DE4036">
            <w:pPr>
              <w:pStyle w:val="fullout"/>
              <w:spacing w:before="40" w:after="0" w:line="240" w:lineRule="atLeast"/>
              <w:jc w:val="left"/>
              <w:rPr>
                <w:sz w:val="20"/>
              </w:rPr>
            </w:pPr>
            <w:r>
              <w:rPr>
                <w:sz w:val="20"/>
              </w:rPr>
              <w:t>Ord No 2, 2015 (as am by F2017L00367)</w:t>
            </w:r>
          </w:p>
        </w:tc>
      </w:tr>
      <w:tr w:rsidR="00833A8E" w:rsidTr="00686EB0">
        <w:tc>
          <w:tcPr>
            <w:tcW w:w="2235" w:type="dxa"/>
          </w:tcPr>
          <w:p w:rsidR="00833A8E" w:rsidRDefault="00833A8E" w:rsidP="00DE4036">
            <w:pPr>
              <w:pStyle w:val="fullout"/>
              <w:spacing w:before="40" w:after="0" w:line="240" w:lineRule="atLeast"/>
              <w:jc w:val="left"/>
              <w:rPr>
                <w:sz w:val="20"/>
              </w:rPr>
            </w:pPr>
            <w:r>
              <w:rPr>
                <w:sz w:val="20"/>
              </w:rPr>
              <w:t>15</w:t>
            </w:r>
          </w:p>
        </w:tc>
        <w:tc>
          <w:tcPr>
            <w:tcW w:w="477" w:type="dxa"/>
          </w:tcPr>
          <w:p w:rsidR="00833A8E" w:rsidRDefault="00833A8E" w:rsidP="00DE4036">
            <w:pPr>
              <w:pStyle w:val="fullout"/>
              <w:spacing w:before="40" w:after="0" w:line="240" w:lineRule="atLeast"/>
              <w:jc w:val="left"/>
              <w:rPr>
                <w:sz w:val="20"/>
              </w:rPr>
            </w:pPr>
            <w:r>
              <w:rPr>
                <w:sz w:val="20"/>
              </w:rPr>
              <w:t>am</w:t>
            </w:r>
          </w:p>
        </w:tc>
        <w:tc>
          <w:tcPr>
            <w:tcW w:w="5760" w:type="dxa"/>
            <w:gridSpan w:val="3"/>
          </w:tcPr>
          <w:p w:rsidR="00833A8E" w:rsidRDefault="00833A8E" w:rsidP="00DE4036">
            <w:pPr>
              <w:pStyle w:val="fullout"/>
              <w:spacing w:before="40" w:after="0" w:line="240" w:lineRule="atLeast"/>
              <w:jc w:val="left"/>
              <w:rPr>
                <w:sz w:val="20"/>
              </w:rPr>
            </w:pPr>
            <w:r>
              <w:rPr>
                <w:sz w:val="20"/>
              </w:rPr>
              <w:t>14, 2012</w:t>
            </w:r>
          </w:p>
        </w:tc>
      </w:tr>
      <w:tr w:rsidR="002A66CF" w:rsidTr="00686EB0">
        <w:tc>
          <w:tcPr>
            <w:tcW w:w="2235" w:type="dxa"/>
          </w:tcPr>
          <w:p w:rsidR="002A66CF" w:rsidRDefault="002A66CF" w:rsidP="00DE4036">
            <w:pPr>
              <w:pStyle w:val="fullout"/>
              <w:spacing w:before="40" w:after="0" w:line="240" w:lineRule="atLeast"/>
              <w:jc w:val="left"/>
              <w:rPr>
                <w:sz w:val="20"/>
              </w:rPr>
            </w:pPr>
          </w:p>
        </w:tc>
        <w:tc>
          <w:tcPr>
            <w:tcW w:w="477" w:type="dxa"/>
          </w:tcPr>
          <w:p w:rsidR="002A66CF" w:rsidRDefault="002A66CF" w:rsidP="00DE4036">
            <w:pPr>
              <w:pStyle w:val="fullout"/>
              <w:spacing w:before="40" w:after="0" w:line="240" w:lineRule="atLeast"/>
              <w:jc w:val="left"/>
              <w:rPr>
                <w:sz w:val="20"/>
              </w:rPr>
            </w:pPr>
            <w:r>
              <w:rPr>
                <w:sz w:val="20"/>
              </w:rPr>
              <w:t>rep</w:t>
            </w:r>
          </w:p>
        </w:tc>
        <w:tc>
          <w:tcPr>
            <w:tcW w:w="5760" w:type="dxa"/>
            <w:gridSpan w:val="3"/>
          </w:tcPr>
          <w:p w:rsidR="002A66CF" w:rsidRDefault="009E324D" w:rsidP="00DE4036">
            <w:pPr>
              <w:pStyle w:val="fullout"/>
              <w:spacing w:before="40" w:after="0" w:line="240" w:lineRule="atLeast"/>
              <w:jc w:val="left"/>
              <w:rPr>
                <w:sz w:val="20"/>
              </w:rPr>
            </w:pPr>
            <w:r>
              <w:rPr>
                <w:sz w:val="20"/>
              </w:rPr>
              <w:t>Ord No 2, 2015 (as am by F2017L00367)</w:t>
            </w:r>
          </w:p>
        </w:tc>
      </w:tr>
      <w:tr w:rsidR="00833A8E" w:rsidTr="00686EB0">
        <w:tc>
          <w:tcPr>
            <w:tcW w:w="2235" w:type="dxa"/>
          </w:tcPr>
          <w:p w:rsidR="00833A8E" w:rsidRDefault="00833A8E" w:rsidP="00DE4036">
            <w:pPr>
              <w:pStyle w:val="fullout"/>
              <w:spacing w:before="40" w:after="0" w:line="240" w:lineRule="atLeast"/>
              <w:jc w:val="left"/>
              <w:rPr>
                <w:sz w:val="20"/>
              </w:rPr>
            </w:pPr>
            <w:r>
              <w:rPr>
                <w:sz w:val="20"/>
              </w:rPr>
              <w:t>16</w:t>
            </w:r>
          </w:p>
        </w:tc>
        <w:tc>
          <w:tcPr>
            <w:tcW w:w="477" w:type="dxa"/>
          </w:tcPr>
          <w:p w:rsidR="00833A8E" w:rsidRDefault="00833A8E" w:rsidP="00DE4036">
            <w:pPr>
              <w:pStyle w:val="fullout"/>
              <w:spacing w:before="40" w:after="0" w:line="240" w:lineRule="atLeast"/>
              <w:jc w:val="left"/>
              <w:rPr>
                <w:sz w:val="20"/>
              </w:rPr>
            </w:pPr>
            <w:r>
              <w:rPr>
                <w:sz w:val="20"/>
              </w:rPr>
              <w:t>am</w:t>
            </w:r>
          </w:p>
        </w:tc>
        <w:tc>
          <w:tcPr>
            <w:tcW w:w="5760" w:type="dxa"/>
            <w:gridSpan w:val="3"/>
          </w:tcPr>
          <w:p w:rsidR="00833A8E" w:rsidRDefault="00833A8E" w:rsidP="00DE4036">
            <w:pPr>
              <w:pStyle w:val="fullout"/>
              <w:spacing w:before="40" w:after="0" w:line="240" w:lineRule="atLeast"/>
              <w:jc w:val="left"/>
              <w:rPr>
                <w:sz w:val="20"/>
              </w:rPr>
            </w:pPr>
            <w:r>
              <w:rPr>
                <w:sz w:val="20"/>
              </w:rPr>
              <w:t>14, 2012</w:t>
            </w:r>
          </w:p>
        </w:tc>
      </w:tr>
      <w:tr w:rsidR="002A66CF" w:rsidTr="00686EB0">
        <w:tc>
          <w:tcPr>
            <w:tcW w:w="2235" w:type="dxa"/>
          </w:tcPr>
          <w:p w:rsidR="002A66CF" w:rsidRDefault="002A66CF" w:rsidP="00DE4036">
            <w:pPr>
              <w:pStyle w:val="fullout"/>
              <w:spacing w:before="40" w:after="0" w:line="240" w:lineRule="atLeast"/>
              <w:jc w:val="left"/>
              <w:rPr>
                <w:sz w:val="20"/>
              </w:rPr>
            </w:pPr>
            <w:r>
              <w:rPr>
                <w:sz w:val="20"/>
              </w:rPr>
              <w:t>22</w:t>
            </w:r>
          </w:p>
        </w:tc>
        <w:tc>
          <w:tcPr>
            <w:tcW w:w="477" w:type="dxa"/>
          </w:tcPr>
          <w:p w:rsidR="002A66CF" w:rsidRDefault="002A66CF" w:rsidP="00DE4036">
            <w:pPr>
              <w:pStyle w:val="fullout"/>
              <w:spacing w:before="40" w:after="0" w:line="240" w:lineRule="atLeast"/>
              <w:jc w:val="left"/>
              <w:rPr>
                <w:sz w:val="20"/>
              </w:rPr>
            </w:pPr>
            <w:r>
              <w:rPr>
                <w:sz w:val="20"/>
              </w:rPr>
              <w:t>am</w:t>
            </w:r>
          </w:p>
        </w:tc>
        <w:tc>
          <w:tcPr>
            <w:tcW w:w="5760" w:type="dxa"/>
            <w:gridSpan w:val="3"/>
          </w:tcPr>
          <w:p w:rsidR="002A66CF" w:rsidRDefault="009E324D" w:rsidP="00DE4036">
            <w:pPr>
              <w:pStyle w:val="fullout"/>
              <w:spacing w:before="40" w:after="0" w:line="240" w:lineRule="atLeast"/>
              <w:jc w:val="left"/>
              <w:rPr>
                <w:sz w:val="20"/>
              </w:rPr>
            </w:pPr>
            <w:r>
              <w:rPr>
                <w:sz w:val="20"/>
              </w:rPr>
              <w:t>Ord No 2, 2015 (as am by F2017L00367)</w:t>
            </w:r>
          </w:p>
        </w:tc>
      </w:tr>
      <w:tr w:rsidR="005E14A5" w:rsidTr="00686EB0">
        <w:tc>
          <w:tcPr>
            <w:tcW w:w="2235" w:type="dxa"/>
          </w:tcPr>
          <w:p w:rsidR="005E14A5" w:rsidRDefault="005E14A5" w:rsidP="00DE4036">
            <w:pPr>
              <w:pStyle w:val="fullout"/>
              <w:spacing w:before="40" w:after="0" w:line="240" w:lineRule="atLeast"/>
              <w:jc w:val="left"/>
              <w:rPr>
                <w:sz w:val="20"/>
              </w:rPr>
            </w:pPr>
            <w:r>
              <w:rPr>
                <w:sz w:val="20"/>
              </w:rPr>
              <w:t>23</w:t>
            </w:r>
          </w:p>
        </w:tc>
        <w:tc>
          <w:tcPr>
            <w:tcW w:w="477" w:type="dxa"/>
          </w:tcPr>
          <w:p w:rsidR="005E14A5" w:rsidRDefault="005E14A5" w:rsidP="00DE4036">
            <w:pPr>
              <w:pStyle w:val="fullout"/>
              <w:spacing w:before="40" w:after="0" w:line="240" w:lineRule="atLeast"/>
              <w:jc w:val="left"/>
              <w:rPr>
                <w:sz w:val="20"/>
              </w:rPr>
            </w:pPr>
            <w:r>
              <w:rPr>
                <w:sz w:val="20"/>
              </w:rPr>
              <w:t>rs</w:t>
            </w:r>
          </w:p>
        </w:tc>
        <w:tc>
          <w:tcPr>
            <w:tcW w:w="5760" w:type="dxa"/>
            <w:gridSpan w:val="3"/>
          </w:tcPr>
          <w:p w:rsidR="005E14A5" w:rsidRDefault="005E14A5" w:rsidP="00DE4036">
            <w:pPr>
              <w:pStyle w:val="fullout"/>
              <w:spacing w:before="40" w:after="0" w:line="240" w:lineRule="atLeast"/>
              <w:jc w:val="left"/>
              <w:rPr>
                <w:sz w:val="20"/>
              </w:rPr>
            </w:pPr>
            <w:r>
              <w:rPr>
                <w:sz w:val="20"/>
              </w:rPr>
              <w:t>24, 1999</w:t>
            </w:r>
          </w:p>
        </w:tc>
      </w:tr>
      <w:tr w:rsidR="002A66CF" w:rsidTr="00686EB0">
        <w:tc>
          <w:tcPr>
            <w:tcW w:w="2235" w:type="dxa"/>
          </w:tcPr>
          <w:p w:rsidR="002A66CF" w:rsidRDefault="002A66CF" w:rsidP="00DE4036">
            <w:pPr>
              <w:pStyle w:val="fullout"/>
              <w:spacing w:before="40" w:after="0" w:line="240" w:lineRule="atLeast"/>
              <w:jc w:val="left"/>
              <w:rPr>
                <w:sz w:val="20"/>
              </w:rPr>
            </w:pPr>
          </w:p>
        </w:tc>
        <w:tc>
          <w:tcPr>
            <w:tcW w:w="477" w:type="dxa"/>
          </w:tcPr>
          <w:p w:rsidR="002A66CF" w:rsidRDefault="002A66CF" w:rsidP="00DE4036">
            <w:pPr>
              <w:pStyle w:val="fullout"/>
              <w:spacing w:before="40" w:after="0" w:line="240" w:lineRule="atLeast"/>
              <w:jc w:val="left"/>
              <w:rPr>
                <w:sz w:val="20"/>
              </w:rPr>
            </w:pPr>
            <w:r>
              <w:rPr>
                <w:sz w:val="20"/>
              </w:rPr>
              <w:t>am</w:t>
            </w:r>
          </w:p>
        </w:tc>
        <w:tc>
          <w:tcPr>
            <w:tcW w:w="5760" w:type="dxa"/>
            <w:gridSpan w:val="3"/>
          </w:tcPr>
          <w:p w:rsidR="002A66CF" w:rsidRDefault="002A66CF" w:rsidP="009E324D">
            <w:pPr>
              <w:pStyle w:val="fullout"/>
              <w:spacing w:before="40" w:after="0" w:line="240" w:lineRule="atLeast"/>
              <w:jc w:val="left"/>
              <w:rPr>
                <w:sz w:val="20"/>
              </w:rPr>
            </w:pPr>
            <w:r>
              <w:rPr>
                <w:sz w:val="20"/>
              </w:rPr>
              <w:t>Ord No </w:t>
            </w:r>
            <w:r w:rsidR="009E324D">
              <w:rPr>
                <w:sz w:val="20"/>
              </w:rPr>
              <w:t>2</w:t>
            </w:r>
            <w:r>
              <w:rPr>
                <w:sz w:val="20"/>
              </w:rPr>
              <w:t>, 201</w:t>
            </w:r>
            <w:r w:rsidR="009E324D">
              <w:rPr>
                <w:sz w:val="20"/>
              </w:rPr>
              <w:t>5</w:t>
            </w:r>
            <w:r>
              <w:rPr>
                <w:sz w:val="20"/>
              </w:rPr>
              <w:t xml:space="preserve"> (as am by F2017L00367)</w:t>
            </w:r>
          </w:p>
        </w:tc>
      </w:tr>
      <w:tr w:rsidR="005E14A5" w:rsidTr="00686EB0">
        <w:tc>
          <w:tcPr>
            <w:tcW w:w="2235" w:type="dxa"/>
          </w:tcPr>
          <w:p w:rsidR="005E14A5" w:rsidRDefault="005E14A5" w:rsidP="00DE4036">
            <w:pPr>
              <w:pStyle w:val="fullout"/>
              <w:spacing w:before="40" w:after="0" w:line="240" w:lineRule="atLeast"/>
              <w:jc w:val="left"/>
              <w:rPr>
                <w:sz w:val="20"/>
              </w:rPr>
            </w:pPr>
            <w:r>
              <w:rPr>
                <w:sz w:val="20"/>
              </w:rPr>
              <w:t>24</w:t>
            </w:r>
          </w:p>
        </w:tc>
        <w:tc>
          <w:tcPr>
            <w:tcW w:w="477" w:type="dxa"/>
          </w:tcPr>
          <w:p w:rsidR="005E14A5" w:rsidRDefault="005E14A5" w:rsidP="00DE4036">
            <w:pPr>
              <w:pStyle w:val="fullout"/>
              <w:spacing w:before="40" w:after="0" w:line="240" w:lineRule="atLeast"/>
              <w:jc w:val="left"/>
              <w:rPr>
                <w:sz w:val="20"/>
              </w:rPr>
            </w:pPr>
            <w:r>
              <w:rPr>
                <w:sz w:val="20"/>
              </w:rPr>
              <w:t>am</w:t>
            </w:r>
          </w:p>
        </w:tc>
        <w:tc>
          <w:tcPr>
            <w:tcW w:w="5760" w:type="dxa"/>
            <w:gridSpan w:val="3"/>
          </w:tcPr>
          <w:p w:rsidR="005E14A5" w:rsidRDefault="005E14A5" w:rsidP="00DE4036">
            <w:pPr>
              <w:pStyle w:val="fullout"/>
              <w:spacing w:before="40" w:after="0" w:line="240" w:lineRule="atLeast"/>
              <w:jc w:val="left"/>
              <w:rPr>
                <w:sz w:val="20"/>
              </w:rPr>
            </w:pPr>
            <w:r>
              <w:rPr>
                <w:sz w:val="20"/>
              </w:rPr>
              <w:t>24, 1999</w:t>
            </w:r>
            <w:r w:rsidR="00833A8E">
              <w:rPr>
                <w:sz w:val="20"/>
              </w:rPr>
              <w:t>; 14, 2012</w:t>
            </w:r>
          </w:p>
        </w:tc>
      </w:tr>
      <w:tr w:rsidR="005E14A5" w:rsidTr="00686EB0">
        <w:tc>
          <w:tcPr>
            <w:tcW w:w="2235" w:type="dxa"/>
          </w:tcPr>
          <w:p w:rsidR="005E14A5" w:rsidRDefault="005E14A5" w:rsidP="00DE4036">
            <w:pPr>
              <w:pStyle w:val="fullout"/>
              <w:spacing w:before="40" w:after="0" w:line="240" w:lineRule="atLeast"/>
              <w:jc w:val="left"/>
              <w:rPr>
                <w:sz w:val="20"/>
              </w:rPr>
            </w:pPr>
            <w:r>
              <w:rPr>
                <w:sz w:val="20"/>
              </w:rPr>
              <w:t>25</w:t>
            </w:r>
          </w:p>
        </w:tc>
        <w:tc>
          <w:tcPr>
            <w:tcW w:w="477" w:type="dxa"/>
          </w:tcPr>
          <w:p w:rsidR="005E14A5" w:rsidRDefault="005E14A5" w:rsidP="00DE4036">
            <w:pPr>
              <w:pStyle w:val="fullout"/>
              <w:spacing w:before="40" w:after="0" w:line="240" w:lineRule="atLeast"/>
              <w:jc w:val="left"/>
              <w:rPr>
                <w:sz w:val="20"/>
              </w:rPr>
            </w:pPr>
            <w:r>
              <w:rPr>
                <w:sz w:val="20"/>
              </w:rPr>
              <w:t>rep</w:t>
            </w:r>
          </w:p>
        </w:tc>
        <w:tc>
          <w:tcPr>
            <w:tcW w:w="5760" w:type="dxa"/>
            <w:gridSpan w:val="3"/>
          </w:tcPr>
          <w:p w:rsidR="005E14A5" w:rsidRDefault="005E14A5" w:rsidP="00DE4036">
            <w:pPr>
              <w:pStyle w:val="fullout"/>
              <w:spacing w:before="40" w:after="0" w:line="240" w:lineRule="atLeast"/>
              <w:jc w:val="left"/>
              <w:rPr>
                <w:sz w:val="20"/>
              </w:rPr>
            </w:pPr>
            <w:r>
              <w:rPr>
                <w:sz w:val="20"/>
              </w:rPr>
              <w:t>24, 1999</w:t>
            </w:r>
          </w:p>
        </w:tc>
      </w:tr>
      <w:tr w:rsidR="0036227F" w:rsidTr="00686EB0">
        <w:tc>
          <w:tcPr>
            <w:tcW w:w="2235" w:type="dxa"/>
          </w:tcPr>
          <w:p w:rsidR="0036227F" w:rsidRDefault="0036227F" w:rsidP="00DE4036">
            <w:pPr>
              <w:pStyle w:val="fullout"/>
              <w:spacing w:before="40" w:after="0" w:line="240" w:lineRule="atLeast"/>
              <w:jc w:val="left"/>
              <w:rPr>
                <w:sz w:val="20"/>
              </w:rPr>
            </w:pPr>
          </w:p>
        </w:tc>
        <w:tc>
          <w:tcPr>
            <w:tcW w:w="477" w:type="dxa"/>
          </w:tcPr>
          <w:p w:rsidR="0036227F" w:rsidRDefault="0036227F" w:rsidP="00DE4036">
            <w:pPr>
              <w:pStyle w:val="fullout"/>
              <w:spacing w:before="40" w:after="0" w:line="240" w:lineRule="atLeast"/>
              <w:jc w:val="left"/>
              <w:rPr>
                <w:sz w:val="20"/>
              </w:rPr>
            </w:pPr>
            <w:r>
              <w:rPr>
                <w:sz w:val="20"/>
              </w:rPr>
              <w:t>ad</w:t>
            </w:r>
          </w:p>
        </w:tc>
        <w:tc>
          <w:tcPr>
            <w:tcW w:w="5760" w:type="dxa"/>
            <w:gridSpan w:val="3"/>
          </w:tcPr>
          <w:p w:rsidR="0036227F" w:rsidRDefault="0036227F" w:rsidP="00DE4036">
            <w:pPr>
              <w:pStyle w:val="fullout"/>
              <w:spacing w:before="40" w:after="0" w:line="240" w:lineRule="atLeast"/>
              <w:jc w:val="left"/>
              <w:rPr>
                <w:sz w:val="20"/>
              </w:rPr>
            </w:pPr>
            <w:r>
              <w:rPr>
                <w:sz w:val="20"/>
              </w:rPr>
              <w:t xml:space="preserve">Ord No 2, 2015 </w:t>
            </w:r>
            <w:r w:rsidR="00E43AA7">
              <w:rPr>
                <w:sz w:val="20"/>
              </w:rPr>
              <w:t>(</w:t>
            </w:r>
            <w:r>
              <w:rPr>
                <w:sz w:val="20"/>
              </w:rPr>
              <w:t>as am by Ord No 10, 2015</w:t>
            </w:r>
            <w:r w:rsidR="00E43AA7">
              <w:rPr>
                <w:sz w:val="20"/>
              </w:rPr>
              <w:t>)</w:t>
            </w:r>
          </w:p>
        </w:tc>
      </w:tr>
      <w:tr w:rsidR="00883C4D" w:rsidTr="00686EB0">
        <w:tc>
          <w:tcPr>
            <w:tcW w:w="2235" w:type="dxa"/>
          </w:tcPr>
          <w:p w:rsidR="00883C4D" w:rsidRDefault="00883C4D" w:rsidP="00DE4036">
            <w:pPr>
              <w:pStyle w:val="fullout"/>
              <w:spacing w:before="40" w:after="0" w:line="240" w:lineRule="atLeast"/>
              <w:jc w:val="left"/>
              <w:rPr>
                <w:sz w:val="20"/>
              </w:rPr>
            </w:pPr>
          </w:p>
        </w:tc>
        <w:tc>
          <w:tcPr>
            <w:tcW w:w="477" w:type="dxa"/>
          </w:tcPr>
          <w:p w:rsidR="00883C4D" w:rsidRDefault="00883C4D" w:rsidP="00DE4036">
            <w:pPr>
              <w:pStyle w:val="fullout"/>
              <w:spacing w:before="40" w:after="0" w:line="240" w:lineRule="atLeast"/>
              <w:jc w:val="left"/>
              <w:rPr>
                <w:sz w:val="20"/>
              </w:rPr>
            </w:pPr>
            <w:r>
              <w:rPr>
                <w:sz w:val="20"/>
              </w:rPr>
              <w:t xml:space="preserve">am </w:t>
            </w:r>
          </w:p>
        </w:tc>
        <w:tc>
          <w:tcPr>
            <w:tcW w:w="5760" w:type="dxa"/>
            <w:gridSpan w:val="3"/>
          </w:tcPr>
          <w:p w:rsidR="00883C4D" w:rsidRDefault="00883C4D" w:rsidP="00DE4036">
            <w:pPr>
              <w:pStyle w:val="fullout"/>
              <w:spacing w:before="40" w:after="0" w:line="240" w:lineRule="atLeast"/>
              <w:jc w:val="left"/>
              <w:rPr>
                <w:sz w:val="20"/>
              </w:rPr>
            </w:pPr>
            <w:r>
              <w:rPr>
                <w:sz w:val="20"/>
              </w:rPr>
              <w:t xml:space="preserve">Ord No 2, 2015 (as am by Ord No </w:t>
            </w:r>
            <w:r w:rsidR="00077F9D">
              <w:rPr>
                <w:sz w:val="20"/>
              </w:rPr>
              <w:t>5</w:t>
            </w:r>
            <w:r>
              <w:rPr>
                <w:sz w:val="20"/>
              </w:rPr>
              <w:t>, 2016)</w:t>
            </w:r>
          </w:p>
        </w:tc>
      </w:tr>
      <w:tr w:rsidR="005E14A5" w:rsidTr="00686EB0">
        <w:tc>
          <w:tcPr>
            <w:tcW w:w="2235" w:type="dxa"/>
            <w:tcBorders>
              <w:bottom w:val="single" w:sz="4" w:space="0" w:color="auto"/>
            </w:tcBorders>
          </w:tcPr>
          <w:p w:rsidR="005E14A5" w:rsidRDefault="005E14A5" w:rsidP="00DE4036">
            <w:pPr>
              <w:pStyle w:val="fullout"/>
              <w:spacing w:before="40" w:after="0" w:line="240" w:lineRule="atLeast"/>
              <w:jc w:val="left"/>
              <w:rPr>
                <w:sz w:val="20"/>
              </w:rPr>
            </w:pPr>
            <w:r>
              <w:rPr>
                <w:sz w:val="20"/>
              </w:rPr>
              <w:t>26</w:t>
            </w:r>
          </w:p>
        </w:tc>
        <w:tc>
          <w:tcPr>
            <w:tcW w:w="477" w:type="dxa"/>
            <w:tcBorders>
              <w:bottom w:val="single" w:sz="4" w:space="0" w:color="auto"/>
            </w:tcBorders>
          </w:tcPr>
          <w:p w:rsidR="005E14A5" w:rsidRDefault="005E14A5" w:rsidP="00DE4036">
            <w:pPr>
              <w:pStyle w:val="fullout"/>
              <w:spacing w:before="40" w:after="0" w:line="240" w:lineRule="atLeast"/>
              <w:jc w:val="left"/>
              <w:rPr>
                <w:sz w:val="20"/>
              </w:rPr>
            </w:pPr>
            <w:r>
              <w:rPr>
                <w:sz w:val="20"/>
              </w:rPr>
              <w:t>am</w:t>
            </w:r>
          </w:p>
        </w:tc>
        <w:tc>
          <w:tcPr>
            <w:tcW w:w="5760" w:type="dxa"/>
            <w:gridSpan w:val="3"/>
            <w:tcBorders>
              <w:bottom w:val="single" w:sz="4" w:space="0" w:color="auto"/>
            </w:tcBorders>
          </w:tcPr>
          <w:p w:rsidR="005E14A5" w:rsidRDefault="005E14A5" w:rsidP="009E324D">
            <w:pPr>
              <w:pStyle w:val="fullout"/>
              <w:spacing w:before="40" w:after="0" w:line="240" w:lineRule="atLeast"/>
              <w:jc w:val="left"/>
              <w:rPr>
                <w:sz w:val="20"/>
              </w:rPr>
            </w:pPr>
            <w:r>
              <w:rPr>
                <w:sz w:val="20"/>
              </w:rPr>
              <w:t>6, 1999</w:t>
            </w:r>
            <w:r w:rsidR="002A66CF">
              <w:rPr>
                <w:sz w:val="20"/>
              </w:rPr>
              <w:t>; Ord No </w:t>
            </w:r>
            <w:r w:rsidR="009E324D">
              <w:rPr>
                <w:sz w:val="20"/>
              </w:rPr>
              <w:t>2</w:t>
            </w:r>
            <w:r w:rsidR="002A66CF">
              <w:rPr>
                <w:sz w:val="20"/>
              </w:rPr>
              <w:t>, 201</w:t>
            </w:r>
            <w:r w:rsidR="009E324D">
              <w:rPr>
                <w:sz w:val="20"/>
              </w:rPr>
              <w:t>5</w:t>
            </w:r>
            <w:r w:rsidR="002A66CF">
              <w:rPr>
                <w:sz w:val="20"/>
              </w:rPr>
              <w:t xml:space="preserve"> (as am by F2017L00367)</w:t>
            </w:r>
          </w:p>
        </w:tc>
      </w:tr>
    </w:tbl>
    <w:p w:rsidR="005E14A5" w:rsidRDefault="005E14A5">
      <w:pPr>
        <w:pStyle w:val="fullout"/>
        <w:tabs>
          <w:tab w:val="right" w:pos="810"/>
          <w:tab w:val="left" w:pos="2160"/>
          <w:tab w:val="left" w:pos="3060"/>
          <w:tab w:val="left" w:pos="5400"/>
        </w:tabs>
        <w:spacing w:before="0" w:after="0"/>
        <w:jc w:val="left"/>
        <w:rPr>
          <w:sz w:val="20"/>
        </w:rPr>
      </w:pPr>
    </w:p>
    <w:sectPr w:rsidR="005E14A5" w:rsidSect="00CB2933">
      <w:headerReference w:type="even" r:id="rId18"/>
      <w:headerReference w:type="first" r:id="rId19"/>
      <w:pgSz w:w="11907" w:h="16834" w:code="9"/>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CDE" w:rsidRDefault="00A76CDE">
      <w:r>
        <w:separator/>
      </w:r>
    </w:p>
  </w:endnote>
  <w:endnote w:type="continuationSeparator" w:id="0">
    <w:p w:rsidR="00A76CDE" w:rsidRDefault="00A7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40" w:rsidRPr="00C71E08" w:rsidRDefault="00BD2640" w:rsidP="00BD2640">
    <w:pPr>
      <w:pStyle w:val="Footer"/>
      <w:tabs>
        <w:tab w:val="center" w:pos="4150"/>
        <w:tab w:val="right" w:pos="8307"/>
      </w:tabs>
      <w:spacing w:before="120"/>
      <w:ind w:left="142"/>
      <w:jc w:val="left"/>
      <w:rPr>
        <w:i/>
      </w:rPr>
    </w:pPr>
    <w:r w:rsidRPr="00C71E08">
      <w:t>Prepared by the Office of Parliamentary Counsel, Canberra</w:t>
    </w:r>
  </w:p>
  <w:p w:rsidR="00BD2640" w:rsidRDefault="00BD26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B87" w:rsidRDefault="009D4B87">
    <w:pPr>
      <w:pStyle w:val="Footer"/>
      <w:framePr w:wrap="around" w:vAnchor="text" w:hAnchor="margin" w:xAlign="center" w:y="1"/>
      <w:rPr>
        <w:rStyle w:val="PageNumber"/>
      </w:rPr>
    </w:pPr>
  </w:p>
  <w:p w:rsidR="009D4B87" w:rsidRDefault="009D4B87">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CDE" w:rsidRDefault="00A76CDE">
      <w:r>
        <w:separator/>
      </w:r>
    </w:p>
  </w:footnote>
  <w:footnote w:type="continuationSeparator" w:id="0">
    <w:p w:rsidR="00A76CDE" w:rsidRDefault="00A76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B87" w:rsidRPr="00794CD0" w:rsidRDefault="009D4B87" w:rsidP="00794CD0">
    <w:pPr>
      <w:widowControl w:val="0"/>
      <w:tabs>
        <w:tab w:val="left" w:pos="0"/>
        <w:tab w:val="center" w:pos="3969"/>
        <w:tab w:val="right" w:pos="8364"/>
      </w:tabs>
      <w:rPr>
        <w:b/>
        <w:sz w:val="22"/>
        <w:szCs w:val="22"/>
      </w:rPr>
    </w:pPr>
    <w:r w:rsidRPr="00794CD0">
      <w:rPr>
        <w:sz w:val="22"/>
        <w:szCs w:val="22"/>
      </w:rPr>
      <w:t>1998</w:t>
    </w:r>
    <w:r w:rsidRPr="00794CD0">
      <w:rPr>
        <w:b/>
        <w:sz w:val="22"/>
        <w:szCs w:val="22"/>
      </w:rPr>
      <w:tab/>
      <w:t>Gaming Supervision</w:t>
    </w:r>
    <w:r w:rsidRPr="00794CD0">
      <w:rPr>
        <w:b/>
        <w:sz w:val="22"/>
        <w:szCs w:val="22"/>
      </w:rPr>
      <w:tab/>
    </w:r>
    <w:r w:rsidRPr="00794CD0">
      <w:rPr>
        <w:rStyle w:val="PageNumber"/>
        <w:sz w:val="22"/>
        <w:szCs w:val="22"/>
      </w:rPr>
      <w:fldChar w:fldCharType="begin"/>
    </w:r>
    <w:r w:rsidRPr="00794CD0">
      <w:rPr>
        <w:rStyle w:val="PageNumber"/>
        <w:sz w:val="22"/>
        <w:szCs w:val="22"/>
      </w:rPr>
      <w:instrText xml:space="preserve"> PAGE </w:instrText>
    </w:r>
    <w:r w:rsidRPr="00794CD0">
      <w:rPr>
        <w:rStyle w:val="PageNumber"/>
        <w:sz w:val="22"/>
        <w:szCs w:val="22"/>
      </w:rPr>
      <w:fldChar w:fldCharType="separate"/>
    </w:r>
    <w:r w:rsidR="004552D7">
      <w:rPr>
        <w:rStyle w:val="PageNumber"/>
        <w:noProof/>
        <w:sz w:val="22"/>
        <w:szCs w:val="22"/>
      </w:rPr>
      <w:t>10</w:t>
    </w:r>
    <w:r w:rsidRPr="00794CD0">
      <w:rPr>
        <w:rStyle w:val="PageNumbe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B87" w:rsidRDefault="009D4B87">
    <w:pPr>
      <w:pStyle w:val="Header"/>
      <w:tabs>
        <w:tab w:val="right" w:pos="7200"/>
      </w:tabs>
      <w:rPr>
        <w:b/>
        <w:sz w:val="28"/>
        <w:lang w:val="en-US"/>
      </w:rPr>
    </w:pPr>
    <w:r>
      <w:rPr>
        <w:lang w:val="en-US"/>
      </w:rPr>
      <w:tab/>
    </w:r>
    <w:r>
      <w:rPr>
        <w:lang w:val="en-U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B87" w:rsidRDefault="009D4B87">
    <w:pPr>
      <w:widowControl w:val="0"/>
      <w:tabs>
        <w:tab w:val="left" w:pos="0"/>
        <w:tab w:val="center" w:pos="3544"/>
        <w:tab w:val="right" w:pos="7200"/>
      </w:tabs>
      <w:rPr>
        <w:b/>
      </w:rPr>
    </w:pPr>
    <w:r>
      <w:rPr>
        <w:rStyle w:val="PageNumber"/>
      </w:rPr>
      <w:fldChar w:fldCharType="begin"/>
    </w:r>
    <w:r>
      <w:rPr>
        <w:rStyle w:val="PageNumber"/>
      </w:rPr>
      <w:instrText xml:space="preserve"> PAGE </w:instrText>
    </w:r>
    <w:r>
      <w:rPr>
        <w:rStyle w:val="PageNumber"/>
      </w:rPr>
      <w:fldChar w:fldCharType="separate"/>
    </w:r>
    <w:r w:rsidR="007B5D9E">
      <w:rPr>
        <w:rStyle w:val="PageNumber"/>
        <w:noProof/>
      </w:rPr>
      <w:t>11</w:t>
    </w:r>
    <w:r>
      <w:rPr>
        <w:rStyle w:val="PageNumber"/>
      </w:rPr>
      <w:fldChar w:fldCharType="end"/>
    </w:r>
    <w:r>
      <w:rPr>
        <w:rStyle w:val="PageNumber"/>
        <w:b/>
      </w:rPr>
      <w:tab/>
      <w:t>Gaming Supervision</w:t>
    </w:r>
    <w:r>
      <w:rPr>
        <w:rStyle w:val="PageNumber"/>
        <w:b/>
      </w:rPr>
      <w:tab/>
    </w:r>
    <w:r>
      <w:rPr>
        <w:rStyle w:val="PageNumber"/>
      </w:rPr>
      <w:t>1998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B87" w:rsidRDefault="009D4B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51141"/>
    <w:multiLevelType w:val="singleLevel"/>
    <w:tmpl w:val="3CB2E89A"/>
    <w:lvl w:ilvl="0">
      <w:start w:val="2"/>
      <w:numFmt w:val="decimal"/>
      <w:lvlText w:val="(%1)"/>
      <w:lvlJc w:val="left"/>
      <w:pPr>
        <w:tabs>
          <w:tab w:val="num" w:pos="805"/>
        </w:tabs>
        <w:ind w:left="805" w:hanging="405"/>
      </w:pPr>
      <w:rPr>
        <w:rFonts w:hint="default"/>
        <w:b/>
      </w:rPr>
    </w:lvl>
  </w:abstractNum>
  <w:abstractNum w:abstractNumId="1">
    <w:nsid w:val="1EED2225"/>
    <w:multiLevelType w:val="singleLevel"/>
    <w:tmpl w:val="44389E00"/>
    <w:lvl w:ilvl="0">
      <w:start w:val="26"/>
      <w:numFmt w:val="decimal"/>
      <w:lvlText w:val="%1."/>
      <w:lvlJc w:val="left"/>
      <w:pPr>
        <w:tabs>
          <w:tab w:val="num" w:pos="360"/>
        </w:tabs>
        <w:ind w:left="360" w:hanging="360"/>
      </w:pPr>
      <w:rPr>
        <w:rFonts w:hint="default"/>
      </w:rPr>
    </w:lvl>
  </w:abstractNum>
  <w:abstractNum w:abstractNumId="2">
    <w:nsid w:val="20982CC4"/>
    <w:multiLevelType w:val="singleLevel"/>
    <w:tmpl w:val="2AA2D126"/>
    <w:lvl w:ilvl="0">
      <w:start w:val="25"/>
      <w:numFmt w:val="decimal"/>
      <w:lvlText w:val="%1."/>
      <w:lvlJc w:val="left"/>
      <w:pPr>
        <w:tabs>
          <w:tab w:val="num" w:pos="720"/>
        </w:tabs>
        <w:ind w:left="720" w:hanging="7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A33"/>
    <w:rsid w:val="00005AAF"/>
    <w:rsid w:val="00055255"/>
    <w:rsid w:val="00077F9D"/>
    <w:rsid w:val="00092B17"/>
    <w:rsid w:val="000E6BEB"/>
    <w:rsid w:val="0013565F"/>
    <w:rsid w:val="001939AF"/>
    <w:rsid w:val="00195B01"/>
    <w:rsid w:val="001F598A"/>
    <w:rsid w:val="00207994"/>
    <w:rsid w:val="0023392C"/>
    <w:rsid w:val="00242F9C"/>
    <w:rsid w:val="00265783"/>
    <w:rsid w:val="002825F9"/>
    <w:rsid w:val="002963B0"/>
    <w:rsid w:val="002A66CF"/>
    <w:rsid w:val="002B577D"/>
    <w:rsid w:val="002C5687"/>
    <w:rsid w:val="0032787C"/>
    <w:rsid w:val="00341017"/>
    <w:rsid w:val="0036227F"/>
    <w:rsid w:val="003979F4"/>
    <w:rsid w:val="003F3296"/>
    <w:rsid w:val="0043644F"/>
    <w:rsid w:val="004552D7"/>
    <w:rsid w:val="004606BA"/>
    <w:rsid w:val="00482B6A"/>
    <w:rsid w:val="0049157A"/>
    <w:rsid w:val="00494F41"/>
    <w:rsid w:val="004C3252"/>
    <w:rsid w:val="00537AF5"/>
    <w:rsid w:val="005B55C5"/>
    <w:rsid w:val="005C3B35"/>
    <w:rsid w:val="005C4CD7"/>
    <w:rsid w:val="005D1690"/>
    <w:rsid w:val="005D4F56"/>
    <w:rsid w:val="005E14A5"/>
    <w:rsid w:val="0060146A"/>
    <w:rsid w:val="00627245"/>
    <w:rsid w:val="006617C6"/>
    <w:rsid w:val="00686EB0"/>
    <w:rsid w:val="006B5443"/>
    <w:rsid w:val="006B7D3D"/>
    <w:rsid w:val="006C085E"/>
    <w:rsid w:val="006F287A"/>
    <w:rsid w:val="00726417"/>
    <w:rsid w:val="007369FE"/>
    <w:rsid w:val="00740B2D"/>
    <w:rsid w:val="00764AE8"/>
    <w:rsid w:val="007655FE"/>
    <w:rsid w:val="0077033B"/>
    <w:rsid w:val="00781177"/>
    <w:rsid w:val="00794CD0"/>
    <w:rsid w:val="007B5D9E"/>
    <w:rsid w:val="008251AE"/>
    <w:rsid w:val="00833A8E"/>
    <w:rsid w:val="00883C4D"/>
    <w:rsid w:val="008F2A33"/>
    <w:rsid w:val="008F7994"/>
    <w:rsid w:val="0090210C"/>
    <w:rsid w:val="009051D7"/>
    <w:rsid w:val="00907242"/>
    <w:rsid w:val="00941E23"/>
    <w:rsid w:val="009636F8"/>
    <w:rsid w:val="00966E4D"/>
    <w:rsid w:val="009D4B87"/>
    <w:rsid w:val="009D6F3C"/>
    <w:rsid w:val="009E324D"/>
    <w:rsid w:val="00A14A1A"/>
    <w:rsid w:val="00A259C7"/>
    <w:rsid w:val="00A36962"/>
    <w:rsid w:val="00A76CDE"/>
    <w:rsid w:val="00AB4E44"/>
    <w:rsid w:val="00AB7298"/>
    <w:rsid w:val="00B07A6B"/>
    <w:rsid w:val="00B22DBE"/>
    <w:rsid w:val="00B34320"/>
    <w:rsid w:val="00B410DA"/>
    <w:rsid w:val="00BD2640"/>
    <w:rsid w:val="00C073AC"/>
    <w:rsid w:val="00C2639D"/>
    <w:rsid w:val="00CA156C"/>
    <w:rsid w:val="00CB2933"/>
    <w:rsid w:val="00CF6294"/>
    <w:rsid w:val="00D24AFE"/>
    <w:rsid w:val="00D254C4"/>
    <w:rsid w:val="00D97E0A"/>
    <w:rsid w:val="00DA3F7C"/>
    <w:rsid w:val="00DE4036"/>
    <w:rsid w:val="00DF4121"/>
    <w:rsid w:val="00DF55CD"/>
    <w:rsid w:val="00E06A37"/>
    <w:rsid w:val="00E43AA7"/>
    <w:rsid w:val="00E554A8"/>
    <w:rsid w:val="00E803C7"/>
    <w:rsid w:val="00E8641B"/>
    <w:rsid w:val="00EA35A5"/>
    <w:rsid w:val="00ED478C"/>
    <w:rsid w:val="00F035AF"/>
    <w:rsid w:val="00F10A18"/>
    <w:rsid w:val="00F1520D"/>
    <w:rsid w:val="00F94BCD"/>
    <w:rsid w:val="00FA45F3"/>
    <w:rsid w:val="00FC3249"/>
    <w:rsid w:val="00FE23BC"/>
    <w:rsid w:val="00FE7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40" w:after="40"/>
    </w:pPr>
    <w:rPr>
      <w:rFonts w:ascii="Times" w:hAnsi="Times"/>
      <w:sz w:val="24"/>
      <w:lang w:eastAsia="en-US"/>
    </w:rPr>
  </w:style>
  <w:style w:type="paragraph" w:styleId="Heading1">
    <w:name w:val="heading 1"/>
    <w:basedOn w:val="Normal"/>
    <w:next w:val="Normal"/>
    <w:qFormat/>
    <w:pPr>
      <w:keepNext/>
      <w:spacing w:before="240"/>
      <w:jc w:val="center"/>
      <w:outlineLvl w:val="0"/>
    </w:pPr>
    <w:rPr>
      <w:b/>
      <w:caps/>
      <w:sz w:val="36"/>
      <w:lang w:val="en-US"/>
    </w:rPr>
  </w:style>
  <w:style w:type="paragraph" w:styleId="Heading2">
    <w:name w:val="heading 2"/>
    <w:basedOn w:val="Normal"/>
    <w:next w:val="Normal"/>
    <w:qFormat/>
    <w:pPr>
      <w:keepNext/>
      <w:spacing w:before="240"/>
      <w:jc w:val="center"/>
      <w:outlineLvl w:val="1"/>
    </w:pPr>
    <w:rPr>
      <w:b/>
      <w:caps/>
      <w:lang w:val="en-US"/>
    </w:rPr>
  </w:style>
  <w:style w:type="paragraph" w:styleId="Heading3">
    <w:name w:val="heading 3"/>
    <w:basedOn w:val="Normal"/>
    <w:next w:val="Normal"/>
    <w:qFormat/>
    <w:pPr>
      <w:keepNext/>
      <w:jc w:val="center"/>
      <w:outlineLvl w:val="2"/>
    </w:pPr>
    <w:rPr>
      <w:i/>
      <w:lang w:val="en-US"/>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tabs>
        <w:tab w:val="left" w:pos="360"/>
        <w:tab w:val="left" w:pos="900"/>
        <w:tab w:val="left" w:pos="1620"/>
        <w:tab w:val="center" w:pos="4176"/>
      </w:tabs>
      <w:suppressAutoHyphens/>
      <w:jc w:val="center"/>
      <w:outlineLvl w:val="4"/>
    </w:pPr>
    <w:rPr>
      <w:b/>
      <w:sz w:val="20"/>
      <w:lang w:val="en-US"/>
    </w:rPr>
  </w:style>
  <w:style w:type="paragraph" w:styleId="Heading6">
    <w:name w:val="heading 6"/>
    <w:aliases w:val="h6"/>
    <w:basedOn w:val="Normal"/>
    <w:next w:val="Normal"/>
    <w:qFormat/>
    <w:pPr>
      <w:spacing w:before="240"/>
      <w:jc w:val="center"/>
      <w:outlineLvl w:val="5"/>
    </w:pPr>
    <w:rPr>
      <w:b/>
      <w:caps/>
    </w:rPr>
  </w:style>
  <w:style w:type="paragraph" w:styleId="Heading7">
    <w:name w:val="heading 7"/>
    <w:aliases w:val="h7"/>
    <w:basedOn w:val="Normal"/>
    <w:next w:val="Normal"/>
    <w:qFormat/>
    <w:pPr>
      <w:jc w:val="center"/>
      <w:outlineLvl w:val="6"/>
    </w:pPr>
    <w:rPr>
      <w:i/>
    </w:rPr>
  </w:style>
  <w:style w:type="paragraph" w:styleId="Heading8">
    <w:name w:val="heading 8"/>
    <w:basedOn w:val="Normal"/>
    <w:next w:val="Normal"/>
    <w:qFormat/>
    <w:pPr>
      <w:keepNext/>
      <w:tabs>
        <w:tab w:val="left" w:pos="2520"/>
      </w:tabs>
      <w:ind w:right="29"/>
      <w:jc w:val="both"/>
      <w:outlineLvl w:val="7"/>
    </w:pPr>
    <w:rPr>
      <w:b/>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defiindent">
    <w:name w:val="def i indent"/>
    <w:pPr>
      <w:tabs>
        <w:tab w:val="right" w:pos="2080"/>
      </w:tabs>
      <w:spacing w:before="80" w:after="80"/>
      <w:ind w:left="2260" w:hanging="2300"/>
      <w:jc w:val="both"/>
    </w:pPr>
    <w:rPr>
      <w:rFonts w:ascii="Times" w:hAnsi="Times"/>
      <w:sz w:val="24"/>
      <w:lang w:val="en-US" w:eastAsia="en-US"/>
    </w:rPr>
  </w:style>
  <w:style w:type="paragraph" w:customStyle="1" w:styleId="allsections">
    <w:name w:val="all sections"/>
    <w:aliases w:val="all s,as"/>
    <w:pPr>
      <w:spacing w:before="80" w:after="80"/>
      <w:ind w:firstLine="400"/>
      <w:jc w:val="both"/>
    </w:pPr>
    <w:rPr>
      <w:rFonts w:ascii="Times" w:hAnsi="Times"/>
      <w:sz w:val="24"/>
      <w:lang w:val="en-US" w:eastAsia="en-US"/>
    </w:rPr>
  </w:style>
  <w:style w:type="paragraph" w:customStyle="1" w:styleId="aindent">
    <w:name w:val="a indent"/>
    <w:aliases w:val="a ind,ai"/>
    <w:basedOn w:val="Normal"/>
    <w:pPr>
      <w:tabs>
        <w:tab w:val="right" w:pos="700"/>
      </w:tabs>
      <w:spacing w:before="80" w:after="60"/>
      <w:ind w:left="900" w:hanging="900"/>
      <w:jc w:val="both"/>
    </w:pPr>
    <w:rPr>
      <w:lang w:val="en-US"/>
    </w:rPr>
  </w:style>
  <w:style w:type="paragraph" w:customStyle="1" w:styleId="def">
    <w:name w:val="def"/>
    <w:pPr>
      <w:spacing w:before="80" w:after="80"/>
      <w:ind w:left="900" w:hanging="500"/>
      <w:jc w:val="both"/>
    </w:pPr>
    <w:rPr>
      <w:rFonts w:ascii="Times" w:hAnsi="Times"/>
      <w:sz w:val="24"/>
      <w:lang w:val="en-US" w:eastAsia="en-US"/>
    </w:rPr>
  </w:style>
  <w:style w:type="paragraph" w:customStyle="1" w:styleId="defaindent">
    <w:name w:val="def a indent"/>
    <w:aliases w:val="def a ind"/>
    <w:pPr>
      <w:tabs>
        <w:tab w:val="right" w:pos="1360"/>
      </w:tabs>
      <w:spacing w:before="80" w:after="80"/>
      <w:ind w:left="1620" w:hanging="1620"/>
      <w:jc w:val="both"/>
    </w:pPr>
    <w:rPr>
      <w:rFonts w:ascii="Times" w:hAnsi="Times"/>
      <w:sz w:val="24"/>
      <w:lang w:val="en-US" w:eastAsia="en-US"/>
    </w:rPr>
  </w:style>
  <w:style w:type="paragraph" w:styleId="Footer">
    <w:name w:val="footer"/>
    <w:basedOn w:val="Normal"/>
    <w:next w:val="Normal"/>
    <w:link w:val="FooterChar"/>
    <w:pPr>
      <w:tabs>
        <w:tab w:val="center" w:pos="4252"/>
        <w:tab w:val="right" w:pos="8504"/>
      </w:tabs>
      <w:spacing w:before="80" w:after="60"/>
      <w:jc w:val="both"/>
    </w:pPr>
    <w:rPr>
      <w:lang w:val="en-US"/>
    </w:rPr>
  </w:style>
  <w:style w:type="paragraph" w:styleId="Header">
    <w:name w:val="header"/>
    <w:basedOn w:val="Normal"/>
    <w:pPr>
      <w:tabs>
        <w:tab w:val="center" w:pos="4320"/>
        <w:tab w:val="right" w:pos="8640"/>
      </w:tabs>
    </w:pPr>
  </w:style>
  <w:style w:type="paragraph" w:customStyle="1" w:styleId="aindentdef">
    <w:name w:val="a indent/def"/>
    <w:basedOn w:val="Normal"/>
    <w:pPr>
      <w:spacing w:before="80" w:after="60"/>
      <w:ind w:left="900" w:hanging="500"/>
      <w:jc w:val="both"/>
    </w:pPr>
    <w:rPr>
      <w:lang w:val="en-US"/>
    </w:rPr>
  </w:style>
  <w:style w:type="paragraph" w:styleId="TOC3">
    <w:name w:val="toc 3"/>
    <w:next w:val="Normal"/>
    <w:semiHidden/>
    <w:pPr>
      <w:tabs>
        <w:tab w:val="right" w:leader="dot" w:pos="564"/>
        <w:tab w:val="right" w:leader="dot" w:pos="7224"/>
      </w:tabs>
      <w:spacing w:before="20" w:after="20"/>
      <w:ind w:left="1120" w:hanging="1120"/>
    </w:pPr>
    <w:rPr>
      <w:rFonts w:ascii="Times" w:hAnsi="Times"/>
      <w:lang w:val="en-US" w:eastAsia="en-US"/>
    </w:rPr>
  </w:style>
  <w:style w:type="paragraph" w:styleId="TOC1">
    <w:name w:val="toc 1"/>
    <w:next w:val="Normal"/>
    <w:semiHidden/>
    <w:pPr>
      <w:keepNext/>
      <w:spacing w:before="80" w:after="80"/>
      <w:jc w:val="center"/>
    </w:pPr>
    <w:rPr>
      <w:rFonts w:ascii="Times" w:hAnsi="Times"/>
      <w:caps/>
      <w:lang w:val="en-US" w:eastAsia="en-US"/>
    </w:rPr>
  </w:style>
  <w:style w:type="paragraph" w:styleId="TOC2">
    <w:name w:val="toc 2"/>
    <w:next w:val="Normal"/>
    <w:semiHidden/>
    <w:pPr>
      <w:keepNext/>
      <w:spacing w:before="20" w:after="80"/>
      <w:jc w:val="center"/>
    </w:pPr>
    <w:rPr>
      <w:rFonts w:ascii="Times" w:hAnsi="Times"/>
      <w:i/>
      <w:lang w:val="en-US" w:eastAsia="en-US"/>
    </w:rPr>
  </w:style>
  <w:style w:type="paragraph" w:customStyle="1" w:styleId="fullout">
    <w:name w:val="full out"/>
    <w:pPr>
      <w:spacing w:before="80" w:after="80"/>
      <w:jc w:val="both"/>
    </w:pPr>
    <w:rPr>
      <w:rFonts w:ascii="Times" w:hAnsi="Times"/>
      <w:sz w:val="24"/>
      <w:lang w:val="en-US" w:eastAsia="en-US"/>
    </w:rPr>
  </w:style>
  <w:style w:type="paragraph" w:customStyle="1" w:styleId="iindent">
    <w:name w:val="i indent"/>
    <w:pPr>
      <w:tabs>
        <w:tab w:val="right" w:pos="1340"/>
      </w:tabs>
      <w:spacing w:before="80" w:after="80"/>
      <w:ind w:left="1600" w:hanging="1600"/>
      <w:jc w:val="both"/>
    </w:pPr>
    <w:rPr>
      <w:rFonts w:ascii="Times" w:hAnsi="Times"/>
      <w:sz w:val="24"/>
      <w:lang w:val="en-US" w:eastAsia="en-US"/>
    </w:rPr>
  </w:style>
  <w:style w:type="paragraph" w:customStyle="1" w:styleId="halfout">
    <w:name w:val="half out"/>
    <w:pPr>
      <w:spacing w:before="80" w:after="80"/>
      <w:ind w:left="900"/>
      <w:jc w:val="both"/>
    </w:pPr>
    <w:rPr>
      <w:rFonts w:ascii="Times" w:hAnsi="Times"/>
      <w:sz w:val="24"/>
      <w:lang w:val="en-US" w:eastAsia="en-US"/>
    </w:rPr>
  </w:style>
  <w:style w:type="paragraph" w:customStyle="1" w:styleId="quarterout">
    <w:name w:val="quarter out"/>
    <w:pPr>
      <w:spacing w:before="80" w:after="80"/>
      <w:ind w:left="1600"/>
      <w:jc w:val="both"/>
    </w:pPr>
    <w:rPr>
      <w:rFonts w:ascii="Times" w:hAnsi="Times"/>
      <w:sz w:val="24"/>
      <w:lang w:val="en-US" w:eastAsia="en-US"/>
    </w:rPr>
  </w:style>
  <w:style w:type="paragraph" w:styleId="BodyText">
    <w:name w:val="Body Text"/>
    <w:basedOn w:val="Normal"/>
    <w:pPr>
      <w:jc w:val="center"/>
    </w:pPr>
  </w:style>
  <w:style w:type="paragraph" w:styleId="PlainText">
    <w:name w:val="Plain Text"/>
    <w:basedOn w:val="Normal"/>
    <w:pPr>
      <w:spacing w:before="0" w:after="0"/>
    </w:pPr>
    <w:rPr>
      <w:rFonts w:ascii="Courier New" w:hAnsi="Courier New"/>
      <w:sz w:val="20"/>
    </w:rPr>
  </w:style>
  <w:style w:type="paragraph" w:styleId="BalloonText">
    <w:name w:val="Balloon Text"/>
    <w:basedOn w:val="Normal"/>
    <w:semiHidden/>
    <w:rsid w:val="00CB2933"/>
    <w:rPr>
      <w:rFonts w:ascii="Tahoma" w:hAnsi="Tahoma" w:cs="Tahoma"/>
      <w:sz w:val="16"/>
      <w:szCs w:val="16"/>
    </w:rPr>
  </w:style>
  <w:style w:type="paragraph" w:customStyle="1" w:styleId="ShortT">
    <w:name w:val="ShortT"/>
    <w:basedOn w:val="Normal"/>
    <w:next w:val="Normal"/>
    <w:qFormat/>
    <w:rsid w:val="00FE79DE"/>
    <w:pPr>
      <w:spacing w:before="0" w:after="0"/>
    </w:pPr>
    <w:rPr>
      <w:rFonts w:ascii="Times New Roman" w:hAnsi="Times New Roman"/>
      <w:b/>
      <w:sz w:val="40"/>
      <w:lang w:eastAsia="en-AU"/>
    </w:rPr>
  </w:style>
  <w:style w:type="paragraph" w:customStyle="1" w:styleId="CompiledActNo">
    <w:name w:val="CompiledActNo"/>
    <w:basedOn w:val="Normal"/>
    <w:next w:val="Normal"/>
    <w:rsid w:val="00FE79DE"/>
    <w:pPr>
      <w:spacing w:before="0" w:after="0" w:line="260" w:lineRule="atLeast"/>
    </w:pPr>
    <w:rPr>
      <w:rFonts w:ascii="Times New Roman" w:hAnsi="Times New Roman"/>
      <w:b/>
      <w:szCs w:val="24"/>
      <w:lang w:eastAsia="en-AU"/>
    </w:rPr>
  </w:style>
  <w:style w:type="paragraph" w:customStyle="1" w:styleId="ENoteTableHeading">
    <w:name w:val="ENoteTableHeading"/>
    <w:aliases w:val="enth"/>
    <w:basedOn w:val="Normal"/>
    <w:rsid w:val="00FE79DE"/>
    <w:pPr>
      <w:keepNext/>
      <w:spacing w:before="60" w:after="0" w:line="240" w:lineRule="atLeast"/>
    </w:pPr>
    <w:rPr>
      <w:rFonts w:ascii="Arial" w:hAnsi="Arial"/>
      <w:b/>
      <w:sz w:val="16"/>
      <w:lang w:eastAsia="en-AU"/>
    </w:rPr>
  </w:style>
  <w:style w:type="paragraph" w:customStyle="1" w:styleId="ENoteTableText">
    <w:name w:val="ENoteTableText"/>
    <w:aliases w:val="entt"/>
    <w:basedOn w:val="Normal"/>
    <w:rsid w:val="00FE79DE"/>
    <w:pPr>
      <w:spacing w:before="60" w:after="0" w:line="240" w:lineRule="atLeast"/>
    </w:pPr>
    <w:rPr>
      <w:rFonts w:ascii="Times New Roman" w:hAnsi="Times New Roman"/>
      <w:sz w:val="16"/>
      <w:lang w:eastAsia="en-AU"/>
    </w:rPr>
  </w:style>
  <w:style w:type="paragraph" w:customStyle="1" w:styleId="Tabletext">
    <w:name w:val="Tabletext"/>
    <w:aliases w:val="tt"/>
    <w:basedOn w:val="Normal"/>
    <w:rsid w:val="00FE79DE"/>
    <w:pPr>
      <w:spacing w:before="60" w:after="0" w:line="240" w:lineRule="atLeast"/>
    </w:pPr>
    <w:rPr>
      <w:rFonts w:ascii="Times New Roman" w:hAnsi="Times New Roman"/>
      <w:sz w:val="20"/>
      <w:lang w:eastAsia="en-AU"/>
    </w:rPr>
  </w:style>
  <w:style w:type="character" w:customStyle="1" w:styleId="FooterChar">
    <w:name w:val="Footer Char"/>
    <w:link w:val="Footer"/>
    <w:rsid w:val="00BD2640"/>
    <w:rPr>
      <w:rFonts w:ascii="Times" w:hAnsi="Times"/>
      <w:sz w:val="24"/>
      <w:lang w:val="en-US" w:eastAsia="en-US"/>
    </w:rPr>
  </w:style>
  <w:style w:type="paragraph" w:customStyle="1" w:styleId="ActHead5">
    <w:name w:val="ActHead 5"/>
    <w:aliases w:val="s"/>
    <w:basedOn w:val="Normal"/>
    <w:next w:val="subsection"/>
    <w:qFormat/>
    <w:rsid w:val="0036227F"/>
    <w:pPr>
      <w:keepNext/>
      <w:keepLines/>
      <w:spacing w:before="280" w:after="0"/>
      <w:ind w:left="1134" w:hanging="1134"/>
      <w:outlineLvl w:val="4"/>
    </w:pPr>
    <w:rPr>
      <w:rFonts w:ascii="Times New Roman" w:hAnsi="Times New Roman"/>
      <w:b/>
      <w:kern w:val="28"/>
      <w:lang w:eastAsia="en-AU"/>
    </w:rPr>
  </w:style>
  <w:style w:type="character" w:customStyle="1" w:styleId="CharSectno">
    <w:name w:val="CharSectno"/>
    <w:basedOn w:val="DefaultParagraphFont"/>
    <w:qFormat/>
    <w:rsid w:val="0036227F"/>
  </w:style>
  <w:style w:type="paragraph" w:customStyle="1" w:styleId="subsection">
    <w:name w:val="subsection"/>
    <w:aliases w:val="ss"/>
    <w:basedOn w:val="Normal"/>
    <w:link w:val="subsectionChar"/>
    <w:rsid w:val="0036227F"/>
    <w:pPr>
      <w:tabs>
        <w:tab w:val="right" w:pos="1021"/>
      </w:tabs>
      <w:spacing w:before="180" w:after="0"/>
      <w:ind w:left="1134" w:hanging="1134"/>
    </w:pPr>
    <w:rPr>
      <w:rFonts w:ascii="Times New Roman" w:hAnsi="Times New Roman"/>
      <w:sz w:val="22"/>
      <w:lang w:eastAsia="en-AU"/>
    </w:rPr>
  </w:style>
  <w:style w:type="character" w:customStyle="1" w:styleId="subsectionChar">
    <w:name w:val="subsection Char"/>
    <w:aliases w:val="ss Char"/>
    <w:basedOn w:val="DefaultParagraphFont"/>
    <w:link w:val="subsection"/>
    <w:locked/>
    <w:rsid w:val="0036227F"/>
    <w:rPr>
      <w:sz w:val="22"/>
    </w:rPr>
  </w:style>
  <w:style w:type="paragraph" w:customStyle="1" w:styleId="ENoteTTIndentHeading">
    <w:name w:val="ENoteTTIndentHeading"/>
    <w:aliases w:val="enTTHi"/>
    <w:basedOn w:val="Normal"/>
    <w:rsid w:val="0036227F"/>
    <w:pPr>
      <w:keepNext/>
      <w:spacing w:before="60" w:after="0" w:line="240" w:lineRule="atLeast"/>
      <w:ind w:left="170"/>
    </w:pPr>
    <w:rPr>
      <w:rFonts w:ascii="Times New Roman" w:hAnsi="Times New Roman" w:cs="Arial"/>
      <w:b/>
      <w:sz w:val="16"/>
      <w:szCs w:val="16"/>
      <w:lang w:eastAsia="en-AU"/>
    </w:rPr>
  </w:style>
  <w:style w:type="paragraph" w:customStyle="1" w:styleId="ENoteTTi">
    <w:name w:val="ENoteTTi"/>
    <w:aliases w:val="entti"/>
    <w:basedOn w:val="Normal"/>
    <w:rsid w:val="0036227F"/>
    <w:pPr>
      <w:keepNext/>
      <w:spacing w:before="60" w:after="0" w:line="240" w:lineRule="atLeast"/>
      <w:ind w:left="170"/>
    </w:pPr>
    <w:rPr>
      <w:rFonts w:ascii="Times New Roman" w:hAnsi="Times New Roman"/>
      <w:sz w:val="16"/>
      <w:lang w:eastAsia="en-AU"/>
    </w:rPr>
  </w:style>
  <w:style w:type="paragraph" w:customStyle="1" w:styleId="paragraph">
    <w:name w:val="paragraph"/>
    <w:aliases w:val="a"/>
    <w:basedOn w:val="Normal"/>
    <w:rsid w:val="00B07A6B"/>
    <w:pPr>
      <w:tabs>
        <w:tab w:val="right" w:pos="1531"/>
      </w:tabs>
      <w:spacing w:after="0"/>
      <w:ind w:left="1644" w:hanging="1644"/>
    </w:pPr>
    <w:rPr>
      <w:rFonts w:ascii="Times New Roman" w:hAnsi="Times New Roman"/>
      <w:sz w:val="22"/>
      <w:lang w:eastAsia="en-AU"/>
    </w:rPr>
  </w:style>
  <w:style w:type="paragraph" w:styleId="Revision">
    <w:name w:val="Revision"/>
    <w:hidden/>
    <w:uiPriority w:val="99"/>
    <w:semiHidden/>
    <w:rsid w:val="00D24AFE"/>
    <w:rPr>
      <w:rFonts w:ascii="Times" w:hAnsi="Times"/>
      <w:sz w:val="24"/>
      <w:lang w:eastAsia="en-US"/>
    </w:rPr>
  </w:style>
  <w:style w:type="paragraph" w:customStyle="1" w:styleId="ActHead2">
    <w:name w:val="ActHead 2"/>
    <w:aliases w:val="p"/>
    <w:basedOn w:val="Normal"/>
    <w:next w:val="Normal"/>
    <w:qFormat/>
    <w:rsid w:val="006B5443"/>
    <w:pPr>
      <w:keepNext/>
      <w:keepLines/>
      <w:spacing w:before="280" w:after="0"/>
      <w:ind w:left="1134" w:hanging="1134"/>
      <w:outlineLvl w:val="1"/>
    </w:pPr>
    <w:rPr>
      <w:rFonts w:ascii="Times New Roman" w:hAnsi="Times New Roman"/>
      <w:b/>
      <w:kern w:val="28"/>
      <w:sz w:val="32"/>
      <w:lang w:eastAsia="en-AU"/>
    </w:rPr>
  </w:style>
  <w:style w:type="character" w:customStyle="1" w:styleId="CharPartNo">
    <w:name w:val="CharPartNo"/>
    <w:basedOn w:val="DefaultParagraphFont"/>
    <w:uiPriority w:val="1"/>
    <w:qFormat/>
    <w:rsid w:val="006B5443"/>
  </w:style>
  <w:style w:type="character" w:customStyle="1" w:styleId="CharPartText">
    <w:name w:val="CharPartText"/>
    <w:basedOn w:val="DefaultParagraphFont"/>
    <w:uiPriority w:val="1"/>
    <w:qFormat/>
    <w:rsid w:val="006B5443"/>
  </w:style>
  <w:style w:type="paragraph" w:customStyle="1" w:styleId="ENoteTTIndentHeadingSub">
    <w:name w:val="ENoteTTIndentHeadingSub"/>
    <w:aliases w:val="enTTHis"/>
    <w:basedOn w:val="Normal"/>
    <w:rsid w:val="006B7D3D"/>
    <w:pPr>
      <w:keepNext/>
      <w:spacing w:before="60" w:after="0" w:line="240" w:lineRule="atLeast"/>
      <w:ind w:left="340"/>
    </w:pPr>
    <w:rPr>
      <w:rFonts w:ascii="Times New Roman" w:hAnsi="Times New Roman"/>
      <w:b/>
      <w:sz w:val="16"/>
      <w:lang w:eastAsia="en-AU"/>
    </w:rPr>
  </w:style>
  <w:style w:type="paragraph" w:customStyle="1" w:styleId="ENoteTTiSub">
    <w:name w:val="ENoteTTiSub"/>
    <w:aliases w:val="enttis"/>
    <w:basedOn w:val="Normal"/>
    <w:rsid w:val="006B7D3D"/>
    <w:pPr>
      <w:keepNext/>
      <w:spacing w:before="60" w:after="0" w:line="240" w:lineRule="atLeast"/>
      <w:ind w:left="340"/>
    </w:pPr>
    <w:rPr>
      <w:rFonts w:ascii="Times New Roman" w:hAnsi="Times New Roman"/>
      <w:sz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40" w:after="40"/>
    </w:pPr>
    <w:rPr>
      <w:rFonts w:ascii="Times" w:hAnsi="Times"/>
      <w:sz w:val="24"/>
      <w:lang w:eastAsia="en-US"/>
    </w:rPr>
  </w:style>
  <w:style w:type="paragraph" w:styleId="Heading1">
    <w:name w:val="heading 1"/>
    <w:basedOn w:val="Normal"/>
    <w:next w:val="Normal"/>
    <w:qFormat/>
    <w:pPr>
      <w:keepNext/>
      <w:spacing w:before="240"/>
      <w:jc w:val="center"/>
      <w:outlineLvl w:val="0"/>
    </w:pPr>
    <w:rPr>
      <w:b/>
      <w:caps/>
      <w:sz w:val="36"/>
      <w:lang w:val="en-US"/>
    </w:rPr>
  </w:style>
  <w:style w:type="paragraph" w:styleId="Heading2">
    <w:name w:val="heading 2"/>
    <w:basedOn w:val="Normal"/>
    <w:next w:val="Normal"/>
    <w:qFormat/>
    <w:pPr>
      <w:keepNext/>
      <w:spacing w:before="240"/>
      <w:jc w:val="center"/>
      <w:outlineLvl w:val="1"/>
    </w:pPr>
    <w:rPr>
      <w:b/>
      <w:caps/>
      <w:lang w:val="en-US"/>
    </w:rPr>
  </w:style>
  <w:style w:type="paragraph" w:styleId="Heading3">
    <w:name w:val="heading 3"/>
    <w:basedOn w:val="Normal"/>
    <w:next w:val="Normal"/>
    <w:qFormat/>
    <w:pPr>
      <w:keepNext/>
      <w:jc w:val="center"/>
      <w:outlineLvl w:val="2"/>
    </w:pPr>
    <w:rPr>
      <w:i/>
      <w:lang w:val="en-US"/>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tabs>
        <w:tab w:val="left" w:pos="360"/>
        <w:tab w:val="left" w:pos="900"/>
        <w:tab w:val="left" w:pos="1620"/>
        <w:tab w:val="center" w:pos="4176"/>
      </w:tabs>
      <w:suppressAutoHyphens/>
      <w:jc w:val="center"/>
      <w:outlineLvl w:val="4"/>
    </w:pPr>
    <w:rPr>
      <w:b/>
      <w:sz w:val="20"/>
      <w:lang w:val="en-US"/>
    </w:rPr>
  </w:style>
  <w:style w:type="paragraph" w:styleId="Heading6">
    <w:name w:val="heading 6"/>
    <w:aliases w:val="h6"/>
    <w:basedOn w:val="Normal"/>
    <w:next w:val="Normal"/>
    <w:qFormat/>
    <w:pPr>
      <w:spacing w:before="240"/>
      <w:jc w:val="center"/>
      <w:outlineLvl w:val="5"/>
    </w:pPr>
    <w:rPr>
      <w:b/>
      <w:caps/>
    </w:rPr>
  </w:style>
  <w:style w:type="paragraph" w:styleId="Heading7">
    <w:name w:val="heading 7"/>
    <w:aliases w:val="h7"/>
    <w:basedOn w:val="Normal"/>
    <w:next w:val="Normal"/>
    <w:qFormat/>
    <w:pPr>
      <w:jc w:val="center"/>
      <w:outlineLvl w:val="6"/>
    </w:pPr>
    <w:rPr>
      <w:i/>
    </w:rPr>
  </w:style>
  <w:style w:type="paragraph" w:styleId="Heading8">
    <w:name w:val="heading 8"/>
    <w:basedOn w:val="Normal"/>
    <w:next w:val="Normal"/>
    <w:qFormat/>
    <w:pPr>
      <w:keepNext/>
      <w:tabs>
        <w:tab w:val="left" w:pos="2520"/>
      </w:tabs>
      <w:ind w:right="29"/>
      <w:jc w:val="both"/>
      <w:outlineLvl w:val="7"/>
    </w:pPr>
    <w:rPr>
      <w:b/>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defiindent">
    <w:name w:val="def i indent"/>
    <w:pPr>
      <w:tabs>
        <w:tab w:val="right" w:pos="2080"/>
      </w:tabs>
      <w:spacing w:before="80" w:after="80"/>
      <w:ind w:left="2260" w:hanging="2300"/>
      <w:jc w:val="both"/>
    </w:pPr>
    <w:rPr>
      <w:rFonts w:ascii="Times" w:hAnsi="Times"/>
      <w:sz w:val="24"/>
      <w:lang w:val="en-US" w:eastAsia="en-US"/>
    </w:rPr>
  </w:style>
  <w:style w:type="paragraph" w:customStyle="1" w:styleId="allsections">
    <w:name w:val="all sections"/>
    <w:aliases w:val="all s,as"/>
    <w:pPr>
      <w:spacing w:before="80" w:after="80"/>
      <w:ind w:firstLine="400"/>
      <w:jc w:val="both"/>
    </w:pPr>
    <w:rPr>
      <w:rFonts w:ascii="Times" w:hAnsi="Times"/>
      <w:sz w:val="24"/>
      <w:lang w:val="en-US" w:eastAsia="en-US"/>
    </w:rPr>
  </w:style>
  <w:style w:type="paragraph" w:customStyle="1" w:styleId="aindent">
    <w:name w:val="a indent"/>
    <w:aliases w:val="a ind,ai"/>
    <w:basedOn w:val="Normal"/>
    <w:pPr>
      <w:tabs>
        <w:tab w:val="right" w:pos="700"/>
      </w:tabs>
      <w:spacing w:before="80" w:after="60"/>
      <w:ind w:left="900" w:hanging="900"/>
      <w:jc w:val="both"/>
    </w:pPr>
    <w:rPr>
      <w:lang w:val="en-US"/>
    </w:rPr>
  </w:style>
  <w:style w:type="paragraph" w:customStyle="1" w:styleId="def">
    <w:name w:val="def"/>
    <w:pPr>
      <w:spacing w:before="80" w:after="80"/>
      <w:ind w:left="900" w:hanging="500"/>
      <w:jc w:val="both"/>
    </w:pPr>
    <w:rPr>
      <w:rFonts w:ascii="Times" w:hAnsi="Times"/>
      <w:sz w:val="24"/>
      <w:lang w:val="en-US" w:eastAsia="en-US"/>
    </w:rPr>
  </w:style>
  <w:style w:type="paragraph" w:customStyle="1" w:styleId="defaindent">
    <w:name w:val="def a indent"/>
    <w:aliases w:val="def a ind"/>
    <w:pPr>
      <w:tabs>
        <w:tab w:val="right" w:pos="1360"/>
      </w:tabs>
      <w:spacing w:before="80" w:after="80"/>
      <w:ind w:left="1620" w:hanging="1620"/>
      <w:jc w:val="both"/>
    </w:pPr>
    <w:rPr>
      <w:rFonts w:ascii="Times" w:hAnsi="Times"/>
      <w:sz w:val="24"/>
      <w:lang w:val="en-US" w:eastAsia="en-US"/>
    </w:rPr>
  </w:style>
  <w:style w:type="paragraph" w:styleId="Footer">
    <w:name w:val="footer"/>
    <w:basedOn w:val="Normal"/>
    <w:next w:val="Normal"/>
    <w:link w:val="FooterChar"/>
    <w:pPr>
      <w:tabs>
        <w:tab w:val="center" w:pos="4252"/>
        <w:tab w:val="right" w:pos="8504"/>
      </w:tabs>
      <w:spacing w:before="80" w:after="60"/>
      <w:jc w:val="both"/>
    </w:pPr>
    <w:rPr>
      <w:lang w:val="en-US"/>
    </w:rPr>
  </w:style>
  <w:style w:type="paragraph" w:styleId="Header">
    <w:name w:val="header"/>
    <w:basedOn w:val="Normal"/>
    <w:pPr>
      <w:tabs>
        <w:tab w:val="center" w:pos="4320"/>
        <w:tab w:val="right" w:pos="8640"/>
      </w:tabs>
    </w:pPr>
  </w:style>
  <w:style w:type="paragraph" w:customStyle="1" w:styleId="aindentdef">
    <w:name w:val="a indent/def"/>
    <w:basedOn w:val="Normal"/>
    <w:pPr>
      <w:spacing w:before="80" w:after="60"/>
      <w:ind w:left="900" w:hanging="500"/>
      <w:jc w:val="both"/>
    </w:pPr>
    <w:rPr>
      <w:lang w:val="en-US"/>
    </w:rPr>
  </w:style>
  <w:style w:type="paragraph" w:styleId="TOC3">
    <w:name w:val="toc 3"/>
    <w:next w:val="Normal"/>
    <w:semiHidden/>
    <w:pPr>
      <w:tabs>
        <w:tab w:val="right" w:leader="dot" w:pos="564"/>
        <w:tab w:val="right" w:leader="dot" w:pos="7224"/>
      </w:tabs>
      <w:spacing w:before="20" w:after="20"/>
      <w:ind w:left="1120" w:hanging="1120"/>
    </w:pPr>
    <w:rPr>
      <w:rFonts w:ascii="Times" w:hAnsi="Times"/>
      <w:lang w:val="en-US" w:eastAsia="en-US"/>
    </w:rPr>
  </w:style>
  <w:style w:type="paragraph" w:styleId="TOC1">
    <w:name w:val="toc 1"/>
    <w:next w:val="Normal"/>
    <w:semiHidden/>
    <w:pPr>
      <w:keepNext/>
      <w:spacing w:before="80" w:after="80"/>
      <w:jc w:val="center"/>
    </w:pPr>
    <w:rPr>
      <w:rFonts w:ascii="Times" w:hAnsi="Times"/>
      <w:caps/>
      <w:lang w:val="en-US" w:eastAsia="en-US"/>
    </w:rPr>
  </w:style>
  <w:style w:type="paragraph" w:styleId="TOC2">
    <w:name w:val="toc 2"/>
    <w:next w:val="Normal"/>
    <w:semiHidden/>
    <w:pPr>
      <w:keepNext/>
      <w:spacing w:before="20" w:after="80"/>
      <w:jc w:val="center"/>
    </w:pPr>
    <w:rPr>
      <w:rFonts w:ascii="Times" w:hAnsi="Times"/>
      <w:i/>
      <w:lang w:val="en-US" w:eastAsia="en-US"/>
    </w:rPr>
  </w:style>
  <w:style w:type="paragraph" w:customStyle="1" w:styleId="fullout">
    <w:name w:val="full out"/>
    <w:pPr>
      <w:spacing w:before="80" w:after="80"/>
      <w:jc w:val="both"/>
    </w:pPr>
    <w:rPr>
      <w:rFonts w:ascii="Times" w:hAnsi="Times"/>
      <w:sz w:val="24"/>
      <w:lang w:val="en-US" w:eastAsia="en-US"/>
    </w:rPr>
  </w:style>
  <w:style w:type="paragraph" w:customStyle="1" w:styleId="iindent">
    <w:name w:val="i indent"/>
    <w:pPr>
      <w:tabs>
        <w:tab w:val="right" w:pos="1340"/>
      </w:tabs>
      <w:spacing w:before="80" w:after="80"/>
      <w:ind w:left="1600" w:hanging="1600"/>
      <w:jc w:val="both"/>
    </w:pPr>
    <w:rPr>
      <w:rFonts w:ascii="Times" w:hAnsi="Times"/>
      <w:sz w:val="24"/>
      <w:lang w:val="en-US" w:eastAsia="en-US"/>
    </w:rPr>
  </w:style>
  <w:style w:type="paragraph" w:customStyle="1" w:styleId="halfout">
    <w:name w:val="half out"/>
    <w:pPr>
      <w:spacing w:before="80" w:after="80"/>
      <w:ind w:left="900"/>
      <w:jc w:val="both"/>
    </w:pPr>
    <w:rPr>
      <w:rFonts w:ascii="Times" w:hAnsi="Times"/>
      <w:sz w:val="24"/>
      <w:lang w:val="en-US" w:eastAsia="en-US"/>
    </w:rPr>
  </w:style>
  <w:style w:type="paragraph" w:customStyle="1" w:styleId="quarterout">
    <w:name w:val="quarter out"/>
    <w:pPr>
      <w:spacing w:before="80" w:after="80"/>
      <w:ind w:left="1600"/>
      <w:jc w:val="both"/>
    </w:pPr>
    <w:rPr>
      <w:rFonts w:ascii="Times" w:hAnsi="Times"/>
      <w:sz w:val="24"/>
      <w:lang w:val="en-US" w:eastAsia="en-US"/>
    </w:rPr>
  </w:style>
  <w:style w:type="paragraph" w:styleId="BodyText">
    <w:name w:val="Body Text"/>
    <w:basedOn w:val="Normal"/>
    <w:pPr>
      <w:jc w:val="center"/>
    </w:pPr>
  </w:style>
  <w:style w:type="paragraph" w:styleId="PlainText">
    <w:name w:val="Plain Text"/>
    <w:basedOn w:val="Normal"/>
    <w:pPr>
      <w:spacing w:before="0" w:after="0"/>
    </w:pPr>
    <w:rPr>
      <w:rFonts w:ascii="Courier New" w:hAnsi="Courier New"/>
      <w:sz w:val="20"/>
    </w:rPr>
  </w:style>
  <w:style w:type="paragraph" w:styleId="BalloonText">
    <w:name w:val="Balloon Text"/>
    <w:basedOn w:val="Normal"/>
    <w:semiHidden/>
    <w:rsid w:val="00CB2933"/>
    <w:rPr>
      <w:rFonts w:ascii="Tahoma" w:hAnsi="Tahoma" w:cs="Tahoma"/>
      <w:sz w:val="16"/>
      <w:szCs w:val="16"/>
    </w:rPr>
  </w:style>
  <w:style w:type="paragraph" w:customStyle="1" w:styleId="ShortT">
    <w:name w:val="ShortT"/>
    <w:basedOn w:val="Normal"/>
    <w:next w:val="Normal"/>
    <w:qFormat/>
    <w:rsid w:val="00FE79DE"/>
    <w:pPr>
      <w:spacing w:before="0" w:after="0"/>
    </w:pPr>
    <w:rPr>
      <w:rFonts w:ascii="Times New Roman" w:hAnsi="Times New Roman"/>
      <w:b/>
      <w:sz w:val="40"/>
      <w:lang w:eastAsia="en-AU"/>
    </w:rPr>
  </w:style>
  <w:style w:type="paragraph" w:customStyle="1" w:styleId="CompiledActNo">
    <w:name w:val="CompiledActNo"/>
    <w:basedOn w:val="Normal"/>
    <w:next w:val="Normal"/>
    <w:rsid w:val="00FE79DE"/>
    <w:pPr>
      <w:spacing w:before="0" w:after="0" w:line="260" w:lineRule="atLeast"/>
    </w:pPr>
    <w:rPr>
      <w:rFonts w:ascii="Times New Roman" w:hAnsi="Times New Roman"/>
      <w:b/>
      <w:szCs w:val="24"/>
      <w:lang w:eastAsia="en-AU"/>
    </w:rPr>
  </w:style>
  <w:style w:type="paragraph" w:customStyle="1" w:styleId="ENoteTableHeading">
    <w:name w:val="ENoteTableHeading"/>
    <w:aliases w:val="enth"/>
    <w:basedOn w:val="Normal"/>
    <w:rsid w:val="00FE79DE"/>
    <w:pPr>
      <w:keepNext/>
      <w:spacing w:before="60" w:after="0" w:line="240" w:lineRule="atLeast"/>
    </w:pPr>
    <w:rPr>
      <w:rFonts w:ascii="Arial" w:hAnsi="Arial"/>
      <w:b/>
      <w:sz w:val="16"/>
      <w:lang w:eastAsia="en-AU"/>
    </w:rPr>
  </w:style>
  <w:style w:type="paragraph" w:customStyle="1" w:styleId="ENoteTableText">
    <w:name w:val="ENoteTableText"/>
    <w:aliases w:val="entt"/>
    <w:basedOn w:val="Normal"/>
    <w:rsid w:val="00FE79DE"/>
    <w:pPr>
      <w:spacing w:before="60" w:after="0" w:line="240" w:lineRule="atLeast"/>
    </w:pPr>
    <w:rPr>
      <w:rFonts w:ascii="Times New Roman" w:hAnsi="Times New Roman"/>
      <w:sz w:val="16"/>
      <w:lang w:eastAsia="en-AU"/>
    </w:rPr>
  </w:style>
  <w:style w:type="paragraph" w:customStyle="1" w:styleId="Tabletext">
    <w:name w:val="Tabletext"/>
    <w:aliases w:val="tt"/>
    <w:basedOn w:val="Normal"/>
    <w:rsid w:val="00FE79DE"/>
    <w:pPr>
      <w:spacing w:before="60" w:after="0" w:line="240" w:lineRule="atLeast"/>
    </w:pPr>
    <w:rPr>
      <w:rFonts w:ascii="Times New Roman" w:hAnsi="Times New Roman"/>
      <w:sz w:val="20"/>
      <w:lang w:eastAsia="en-AU"/>
    </w:rPr>
  </w:style>
  <w:style w:type="character" w:customStyle="1" w:styleId="FooterChar">
    <w:name w:val="Footer Char"/>
    <w:link w:val="Footer"/>
    <w:rsid w:val="00BD2640"/>
    <w:rPr>
      <w:rFonts w:ascii="Times" w:hAnsi="Times"/>
      <w:sz w:val="24"/>
      <w:lang w:val="en-US" w:eastAsia="en-US"/>
    </w:rPr>
  </w:style>
  <w:style w:type="paragraph" w:customStyle="1" w:styleId="ActHead5">
    <w:name w:val="ActHead 5"/>
    <w:aliases w:val="s"/>
    <w:basedOn w:val="Normal"/>
    <w:next w:val="subsection"/>
    <w:qFormat/>
    <w:rsid w:val="0036227F"/>
    <w:pPr>
      <w:keepNext/>
      <w:keepLines/>
      <w:spacing w:before="280" w:after="0"/>
      <w:ind w:left="1134" w:hanging="1134"/>
      <w:outlineLvl w:val="4"/>
    </w:pPr>
    <w:rPr>
      <w:rFonts w:ascii="Times New Roman" w:hAnsi="Times New Roman"/>
      <w:b/>
      <w:kern w:val="28"/>
      <w:lang w:eastAsia="en-AU"/>
    </w:rPr>
  </w:style>
  <w:style w:type="character" w:customStyle="1" w:styleId="CharSectno">
    <w:name w:val="CharSectno"/>
    <w:basedOn w:val="DefaultParagraphFont"/>
    <w:qFormat/>
    <w:rsid w:val="0036227F"/>
  </w:style>
  <w:style w:type="paragraph" w:customStyle="1" w:styleId="subsection">
    <w:name w:val="subsection"/>
    <w:aliases w:val="ss"/>
    <w:basedOn w:val="Normal"/>
    <w:link w:val="subsectionChar"/>
    <w:rsid w:val="0036227F"/>
    <w:pPr>
      <w:tabs>
        <w:tab w:val="right" w:pos="1021"/>
      </w:tabs>
      <w:spacing w:before="180" w:after="0"/>
      <w:ind w:left="1134" w:hanging="1134"/>
    </w:pPr>
    <w:rPr>
      <w:rFonts w:ascii="Times New Roman" w:hAnsi="Times New Roman"/>
      <w:sz w:val="22"/>
      <w:lang w:eastAsia="en-AU"/>
    </w:rPr>
  </w:style>
  <w:style w:type="character" w:customStyle="1" w:styleId="subsectionChar">
    <w:name w:val="subsection Char"/>
    <w:aliases w:val="ss Char"/>
    <w:basedOn w:val="DefaultParagraphFont"/>
    <w:link w:val="subsection"/>
    <w:locked/>
    <w:rsid w:val="0036227F"/>
    <w:rPr>
      <w:sz w:val="22"/>
    </w:rPr>
  </w:style>
  <w:style w:type="paragraph" w:customStyle="1" w:styleId="ENoteTTIndentHeading">
    <w:name w:val="ENoteTTIndentHeading"/>
    <w:aliases w:val="enTTHi"/>
    <w:basedOn w:val="Normal"/>
    <w:rsid w:val="0036227F"/>
    <w:pPr>
      <w:keepNext/>
      <w:spacing w:before="60" w:after="0" w:line="240" w:lineRule="atLeast"/>
      <w:ind w:left="170"/>
    </w:pPr>
    <w:rPr>
      <w:rFonts w:ascii="Times New Roman" w:hAnsi="Times New Roman" w:cs="Arial"/>
      <w:b/>
      <w:sz w:val="16"/>
      <w:szCs w:val="16"/>
      <w:lang w:eastAsia="en-AU"/>
    </w:rPr>
  </w:style>
  <w:style w:type="paragraph" w:customStyle="1" w:styleId="ENoteTTi">
    <w:name w:val="ENoteTTi"/>
    <w:aliases w:val="entti"/>
    <w:basedOn w:val="Normal"/>
    <w:rsid w:val="0036227F"/>
    <w:pPr>
      <w:keepNext/>
      <w:spacing w:before="60" w:after="0" w:line="240" w:lineRule="atLeast"/>
      <w:ind w:left="170"/>
    </w:pPr>
    <w:rPr>
      <w:rFonts w:ascii="Times New Roman" w:hAnsi="Times New Roman"/>
      <w:sz w:val="16"/>
      <w:lang w:eastAsia="en-AU"/>
    </w:rPr>
  </w:style>
  <w:style w:type="paragraph" w:customStyle="1" w:styleId="paragraph">
    <w:name w:val="paragraph"/>
    <w:aliases w:val="a"/>
    <w:basedOn w:val="Normal"/>
    <w:rsid w:val="00B07A6B"/>
    <w:pPr>
      <w:tabs>
        <w:tab w:val="right" w:pos="1531"/>
      </w:tabs>
      <w:spacing w:after="0"/>
      <w:ind w:left="1644" w:hanging="1644"/>
    </w:pPr>
    <w:rPr>
      <w:rFonts w:ascii="Times New Roman" w:hAnsi="Times New Roman"/>
      <w:sz w:val="22"/>
      <w:lang w:eastAsia="en-AU"/>
    </w:rPr>
  </w:style>
  <w:style w:type="paragraph" w:styleId="Revision">
    <w:name w:val="Revision"/>
    <w:hidden/>
    <w:uiPriority w:val="99"/>
    <w:semiHidden/>
    <w:rsid w:val="00D24AFE"/>
    <w:rPr>
      <w:rFonts w:ascii="Times" w:hAnsi="Times"/>
      <w:sz w:val="24"/>
      <w:lang w:eastAsia="en-US"/>
    </w:rPr>
  </w:style>
  <w:style w:type="paragraph" w:customStyle="1" w:styleId="ActHead2">
    <w:name w:val="ActHead 2"/>
    <w:aliases w:val="p"/>
    <w:basedOn w:val="Normal"/>
    <w:next w:val="Normal"/>
    <w:qFormat/>
    <w:rsid w:val="006B5443"/>
    <w:pPr>
      <w:keepNext/>
      <w:keepLines/>
      <w:spacing w:before="280" w:after="0"/>
      <w:ind w:left="1134" w:hanging="1134"/>
      <w:outlineLvl w:val="1"/>
    </w:pPr>
    <w:rPr>
      <w:rFonts w:ascii="Times New Roman" w:hAnsi="Times New Roman"/>
      <w:b/>
      <w:kern w:val="28"/>
      <w:sz w:val="32"/>
      <w:lang w:eastAsia="en-AU"/>
    </w:rPr>
  </w:style>
  <w:style w:type="character" w:customStyle="1" w:styleId="CharPartNo">
    <w:name w:val="CharPartNo"/>
    <w:basedOn w:val="DefaultParagraphFont"/>
    <w:uiPriority w:val="1"/>
    <w:qFormat/>
    <w:rsid w:val="006B5443"/>
  </w:style>
  <w:style w:type="character" w:customStyle="1" w:styleId="CharPartText">
    <w:name w:val="CharPartText"/>
    <w:basedOn w:val="DefaultParagraphFont"/>
    <w:uiPriority w:val="1"/>
    <w:qFormat/>
    <w:rsid w:val="006B5443"/>
  </w:style>
  <w:style w:type="paragraph" w:customStyle="1" w:styleId="ENoteTTIndentHeadingSub">
    <w:name w:val="ENoteTTIndentHeadingSub"/>
    <w:aliases w:val="enTTHis"/>
    <w:basedOn w:val="Normal"/>
    <w:rsid w:val="006B7D3D"/>
    <w:pPr>
      <w:keepNext/>
      <w:spacing w:before="60" w:after="0" w:line="240" w:lineRule="atLeast"/>
      <w:ind w:left="340"/>
    </w:pPr>
    <w:rPr>
      <w:rFonts w:ascii="Times New Roman" w:hAnsi="Times New Roman"/>
      <w:b/>
      <w:sz w:val="16"/>
      <w:lang w:eastAsia="en-AU"/>
    </w:rPr>
  </w:style>
  <w:style w:type="paragraph" w:customStyle="1" w:styleId="ENoteTTiSub">
    <w:name w:val="ENoteTTiSub"/>
    <w:aliases w:val="enttis"/>
    <w:basedOn w:val="Normal"/>
    <w:rsid w:val="006B7D3D"/>
    <w:pPr>
      <w:keepNext/>
      <w:spacing w:before="60" w:after="0" w:line="240" w:lineRule="atLeast"/>
      <w:ind w:left="340"/>
    </w:pPr>
    <w:rPr>
      <w:rFonts w:ascii="Times New Roman" w:hAnsi="Times New Roman"/>
      <w:sz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7122">
      <w:bodyDiv w:val="1"/>
      <w:marLeft w:val="0"/>
      <w:marRight w:val="0"/>
      <w:marTop w:val="0"/>
      <w:marBottom w:val="0"/>
      <w:divBdr>
        <w:top w:val="none" w:sz="0" w:space="0" w:color="auto"/>
        <w:left w:val="none" w:sz="0" w:space="0" w:color="auto"/>
        <w:bottom w:val="none" w:sz="0" w:space="0" w:color="auto"/>
        <w:right w:val="none" w:sz="0" w:space="0" w:color="auto"/>
      </w:divBdr>
    </w:div>
    <w:div w:id="1184055172">
      <w:bodyDiv w:val="1"/>
      <w:marLeft w:val="0"/>
      <w:marRight w:val="0"/>
      <w:marTop w:val="0"/>
      <w:marBottom w:val="0"/>
      <w:divBdr>
        <w:top w:val="none" w:sz="0" w:space="0" w:color="auto"/>
        <w:left w:val="none" w:sz="0" w:space="0" w:color="auto"/>
        <w:bottom w:val="none" w:sz="0" w:space="0" w:color="auto"/>
        <w:right w:val="none" w:sz="0" w:space="0" w:color="auto"/>
      </w:divBdr>
    </w:div>
    <w:div w:id="166219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EG-SERVER\PHIL\TEMPLATE\BI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0A631-0097-4156-A753-9A5205330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BILL.DOT</Template>
  <TotalTime>334</TotalTime>
  <Pages>13</Pages>
  <Words>3346</Words>
  <Characters>16774</Characters>
  <Application>Microsoft Office Word</Application>
  <DocSecurity>0</DocSecurity>
  <Lines>139</Lines>
  <Paragraphs>40</Paragraphs>
  <ScaleCrop>false</ScaleCrop>
  <HeadingPairs>
    <vt:vector size="2" baseType="variant">
      <vt:variant>
        <vt:lpstr>Title</vt:lpstr>
      </vt:variant>
      <vt:variant>
        <vt:i4>1</vt:i4>
      </vt:variant>
    </vt:vector>
  </HeadingPairs>
  <TitlesOfParts>
    <vt:vector size="1" baseType="lpstr">
      <vt:lpstr>NORFOLK ISLAND</vt:lpstr>
    </vt:vector>
  </TitlesOfParts>
  <Company>admin</Company>
  <LinksUpToDate>false</LinksUpToDate>
  <CharactersWithSpaces>20080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NORFOLK ISLAND</dc:title>
  <dc:subject>Gaming legislation</dc:subject>
  <dc:creator>LEGAL</dc:creator>
  <cp:keywords>Interactive Home Gaming</cp:keywords>
  <cp:lastModifiedBy>fredaford</cp:lastModifiedBy>
  <cp:revision>22</cp:revision>
  <cp:lastPrinted>2017-04-13T00:35:00Z</cp:lastPrinted>
  <dcterms:created xsi:type="dcterms:W3CDTF">2017-04-05T00:34:00Z</dcterms:created>
  <dcterms:modified xsi:type="dcterms:W3CDTF">2017-04-13T03:22:00Z</dcterms:modified>
</cp:coreProperties>
</file>