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F31" w:rsidRPr="001E3F31" w:rsidRDefault="001E3F31" w:rsidP="001E3F31">
      <w:pPr>
        <w:rPr>
          <w:b/>
          <w:bCs/>
          <w:lang w:val="en-US"/>
        </w:rPr>
      </w:pPr>
      <w:bookmarkStart w:id="0" w:name="_GoBack"/>
      <w:bookmarkEnd w:id="0"/>
      <w:r w:rsidRPr="001E3F31">
        <w:rPr>
          <w:b/>
          <w:bCs/>
          <w:lang w:val="en-US"/>
        </w:rPr>
        <w:t>NOTICE OF INTENTION TO APPLY TO THE FEDERAL COURT OF AUSTRALIA FOR CONFIRMATION OF A SCHEME FOR THE TRANSFER OF THE QBE RE AND SYDNEY RE INSURANCE BUSINESS OF QBE INSURANCE (INTERNATIONAL) LIMITED TO QBE INSURANCE (AUSTRALIA) LIMITED UNDER DIVISION 3A OF PART III OF THE INSURANCE ACT 1973 (</w:t>
      </w:r>
      <w:proofErr w:type="spellStart"/>
      <w:r w:rsidRPr="001E3F31">
        <w:rPr>
          <w:b/>
          <w:bCs/>
          <w:lang w:val="en-US"/>
        </w:rPr>
        <w:t>CTH</w:t>
      </w:r>
      <w:proofErr w:type="spellEnd"/>
      <w:r w:rsidRPr="001E3F31">
        <w:rPr>
          <w:b/>
          <w:bCs/>
          <w:lang w:val="en-US"/>
        </w:rPr>
        <w:t>).</w:t>
      </w:r>
    </w:p>
    <w:p w:rsidR="001E3F31" w:rsidRPr="001E3F31" w:rsidRDefault="001E3F31" w:rsidP="001E3F31">
      <w:pPr>
        <w:rPr>
          <w:lang w:val="en-US"/>
        </w:rPr>
      </w:pPr>
      <w:r w:rsidRPr="001E3F31">
        <w:rPr>
          <w:lang w:val="en-US"/>
        </w:rPr>
        <w:t xml:space="preserve">TAKE NOTICE that </w:t>
      </w:r>
      <w:r w:rsidRPr="001E3F31">
        <w:t xml:space="preserve">QBE Insurance (Australia) Limited </w:t>
      </w:r>
      <w:proofErr w:type="spellStart"/>
      <w:r w:rsidRPr="001E3F31">
        <w:t>ACN</w:t>
      </w:r>
      <w:proofErr w:type="spellEnd"/>
      <w:r w:rsidRPr="001E3F31">
        <w:t> 003 191 035 (</w:t>
      </w:r>
      <w:proofErr w:type="spellStart"/>
      <w:r w:rsidRPr="001E3F31">
        <w:rPr>
          <w:b/>
          <w:bCs/>
          <w:iCs/>
        </w:rPr>
        <w:t>QIA</w:t>
      </w:r>
      <w:proofErr w:type="spellEnd"/>
      <w:r w:rsidRPr="001E3F31">
        <w:t>)</w:t>
      </w:r>
      <w:r w:rsidRPr="001E3F31">
        <w:rPr>
          <w:i/>
        </w:rPr>
        <w:t xml:space="preserve"> </w:t>
      </w:r>
      <w:r w:rsidRPr="001E3F31">
        <w:rPr>
          <w:lang w:val="en-US"/>
        </w:rPr>
        <w:t xml:space="preserve">intends to make an application to the Federal Court of Australia in Sydney on </w:t>
      </w:r>
      <w:r w:rsidRPr="001E3F31">
        <w:rPr>
          <w:b/>
          <w:lang w:val="en-US"/>
        </w:rPr>
        <w:t>2 March 2016 at 10:15am</w:t>
      </w:r>
      <w:r w:rsidRPr="001E3F31">
        <w:rPr>
          <w:lang w:val="en-US"/>
        </w:rPr>
        <w:t xml:space="preserve">, or on such later or earlier date or time as the Court appoints, for confirmation of a scheme to transfer the reinsurance business written or assumed by </w:t>
      </w:r>
      <w:r w:rsidRPr="001E3F31">
        <w:t xml:space="preserve">QBE Insurance (International) Limited </w:t>
      </w:r>
      <w:proofErr w:type="spellStart"/>
      <w:r w:rsidRPr="001E3F31">
        <w:t>ACN</w:t>
      </w:r>
      <w:proofErr w:type="spellEnd"/>
      <w:r w:rsidRPr="001E3F31">
        <w:t> </w:t>
      </w:r>
      <w:r w:rsidRPr="001E3F31">
        <w:rPr>
          <w:lang w:val="en"/>
        </w:rPr>
        <w:t>000 000 948</w:t>
      </w:r>
      <w:r w:rsidRPr="001E3F31">
        <w:t xml:space="preserve"> (</w:t>
      </w:r>
      <w:proofErr w:type="spellStart"/>
      <w:r w:rsidRPr="001E3F31">
        <w:rPr>
          <w:b/>
          <w:bCs/>
          <w:iCs/>
        </w:rPr>
        <w:t>QII</w:t>
      </w:r>
      <w:proofErr w:type="spellEnd"/>
      <w:r w:rsidRPr="001E3F31">
        <w:t xml:space="preserve">) </w:t>
      </w:r>
      <w:r w:rsidRPr="001E3F31">
        <w:rPr>
          <w:lang w:val="en-US"/>
        </w:rPr>
        <w:t xml:space="preserve">to </w:t>
      </w:r>
      <w:proofErr w:type="spellStart"/>
      <w:r w:rsidRPr="001E3F31">
        <w:rPr>
          <w:lang w:val="en-US"/>
        </w:rPr>
        <w:t>QIA</w:t>
      </w:r>
      <w:proofErr w:type="spellEnd"/>
      <w:r w:rsidRPr="001E3F31">
        <w:rPr>
          <w:lang w:val="en-US"/>
        </w:rPr>
        <w:t xml:space="preserve"> (</w:t>
      </w:r>
      <w:r w:rsidRPr="001E3F31">
        <w:rPr>
          <w:b/>
          <w:lang w:val="en-US"/>
        </w:rPr>
        <w:t>Scheme</w:t>
      </w:r>
      <w:r w:rsidRPr="001E3F31">
        <w:rPr>
          <w:lang w:val="en-US"/>
        </w:rPr>
        <w:t xml:space="preserve">).  The reinsurance business was formerly conducted through QBE Re and Sydney Re prior to </w:t>
      </w:r>
      <w:proofErr w:type="spellStart"/>
      <w:r w:rsidRPr="001E3F31">
        <w:rPr>
          <w:lang w:val="en-US"/>
        </w:rPr>
        <w:t>QIA</w:t>
      </w:r>
      <w:proofErr w:type="spellEnd"/>
      <w:r w:rsidRPr="001E3F31">
        <w:rPr>
          <w:lang w:val="en-US"/>
        </w:rPr>
        <w:t xml:space="preserve"> assuming liability for the business.</w:t>
      </w:r>
    </w:p>
    <w:p w:rsidR="001E3F31" w:rsidRPr="001E3F31" w:rsidRDefault="001E3F31" w:rsidP="001E3F31">
      <w:pPr>
        <w:rPr>
          <w:lang w:val="en-US"/>
        </w:rPr>
      </w:pPr>
      <w:proofErr w:type="spellStart"/>
      <w:r w:rsidRPr="001E3F31">
        <w:rPr>
          <w:lang w:val="en-US"/>
        </w:rPr>
        <w:t>QIA</w:t>
      </w:r>
      <w:proofErr w:type="spellEnd"/>
      <w:r w:rsidRPr="001E3F31">
        <w:rPr>
          <w:lang w:val="en-US"/>
        </w:rPr>
        <w:t xml:space="preserve"> and </w:t>
      </w:r>
      <w:proofErr w:type="spellStart"/>
      <w:r w:rsidRPr="001E3F31">
        <w:rPr>
          <w:lang w:val="en-US"/>
        </w:rPr>
        <w:t>QII</w:t>
      </w:r>
      <w:proofErr w:type="spellEnd"/>
      <w:r w:rsidRPr="001E3F31">
        <w:rPr>
          <w:lang w:val="en-US"/>
        </w:rPr>
        <w:t xml:space="preserve"> are incorporated in Australia and are subsidiaries under the QBE Group of companies.  </w:t>
      </w:r>
      <w:proofErr w:type="spellStart"/>
      <w:r w:rsidRPr="001E3F31">
        <w:rPr>
          <w:lang w:val="en-US"/>
        </w:rPr>
        <w:t>QIA</w:t>
      </w:r>
      <w:proofErr w:type="spellEnd"/>
      <w:r w:rsidRPr="001E3F31">
        <w:rPr>
          <w:lang w:val="en-US"/>
        </w:rPr>
        <w:t xml:space="preserve"> and </w:t>
      </w:r>
      <w:proofErr w:type="spellStart"/>
      <w:r w:rsidRPr="001E3F31">
        <w:rPr>
          <w:lang w:val="en-US"/>
        </w:rPr>
        <w:t>QII</w:t>
      </w:r>
      <w:proofErr w:type="spellEnd"/>
      <w:r w:rsidRPr="001E3F31">
        <w:rPr>
          <w:lang w:val="en-US"/>
        </w:rPr>
        <w:t xml:space="preserve"> are </w:t>
      </w:r>
      <w:proofErr w:type="spellStart"/>
      <w:r w:rsidRPr="001E3F31">
        <w:rPr>
          <w:lang w:val="en-US"/>
        </w:rPr>
        <w:t>authorised</w:t>
      </w:r>
      <w:proofErr w:type="spellEnd"/>
      <w:r w:rsidRPr="001E3F31">
        <w:rPr>
          <w:lang w:val="en-US"/>
        </w:rPr>
        <w:t xml:space="preserve"> under the </w:t>
      </w:r>
      <w:r w:rsidRPr="001E3F31">
        <w:rPr>
          <w:i/>
          <w:lang w:val="en-US"/>
        </w:rPr>
        <w:t>Insurance Act</w:t>
      </w:r>
      <w:r w:rsidRPr="001E3F31">
        <w:rPr>
          <w:lang w:val="en-US"/>
        </w:rPr>
        <w:t xml:space="preserve"> </w:t>
      </w:r>
      <w:r w:rsidRPr="001E3F31">
        <w:rPr>
          <w:i/>
          <w:lang w:val="en-US"/>
        </w:rPr>
        <w:t>1973</w:t>
      </w:r>
      <w:r w:rsidRPr="001E3F31">
        <w:rPr>
          <w:lang w:val="en-US"/>
        </w:rPr>
        <w:t xml:space="preserve"> (</w:t>
      </w:r>
      <w:proofErr w:type="spellStart"/>
      <w:r w:rsidRPr="001E3F31">
        <w:rPr>
          <w:lang w:val="en-US"/>
        </w:rPr>
        <w:t>Cth</w:t>
      </w:r>
      <w:proofErr w:type="spellEnd"/>
      <w:r w:rsidRPr="001E3F31">
        <w:rPr>
          <w:lang w:val="en-US"/>
        </w:rPr>
        <w:t>) to carry on general insurance business in Australia.</w:t>
      </w:r>
    </w:p>
    <w:p w:rsidR="001E3F31" w:rsidRPr="001E3F31" w:rsidRDefault="001E3F31" w:rsidP="001E3F31">
      <w:pPr>
        <w:rPr>
          <w:lang w:val="en-US"/>
        </w:rPr>
      </w:pPr>
      <w:r w:rsidRPr="001E3F31">
        <w:rPr>
          <w:b/>
          <w:lang w:val="en-US"/>
        </w:rPr>
        <w:t xml:space="preserve">Persons who are insured under insurance contracts written or assumed by </w:t>
      </w:r>
      <w:proofErr w:type="spellStart"/>
      <w:r w:rsidRPr="001E3F31">
        <w:rPr>
          <w:b/>
          <w:lang w:val="en-US"/>
        </w:rPr>
        <w:t>QIA</w:t>
      </w:r>
      <w:proofErr w:type="spellEnd"/>
      <w:r w:rsidRPr="001E3F31">
        <w:rPr>
          <w:b/>
          <w:lang w:val="en-US"/>
        </w:rPr>
        <w:t xml:space="preserve"> or who may be otherwise affected by the terms of the Scheme (Affected Policyholders) may attend the Court hearing and request to be heard by the Court on the application for confirmation of the Scheme.</w:t>
      </w:r>
      <w:r w:rsidRPr="001E3F31">
        <w:rPr>
          <w:lang w:val="en-US"/>
        </w:rPr>
        <w:t xml:space="preserve">  The hearing will be held at the New South Wales Registry of the Federal Court of Australia.  It would be helpful if any Affected Policyholder who wishes to appear before the Court would notify the solicitor for </w:t>
      </w:r>
      <w:proofErr w:type="spellStart"/>
      <w:r w:rsidRPr="001E3F31">
        <w:rPr>
          <w:lang w:val="en-US"/>
        </w:rPr>
        <w:t>QIA</w:t>
      </w:r>
      <w:proofErr w:type="spellEnd"/>
      <w:r w:rsidRPr="001E3F31">
        <w:rPr>
          <w:lang w:val="en-US"/>
        </w:rPr>
        <w:t xml:space="preserve">, Mark </w:t>
      </w:r>
      <w:proofErr w:type="spellStart"/>
      <w:r w:rsidRPr="001E3F31">
        <w:rPr>
          <w:lang w:val="en-US"/>
        </w:rPr>
        <w:t>Lindfield</w:t>
      </w:r>
      <w:proofErr w:type="spellEnd"/>
      <w:r w:rsidRPr="001E3F31">
        <w:rPr>
          <w:lang w:val="en-US"/>
        </w:rPr>
        <w:t xml:space="preserve"> of </w:t>
      </w:r>
      <w:proofErr w:type="spellStart"/>
      <w:r w:rsidRPr="001E3F31">
        <w:rPr>
          <w:lang w:val="en-US"/>
        </w:rPr>
        <w:t>DibbsBarker</w:t>
      </w:r>
      <w:proofErr w:type="spellEnd"/>
      <w:r w:rsidRPr="001E3F31">
        <w:rPr>
          <w:lang w:val="en-US"/>
        </w:rPr>
        <w:t>, Level 9, Angel Place, 123 Pitt Street, Sydney NSW 2000 (phone: +61 2 8233 9500 or email:</w:t>
      </w:r>
      <w:hyperlink r:id="rId8" w:history="1">
        <w:r w:rsidRPr="001E3F31">
          <w:rPr>
            <w:rStyle w:val="Hyperlink"/>
            <w:lang w:val="en-US"/>
          </w:rPr>
          <w:t>mark.lindfield@dibbsbarker.com</w:t>
        </w:r>
      </w:hyperlink>
      <w:r w:rsidRPr="001E3F31">
        <w:rPr>
          <w:lang w:val="en-US"/>
        </w:rPr>
        <w:t xml:space="preserve">) of their intention to do so at least seven days prior to the hearing date specified above.  </w:t>
      </w:r>
      <w:r w:rsidRPr="001E3F31">
        <w:rPr>
          <w:b/>
          <w:lang w:val="en-US"/>
        </w:rPr>
        <w:t>Affected Policyholders are not required to take any action if they have no objection to the Scheme.</w:t>
      </w:r>
    </w:p>
    <w:p w:rsidR="001E3F31" w:rsidRPr="001E3F31" w:rsidRDefault="001E3F31" w:rsidP="001E3F31">
      <w:r w:rsidRPr="001E3F31">
        <w:rPr>
          <w:lang w:val="en-US"/>
        </w:rPr>
        <w:t xml:space="preserve">A copy of this notice, the Scheme, a summary of the Scheme and the actuarial reports of Warrick Gard of Ernst &amp; Young dated 26 October 2015, Benoit </w:t>
      </w:r>
      <w:proofErr w:type="spellStart"/>
      <w:r w:rsidRPr="001E3F31">
        <w:rPr>
          <w:lang w:val="en-US"/>
        </w:rPr>
        <w:t>Laganiere</w:t>
      </w:r>
      <w:proofErr w:type="spellEnd"/>
      <w:r w:rsidRPr="001E3F31">
        <w:rPr>
          <w:lang w:val="en-US"/>
        </w:rPr>
        <w:t xml:space="preserve"> of </w:t>
      </w:r>
      <w:proofErr w:type="spellStart"/>
      <w:r w:rsidRPr="001E3F31">
        <w:rPr>
          <w:lang w:val="en-US"/>
        </w:rPr>
        <w:t>QIA</w:t>
      </w:r>
      <w:proofErr w:type="spellEnd"/>
      <w:r w:rsidRPr="001E3F31">
        <w:rPr>
          <w:lang w:val="en-US"/>
        </w:rPr>
        <w:t xml:space="preserve"> dated 2 November 2015 and Jack Jiang of </w:t>
      </w:r>
      <w:proofErr w:type="spellStart"/>
      <w:r w:rsidRPr="001E3F31">
        <w:rPr>
          <w:lang w:val="en-US"/>
        </w:rPr>
        <w:t>QII</w:t>
      </w:r>
      <w:proofErr w:type="spellEnd"/>
      <w:r w:rsidRPr="001E3F31">
        <w:rPr>
          <w:lang w:val="en-US"/>
        </w:rPr>
        <w:t xml:space="preserve"> dated 4 November 2015 (</w:t>
      </w:r>
      <w:r w:rsidRPr="001E3F31">
        <w:rPr>
          <w:b/>
          <w:lang w:val="en-US"/>
        </w:rPr>
        <w:t>Actuarial Reports</w:t>
      </w:r>
      <w:r w:rsidRPr="001E3F31">
        <w:rPr>
          <w:lang w:val="en-US"/>
        </w:rPr>
        <w:t>) upon which the Scheme is based (</w:t>
      </w:r>
      <w:r w:rsidRPr="001E3F31">
        <w:rPr>
          <w:b/>
          <w:lang w:val="en-US"/>
        </w:rPr>
        <w:t>Scheme Documents</w:t>
      </w:r>
      <w:r w:rsidRPr="001E3F31">
        <w:rPr>
          <w:lang w:val="en-US"/>
        </w:rPr>
        <w:t>), will be available for public inspection free of charge between the hours of 9.00am and 5.00pm (local time) every day (except weekends and public holidays) for the period commencing on 11 January 2016 and ending on 2 February 2016 at the offices of QBE Australia at the following addresses</w:t>
      </w:r>
      <w:r w:rsidRPr="001E3F31">
        <w:t>:</w:t>
      </w:r>
    </w:p>
    <w:tbl>
      <w:tblPr>
        <w:tblW w:w="0" w:type="auto"/>
        <w:tblInd w:w="675" w:type="dxa"/>
        <w:tblLook w:val="01E0" w:firstRow="1" w:lastRow="1" w:firstColumn="1" w:lastColumn="1" w:noHBand="0" w:noVBand="0"/>
      </w:tblPr>
      <w:tblGrid>
        <w:gridCol w:w="2293"/>
        <w:gridCol w:w="2696"/>
        <w:gridCol w:w="2043"/>
      </w:tblGrid>
      <w:tr w:rsidR="001E3F31" w:rsidRPr="001E3F31" w:rsidTr="004A41A9">
        <w:trPr>
          <w:cantSplit/>
        </w:trPr>
        <w:tc>
          <w:tcPr>
            <w:tcW w:w="0" w:type="auto"/>
            <w:vAlign w:val="center"/>
          </w:tcPr>
          <w:p w:rsidR="001E3F31" w:rsidRPr="001E3F31" w:rsidRDefault="001E3F31" w:rsidP="001E3F31">
            <w:pPr>
              <w:rPr>
                <w:lang w:val="en-US"/>
              </w:rPr>
            </w:pPr>
            <w:r w:rsidRPr="001E3F31">
              <w:rPr>
                <w:b/>
                <w:lang w:val="en-US"/>
              </w:rPr>
              <w:t>New South Wales</w:t>
            </w:r>
            <w:r w:rsidRPr="001E3F31">
              <w:rPr>
                <w:lang w:val="en-US"/>
              </w:rPr>
              <w:br/>
              <w:t xml:space="preserve">Level 5 </w:t>
            </w:r>
            <w:r w:rsidRPr="001E3F31">
              <w:rPr>
                <w:lang w:val="en-US"/>
              </w:rPr>
              <w:br/>
              <w:t xml:space="preserve">2 Park Street </w:t>
            </w:r>
            <w:r w:rsidRPr="001E3F31">
              <w:rPr>
                <w:lang w:val="en-US"/>
              </w:rPr>
              <w:br/>
              <w:t>Sydney  NSW  2000</w:t>
            </w:r>
          </w:p>
        </w:tc>
        <w:tc>
          <w:tcPr>
            <w:tcW w:w="0" w:type="auto"/>
            <w:vAlign w:val="center"/>
          </w:tcPr>
          <w:p w:rsidR="001E3F31" w:rsidRPr="001E3F31" w:rsidRDefault="001E3F31" w:rsidP="001E3F31">
            <w:pPr>
              <w:rPr>
                <w:lang w:val="en-US"/>
              </w:rPr>
            </w:pPr>
            <w:r w:rsidRPr="001E3F31">
              <w:rPr>
                <w:b/>
                <w:lang w:val="en-US"/>
              </w:rPr>
              <w:t>Victoria</w:t>
            </w:r>
            <w:r w:rsidRPr="001E3F31">
              <w:rPr>
                <w:lang w:val="en-US"/>
              </w:rPr>
              <w:br/>
              <w:t>Level 2</w:t>
            </w:r>
            <w:r w:rsidRPr="001E3F31">
              <w:rPr>
                <w:lang w:val="en-US"/>
              </w:rPr>
              <w:br/>
              <w:t>628 Bourke Street</w:t>
            </w:r>
            <w:r w:rsidRPr="001E3F31">
              <w:rPr>
                <w:lang w:val="en-US"/>
              </w:rPr>
              <w:br/>
              <w:t>Melbourne  VIC 3000</w:t>
            </w:r>
          </w:p>
        </w:tc>
        <w:tc>
          <w:tcPr>
            <w:tcW w:w="0" w:type="auto"/>
            <w:vAlign w:val="center"/>
          </w:tcPr>
          <w:p w:rsidR="001E3F31" w:rsidRPr="001E3F31" w:rsidRDefault="001E3F31" w:rsidP="001E3F31">
            <w:pPr>
              <w:rPr>
                <w:lang w:val="en-US"/>
              </w:rPr>
            </w:pPr>
            <w:r w:rsidRPr="001E3F31">
              <w:rPr>
                <w:b/>
                <w:lang w:val="en-US"/>
              </w:rPr>
              <w:t>Queensland</w:t>
            </w:r>
            <w:r w:rsidRPr="001E3F31">
              <w:rPr>
                <w:lang w:val="en-US"/>
              </w:rPr>
              <w:br/>
              <w:t>Level 13</w:t>
            </w:r>
            <w:r w:rsidRPr="001E3F31">
              <w:rPr>
                <w:lang w:val="en-US"/>
              </w:rPr>
              <w:br/>
              <w:t xml:space="preserve">145 Ann Street </w:t>
            </w:r>
            <w:r w:rsidRPr="001E3F31">
              <w:rPr>
                <w:lang w:val="en-US"/>
              </w:rPr>
              <w:br/>
              <w:t xml:space="preserve">Brisbane  </w:t>
            </w:r>
            <w:proofErr w:type="spellStart"/>
            <w:r w:rsidRPr="001E3F31">
              <w:rPr>
                <w:lang w:val="en-US"/>
              </w:rPr>
              <w:t>QLD</w:t>
            </w:r>
            <w:proofErr w:type="spellEnd"/>
            <w:r w:rsidRPr="001E3F31">
              <w:rPr>
                <w:lang w:val="en-US"/>
              </w:rPr>
              <w:t xml:space="preserve">  4000</w:t>
            </w:r>
          </w:p>
        </w:tc>
      </w:tr>
      <w:tr w:rsidR="001E3F31" w:rsidRPr="001E3F31" w:rsidTr="004A41A9">
        <w:trPr>
          <w:cantSplit/>
        </w:trPr>
        <w:tc>
          <w:tcPr>
            <w:tcW w:w="0" w:type="auto"/>
            <w:vAlign w:val="center"/>
          </w:tcPr>
          <w:p w:rsidR="001E3F31" w:rsidRPr="001E3F31" w:rsidRDefault="001E3F31" w:rsidP="001E3F31">
            <w:pPr>
              <w:rPr>
                <w:b/>
                <w:i/>
                <w:lang w:val="en-US"/>
              </w:rPr>
            </w:pPr>
            <w:r w:rsidRPr="001E3F31">
              <w:rPr>
                <w:b/>
                <w:lang w:val="en-US"/>
              </w:rPr>
              <w:t>Western Australia</w:t>
            </w:r>
            <w:r w:rsidRPr="001E3F31">
              <w:rPr>
                <w:lang w:val="en-US"/>
              </w:rPr>
              <w:br/>
              <w:t>Level 18</w:t>
            </w:r>
            <w:r w:rsidRPr="001E3F31">
              <w:rPr>
                <w:lang w:val="en-US"/>
              </w:rPr>
              <w:br/>
              <w:t>200 St Georges Terrace</w:t>
            </w:r>
            <w:r w:rsidRPr="001E3F31">
              <w:rPr>
                <w:lang w:val="en-US"/>
              </w:rPr>
              <w:br/>
              <w:t>Perth  WA  6000</w:t>
            </w:r>
          </w:p>
        </w:tc>
        <w:tc>
          <w:tcPr>
            <w:tcW w:w="0" w:type="auto"/>
            <w:vAlign w:val="center"/>
          </w:tcPr>
          <w:p w:rsidR="001E3F31" w:rsidRPr="001E3F31" w:rsidRDefault="001E3F31" w:rsidP="001E3F31">
            <w:pPr>
              <w:rPr>
                <w:lang w:val="en-US"/>
              </w:rPr>
            </w:pPr>
            <w:r w:rsidRPr="001E3F31">
              <w:rPr>
                <w:b/>
                <w:lang w:val="en-US"/>
              </w:rPr>
              <w:t>South Australia</w:t>
            </w:r>
            <w:r w:rsidRPr="001E3F31">
              <w:rPr>
                <w:lang w:val="en-US"/>
              </w:rPr>
              <w:br/>
              <w:t>Level 9</w:t>
            </w:r>
            <w:r w:rsidRPr="001E3F31">
              <w:rPr>
                <w:lang w:val="en-US"/>
              </w:rPr>
              <w:br/>
              <w:t xml:space="preserve">400 King William Street </w:t>
            </w:r>
            <w:r w:rsidRPr="001E3F31">
              <w:rPr>
                <w:lang w:val="en-US"/>
              </w:rPr>
              <w:br/>
              <w:t>Adelaide  SA  5000</w:t>
            </w:r>
          </w:p>
        </w:tc>
        <w:tc>
          <w:tcPr>
            <w:tcW w:w="0" w:type="auto"/>
            <w:vAlign w:val="center"/>
          </w:tcPr>
          <w:p w:rsidR="001E3F31" w:rsidRPr="001E3F31" w:rsidRDefault="001E3F31" w:rsidP="001E3F31">
            <w:pPr>
              <w:rPr>
                <w:lang w:val="en-US"/>
              </w:rPr>
            </w:pPr>
            <w:r w:rsidRPr="001E3F31">
              <w:rPr>
                <w:b/>
                <w:lang w:val="en-US"/>
              </w:rPr>
              <w:t>Tasmania</w:t>
            </w:r>
            <w:r w:rsidRPr="001E3F31">
              <w:rPr>
                <w:lang w:val="en-US"/>
              </w:rPr>
              <w:br/>
              <w:t>Level 7</w:t>
            </w:r>
            <w:r w:rsidRPr="001E3F31">
              <w:rPr>
                <w:lang w:val="en-US"/>
              </w:rPr>
              <w:br/>
              <w:t>85 Macquarie Street</w:t>
            </w:r>
            <w:r w:rsidRPr="001E3F31">
              <w:rPr>
                <w:lang w:val="en-US"/>
              </w:rPr>
              <w:br/>
              <w:t>Hobart  TAS  7000</w:t>
            </w:r>
          </w:p>
        </w:tc>
      </w:tr>
      <w:tr w:rsidR="001E3F31" w:rsidRPr="001E3F31" w:rsidTr="004A41A9">
        <w:trPr>
          <w:cantSplit/>
        </w:trPr>
        <w:tc>
          <w:tcPr>
            <w:tcW w:w="0" w:type="auto"/>
            <w:vAlign w:val="center"/>
          </w:tcPr>
          <w:p w:rsidR="001E3F31" w:rsidRPr="001E3F31" w:rsidRDefault="001E3F31" w:rsidP="001E3F31">
            <w:pPr>
              <w:rPr>
                <w:lang w:val="en-US"/>
              </w:rPr>
            </w:pPr>
            <w:r w:rsidRPr="001E3F31">
              <w:rPr>
                <w:b/>
                <w:lang w:val="en-US"/>
              </w:rPr>
              <w:t>Northern Territory</w:t>
            </w:r>
            <w:r w:rsidRPr="001E3F31">
              <w:rPr>
                <w:lang w:val="en-US"/>
              </w:rPr>
              <w:br/>
              <w:t>Level 2</w:t>
            </w:r>
            <w:r w:rsidRPr="001E3F31">
              <w:rPr>
                <w:lang w:val="en-US"/>
              </w:rPr>
              <w:br/>
              <w:t>43 Mitchell Street</w:t>
            </w:r>
            <w:r w:rsidRPr="001E3F31">
              <w:rPr>
                <w:lang w:val="en-US"/>
              </w:rPr>
              <w:br/>
              <w:t>Darwin  NT  0800</w:t>
            </w:r>
          </w:p>
        </w:tc>
        <w:tc>
          <w:tcPr>
            <w:tcW w:w="0" w:type="auto"/>
            <w:vAlign w:val="center"/>
          </w:tcPr>
          <w:p w:rsidR="001E3F31" w:rsidRPr="001E3F31" w:rsidRDefault="001E3F31" w:rsidP="001E3F31">
            <w:pPr>
              <w:rPr>
                <w:lang w:val="en-US"/>
              </w:rPr>
            </w:pPr>
            <w:r w:rsidRPr="001E3F31">
              <w:rPr>
                <w:b/>
                <w:lang w:val="en-US"/>
              </w:rPr>
              <w:t>Australian Capital Territory</w:t>
            </w:r>
            <w:r w:rsidRPr="001E3F31">
              <w:rPr>
                <w:lang w:val="en-US"/>
              </w:rPr>
              <w:br/>
              <w:t>Level 7</w:t>
            </w:r>
            <w:r w:rsidRPr="001E3F31">
              <w:rPr>
                <w:lang w:val="en-US"/>
              </w:rPr>
              <w:br/>
              <w:t xml:space="preserve">220 </w:t>
            </w:r>
            <w:proofErr w:type="spellStart"/>
            <w:r w:rsidRPr="001E3F31">
              <w:rPr>
                <w:lang w:val="en-US"/>
              </w:rPr>
              <w:t>Northbourne</w:t>
            </w:r>
            <w:proofErr w:type="spellEnd"/>
            <w:r w:rsidRPr="001E3F31">
              <w:rPr>
                <w:lang w:val="en-US"/>
              </w:rPr>
              <w:t xml:space="preserve"> Avenue </w:t>
            </w:r>
            <w:r w:rsidRPr="001E3F31">
              <w:rPr>
                <w:lang w:val="en-US"/>
              </w:rPr>
              <w:br/>
            </w:r>
            <w:proofErr w:type="spellStart"/>
            <w:r w:rsidRPr="001E3F31">
              <w:rPr>
                <w:lang w:val="en-US"/>
              </w:rPr>
              <w:t>Braddon</w:t>
            </w:r>
            <w:proofErr w:type="spellEnd"/>
            <w:r w:rsidRPr="001E3F31">
              <w:rPr>
                <w:lang w:val="en-US"/>
              </w:rPr>
              <w:t xml:space="preserve">  ACT  2600</w:t>
            </w:r>
          </w:p>
        </w:tc>
        <w:tc>
          <w:tcPr>
            <w:tcW w:w="0" w:type="auto"/>
            <w:vAlign w:val="center"/>
          </w:tcPr>
          <w:p w:rsidR="001E3F31" w:rsidRPr="001E3F31" w:rsidRDefault="001E3F31" w:rsidP="001E3F31">
            <w:pPr>
              <w:rPr>
                <w:lang w:val="en-US"/>
              </w:rPr>
            </w:pPr>
          </w:p>
        </w:tc>
      </w:tr>
    </w:tbl>
    <w:p w:rsidR="001E3F31" w:rsidRPr="001E3F31" w:rsidRDefault="001E3F31" w:rsidP="001E3F31">
      <w:pPr>
        <w:rPr>
          <w:lang w:val="en-US"/>
        </w:rPr>
      </w:pPr>
      <w:r w:rsidRPr="001E3F31">
        <w:rPr>
          <w:lang w:val="en-US"/>
        </w:rPr>
        <w:lastRenderedPageBreak/>
        <w:t xml:space="preserve">Any Affected Policyholder may obtain a copy of the Scheme Documents free of charge by contacting James Gorman on </w:t>
      </w:r>
      <w:r w:rsidRPr="001E3F31">
        <w:rPr>
          <w:b/>
          <w:lang w:val="en-US"/>
        </w:rPr>
        <w:t>+61 2 9375 4189</w:t>
      </w:r>
      <w:r w:rsidRPr="001E3F31">
        <w:t xml:space="preserve"> </w:t>
      </w:r>
      <w:r w:rsidRPr="001E3F31">
        <w:rPr>
          <w:lang w:val="en-US"/>
        </w:rPr>
        <w:t xml:space="preserve">or by email at </w:t>
      </w:r>
      <w:hyperlink r:id="rId9" w:history="1">
        <w:r w:rsidRPr="001E3F31">
          <w:rPr>
            <w:rStyle w:val="Hyperlink"/>
            <w:lang w:val="en-US"/>
          </w:rPr>
          <w:t>qbere.runoff@qbe.com</w:t>
        </w:r>
      </w:hyperlink>
      <w:r w:rsidRPr="001E3F31">
        <w:rPr>
          <w:lang w:val="en-US"/>
        </w:rPr>
        <w:t xml:space="preserve">  </w:t>
      </w:r>
    </w:p>
    <w:p w:rsidR="001E3F31" w:rsidRPr="001E3F31" w:rsidRDefault="001E3F31" w:rsidP="001E3F31">
      <w:pPr>
        <w:rPr>
          <w:lang w:val="en-US"/>
        </w:rPr>
      </w:pPr>
      <w:r w:rsidRPr="001E3F31">
        <w:rPr>
          <w:lang w:val="en-US"/>
        </w:rPr>
        <w:t>If you have any other enquiries you may contact James Gorman at the contact details referred to above.</w:t>
      </w:r>
    </w:p>
    <w:p w:rsidR="001E3F31" w:rsidRPr="001E3F31" w:rsidRDefault="001E3F31" w:rsidP="001E3F31">
      <w:pPr>
        <w:rPr>
          <w:lang w:val="en-US"/>
        </w:rPr>
      </w:pPr>
      <w:r w:rsidRPr="001E3F31">
        <w:rPr>
          <w:lang w:val="en-US"/>
        </w:rPr>
        <w:t xml:space="preserve">A copy of the Scheme Documents can be viewed during the period set out above on the website maintained by QBE Asia Pacific at: </w:t>
      </w:r>
      <w:hyperlink r:id="rId10" w:history="1">
        <w:r w:rsidRPr="001E3F31">
          <w:rPr>
            <w:rStyle w:val="Hyperlink"/>
            <w:lang w:val="en-US"/>
          </w:rPr>
          <w:t>http://www.qbeap.com/</w:t>
        </w:r>
      </w:hyperlink>
      <w:r w:rsidRPr="001E3F31">
        <w:rPr>
          <w:lang w:val="en-US"/>
        </w:rPr>
        <w:t xml:space="preserve"> and at the website maintained by QBE Singapore at </w:t>
      </w:r>
      <w:hyperlink r:id="rId11" w:history="1">
        <w:r w:rsidRPr="001E3F31">
          <w:rPr>
            <w:rStyle w:val="Hyperlink"/>
            <w:lang w:val="en-US"/>
          </w:rPr>
          <w:t>http://www.qbe.com.sg/</w:t>
        </w:r>
      </w:hyperlink>
      <w:r w:rsidRPr="001E3F31">
        <w:rPr>
          <w:lang w:val="en-US"/>
        </w:rPr>
        <w:t xml:space="preserve"> </w:t>
      </w:r>
    </w:p>
    <w:p w:rsidR="001E3F31" w:rsidRPr="001E3F31" w:rsidRDefault="001E3F31" w:rsidP="001E3F31">
      <w:pPr>
        <w:rPr>
          <w:b/>
          <w:lang w:val="en-US"/>
        </w:rPr>
      </w:pPr>
      <w:r w:rsidRPr="001E3F31">
        <w:rPr>
          <w:lang w:val="en-US"/>
        </w:rPr>
        <w:t xml:space="preserve">We recommend that each Affected Policyholder obtain and review the Scheme, the summary of the Scheme and the Actuarial Reports, which contains a discussion of the impact of the Scheme on policyholders. </w:t>
      </w:r>
    </w:p>
    <w:p w:rsidR="001E3F31" w:rsidRPr="001E3F31" w:rsidRDefault="001E3F31" w:rsidP="001E3F31">
      <w:pPr>
        <w:rPr>
          <w:b/>
          <w:lang w:val="en-US"/>
        </w:rPr>
      </w:pPr>
      <w:r w:rsidRPr="001E3F31">
        <w:rPr>
          <w:b/>
          <w:lang w:val="en-US"/>
        </w:rPr>
        <w:t xml:space="preserve">THIS NOTICE HAS BEEN PREPARED BY </w:t>
      </w:r>
      <w:proofErr w:type="spellStart"/>
      <w:r w:rsidRPr="001E3F31">
        <w:rPr>
          <w:b/>
          <w:lang w:val="en-US"/>
        </w:rPr>
        <w:t>QIA</w:t>
      </w:r>
      <w:proofErr w:type="spellEnd"/>
      <w:r w:rsidRPr="001E3F31">
        <w:rPr>
          <w:lang w:val="en-US"/>
        </w:rPr>
        <w:t xml:space="preserve"> </w:t>
      </w:r>
    </w:p>
    <w:p w:rsidR="001E3F31" w:rsidRPr="001E3F31" w:rsidRDefault="001E3F31" w:rsidP="001E3F31">
      <w:r w:rsidRPr="001E3F31">
        <w:rPr>
          <w:lang w:val="en-US"/>
        </w:rPr>
        <w:t>Dated: 21 December 2015</w:t>
      </w:r>
    </w:p>
    <w:p w:rsidR="004B2753" w:rsidRPr="00424B97" w:rsidRDefault="004B2753" w:rsidP="00424B97"/>
    <w:sectPr w:rsidR="004B2753" w:rsidRPr="00424B97" w:rsidSect="008E4F6C">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1134" w:right="1134" w:bottom="1134" w:left="1134" w:header="567" w:footer="510" w:gutter="0"/>
      <w:cols w:space="1202"/>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4F6C" w:rsidRDefault="008E4F6C" w:rsidP="003A707F">
      <w:pPr>
        <w:spacing w:after="0" w:line="240" w:lineRule="auto"/>
      </w:pPr>
      <w:r>
        <w:separator/>
      </w:r>
    </w:p>
  </w:endnote>
  <w:endnote w:type="continuationSeparator" w:id="0">
    <w:p w:rsidR="008E4F6C" w:rsidRDefault="008E4F6C" w:rsidP="003A7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C30" w:rsidRDefault="00C72C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C30" w:rsidRDefault="001E3F31" w:rsidP="001E3F31">
    <w:pPr>
      <w:pStyle w:val="Footer"/>
    </w:pPr>
    <w:r w:rsidRPr="000E6DD2">
      <w:rPr>
        <w:rFonts w:cs="Arial"/>
        <w:szCs w:val="12"/>
      </w:rPr>
      <w:fldChar w:fldCharType="begin"/>
    </w:r>
    <w:r w:rsidRPr="00D439C0">
      <w:rPr>
        <w:rFonts w:cs="Arial"/>
        <w:szCs w:val="12"/>
      </w:rPr>
      <w:instrText>DOCPROPERTY wsFooter</w:instrText>
    </w:r>
    <w:r w:rsidRPr="000E6DD2">
      <w:rPr>
        <w:rFonts w:cs="Arial"/>
        <w:szCs w:val="12"/>
      </w:rPr>
      <w:fldChar w:fldCharType="separate"/>
    </w:r>
    <w:r>
      <w:rPr>
        <w:rFonts w:cs="Arial"/>
        <w:szCs w:val="12"/>
      </w:rPr>
      <w:t>28137717 v1 National</w:t>
    </w:r>
    <w:r w:rsidRPr="000E6DD2">
      <w:rPr>
        <w:rFonts w:cs="Arial"/>
        <w:szCs w:val="12"/>
      </w:rPr>
      <w:fldChar w:fldCharType="end"/>
    </w:r>
    <w:r w:rsidRPr="000E6DD2">
      <w:rPr>
        <w:rFonts w:cs="Arial"/>
        <w:szCs w:val="12"/>
      </w:rPr>
      <w:t xml:space="preserve"> </w:t>
    </w:r>
    <w:r w:rsidRPr="000E6DD2">
      <w:rPr>
        <w:rFonts w:cs="Arial"/>
        <w:szCs w:val="12"/>
      </w:rPr>
      <w:fldChar w:fldCharType="begin"/>
    </w:r>
    <w:r w:rsidRPr="000E6DD2">
      <w:rPr>
        <w:rFonts w:cs="Arial"/>
        <w:szCs w:val="12"/>
      </w:rPr>
      <w:instrText xml:space="preserve"> SAVEDATE \@ " dd MM yy" </w:instrText>
    </w:r>
    <w:r w:rsidRPr="000E6DD2">
      <w:rPr>
        <w:rFonts w:cs="Arial"/>
        <w:szCs w:val="12"/>
      </w:rPr>
      <w:fldChar w:fldCharType="separate"/>
    </w:r>
    <w:r w:rsidR="002F627A">
      <w:rPr>
        <w:rFonts w:cs="Arial"/>
        <w:noProof/>
        <w:szCs w:val="12"/>
      </w:rPr>
      <w:t xml:space="preserve"> 17 12 15</w:t>
    </w:r>
    <w:r w:rsidRPr="000E6DD2">
      <w:rPr>
        <w:rFonts w:cs="Arial"/>
        <w:szCs w:val="1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C30" w:rsidRDefault="001E3F31" w:rsidP="001E3F31">
    <w:pPr>
      <w:pStyle w:val="Footer"/>
    </w:pPr>
    <w:r w:rsidRPr="000E6DD2">
      <w:rPr>
        <w:rFonts w:cs="Arial"/>
        <w:szCs w:val="12"/>
      </w:rPr>
      <w:fldChar w:fldCharType="begin"/>
    </w:r>
    <w:r w:rsidRPr="00D439C0">
      <w:rPr>
        <w:rFonts w:cs="Arial"/>
        <w:szCs w:val="12"/>
      </w:rPr>
      <w:instrText>DOCPROPERTY wsFooter</w:instrText>
    </w:r>
    <w:r w:rsidRPr="000E6DD2">
      <w:rPr>
        <w:rFonts w:cs="Arial"/>
        <w:szCs w:val="12"/>
      </w:rPr>
      <w:fldChar w:fldCharType="separate"/>
    </w:r>
    <w:r>
      <w:rPr>
        <w:rFonts w:cs="Arial"/>
        <w:szCs w:val="12"/>
      </w:rPr>
      <w:t>28137717 v1 National</w:t>
    </w:r>
    <w:r w:rsidRPr="000E6DD2">
      <w:rPr>
        <w:rFonts w:cs="Arial"/>
        <w:szCs w:val="12"/>
      </w:rPr>
      <w:fldChar w:fldCharType="end"/>
    </w:r>
    <w:r w:rsidRPr="000E6DD2">
      <w:rPr>
        <w:rFonts w:cs="Arial"/>
        <w:szCs w:val="12"/>
      </w:rPr>
      <w:t xml:space="preserve"> </w:t>
    </w:r>
    <w:r w:rsidRPr="000E6DD2">
      <w:rPr>
        <w:rFonts w:cs="Arial"/>
        <w:szCs w:val="12"/>
      </w:rPr>
      <w:fldChar w:fldCharType="begin"/>
    </w:r>
    <w:r w:rsidRPr="000E6DD2">
      <w:rPr>
        <w:rFonts w:cs="Arial"/>
        <w:szCs w:val="12"/>
      </w:rPr>
      <w:instrText xml:space="preserve"> SAVEDATE \@ " dd MM yy" </w:instrText>
    </w:r>
    <w:r w:rsidRPr="000E6DD2">
      <w:rPr>
        <w:rFonts w:cs="Arial"/>
        <w:szCs w:val="12"/>
      </w:rPr>
      <w:fldChar w:fldCharType="separate"/>
    </w:r>
    <w:r w:rsidR="002F627A">
      <w:rPr>
        <w:rFonts w:cs="Arial"/>
        <w:noProof/>
        <w:szCs w:val="12"/>
      </w:rPr>
      <w:t xml:space="preserve"> 17 12 15</w:t>
    </w:r>
    <w:r w:rsidRPr="000E6DD2">
      <w:rPr>
        <w:rFonts w:cs="Arial"/>
        <w:szCs w:val="1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4F6C" w:rsidRDefault="008E4F6C" w:rsidP="003A707F">
      <w:pPr>
        <w:spacing w:after="0" w:line="240" w:lineRule="auto"/>
      </w:pPr>
      <w:r>
        <w:separator/>
      </w:r>
    </w:p>
  </w:footnote>
  <w:footnote w:type="continuationSeparator" w:id="0">
    <w:p w:rsidR="008E4F6C" w:rsidRDefault="008E4F6C" w:rsidP="003A70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C30" w:rsidRDefault="00C72C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C30" w:rsidRDefault="00C72C3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77" w:type="dxa"/>
      <w:tblInd w:w="80" w:type="dxa"/>
      <w:tblLayout w:type="fixed"/>
      <w:tblLook w:val="01E0" w:firstRow="1" w:lastRow="1" w:firstColumn="1" w:lastColumn="1" w:noHBand="0" w:noVBand="0"/>
    </w:tblPr>
    <w:tblGrid>
      <w:gridCol w:w="1263"/>
      <w:gridCol w:w="4435"/>
      <w:gridCol w:w="3979"/>
    </w:tblGrid>
    <w:tr w:rsidR="00F40885" w:rsidRPr="00CE796A" w:rsidTr="0095650D">
      <w:trPr>
        <w:trHeight w:val="984"/>
      </w:trPr>
      <w:tc>
        <w:tcPr>
          <w:tcW w:w="1263"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60" w:after="0"/>
            <w:ind w:left="-51"/>
            <w:rPr>
              <w:rFonts w:ascii="Arial" w:hAnsi="Arial"/>
              <w:sz w:val="12"/>
            </w:rPr>
          </w:pPr>
          <w:bookmarkStart w:id="1" w:name="OLE_LINK2"/>
          <w:r>
            <w:rPr>
              <w:rFonts w:ascii="Arial" w:hAnsi="Arial"/>
              <w:noProof/>
              <w:sz w:val="12"/>
              <w:lang w:eastAsia="en-AU"/>
            </w:rPr>
            <w:drawing>
              <wp:inline distT="0" distB="0" distL="0" distR="0" wp14:anchorId="14ED7543" wp14:editId="74B83D9D">
                <wp:extent cx="702945" cy="544195"/>
                <wp:effectExtent l="0" t="0" r="0" b="8255"/>
                <wp:docPr id="1" name="Picture 1" title="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60" w:after="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of Australia</w:t>
          </w:r>
        </w:p>
      </w:tc>
      <w:tc>
        <w:tcPr>
          <w:tcW w:w="3979"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180" w:after="0" w:line="800" w:lineRule="exact"/>
            <w:jc w:val="right"/>
            <w:rPr>
              <w:rFonts w:ascii="Arial" w:hAnsi="Arial" w:cs="Arial"/>
              <w:b/>
              <w:sz w:val="100"/>
              <w:szCs w:val="100"/>
            </w:rPr>
          </w:pPr>
          <w:r w:rsidRPr="00CE796A">
            <w:rPr>
              <w:rFonts w:ascii="Arial" w:hAnsi="Arial" w:cs="Arial"/>
              <w:b/>
              <w:sz w:val="100"/>
              <w:szCs w:val="100"/>
            </w:rPr>
            <w:t>Gazette</w:t>
          </w:r>
        </w:p>
      </w:tc>
    </w:tr>
    <w:tr w:rsidR="00F40885" w:rsidRPr="00CE796A" w:rsidTr="00840A06">
      <w:trPr>
        <w:trHeight w:val="340"/>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rsidR="00F40885" w:rsidRPr="00CE796A" w:rsidRDefault="00F40885" w:rsidP="00840A06">
          <w:pPr>
            <w:spacing w:after="0"/>
            <w:ind w:left="-51"/>
            <w:rPr>
              <w:rFonts w:ascii="Arial" w:hAnsi="Arial" w:cs="Arial"/>
              <w:sz w:val="14"/>
              <w:szCs w:val="14"/>
            </w:rPr>
          </w:pPr>
          <w:bookmarkStart w:id="2" w:name="GazNo"/>
          <w:bookmarkEnd w:id="2"/>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rsidR="00F40885" w:rsidRPr="00840A06" w:rsidRDefault="00F40885" w:rsidP="00840A06">
          <w:pPr>
            <w:spacing w:after="0"/>
            <w:jc w:val="right"/>
            <w:rPr>
              <w:rFonts w:ascii="Arial" w:hAnsi="Arial" w:cs="Arial"/>
              <w:b/>
              <w:sz w:val="24"/>
              <w:szCs w:val="24"/>
            </w:rPr>
          </w:pPr>
          <w:r w:rsidRPr="00840A06">
            <w:rPr>
              <w:rFonts w:ascii="Arial" w:hAnsi="Arial" w:cs="Arial"/>
              <w:b/>
              <w:sz w:val="24"/>
              <w:szCs w:val="24"/>
            </w:rPr>
            <w:t>GOVERNMENT NOTICES</w:t>
          </w:r>
        </w:p>
      </w:tc>
    </w:tr>
    <w:bookmarkEnd w:id="1"/>
  </w:tbl>
  <w:p w:rsidR="00F40885" w:rsidRPr="003A707F" w:rsidRDefault="00F40885" w:rsidP="00F40885">
    <w:pPr>
      <w:pStyle w:val="Header"/>
      <w:rPr>
        <w:sz w:val="2"/>
        <w:szCs w:val="2"/>
      </w:rPr>
    </w:pPr>
  </w:p>
  <w:p w:rsidR="00F40885" w:rsidRPr="00F40885" w:rsidRDefault="00F40885">
    <w:pPr>
      <w:pStyle w:val="Header"/>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forms"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F6C"/>
    <w:rsid w:val="000E1F2B"/>
    <w:rsid w:val="001C2AAD"/>
    <w:rsid w:val="001E3F31"/>
    <w:rsid w:val="001F6E54"/>
    <w:rsid w:val="00280BCD"/>
    <w:rsid w:val="002F627A"/>
    <w:rsid w:val="003A707F"/>
    <w:rsid w:val="003B0EC1"/>
    <w:rsid w:val="003B573B"/>
    <w:rsid w:val="003F2CBD"/>
    <w:rsid w:val="00424B97"/>
    <w:rsid w:val="004B2753"/>
    <w:rsid w:val="00520873"/>
    <w:rsid w:val="00573D44"/>
    <w:rsid w:val="00840A06"/>
    <w:rsid w:val="008439B7"/>
    <w:rsid w:val="0087253F"/>
    <w:rsid w:val="008E4F6C"/>
    <w:rsid w:val="009539C7"/>
    <w:rsid w:val="00A00F21"/>
    <w:rsid w:val="00B84226"/>
    <w:rsid w:val="00C63C4E"/>
    <w:rsid w:val="00C72C30"/>
    <w:rsid w:val="00D229E5"/>
    <w:rsid w:val="00D77A88"/>
    <w:rsid w:val="00F408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 w:type="character" w:styleId="Hyperlink">
    <w:name w:val="Hyperlink"/>
    <w:basedOn w:val="DefaultParagraphFont"/>
    <w:uiPriority w:val="99"/>
    <w:unhideWhenUsed/>
    <w:rsid w:val="001E3F3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 w:type="character" w:styleId="Hyperlink">
    <w:name w:val="Hyperlink"/>
    <w:basedOn w:val="DefaultParagraphFont"/>
    <w:uiPriority w:val="99"/>
    <w:unhideWhenUsed/>
    <w:rsid w:val="001E3F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lindfield@dibbsbarker.com" TargetMode="External"/><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qbe.com.s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qbeap.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qbere.runoff@qbe.com"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A11823-7B89-467E-A492-B14D1B11D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583</Words>
  <Characters>3329</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3905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 Kelli</dc:creator>
  <cp:lastModifiedBy>Miller, Kelli</cp:lastModifiedBy>
  <cp:revision>2</cp:revision>
  <cp:lastPrinted>2013-06-24T01:35:00Z</cp:lastPrinted>
  <dcterms:created xsi:type="dcterms:W3CDTF">2015-12-17T01:31:00Z</dcterms:created>
  <dcterms:modified xsi:type="dcterms:W3CDTF">2015-12-17T01:31:00Z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Class">
    <vt:lpwstr>DOC</vt:lpwstr>
  </property>
  <property fmtid="{D5CDD505-2E9C-101B-9397-08002B2CF9AE}" pid="3" name="wsDatabase">
    <vt:lpwstr>National</vt:lpwstr>
  </property>
  <property fmtid="{D5CDD505-2E9C-101B-9397-08002B2CF9AE}" pid="4" name="wsDescription">
    <vt:lpwstr>2015.12.17 Gazette Template NOI</vt:lpwstr>
  </property>
  <property fmtid="{D5CDD505-2E9C-101B-9397-08002B2CF9AE}" pid="5" name="wsDocNum">
    <vt:lpwstr>28137717</vt:lpwstr>
  </property>
  <property fmtid="{D5CDD505-2E9C-101B-9397-08002B2CF9AE}" pid="6" name="wsVersion">
    <vt:lpwstr>1</vt:lpwstr>
  </property>
  <property fmtid="{D5CDD505-2E9C-101B-9397-08002B2CF9AE}" pid="7" name="wsAuthor">
    <vt:lpwstr>SROBERTSON</vt:lpwstr>
  </property>
  <property fmtid="{D5CDD505-2E9C-101B-9397-08002B2CF9AE}" pid="8" name="wsOperator">
    <vt:lpwstr>SROBERTSON</vt:lpwstr>
  </property>
  <property fmtid="{D5CDD505-2E9C-101B-9397-08002B2CF9AE}" pid="9" name="wsClient">
    <vt:lpwstr>600631</vt:lpwstr>
  </property>
  <property fmtid="{D5CDD505-2E9C-101B-9397-08002B2CF9AE}" pid="10" name="wsClientDesc">
    <vt:lpwstr>QBE Insurance (Australia) Ltd</vt:lpwstr>
  </property>
  <property fmtid="{D5CDD505-2E9C-101B-9397-08002B2CF9AE}" pid="11" name="wsMatter">
    <vt:lpwstr>4217640</vt:lpwstr>
  </property>
  <property fmtid="{D5CDD505-2E9C-101B-9397-08002B2CF9AE}" pid="12" name="wsMatterDesc">
    <vt:lpwstr>Transfer of Norfolk Island and Sydney Re Portfolios</vt:lpwstr>
  </property>
  <property fmtid="{D5CDD505-2E9C-101B-9397-08002B2CF9AE}" pid="13" name="wsDocOpenLocation">
    <vt:lpwstr>\!n:0:!s:DAS-DMS:!d:National:!p:2384648:*{}||\!n:0:!s:DAS-DMS:!d:National:!f:o,2384651:\!n:0:!s:DAS-DMS:!d:National:!f:o,2413098:\!n:0:!s:DAS-DMS:!d:National:!f:o,2415734:</vt:lpwstr>
  </property>
  <property fmtid="{D5CDD505-2E9C-101B-9397-08002B2CF9AE}" pid="14" name="wsFooter">
    <vt:lpwstr>28137717 v1 National</vt:lpwstr>
  </property>
</Properties>
</file>