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91C" w:rsidRDefault="00F41D3F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1752600" cy="933450"/>
            <wp:effectExtent l="0" t="0" r="0" b="0"/>
            <wp:docPr id="1" name="Picture 1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91C" w:rsidRDefault="0009291C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:rsidR="0009291C" w:rsidRDefault="00F41D3F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</w:p>
    <w:p w:rsidR="0009291C" w:rsidRDefault="00F41D3F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:rsidR="0009291C" w:rsidRDefault="00F41D3F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:rsidR="0009291C" w:rsidRDefault="00F41D3F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Repatriation Medical Authority (the Authority) gives notice under section 196G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 xml:space="preserve"> (the VEA) that, pursuant to subsection 196B(7A) of the VEA, it intends to carry out an investigation in respect of </w:t>
      </w:r>
      <w:r w:rsidR="00B40D90" w:rsidRPr="00B40D90">
        <w:rPr>
          <w:rFonts w:ascii="Times New Roman" w:hAnsi="Times New Roman"/>
          <w:b/>
        </w:rPr>
        <w:t>benzene</w:t>
      </w:r>
      <w:r>
        <w:rPr>
          <w:rFonts w:ascii="Times New Roman" w:hAnsi="Times New Roman"/>
        </w:rPr>
        <w:t xml:space="preserve"> </w:t>
      </w:r>
      <w:r w:rsidR="00094B51">
        <w:rPr>
          <w:rFonts w:ascii="Times New Roman" w:hAnsi="Times New Roman"/>
        </w:rPr>
        <w:t xml:space="preserve">in the following </w:t>
      </w:r>
      <w:r w:rsidR="00B13783">
        <w:rPr>
          <w:rFonts w:ascii="Times New Roman" w:hAnsi="Times New Roman"/>
        </w:rPr>
        <w:t>Statements of Principles</w:t>
      </w:r>
      <w:r w:rsidR="00094B51">
        <w:rPr>
          <w:rFonts w:ascii="Times New Roman" w:hAnsi="Times New Roman"/>
        </w:rPr>
        <w:t>:</w:t>
      </w:r>
    </w:p>
    <w:p w:rsidR="000D3C53" w:rsidRPr="00B13783" w:rsidRDefault="000D3C53" w:rsidP="000D3C53">
      <w:pPr>
        <w:tabs>
          <w:tab w:val="left" w:pos="4395"/>
        </w:tabs>
        <w:spacing w:after="0"/>
        <w:ind w:left="426"/>
        <w:rPr>
          <w:rFonts w:ascii="Arial" w:hAnsi="Arial" w:cs="Arial"/>
          <w:b/>
          <w:sz w:val="20"/>
          <w:szCs w:val="20"/>
        </w:rPr>
      </w:pPr>
      <w:bookmarkStart w:id="1" w:name="OLE_LINK3"/>
      <w:bookmarkStart w:id="2" w:name="OLE_LINK4"/>
      <w:r w:rsidRPr="00B13783">
        <w:rPr>
          <w:rFonts w:ascii="Arial" w:hAnsi="Arial" w:cs="Arial"/>
          <w:b/>
          <w:sz w:val="20"/>
          <w:szCs w:val="20"/>
        </w:rPr>
        <w:t>Condition:</w:t>
      </w:r>
      <w:r w:rsidRPr="00B13783">
        <w:rPr>
          <w:rFonts w:ascii="Arial" w:hAnsi="Arial" w:cs="Arial"/>
          <w:b/>
          <w:sz w:val="20"/>
          <w:szCs w:val="20"/>
        </w:rPr>
        <w:tab/>
        <w:t>Instrument Nos.:</w:t>
      </w:r>
    </w:p>
    <w:tbl>
      <w:tblPr>
        <w:tblStyle w:val="TableGrid"/>
        <w:tblW w:w="946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6"/>
        <w:gridCol w:w="5298"/>
      </w:tblGrid>
      <w:tr w:rsidR="003E509C" w:rsidTr="00756A78">
        <w:trPr>
          <w:jc w:val="center"/>
        </w:trPr>
        <w:tc>
          <w:tcPr>
            <w:tcW w:w="4166" w:type="dxa"/>
            <w:tcBorders>
              <w:top w:val="single" w:sz="4" w:space="0" w:color="auto"/>
            </w:tcBorders>
          </w:tcPr>
          <w:p w:rsidR="003E509C" w:rsidRPr="000F2438" w:rsidRDefault="003E509C" w:rsidP="003E509C">
            <w:pPr>
              <w:spacing w:after="0"/>
            </w:pPr>
            <w:r>
              <w:t>acute myeloid leukaemia</w:t>
            </w:r>
          </w:p>
        </w:tc>
        <w:tc>
          <w:tcPr>
            <w:tcW w:w="5298" w:type="dxa"/>
            <w:tcBorders>
              <w:top w:val="single" w:sz="4" w:space="0" w:color="auto"/>
            </w:tcBorders>
          </w:tcPr>
          <w:p w:rsidR="003E509C" w:rsidRPr="000F2438" w:rsidRDefault="003E509C" w:rsidP="00D3562B">
            <w:pPr>
              <w:spacing w:after="0" w:line="360" w:lineRule="auto"/>
              <w:ind w:left="34"/>
            </w:pPr>
            <w:r>
              <w:t>71 &amp; 72 of 2015</w:t>
            </w:r>
          </w:p>
        </w:tc>
      </w:tr>
      <w:tr w:rsidR="000D3C53" w:rsidTr="002645AC">
        <w:trPr>
          <w:jc w:val="center"/>
        </w:trPr>
        <w:tc>
          <w:tcPr>
            <w:tcW w:w="4166" w:type="dxa"/>
          </w:tcPr>
          <w:p w:rsidR="000D3C53" w:rsidRDefault="00CF6E80" w:rsidP="003E509C">
            <w:pPr>
              <w:spacing w:after="0"/>
            </w:pPr>
            <w:r>
              <w:t>myelodysplastic syndrome</w:t>
            </w:r>
          </w:p>
        </w:tc>
        <w:tc>
          <w:tcPr>
            <w:tcW w:w="5298" w:type="dxa"/>
          </w:tcPr>
          <w:p w:rsidR="000D3C53" w:rsidRDefault="00CF6E80" w:rsidP="00D3562B">
            <w:pPr>
              <w:spacing w:after="0" w:line="360" w:lineRule="auto"/>
              <w:ind w:left="34"/>
            </w:pPr>
            <w:r>
              <w:t>73 &amp; 74 of 2015</w:t>
            </w:r>
          </w:p>
        </w:tc>
      </w:tr>
    </w:tbl>
    <w:bookmarkEnd w:id="1"/>
    <w:bookmarkEnd w:id="2"/>
    <w:p w:rsidR="0009291C" w:rsidRDefault="00F41D3F" w:rsidP="00FE2E82">
      <w:pPr>
        <w:spacing w:before="24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Authority invites the following persons and organisations to make written submissions to the Authority in respect of the investigation:</w:t>
      </w:r>
    </w:p>
    <w:p w:rsidR="0009291C" w:rsidRDefault="00F41D3F" w:rsidP="00B13783">
      <w:pPr>
        <w:spacing w:after="10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pension under Part II or Part IV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>;</w:t>
      </w:r>
    </w:p>
    <w:p w:rsidR="0009291C" w:rsidRDefault="00F41D3F" w:rsidP="00B13783">
      <w:pPr>
        <w:spacing w:after="10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:rsidR="0009291C" w:rsidRDefault="00F41D3F" w:rsidP="00B13783">
      <w:pPr>
        <w:spacing w:after="10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:rsidR="0009291C" w:rsidRDefault="00F41D3F" w:rsidP="00B13783">
      <w:pPr>
        <w:spacing w:after="10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the Repatriation Commission or the Military Rehabilitation and Compensation Commission; and</w:t>
      </w:r>
    </w:p>
    <w:p w:rsidR="0009291C" w:rsidRDefault="00F41D3F" w:rsidP="00FE2E82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 person having expertise in a field relevant to the investigation.</w:t>
      </w:r>
    </w:p>
    <w:p w:rsidR="0009291C" w:rsidRDefault="00F41D3F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will hold its first meeting for the purposes of this investigation on </w:t>
      </w:r>
      <w:r w:rsidR="00AA22D1">
        <w:rPr>
          <w:rFonts w:ascii="Times New Roman" w:hAnsi="Times New Roman"/>
          <w:b/>
        </w:rPr>
        <w:t>9</w:t>
      </w:r>
      <w:r w:rsidR="00CF6E80">
        <w:rPr>
          <w:rFonts w:ascii="Times New Roman" w:hAnsi="Times New Roman"/>
          <w:b/>
        </w:rPr>
        <w:t xml:space="preserve"> February 2016</w:t>
      </w:r>
      <w:r>
        <w:rPr>
          <w:rFonts w:ascii="Times New Roman" w:hAnsi="Times New Roman"/>
        </w:rPr>
        <w:t>.</w:t>
      </w:r>
    </w:p>
    <w:p w:rsidR="0009291C" w:rsidRDefault="00F41D3F">
      <w:pPr>
        <w:spacing w:after="12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Persons and organisations wishing to make a submission should obtain a copy of the </w:t>
      </w:r>
      <w:r>
        <w:rPr>
          <w:rFonts w:ascii="Times New Roman" w:hAnsi="Times New Roman"/>
          <w:i/>
        </w:rPr>
        <w:t>RMA Submission Guidelines</w:t>
      </w:r>
      <w:r>
        <w:rPr>
          <w:rFonts w:ascii="Times New Roman" w:hAnsi="Times New Roman"/>
        </w:rPr>
        <w:t xml:space="preserve"> from the RMA website [</w:t>
      </w:r>
      <w:r>
        <w:rPr>
          <w:rFonts w:ascii="Times New Roman" w:hAnsi="Times New Roman"/>
          <w:b/>
          <w:i/>
        </w:rPr>
        <w:t>www.rma.gov.au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or by contacting the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RMA Secretariat at the address or telephone number below.</w:t>
      </w:r>
    </w:p>
    <w:p w:rsidR="0009291C" w:rsidRDefault="00F41D3F" w:rsidP="00E8110B">
      <w:pPr>
        <w:spacing w:after="1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submissions must be in writing and received by the Authority at the address below no later than </w:t>
      </w:r>
      <w:r w:rsidR="00CF6E80">
        <w:rPr>
          <w:rFonts w:ascii="Times New Roman" w:hAnsi="Times New Roman"/>
          <w:b/>
        </w:rPr>
        <w:t>2</w:t>
      </w:r>
      <w:r w:rsidR="00AA22D1">
        <w:rPr>
          <w:rFonts w:ascii="Times New Roman" w:hAnsi="Times New Roman"/>
          <w:b/>
        </w:rPr>
        <w:t>2</w:t>
      </w:r>
      <w:r w:rsidR="00120CB1">
        <w:rPr>
          <w:rFonts w:ascii="Times New Roman" w:hAnsi="Times New Roman"/>
          <w:b/>
        </w:rPr>
        <w:t> </w:t>
      </w:r>
      <w:r w:rsidR="00CF6E80">
        <w:rPr>
          <w:rFonts w:ascii="Times New Roman" w:hAnsi="Times New Roman"/>
          <w:b/>
        </w:rPr>
        <w:t>January </w:t>
      </w:r>
      <w:r w:rsidR="00120CB1">
        <w:rPr>
          <w:rFonts w:ascii="Times New Roman" w:hAnsi="Times New Roman"/>
          <w:b/>
        </w:rPr>
        <w:t>201</w:t>
      </w:r>
      <w:r w:rsidR="003E509C"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>.</w:t>
      </w:r>
    </w:p>
    <w:p w:rsidR="00AA22D1" w:rsidRDefault="00AA22D1" w:rsidP="00E8110B">
      <w:pPr>
        <w:spacing w:after="180" w:line="240" w:lineRule="auto"/>
        <w:jc w:val="both"/>
        <w:rPr>
          <w:rFonts w:ascii="Times New Roman" w:hAnsi="Times New Roman"/>
          <w:b/>
        </w:rPr>
      </w:pPr>
    </w:p>
    <w:p w:rsidR="0009291C" w:rsidRDefault="00F41D3F" w:rsidP="00B13783">
      <w:pPr>
        <w:spacing w:after="8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A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60325</wp:posOffset>
            </wp:positionV>
            <wp:extent cx="1874520" cy="405130"/>
            <wp:effectExtent l="0" t="0" r="4445" b="0"/>
            <wp:wrapTight wrapText="bothSides">
              <wp:wrapPolygon edited="0">
                <wp:start x="0" y="0"/>
                <wp:lineTo x="0" y="20083"/>
                <wp:lineTo x="21379" y="20083"/>
                <wp:lineTo x="21379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>The Common Seal of the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)</w:t>
      </w:r>
    </w:p>
    <w:p w:rsidR="0009291C" w:rsidRDefault="00F41D3F" w:rsidP="00B13783">
      <w:pPr>
        <w:spacing w:after="8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Repatriation Medical Authority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)</w:t>
      </w:r>
    </w:p>
    <w:p w:rsidR="0009291C" w:rsidRDefault="00F41D3F" w:rsidP="00B13783">
      <w:pPr>
        <w:spacing w:after="8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was affixed at the direction of: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)</w:t>
      </w:r>
    </w:p>
    <w:p w:rsidR="0009291C" w:rsidRDefault="00F41D3F">
      <w:pPr>
        <w:spacing w:after="120"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PROFESSOR NICHOLAS SAUNDERS AO</w:t>
      </w:r>
    </w:p>
    <w:p w:rsidR="0009291C" w:rsidRDefault="00F41D3F">
      <w:pPr>
        <w:spacing w:after="120"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CHAIRPERSON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AA22D1">
        <w:rPr>
          <w:rFonts w:ascii="Times New Roman" w:hAnsi="Times New Roman"/>
        </w:rPr>
        <w:t>4</w:t>
      </w:r>
      <w:r w:rsidR="003E50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/ </w:t>
      </w:r>
      <w:r w:rsidR="003E509C">
        <w:rPr>
          <w:rFonts w:ascii="Times New Roman" w:hAnsi="Times New Roman"/>
        </w:rPr>
        <w:t>12</w:t>
      </w:r>
      <w:r w:rsidR="00120C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</w:t>
      </w:r>
      <w:r w:rsidR="00120CB1">
        <w:rPr>
          <w:rFonts w:ascii="Times New Roman" w:hAnsi="Times New Roman"/>
        </w:rPr>
        <w:t>2015</w:t>
      </w:r>
    </w:p>
    <w:sectPr w:rsidR="0009291C">
      <w:headerReference w:type="first" r:id="rId8"/>
      <w:foot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91C" w:rsidRDefault="00F41D3F">
      <w:pPr>
        <w:spacing w:after="0" w:line="240" w:lineRule="auto"/>
      </w:pPr>
      <w:r>
        <w:separator/>
      </w:r>
    </w:p>
  </w:endnote>
  <w:endnote w:type="continuationSeparator" w:id="0">
    <w:p w:rsidR="0009291C" w:rsidRDefault="00F4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91C" w:rsidRDefault="00F41D3F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The Repatriation Medical Authority</w:t>
    </w:r>
  </w:p>
  <w:p w:rsidR="0009291C" w:rsidRDefault="00F41D3F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8</w:t>
    </w:r>
    <w:r>
      <w:rPr>
        <w:rFonts w:ascii="Times New Roman" w:hAnsi="Times New Roman"/>
        <w:b/>
        <w:i/>
        <w:sz w:val="20"/>
        <w:szCs w:val="20"/>
        <w:vertAlign w:val="superscript"/>
      </w:rPr>
      <w:t>th</w:t>
    </w:r>
    <w:r>
      <w:rPr>
        <w:rFonts w:ascii="Times New Roman" w:hAnsi="Times New Roman"/>
        <w:b/>
        <w:i/>
        <w:sz w:val="20"/>
        <w:szCs w:val="20"/>
      </w:rPr>
      <w:t xml:space="preserve"> Floor, </w:t>
    </w:r>
    <w:smartTag w:uri="urn:schemas-microsoft-com:office:smarttags" w:element="address">
      <w:smartTag w:uri="urn:schemas-microsoft-com:office:smarttags" w:element="Street">
        <w:r>
          <w:rPr>
            <w:rFonts w:ascii="Times New Roman" w:hAnsi="Times New Roman"/>
            <w:b/>
            <w:i/>
            <w:sz w:val="20"/>
            <w:szCs w:val="20"/>
          </w:rPr>
          <w:t>259 Queen Street</w:t>
        </w:r>
      </w:smartTag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b/>
            <w:i/>
            <w:sz w:val="20"/>
            <w:szCs w:val="20"/>
          </w:rPr>
          <w:t>BRISBANE</w:t>
        </w:r>
      </w:smartTag>
    </w:smartTag>
    <w:r>
      <w:rPr>
        <w:rFonts w:ascii="Times New Roman" w:hAnsi="Times New Roman"/>
        <w:b/>
        <w:i/>
        <w:sz w:val="20"/>
        <w:szCs w:val="20"/>
      </w:rPr>
      <w:t>,  QLD  4000</w:t>
    </w:r>
  </w:p>
  <w:p w:rsidR="0009291C" w:rsidRDefault="00F41D3F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 xml:space="preserve">[GPO </w:t>
    </w:r>
    <w:smartTag w:uri="urn:schemas-microsoft-com:office:smarttags" w:element="address">
      <w:smartTag w:uri="urn:schemas-microsoft-com:office:smarttags" w:element="Street">
        <w:r>
          <w:rPr>
            <w:rFonts w:ascii="Times New Roman" w:hAnsi="Times New Roman"/>
            <w:b/>
            <w:i/>
            <w:sz w:val="20"/>
            <w:szCs w:val="20"/>
          </w:rPr>
          <w:t>Box 1014</w:t>
        </w:r>
      </w:smartTag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b/>
            <w:i/>
            <w:sz w:val="20"/>
            <w:szCs w:val="20"/>
          </w:rPr>
          <w:t>Brisbane</w:t>
        </w:r>
      </w:smartTag>
    </w:smartTag>
    <w:r>
      <w:rPr>
        <w:rFonts w:ascii="Times New Roman" w:hAnsi="Times New Roman"/>
        <w:b/>
        <w:i/>
        <w:sz w:val="20"/>
        <w:szCs w:val="20"/>
      </w:rPr>
      <w:t>, Qld 4001] – Telephone: (07) 3815 9404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91C" w:rsidRDefault="00F41D3F">
      <w:pPr>
        <w:spacing w:after="0" w:line="240" w:lineRule="auto"/>
      </w:pPr>
      <w:r>
        <w:separator/>
      </w:r>
    </w:p>
  </w:footnote>
  <w:footnote w:type="continuationSeparator" w:id="0">
    <w:p w:rsidR="0009291C" w:rsidRDefault="00F4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9291C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9291C" w:rsidRDefault="00F41D3F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3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676275" cy="54292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9291C" w:rsidRDefault="00F41D3F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9291C" w:rsidRDefault="00F41D3F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9291C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09291C" w:rsidRDefault="00F41D3F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4" w:name="GazNo"/>
          <w:bookmarkEnd w:id="4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09291C" w:rsidRDefault="00F41D3F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3"/>
  </w:tbl>
  <w:p w:rsidR="0009291C" w:rsidRDefault="0009291C">
    <w:pPr>
      <w:pStyle w:val="Header"/>
      <w:rPr>
        <w:sz w:val="2"/>
        <w:szCs w:val="2"/>
      </w:rPr>
    </w:pPr>
  </w:p>
  <w:p w:rsidR="0009291C" w:rsidRDefault="0009291C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3F"/>
    <w:rsid w:val="0009291C"/>
    <w:rsid w:val="00094B51"/>
    <w:rsid w:val="000D3C53"/>
    <w:rsid w:val="000F2438"/>
    <w:rsid w:val="00120CB1"/>
    <w:rsid w:val="00201CA6"/>
    <w:rsid w:val="003E509C"/>
    <w:rsid w:val="00447C47"/>
    <w:rsid w:val="004E0182"/>
    <w:rsid w:val="00590668"/>
    <w:rsid w:val="00643D2D"/>
    <w:rsid w:val="00756A78"/>
    <w:rsid w:val="00822B09"/>
    <w:rsid w:val="00836738"/>
    <w:rsid w:val="008452A0"/>
    <w:rsid w:val="00A271B5"/>
    <w:rsid w:val="00AA22D1"/>
    <w:rsid w:val="00B13783"/>
    <w:rsid w:val="00B40D90"/>
    <w:rsid w:val="00CE241C"/>
    <w:rsid w:val="00CF6E80"/>
    <w:rsid w:val="00D3562B"/>
    <w:rsid w:val="00E8110B"/>
    <w:rsid w:val="00F41D3F"/>
    <w:rsid w:val="00F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Pr>
      <w:rFonts w:cs="Times New Roman"/>
    </w:rPr>
  </w:style>
  <w:style w:type="table" w:styleId="TableGrid">
    <w:name w:val="Table Grid"/>
    <w:basedOn w:val="TableNormal"/>
    <w:locked/>
    <w:rsid w:val="00094B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2015-12-02T06:44:00Z</dcterms:created>
  <dcterms:modified xsi:type="dcterms:W3CDTF">2015-12-04T00:02:00Z</dcterms:modified>
</cp:coreProperties>
</file>