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997" w:rsidRPr="00807DD9" w:rsidRDefault="00E47997" w:rsidP="00E47997">
      <w:pPr>
        <w:spacing w:before="120"/>
        <w:jc w:val="center"/>
        <w:rPr>
          <w:b/>
          <w:i/>
        </w:rPr>
      </w:pPr>
      <w:r w:rsidRPr="00807DD9">
        <w:rPr>
          <w:b/>
          <w:i/>
        </w:rPr>
        <w:t xml:space="preserve">Safety, Rehabilitation and Compensation Act 1988 </w:t>
      </w:r>
    </w:p>
    <w:p w:rsidR="00E47997" w:rsidRPr="00807DD9" w:rsidRDefault="00E47997" w:rsidP="00E47997">
      <w:pPr>
        <w:spacing w:before="120"/>
        <w:jc w:val="center"/>
        <w:rPr>
          <w:b/>
          <w:i/>
        </w:rPr>
      </w:pPr>
      <w:r w:rsidRPr="00807DD9">
        <w:rPr>
          <w:b/>
          <w:i/>
        </w:rPr>
        <w:t>Part VIII</w:t>
      </w:r>
      <w:r w:rsidRPr="00807DD9">
        <w:rPr>
          <w:b/>
          <w:i/>
        </w:rPr>
        <w:br/>
      </w:r>
    </w:p>
    <w:p w:rsidR="00E47997" w:rsidRPr="00807DD9" w:rsidRDefault="00E47997" w:rsidP="00E47997">
      <w:pPr>
        <w:jc w:val="center"/>
        <w:rPr>
          <w:b/>
        </w:rPr>
      </w:pPr>
    </w:p>
    <w:p w:rsidR="00E47997" w:rsidRPr="00807DD9" w:rsidRDefault="00E47997" w:rsidP="00E47997">
      <w:pPr>
        <w:ind w:left="153"/>
        <w:jc w:val="center"/>
        <w:rPr>
          <w:b/>
        </w:rPr>
      </w:pPr>
      <w:r w:rsidRPr="00807DD9">
        <w:rPr>
          <w:b/>
        </w:rPr>
        <w:t xml:space="preserve">COMMONWEALTH BANK of AUSTRALIA </w:t>
      </w:r>
    </w:p>
    <w:p w:rsidR="00E47997" w:rsidRPr="00807DD9" w:rsidRDefault="00E47997" w:rsidP="00E47997">
      <w:pPr>
        <w:ind w:left="153"/>
        <w:jc w:val="center"/>
        <w:rPr>
          <w:b/>
          <w:sz w:val="16"/>
          <w:szCs w:val="16"/>
        </w:rPr>
      </w:pPr>
    </w:p>
    <w:p w:rsidR="00E47997" w:rsidRPr="00807DD9" w:rsidRDefault="00E47997" w:rsidP="00E47997">
      <w:pPr>
        <w:spacing w:before="120"/>
        <w:ind w:left="153"/>
        <w:jc w:val="center"/>
        <w:rPr>
          <w:b/>
          <w:i/>
        </w:rPr>
      </w:pPr>
      <w:r w:rsidRPr="00807DD9">
        <w:rPr>
          <w:b/>
        </w:rPr>
        <w:t>NOTICE OF EXTENSION AND VARIATION OF LICENCE</w:t>
      </w:r>
    </w:p>
    <w:p w:rsidR="00E47997" w:rsidRPr="00807DD9" w:rsidRDefault="00E47997" w:rsidP="00E47997">
      <w:pPr>
        <w:ind w:left="153"/>
        <w:jc w:val="center"/>
      </w:pPr>
    </w:p>
    <w:p w:rsidR="00E47997" w:rsidRPr="00807DD9" w:rsidRDefault="00E47997" w:rsidP="00E47997">
      <w:pPr>
        <w:jc w:val="center"/>
        <w:rPr>
          <w:b/>
        </w:rPr>
      </w:pPr>
      <w:r w:rsidRPr="00807DD9">
        <w:rPr>
          <w:b/>
        </w:rPr>
        <w:t>Notice No 16 of 2015</w:t>
      </w:r>
    </w:p>
    <w:p w:rsidR="00E47997" w:rsidRPr="00807DD9" w:rsidRDefault="00E47997" w:rsidP="00E47997">
      <w:pPr>
        <w:rPr>
          <w:b/>
          <w:sz w:val="26"/>
          <w:szCs w:val="26"/>
        </w:rPr>
      </w:pPr>
      <w:bookmarkStart w:id="0" w:name="_Toc4400157"/>
    </w:p>
    <w:p w:rsidR="00E47997" w:rsidRPr="00807DD9" w:rsidRDefault="00E47997" w:rsidP="00E47997"/>
    <w:p w:rsidR="00E47997" w:rsidRPr="00807DD9" w:rsidRDefault="00E47997" w:rsidP="00E47997">
      <w:r w:rsidRPr="00807DD9">
        <w:t xml:space="preserve">Commonwealth Bank of Australia, ABN 48 123 123 124 (“the Licensee”), was declared to be eligible to be granted a licence under Part VIII of the </w:t>
      </w:r>
      <w:r w:rsidRPr="00807DD9">
        <w:rPr>
          <w:i/>
        </w:rPr>
        <w:t xml:space="preserve">Safety, Rehabilitation and Compensation Act 1988 </w:t>
      </w:r>
      <w:r w:rsidRPr="00807DD9">
        <w:t xml:space="preserve">(“the SRC Act”) by legislative instrument dated 16 October 2007, registered as </w:t>
      </w:r>
      <w:r w:rsidRPr="00807DD9">
        <w:rPr>
          <w:snapToGrid w:val="0"/>
        </w:rPr>
        <w:t>F2007L04165</w:t>
      </w:r>
      <w:r w:rsidRPr="00807DD9">
        <w:t xml:space="preserve"> on the Federal Register of Legislative Instruments on 23 October 2007.</w:t>
      </w:r>
    </w:p>
    <w:p w:rsidR="00E47997" w:rsidRPr="00807DD9" w:rsidRDefault="00E47997" w:rsidP="00E47997"/>
    <w:p w:rsidR="00E47997" w:rsidRPr="00807DD9" w:rsidRDefault="00E47997" w:rsidP="00E47997">
      <w:r w:rsidRPr="00807DD9">
        <w:t>The Safety, Rehabilitation and Compensation Commission (“the Commission”), acting under sections 103 and 104 of the SRC Act, granted a licence to Commonwealth Bank of Australia on 19 March 2008 with a commencement date of 31 March 2008 at 12.01am (Australian Eastern Daylight Time) and a cessation date of midnight (Australian Eastern Standard Time) on 30 June 2010.</w:t>
      </w:r>
    </w:p>
    <w:p w:rsidR="00E47997" w:rsidRPr="00807DD9" w:rsidRDefault="00E47997" w:rsidP="00E47997"/>
    <w:p w:rsidR="00E47997" w:rsidRPr="00807DD9" w:rsidRDefault="00E47997" w:rsidP="00E47997">
      <w:r w:rsidRPr="00807DD9">
        <w:t>This grant was notified by Notice No. 1 of 2008 in Commonwealth Gazette No. S61 on 27 March 2008.</w:t>
      </w:r>
    </w:p>
    <w:p w:rsidR="00E47997" w:rsidRPr="00807DD9" w:rsidRDefault="00E47997" w:rsidP="00E47997"/>
    <w:p w:rsidR="00E47997" w:rsidRPr="00807DD9" w:rsidRDefault="00E47997" w:rsidP="00E47997">
      <w:r w:rsidRPr="00807DD9">
        <w:t>The Licence was subsequently extended and/or varied by the Commission on:</w:t>
      </w:r>
    </w:p>
    <w:p w:rsidR="00E47997" w:rsidRPr="00807DD9" w:rsidRDefault="00E47997" w:rsidP="00E47997"/>
    <w:p w:rsidR="00E47997" w:rsidRPr="00807DD9" w:rsidRDefault="00E47997" w:rsidP="00E47997">
      <w:pPr>
        <w:numPr>
          <w:ilvl w:val="0"/>
          <w:numId w:val="32"/>
        </w:numPr>
      </w:pPr>
      <w:r w:rsidRPr="00807DD9">
        <w:t>18 June 2008, as notified by Notice No. 17 of 2008 in the Commonwealth Gazette No. GN25 on 25 June 2008; and</w:t>
      </w:r>
    </w:p>
    <w:p w:rsidR="00E47997" w:rsidRPr="00807DD9" w:rsidRDefault="00E47997" w:rsidP="00E47997">
      <w:pPr>
        <w:numPr>
          <w:ilvl w:val="0"/>
          <w:numId w:val="32"/>
        </w:numPr>
      </w:pPr>
      <w:r w:rsidRPr="00807DD9">
        <w:t>23 March 2010, as notified by Notice No. 1 of 2010 in the Commonwealth Gazette No. GN12 on 31 March 2010.</w:t>
      </w:r>
    </w:p>
    <w:p w:rsidR="00E47997" w:rsidRPr="00807DD9" w:rsidRDefault="00E47997" w:rsidP="00E47997">
      <w:pPr>
        <w:numPr>
          <w:ilvl w:val="0"/>
          <w:numId w:val="32"/>
        </w:numPr>
      </w:pPr>
      <w:r w:rsidRPr="00807DD9">
        <w:t>12 June 2014, as notified by Notice No. 9 of 2014, Gazette reference number C2014G01053, published on 1 July 2014.</w:t>
      </w:r>
    </w:p>
    <w:p w:rsidR="00E47997" w:rsidRPr="00807DD9" w:rsidRDefault="00E47997" w:rsidP="00E47997">
      <w:pPr>
        <w:tabs>
          <w:tab w:val="center" w:pos="4513"/>
          <w:tab w:val="right" w:pos="9027"/>
        </w:tabs>
      </w:pPr>
    </w:p>
    <w:p w:rsidR="00E47997" w:rsidRPr="00807DD9" w:rsidRDefault="00E47997" w:rsidP="00E47997">
      <w:pPr>
        <w:tabs>
          <w:tab w:val="center" w:pos="4513"/>
          <w:tab w:val="right" w:pos="9027"/>
        </w:tabs>
      </w:pPr>
      <w:r w:rsidRPr="00807DD9">
        <w:t>Prior to this extension, the Licence had a cessation time and date of midnight (Australian Eastern Standard Time) on 30 June 2018.</w:t>
      </w:r>
    </w:p>
    <w:p w:rsidR="00E47997" w:rsidRPr="00807DD9" w:rsidRDefault="00E47997" w:rsidP="00E47997">
      <w:pPr>
        <w:tabs>
          <w:tab w:val="center" w:pos="4513"/>
          <w:tab w:val="right" w:pos="9027"/>
        </w:tabs>
      </w:pPr>
    </w:p>
    <w:p w:rsidR="00E47997" w:rsidRPr="00807DD9" w:rsidRDefault="00E47997" w:rsidP="00E47997">
      <w:pPr>
        <w:tabs>
          <w:tab w:val="center" w:pos="4513"/>
          <w:tab w:val="right" w:pos="9027"/>
        </w:tabs>
      </w:pPr>
      <w:r w:rsidRPr="00807DD9">
        <w:t xml:space="preserve">The Commission, acting under subsection 105(1) of the SRC Act, extends the term of the abovementioned Licence for the period commencing 1 July 2018 at 12:01am (Australian Eastern Standard Time) and a cessation time of midnight (Australian Eastern Standard Time) on 30 June 2022. </w:t>
      </w:r>
    </w:p>
    <w:p w:rsidR="00E47997" w:rsidRPr="00807DD9" w:rsidRDefault="00E47997" w:rsidP="00E47997">
      <w:pPr>
        <w:tabs>
          <w:tab w:val="center" w:pos="4513"/>
          <w:tab w:val="right" w:pos="9027"/>
        </w:tabs>
      </w:pPr>
    </w:p>
    <w:p w:rsidR="00E47997" w:rsidRPr="00807DD9" w:rsidRDefault="00E47997" w:rsidP="00E47997">
      <w:pPr>
        <w:tabs>
          <w:tab w:val="center" w:pos="4513"/>
          <w:tab w:val="right" w:pos="9027"/>
        </w:tabs>
        <w:rPr>
          <w:lang w:val="en-US"/>
        </w:rPr>
      </w:pPr>
      <w:r w:rsidRPr="00807DD9">
        <w:rPr>
          <w:lang w:val="en-US"/>
        </w:rPr>
        <w:t xml:space="preserve">The Commission, acting under subsection </w:t>
      </w:r>
      <w:proofErr w:type="gramStart"/>
      <w:r w:rsidRPr="00807DD9">
        <w:rPr>
          <w:lang w:val="en-US"/>
        </w:rPr>
        <w:t>108D(</w:t>
      </w:r>
      <w:proofErr w:type="gramEnd"/>
      <w:r w:rsidRPr="00807DD9">
        <w:rPr>
          <w:lang w:val="en-US"/>
        </w:rPr>
        <w:t>2) of the SRC Act, varies the conditions of the abovementioned Licence as set out below.</w:t>
      </w:r>
    </w:p>
    <w:p w:rsidR="00E47997" w:rsidRPr="00807DD9" w:rsidRDefault="00E47997" w:rsidP="00E47997">
      <w:pPr>
        <w:tabs>
          <w:tab w:val="center" w:pos="4513"/>
          <w:tab w:val="right" w:pos="9027"/>
        </w:tabs>
      </w:pPr>
    </w:p>
    <w:p w:rsidR="008D51C1" w:rsidRDefault="008D51C1" w:rsidP="00E47997">
      <w:pPr>
        <w:tabs>
          <w:tab w:val="center" w:pos="4513"/>
          <w:tab w:val="right" w:pos="9027"/>
        </w:tabs>
        <w:sectPr w:rsidR="008D51C1" w:rsidSect="008D51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8" w:right="1418" w:bottom="993" w:left="1418" w:header="709" w:footer="709" w:gutter="0"/>
          <w:cols w:space="708"/>
          <w:docGrid w:linePitch="360"/>
        </w:sectPr>
      </w:pPr>
    </w:p>
    <w:p w:rsidR="00E47997" w:rsidRPr="00807DD9" w:rsidRDefault="00E47997" w:rsidP="00E47997">
      <w:pPr>
        <w:tabs>
          <w:tab w:val="center" w:pos="4513"/>
          <w:tab w:val="right" w:pos="9027"/>
        </w:tabs>
      </w:pPr>
      <w:r w:rsidRPr="00807DD9">
        <w:lastRenderedPageBreak/>
        <w:t>Prudential Condition 6.1 is replaced by the following.</w:t>
      </w:r>
    </w:p>
    <w:p w:rsidR="00E47997" w:rsidRPr="00807DD9" w:rsidRDefault="00E47997" w:rsidP="00E47997">
      <w:pPr>
        <w:tabs>
          <w:tab w:val="center" w:pos="4513"/>
          <w:tab w:val="right" w:pos="9027"/>
        </w:tabs>
      </w:pPr>
    </w:p>
    <w:p w:rsidR="00E47997" w:rsidRPr="00807DD9" w:rsidRDefault="00E47997" w:rsidP="00E47997">
      <w:pPr>
        <w:tabs>
          <w:tab w:val="left" w:pos="1134"/>
        </w:tabs>
        <w:spacing w:after="200"/>
        <w:ind w:left="426" w:hanging="426"/>
        <w:contextualSpacing/>
        <w:rPr>
          <w:b/>
          <w:bCs/>
          <w:szCs w:val="20"/>
        </w:rPr>
      </w:pPr>
      <w:r w:rsidRPr="00807DD9">
        <w:rPr>
          <w:szCs w:val="20"/>
        </w:rPr>
        <w:t>6.1</w:t>
      </w:r>
      <w:r w:rsidRPr="00807DD9">
        <w:rPr>
          <w:szCs w:val="20"/>
        </w:rPr>
        <w:tab/>
      </w:r>
      <w:r w:rsidRPr="00807DD9">
        <w:rPr>
          <w:szCs w:val="20"/>
        </w:rPr>
        <w:tab/>
        <w:t>The Licensee:</w:t>
      </w:r>
    </w:p>
    <w:p w:rsidR="00E47997" w:rsidRPr="00807DD9" w:rsidRDefault="00E47997" w:rsidP="00E47997">
      <w:pPr>
        <w:ind w:left="360"/>
        <w:contextualSpacing/>
        <w:rPr>
          <w:b/>
          <w:bCs/>
          <w:szCs w:val="20"/>
        </w:rPr>
      </w:pPr>
    </w:p>
    <w:p w:rsidR="00E47997" w:rsidRPr="00807DD9" w:rsidRDefault="00E47997" w:rsidP="00E47997">
      <w:pPr>
        <w:numPr>
          <w:ilvl w:val="0"/>
          <w:numId w:val="23"/>
        </w:numPr>
        <w:tabs>
          <w:tab w:val="left" w:pos="1701"/>
        </w:tabs>
        <w:spacing w:after="200"/>
        <w:ind w:left="1701" w:hanging="567"/>
        <w:contextualSpacing/>
        <w:rPr>
          <w:szCs w:val="20"/>
        </w:rPr>
      </w:pPr>
      <w:r w:rsidRPr="00807DD9">
        <w:rPr>
          <w:szCs w:val="20"/>
        </w:rPr>
        <w:t>must at all times be a party to a Deed of Guarantee and Indemnity in accordance with Prudential Condition 6 of this licence; and</w:t>
      </w:r>
    </w:p>
    <w:p w:rsidR="00E47997" w:rsidRPr="00807DD9" w:rsidRDefault="00E47997" w:rsidP="00E47997">
      <w:pPr>
        <w:numPr>
          <w:ilvl w:val="0"/>
          <w:numId w:val="23"/>
        </w:numPr>
        <w:tabs>
          <w:tab w:val="left" w:pos="1701"/>
        </w:tabs>
        <w:spacing w:after="200"/>
        <w:ind w:left="1701" w:hanging="567"/>
        <w:contextualSpacing/>
        <w:rPr>
          <w:szCs w:val="20"/>
        </w:rPr>
      </w:pPr>
      <w:proofErr w:type="gramStart"/>
      <w:r w:rsidRPr="00807DD9">
        <w:rPr>
          <w:szCs w:val="20"/>
        </w:rPr>
        <w:t>must</w:t>
      </w:r>
      <w:proofErr w:type="gramEnd"/>
      <w:r w:rsidRPr="00807DD9">
        <w:rPr>
          <w:szCs w:val="20"/>
        </w:rPr>
        <w:t xml:space="preserve"> not engage in any act or omission that may compromise the enforceability of the Deed of Guarantee and Indemnity.</w:t>
      </w:r>
    </w:p>
    <w:p w:rsidR="00E47997" w:rsidRPr="00807DD9" w:rsidRDefault="00E47997" w:rsidP="00E47997">
      <w:pPr>
        <w:tabs>
          <w:tab w:val="center" w:pos="4513"/>
          <w:tab w:val="right" w:pos="9027"/>
        </w:tabs>
        <w:ind w:left="360" w:hanging="360"/>
      </w:pPr>
    </w:p>
    <w:p w:rsidR="00E47997" w:rsidRPr="00807DD9" w:rsidRDefault="00E47997" w:rsidP="00E47997">
      <w:pPr>
        <w:tabs>
          <w:tab w:val="center" w:pos="4513"/>
          <w:tab w:val="right" w:pos="9027"/>
        </w:tabs>
        <w:ind w:left="360" w:hanging="360"/>
      </w:pPr>
      <w:r w:rsidRPr="00807DD9">
        <w:t>Prudential Condition 6.2 is replaced by the following.</w:t>
      </w:r>
    </w:p>
    <w:p w:rsidR="00E47997" w:rsidRPr="00807DD9" w:rsidRDefault="00E47997" w:rsidP="00E47997">
      <w:pPr>
        <w:tabs>
          <w:tab w:val="center" w:pos="4513"/>
          <w:tab w:val="right" w:pos="9027"/>
        </w:tabs>
      </w:pPr>
    </w:p>
    <w:p w:rsidR="00E47997" w:rsidRPr="00807DD9" w:rsidRDefault="00E47997" w:rsidP="00E47997">
      <w:pPr>
        <w:tabs>
          <w:tab w:val="left" w:pos="1134"/>
        </w:tabs>
        <w:spacing w:after="200"/>
        <w:ind w:left="1134" w:hanging="1134"/>
        <w:contextualSpacing/>
        <w:rPr>
          <w:b/>
          <w:bCs/>
          <w:szCs w:val="20"/>
        </w:rPr>
      </w:pPr>
      <w:r w:rsidRPr="00807DD9">
        <w:rPr>
          <w:szCs w:val="20"/>
        </w:rPr>
        <w:t>6.2</w:t>
      </w:r>
      <w:r w:rsidRPr="00807DD9">
        <w:rPr>
          <w:szCs w:val="20"/>
        </w:rPr>
        <w:tab/>
        <w:t>In this licence a reference to the Deed of Guarantee and Indemnity is a reference to either:</w:t>
      </w:r>
    </w:p>
    <w:p w:rsidR="00E47997" w:rsidRPr="00807DD9" w:rsidRDefault="00E47997" w:rsidP="00E47997">
      <w:pPr>
        <w:tabs>
          <w:tab w:val="left" w:pos="1134"/>
        </w:tabs>
        <w:spacing w:after="200"/>
        <w:ind w:left="1134"/>
        <w:contextualSpacing/>
        <w:rPr>
          <w:b/>
          <w:bCs/>
          <w:szCs w:val="20"/>
        </w:rPr>
      </w:pPr>
    </w:p>
    <w:p w:rsidR="00E47997" w:rsidRPr="00807DD9" w:rsidRDefault="00E47997" w:rsidP="00E47997">
      <w:pPr>
        <w:numPr>
          <w:ilvl w:val="0"/>
          <w:numId w:val="5"/>
        </w:numPr>
        <w:tabs>
          <w:tab w:val="left" w:pos="1701"/>
        </w:tabs>
        <w:spacing w:after="200"/>
        <w:ind w:left="1701" w:hanging="567"/>
        <w:contextualSpacing/>
        <w:rPr>
          <w:szCs w:val="20"/>
        </w:rPr>
      </w:pPr>
      <w:r w:rsidRPr="00807DD9">
        <w:rPr>
          <w:szCs w:val="20"/>
        </w:rPr>
        <w:t>the Deed of Guarantee and Indemnity given by the Commonwealth Bank of Australia on 26 November 2014 for the benefit of:</w:t>
      </w:r>
    </w:p>
    <w:p w:rsidR="00E47997" w:rsidRPr="00807DD9" w:rsidRDefault="00E47997" w:rsidP="00E47997">
      <w:pPr>
        <w:numPr>
          <w:ilvl w:val="0"/>
          <w:numId w:val="6"/>
        </w:numPr>
        <w:spacing w:after="200"/>
        <w:ind w:left="2268" w:hanging="567"/>
        <w:contextualSpacing/>
        <w:rPr>
          <w:szCs w:val="20"/>
        </w:rPr>
      </w:pPr>
      <w:r w:rsidRPr="00807DD9">
        <w:rPr>
          <w:szCs w:val="20"/>
        </w:rPr>
        <w:t>Avanteos Pty Ltd ABN 99 066 892 977; BWA Group Services Pty Limited ABN 88 111 209 440; Colonial Services Pty Limited ABN 70 075 733 023; Commonwealth Insurance Limited ABN 96 067 524 216; and Commonwealth Securities Limited ABN 60 067 254 399 (each a CBA Subsidiary); and</w:t>
      </w:r>
    </w:p>
    <w:p w:rsidR="00E47997" w:rsidRPr="00807DD9" w:rsidRDefault="00E47997" w:rsidP="00E47997">
      <w:pPr>
        <w:numPr>
          <w:ilvl w:val="0"/>
          <w:numId w:val="6"/>
        </w:numPr>
        <w:spacing w:after="200"/>
        <w:ind w:left="2268" w:hanging="567"/>
        <w:contextualSpacing/>
        <w:rPr>
          <w:szCs w:val="20"/>
        </w:rPr>
      </w:pPr>
      <w:r w:rsidRPr="00807DD9">
        <w:rPr>
          <w:szCs w:val="20"/>
        </w:rPr>
        <w:t>all past, present and future employees of each CBA Subsidiary and their dependants; and</w:t>
      </w:r>
    </w:p>
    <w:p w:rsidR="00E47997" w:rsidRPr="00807DD9" w:rsidRDefault="00E47997" w:rsidP="00E47997">
      <w:pPr>
        <w:numPr>
          <w:ilvl w:val="0"/>
          <w:numId w:val="6"/>
        </w:numPr>
        <w:spacing w:after="200"/>
        <w:ind w:left="2268" w:hanging="567"/>
        <w:contextualSpacing/>
        <w:rPr>
          <w:szCs w:val="20"/>
        </w:rPr>
      </w:pPr>
      <w:r w:rsidRPr="00807DD9">
        <w:rPr>
          <w:szCs w:val="20"/>
        </w:rPr>
        <w:t>Comcare; or</w:t>
      </w:r>
    </w:p>
    <w:p w:rsidR="00E47997" w:rsidRPr="00807DD9" w:rsidRDefault="00E47997" w:rsidP="00E47997">
      <w:pPr>
        <w:numPr>
          <w:ilvl w:val="0"/>
          <w:numId w:val="5"/>
        </w:numPr>
        <w:tabs>
          <w:tab w:val="left" w:pos="1701"/>
        </w:tabs>
        <w:spacing w:after="200"/>
        <w:ind w:left="1701" w:hanging="567"/>
        <w:contextualSpacing/>
        <w:rPr>
          <w:szCs w:val="20"/>
        </w:rPr>
      </w:pPr>
      <w:proofErr w:type="gramStart"/>
      <w:r w:rsidRPr="00807DD9">
        <w:rPr>
          <w:szCs w:val="20"/>
        </w:rPr>
        <w:t>where</w:t>
      </w:r>
      <w:proofErr w:type="gramEnd"/>
      <w:r w:rsidRPr="00807DD9">
        <w:rPr>
          <w:szCs w:val="20"/>
        </w:rPr>
        <w:t xml:space="preserve"> the Commission, in its absolute discretion, notifies the licensee in writing that another, alternative, Deed of Guarantee and Indemnity, will satisfy the requirements of Prudential Condition 6 of this licence, that deed. </w:t>
      </w:r>
    </w:p>
    <w:p w:rsidR="00E47997" w:rsidRPr="00807DD9" w:rsidRDefault="00E47997" w:rsidP="00E47997">
      <w:pPr>
        <w:tabs>
          <w:tab w:val="left" w:pos="1701"/>
        </w:tabs>
        <w:spacing w:after="200"/>
        <w:contextualSpacing/>
        <w:rPr>
          <w:rFonts w:ascii="Times" w:hAnsi="Times"/>
          <w:szCs w:val="20"/>
        </w:rPr>
      </w:pPr>
    </w:p>
    <w:p w:rsidR="00E47997" w:rsidRPr="00807DD9" w:rsidRDefault="00E47997" w:rsidP="00E47997">
      <w:pPr>
        <w:tabs>
          <w:tab w:val="left" w:pos="1701"/>
        </w:tabs>
        <w:spacing w:after="200"/>
        <w:contextualSpacing/>
        <w:rPr>
          <w:rFonts w:ascii="Times" w:hAnsi="Times"/>
          <w:szCs w:val="20"/>
        </w:rPr>
      </w:pPr>
      <w:r w:rsidRPr="00807DD9">
        <w:rPr>
          <w:rFonts w:ascii="Times" w:hAnsi="Times"/>
          <w:szCs w:val="20"/>
        </w:rPr>
        <w:t>Prudential Condition 6.3 is replaced by the following.</w:t>
      </w:r>
    </w:p>
    <w:p w:rsidR="00E47997" w:rsidRPr="00807DD9" w:rsidRDefault="00E47997" w:rsidP="00E47997">
      <w:pPr>
        <w:tabs>
          <w:tab w:val="left" w:pos="1701"/>
        </w:tabs>
        <w:spacing w:after="200"/>
        <w:contextualSpacing/>
        <w:rPr>
          <w:szCs w:val="20"/>
        </w:rPr>
      </w:pPr>
    </w:p>
    <w:p w:rsidR="00E47997" w:rsidRPr="00807DD9" w:rsidRDefault="00E47997" w:rsidP="00E47997">
      <w:pPr>
        <w:tabs>
          <w:tab w:val="left" w:pos="1134"/>
        </w:tabs>
        <w:ind w:left="1134" w:hanging="1134"/>
        <w:outlineLvl w:val="1"/>
        <w:rPr>
          <w:rFonts w:eastAsia="SimSun" w:cs="Angsana New"/>
          <w:lang w:eastAsia="zh-CN" w:bidi="th-TH"/>
        </w:rPr>
      </w:pPr>
      <w:r w:rsidRPr="00807DD9">
        <w:rPr>
          <w:rFonts w:eastAsia="SimSun" w:cs="Angsana New"/>
          <w:lang w:eastAsia="zh-CN" w:bidi="th-TH"/>
        </w:rPr>
        <w:t>6.3             The Commission grants this licence on the condition that the Deed of Guarantee and Indemnity is, and remains, binding on the Commonwealth Bank of Australia and remains in full force and effect for the period of this licence and for at least seven (7) years following the period of this licence.</w:t>
      </w:r>
    </w:p>
    <w:p w:rsidR="00E47997" w:rsidRPr="00807DD9" w:rsidRDefault="00E47997" w:rsidP="00E47997">
      <w:pPr>
        <w:tabs>
          <w:tab w:val="left" w:pos="1134"/>
        </w:tabs>
        <w:ind w:left="1134" w:hanging="1134"/>
        <w:outlineLvl w:val="1"/>
        <w:rPr>
          <w:rFonts w:eastAsia="SimSun" w:cs="Angsana New"/>
          <w:lang w:eastAsia="zh-CN" w:bidi="th-TH"/>
        </w:rPr>
      </w:pPr>
    </w:p>
    <w:p w:rsidR="00E47997" w:rsidRPr="00807DD9" w:rsidRDefault="00E47997" w:rsidP="00E47997">
      <w:pPr>
        <w:tabs>
          <w:tab w:val="left" w:pos="1134"/>
        </w:tabs>
        <w:ind w:left="1134" w:hanging="1134"/>
        <w:outlineLvl w:val="1"/>
        <w:rPr>
          <w:rFonts w:eastAsia="SimSun" w:cs="Angsana New"/>
          <w:lang w:eastAsia="zh-CN" w:bidi="th-TH"/>
        </w:rPr>
      </w:pPr>
      <w:r w:rsidRPr="00807DD9">
        <w:rPr>
          <w:rFonts w:eastAsia="SimSun" w:cs="Angsana New"/>
          <w:lang w:eastAsia="zh-CN" w:bidi="th-TH"/>
        </w:rPr>
        <w:t>Prudential Condition 6.4 is added</w:t>
      </w:r>
    </w:p>
    <w:p w:rsidR="00E47997" w:rsidRPr="00807DD9" w:rsidRDefault="00E47997" w:rsidP="00E47997">
      <w:pPr>
        <w:tabs>
          <w:tab w:val="left" w:pos="1134"/>
        </w:tabs>
        <w:ind w:left="1134" w:hanging="1134"/>
        <w:outlineLvl w:val="1"/>
        <w:rPr>
          <w:rFonts w:eastAsia="SimSun" w:cs="Angsana New"/>
          <w:lang w:eastAsia="zh-CN" w:bidi="th-TH"/>
        </w:rPr>
      </w:pPr>
    </w:p>
    <w:p w:rsidR="00E47997" w:rsidRPr="00807DD9" w:rsidRDefault="00E47997" w:rsidP="00E47997">
      <w:pPr>
        <w:autoSpaceDE w:val="0"/>
        <w:autoSpaceDN w:val="0"/>
        <w:ind w:left="1134" w:hanging="1134"/>
      </w:pPr>
      <w:r w:rsidRPr="00807DD9">
        <w:t>6.4</w:t>
      </w:r>
      <w:r w:rsidRPr="00807DD9">
        <w:tab/>
        <w:t>The Licensee must perform and fulfil its obligations under the Deed of Guarantee and Indemnity in accordance with the SRC Act.</w:t>
      </w:r>
    </w:p>
    <w:p w:rsidR="00E47997" w:rsidRPr="00807DD9" w:rsidRDefault="00E47997" w:rsidP="00E47997">
      <w:pPr>
        <w:tabs>
          <w:tab w:val="center" w:pos="4513"/>
          <w:tab w:val="right" w:pos="9027"/>
        </w:tabs>
      </w:pPr>
    </w:p>
    <w:p w:rsidR="00E47997" w:rsidRPr="00807DD9" w:rsidRDefault="00E47997" w:rsidP="00E47997">
      <w:r w:rsidRPr="00807DD9">
        <w:t>Prudential Condition 6.5 is replaced by the following.</w:t>
      </w:r>
    </w:p>
    <w:p w:rsidR="00E47997" w:rsidRPr="00807DD9" w:rsidRDefault="00E47997" w:rsidP="00E47997"/>
    <w:p w:rsidR="00E47997" w:rsidRPr="00807DD9" w:rsidRDefault="00E47997" w:rsidP="00E47997">
      <w:pPr>
        <w:autoSpaceDE w:val="0"/>
        <w:autoSpaceDN w:val="0"/>
        <w:ind w:left="1134" w:hanging="1134"/>
      </w:pPr>
      <w:r w:rsidRPr="00807DD9">
        <w:t>6.5</w:t>
      </w:r>
      <w:r w:rsidRPr="00807DD9">
        <w:tab/>
        <w:t>The Licensee must notify the Commission within three (3) business days if the Licensee becomes aware that any aspect of the Deed of Guarantee and Indemnity is not, or will not any time in the future be, enforceable by any beneficiary of the Deed of Guarantee and Indemnity.</w:t>
      </w:r>
    </w:p>
    <w:p w:rsidR="00E47997" w:rsidRPr="00807DD9" w:rsidRDefault="00E47997" w:rsidP="00E47997">
      <w:pPr>
        <w:autoSpaceDE w:val="0"/>
        <w:autoSpaceDN w:val="0"/>
        <w:ind w:left="1134" w:hanging="1134"/>
      </w:pPr>
    </w:p>
    <w:p w:rsidR="00E47997" w:rsidRPr="00807DD9" w:rsidRDefault="00E47997" w:rsidP="00E47997">
      <w:pPr>
        <w:tabs>
          <w:tab w:val="left" w:pos="1134"/>
        </w:tabs>
        <w:ind w:left="1134" w:hanging="1134"/>
        <w:outlineLvl w:val="1"/>
        <w:rPr>
          <w:rFonts w:eastAsia="SimSun" w:cs="Angsana New"/>
          <w:lang w:eastAsia="zh-CN" w:bidi="th-TH"/>
        </w:rPr>
      </w:pPr>
      <w:r w:rsidRPr="00807DD9">
        <w:rPr>
          <w:rFonts w:eastAsia="SimSun" w:cs="Angsana New"/>
          <w:lang w:eastAsia="zh-CN" w:bidi="th-TH"/>
        </w:rPr>
        <w:t xml:space="preserve">Prudential Condition 6.6 is replaced by the following. </w:t>
      </w:r>
    </w:p>
    <w:p w:rsidR="00E47997" w:rsidRPr="00807DD9" w:rsidRDefault="00E47997" w:rsidP="00E47997">
      <w:pPr>
        <w:rPr>
          <w:szCs w:val="20"/>
        </w:rPr>
      </w:pPr>
    </w:p>
    <w:p w:rsidR="008D51C1" w:rsidRDefault="00E47997" w:rsidP="00E47997">
      <w:pPr>
        <w:autoSpaceDE w:val="0"/>
        <w:autoSpaceDN w:val="0"/>
        <w:ind w:left="1134" w:hanging="1134"/>
      </w:pPr>
      <w:r w:rsidRPr="00807DD9">
        <w:t>6.6</w:t>
      </w:r>
      <w:r w:rsidRPr="00807DD9">
        <w:tab/>
        <w:t>The Deed of Guarantee and Indemnity includes any subsequent novation or variation of the Deed of Guarantee and Indemnity.</w:t>
      </w:r>
    </w:p>
    <w:p w:rsidR="008D51C1" w:rsidRDefault="008D51C1">
      <w:r>
        <w:br w:type="page"/>
      </w:r>
    </w:p>
    <w:p w:rsidR="00E47997" w:rsidRPr="00807DD9" w:rsidRDefault="00E47997" w:rsidP="00E47997">
      <w:r w:rsidRPr="00807DD9">
        <w:lastRenderedPageBreak/>
        <w:t xml:space="preserve">Prudential Condition 6.7 is replaced by the following. </w:t>
      </w:r>
    </w:p>
    <w:p w:rsidR="00E47997" w:rsidRPr="00807DD9" w:rsidRDefault="00E47997" w:rsidP="00E47997">
      <w:pPr>
        <w:autoSpaceDE w:val="0"/>
        <w:autoSpaceDN w:val="0"/>
        <w:ind w:left="709" w:hanging="709"/>
      </w:pPr>
    </w:p>
    <w:p w:rsidR="00E47997" w:rsidRPr="00807DD9" w:rsidRDefault="00E47997" w:rsidP="00E47997">
      <w:pPr>
        <w:autoSpaceDE w:val="0"/>
        <w:autoSpaceDN w:val="0"/>
        <w:ind w:left="709" w:hanging="709"/>
      </w:pPr>
      <w:r w:rsidRPr="00807DD9">
        <w:t>6.7</w:t>
      </w:r>
      <w:r w:rsidRPr="00807DD9">
        <w:tab/>
        <w:t>If the Deed of Cross Guarantee and Indemnity is novated or varied the Licensee must notify the Commission and provide a copy of the document novating or varying the Deed of Cross Guarantee and Indemnity to the Commission within three (3) business days.</w:t>
      </w:r>
    </w:p>
    <w:p w:rsidR="00E47997" w:rsidRPr="00807DD9" w:rsidRDefault="00E47997" w:rsidP="00E47997"/>
    <w:p w:rsidR="00E47997" w:rsidRPr="00807DD9" w:rsidRDefault="00E47997" w:rsidP="00E47997">
      <w:r w:rsidRPr="00807DD9">
        <w:rPr>
          <w:lang w:val="en-US"/>
        </w:rPr>
        <w:t xml:space="preserve">The variations take effect at 12.01am on </w:t>
      </w:r>
      <w:r w:rsidRPr="00807DD9">
        <w:t>25 September 2015 (Australian Eastern Standard Time).</w:t>
      </w:r>
      <w:r w:rsidRPr="00807DD9">
        <w:rPr>
          <w:lang w:val="en-US"/>
        </w:rPr>
        <w:t xml:space="preserve"> </w:t>
      </w:r>
    </w:p>
    <w:p w:rsidR="00E47997" w:rsidRPr="00807DD9" w:rsidRDefault="00E47997" w:rsidP="00E47997"/>
    <w:p w:rsidR="00E47997" w:rsidRPr="00DE2689" w:rsidRDefault="00E47997" w:rsidP="00E47997">
      <w:r w:rsidRPr="00DE2689">
        <w:t>The scope and conditions of the licence are as set out below in this notice.</w:t>
      </w:r>
    </w:p>
    <w:p w:rsidR="00E47997" w:rsidRPr="00DE2689" w:rsidRDefault="00E47997" w:rsidP="00E47997">
      <w:pPr>
        <w:pBdr>
          <w:bottom w:val="single" w:sz="6" w:space="1" w:color="auto"/>
        </w:pBdr>
        <w:spacing w:before="120"/>
        <w:ind w:left="153"/>
        <w:rPr>
          <w:b/>
        </w:rPr>
      </w:pPr>
    </w:p>
    <w:p w:rsidR="00E47997" w:rsidRPr="00DE2689" w:rsidRDefault="00E47997" w:rsidP="00E47997">
      <w:pPr>
        <w:spacing w:before="120"/>
        <w:rPr>
          <w:b/>
        </w:rPr>
        <w:sectPr w:rsidR="00E47997" w:rsidRPr="00DE2689" w:rsidSect="008D51C1">
          <w:headerReference w:type="default" r:id="rId15"/>
          <w:pgSz w:w="11906" w:h="16838"/>
          <w:pgMar w:top="1418" w:right="1418" w:bottom="993" w:left="1418" w:header="709" w:footer="709" w:gutter="0"/>
          <w:cols w:space="708"/>
          <w:docGrid w:linePitch="360"/>
        </w:sectPr>
      </w:pPr>
    </w:p>
    <w:p w:rsidR="00E47997" w:rsidRPr="00DE2689" w:rsidRDefault="00E47997" w:rsidP="00E47997">
      <w:pPr>
        <w:spacing w:before="120"/>
        <w:ind w:left="153"/>
        <w:jc w:val="center"/>
        <w:rPr>
          <w:b/>
        </w:rPr>
      </w:pPr>
      <w:r w:rsidRPr="00DE2689">
        <w:rPr>
          <w:b/>
        </w:rPr>
        <w:lastRenderedPageBreak/>
        <w:t>LICENCE</w:t>
      </w:r>
    </w:p>
    <w:p w:rsidR="00E47997" w:rsidRPr="00DE2689" w:rsidRDefault="00E47997" w:rsidP="00E47997">
      <w:pPr>
        <w:keepNext/>
        <w:tabs>
          <w:tab w:val="left" w:pos="720"/>
          <w:tab w:val="left" w:pos="1134"/>
          <w:tab w:val="left" w:pos="1418"/>
          <w:tab w:val="left" w:pos="1848"/>
          <w:tab w:val="left" w:pos="2773"/>
          <w:tab w:val="left" w:pos="3697"/>
          <w:tab w:val="center" w:pos="4253"/>
          <w:tab w:val="left" w:pos="4621"/>
          <w:tab w:val="left" w:pos="5545"/>
          <w:tab w:val="left" w:pos="6469"/>
          <w:tab w:val="left" w:pos="7394"/>
          <w:tab w:val="left" w:pos="8318"/>
          <w:tab w:val="right" w:pos="8788"/>
        </w:tabs>
        <w:outlineLvl w:val="0"/>
        <w:rPr>
          <w:b/>
          <w:snapToGrid w:val="0"/>
          <w:kern w:val="23"/>
        </w:rPr>
      </w:pPr>
    </w:p>
    <w:p w:rsidR="00E47997" w:rsidRPr="00DE2689" w:rsidRDefault="00E47997" w:rsidP="00E47997">
      <w:pPr>
        <w:keepNext/>
        <w:tabs>
          <w:tab w:val="left" w:pos="720"/>
          <w:tab w:val="left" w:pos="1134"/>
          <w:tab w:val="left" w:pos="1418"/>
          <w:tab w:val="left" w:pos="1848"/>
          <w:tab w:val="left" w:pos="2773"/>
          <w:tab w:val="left" w:pos="3697"/>
          <w:tab w:val="center" w:pos="4253"/>
          <w:tab w:val="left" w:pos="4621"/>
          <w:tab w:val="left" w:pos="5545"/>
          <w:tab w:val="left" w:pos="6469"/>
          <w:tab w:val="left" w:pos="7394"/>
          <w:tab w:val="left" w:pos="8318"/>
          <w:tab w:val="right" w:pos="8788"/>
        </w:tabs>
        <w:outlineLvl w:val="0"/>
        <w:rPr>
          <w:b/>
          <w:snapToGrid w:val="0"/>
          <w:kern w:val="23"/>
        </w:rPr>
      </w:pPr>
      <w:r w:rsidRPr="00DE2689">
        <w:rPr>
          <w:b/>
          <w:snapToGrid w:val="0"/>
          <w:kern w:val="23"/>
        </w:rPr>
        <w:t>Part 1</w:t>
      </w:r>
      <w:bookmarkEnd w:id="0"/>
      <w:r w:rsidRPr="00DE2689">
        <w:rPr>
          <w:b/>
          <w:snapToGrid w:val="0"/>
          <w:kern w:val="23"/>
        </w:rPr>
        <w:t xml:space="preserve"> – Grant and Scope of Licence</w:t>
      </w:r>
    </w:p>
    <w:p w:rsidR="00E47997" w:rsidRPr="00DE2689" w:rsidRDefault="00E47997" w:rsidP="00E47997">
      <w:pPr>
        <w:rPr>
          <w:i/>
        </w:rPr>
      </w:pPr>
    </w:p>
    <w:p w:rsidR="00E47997" w:rsidRPr="00DE2689" w:rsidRDefault="00E47997" w:rsidP="00E47997">
      <w:r w:rsidRPr="00DE2689">
        <w:rPr>
          <w:i/>
        </w:rPr>
        <w:t xml:space="preserve">Note: </w:t>
      </w:r>
      <w:r w:rsidRPr="00DE2689">
        <w:t xml:space="preserve">Under section 46(1) of the </w:t>
      </w:r>
      <w:r w:rsidRPr="00DE2689">
        <w:rPr>
          <w:i/>
        </w:rPr>
        <w:t xml:space="preserve">Acts Interpretation Act 1901, </w:t>
      </w:r>
      <w:r w:rsidRPr="00DE2689">
        <w:t xml:space="preserve">unless the contrary intention appears, expressions used in this instrument have the same meaning as in the </w:t>
      </w:r>
      <w:r w:rsidRPr="00DE2689">
        <w:rPr>
          <w:i/>
          <w:snapToGrid w:val="0"/>
        </w:rPr>
        <w:t>Safety, Rehabilitation and Compensation Act 1988</w:t>
      </w:r>
      <w:r w:rsidRPr="00DE2689">
        <w:t xml:space="preserve"> (“the SRC Act”).</w:t>
      </w:r>
    </w:p>
    <w:p w:rsidR="00E47997" w:rsidRPr="00DE2689" w:rsidRDefault="00E47997" w:rsidP="00E47997">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outlineLvl w:val="1"/>
        <w:rPr>
          <w:b/>
          <w:snapToGrid w:val="0"/>
        </w:rPr>
      </w:pPr>
    </w:p>
    <w:p w:rsidR="00E47997" w:rsidRPr="00DE2689" w:rsidRDefault="00E47997" w:rsidP="00E47997">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outlineLvl w:val="1"/>
        <w:rPr>
          <w:b/>
          <w:snapToGrid w:val="0"/>
        </w:rPr>
      </w:pPr>
      <w:r w:rsidRPr="00DE2689">
        <w:rPr>
          <w:b/>
          <w:snapToGrid w:val="0"/>
        </w:rPr>
        <w:t>Eligible applicant</w:t>
      </w:r>
    </w:p>
    <w:p w:rsidR="00E47997" w:rsidRPr="00DE2689" w:rsidRDefault="00E47997" w:rsidP="00E47997">
      <w:pPr>
        <w:tabs>
          <w:tab w:val="left" w:pos="540"/>
        </w:tabs>
        <w:rPr>
          <w:b/>
          <w:snapToGrid w:val="0"/>
        </w:rPr>
      </w:pPr>
    </w:p>
    <w:p w:rsidR="00E47997" w:rsidRPr="00DE2689" w:rsidRDefault="00E47997" w:rsidP="00E47997">
      <w:pPr>
        <w:numPr>
          <w:ilvl w:val="0"/>
          <w:numId w:val="7"/>
        </w:numPr>
        <w:tabs>
          <w:tab w:val="left" w:pos="540"/>
          <w:tab w:val="num" w:pos="567"/>
        </w:tabs>
        <w:ind w:left="567" w:hanging="567"/>
      </w:pPr>
      <w:r w:rsidRPr="00DE2689">
        <w:t xml:space="preserve">Commonwealth Bank of Australia, ABN 48 123 123 124 (“the Licensee”), was declared to be eligible to be granted a licence under Part VIII of the SRC Act by legislative instrument dated 16 October 2007, registered as </w:t>
      </w:r>
      <w:r w:rsidRPr="00DE2689">
        <w:rPr>
          <w:snapToGrid w:val="0"/>
        </w:rPr>
        <w:t>F2007L04165</w:t>
      </w:r>
      <w:r w:rsidRPr="00DE2689">
        <w:t xml:space="preserve"> on the Federal Register of Legislative Instruments on 23 October 2007.</w:t>
      </w:r>
    </w:p>
    <w:p w:rsidR="00E47997" w:rsidRPr="00DE2689" w:rsidRDefault="00E47997" w:rsidP="00E47997">
      <w:pPr>
        <w:tabs>
          <w:tab w:val="left" w:pos="540"/>
        </w:tabs>
        <w:ind w:left="540" w:hanging="540"/>
        <w:rPr>
          <w:snapToGrid w:val="0"/>
        </w:rPr>
      </w:pPr>
    </w:p>
    <w:p w:rsidR="00E47997" w:rsidRPr="00DE2689" w:rsidRDefault="00E47997" w:rsidP="00E47997">
      <w:pPr>
        <w:keepNext/>
        <w:tabs>
          <w:tab w:val="left" w:pos="540"/>
          <w:tab w:val="left" w:pos="720"/>
          <w:tab w:val="left" w:pos="924"/>
          <w:tab w:val="left" w:pos="1418"/>
          <w:tab w:val="left" w:pos="1848"/>
          <w:tab w:val="left" w:pos="2773"/>
          <w:tab w:val="left" w:pos="3697"/>
          <w:tab w:val="left" w:pos="4621"/>
          <w:tab w:val="left" w:pos="5545"/>
          <w:tab w:val="left" w:pos="6469"/>
          <w:tab w:val="left" w:pos="7394"/>
          <w:tab w:val="right" w:pos="8789"/>
        </w:tabs>
        <w:ind w:left="540" w:hanging="540"/>
        <w:outlineLvl w:val="1"/>
        <w:rPr>
          <w:b/>
          <w:snapToGrid w:val="0"/>
        </w:rPr>
      </w:pPr>
      <w:r w:rsidRPr="00DE2689">
        <w:rPr>
          <w:b/>
          <w:snapToGrid w:val="0"/>
        </w:rPr>
        <w:t>Grant of licence</w:t>
      </w:r>
    </w:p>
    <w:p w:rsidR="00E47997" w:rsidRPr="00DE2689" w:rsidRDefault="00E47997" w:rsidP="00E47997">
      <w:pPr>
        <w:keepNext/>
        <w:tabs>
          <w:tab w:val="left" w:pos="540"/>
          <w:tab w:val="left" w:pos="720"/>
          <w:tab w:val="left" w:pos="924"/>
          <w:tab w:val="left" w:pos="1418"/>
          <w:tab w:val="left" w:pos="1848"/>
          <w:tab w:val="left" w:pos="2773"/>
          <w:tab w:val="left" w:pos="3697"/>
          <w:tab w:val="left" w:pos="4621"/>
          <w:tab w:val="left" w:pos="5545"/>
          <w:tab w:val="left" w:pos="6469"/>
          <w:tab w:val="left" w:pos="7394"/>
          <w:tab w:val="right" w:pos="8789"/>
        </w:tabs>
        <w:ind w:left="540" w:hanging="540"/>
        <w:outlineLvl w:val="1"/>
        <w:rPr>
          <w:b/>
          <w:snapToGrid w:val="0"/>
        </w:rPr>
      </w:pPr>
    </w:p>
    <w:p w:rsidR="00E47997" w:rsidRPr="00DE2689" w:rsidRDefault="00E47997" w:rsidP="00E47997">
      <w:pPr>
        <w:numPr>
          <w:ilvl w:val="0"/>
          <w:numId w:val="7"/>
        </w:numPr>
        <w:tabs>
          <w:tab w:val="left" w:pos="540"/>
        </w:tabs>
        <w:ind w:left="540" w:hanging="540"/>
        <w:rPr>
          <w:snapToGrid w:val="0"/>
        </w:rPr>
      </w:pPr>
      <w:r w:rsidRPr="00DE2689">
        <w:rPr>
          <w:snapToGrid w:val="0"/>
        </w:rPr>
        <w:t xml:space="preserve">The Safety, Rehabilitation and Compensation Commission (“the Commission”), acting under sections 103 and 104 of the SRC Act, granted a licence to the Licensee on </w:t>
      </w:r>
      <w:r w:rsidRPr="00DE2689">
        <w:t>19 March 2008 for the period commencing on 31 March 2008 and ending on 30 June 2010.</w:t>
      </w:r>
    </w:p>
    <w:p w:rsidR="00E47997" w:rsidRPr="00DE2689" w:rsidRDefault="00E47997" w:rsidP="00E47997">
      <w:pPr>
        <w:keepNext/>
        <w:tabs>
          <w:tab w:val="left" w:pos="540"/>
          <w:tab w:val="left" w:pos="720"/>
          <w:tab w:val="left" w:pos="924"/>
          <w:tab w:val="left" w:pos="1418"/>
          <w:tab w:val="left" w:pos="1848"/>
          <w:tab w:val="left" w:pos="2773"/>
          <w:tab w:val="left" w:pos="3697"/>
          <w:tab w:val="left" w:pos="4621"/>
          <w:tab w:val="left" w:pos="5545"/>
          <w:tab w:val="left" w:pos="6469"/>
          <w:tab w:val="left" w:pos="7394"/>
          <w:tab w:val="right" w:pos="8789"/>
        </w:tabs>
        <w:ind w:left="540"/>
        <w:outlineLvl w:val="1"/>
        <w:rPr>
          <w:snapToGrid w:val="0"/>
        </w:rPr>
      </w:pPr>
    </w:p>
    <w:p w:rsidR="00E47997" w:rsidRPr="00DE2689" w:rsidRDefault="00E47997" w:rsidP="00E47997">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outlineLvl w:val="1"/>
        <w:rPr>
          <w:b/>
          <w:snapToGrid w:val="0"/>
        </w:rPr>
      </w:pPr>
      <w:r w:rsidRPr="00DE2689">
        <w:rPr>
          <w:b/>
          <w:snapToGrid w:val="0"/>
        </w:rPr>
        <w:t>Period of licence</w:t>
      </w:r>
    </w:p>
    <w:p w:rsidR="00E47997" w:rsidRPr="00DE2689" w:rsidRDefault="00E47997" w:rsidP="00E47997">
      <w:pPr>
        <w:keepNext/>
        <w:tabs>
          <w:tab w:val="left" w:pos="540"/>
          <w:tab w:val="left" w:pos="720"/>
          <w:tab w:val="left" w:pos="924"/>
          <w:tab w:val="left" w:pos="1418"/>
          <w:tab w:val="left" w:pos="1848"/>
          <w:tab w:val="left" w:pos="2773"/>
          <w:tab w:val="left" w:pos="3697"/>
          <w:tab w:val="left" w:pos="4621"/>
          <w:tab w:val="left" w:pos="5545"/>
          <w:tab w:val="left" w:pos="6469"/>
          <w:tab w:val="left" w:pos="7394"/>
          <w:tab w:val="right" w:pos="8789"/>
        </w:tabs>
        <w:ind w:left="540" w:hanging="540"/>
        <w:outlineLvl w:val="1"/>
        <w:rPr>
          <w:b/>
          <w:snapToGrid w:val="0"/>
        </w:rPr>
      </w:pPr>
      <w:r w:rsidRPr="00DE2689">
        <w:rPr>
          <w:b/>
          <w:snapToGrid w:val="0"/>
        </w:rPr>
        <w:tab/>
      </w:r>
    </w:p>
    <w:p w:rsidR="00E47997" w:rsidRPr="00DE2689" w:rsidRDefault="00E47997" w:rsidP="00E47997">
      <w:pPr>
        <w:numPr>
          <w:ilvl w:val="0"/>
          <w:numId w:val="7"/>
        </w:numPr>
        <w:tabs>
          <w:tab w:val="left" w:pos="540"/>
        </w:tabs>
        <w:ind w:left="540" w:hanging="540"/>
        <w:rPr>
          <w:snapToGrid w:val="0"/>
        </w:rPr>
      </w:pPr>
      <w:r w:rsidRPr="00DE2689">
        <w:rPr>
          <w:snapToGrid w:val="0"/>
        </w:rPr>
        <w:t xml:space="preserve">Subject to the SRC Act, this licence is for the period commencing on 12.01am (Australian Eastern Daylight Time) on </w:t>
      </w:r>
      <w:r w:rsidRPr="00DE2689">
        <w:t>31 March 2008</w:t>
      </w:r>
      <w:r w:rsidRPr="00DE2689">
        <w:rPr>
          <w:snapToGrid w:val="0"/>
        </w:rPr>
        <w:t xml:space="preserve"> and, in accordance with the most recent extension, ending on midnight (Australian Eastern Standard Time) on </w:t>
      </w:r>
      <w:r w:rsidRPr="00DE2689">
        <w:t>30 June 2022</w:t>
      </w:r>
      <w:r w:rsidRPr="00DE2689">
        <w:rPr>
          <w:snapToGrid w:val="0"/>
        </w:rPr>
        <w:t xml:space="preserve"> (“the period of this licence”).</w:t>
      </w:r>
    </w:p>
    <w:p w:rsidR="00E47997" w:rsidRPr="00DE2689" w:rsidRDefault="00E47997" w:rsidP="00E47997">
      <w:pPr>
        <w:tabs>
          <w:tab w:val="left" w:pos="540"/>
        </w:tabs>
        <w:rPr>
          <w:snapToGrid w:val="0"/>
        </w:rPr>
      </w:pPr>
    </w:p>
    <w:p w:rsidR="00E47997" w:rsidRPr="00DE2689" w:rsidRDefault="00E47997" w:rsidP="00E47997">
      <w:pPr>
        <w:keepNext/>
        <w:tabs>
          <w:tab w:val="left" w:pos="540"/>
          <w:tab w:val="left" w:pos="720"/>
          <w:tab w:val="left" w:pos="924"/>
          <w:tab w:val="left" w:pos="1418"/>
          <w:tab w:val="left" w:pos="1848"/>
          <w:tab w:val="left" w:pos="2773"/>
          <w:tab w:val="left" w:pos="3697"/>
          <w:tab w:val="left" w:pos="4621"/>
          <w:tab w:val="left" w:pos="5545"/>
          <w:tab w:val="left" w:pos="6469"/>
          <w:tab w:val="left" w:pos="7394"/>
          <w:tab w:val="right" w:pos="8789"/>
        </w:tabs>
        <w:ind w:left="540" w:hanging="540"/>
        <w:outlineLvl w:val="1"/>
        <w:rPr>
          <w:b/>
          <w:snapToGrid w:val="0"/>
        </w:rPr>
      </w:pPr>
      <w:r w:rsidRPr="00DE2689">
        <w:rPr>
          <w:b/>
          <w:snapToGrid w:val="0"/>
        </w:rPr>
        <w:t>Scope of licence – acceptance of liability</w:t>
      </w:r>
    </w:p>
    <w:p w:rsidR="00E47997" w:rsidRPr="00DE2689" w:rsidRDefault="00E47997" w:rsidP="00E47997">
      <w:pPr>
        <w:tabs>
          <w:tab w:val="left" w:pos="540"/>
        </w:tabs>
        <w:ind w:left="540" w:hanging="540"/>
      </w:pPr>
    </w:p>
    <w:p w:rsidR="00E47997" w:rsidRPr="00DE2689" w:rsidRDefault="00E47997" w:rsidP="00E47997">
      <w:pPr>
        <w:numPr>
          <w:ilvl w:val="0"/>
          <w:numId w:val="7"/>
        </w:numPr>
        <w:tabs>
          <w:tab w:val="left" w:pos="540"/>
        </w:tabs>
        <w:ind w:left="540" w:hanging="540"/>
      </w:pPr>
      <w:r w:rsidRPr="00DE2689">
        <w:rPr>
          <w:snapToGrid w:val="0"/>
        </w:rPr>
        <w:t>The Licensee is authorised to accept liability to pay compensation and other amounts under the SRC Act in respect of all injuries, loss or damage suffered by, or in respect of the death of, any of the employees of the Licensee where such injuries, loss, damage or death occur within the period of this licence.</w:t>
      </w:r>
    </w:p>
    <w:p w:rsidR="00E47997" w:rsidRDefault="00E47997" w:rsidP="00E47997">
      <w:pPr>
        <w:tabs>
          <w:tab w:val="left" w:pos="540"/>
        </w:tabs>
      </w:pPr>
    </w:p>
    <w:p w:rsidR="00E47997" w:rsidRPr="00DE2689" w:rsidRDefault="00E47997" w:rsidP="00E47997">
      <w:pPr>
        <w:tabs>
          <w:tab w:val="left" w:pos="540"/>
        </w:tabs>
      </w:pPr>
    </w:p>
    <w:p w:rsidR="00E10074" w:rsidRDefault="00E10074" w:rsidP="00E47997">
      <w:pPr>
        <w:ind w:left="540"/>
        <w:rPr>
          <w:i/>
        </w:rPr>
      </w:pPr>
      <w:r>
        <w:rPr>
          <w:i/>
        </w:rPr>
        <w:br w:type="page"/>
      </w:r>
    </w:p>
    <w:p w:rsidR="00E47997" w:rsidRPr="00DE2689" w:rsidRDefault="00E47997" w:rsidP="00E47997">
      <w:pPr>
        <w:ind w:left="540"/>
      </w:pPr>
      <w:r w:rsidRPr="00DE2689">
        <w:rPr>
          <w:i/>
        </w:rPr>
        <w:lastRenderedPageBreak/>
        <w:t>Note</w:t>
      </w:r>
      <w:r w:rsidRPr="00DE2689">
        <w:t>: “Employee” is defined in section 5 of the SRC Act.</w:t>
      </w:r>
    </w:p>
    <w:p w:rsidR="00E47997" w:rsidRPr="00807DD9" w:rsidRDefault="00E47997" w:rsidP="00E47997">
      <w:pPr>
        <w:ind w:left="1134"/>
      </w:pPr>
    </w:p>
    <w:p w:rsidR="00E47997" w:rsidRPr="00807DD9" w:rsidRDefault="00E47997" w:rsidP="00E47997">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outlineLvl w:val="1"/>
        <w:rPr>
          <w:b/>
          <w:snapToGrid w:val="0"/>
        </w:rPr>
      </w:pPr>
      <w:r w:rsidRPr="00807DD9">
        <w:rPr>
          <w:b/>
          <w:snapToGrid w:val="0"/>
        </w:rPr>
        <w:t>Scope of licence – management of claims</w:t>
      </w:r>
    </w:p>
    <w:p w:rsidR="00E47997" w:rsidRPr="00807DD9" w:rsidRDefault="00E47997" w:rsidP="00E47997">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outlineLvl w:val="1"/>
        <w:rPr>
          <w:b/>
          <w:snapToGrid w:val="0"/>
        </w:rPr>
      </w:pPr>
    </w:p>
    <w:p w:rsidR="00E47997" w:rsidRPr="00807DD9" w:rsidRDefault="00E47997" w:rsidP="00E47997">
      <w:pPr>
        <w:numPr>
          <w:ilvl w:val="0"/>
          <w:numId w:val="7"/>
        </w:numPr>
        <w:tabs>
          <w:tab w:val="left" w:pos="540"/>
        </w:tabs>
        <w:ind w:left="540" w:hanging="540"/>
      </w:pPr>
      <w:r w:rsidRPr="00807DD9">
        <w:rPr>
          <w:snapToGrid w:val="0"/>
        </w:rPr>
        <w:t xml:space="preserve">The Licensee </w:t>
      </w:r>
      <w:r w:rsidRPr="00807DD9">
        <w:t xml:space="preserve">is authorised to manage </w:t>
      </w:r>
      <w:r w:rsidRPr="00807DD9">
        <w:rPr>
          <w:snapToGrid w:val="0"/>
        </w:rPr>
        <w:t>claims under the SRC Act made by the employees of the Licensee who are covered by the scope of this licence so far as it relates to the Licensee’s acceptance of liability in accordance with clause 4 of this licence</w:t>
      </w:r>
      <w:r w:rsidRPr="00807DD9">
        <w:t>.</w:t>
      </w:r>
    </w:p>
    <w:p w:rsidR="00E47997" w:rsidRPr="00807DD9" w:rsidRDefault="00E47997" w:rsidP="00E47997">
      <w:pPr>
        <w:rPr>
          <w:snapToGrid w:val="0"/>
        </w:rPr>
      </w:pPr>
    </w:p>
    <w:p w:rsidR="00E47997" w:rsidRPr="00807DD9" w:rsidRDefault="00E47997" w:rsidP="00E47997">
      <w:pPr>
        <w:ind w:left="540"/>
      </w:pPr>
      <w:r w:rsidRPr="00807DD9">
        <w:rPr>
          <w:i/>
        </w:rPr>
        <w:t>Note 1</w:t>
      </w:r>
      <w:r w:rsidRPr="00807DD9">
        <w:t>:  “Claim” is defined in section 99 of the SRC Act.</w:t>
      </w:r>
    </w:p>
    <w:p w:rsidR="00E47997" w:rsidRPr="00807DD9" w:rsidRDefault="00E47997" w:rsidP="00E47997">
      <w:pPr>
        <w:ind w:left="540"/>
        <w:rPr>
          <w:snapToGrid w:val="0"/>
        </w:rPr>
      </w:pPr>
    </w:p>
    <w:p w:rsidR="00E47997" w:rsidRPr="00807DD9" w:rsidRDefault="00E47997" w:rsidP="00E47997">
      <w:pPr>
        <w:ind w:left="540"/>
      </w:pPr>
      <w:r w:rsidRPr="00807DD9">
        <w:rPr>
          <w:i/>
        </w:rPr>
        <w:t>Note 2</w:t>
      </w:r>
      <w:r w:rsidRPr="00807DD9">
        <w:t>:  “Manage”, in relation to a claim for payment of compensation and other amounts under the SRC Act, is defined in section 99 of the SRC Act to include determinations, reconsiderations and subsequent administrative action.</w:t>
      </w:r>
    </w:p>
    <w:p w:rsidR="00E47997" w:rsidRPr="00807DD9" w:rsidRDefault="00E47997" w:rsidP="00E47997"/>
    <w:p w:rsidR="00E47997" w:rsidRPr="00807DD9" w:rsidRDefault="00E47997" w:rsidP="00E47997">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outlineLvl w:val="1"/>
        <w:rPr>
          <w:b/>
          <w:snapToGrid w:val="0"/>
        </w:rPr>
      </w:pPr>
      <w:r w:rsidRPr="00807DD9">
        <w:rPr>
          <w:b/>
          <w:snapToGrid w:val="0"/>
        </w:rPr>
        <w:t>Conditions</w:t>
      </w:r>
    </w:p>
    <w:p w:rsidR="00E47997" w:rsidRPr="00807DD9" w:rsidRDefault="00E47997" w:rsidP="00E47997">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outlineLvl w:val="1"/>
        <w:rPr>
          <w:b/>
          <w:snapToGrid w:val="0"/>
        </w:rPr>
      </w:pPr>
    </w:p>
    <w:p w:rsidR="00E47997" w:rsidRPr="00807DD9" w:rsidRDefault="00E47997" w:rsidP="00E47997">
      <w:pPr>
        <w:numPr>
          <w:ilvl w:val="0"/>
          <w:numId w:val="7"/>
        </w:numPr>
        <w:tabs>
          <w:tab w:val="left" w:pos="540"/>
        </w:tabs>
        <w:ind w:left="540" w:hanging="540"/>
        <w:rPr>
          <w:snapToGrid w:val="0"/>
        </w:rPr>
      </w:pPr>
      <w:r w:rsidRPr="00807DD9">
        <w:rPr>
          <w:snapToGrid w:val="0"/>
        </w:rPr>
        <w:t>This licence is granted subject to the conditions specified in Part 2.</w:t>
      </w:r>
    </w:p>
    <w:p w:rsidR="00E47997" w:rsidRPr="00807DD9" w:rsidRDefault="00E47997" w:rsidP="00E47997">
      <w:pPr>
        <w:tabs>
          <w:tab w:val="right" w:pos="1134"/>
          <w:tab w:val="left" w:pos="8318"/>
        </w:tabs>
        <w:rPr>
          <w:snapToGrid w:val="0"/>
        </w:rPr>
      </w:pPr>
    </w:p>
    <w:p w:rsidR="00E47997" w:rsidRPr="00807DD9" w:rsidRDefault="00E47997" w:rsidP="00E47997">
      <w:pPr>
        <w:keepNext/>
        <w:tabs>
          <w:tab w:val="left" w:pos="720"/>
          <w:tab w:val="left" w:pos="1134"/>
          <w:tab w:val="left" w:pos="1418"/>
          <w:tab w:val="left" w:pos="1848"/>
          <w:tab w:val="left" w:pos="2773"/>
          <w:tab w:val="left" w:pos="3697"/>
          <w:tab w:val="center" w:pos="4253"/>
          <w:tab w:val="left" w:pos="4621"/>
          <w:tab w:val="left" w:pos="5545"/>
          <w:tab w:val="left" w:pos="6469"/>
          <w:tab w:val="left" w:pos="7394"/>
          <w:tab w:val="left" w:pos="8318"/>
          <w:tab w:val="right" w:pos="8788"/>
        </w:tabs>
        <w:outlineLvl w:val="0"/>
        <w:rPr>
          <w:b/>
          <w:snapToGrid w:val="0"/>
          <w:kern w:val="23"/>
        </w:rPr>
      </w:pPr>
      <w:r w:rsidRPr="00807DD9">
        <w:rPr>
          <w:b/>
          <w:snapToGrid w:val="0"/>
          <w:kern w:val="23"/>
        </w:rPr>
        <w:t>Part 2 – Conditions</w:t>
      </w:r>
    </w:p>
    <w:p w:rsidR="00E47997" w:rsidRPr="00807DD9" w:rsidRDefault="00E47997" w:rsidP="00E47997">
      <w:pPr>
        <w:keepNext/>
        <w:tabs>
          <w:tab w:val="left" w:pos="720"/>
          <w:tab w:val="left" w:pos="1134"/>
          <w:tab w:val="left" w:pos="1418"/>
          <w:tab w:val="left" w:pos="1848"/>
          <w:tab w:val="left" w:pos="2773"/>
          <w:tab w:val="left" w:pos="3697"/>
          <w:tab w:val="center" w:pos="4253"/>
          <w:tab w:val="left" w:pos="4621"/>
          <w:tab w:val="left" w:pos="5545"/>
          <w:tab w:val="left" w:pos="6469"/>
          <w:tab w:val="left" w:pos="7394"/>
          <w:tab w:val="left" w:pos="8318"/>
          <w:tab w:val="right" w:pos="8788"/>
        </w:tabs>
        <w:outlineLvl w:val="0"/>
        <w:rPr>
          <w:b/>
          <w:snapToGrid w:val="0"/>
          <w:kern w:val="23"/>
        </w:rPr>
      </w:pPr>
    </w:p>
    <w:p w:rsidR="00E47997" w:rsidRPr="00807DD9" w:rsidRDefault="00E47997" w:rsidP="00E47997">
      <w:pPr>
        <w:keepNext/>
        <w:tabs>
          <w:tab w:val="left" w:pos="720"/>
          <w:tab w:val="left" w:pos="1134"/>
          <w:tab w:val="left" w:pos="1418"/>
          <w:tab w:val="left" w:pos="1848"/>
          <w:tab w:val="left" w:pos="2773"/>
          <w:tab w:val="left" w:pos="3697"/>
          <w:tab w:val="center" w:pos="4253"/>
          <w:tab w:val="left" w:pos="4621"/>
          <w:tab w:val="left" w:pos="5545"/>
          <w:tab w:val="left" w:pos="6469"/>
          <w:tab w:val="left" w:pos="7394"/>
          <w:tab w:val="left" w:pos="8318"/>
          <w:tab w:val="right" w:pos="8788"/>
        </w:tabs>
        <w:outlineLvl w:val="0"/>
        <w:rPr>
          <w:b/>
          <w:snapToGrid w:val="0"/>
          <w:kern w:val="23"/>
        </w:rPr>
      </w:pPr>
      <w:r w:rsidRPr="00807DD9">
        <w:rPr>
          <w:b/>
          <w:snapToGrid w:val="0"/>
          <w:kern w:val="23"/>
        </w:rPr>
        <w:t>Definitions</w:t>
      </w:r>
    </w:p>
    <w:p w:rsidR="00E47997" w:rsidRPr="00807DD9" w:rsidRDefault="00E47997" w:rsidP="00E47997">
      <w:pPr>
        <w:keepNext/>
        <w:tabs>
          <w:tab w:val="left" w:pos="720"/>
          <w:tab w:val="left" w:pos="1134"/>
          <w:tab w:val="left" w:pos="1418"/>
          <w:tab w:val="left" w:pos="1848"/>
          <w:tab w:val="left" w:pos="2773"/>
          <w:tab w:val="left" w:pos="3697"/>
          <w:tab w:val="center" w:pos="4253"/>
          <w:tab w:val="left" w:pos="4621"/>
          <w:tab w:val="left" w:pos="5545"/>
          <w:tab w:val="left" w:pos="6469"/>
          <w:tab w:val="left" w:pos="7394"/>
          <w:tab w:val="left" w:pos="8318"/>
          <w:tab w:val="right" w:pos="8788"/>
        </w:tabs>
        <w:outlineLvl w:val="0"/>
        <w:rPr>
          <w:b/>
          <w:snapToGrid w:val="0"/>
          <w:kern w:val="23"/>
        </w:rPr>
      </w:pPr>
    </w:p>
    <w:p w:rsidR="00E47997" w:rsidRPr="00807DD9" w:rsidRDefault="00E47997" w:rsidP="00E47997">
      <w:pPr>
        <w:numPr>
          <w:ilvl w:val="0"/>
          <w:numId w:val="7"/>
        </w:numPr>
        <w:tabs>
          <w:tab w:val="left" w:pos="540"/>
        </w:tabs>
        <w:ind w:left="540" w:hanging="540"/>
        <w:rPr>
          <w:snapToGrid w:val="0"/>
          <w:kern w:val="23"/>
        </w:rPr>
      </w:pPr>
      <w:r w:rsidRPr="00807DD9">
        <w:rPr>
          <w:snapToGrid w:val="0"/>
          <w:kern w:val="23"/>
        </w:rPr>
        <w:t xml:space="preserve">In this part </w:t>
      </w:r>
      <w:r w:rsidRPr="00807DD9">
        <w:rPr>
          <w:i/>
          <w:snapToGrid w:val="0"/>
          <w:kern w:val="23"/>
        </w:rPr>
        <w:t>Licensee</w:t>
      </w:r>
      <w:r w:rsidRPr="00807DD9">
        <w:rPr>
          <w:snapToGrid w:val="0"/>
          <w:kern w:val="23"/>
        </w:rPr>
        <w:t xml:space="preserve"> includes, where context permits, the Claims Manager and the Reviewer.</w:t>
      </w:r>
    </w:p>
    <w:p w:rsidR="00E47997" w:rsidRPr="00807DD9" w:rsidRDefault="00E47997" w:rsidP="00E47997">
      <w:pPr>
        <w:keepNext/>
        <w:tabs>
          <w:tab w:val="left" w:pos="720"/>
          <w:tab w:val="left" w:pos="1134"/>
          <w:tab w:val="left" w:pos="1418"/>
          <w:tab w:val="left" w:pos="1848"/>
          <w:tab w:val="left" w:pos="2773"/>
          <w:tab w:val="left" w:pos="3697"/>
          <w:tab w:val="center" w:pos="4253"/>
          <w:tab w:val="left" w:pos="4621"/>
          <w:tab w:val="left" w:pos="5545"/>
          <w:tab w:val="left" w:pos="6469"/>
          <w:tab w:val="left" w:pos="7394"/>
          <w:tab w:val="left" w:pos="8318"/>
          <w:tab w:val="right" w:pos="8788"/>
        </w:tabs>
        <w:outlineLvl w:val="0"/>
        <w:rPr>
          <w:b/>
          <w:snapToGrid w:val="0"/>
          <w:kern w:val="23"/>
        </w:rPr>
      </w:pPr>
    </w:p>
    <w:p w:rsidR="00E47997" w:rsidRPr="00807DD9" w:rsidRDefault="00E47997" w:rsidP="00E47997">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outlineLvl w:val="1"/>
        <w:rPr>
          <w:b/>
          <w:snapToGrid w:val="0"/>
          <w:u w:val="single"/>
        </w:rPr>
      </w:pPr>
      <w:r w:rsidRPr="00807DD9">
        <w:rPr>
          <w:b/>
          <w:snapToGrid w:val="0"/>
          <w:u w:val="single"/>
        </w:rPr>
        <w:t>General conditions</w:t>
      </w:r>
    </w:p>
    <w:p w:rsidR="00E47997" w:rsidRPr="00807DD9" w:rsidRDefault="00E47997" w:rsidP="00E47997">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outlineLvl w:val="1"/>
        <w:rPr>
          <w:b/>
          <w:snapToGrid w:val="0"/>
          <w:u w:val="single"/>
        </w:rPr>
      </w:pPr>
    </w:p>
    <w:p w:rsidR="00E47997" w:rsidRPr="00807DD9" w:rsidRDefault="00E47997" w:rsidP="00E47997">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outlineLvl w:val="1"/>
        <w:rPr>
          <w:b/>
          <w:snapToGrid w:val="0"/>
        </w:rPr>
      </w:pPr>
      <w:r w:rsidRPr="00807DD9">
        <w:rPr>
          <w:b/>
          <w:snapToGrid w:val="0"/>
        </w:rPr>
        <w:t>Communication</w:t>
      </w:r>
    </w:p>
    <w:p w:rsidR="00E47997" w:rsidRPr="00807DD9" w:rsidRDefault="00E47997" w:rsidP="00E47997">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outlineLvl w:val="1"/>
        <w:rPr>
          <w:b/>
          <w:snapToGrid w:val="0"/>
        </w:rPr>
      </w:pPr>
    </w:p>
    <w:p w:rsidR="00E47997" w:rsidRPr="00807DD9" w:rsidRDefault="00E47997" w:rsidP="00E47997">
      <w:pPr>
        <w:numPr>
          <w:ilvl w:val="0"/>
          <w:numId w:val="7"/>
        </w:numPr>
        <w:tabs>
          <w:tab w:val="left" w:pos="540"/>
        </w:tabs>
        <w:ind w:left="540" w:hanging="540"/>
        <w:rPr>
          <w:snapToGrid w:val="0"/>
        </w:rPr>
      </w:pPr>
      <w:r w:rsidRPr="00807DD9">
        <w:rPr>
          <w:snapToGrid w:val="0"/>
        </w:rPr>
        <w:t xml:space="preserve">The Licensee, when bringing employees under its self insurance licence, must provide information to those employees regarding the </w:t>
      </w:r>
      <w:r w:rsidRPr="00807DD9">
        <w:rPr>
          <w:i/>
          <w:snapToGrid w:val="0"/>
        </w:rPr>
        <w:t xml:space="preserve">Work Health and Safety Act 2011 </w:t>
      </w:r>
      <w:r w:rsidRPr="00807DD9">
        <w:rPr>
          <w:snapToGrid w:val="0"/>
        </w:rPr>
        <w:t>(“the WHS Act”) and the SRC Act prior to those employees becoming employees of the Licensee.</w:t>
      </w:r>
    </w:p>
    <w:p w:rsidR="00E47997" w:rsidRPr="00807DD9" w:rsidRDefault="00E47997" w:rsidP="00E47997">
      <w:pPr>
        <w:tabs>
          <w:tab w:val="left" w:pos="540"/>
        </w:tabs>
        <w:ind w:left="540" w:hanging="540"/>
        <w:rPr>
          <w:snapToGrid w:val="0"/>
        </w:rPr>
      </w:pPr>
    </w:p>
    <w:p w:rsidR="00E47997" w:rsidRPr="00807DD9" w:rsidRDefault="00E47997" w:rsidP="00E47997">
      <w:pPr>
        <w:tabs>
          <w:tab w:val="left" w:pos="540"/>
        </w:tabs>
        <w:ind w:left="540" w:hanging="540"/>
        <w:rPr>
          <w:b/>
          <w:snapToGrid w:val="0"/>
        </w:rPr>
      </w:pPr>
      <w:r w:rsidRPr="00807DD9">
        <w:rPr>
          <w:b/>
          <w:snapToGrid w:val="0"/>
        </w:rPr>
        <w:t>Directions of Commission</w:t>
      </w:r>
    </w:p>
    <w:p w:rsidR="00E47997" w:rsidRPr="00807DD9" w:rsidRDefault="00E47997" w:rsidP="00E47997">
      <w:pPr>
        <w:tabs>
          <w:tab w:val="left" w:pos="540"/>
        </w:tabs>
        <w:ind w:left="540" w:hanging="540"/>
        <w:rPr>
          <w:snapToGrid w:val="0"/>
        </w:rPr>
      </w:pPr>
    </w:p>
    <w:p w:rsidR="00E47997" w:rsidRPr="00807DD9" w:rsidRDefault="00E47997" w:rsidP="00E47997">
      <w:pPr>
        <w:numPr>
          <w:ilvl w:val="0"/>
          <w:numId w:val="7"/>
        </w:numPr>
        <w:tabs>
          <w:tab w:val="left" w:pos="540"/>
        </w:tabs>
        <w:ind w:left="540" w:hanging="540"/>
        <w:rPr>
          <w:snapToGrid w:val="0"/>
        </w:rPr>
      </w:pPr>
      <w:r w:rsidRPr="00807DD9">
        <w:rPr>
          <w:snapToGrid w:val="0"/>
        </w:rPr>
        <w:t>The Licensee must comply with any written directions, whether general or in respect of a particular matter or class of matters, given by the Commission to the Licensee with respect to the performance by the Licensee of its functions or the exercise of its powers under the SRC Act.</w:t>
      </w:r>
    </w:p>
    <w:p w:rsidR="00E47997" w:rsidRPr="00807DD9" w:rsidRDefault="00E47997" w:rsidP="00E47997">
      <w:pPr>
        <w:tabs>
          <w:tab w:val="left" w:pos="540"/>
        </w:tabs>
        <w:ind w:left="540" w:hanging="540"/>
        <w:rPr>
          <w:snapToGrid w:val="0"/>
        </w:rPr>
      </w:pPr>
    </w:p>
    <w:p w:rsidR="00E47997" w:rsidRPr="00807DD9" w:rsidRDefault="00E47997" w:rsidP="00E47997">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outlineLvl w:val="1"/>
        <w:rPr>
          <w:b/>
          <w:snapToGrid w:val="0"/>
        </w:rPr>
      </w:pPr>
      <w:r w:rsidRPr="00807DD9">
        <w:rPr>
          <w:b/>
          <w:snapToGrid w:val="0"/>
        </w:rPr>
        <w:t>Requirements</w:t>
      </w:r>
    </w:p>
    <w:p w:rsidR="00E47997" w:rsidRPr="00807DD9" w:rsidRDefault="00E47997" w:rsidP="00E47997">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outlineLvl w:val="1"/>
        <w:rPr>
          <w:snapToGrid w:val="0"/>
        </w:rPr>
      </w:pPr>
    </w:p>
    <w:p w:rsidR="00E47997" w:rsidRPr="00807DD9" w:rsidRDefault="00E47997" w:rsidP="00E47997">
      <w:pPr>
        <w:numPr>
          <w:ilvl w:val="0"/>
          <w:numId w:val="7"/>
        </w:numPr>
        <w:tabs>
          <w:tab w:val="left" w:pos="540"/>
        </w:tabs>
        <w:ind w:left="540" w:hanging="540"/>
        <w:rPr>
          <w:snapToGrid w:val="0"/>
        </w:rPr>
      </w:pPr>
      <w:r w:rsidRPr="00807DD9">
        <w:rPr>
          <w:snapToGrid w:val="0"/>
        </w:rPr>
        <w:t>The Licensee must comply with the requirements of:</w:t>
      </w:r>
    </w:p>
    <w:p w:rsidR="00E47997" w:rsidRPr="00807DD9" w:rsidRDefault="00E47997" w:rsidP="00E47997">
      <w:pPr>
        <w:tabs>
          <w:tab w:val="right" w:pos="1134"/>
          <w:tab w:val="left" w:pos="8318"/>
        </w:tabs>
        <w:rPr>
          <w:snapToGrid w:val="0"/>
        </w:rPr>
      </w:pPr>
    </w:p>
    <w:p w:rsidR="00E47997" w:rsidRPr="00807DD9" w:rsidRDefault="00E47997" w:rsidP="00E47997">
      <w:pPr>
        <w:numPr>
          <w:ilvl w:val="1"/>
          <w:numId w:val="7"/>
        </w:numPr>
        <w:tabs>
          <w:tab w:val="num" w:pos="1080"/>
        </w:tabs>
        <w:ind w:left="1080" w:hanging="540"/>
        <w:rPr>
          <w:snapToGrid w:val="0"/>
        </w:rPr>
      </w:pPr>
      <w:r w:rsidRPr="00807DD9">
        <w:rPr>
          <w:snapToGrid w:val="0"/>
        </w:rPr>
        <w:t>the SRC Act, its Regulations and any applicable guidelines issued by the Commission under section 73A of the SRC Act;</w:t>
      </w:r>
    </w:p>
    <w:p w:rsidR="008D51C1" w:rsidRPr="008D51C1" w:rsidRDefault="00E47997" w:rsidP="008D51C1">
      <w:pPr>
        <w:numPr>
          <w:ilvl w:val="1"/>
          <w:numId w:val="7"/>
        </w:numPr>
        <w:tabs>
          <w:tab w:val="num" w:pos="1080"/>
        </w:tabs>
        <w:ind w:left="1080" w:hanging="540"/>
        <w:rPr>
          <w:snapToGrid w:val="0"/>
        </w:rPr>
      </w:pPr>
      <w:r w:rsidRPr="008D51C1">
        <w:rPr>
          <w:snapToGrid w:val="0"/>
        </w:rPr>
        <w:t>any applicable laws of the Commonwealth, States or Territories with respect to the safety, health and rehabilitation of employees, with a particular focus on the statutory requirements for genuine consultation with employees and their representatives; and</w:t>
      </w:r>
      <w:r w:rsidR="008D51C1" w:rsidRPr="008D51C1">
        <w:rPr>
          <w:snapToGrid w:val="0"/>
        </w:rPr>
        <w:br w:type="page"/>
      </w:r>
    </w:p>
    <w:p w:rsidR="00E47997" w:rsidRPr="00807DD9" w:rsidRDefault="00E47997" w:rsidP="00E47997">
      <w:pPr>
        <w:numPr>
          <w:ilvl w:val="1"/>
          <w:numId w:val="7"/>
        </w:numPr>
        <w:tabs>
          <w:tab w:val="num" w:pos="1080"/>
        </w:tabs>
        <w:ind w:left="1080" w:hanging="540"/>
        <w:rPr>
          <w:snapToGrid w:val="0"/>
        </w:rPr>
      </w:pPr>
    </w:p>
    <w:p w:rsidR="00E47997" w:rsidRPr="00807DD9" w:rsidRDefault="00E47997" w:rsidP="00E47997">
      <w:pPr>
        <w:numPr>
          <w:ilvl w:val="1"/>
          <w:numId w:val="7"/>
        </w:numPr>
        <w:tabs>
          <w:tab w:val="num" w:pos="1080"/>
          <w:tab w:val="num" w:pos="1701"/>
          <w:tab w:val="num" w:pos="3600"/>
        </w:tabs>
        <w:ind w:left="1080" w:hanging="540"/>
        <w:rPr>
          <w:snapToGrid w:val="0"/>
        </w:rPr>
      </w:pPr>
      <w:proofErr w:type="gramStart"/>
      <w:r w:rsidRPr="00807DD9">
        <w:rPr>
          <w:snapToGrid w:val="0"/>
        </w:rPr>
        <w:t>the</w:t>
      </w:r>
      <w:proofErr w:type="gramEnd"/>
      <w:r w:rsidRPr="00807DD9">
        <w:rPr>
          <w:snapToGrid w:val="0"/>
        </w:rPr>
        <w:t xml:space="preserve"> relevant Privacy legislation.</w:t>
      </w:r>
    </w:p>
    <w:p w:rsidR="00E47997" w:rsidRPr="00807DD9" w:rsidRDefault="00E47997" w:rsidP="00E47997">
      <w:pPr>
        <w:tabs>
          <w:tab w:val="num" w:pos="1701"/>
          <w:tab w:val="left" w:pos="2773"/>
          <w:tab w:val="left" w:pos="3697"/>
          <w:tab w:val="left" w:pos="5545"/>
          <w:tab w:val="left" w:pos="6469"/>
          <w:tab w:val="left" w:pos="7394"/>
          <w:tab w:val="left" w:pos="8318"/>
          <w:tab w:val="right" w:pos="8789"/>
        </w:tabs>
        <w:ind w:left="1134"/>
        <w:rPr>
          <w:snapToGrid w:val="0"/>
        </w:rPr>
      </w:pPr>
    </w:p>
    <w:p w:rsidR="00E47997" w:rsidRPr="00807DD9" w:rsidRDefault="00E47997" w:rsidP="00E47997">
      <w:pPr>
        <w:numPr>
          <w:ilvl w:val="0"/>
          <w:numId w:val="7"/>
        </w:numPr>
        <w:tabs>
          <w:tab w:val="left" w:pos="540"/>
        </w:tabs>
        <w:ind w:left="540" w:hanging="540"/>
        <w:rPr>
          <w:snapToGrid w:val="0"/>
        </w:rPr>
      </w:pPr>
      <w:r w:rsidRPr="00807DD9">
        <w:rPr>
          <w:snapToGrid w:val="0"/>
        </w:rPr>
        <w:t xml:space="preserve">The Licensee must have regard to guidelines issued by the Privacy Commissioner under the </w:t>
      </w:r>
      <w:r w:rsidRPr="00807DD9">
        <w:rPr>
          <w:i/>
          <w:snapToGrid w:val="0"/>
        </w:rPr>
        <w:t>Privacy Act 1988</w:t>
      </w:r>
      <w:r w:rsidRPr="00807DD9">
        <w:rPr>
          <w:snapToGrid w:val="0"/>
        </w:rPr>
        <w:t xml:space="preserve"> (</w:t>
      </w:r>
      <w:proofErr w:type="spellStart"/>
      <w:r w:rsidRPr="00807DD9">
        <w:rPr>
          <w:snapToGrid w:val="0"/>
        </w:rPr>
        <w:t>Cth</w:t>
      </w:r>
      <w:proofErr w:type="spellEnd"/>
      <w:r w:rsidRPr="00807DD9">
        <w:rPr>
          <w:snapToGrid w:val="0"/>
        </w:rPr>
        <w:t>) and must comply with any such guidelines dealing with covert surveillance of employees</w:t>
      </w:r>
      <w:r w:rsidRPr="00807DD9">
        <w:rPr>
          <w:i/>
          <w:snapToGrid w:val="0"/>
        </w:rPr>
        <w:t>.</w:t>
      </w:r>
    </w:p>
    <w:p w:rsidR="00E47997" w:rsidRPr="00807DD9" w:rsidRDefault="00E47997" w:rsidP="00E47997">
      <w:pPr>
        <w:tabs>
          <w:tab w:val="left" w:pos="540"/>
        </w:tabs>
        <w:ind w:left="540" w:hanging="540"/>
        <w:rPr>
          <w:snapToGrid w:val="0"/>
        </w:rPr>
      </w:pPr>
    </w:p>
    <w:p w:rsidR="00E47997" w:rsidRPr="00807DD9" w:rsidRDefault="00E47997" w:rsidP="00E47997">
      <w:pPr>
        <w:keepNext/>
        <w:tabs>
          <w:tab w:val="left" w:pos="540"/>
          <w:tab w:val="left" w:pos="720"/>
          <w:tab w:val="left" w:pos="924"/>
          <w:tab w:val="left" w:pos="1418"/>
          <w:tab w:val="left" w:pos="1848"/>
          <w:tab w:val="left" w:pos="2773"/>
          <w:tab w:val="left" w:pos="3697"/>
          <w:tab w:val="left" w:pos="4621"/>
          <w:tab w:val="left" w:pos="5545"/>
          <w:tab w:val="left" w:pos="6469"/>
          <w:tab w:val="left" w:pos="7394"/>
          <w:tab w:val="right" w:pos="8789"/>
        </w:tabs>
        <w:ind w:left="540" w:hanging="540"/>
        <w:outlineLvl w:val="1"/>
        <w:rPr>
          <w:b/>
          <w:snapToGrid w:val="0"/>
        </w:rPr>
      </w:pPr>
      <w:r w:rsidRPr="00807DD9">
        <w:rPr>
          <w:b/>
          <w:snapToGrid w:val="0"/>
        </w:rPr>
        <w:t>Fees</w:t>
      </w:r>
    </w:p>
    <w:p w:rsidR="00E47997" w:rsidRPr="00807DD9" w:rsidRDefault="00E47997" w:rsidP="00E47997">
      <w:pPr>
        <w:keepNext/>
        <w:tabs>
          <w:tab w:val="left" w:pos="540"/>
          <w:tab w:val="left" w:pos="720"/>
          <w:tab w:val="left" w:pos="924"/>
          <w:tab w:val="left" w:pos="1418"/>
          <w:tab w:val="left" w:pos="1848"/>
          <w:tab w:val="left" w:pos="2773"/>
          <w:tab w:val="left" w:pos="3697"/>
          <w:tab w:val="left" w:pos="4621"/>
          <w:tab w:val="left" w:pos="5545"/>
          <w:tab w:val="left" w:pos="6469"/>
          <w:tab w:val="left" w:pos="7394"/>
          <w:tab w:val="right" w:pos="8789"/>
        </w:tabs>
        <w:ind w:left="540" w:hanging="540"/>
        <w:outlineLvl w:val="1"/>
        <w:rPr>
          <w:snapToGrid w:val="0"/>
        </w:rPr>
      </w:pPr>
    </w:p>
    <w:p w:rsidR="00E47997" w:rsidRPr="00807DD9" w:rsidRDefault="00E47997" w:rsidP="00E47997">
      <w:pPr>
        <w:numPr>
          <w:ilvl w:val="0"/>
          <w:numId w:val="7"/>
        </w:numPr>
        <w:tabs>
          <w:tab w:val="left" w:pos="540"/>
        </w:tabs>
        <w:ind w:left="540" w:hanging="540"/>
        <w:rPr>
          <w:snapToGrid w:val="0"/>
        </w:rPr>
      </w:pPr>
      <w:r w:rsidRPr="00807DD9">
        <w:rPr>
          <w:snapToGrid w:val="0"/>
        </w:rPr>
        <w:t>The Licensee must pay the licence fee notified in writing to the Licensee under section 104A of the SRC Act within one month</w:t>
      </w:r>
      <w:r w:rsidRPr="00807DD9">
        <w:rPr>
          <w:b/>
          <w:i/>
          <w:snapToGrid w:val="0"/>
        </w:rPr>
        <w:t xml:space="preserve"> </w:t>
      </w:r>
      <w:r w:rsidRPr="00807DD9">
        <w:rPr>
          <w:snapToGrid w:val="0"/>
        </w:rPr>
        <w:t>of receiving the notification.</w:t>
      </w:r>
    </w:p>
    <w:p w:rsidR="00E47997" w:rsidRPr="00807DD9" w:rsidRDefault="00E47997" w:rsidP="00E47997">
      <w:pPr>
        <w:tabs>
          <w:tab w:val="right" w:pos="1134"/>
          <w:tab w:val="left" w:pos="8318"/>
        </w:tabs>
        <w:rPr>
          <w:snapToGrid w:val="0"/>
        </w:rPr>
      </w:pPr>
    </w:p>
    <w:p w:rsidR="00E47997" w:rsidRPr="00807DD9" w:rsidRDefault="00E47997" w:rsidP="00E47997">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outlineLvl w:val="1"/>
        <w:rPr>
          <w:b/>
          <w:snapToGrid w:val="0"/>
        </w:rPr>
      </w:pPr>
      <w:r w:rsidRPr="00807DD9">
        <w:rPr>
          <w:b/>
          <w:snapToGrid w:val="0"/>
        </w:rPr>
        <w:t>Manner of managing claims</w:t>
      </w:r>
    </w:p>
    <w:p w:rsidR="00E47997" w:rsidRPr="00807DD9" w:rsidRDefault="00E47997" w:rsidP="00E47997">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outlineLvl w:val="1"/>
        <w:rPr>
          <w:b/>
          <w:snapToGrid w:val="0"/>
        </w:rPr>
      </w:pPr>
    </w:p>
    <w:p w:rsidR="00E47997" w:rsidRPr="00807DD9" w:rsidRDefault="00E47997" w:rsidP="00E47997">
      <w:pPr>
        <w:numPr>
          <w:ilvl w:val="0"/>
          <w:numId w:val="7"/>
        </w:numPr>
        <w:tabs>
          <w:tab w:val="left" w:pos="540"/>
        </w:tabs>
        <w:ind w:left="540" w:hanging="540"/>
        <w:rPr>
          <w:snapToGrid w:val="0"/>
        </w:rPr>
      </w:pPr>
      <w:r w:rsidRPr="00807DD9">
        <w:rPr>
          <w:snapToGrid w:val="0"/>
        </w:rPr>
        <w:t>In managing claims, the Licensee:</w:t>
      </w:r>
    </w:p>
    <w:p w:rsidR="00E47997" w:rsidRPr="00807DD9" w:rsidRDefault="00E47997" w:rsidP="00E47997">
      <w:pPr>
        <w:tabs>
          <w:tab w:val="right" w:pos="1134"/>
          <w:tab w:val="left" w:pos="8318"/>
        </w:tabs>
        <w:rPr>
          <w:snapToGrid w:val="0"/>
        </w:rPr>
      </w:pPr>
    </w:p>
    <w:p w:rsidR="00E47997" w:rsidRPr="00807DD9" w:rsidRDefault="00E47997" w:rsidP="00E47997">
      <w:pPr>
        <w:tabs>
          <w:tab w:val="left" w:pos="1080"/>
        </w:tabs>
        <w:ind w:left="1080" w:hanging="540"/>
        <w:rPr>
          <w:snapToGrid w:val="0"/>
        </w:rPr>
      </w:pPr>
      <w:r w:rsidRPr="00807DD9">
        <w:rPr>
          <w:snapToGrid w:val="0"/>
        </w:rPr>
        <w:t>(a)</w:t>
      </w:r>
      <w:r w:rsidRPr="00807DD9">
        <w:rPr>
          <w:snapToGrid w:val="0"/>
        </w:rPr>
        <w:tab/>
      </w:r>
      <w:proofErr w:type="gramStart"/>
      <w:r w:rsidRPr="00807DD9">
        <w:rPr>
          <w:snapToGrid w:val="0"/>
        </w:rPr>
        <w:t>must</w:t>
      </w:r>
      <w:proofErr w:type="gramEnd"/>
      <w:r w:rsidRPr="00807DD9">
        <w:rPr>
          <w:snapToGrid w:val="0"/>
        </w:rPr>
        <w:t xml:space="preserve"> be guided by equity, good conscience and the substantial merits of the case without regard to technicalities;</w:t>
      </w:r>
    </w:p>
    <w:p w:rsidR="00E47997" w:rsidRPr="00807DD9" w:rsidRDefault="00E47997" w:rsidP="00E47997">
      <w:pPr>
        <w:tabs>
          <w:tab w:val="left" w:pos="1080"/>
        </w:tabs>
        <w:ind w:left="1080" w:hanging="540"/>
        <w:rPr>
          <w:snapToGrid w:val="0"/>
        </w:rPr>
      </w:pPr>
      <w:r w:rsidRPr="00807DD9">
        <w:rPr>
          <w:snapToGrid w:val="0"/>
        </w:rPr>
        <w:t>(b)</w:t>
      </w:r>
      <w:r w:rsidRPr="00807DD9">
        <w:rPr>
          <w:snapToGrid w:val="0"/>
        </w:rPr>
        <w:tab/>
      </w:r>
      <w:proofErr w:type="gramStart"/>
      <w:r w:rsidRPr="00807DD9">
        <w:rPr>
          <w:snapToGrid w:val="0"/>
        </w:rPr>
        <w:t>is</w:t>
      </w:r>
      <w:proofErr w:type="gramEnd"/>
      <w:r w:rsidRPr="00807DD9">
        <w:rPr>
          <w:snapToGrid w:val="0"/>
        </w:rPr>
        <w:t xml:space="preserve"> not required to conduct a hearing; and</w:t>
      </w:r>
    </w:p>
    <w:p w:rsidR="00E47997" w:rsidRPr="00807DD9" w:rsidRDefault="00E47997" w:rsidP="00E47997">
      <w:pPr>
        <w:tabs>
          <w:tab w:val="left" w:pos="1080"/>
        </w:tabs>
        <w:ind w:left="1080" w:hanging="540"/>
        <w:rPr>
          <w:snapToGrid w:val="0"/>
        </w:rPr>
      </w:pPr>
      <w:r w:rsidRPr="00807DD9">
        <w:rPr>
          <w:snapToGrid w:val="0"/>
        </w:rPr>
        <w:t>(c)</w:t>
      </w:r>
      <w:r w:rsidRPr="00807DD9">
        <w:rPr>
          <w:snapToGrid w:val="0"/>
        </w:rPr>
        <w:tab/>
      </w:r>
      <w:proofErr w:type="gramStart"/>
      <w:r w:rsidRPr="00807DD9">
        <w:rPr>
          <w:snapToGrid w:val="0"/>
        </w:rPr>
        <w:t>is</w:t>
      </w:r>
      <w:proofErr w:type="gramEnd"/>
      <w:r w:rsidRPr="00807DD9">
        <w:rPr>
          <w:snapToGrid w:val="0"/>
        </w:rPr>
        <w:t xml:space="preserve"> not bound by the rules of evidence.</w:t>
      </w:r>
    </w:p>
    <w:p w:rsidR="00E47997" w:rsidRPr="00807DD9" w:rsidRDefault="00E47997" w:rsidP="00E47997">
      <w:pPr>
        <w:ind w:left="1701" w:hanging="567"/>
        <w:rPr>
          <w:snapToGrid w:val="0"/>
        </w:rPr>
      </w:pPr>
    </w:p>
    <w:p w:rsidR="00E47997" w:rsidRPr="00807DD9" w:rsidRDefault="00E47997" w:rsidP="00E47997">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outlineLvl w:val="1"/>
        <w:rPr>
          <w:b/>
          <w:snapToGrid w:val="0"/>
        </w:rPr>
      </w:pPr>
      <w:r w:rsidRPr="00807DD9">
        <w:rPr>
          <w:b/>
          <w:snapToGrid w:val="0"/>
        </w:rPr>
        <w:t>Audits</w:t>
      </w:r>
    </w:p>
    <w:p w:rsidR="00E47997" w:rsidRPr="00807DD9" w:rsidRDefault="00E47997" w:rsidP="00E47997">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outlineLvl w:val="1"/>
        <w:rPr>
          <w:snapToGrid w:val="0"/>
        </w:rPr>
      </w:pPr>
    </w:p>
    <w:p w:rsidR="00E47997" w:rsidRPr="00807DD9" w:rsidRDefault="00E47997" w:rsidP="00E47997">
      <w:pPr>
        <w:numPr>
          <w:ilvl w:val="0"/>
          <w:numId w:val="7"/>
        </w:numPr>
        <w:tabs>
          <w:tab w:val="left" w:pos="540"/>
        </w:tabs>
        <w:ind w:left="540" w:hanging="540"/>
        <w:rPr>
          <w:snapToGrid w:val="0"/>
        </w:rPr>
      </w:pPr>
      <w:r w:rsidRPr="00807DD9">
        <w:rPr>
          <w:snapToGrid w:val="0"/>
        </w:rPr>
        <w:t>The Licensee must co-operate with, and give reasonable assistance to, the Commission or its representatives in respect of any audits and evaluations of the Licensee to be conducted by the Commission or its representatives.</w:t>
      </w:r>
    </w:p>
    <w:p w:rsidR="00E47997" w:rsidRPr="00807DD9" w:rsidRDefault="00E47997" w:rsidP="00E47997">
      <w:pPr>
        <w:tabs>
          <w:tab w:val="left" w:pos="540"/>
        </w:tabs>
        <w:ind w:left="540" w:hanging="540"/>
        <w:rPr>
          <w:snapToGrid w:val="0"/>
        </w:rPr>
      </w:pPr>
    </w:p>
    <w:p w:rsidR="00E47997" w:rsidRPr="00807DD9" w:rsidRDefault="00E47997" w:rsidP="00E47997">
      <w:pPr>
        <w:numPr>
          <w:ilvl w:val="0"/>
          <w:numId w:val="7"/>
        </w:numPr>
        <w:tabs>
          <w:tab w:val="left" w:pos="540"/>
        </w:tabs>
        <w:ind w:left="540" w:hanging="540"/>
        <w:rPr>
          <w:snapToGrid w:val="0"/>
        </w:rPr>
      </w:pPr>
      <w:r w:rsidRPr="00807DD9">
        <w:rPr>
          <w:snapToGrid w:val="0"/>
        </w:rPr>
        <w:t>The Licensee must:</w:t>
      </w:r>
    </w:p>
    <w:p w:rsidR="00E47997" w:rsidRPr="00807DD9" w:rsidRDefault="00E47997" w:rsidP="00E47997">
      <w:pPr>
        <w:tabs>
          <w:tab w:val="right" w:pos="1134"/>
          <w:tab w:val="left" w:pos="8318"/>
        </w:tabs>
        <w:rPr>
          <w:snapToGrid w:val="0"/>
        </w:rPr>
      </w:pPr>
    </w:p>
    <w:p w:rsidR="00E47997" w:rsidRPr="00807DD9" w:rsidRDefault="00E47997" w:rsidP="00E47997">
      <w:pPr>
        <w:numPr>
          <w:ilvl w:val="0"/>
          <w:numId w:val="24"/>
        </w:numPr>
        <w:tabs>
          <w:tab w:val="clear" w:pos="720"/>
          <w:tab w:val="left" w:pos="1134"/>
        </w:tabs>
        <w:ind w:left="1134" w:hanging="567"/>
        <w:rPr>
          <w:snapToGrid w:val="0"/>
        </w:rPr>
      </w:pPr>
      <w:r w:rsidRPr="00807DD9">
        <w:rPr>
          <w:snapToGrid w:val="0"/>
        </w:rPr>
        <w:t>conduct at least once every year a Performance Audit of the Claims Management, Rehabilitation and WHS functions, as advised to Comcare; and</w:t>
      </w:r>
    </w:p>
    <w:p w:rsidR="00E47997" w:rsidRPr="00807DD9" w:rsidRDefault="00E47997" w:rsidP="00E47997">
      <w:pPr>
        <w:numPr>
          <w:ilvl w:val="0"/>
          <w:numId w:val="24"/>
        </w:numPr>
        <w:tabs>
          <w:tab w:val="clear" w:pos="720"/>
          <w:tab w:val="num" w:pos="1080"/>
          <w:tab w:val="left" w:pos="1134"/>
        </w:tabs>
        <w:ind w:left="1134" w:hanging="567"/>
        <w:rPr>
          <w:snapToGrid w:val="0"/>
        </w:rPr>
      </w:pPr>
      <w:proofErr w:type="gramStart"/>
      <w:r w:rsidRPr="00807DD9">
        <w:rPr>
          <w:snapToGrid w:val="0"/>
        </w:rPr>
        <w:t>report</w:t>
      </w:r>
      <w:proofErr w:type="gramEnd"/>
      <w:r w:rsidRPr="00807DD9">
        <w:rPr>
          <w:snapToGrid w:val="0"/>
        </w:rPr>
        <w:t xml:space="preserve"> to the Commission as required in accordance with audit methodology as approved by the Commission or as otherwise required by the Commission.</w:t>
      </w:r>
    </w:p>
    <w:p w:rsidR="00E47997" w:rsidRPr="00807DD9" w:rsidRDefault="00E47997" w:rsidP="00E47997">
      <w:pPr>
        <w:tabs>
          <w:tab w:val="right" w:pos="1134"/>
          <w:tab w:val="left" w:pos="8318"/>
        </w:tabs>
        <w:rPr>
          <w:snapToGrid w:val="0"/>
        </w:rPr>
      </w:pPr>
    </w:p>
    <w:p w:rsidR="00E47997" w:rsidRPr="00807DD9" w:rsidRDefault="00E47997" w:rsidP="00E47997">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outlineLvl w:val="1"/>
        <w:rPr>
          <w:b/>
          <w:snapToGrid w:val="0"/>
        </w:rPr>
      </w:pPr>
      <w:r w:rsidRPr="00807DD9">
        <w:rPr>
          <w:b/>
          <w:snapToGrid w:val="0"/>
        </w:rPr>
        <w:t>Reviews and proceedings</w:t>
      </w:r>
    </w:p>
    <w:p w:rsidR="00E47997" w:rsidRPr="00807DD9" w:rsidRDefault="00E47997" w:rsidP="00E47997">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outlineLvl w:val="1"/>
        <w:rPr>
          <w:snapToGrid w:val="0"/>
        </w:rPr>
      </w:pPr>
    </w:p>
    <w:p w:rsidR="00E47997" w:rsidRPr="00807DD9" w:rsidRDefault="00E47997" w:rsidP="00E47997">
      <w:pPr>
        <w:numPr>
          <w:ilvl w:val="0"/>
          <w:numId w:val="7"/>
        </w:numPr>
        <w:tabs>
          <w:tab w:val="left" w:pos="540"/>
        </w:tabs>
        <w:ind w:left="540" w:hanging="540"/>
        <w:rPr>
          <w:snapToGrid w:val="0"/>
        </w:rPr>
      </w:pPr>
      <w:r w:rsidRPr="00807DD9">
        <w:t xml:space="preserve">Comcare must be informed as soon as practicable of court or tribunal proceedings in relation to a matter arising in respect of a claim managed by a Licensee under the SRC Act. </w:t>
      </w:r>
      <w:r w:rsidRPr="00807DD9">
        <w:rPr>
          <w:snapToGrid w:val="0"/>
        </w:rPr>
        <w:br/>
      </w:r>
    </w:p>
    <w:p w:rsidR="00E47997" w:rsidRPr="00807DD9" w:rsidRDefault="00E47997" w:rsidP="00E47997">
      <w:pPr>
        <w:numPr>
          <w:ilvl w:val="0"/>
          <w:numId w:val="7"/>
        </w:numPr>
        <w:tabs>
          <w:tab w:val="left" w:pos="540"/>
        </w:tabs>
        <w:ind w:left="540" w:hanging="540"/>
        <w:rPr>
          <w:snapToGrid w:val="0"/>
        </w:rPr>
      </w:pPr>
      <w:r w:rsidRPr="00807DD9">
        <w:rPr>
          <w:snapToGrid w:val="0"/>
        </w:rPr>
        <w:t>The Licensee must not cause, or permit to be made on its behalf, any submission to a court or tribunal in relation to the interpretation of a provision of the SRC Act or associated transitional or consequential provisions that Comcare or the Commission requests the Licensee not to make.</w:t>
      </w:r>
    </w:p>
    <w:p w:rsidR="00E47997" w:rsidRPr="00807DD9" w:rsidRDefault="00E47997" w:rsidP="00E47997">
      <w:pPr>
        <w:tabs>
          <w:tab w:val="right" w:pos="1134"/>
          <w:tab w:val="left" w:pos="8318"/>
        </w:tabs>
        <w:rPr>
          <w:snapToGrid w:val="0"/>
        </w:rPr>
      </w:pPr>
    </w:p>
    <w:p w:rsidR="00E47997" w:rsidRPr="00807DD9" w:rsidRDefault="00E47997" w:rsidP="00E47997">
      <w:pPr>
        <w:ind w:left="540"/>
      </w:pPr>
      <w:r w:rsidRPr="00807DD9">
        <w:rPr>
          <w:i/>
        </w:rPr>
        <w:t xml:space="preserve">Note 1: </w:t>
      </w:r>
      <w:r w:rsidRPr="00807DD9">
        <w:t xml:space="preserve">If proceedings are brought against the Licensee, subsection 108C(8) requires the Licensee to inform Comcare as soon as practicable and the court or tribunal before which the proceedings have been brought must, on application by </w:t>
      </w:r>
      <w:hyperlink r:id="rId16" w:anchor="comcare" w:history="1">
        <w:r w:rsidRPr="00807DD9">
          <w:t>Comcare</w:t>
        </w:r>
      </w:hyperlink>
      <w:r w:rsidRPr="00807DD9">
        <w:t xml:space="preserve">, join </w:t>
      </w:r>
      <w:hyperlink r:id="rId17" w:anchor="comcare" w:history="1">
        <w:r w:rsidRPr="00807DD9">
          <w:t>Comcare</w:t>
        </w:r>
      </w:hyperlink>
      <w:r w:rsidRPr="00807DD9">
        <w:t xml:space="preserve"> as a party to the proceedings.</w:t>
      </w:r>
    </w:p>
    <w:p w:rsidR="00E47997" w:rsidRPr="00807DD9" w:rsidRDefault="00E47997" w:rsidP="00E47997"/>
    <w:p w:rsidR="00E47997" w:rsidRDefault="00E47997" w:rsidP="00E47997">
      <w:pPr>
        <w:ind w:left="540"/>
        <w:rPr>
          <w:i/>
          <w:iCs/>
        </w:rPr>
      </w:pPr>
      <w:r>
        <w:rPr>
          <w:i/>
          <w:iCs/>
        </w:rPr>
        <w:br w:type="page"/>
      </w:r>
    </w:p>
    <w:p w:rsidR="00E47997" w:rsidRPr="00807DD9" w:rsidRDefault="00E47997" w:rsidP="00E47997">
      <w:pPr>
        <w:ind w:left="540"/>
      </w:pPr>
      <w:r w:rsidRPr="00807DD9">
        <w:rPr>
          <w:i/>
          <w:iCs/>
        </w:rPr>
        <w:lastRenderedPageBreak/>
        <w:t>Note 2</w:t>
      </w:r>
      <w:r w:rsidRPr="00807DD9">
        <w:t xml:space="preserve">: Section 108D(1)(f) provides licences may include a condition that, in all circumstances or specified circumstances, the </w:t>
      </w:r>
      <w:hyperlink r:id="rId18" w:anchor="licensee" w:history="1">
        <w:r w:rsidRPr="00807DD9">
          <w:t>Licensee</w:t>
        </w:r>
      </w:hyperlink>
      <w:r w:rsidRPr="00807DD9">
        <w:t xml:space="preserve"> will not cause or permit to be made on its behalf to a court or tribunal any submission that </w:t>
      </w:r>
      <w:hyperlink r:id="rId19" w:anchor="comcare" w:history="1">
        <w:r w:rsidRPr="00807DD9">
          <w:t>Comcare</w:t>
        </w:r>
      </w:hyperlink>
      <w:r w:rsidRPr="00807DD9">
        <w:t xml:space="preserve"> or the </w:t>
      </w:r>
      <w:hyperlink r:id="rId20" w:anchor="commission" w:history="1">
        <w:r w:rsidRPr="00807DD9">
          <w:t>Commission</w:t>
        </w:r>
      </w:hyperlink>
      <w:r w:rsidRPr="00807DD9">
        <w:t xml:space="preserve"> has requested the </w:t>
      </w:r>
      <w:hyperlink r:id="rId21" w:anchor="licensee" w:history="1">
        <w:r w:rsidRPr="00807DD9">
          <w:t>Licensee</w:t>
        </w:r>
      </w:hyperlink>
      <w:r w:rsidRPr="00807DD9">
        <w:t xml:space="preserve"> not to make.</w:t>
      </w:r>
    </w:p>
    <w:p w:rsidR="00E47997" w:rsidRPr="00807DD9" w:rsidRDefault="00E47997" w:rsidP="00E47997">
      <w:pPr>
        <w:ind w:left="540"/>
      </w:pPr>
    </w:p>
    <w:p w:rsidR="00E47997" w:rsidRPr="00807DD9" w:rsidRDefault="00E47997" w:rsidP="00E47997">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outlineLvl w:val="1"/>
        <w:rPr>
          <w:b/>
          <w:snapToGrid w:val="0"/>
        </w:rPr>
      </w:pPr>
      <w:r w:rsidRPr="00807DD9">
        <w:rPr>
          <w:b/>
          <w:snapToGrid w:val="0"/>
        </w:rPr>
        <w:t>Failure to comply with conditions or change in circumstances</w:t>
      </w:r>
    </w:p>
    <w:p w:rsidR="00E47997" w:rsidRPr="00807DD9" w:rsidRDefault="00E47997" w:rsidP="00E47997">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outlineLvl w:val="1"/>
        <w:rPr>
          <w:b/>
          <w:snapToGrid w:val="0"/>
        </w:rPr>
      </w:pPr>
    </w:p>
    <w:p w:rsidR="00E47997" w:rsidRPr="00807DD9" w:rsidRDefault="00E47997" w:rsidP="00E47997">
      <w:pPr>
        <w:numPr>
          <w:ilvl w:val="0"/>
          <w:numId w:val="7"/>
        </w:numPr>
        <w:tabs>
          <w:tab w:val="left" w:pos="540"/>
        </w:tabs>
        <w:ind w:left="540" w:hanging="540"/>
        <w:rPr>
          <w:snapToGrid w:val="0"/>
        </w:rPr>
      </w:pPr>
      <w:r w:rsidRPr="00807DD9">
        <w:t>The Licensee must notify Comcare in writing as soon as practicable of any event or likely event that is relevant to the application of the SRC Act and the WHS Act to the Licensee, this may include but is not limited to:</w:t>
      </w:r>
    </w:p>
    <w:p w:rsidR="00E47997" w:rsidRPr="00807DD9" w:rsidRDefault="00E47997" w:rsidP="00E47997">
      <w:pPr>
        <w:tabs>
          <w:tab w:val="right" w:pos="1134"/>
          <w:tab w:val="left" w:pos="8318"/>
        </w:tabs>
        <w:rPr>
          <w:snapToGrid w:val="0"/>
        </w:rPr>
      </w:pPr>
    </w:p>
    <w:p w:rsidR="00E47997" w:rsidRPr="00807DD9" w:rsidRDefault="00E47997" w:rsidP="00E47997">
      <w:pPr>
        <w:numPr>
          <w:ilvl w:val="0"/>
          <w:numId w:val="4"/>
        </w:numPr>
        <w:tabs>
          <w:tab w:val="num" w:pos="1080"/>
        </w:tabs>
        <w:ind w:left="1080" w:hanging="540"/>
        <w:rPr>
          <w:snapToGrid w:val="0"/>
        </w:rPr>
      </w:pPr>
      <w:r w:rsidRPr="00807DD9">
        <w:t>the Licensee has not complied with, or is likely to fail to comply with, a condition of this licence; or</w:t>
      </w:r>
      <w:r w:rsidRPr="00807DD9">
        <w:rPr>
          <w:snapToGrid w:val="0"/>
        </w:rPr>
        <w:t xml:space="preserve"> </w:t>
      </w:r>
    </w:p>
    <w:p w:rsidR="00E47997" w:rsidRPr="00807DD9" w:rsidRDefault="00E47997" w:rsidP="00E47997">
      <w:pPr>
        <w:numPr>
          <w:ilvl w:val="0"/>
          <w:numId w:val="4"/>
        </w:numPr>
        <w:tabs>
          <w:tab w:val="num" w:pos="1080"/>
        </w:tabs>
        <w:ind w:left="1080" w:hanging="540"/>
        <w:rPr>
          <w:snapToGrid w:val="0"/>
        </w:rPr>
      </w:pPr>
      <w:r w:rsidRPr="00807DD9">
        <w:t>any change that may impact on the Licensee’s capacity to meet its liabilities under the SRC Act, including change to the Licensee’s underlying financial position</w:t>
      </w:r>
      <w:r w:rsidRPr="00807DD9">
        <w:rPr>
          <w:snapToGrid w:val="0"/>
        </w:rPr>
        <w:t>; or</w:t>
      </w:r>
    </w:p>
    <w:p w:rsidR="00E47997" w:rsidRPr="00807DD9" w:rsidRDefault="00E47997" w:rsidP="00E47997">
      <w:pPr>
        <w:numPr>
          <w:ilvl w:val="0"/>
          <w:numId w:val="4"/>
        </w:numPr>
        <w:tabs>
          <w:tab w:val="num" w:pos="1080"/>
        </w:tabs>
        <w:ind w:left="1080" w:hanging="540"/>
        <w:rPr>
          <w:snapToGrid w:val="0"/>
        </w:rPr>
      </w:pPr>
      <w:r w:rsidRPr="00807DD9">
        <w:t>changes to its legal structure, ownership or control; or</w:t>
      </w:r>
      <w:r w:rsidRPr="00807DD9">
        <w:rPr>
          <w:snapToGrid w:val="0"/>
        </w:rPr>
        <w:t xml:space="preserve"> </w:t>
      </w:r>
    </w:p>
    <w:p w:rsidR="00E47997" w:rsidRPr="00807DD9" w:rsidRDefault="00E47997" w:rsidP="00E47997">
      <w:pPr>
        <w:numPr>
          <w:ilvl w:val="0"/>
          <w:numId w:val="4"/>
        </w:numPr>
        <w:tabs>
          <w:tab w:val="num" w:pos="1080"/>
        </w:tabs>
        <w:ind w:left="1080" w:hanging="540"/>
        <w:rPr>
          <w:snapToGrid w:val="0"/>
        </w:rPr>
      </w:pPr>
      <w:proofErr w:type="gramStart"/>
      <w:r w:rsidRPr="00807DD9">
        <w:rPr>
          <w:snapToGrid w:val="0"/>
        </w:rPr>
        <w:t>any</w:t>
      </w:r>
      <w:proofErr w:type="gramEnd"/>
      <w:r w:rsidRPr="00807DD9">
        <w:rPr>
          <w:snapToGrid w:val="0"/>
        </w:rPr>
        <w:t xml:space="preserve"> significant change in its employee numbers or significant change in the risk profile of the work undertaken by its employees.</w:t>
      </w:r>
    </w:p>
    <w:p w:rsidR="00E47997" w:rsidRPr="00807DD9" w:rsidRDefault="00E47997" w:rsidP="00E47997">
      <w:pPr>
        <w:rPr>
          <w:snapToGrid w:val="0"/>
        </w:rPr>
      </w:pPr>
    </w:p>
    <w:p w:rsidR="00E47997" w:rsidRPr="00807DD9" w:rsidRDefault="00E47997" w:rsidP="00E47997">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outlineLvl w:val="1"/>
        <w:rPr>
          <w:b/>
          <w:snapToGrid w:val="0"/>
        </w:rPr>
      </w:pPr>
      <w:r w:rsidRPr="00807DD9">
        <w:rPr>
          <w:b/>
          <w:snapToGrid w:val="0"/>
        </w:rPr>
        <w:t>Information and reporting requirements</w:t>
      </w:r>
    </w:p>
    <w:p w:rsidR="00E47997" w:rsidRPr="00807DD9" w:rsidRDefault="00E47997" w:rsidP="00E47997">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outlineLvl w:val="1"/>
        <w:rPr>
          <w:b/>
          <w:snapToGrid w:val="0"/>
        </w:rPr>
      </w:pPr>
    </w:p>
    <w:p w:rsidR="00E47997" w:rsidRPr="00807DD9" w:rsidRDefault="00E47997" w:rsidP="00E47997">
      <w:pPr>
        <w:numPr>
          <w:ilvl w:val="0"/>
          <w:numId w:val="7"/>
        </w:numPr>
        <w:tabs>
          <w:tab w:val="left" w:pos="540"/>
        </w:tabs>
        <w:ind w:left="540" w:hanging="540"/>
        <w:rPr>
          <w:snapToGrid w:val="0"/>
        </w:rPr>
      </w:pPr>
      <w:r w:rsidRPr="00807DD9">
        <w:rPr>
          <w:snapToGrid w:val="0"/>
        </w:rPr>
        <w:t>On written request of the Commission, the Licensee must give to the Commission, within the timeframe specified in the request, such information relating to the Licensee’s operations under the SRC Act or the WHS Act in the form and at the place specified in the request.</w:t>
      </w:r>
    </w:p>
    <w:p w:rsidR="00E47997" w:rsidRPr="00807DD9" w:rsidRDefault="00E47997" w:rsidP="00E47997">
      <w:pPr>
        <w:ind w:left="1134"/>
        <w:rPr>
          <w:i/>
        </w:rPr>
      </w:pPr>
    </w:p>
    <w:p w:rsidR="00E47997" w:rsidRPr="00807DD9" w:rsidRDefault="00E47997" w:rsidP="00E47997">
      <w:pPr>
        <w:ind w:left="540"/>
      </w:pPr>
      <w:r w:rsidRPr="00807DD9">
        <w:rPr>
          <w:i/>
        </w:rPr>
        <w:t>Note</w:t>
      </w:r>
      <w:r w:rsidRPr="00807DD9">
        <w:t>: Information likely to be requested by the Commission includes information required for the Data Warehouse, the Commission’s annual report, Commission Indicators, the Comparative Performance Monitor</w:t>
      </w:r>
      <w:r w:rsidRPr="00807DD9">
        <w:rPr>
          <w:b/>
          <w:i/>
        </w:rPr>
        <w:t xml:space="preserve"> </w:t>
      </w:r>
      <w:r w:rsidRPr="00807DD9">
        <w:t>and the Return to Work Monitor.</w:t>
      </w:r>
    </w:p>
    <w:p w:rsidR="00E47997" w:rsidRPr="00807DD9" w:rsidRDefault="00E47997" w:rsidP="00E47997">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outlineLvl w:val="2"/>
        <w:rPr>
          <w:b/>
          <w:snapToGrid w:val="0"/>
          <w:u w:val="single"/>
        </w:rPr>
      </w:pPr>
    </w:p>
    <w:p w:rsidR="00E47997" w:rsidRPr="00807DD9" w:rsidRDefault="00E47997" w:rsidP="00E47997">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outlineLvl w:val="2"/>
        <w:rPr>
          <w:b/>
          <w:snapToGrid w:val="0"/>
        </w:rPr>
      </w:pPr>
      <w:r w:rsidRPr="00807DD9">
        <w:rPr>
          <w:b/>
          <w:snapToGrid w:val="0"/>
          <w:u w:val="single"/>
        </w:rPr>
        <w:t xml:space="preserve">Specific Conditions </w:t>
      </w:r>
    </w:p>
    <w:p w:rsidR="00E47997" w:rsidRPr="00807DD9" w:rsidRDefault="00E47997" w:rsidP="00E47997">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outlineLvl w:val="2"/>
        <w:rPr>
          <w:b/>
          <w:snapToGrid w:val="0"/>
          <w:u w:val="single"/>
        </w:rPr>
      </w:pPr>
    </w:p>
    <w:p w:rsidR="00E47997" w:rsidRPr="00807DD9" w:rsidRDefault="00E47997" w:rsidP="00E47997">
      <w:pPr>
        <w:numPr>
          <w:ilvl w:val="0"/>
          <w:numId w:val="7"/>
        </w:numPr>
        <w:tabs>
          <w:tab w:val="num" w:pos="540"/>
        </w:tabs>
        <w:ind w:left="540" w:hanging="540"/>
      </w:pPr>
      <w:r w:rsidRPr="00807DD9">
        <w:t>The Licensee must provide to the Commission, prior to commencement of the licence, written undertakings that it will not treat employees injured before the date of commencement of the licence less favourably than employees injured on or after that date as far as management of their claims and their rehabilitation is concerned.</w:t>
      </w:r>
    </w:p>
    <w:p w:rsidR="00E47997" w:rsidRPr="00807DD9" w:rsidRDefault="00E47997" w:rsidP="00E47997"/>
    <w:p w:rsidR="00E47997" w:rsidRPr="00807DD9" w:rsidRDefault="00E47997" w:rsidP="00E47997">
      <w:pPr>
        <w:keepNext/>
        <w:tabs>
          <w:tab w:val="num" w:pos="540"/>
          <w:tab w:val="left" w:pos="720"/>
          <w:tab w:val="left" w:pos="924"/>
          <w:tab w:val="left" w:pos="1418"/>
          <w:tab w:val="left" w:pos="1848"/>
          <w:tab w:val="left" w:pos="2773"/>
          <w:tab w:val="left" w:pos="3697"/>
          <w:tab w:val="left" w:pos="4621"/>
          <w:tab w:val="left" w:pos="5545"/>
          <w:tab w:val="left" w:pos="6469"/>
          <w:tab w:val="left" w:pos="7394"/>
          <w:tab w:val="right" w:pos="8789"/>
        </w:tabs>
        <w:ind w:left="540" w:hanging="540"/>
        <w:outlineLvl w:val="1"/>
        <w:rPr>
          <w:b/>
          <w:snapToGrid w:val="0"/>
          <w:u w:val="single"/>
        </w:rPr>
      </w:pPr>
      <w:r w:rsidRPr="00807DD9">
        <w:rPr>
          <w:b/>
          <w:snapToGrid w:val="0"/>
          <w:u w:val="single"/>
        </w:rPr>
        <w:t>Prudential Conditions</w:t>
      </w:r>
    </w:p>
    <w:p w:rsidR="00E47997" w:rsidRPr="00807DD9" w:rsidRDefault="00E47997" w:rsidP="00E47997">
      <w:pPr>
        <w:keepNext/>
        <w:tabs>
          <w:tab w:val="num" w:pos="540"/>
          <w:tab w:val="left" w:pos="720"/>
          <w:tab w:val="left" w:pos="924"/>
          <w:tab w:val="left" w:pos="1418"/>
          <w:tab w:val="left" w:pos="1848"/>
          <w:tab w:val="left" w:pos="2773"/>
          <w:tab w:val="left" w:pos="3697"/>
          <w:tab w:val="left" w:pos="4621"/>
          <w:tab w:val="left" w:pos="5545"/>
          <w:tab w:val="left" w:pos="6469"/>
          <w:tab w:val="left" w:pos="7394"/>
          <w:tab w:val="right" w:pos="8789"/>
        </w:tabs>
        <w:ind w:left="540" w:hanging="540"/>
        <w:outlineLvl w:val="1"/>
        <w:rPr>
          <w:b/>
          <w:snapToGrid w:val="0"/>
          <w:u w:val="single"/>
        </w:rPr>
      </w:pPr>
    </w:p>
    <w:p w:rsidR="00E47997" w:rsidRPr="00807DD9" w:rsidRDefault="00E47997" w:rsidP="00E47997">
      <w:pPr>
        <w:numPr>
          <w:ilvl w:val="0"/>
          <w:numId w:val="7"/>
        </w:numPr>
        <w:tabs>
          <w:tab w:val="num" w:pos="540"/>
        </w:tabs>
        <w:ind w:left="540" w:hanging="540"/>
        <w:rPr>
          <w:snapToGrid w:val="0"/>
        </w:rPr>
      </w:pPr>
      <w:r w:rsidRPr="00807DD9">
        <w:rPr>
          <w:snapToGrid w:val="0"/>
        </w:rPr>
        <w:t>The Licensee must comply with the Prudential Conditions of Licence at Attachment A.</w:t>
      </w:r>
    </w:p>
    <w:p w:rsidR="00E47997" w:rsidRPr="00807DD9" w:rsidRDefault="00E47997" w:rsidP="00E47997">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outlineLvl w:val="1"/>
        <w:rPr>
          <w:b/>
          <w:snapToGrid w:val="0"/>
          <w:u w:val="single"/>
        </w:rPr>
      </w:pPr>
    </w:p>
    <w:p w:rsidR="00E47997" w:rsidRPr="00807DD9" w:rsidRDefault="00E47997" w:rsidP="00E47997">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outlineLvl w:val="1"/>
        <w:rPr>
          <w:b/>
          <w:snapToGrid w:val="0"/>
          <w:u w:val="single"/>
        </w:rPr>
      </w:pPr>
      <w:r w:rsidRPr="00807DD9">
        <w:rPr>
          <w:b/>
          <w:snapToGrid w:val="0"/>
          <w:u w:val="single"/>
        </w:rPr>
        <w:t>Performance Conditions</w:t>
      </w:r>
    </w:p>
    <w:p w:rsidR="00E47997" w:rsidRPr="00807DD9" w:rsidRDefault="00E47997" w:rsidP="00E47997">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outlineLvl w:val="1"/>
        <w:rPr>
          <w:b/>
          <w:snapToGrid w:val="0"/>
          <w:u w:val="single"/>
        </w:rPr>
      </w:pPr>
    </w:p>
    <w:p w:rsidR="00E47997" w:rsidRPr="00807DD9" w:rsidRDefault="00E47997" w:rsidP="00E47997">
      <w:pPr>
        <w:numPr>
          <w:ilvl w:val="0"/>
          <w:numId w:val="7"/>
        </w:numPr>
        <w:tabs>
          <w:tab w:val="left" w:pos="540"/>
        </w:tabs>
        <w:ind w:left="540" w:hanging="540"/>
        <w:rPr>
          <w:snapToGrid w:val="0"/>
        </w:rPr>
      </w:pPr>
      <w:r w:rsidRPr="00807DD9">
        <w:rPr>
          <w:snapToGrid w:val="0"/>
        </w:rPr>
        <w:t>The Licensee must comply with the Performance Standards at Attachment B.</w:t>
      </w:r>
    </w:p>
    <w:p w:rsidR="008D51C1" w:rsidRDefault="008D51C1" w:rsidP="00E47997">
      <w:pPr>
        <w:tabs>
          <w:tab w:val="right" w:pos="7513"/>
          <w:tab w:val="left" w:pos="8318"/>
        </w:tabs>
        <w:ind w:left="567" w:hanging="567"/>
        <w:rPr>
          <w:snapToGrid w:val="0"/>
        </w:rPr>
      </w:pPr>
      <w:r>
        <w:rPr>
          <w:snapToGrid w:val="0"/>
        </w:rPr>
        <w:br w:type="page"/>
      </w:r>
    </w:p>
    <w:p w:rsidR="00E47997" w:rsidRPr="00807DD9" w:rsidRDefault="00E47997" w:rsidP="00E47997">
      <w:proofErr w:type="gramStart"/>
      <w:r w:rsidRPr="00807DD9">
        <w:lastRenderedPageBreak/>
        <w:t>Dated the                        day of                          2015.</w:t>
      </w:r>
      <w:proofErr w:type="gramEnd"/>
      <w:r w:rsidRPr="00807DD9">
        <w:t xml:space="preserve"> </w:t>
      </w:r>
    </w:p>
    <w:p w:rsidR="00E47997" w:rsidRPr="00807DD9" w:rsidRDefault="00E47997" w:rsidP="00E47997"/>
    <w:p w:rsidR="00E47997" w:rsidRPr="00807DD9" w:rsidRDefault="00E47997" w:rsidP="00E47997"/>
    <w:p w:rsidR="00E47997" w:rsidRPr="00807DD9" w:rsidRDefault="00E47997" w:rsidP="00E47997"/>
    <w:p w:rsidR="00E47997" w:rsidRPr="00807DD9" w:rsidRDefault="00E47997" w:rsidP="00E47997"/>
    <w:p w:rsidR="00E47997" w:rsidRPr="00807DD9" w:rsidRDefault="00E47997" w:rsidP="00E47997"/>
    <w:p w:rsidR="00E47997" w:rsidRPr="00807DD9" w:rsidRDefault="00E47997" w:rsidP="00E47997"/>
    <w:p w:rsidR="00E47997" w:rsidRPr="00807DD9" w:rsidRDefault="00E47997" w:rsidP="00E47997"/>
    <w:p w:rsidR="00E47997" w:rsidRPr="00807DD9" w:rsidRDefault="00E47997" w:rsidP="00E47997">
      <w:r w:rsidRPr="00807DD9">
        <w:t>Barry Sherriff</w:t>
      </w:r>
    </w:p>
    <w:p w:rsidR="00E47997" w:rsidRPr="00807DD9" w:rsidRDefault="00E47997" w:rsidP="00E47997">
      <w:r w:rsidRPr="00807DD9">
        <w:t>Chairperson</w:t>
      </w:r>
    </w:p>
    <w:p w:rsidR="00E47997" w:rsidRPr="00807DD9" w:rsidRDefault="00E47997" w:rsidP="00E47997">
      <w:r w:rsidRPr="00807DD9">
        <w:t>Safety, Rehabilitation and Compensation Commission</w:t>
      </w:r>
    </w:p>
    <w:p w:rsidR="00E47997" w:rsidRPr="00DE2689" w:rsidRDefault="00E47997" w:rsidP="00E47997">
      <w:pPr>
        <w:spacing w:before="120"/>
        <w:jc w:val="right"/>
        <w:rPr>
          <w:b/>
          <w:i/>
        </w:rPr>
      </w:pPr>
      <w:r w:rsidRPr="00332625">
        <w:rPr>
          <w:highlight w:val="green"/>
        </w:rPr>
        <w:br w:type="page"/>
      </w:r>
      <w:r>
        <w:rPr>
          <w:b/>
        </w:rPr>
        <w:lastRenderedPageBreak/>
        <w:t>Attachment</w:t>
      </w:r>
      <w:r w:rsidRPr="00DE2689">
        <w:rPr>
          <w:b/>
        </w:rPr>
        <w:t xml:space="preserve"> A</w:t>
      </w:r>
    </w:p>
    <w:p w:rsidR="00E47997" w:rsidRPr="00DE2689" w:rsidRDefault="00E47997" w:rsidP="00E47997">
      <w:pPr>
        <w:spacing w:before="120"/>
        <w:rPr>
          <w:b/>
        </w:rPr>
      </w:pPr>
      <w:r w:rsidRPr="00DE2689">
        <w:rPr>
          <w:b/>
        </w:rPr>
        <w:t xml:space="preserve">PRUDENTIAL CONDITIONS OF LICENCE </w:t>
      </w:r>
    </w:p>
    <w:p w:rsidR="00E47997" w:rsidRPr="00DE2689" w:rsidRDefault="00E47997" w:rsidP="00E47997">
      <w:pPr>
        <w:spacing w:before="120"/>
      </w:pPr>
      <w:r w:rsidRPr="00DE2689">
        <w:t>These conditions are “the Prudential Conditions”.</w:t>
      </w:r>
    </w:p>
    <w:p w:rsidR="00E47997" w:rsidRPr="00DE2689" w:rsidRDefault="00E47997" w:rsidP="00E47997">
      <w:pPr>
        <w:spacing w:before="120"/>
      </w:pPr>
    </w:p>
    <w:p w:rsidR="00E47997" w:rsidRPr="00DE2689" w:rsidRDefault="00E47997" w:rsidP="00E47997">
      <w:pPr>
        <w:keepNext/>
        <w:spacing w:before="120"/>
        <w:ind w:left="1134" w:right="-57" w:hanging="1134"/>
        <w:outlineLvl w:val="0"/>
        <w:rPr>
          <w:b/>
        </w:rPr>
      </w:pPr>
      <w:r w:rsidRPr="00DE2689">
        <w:rPr>
          <w:b/>
          <w:smallCaps/>
        </w:rPr>
        <w:t>1.</w:t>
      </w:r>
      <w:r w:rsidRPr="00DE2689">
        <w:rPr>
          <w:b/>
          <w:smallCaps/>
        </w:rPr>
        <w:tab/>
        <w:t>LICENSEE CERTIFICATION</w:t>
      </w:r>
    </w:p>
    <w:p w:rsidR="00E47997" w:rsidRPr="00DE2689" w:rsidRDefault="00E47997" w:rsidP="00E47997">
      <w:pPr>
        <w:spacing w:before="120"/>
        <w:ind w:left="1134" w:hanging="1134"/>
        <w:outlineLvl w:val="1"/>
      </w:pPr>
      <w:r w:rsidRPr="00DE2689">
        <w:t>1.1</w:t>
      </w:r>
      <w:r w:rsidRPr="00DE2689">
        <w:tab/>
        <w:t xml:space="preserve">The principal officer of the Licensee must certify in writing to the Commission, by 30 September of each financial </w:t>
      </w:r>
      <w:proofErr w:type="gramStart"/>
      <w:r w:rsidRPr="00DE2689">
        <w:t>year, that</w:t>
      </w:r>
      <w:proofErr w:type="gramEnd"/>
      <w:r w:rsidRPr="00DE2689">
        <w:t xml:space="preserve"> the Licensee has: </w:t>
      </w:r>
    </w:p>
    <w:p w:rsidR="00E47997" w:rsidRPr="00DE2689" w:rsidRDefault="00E47997" w:rsidP="00E47997">
      <w:pPr>
        <w:numPr>
          <w:ilvl w:val="0"/>
          <w:numId w:val="25"/>
        </w:numPr>
        <w:tabs>
          <w:tab w:val="clear" w:pos="567"/>
        </w:tabs>
        <w:spacing w:before="120"/>
        <w:ind w:left="1701"/>
        <w:rPr>
          <w:snapToGrid w:val="0"/>
        </w:rPr>
      </w:pPr>
      <w:r w:rsidRPr="00DE2689">
        <w:rPr>
          <w:snapToGrid w:val="0"/>
        </w:rPr>
        <w:t xml:space="preserve">arranged, in accordance with Prudential Condition 2, for the estimation of the liability of the Licensee to pay compensation and other amounts under the SRC Act in accordance with the scope of this licence; and </w:t>
      </w:r>
    </w:p>
    <w:p w:rsidR="00E47997" w:rsidRPr="00DE2689" w:rsidRDefault="00E47997" w:rsidP="00E47997">
      <w:pPr>
        <w:numPr>
          <w:ilvl w:val="0"/>
          <w:numId w:val="25"/>
        </w:numPr>
        <w:tabs>
          <w:tab w:val="clear" w:pos="567"/>
          <w:tab w:val="num" w:pos="1701"/>
        </w:tabs>
        <w:spacing w:before="120"/>
        <w:ind w:left="1701"/>
        <w:rPr>
          <w:snapToGrid w:val="0"/>
        </w:rPr>
      </w:pPr>
      <w:r w:rsidRPr="00DE2689">
        <w:rPr>
          <w:snapToGrid w:val="0"/>
        </w:rPr>
        <w:t xml:space="preserve">made, in accordance with Prudential Condition 3, provision in its accounts, in accordance with the estimates in the Liability Report required by Prudential Condition 2, for meeting its liabilities; and </w:t>
      </w:r>
    </w:p>
    <w:p w:rsidR="00E47997" w:rsidRPr="00DE2689" w:rsidRDefault="00E47997" w:rsidP="00E47997">
      <w:pPr>
        <w:numPr>
          <w:ilvl w:val="0"/>
          <w:numId w:val="25"/>
        </w:numPr>
        <w:tabs>
          <w:tab w:val="clear" w:pos="567"/>
          <w:tab w:val="num" w:pos="1701"/>
        </w:tabs>
        <w:spacing w:before="120"/>
        <w:ind w:left="1701"/>
        <w:rPr>
          <w:snapToGrid w:val="0"/>
        </w:rPr>
      </w:pPr>
      <w:proofErr w:type="gramStart"/>
      <w:r w:rsidRPr="00DE2689">
        <w:rPr>
          <w:snapToGrid w:val="0"/>
        </w:rPr>
        <w:t>the</w:t>
      </w:r>
      <w:proofErr w:type="gramEnd"/>
      <w:r w:rsidRPr="00DE2689">
        <w:rPr>
          <w:snapToGrid w:val="0"/>
        </w:rPr>
        <w:t xml:space="preserve"> capacity to meet any single claim up to the reinsurance policy retention amount (excess amount) determined in accordance with Prudential Condition 5.</w:t>
      </w:r>
    </w:p>
    <w:p w:rsidR="00E47997" w:rsidRPr="00D7401C" w:rsidRDefault="00E47997" w:rsidP="00E47997">
      <w:pPr>
        <w:spacing w:before="120"/>
        <w:rPr>
          <w:snapToGrid w:val="0"/>
        </w:rPr>
      </w:pPr>
    </w:p>
    <w:p w:rsidR="00E47997" w:rsidRPr="00D7401C" w:rsidRDefault="00E47997" w:rsidP="00E47997">
      <w:pPr>
        <w:keepNext/>
        <w:tabs>
          <w:tab w:val="left" w:pos="1134"/>
        </w:tabs>
        <w:spacing w:before="120"/>
        <w:ind w:left="1134" w:right="-57" w:hanging="1134"/>
        <w:outlineLvl w:val="0"/>
        <w:rPr>
          <w:b/>
        </w:rPr>
      </w:pPr>
      <w:r w:rsidRPr="00D7401C">
        <w:rPr>
          <w:b/>
        </w:rPr>
        <w:t>2.</w:t>
      </w:r>
      <w:r w:rsidRPr="00D7401C">
        <w:rPr>
          <w:b/>
        </w:rPr>
        <w:tab/>
        <w:t>LIABILITY REPORT</w:t>
      </w:r>
    </w:p>
    <w:p w:rsidR="00E47997" w:rsidRPr="00D7401C" w:rsidRDefault="00E47997" w:rsidP="00E47997">
      <w:pPr>
        <w:spacing w:before="120"/>
        <w:ind w:left="1134" w:hanging="1134"/>
        <w:outlineLvl w:val="1"/>
      </w:pPr>
      <w:r w:rsidRPr="00D7401C">
        <w:t>2.1</w:t>
      </w:r>
      <w:r w:rsidRPr="00D7401C">
        <w:tab/>
        <w:t>The Licensee must commission a written report (“the Liability Report”) in respect of each financial year and calculated as at the end of that year.</w:t>
      </w:r>
    </w:p>
    <w:p w:rsidR="00E47997" w:rsidRPr="00D7401C" w:rsidRDefault="00E47997" w:rsidP="00E47997">
      <w:pPr>
        <w:spacing w:before="120"/>
        <w:ind w:left="1134" w:hanging="1134"/>
        <w:outlineLvl w:val="1"/>
      </w:pPr>
      <w:r w:rsidRPr="00D7401C">
        <w:t>2.2</w:t>
      </w:r>
      <w:r w:rsidRPr="00D7401C">
        <w:tab/>
        <w:t>The Liability Report:</w:t>
      </w:r>
    </w:p>
    <w:p w:rsidR="00E47997" w:rsidRPr="00D7401C" w:rsidRDefault="00E47997" w:rsidP="00E47997">
      <w:pPr>
        <w:numPr>
          <w:ilvl w:val="0"/>
          <w:numId w:val="26"/>
        </w:numPr>
        <w:tabs>
          <w:tab w:val="clear" w:pos="567"/>
          <w:tab w:val="num" w:pos="1276"/>
        </w:tabs>
        <w:spacing w:before="120"/>
        <w:ind w:left="1701"/>
        <w:rPr>
          <w:snapToGrid w:val="0"/>
        </w:rPr>
      </w:pPr>
      <w:r w:rsidRPr="00D7401C">
        <w:t>must</w:t>
      </w:r>
      <w:r w:rsidRPr="00D7401C">
        <w:rPr>
          <w:snapToGrid w:val="0"/>
        </w:rPr>
        <w:t xml:space="preserve"> be prepared by a Fellow of the Institute of Actuaries of Australia (IAA), or any body substituted therefore, with at least five years’ post-qualification experience as an actuary in general insurance; and </w:t>
      </w:r>
    </w:p>
    <w:p w:rsidR="00E47997" w:rsidRPr="00D7401C" w:rsidRDefault="00E47997" w:rsidP="00E47997">
      <w:pPr>
        <w:numPr>
          <w:ilvl w:val="0"/>
          <w:numId w:val="26"/>
        </w:numPr>
        <w:tabs>
          <w:tab w:val="clear" w:pos="567"/>
          <w:tab w:val="num" w:pos="1276"/>
          <w:tab w:val="num" w:pos="1701"/>
        </w:tabs>
        <w:spacing w:before="120"/>
        <w:ind w:left="1701"/>
        <w:rPr>
          <w:snapToGrid w:val="0"/>
        </w:rPr>
      </w:pPr>
      <w:r w:rsidRPr="00D7401C">
        <w:rPr>
          <w:snapToGrid w:val="0"/>
        </w:rPr>
        <w:t>must be prepared by an actuary who is not an employee or a partner of the organisation which provides financial audit services to the Licensee or who in any way has a material financial dependence on the auditor; and</w:t>
      </w:r>
    </w:p>
    <w:p w:rsidR="00E47997" w:rsidRPr="00D7401C" w:rsidRDefault="00E47997" w:rsidP="00E47997">
      <w:pPr>
        <w:numPr>
          <w:ilvl w:val="0"/>
          <w:numId w:val="26"/>
        </w:numPr>
        <w:tabs>
          <w:tab w:val="clear" w:pos="567"/>
          <w:tab w:val="num" w:pos="1276"/>
          <w:tab w:val="num" w:pos="1701"/>
        </w:tabs>
        <w:spacing w:before="120"/>
        <w:ind w:left="1701"/>
        <w:rPr>
          <w:snapToGrid w:val="0"/>
        </w:rPr>
      </w:pPr>
      <w:r w:rsidRPr="00D7401C">
        <w:t>be prepared drawing on any available expert advice and</w:t>
      </w:r>
      <w:r w:rsidRPr="00D7401C">
        <w:rPr>
          <w:color w:val="0000FF"/>
        </w:rPr>
        <w:t xml:space="preserve"> </w:t>
      </w:r>
      <w:r w:rsidRPr="00D7401C">
        <w:t>substantially using IAA professional standard PS300, or any standard substituted  therefore, as the basis of estimation, with</w:t>
      </w:r>
      <w:r w:rsidRPr="00D7401C">
        <w:rPr>
          <w:snapToGrid w:val="0"/>
        </w:rPr>
        <w:t xml:space="preserve"> </w:t>
      </w:r>
      <w:r w:rsidRPr="00D7401C">
        <w:t>any departure from this standard to be highlighted in the report; and</w:t>
      </w:r>
    </w:p>
    <w:p w:rsidR="00E47997" w:rsidRPr="00D7401C" w:rsidRDefault="00E47997" w:rsidP="00E47997">
      <w:pPr>
        <w:numPr>
          <w:ilvl w:val="0"/>
          <w:numId w:val="26"/>
        </w:numPr>
        <w:tabs>
          <w:tab w:val="clear" w:pos="567"/>
          <w:tab w:val="num" w:pos="1276"/>
          <w:tab w:val="num" w:pos="1701"/>
        </w:tabs>
        <w:spacing w:before="120"/>
        <w:ind w:left="1701"/>
        <w:rPr>
          <w:snapToGrid w:val="0"/>
        </w:rPr>
      </w:pPr>
      <w:r w:rsidRPr="00D7401C">
        <w:t>must be addressed by the actuary to the Commission; and</w:t>
      </w:r>
    </w:p>
    <w:p w:rsidR="00E47997" w:rsidRPr="00D7401C" w:rsidRDefault="00E47997" w:rsidP="00E47997">
      <w:pPr>
        <w:numPr>
          <w:ilvl w:val="0"/>
          <w:numId w:val="26"/>
        </w:numPr>
        <w:tabs>
          <w:tab w:val="clear" w:pos="567"/>
          <w:tab w:val="num" w:pos="1276"/>
          <w:tab w:val="num" w:pos="1701"/>
        </w:tabs>
        <w:spacing w:before="120"/>
        <w:ind w:left="1701"/>
      </w:pPr>
      <w:proofErr w:type="gramStart"/>
      <w:r w:rsidRPr="00D7401C">
        <w:t>must</w:t>
      </w:r>
      <w:proofErr w:type="gramEnd"/>
      <w:r w:rsidRPr="00D7401C">
        <w:t xml:space="preserve"> be provided by the Licensee to the Commission by 31 August of the financial year to which it relates.</w:t>
      </w:r>
    </w:p>
    <w:p w:rsidR="00E47997" w:rsidRPr="00D7401C" w:rsidRDefault="00E47997" w:rsidP="00E47997">
      <w:pPr>
        <w:tabs>
          <w:tab w:val="left" w:pos="1080"/>
        </w:tabs>
        <w:spacing w:before="120"/>
        <w:ind w:right="-58"/>
        <w:outlineLvl w:val="1"/>
      </w:pPr>
      <w:r w:rsidRPr="00D7401C">
        <w:t>2.3</w:t>
      </w:r>
      <w:r w:rsidRPr="00D7401C">
        <w:tab/>
        <w:t>The Liability Report must:</w:t>
      </w:r>
    </w:p>
    <w:p w:rsidR="00E47997" w:rsidRPr="00D7401C" w:rsidRDefault="00E47997" w:rsidP="00E47997">
      <w:pPr>
        <w:numPr>
          <w:ilvl w:val="0"/>
          <w:numId w:val="27"/>
        </w:numPr>
        <w:spacing w:before="120"/>
        <w:rPr>
          <w:snapToGrid w:val="0"/>
        </w:rPr>
      </w:pPr>
      <w:r w:rsidRPr="00D7401C">
        <w:rPr>
          <w:snapToGrid w:val="0"/>
        </w:rPr>
        <w:t>estimate the liability of the Licensee to pay compensation and other amounts under the SRC Act in accordance with the scope of this licence as follows:</w:t>
      </w:r>
    </w:p>
    <w:p w:rsidR="008D51C1" w:rsidRDefault="00E47997" w:rsidP="00E47997">
      <w:pPr>
        <w:spacing w:before="120"/>
        <w:ind w:left="2268" w:hanging="567"/>
      </w:pPr>
      <w:r w:rsidRPr="00D7401C">
        <w:t>(</w:t>
      </w:r>
      <w:proofErr w:type="spellStart"/>
      <w:r w:rsidRPr="00D7401C">
        <w:t>i</w:t>
      </w:r>
      <w:proofErr w:type="spellEnd"/>
      <w:r w:rsidRPr="00D7401C">
        <w:t>)</w:t>
      </w:r>
      <w:r w:rsidRPr="00D7401C">
        <w:tab/>
      </w:r>
      <w:proofErr w:type="gramStart"/>
      <w:r w:rsidRPr="00D7401C">
        <w:t>contain</w:t>
      </w:r>
      <w:proofErr w:type="gramEnd"/>
      <w:r w:rsidRPr="00D7401C">
        <w:t xml:space="preserve"> a recommendation for the level of provisions in the Licensee’s accounts which must be made to at least the 50</w:t>
      </w:r>
      <w:r w:rsidRPr="00D7401C">
        <w:rPr>
          <w:vertAlign w:val="superscript"/>
        </w:rPr>
        <w:t>th</w:t>
      </w:r>
      <w:r w:rsidRPr="00D7401C">
        <w:t xml:space="preserve"> percentile (net central estimate); and</w:t>
      </w:r>
      <w:r w:rsidR="008D51C1">
        <w:br w:type="page"/>
      </w:r>
    </w:p>
    <w:p w:rsidR="00E47997" w:rsidRPr="00D7401C" w:rsidRDefault="00E47997" w:rsidP="00E47997">
      <w:pPr>
        <w:spacing w:before="120"/>
        <w:ind w:left="2268" w:hanging="567"/>
      </w:pPr>
      <w:r w:rsidRPr="00D7401C">
        <w:lastRenderedPageBreak/>
        <w:t>(ii)</w:t>
      </w:r>
      <w:r w:rsidRPr="00D7401C">
        <w:tab/>
      </w:r>
      <w:proofErr w:type="gramStart"/>
      <w:r w:rsidRPr="00D7401C">
        <w:t>contain</w:t>
      </w:r>
      <w:proofErr w:type="gramEnd"/>
      <w:r w:rsidRPr="00D7401C">
        <w:t xml:space="preserve"> a valuation of current outstanding liability and the projected liability in 12/18/24* </w:t>
      </w:r>
      <w:proofErr w:type="spellStart"/>
      <w:r w:rsidRPr="00D7401C">
        <w:t>months time</w:t>
      </w:r>
      <w:proofErr w:type="spellEnd"/>
      <w:r w:rsidRPr="00D7401C">
        <w:t>; and</w:t>
      </w:r>
    </w:p>
    <w:p w:rsidR="00E47997" w:rsidRPr="00D7401C" w:rsidRDefault="00E47997" w:rsidP="00E47997">
      <w:pPr>
        <w:spacing w:before="120"/>
        <w:ind w:left="2268" w:hanging="567"/>
      </w:pPr>
      <w:r w:rsidRPr="00D7401C">
        <w:rPr>
          <w:i/>
        </w:rPr>
        <w:t>*Note</w:t>
      </w:r>
      <w:r w:rsidRPr="00D7401C">
        <w:t>: 12 months for Licensees in the 6</w:t>
      </w:r>
      <w:r w:rsidRPr="00D7401C">
        <w:rPr>
          <w:vertAlign w:val="superscript"/>
        </w:rPr>
        <w:t>th</w:t>
      </w:r>
      <w:r w:rsidRPr="00D7401C">
        <w:t xml:space="preserve"> or more year of licence; 18 months for Licensees in the 4</w:t>
      </w:r>
      <w:r w:rsidRPr="00D7401C">
        <w:rPr>
          <w:vertAlign w:val="superscript"/>
        </w:rPr>
        <w:t>th</w:t>
      </w:r>
      <w:r w:rsidRPr="00D7401C">
        <w:t>-5</w:t>
      </w:r>
      <w:r w:rsidRPr="00D7401C">
        <w:rPr>
          <w:vertAlign w:val="superscript"/>
        </w:rPr>
        <w:t>th</w:t>
      </w:r>
      <w:r w:rsidRPr="00D7401C">
        <w:t xml:space="preserve"> year of licence; 24 months for Licensees in the 1</w:t>
      </w:r>
      <w:r w:rsidRPr="00D7401C">
        <w:rPr>
          <w:vertAlign w:val="superscript"/>
        </w:rPr>
        <w:t>st</w:t>
      </w:r>
      <w:r w:rsidRPr="00D7401C">
        <w:t>-3</w:t>
      </w:r>
      <w:r w:rsidRPr="00D7401C">
        <w:rPr>
          <w:vertAlign w:val="superscript"/>
        </w:rPr>
        <w:t>rd</w:t>
      </w:r>
      <w:r w:rsidRPr="00D7401C">
        <w:t xml:space="preserve"> year of licence.</w:t>
      </w:r>
    </w:p>
    <w:p w:rsidR="00E47997" w:rsidRPr="00D7401C" w:rsidRDefault="00E47997" w:rsidP="00E47997">
      <w:pPr>
        <w:numPr>
          <w:ilvl w:val="0"/>
          <w:numId w:val="27"/>
        </w:numPr>
        <w:spacing w:before="120"/>
        <w:rPr>
          <w:snapToGrid w:val="0"/>
        </w:rPr>
      </w:pPr>
      <w:r w:rsidRPr="00D7401C">
        <w:rPr>
          <w:snapToGrid w:val="0"/>
        </w:rPr>
        <w:t>contain a recommendation of the maximum reinsurance policy retention amount (excess amount) referred to in Prudential Condition 5; and</w:t>
      </w:r>
    </w:p>
    <w:p w:rsidR="00E47997" w:rsidRPr="00D7401C" w:rsidRDefault="00E47997" w:rsidP="00E47997">
      <w:pPr>
        <w:numPr>
          <w:ilvl w:val="0"/>
          <w:numId w:val="27"/>
        </w:numPr>
        <w:spacing w:before="120"/>
        <w:rPr>
          <w:snapToGrid w:val="0"/>
        </w:rPr>
      </w:pPr>
      <w:r w:rsidRPr="00D7401C">
        <w:rPr>
          <w:snapToGrid w:val="0"/>
        </w:rPr>
        <w:t>make an assessment of the financial capacity of the Licensee to meet amounts, from the balance sheet, up to the excess amount recommended by the actuary; and</w:t>
      </w:r>
    </w:p>
    <w:p w:rsidR="00E47997" w:rsidRPr="00D7401C" w:rsidRDefault="00E47997" w:rsidP="00E47997">
      <w:pPr>
        <w:numPr>
          <w:ilvl w:val="0"/>
          <w:numId w:val="27"/>
        </w:numPr>
        <w:spacing w:before="120"/>
        <w:rPr>
          <w:snapToGrid w:val="0"/>
        </w:rPr>
      </w:pPr>
      <w:proofErr w:type="gramStart"/>
      <w:r w:rsidRPr="00D7401C">
        <w:rPr>
          <w:snapToGrid w:val="0"/>
        </w:rPr>
        <w:t>describe</w:t>
      </w:r>
      <w:proofErr w:type="gramEnd"/>
      <w:r w:rsidRPr="00D7401C">
        <w:rPr>
          <w:snapToGrid w:val="0"/>
        </w:rPr>
        <w:t xml:space="preserve"> the arrangements for compliance with Prudential Condition 5 and provide an assessment by the actuary of whether the arrangements are appropriate to meet the Licensee’s obligation under Condition 5.1.</w:t>
      </w:r>
    </w:p>
    <w:p w:rsidR="00E47997" w:rsidRPr="00D7401C" w:rsidRDefault="00E47997" w:rsidP="00E47997">
      <w:pPr>
        <w:tabs>
          <w:tab w:val="num" w:pos="1701"/>
        </w:tabs>
        <w:spacing w:before="120"/>
        <w:ind w:left="1701" w:hanging="567"/>
      </w:pPr>
      <w:r w:rsidRPr="00D7401C">
        <w:rPr>
          <w:i/>
        </w:rPr>
        <w:tab/>
        <w:t xml:space="preserve">Note: </w:t>
      </w:r>
      <w:r w:rsidRPr="00D7401C">
        <w:t>The Commission will have regard to the matters in (b) and (c) in determining the excess amount in accordance with Prudential Condition 5.</w:t>
      </w:r>
    </w:p>
    <w:p w:rsidR="00E47997" w:rsidRPr="00D7401C" w:rsidRDefault="00E47997" w:rsidP="00E47997">
      <w:pPr>
        <w:tabs>
          <w:tab w:val="left" w:pos="1080"/>
        </w:tabs>
        <w:spacing w:before="120"/>
        <w:ind w:left="1080" w:right="-58" w:hanging="1080"/>
        <w:outlineLvl w:val="1"/>
      </w:pPr>
      <w:r w:rsidRPr="00D7401C">
        <w:t>2.4</w:t>
      </w:r>
      <w:r w:rsidRPr="00D7401C">
        <w:tab/>
        <w:t>The Commission may at its discretion submit a Liability Report to a peer review process.</w:t>
      </w:r>
    </w:p>
    <w:p w:rsidR="00E47997" w:rsidRPr="00D7401C" w:rsidRDefault="00E47997" w:rsidP="00E47997">
      <w:pPr>
        <w:spacing w:before="120"/>
        <w:ind w:left="1517" w:hanging="797"/>
      </w:pPr>
      <w:r w:rsidRPr="00D7401C">
        <w:tab/>
      </w:r>
      <w:r w:rsidRPr="00D7401C">
        <w:rPr>
          <w:i/>
        </w:rPr>
        <w:t>Note</w:t>
      </w:r>
      <w:r w:rsidRPr="00D7401C">
        <w:t>: The Commission will organise and pay for any such peer review process.</w:t>
      </w:r>
    </w:p>
    <w:p w:rsidR="00E47997" w:rsidRPr="00D7401C" w:rsidRDefault="00E47997" w:rsidP="00E47997">
      <w:pPr>
        <w:tabs>
          <w:tab w:val="left" w:pos="1080"/>
        </w:tabs>
        <w:spacing w:before="120"/>
        <w:ind w:left="1080" w:right="-58" w:hanging="1080"/>
        <w:outlineLvl w:val="1"/>
      </w:pPr>
      <w:r w:rsidRPr="00D7401C">
        <w:t>2.5</w:t>
      </w:r>
      <w:r w:rsidRPr="00D7401C">
        <w:tab/>
        <w:t>After receiving a peer review assessment of a Liability Report, the Commission may by written notice to the Licensee require a Second Liability Report by an actuary approved by the Commission.</w:t>
      </w:r>
    </w:p>
    <w:p w:rsidR="00E47997" w:rsidRPr="00D7401C" w:rsidRDefault="00E47997" w:rsidP="00E47997">
      <w:pPr>
        <w:tabs>
          <w:tab w:val="left" w:pos="1080"/>
        </w:tabs>
        <w:spacing w:before="120"/>
        <w:ind w:left="1080" w:right="-58" w:hanging="1080"/>
        <w:outlineLvl w:val="1"/>
      </w:pPr>
      <w:r w:rsidRPr="00D7401C">
        <w:t>2.6</w:t>
      </w:r>
      <w:r w:rsidRPr="00D7401C">
        <w:tab/>
        <w:t>The Commission may direct the date for provision of a Second Liability Report.</w:t>
      </w:r>
    </w:p>
    <w:p w:rsidR="00E47997" w:rsidRPr="00D7401C" w:rsidRDefault="00E47997" w:rsidP="00E47997">
      <w:pPr>
        <w:tabs>
          <w:tab w:val="left" w:pos="1080"/>
        </w:tabs>
        <w:spacing w:before="120"/>
        <w:ind w:left="1080" w:right="-58" w:hanging="1080"/>
        <w:outlineLvl w:val="1"/>
      </w:pPr>
      <w:r w:rsidRPr="00D7401C">
        <w:t>2.7</w:t>
      </w:r>
      <w:r w:rsidRPr="00D7401C">
        <w:tab/>
        <w:t>Unless the Commission directs otherwise, the Licensee must pay for a Second Liability Report.</w:t>
      </w:r>
    </w:p>
    <w:p w:rsidR="00E47997" w:rsidRPr="00D7401C" w:rsidRDefault="00E47997" w:rsidP="00E47997">
      <w:pPr>
        <w:tabs>
          <w:tab w:val="left" w:pos="1080"/>
        </w:tabs>
        <w:spacing w:before="120"/>
        <w:ind w:left="1080" w:right="-58" w:hanging="1080"/>
        <w:outlineLvl w:val="1"/>
      </w:pPr>
      <w:r w:rsidRPr="00D7401C">
        <w:t>2.8</w:t>
      </w:r>
      <w:r w:rsidRPr="00D7401C">
        <w:tab/>
        <w:t>If the Commission receives a Second Liability Report, it replaces the original Liability Report and:</w:t>
      </w:r>
    </w:p>
    <w:p w:rsidR="00E47997" w:rsidRPr="00D7401C" w:rsidRDefault="00E47997" w:rsidP="00E47997">
      <w:pPr>
        <w:tabs>
          <w:tab w:val="left" w:pos="1708"/>
        </w:tabs>
        <w:spacing w:before="120"/>
        <w:ind w:left="1708" w:hanging="628"/>
      </w:pPr>
      <w:r w:rsidRPr="00D7401C">
        <w:t>(a)</w:t>
      </w:r>
      <w:r w:rsidRPr="00D7401C">
        <w:tab/>
        <w:t>references in Prudential Conditions 3-5 to the ‘Liability Report’ are to be construed as references to the Second Liability Report; and</w:t>
      </w:r>
    </w:p>
    <w:p w:rsidR="00E47997" w:rsidRPr="00D7401C" w:rsidRDefault="00E47997" w:rsidP="00E47997">
      <w:pPr>
        <w:tabs>
          <w:tab w:val="left" w:pos="1708"/>
        </w:tabs>
        <w:spacing w:before="120"/>
        <w:ind w:left="1708" w:hanging="628"/>
      </w:pPr>
      <w:r w:rsidRPr="00D7401C">
        <w:t>(b)</w:t>
      </w:r>
      <w:r w:rsidRPr="00D7401C">
        <w:tab/>
      </w:r>
      <w:proofErr w:type="gramStart"/>
      <w:r w:rsidRPr="00D7401C">
        <w:t>references</w:t>
      </w:r>
      <w:proofErr w:type="gramEnd"/>
      <w:r w:rsidRPr="00D7401C">
        <w:t xml:space="preserve"> in Prudential Conditions 3-5 to the actuary who prepares the Liability Report are to be construed as references to the actuary who prepares the Second Liability Report.</w:t>
      </w:r>
    </w:p>
    <w:p w:rsidR="00E47997" w:rsidRPr="00D7401C" w:rsidRDefault="00E47997" w:rsidP="00E47997">
      <w:pPr>
        <w:spacing w:before="120"/>
        <w:ind w:left="1701"/>
      </w:pPr>
    </w:p>
    <w:p w:rsidR="00E47997" w:rsidRPr="00D7401C" w:rsidRDefault="00E47997" w:rsidP="00E47997">
      <w:pPr>
        <w:keepNext/>
        <w:spacing w:before="120"/>
        <w:ind w:left="1134" w:right="-57" w:hanging="1134"/>
        <w:outlineLvl w:val="0"/>
        <w:rPr>
          <w:b/>
        </w:rPr>
      </w:pPr>
      <w:r w:rsidRPr="00D7401C">
        <w:rPr>
          <w:b/>
        </w:rPr>
        <w:t>3.</w:t>
      </w:r>
      <w:r w:rsidRPr="00D7401C">
        <w:rPr>
          <w:b/>
        </w:rPr>
        <w:tab/>
        <w:t>YEARLY ACCOUNTS</w:t>
      </w:r>
    </w:p>
    <w:p w:rsidR="00E47997" w:rsidRPr="00D7401C" w:rsidRDefault="00E47997" w:rsidP="00E47997">
      <w:pPr>
        <w:spacing w:before="120"/>
        <w:ind w:left="1134" w:hanging="1134"/>
        <w:outlineLvl w:val="1"/>
      </w:pPr>
      <w:r w:rsidRPr="00D7401C">
        <w:t>3.1</w:t>
      </w:r>
      <w:r w:rsidRPr="00D7401C">
        <w:tab/>
        <w:t>The Licensee must:</w:t>
      </w:r>
    </w:p>
    <w:p w:rsidR="00E47997" w:rsidRPr="00D7401C" w:rsidRDefault="00E47997" w:rsidP="00E47997">
      <w:pPr>
        <w:numPr>
          <w:ilvl w:val="0"/>
          <w:numId w:val="28"/>
        </w:numPr>
        <w:tabs>
          <w:tab w:val="clear" w:pos="567"/>
        </w:tabs>
        <w:spacing w:before="120"/>
        <w:ind w:left="1701"/>
        <w:rPr>
          <w:snapToGrid w:val="0"/>
        </w:rPr>
      </w:pPr>
      <w:r w:rsidRPr="00D7401C">
        <w:rPr>
          <w:snapToGrid w:val="0"/>
        </w:rPr>
        <w:t>lodge with the Commission a copy of:</w:t>
      </w:r>
    </w:p>
    <w:p w:rsidR="00E47997" w:rsidRDefault="00E47997" w:rsidP="00E47997">
      <w:pPr>
        <w:numPr>
          <w:ilvl w:val="0"/>
          <w:numId w:val="8"/>
        </w:numPr>
        <w:spacing w:before="120"/>
        <w:ind w:left="2127" w:hanging="426"/>
        <w:rPr>
          <w:snapToGrid w:val="0"/>
        </w:rPr>
      </w:pPr>
      <w:r w:rsidRPr="00D7401C">
        <w:rPr>
          <w:snapToGrid w:val="0"/>
        </w:rPr>
        <w:t xml:space="preserve">any report that it is required to prepare or obtain for a financial year under Division 1 of Part 2M.3 of the </w:t>
      </w:r>
      <w:r w:rsidRPr="00D7401C">
        <w:rPr>
          <w:i/>
          <w:snapToGrid w:val="0"/>
        </w:rPr>
        <w:t>Corporations Act 2001</w:t>
      </w:r>
      <w:r w:rsidRPr="00D7401C">
        <w:rPr>
          <w:snapToGrid w:val="0"/>
        </w:rPr>
        <w:t xml:space="preserve"> within 7 days after it is required to be lodged with the Australian Securities and Investments Commission or it is in fact lodged, whichever is the earlier; </w:t>
      </w:r>
    </w:p>
    <w:p w:rsidR="008D51C1" w:rsidRDefault="008D51C1" w:rsidP="00E47997">
      <w:pPr>
        <w:spacing w:before="120"/>
        <w:rPr>
          <w:snapToGrid w:val="0"/>
        </w:rPr>
      </w:pPr>
      <w:r>
        <w:rPr>
          <w:snapToGrid w:val="0"/>
        </w:rPr>
        <w:br w:type="page"/>
      </w:r>
    </w:p>
    <w:p w:rsidR="00E47997" w:rsidRPr="00D7401C" w:rsidRDefault="00E47997" w:rsidP="00E47997">
      <w:pPr>
        <w:spacing w:before="120"/>
        <w:rPr>
          <w:snapToGrid w:val="0"/>
        </w:rPr>
      </w:pPr>
    </w:p>
    <w:p w:rsidR="00E47997" w:rsidRPr="00D7401C" w:rsidRDefault="00E47997" w:rsidP="00E47997">
      <w:pPr>
        <w:numPr>
          <w:ilvl w:val="0"/>
          <w:numId w:val="8"/>
        </w:numPr>
        <w:tabs>
          <w:tab w:val="num" w:pos="2127"/>
        </w:tabs>
        <w:spacing w:before="120"/>
        <w:ind w:left="2268" w:hanging="567"/>
        <w:rPr>
          <w:snapToGrid w:val="0"/>
        </w:rPr>
      </w:pPr>
      <w:r>
        <w:t xml:space="preserve">  </w:t>
      </w:r>
      <w:r w:rsidRPr="00D7401C">
        <w:t xml:space="preserve">any periodic financial information regarding the affairs of the Licensee for a financial year that it is required to give to any financial market as defined in the </w:t>
      </w:r>
      <w:r w:rsidRPr="00D7401C">
        <w:rPr>
          <w:i/>
        </w:rPr>
        <w:t>Corporations Act 2001</w:t>
      </w:r>
      <w:r w:rsidRPr="00D7401C">
        <w:t xml:space="preserve"> (for example, in respect of the Australian Stock Exchange this would be information that must be given under Listing Rule 4.3B) within 7 days after it is required to be given to the financial market or it is in fact given, whichever is the earlier.  For the avoidance of doubt this condition does not require the Licensee to provide information that is released to the financial market pursuant to the Licensee's continuous disclosure obligations;</w:t>
      </w:r>
    </w:p>
    <w:p w:rsidR="00E47997" w:rsidRPr="00D7401C" w:rsidRDefault="00E47997" w:rsidP="00E47997">
      <w:pPr>
        <w:numPr>
          <w:ilvl w:val="0"/>
          <w:numId w:val="8"/>
        </w:numPr>
        <w:tabs>
          <w:tab w:val="num" w:pos="2127"/>
        </w:tabs>
        <w:spacing w:before="120"/>
        <w:ind w:left="2268" w:hanging="567"/>
        <w:rPr>
          <w:snapToGrid w:val="0"/>
        </w:rPr>
      </w:pPr>
      <w:r>
        <w:rPr>
          <w:snapToGrid w:val="0"/>
        </w:rPr>
        <w:t xml:space="preserve">  </w:t>
      </w:r>
      <w:r w:rsidRPr="00D7401C">
        <w:rPr>
          <w:snapToGrid w:val="0"/>
        </w:rPr>
        <w:t xml:space="preserve">if the Licensee is not required to report in accordance with Division 1 of Part 2M.3 of the </w:t>
      </w:r>
      <w:r w:rsidRPr="00D7401C">
        <w:rPr>
          <w:i/>
          <w:snapToGrid w:val="0"/>
        </w:rPr>
        <w:t xml:space="preserve">Corporations Act 2001 </w:t>
      </w:r>
      <w:r w:rsidRPr="00D7401C">
        <w:rPr>
          <w:snapToGrid w:val="0"/>
        </w:rPr>
        <w:t xml:space="preserve">because its parent company is required to report in accordance with Division 1 of Part 2M.3 of the </w:t>
      </w:r>
      <w:r w:rsidRPr="00D7401C">
        <w:rPr>
          <w:i/>
          <w:snapToGrid w:val="0"/>
        </w:rPr>
        <w:t>Corporations Act 2001</w:t>
      </w:r>
      <w:r w:rsidRPr="00D7401C">
        <w:rPr>
          <w:snapToGrid w:val="0"/>
        </w:rPr>
        <w:t xml:space="preserve">, then the Licensee must provide any report that the parent company is required to prepare or obtain for a financial year under Division 1 of Part 2M.3 of the </w:t>
      </w:r>
      <w:r w:rsidRPr="00D7401C">
        <w:rPr>
          <w:i/>
          <w:snapToGrid w:val="0"/>
        </w:rPr>
        <w:t>Corporations Act 2001</w:t>
      </w:r>
      <w:r w:rsidRPr="00D7401C">
        <w:rPr>
          <w:snapToGrid w:val="0"/>
        </w:rPr>
        <w:t xml:space="preserve"> within 7 days after it is required to be lodged with the Australian Securities and Investments Commission or it is in fact lodged, whichever is the earlier; </w:t>
      </w:r>
    </w:p>
    <w:p w:rsidR="00E47997" w:rsidRPr="009C4FDB" w:rsidRDefault="00E47997" w:rsidP="00E47997">
      <w:pPr>
        <w:numPr>
          <w:ilvl w:val="0"/>
          <w:numId w:val="8"/>
        </w:numPr>
        <w:tabs>
          <w:tab w:val="num" w:pos="2127"/>
        </w:tabs>
        <w:spacing w:before="120"/>
        <w:ind w:left="2268" w:hanging="567"/>
        <w:rPr>
          <w:snapToGrid w:val="0"/>
        </w:rPr>
      </w:pPr>
      <w:r>
        <w:rPr>
          <w:snapToGrid w:val="0"/>
        </w:rPr>
        <w:t xml:space="preserve">  </w:t>
      </w:r>
      <w:r w:rsidRPr="00D7401C">
        <w:rPr>
          <w:snapToGrid w:val="0"/>
        </w:rPr>
        <w:t xml:space="preserve">if the Licensee (or its parent company) is not required to report in accordance with Division 1 of Part 2M.3 of the </w:t>
      </w:r>
      <w:r w:rsidRPr="00D7401C">
        <w:rPr>
          <w:i/>
          <w:snapToGrid w:val="0"/>
        </w:rPr>
        <w:t>Corporations Act 2001</w:t>
      </w:r>
      <w:r w:rsidRPr="00D7401C">
        <w:rPr>
          <w:snapToGrid w:val="0"/>
        </w:rPr>
        <w:t xml:space="preserve"> </w:t>
      </w:r>
      <w:r w:rsidRPr="009C4FDB">
        <w:rPr>
          <w:snapToGrid w:val="0"/>
        </w:rPr>
        <w:t xml:space="preserve">and the parent company is a company not subject to the laws of Australia then the Licensee’s parent company must prepare a financial report and directors’ report as if it was required to comply with Division 1 of Part 2M.3 of the </w:t>
      </w:r>
      <w:r w:rsidRPr="009C4FDB">
        <w:rPr>
          <w:i/>
          <w:snapToGrid w:val="0"/>
        </w:rPr>
        <w:t>Corporations Act</w:t>
      </w:r>
      <w:r w:rsidRPr="009C4FDB">
        <w:rPr>
          <w:snapToGrid w:val="0"/>
        </w:rPr>
        <w:t xml:space="preserve"> </w:t>
      </w:r>
      <w:r w:rsidRPr="009C4FDB">
        <w:rPr>
          <w:i/>
          <w:snapToGrid w:val="0"/>
        </w:rPr>
        <w:t>2001</w:t>
      </w:r>
      <w:r w:rsidRPr="009C4FDB">
        <w:rPr>
          <w:snapToGrid w:val="0"/>
        </w:rPr>
        <w:t>, including having that report audited in accordance with that Part, and must give the report to the Commission within three months after the end of the Licensee’s financial year;</w:t>
      </w:r>
    </w:p>
    <w:p w:rsidR="00E47997" w:rsidRPr="009C4FDB" w:rsidRDefault="00E47997" w:rsidP="00E47997">
      <w:pPr>
        <w:tabs>
          <w:tab w:val="num" w:pos="2268"/>
        </w:tabs>
        <w:spacing w:before="120"/>
        <w:ind w:left="1701"/>
        <w:rPr>
          <w:snapToGrid w:val="0"/>
          <w:sz w:val="18"/>
          <w:szCs w:val="18"/>
        </w:rPr>
      </w:pPr>
    </w:p>
    <w:p w:rsidR="00E47997" w:rsidRPr="009C4FDB" w:rsidRDefault="00E47997" w:rsidP="00E47997">
      <w:pPr>
        <w:tabs>
          <w:tab w:val="num" w:pos="1701"/>
        </w:tabs>
        <w:ind w:left="1701" w:hanging="425"/>
        <w:rPr>
          <w:snapToGrid w:val="0"/>
        </w:rPr>
      </w:pPr>
      <w:r w:rsidRPr="009C4FDB">
        <w:rPr>
          <w:snapToGrid w:val="0"/>
        </w:rPr>
        <w:t xml:space="preserve">(b)   </w:t>
      </w:r>
      <w:proofErr w:type="gramStart"/>
      <w:r w:rsidRPr="009C4FDB">
        <w:rPr>
          <w:snapToGrid w:val="0"/>
        </w:rPr>
        <w:t>include</w:t>
      </w:r>
      <w:proofErr w:type="gramEnd"/>
      <w:r w:rsidRPr="009C4FDB">
        <w:rPr>
          <w:snapToGrid w:val="0"/>
        </w:rPr>
        <w:t xml:space="preserve">, and identify, in any report or information referred to in Prudential Condition 3.1(a), provision for meeting the Licensee’s accrued and contingent liability as at the end of the accounting period for claims made under the Act in the accounting period. </w:t>
      </w:r>
    </w:p>
    <w:p w:rsidR="00E47997" w:rsidRPr="009C4FDB" w:rsidRDefault="00E47997" w:rsidP="00E47997"/>
    <w:p w:rsidR="00E47997" w:rsidRPr="009C4FDB" w:rsidRDefault="00E47997" w:rsidP="00E47997">
      <w:pPr>
        <w:ind w:left="1134" w:hanging="1134"/>
        <w:outlineLvl w:val="1"/>
        <w:rPr>
          <w:color w:val="000000"/>
        </w:rPr>
      </w:pPr>
      <w:r w:rsidRPr="009C4FDB">
        <w:t>3.2</w:t>
      </w:r>
      <w:r w:rsidRPr="009C4FDB">
        <w:tab/>
        <w:t>The provision mentioned in 3.1(b) must be consistent with a written evaluation, by an actuary, of the Licensee’s current and non-current liability for the accounting period and the actuary’s evaluation must be lodged with the Commission.</w:t>
      </w:r>
    </w:p>
    <w:p w:rsidR="00E47997" w:rsidRPr="009C4FDB" w:rsidRDefault="00E47997" w:rsidP="00E47997">
      <w:pPr>
        <w:spacing w:before="120"/>
        <w:ind w:left="1134" w:hanging="1134"/>
        <w:outlineLvl w:val="1"/>
      </w:pPr>
      <w:r w:rsidRPr="009C4FDB">
        <w:t>3.3</w:t>
      </w:r>
      <w:r w:rsidRPr="009C4FDB">
        <w:tab/>
        <w:t>The Licensee’s accounts must also make provision for the Licensee to meet its accrued and contingent liability as estimated by the actuary in accordance with Prudential Conditions 2.2 and 2.3.</w:t>
      </w:r>
    </w:p>
    <w:p w:rsidR="00E47997" w:rsidRPr="009C4FDB" w:rsidRDefault="00E47997" w:rsidP="00E47997">
      <w:pPr>
        <w:spacing w:before="120"/>
        <w:ind w:left="1134" w:hanging="1134"/>
        <w:outlineLvl w:val="1"/>
      </w:pPr>
      <w:r w:rsidRPr="009C4FDB">
        <w:t>3.4</w:t>
      </w:r>
      <w:r w:rsidRPr="009C4FDB">
        <w:tab/>
        <w:t xml:space="preserve">It will be sufficient compliance with Prudential Condition 3.2 if the Licensee provides the Commission with a statement at the time of lodging its accounts that the actuary’s written evaluation required by this Prudential Condition is contained in the Liability Report provided to the Commission, and identifying the location of the information in that Report.  </w:t>
      </w:r>
    </w:p>
    <w:p w:rsidR="008D51C1" w:rsidRDefault="00E47997" w:rsidP="00E47997">
      <w:pPr>
        <w:spacing w:before="120"/>
        <w:ind w:left="1134" w:hanging="1134"/>
        <w:rPr>
          <w:lang w:val="en-US"/>
        </w:rPr>
      </w:pPr>
      <w:r w:rsidRPr="00E1126A">
        <w:rPr>
          <w:lang w:val="en-US"/>
        </w:rPr>
        <w:t>3.5</w:t>
      </w:r>
      <w:r w:rsidRPr="00E1126A">
        <w:rPr>
          <w:lang w:val="en-US"/>
        </w:rPr>
        <w:tab/>
        <w:t>For the purposes of Prudential Condition 3.2, “actuary” means the actuary who prepares the Liability Report referred to in Prudential Condition 2.1.</w:t>
      </w:r>
      <w:r w:rsidR="008D51C1">
        <w:rPr>
          <w:lang w:val="en-US"/>
        </w:rPr>
        <w:br w:type="page"/>
      </w:r>
    </w:p>
    <w:p w:rsidR="00E47997" w:rsidRPr="00E1126A" w:rsidRDefault="00E47997" w:rsidP="00E47997">
      <w:pPr>
        <w:keepNext/>
        <w:tabs>
          <w:tab w:val="left" w:pos="1276"/>
        </w:tabs>
        <w:spacing w:before="120"/>
        <w:ind w:right="-57"/>
        <w:outlineLvl w:val="0"/>
        <w:rPr>
          <w:b/>
          <w:smallCaps/>
        </w:rPr>
      </w:pPr>
      <w:r w:rsidRPr="00E1126A">
        <w:rPr>
          <w:b/>
          <w:smallCaps/>
        </w:rPr>
        <w:lastRenderedPageBreak/>
        <w:t>4.</w:t>
      </w:r>
      <w:r w:rsidRPr="00E1126A">
        <w:rPr>
          <w:b/>
          <w:smallCaps/>
        </w:rPr>
        <w:tab/>
        <w:t>GUARANTEE</w:t>
      </w:r>
    </w:p>
    <w:p w:rsidR="00E47997" w:rsidRPr="00E1126A" w:rsidRDefault="00E47997" w:rsidP="00E47997">
      <w:pPr>
        <w:keepNext/>
        <w:tabs>
          <w:tab w:val="left" w:pos="1276"/>
        </w:tabs>
        <w:spacing w:before="120"/>
        <w:ind w:left="1276" w:right="-57" w:hanging="1276"/>
        <w:outlineLvl w:val="0"/>
        <w:rPr>
          <w:b/>
          <w:smallCaps/>
        </w:rPr>
      </w:pPr>
      <w:r w:rsidRPr="00E1126A">
        <w:rPr>
          <w:smallCaps/>
        </w:rPr>
        <w:t>4.1</w:t>
      </w:r>
      <w:r w:rsidRPr="00E1126A">
        <w:rPr>
          <w:b/>
          <w:smallCaps/>
        </w:rPr>
        <w:tab/>
      </w:r>
      <w:r w:rsidRPr="00E1126A">
        <w:t>The Licensee must, for each financial year, obtain a guarantee for the due discharge of its liability to pay compensation and other amounts under the SRC Act in accordance with the scope of this licence.</w:t>
      </w:r>
    </w:p>
    <w:p w:rsidR="00E47997" w:rsidRPr="00E1126A" w:rsidRDefault="00E47997" w:rsidP="00E47997">
      <w:pPr>
        <w:tabs>
          <w:tab w:val="num" w:pos="1276"/>
        </w:tabs>
        <w:spacing w:before="120"/>
        <w:outlineLvl w:val="1"/>
      </w:pPr>
      <w:r w:rsidRPr="00E1126A">
        <w:t>4.2</w:t>
      </w:r>
      <w:r w:rsidRPr="00E1126A">
        <w:tab/>
        <w:t>The guarantee in respect of each financial year must be:</w:t>
      </w:r>
    </w:p>
    <w:p w:rsidR="00E47997" w:rsidRPr="00E1126A" w:rsidRDefault="00E47997" w:rsidP="00E47997">
      <w:pPr>
        <w:numPr>
          <w:ilvl w:val="0"/>
          <w:numId w:val="29"/>
        </w:numPr>
        <w:tabs>
          <w:tab w:val="clear" w:pos="567"/>
          <w:tab w:val="num" w:pos="1843"/>
        </w:tabs>
        <w:spacing w:before="120"/>
        <w:ind w:left="1843"/>
        <w:rPr>
          <w:snapToGrid w:val="0"/>
        </w:rPr>
      </w:pPr>
      <w:r w:rsidRPr="00E1126A">
        <w:t>in the form and subject to the terms agreed in writing by the Commission; and</w:t>
      </w:r>
    </w:p>
    <w:p w:rsidR="00E47997" w:rsidRPr="00E1126A" w:rsidRDefault="00E47997" w:rsidP="00E47997">
      <w:pPr>
        <w:numPr>
          <w:ilvl w:val="0"/>
          <w:numId w:val="29"/>
        </w:numPr>
        <w:tabs>
          <w:tab w:val="clear" w:pos="567"/>
          <w:tab w:val="num" w:pos="1843"/>
        </w:tabs>
        <w:spacing w:before="120"/>
        <w:ind w:left="1843"/>
        <w:rPr>
          <w:snapToGrid w:val="0"/>
        </w:rPr>
      </w:pPr>
      <w:r w:rsidRPr="00E1126A">
        <w:rPr>
          <w:snapToGrid w:val="0"/>
        </w:rPr>
        <w:t>for</w:t>
      </w:r>
      <w:r w:rsidRPr="00E1126A">
        <w:t xml:space="preserve"> an amount calculated by the actuary in accordance with Prudential Condition 4 and specified in the Liability Report for that financial year; and</w:t>
      </w:r>
    </w:p>
    <w:p w:rsidR="00E47997" w:rsidRPr="00E1126A" w:rsidRDefault="00E47997" w:rsidP="00E47997">
      <w:pPr>
        <w:numPr>
          <w:ilvl w:val="0"/>
          <w:numId w:val="29"/>
        </w:numPr>
        <w:tabs>
          <w:tab w:val="clear" w:pos="567"/>
          <w:tab w:val="num" w:pos="1843"/>
        </w:tabs>
        <w:spacing w:before="120"/>
        <w:ind w:left="1843"/>
      </w:pPr>
      <w:r w:rsidRPr="00E1126A">
        <w:t>obtained from a corporation that is authorised by the Australian Prudential Regulatory Authority (APRA) to carry on:</w:t>
      </w:r>
    </w:p>
    <w:p w:rsidR="00E47997" w:rsidRPr="00E1126A" w:rsidRDefault="00E47997" w:rsidP="00E47997">
      <w:pPr>
        <w:numPr>
          <w:ilvl w:val="0"/>
          <w:numId w:val="9"/>
        </w:numPr>
        <w:spacing w:before="120"/>
        <w:ind w:left="2552" w:hanging="709"/>
        <w:contextualSpacing/>
      </w:pPr>
      <w:r w:rsidRPr="00E1126A">
        <w:t xml:space="preserve">banking business in Australia under the </w:t>
      </w:r>
      <w:r w:rsidRPr="00E1126A">
        <w:rPr>
          <w:i/>
        </w:rPr>
        <w:t xml:space="preserve">Banking Act 1959 </w:t>
      </w:r>
      <w:r w:rsidRPr="00E1126A">
        <w:t>(</w:t>
      </w:r>
      <w:proofErr w:type="spellStart"/>
      <w:r w:rsidRPr="00E1126A">
        <w:t>Cth</w:t>
      </w:r>
      <w:proofErr w:type="spellEnd"/>
      <w:r w:rsidRPr="00E1126A">
        <w:t>) and has an issuer credit rating of or equivalent to a Standard and Poor’s AA- or better; or</w:t>
      </w:r>
    </w:p>
    <w:p w:rsidR="00E47997" w:rsidRPr="00E1126A" w:rsidRDefault="00E47997" w:rsidP="00E47997">
      <w:pPr>
        <w:numPr>
          <w:ilvl w:val="0"/>
          <w:numId w:val="9"/>
        </w:numPr>
        <w:spacing w:before="120"/>
        <w:ind w:left="2552" w:hanging="709"/>
        <w:contextualSpacing/>
      </w:pPr>
      <w:r w:rsidRPr="00E1126A">
        <w:t xml:space="preserve">insurance business in Australia under the </w:t>
      </w:r>
      <w:r w:rsidRPr="00E1126A">
        <w:rPr>
          <w:i/>
        </w:rPr>
        <w:t>Insurance Act 1973</w:t>
      </w:r>
      <w:r w:rsidRPr="00E1126A">
        <w:t xml:space="preserve"> (</w:t>
      </w:r>
      <w:proofErr w:type="spellStart"/>
      <w:r w:rsidRPr="00E1126A">
        <w:t>Cth</w:t>
      </w:r>
      <w:proofErr w:type="spellEnd"/>
      <w:r w:rsidRPr="00E1126A">
        <w:t>) and has an issuer credit rating of or equivalent to a Standard and Poor’s AA- or better and a financial strength rating of or equivalent to a Standard and Poor’s AA- or better.</w:t>
      </w:r>
    </w:p>
    <w:p w:rsidR="00E47997" w:rsidRPr="00E1126A" w:rsidRDefault="00E47997" w:rsidP="00E47997">
      <w:pPr>
        <w:spacing w:before="120"/>
        <w:ind w:left="1276" w:hanging="1276"/>
        <w:outlineLvl w:val="1"/>
      </w:pPr>
      <w:r w:rsidRPr="00E1126A">
        <w:t>4.3</w:t>
      </w:r>
      <w:r w:rsidRPr="00E1126A">
        <w:tab/>
        <w:t xml:space="preserve">The Licensee must provide the original of the guarantee to the Commission by 30 September of the financial year to which it relates. </w:t>
      </w:r>
    </w:p>
    <w:p w:rsidR="00E47997" w:rsidRPr="00E1126A" w:rsidRDefault="00E47997" w:rsidP="00E47997">
      <w:pPr>
        <w:spacing w:before="120"/>
        <w:ind w:left="1148"/>
      </w:pPr>
      <w:r w:rsidRPr="00E1126A">
        <w:t>For the purpose of this condition:</w:t>
      </w:r>
    </w:p>
    <w:p w:rsidR="00E47997" w:rsidRPr="00E1126A" w:rsidRDefault="00E47997" w:rsidP="00E47997">
      <w:pPr>
        <w:spacing w:before="120"/>
        <w:ind w:left="1134"/>
      </w:pPr>
      <w:r w:rsidRPr="00E1126A">
        <w:t>“Balance Date” means the last day of the financial year immediately before the year to which the guarantee relates.</w:t>
      </w:r>
    </w:p>
    <w:p w:rsidR="00E47997" w:rsidRPr="00E1126A" w:rsidRDefault="00E47997" w:rsidP="00E47997">
      <w:pPr>
        <w:spacing w:before="120"/>
        <w:ind w:left="1134"/>
      </w:pPr>
      <w:r w:rsidRPr="00E1126A">
        <w:t>“Outstanding Claims Liabilities” includes accrued and contingent liabilities.</w:t>
      </w:r>
    </w:p>
    <w:p w:rsidR="00E47997" w:rsidRPr="00E1126A" w:rsidRDefault="00E47997" w:rsidP="00E47997">
      <w:pPr>
        <w:tabs>
          <w:tab w:val="num" w:pos="1134"/>
        </w:tabs>
        <w:spacing w:before="120"/>
        <w:ind w:left="-142" w:firstLine="142"/>
        <w:outlineLvl w:val="1"/>
      </w:pPr>
      <w:r w:rsidRPr="00E1126A">
        <w:t>4.4</w:t>
      </w:r>
      <w:r w:rsidRPr="00E1126A">
        <w:tab/>
        <w:t>The guarantee must be for an amount calculated by the actuary as the greater of:</w:t>
      </w:r>
    </w:p>
    <w:p w:rsidR="00E47997" w:rsidRPr="00E1126A" w:rsidRDefault="00E47997" w:rsidP="00E47997">
      <w:pPr>
        <w:numPr>
          <w:ilvl w:val="0"/>
          <w:numId w:val="3"/>
        </w:numPr>
        <w:spacing w:before="120"/>
      </w:pPr>
      <w:r w:rsidRPr="00E1126A">
        <w:t>the 95</w:t>
      </w:r>
      <w:r w:rsidRPr="00E1126A">
        <w:rPr>
          <w:vertAlign w:val="superscript"/>
        </w:rPr>
        <w:t>th</w:t>
      </w:r>
      <w:r w:rsidRPr="00E1126A">
        <w:t xml:space="preserve"> percentile of Outstanding Claims Liabilities at the Balance Date and the addition of one reinsurance policy retention amount specified in Prudential Condition 5; or</w:t>
      </w:r>
    </w:p>
    <w:p w:rsidR="00E47997" w:rsidRPr="00E1126A" w:rsidRDefault="00E47997" w:rsidP="00E47997">
      <w:pPr>
        <w:numPr>
          <w:ilvl w:val="0"/>
          <w:numId w:val="3"/>
        </w:numPr>
        <w:spacing w:before="120"/>
      </w:pPr>
      <w:r w:rsidRPr="00E1126A">
        <w:t>the 95</w:t>
      </w:r>
      <w:r w:rsidRPr="00E1126A">
        <w:rPr>
          <w:vertAlign w:val="superscript"/>
        </w:rPr>
        <w:t>th</w:t>
      </w:r>
      <w:r w:rsidRPr="00E1126A">
        <w:t xml:space="preserve"> percentile of projected Outstanding Claims Liabilities in 12/18/24 months* time from the Balance Date and the addition of one reinsurance policy retention amount specified in Prudential Condition 5, </w:t>
      </w:r>
    </w:p>
    <w:p w:rsidR="00E47997" w:rsidRPr="00E1126A" w:rsidRDefault="00E47997" w:rsidP="00E47997">
      <w:pPr>
        <w:tabs>
          <w:tab w:val="num" w:pos="1701"/>
        </w:tabs>
        <w:spacing w:before="120"/>
        <w:ind w:left="1134"/>
      </w:pPr>
      <w:proofErr w:type="gramStart"/>
      <w:r w:rsidRPr="00E1126A">
        <w:t>subject</w:t>
      </w:r>
      <w:proofErr w:type="gramEnd"/>
      <w:r w:rsidRPr="00E1126A">
        <w:t xml:space="preserve"> to a minimum amount of $2,500,000. </w:t>
      </w:r>
    </w:p>
    <w:p w:rsidR="00E47997" w:rsidRPr="00E1126A" w:rsidRDefault="00E47997" w:rsidP="00E47997">
      <w:pPr>
        <w:spacing w:before="120"/>
        <w:ind w:left="1134"/>
        <w:rPr>
          <w:szCs w:val="20"/>
        </w:rPr>
      </w:pPr>
      <w:r w:rsidRPr="00E1126A">
        <w:rPr>
          <w:i/>
          <w:szCs w:val="20"/>
        </w:rPr>
        <w:t>*Note</w:t>
      </w:r>
      <w:r w:rsidRPr="00E1126A">
        <w:rPr>
          <w:szCs w:val="20"/>
        </w:rPr>
        <w:t>: 12 months for Licensees in the 6</w:t>
      </w:r>
      <w:r w:rsidRPr="00E1126A">
        <w:rPr>
          <w:szCs w:val="20"/>
          <w:vertAlign w:val="superscript"/>
        </w:rPr>
        <w:t>th</w:t>
      </w:r>
      <w:r w:rsidRPr="00E1126A">
        <w:rPr>
          <w:szCs w:val="20"/>
        </w:rPr>
        <w:t xml:space="preserve"> or more year of licence; 18 months for Licensees in the 4</w:t>
      </w:r>
      <w:r w:rsidRPr="00E1126A">
        <w:rPr>
          <w:szCs w:val="20"/>
          <w:vertAlign w:val="superscript"/>
        </w:rPr>
        <w:t>th</w:t>
      </w:r>
      <w:r w:rsidRPr="00E1126A">
        <w:rPr>
          <w:szCs w:val="20"/>
        </w:rPr>
        <w:t>-5</w:t>
      </w:r>
      <w:r w:rsidRPr="00E1126A">
        <w:rPr>
          <w:szCs w:val="20"/>
          <w:vertAlign w:val="superscript"/>
        </w:rPr>
        <w:t>th</w:t>
      </w:r>
      <w:r w:rsidRPr="00E1126A">
        <w:rPr>
          <w:szCs w:val="20"/>
        </w:rPr>
        <w:t xml:space="preserve"> year of licence; 24 months for Licensees in the 1</w:t>
      </w:r>
      <w:r w:rsidRPr="00E1126A">
        <w:rPr>
          <w:szCs w:val="20"/>
          <w:vertAlign w:val="superscript"/>
        </w:rPr>
        <w:t>st</w:t>
      </w:r>
      <w:r w:rsidRPr="00E1126A">
        <w:rPr>
          <w:szCs w:val="20"/>
        </w:rPr>
        <w:t>-3</w:t>
      </w:r>
      <w:r w:rsidRPr="00E1126A">
        <w:rPr>
          <w:szCs w:val="20"/>
          <w:vertAlign w:val="superscript"/>
        </w:rPr>
        <w:t>rd</w:t>
      </w:r>
      <w:r w:rsidRPr="00E1126A">
        <w:rPr>
          <w:szCs w:val="20"/>
        </w:rPr>
        <w:t xml:space="preserve"> year of licence.</w:t>
      </w:r>
    </w:p>
    <w:p w:rsidR="00E47997" w:rsidRPr="00E1126A" w:rsidRDefault="00E47997" w:rsidP="00E47997">
      <w:pPr>
        <w:spacing w:before="120"/>
        <w:ind w:left="1134"/>
      </w:pPr>
      <w:r w:rsidRPr="00E1126A">
        <w:rPr>
          <w:i/>
        </w:rPr>
        <w:t>Note</w:t>
      </w:r>
      <w:r w:rsidRPr="00E1126A">
        <w:t xml:space="preserve">: The liability estimates are to include an allowance for the cost of administering claims and be calculated net of reinsurance recoveries. </w:t>
      </w:r>
    </w:p>
    <w:p w:rsidR="00E47997" w:rsidRPr="00E1126A" w:rsidRDefault="00E47997" w:rsidP="00E47997">
      <w:pPr>
        <w:spacing w:before="120"/>
        <w:ind w:left="1134" w:hanging="1134"/>
        <w:outlineLvl w:val="1"/>
      </w:pPr>
      <w:r w:rsidRPr="00E1126A">
        <w:t xml:space="preserve">4.5 </w:t>
      </w:r>
      <w:r w:rsidRPr="00E1126A">
        <w:tab/>
        <w:t>In preparing the level of guarantee, the Licensee must direct the actuary to:</w:t>
      </w:r>
    </w:p>
    <w:p w:rsidR="008D51C1" w:rsidRDefault="00E47997" w:rsidP="00E47997">
      <w:pPr>
        <w:numPr>
          <w:ilvl w:val="0"/>
          <w:numId w:val="10"/>
        </w:numPr>
        <w:spacing w:before="120"/>
      </w:pPr>
      <w:r w:rsidRPr="00E1126A">
        <w:t>calculate existing and projected estimates of outstanding claims liabilities plus costs of administering claims to the 95</w:t>
      </w:r>
      <w:r w:rsidRPr="00E1126A">
        <w:rPr>
          <w:vertAlign w:val="superscript"/>
        </w:rPr>
        <w:t>th</w:t>
      </w:r>
      <w:r w:rsidRPr="00E1126A">
        <w:t xml:space="preserve"> percentile and to include this result in the Liability Report; and</w:t>
      </w:r>
      <w:r w:rsidR="008D51C1">
        <w:br w:type="page"/>
      </w:r>
    </w:p>
    <w:p w:rsidR="00E47997" w:rsidRPr="00E1126A" w:rsidRDefault="00E47997" w:rsidP="00E47997">
      <w:pPr>
        <w:numPr>
          <w:ilvl w:val="0"/>
          <w:numId w:val="10"/>
        </w:numPr>
        <w:spacing w:before="120"/>
      </w:pPr>
      <w:proofErr w:type="gramStart"/>
      <w:r w:rsidRPr="00E1126A">
        <w:lastRenderedPageBreak/>
        <w:t>base</w:t>
      </w:r>
      <w:proofErr w:type="gramEnd"/>
      <w:r w:rsidRPr="00E1126A">
        <w:t xml:space="preserve"> the calculation on a full statistical analysis of data, trends and variability and according to any relevant IAA standards and guidelines on liability valuation for general insurance.</w:t>
      </w:r>
    </w:p>
    <w:p w:rsidR="00E47997" w:rsidRPr="000C2705" w:rsidRDefault="00E47997" w:rsidP="00E47997">
      <w:pPr>
        <w:keepNext/>
        <w:tabs>
          <w:tab w:val="left" w:pos="1276"/>
        </w:tabs>
        <w:spacing w:before="120"/>
        <w:ind w:right="-57"/>
        <w:outlineLvl w:val="0"/>
        <w:rPr>
          <w:b/>
          <w:smallCaps/>
          <w:color w:val="000000"/>
        </w:rPr>
      </w:pPr>
      <w:r w:rsidRPr="000C2705">
        <w:rPr>
          <w:b/>
          <w:smallCaps/>
        </w:rPr>
        <w:t>5.</w:t>
      </w:r>
      <w:r w:rsidRPr="000C2705">
        <w:rPr>
          <w:b/>
          <w:smallCaps/>
        </w:rPr>
        <w:tab/>
        <w:t>REINSURANCE</w:t>
      </w:r>
    </w:p>
    <w:p w:rsidR="00E47997" w:rsidRPr="000C2705" w:rsidRDefault="00E47997" w:rsidP="00E47997">
      <w:pPr>
        <w:spacing w:before="120"/>
        <w:ind w:left="1134" w:hanging="1134"/>
        <w:outlineLvl w:val="1"/>
      </w:pPr>
      <w:r w:rsidRPr="000C2705">
        <w:t>5.1</w:t>
      </w:r>
      <w:r w:rsidRPr="000C2705">
        <w:tab/>
        <w:t>The Licensee shall maintain an appropriate level of reinsurance to limit its liability to pay compensation and other amounts under the SRC Act in accordance with the scope of this licence for any single event in excess of an amount determined by the Commission (“excess amount”).</w:t>
      </w:r>
    </w:p>
    <w:p w:rsidR="00E47997" w:rsidRPr="000C2705" w:rsidRDefault="00E47997" w:rsidP="00E47997">
      <w:pPr>
        <w:spacing w:before="120"/>
        <w:ind w:left="1134"/>
        <w:rPr>
          <w:i/>
        </w:rPr>
      </w:pPr>
      <w:r w:rsidRPr="000C2705">
        <w:rPr>
          <w:i/>
        </w:rPr>
        <w:t xml:space="preserve">Note: </w:t>
      </w:r>
      <w:r w:rsidRPr="000C2705">
        <w:t>The Commission will have regard to the maximum excess amount recommended by the actuary in the Liability Report.</w:t>
      </w:r>
      <w:r w:rsidRPr="000C2705">
        <w:rPr>
          <w:i/>
        </w:rPr>
        <w:t xml:space="preserve"> </w:t>
      </w:r>
    </w:p>
    <w:p w:rsidR="00E47997" w:rsidRPr="000C2705" w:rsidRDefault="00E47997" w:rsidP="00E47997">
      <w:pPr>
        <w:spacing w:before="120"/>
        <w:ind w:left="1134"/>
        <w:rPr>
          <w:i/>
        </w:rPr>
      </w:pPr>
    </w:p>
    <w:p w:rsidR="00E47997" w:rsidRPr="000C2705" w:rsidRDefault="00E47997" w:rsidP="00E47997">
      <w:pPr>
        <w:tabs>
          <w:tab w:val="num" w:pos="1419"/>
        </w:tabs>
        <w:ind w:left="1134" w:hanging="1134"/>
        <w:outlineLvl w:val="1"/>
      </w:pPr>
      <w:r w:rsidRPr="000C2705">
        <w:t xml:space="preserve">5.2 </w:t>
      </w:r>
      <w:r w:rsidRPr="000C2705">
        <w:tab/>
        <w:t xml:space="preserve">The reinsurance policy must be with an insurance company granted an authority to carry on insurance business by the Australian Prudential Regulation Authority under the </w:t>
      </w:r>
      <w:r w:rsidRPr="000C2705">
        <w:rPr>
          <w:i/>
        </w:rPr>
        <w:t>Insurance Act 1973</w:t>
      </w:r>
      <w:r w:rsidRPr="000C2705">
        <w:t>.</w:t>
      </w:r>
    </w:p>
    <w:p w:rsidR="00E47997" w:rsidRPr="000C2705" w:rsidRDefault="00E47997" w:rsidP="00E47997"/>
    <w:p w:rsidR="00E47997" w:rsidRPr="000C2705" w:rsidRDefault="00E47997" w:rsidP="00E47997">
      <w:pPr>
        <w:tabs>
          <w:tab w:val="num" w:pos="1134"/>
        </w:tabs>
        <w:outlineLvl w:val="1"/>
      </w:pPr>
      <w:r w:rsidRPr="000C2705">
        <w:t>5.3</w:t>
      </w:r>
      <w:r w:rsidRPr="000C2705">
        <w:tab/>
        <w:t>The Licensee must:</w:t>
      </w:r>
    </w:p>
    <w:p w:rsidR="00E47997" w:rsidRPr="000C2705" w:rsidRDefault="00E47997" w:rsidP="00E47997">
      <w:pPr>
        <w:numPr>
          <w:ilvl w:val="0"/>
          <w:numId w:val="30"/>
        </w:numPr>
        <w:spacing w:before="120"/>
        <w:ind w:left="1701" w:hanging="708"/>
        <w:rPr>
          <w:snapToGrid w:val="0"/>
        </w:rPr>
      </w:pPr>
      <w:r w:rsidRPr="000C2705">
        <w:rPr>
          <w:snapToGrid w:val="0"/>
        </w:rPr>
        <w:t>provide a copy of the reinsurance policy to the actuary and</w:t>
      </w:r>
      <w:r w:rsidRPr="000C2705">
        <w:rPr>
          <w:snapToGrid w:val="0"/>
          <w:color w:val="0000FF"/>
        </w:rPr>
        <w:t xml:space="preserve"> </w:t>
      </w:r>
      <w:r w:rsidRPr="000C2705">
        <w:rPr>
          <w:snapToGrid w:val="0"/>
        </w:rPr>
        <w:t>the Commission within seven days of the issuing of the new policy; and</w:t>
      </w:r>
    </w:p>
    <w:p w:rsidR="00E47997" w:rsidRPr="000C2705" w:rsidRDefault="00E47997" w:rsidP="00E47997">
      <w:pPr>
        <w:numPr>
          <w:ilvl w:val="0"/>
          <w:numId w:val="30"/>
        </w:numPr>
        <w:spacing w:before="120"/>
        <w:ind w:left="1701" w:hanging="708"/>
        <w:rPr>
          <w:snapToGrid w:val="0"/>
        </w:rPr>
      </w:pPr>
      <w:proofErr w:type="gramStart"/>
      <w:r w:rsidRPr="000C2705">
        <w:t>seek</w:t>
      </w:r>
      <w:proofErr w:type="gramEnd"/>
      <w:r w:rsidRPr="000C2705">
        <w:t xml:space="preserve"> the prior approval of the Commission to any reinsurance amount which is in excess of the amount previously determined by the Commission under 5.1 above.</w:t>
      </w:r>
    </w:p>
    <w:p w:rsidR="00E47997" w:rsidRPr="000C2705" w:rsidRDefault="00E47997" w:rsidP="00E47997">
      <w:pPr>
        <w:spacing w:before="120"/>
        <w:rPr>
          <w:snapToGrid w:val="0"/>
        </w:rPr>
      </w:pPr>
    </w:p>
    <w:p w:rsidR="00E47997" w:rsidRPr="000C2705" w:rsidRDefault="00E47997" w:rsidP="00E47997">
      <w:pPr>
        <w:keepNext/>
        <w:tabs>
          <w:tab w:val="left" w:pos="1120"/>
        </w:tabs>
        <w:spacing w:before="120"/>
        <w:ind w:right="-57"/>
        <w:outlineLvl w:val="0"/>
        <w:rPr>
          <w:b/>
          <w:smallCaps/>
        </w:rPr>
      </w:pPr>
      <w:r w:rsidRPr="000C2705">
        <w:rPr>
          <w:b/>
          <w:smallCaps/>
        </w:rPr>
        <w:t>6.</w:t>
      </w:r>
      <w:r w:rsidRPr="000C2705">
        <w:rPr>
          <w:b/>
          <w:smallCaps/>
        </w:rPr>
        <w:tab/>
        <w:t>DEED OF GUARANTEE</w:t>
      </w:r>
    </w:p>
    <w:p w:rsidR="00E47997" w:rsidRPr="000C2705" w:rsidRDefault="00E47997" w:rsidP="00E47997"/>
    <w:p w:rsidR="00E47997" w:rsidRPr="000C2705" w:rsidRDefault="00E47997" w:rsidP="00E47997">
      <w:pPr>
        <w:tabs>
          <w:tab w:val="left" w:pos="1134"/>
        </w:tabs>
        <w:spacing w:after="200"/>
        <w:contextualSpacing/>
        <w:rPr>
          <w:b/>
          <w:bCs/>
          <w:szCs w:val="20"/>
        </w:rPr>
      </w:pPr>
      <w:r w:rsidRPr="000C2705">
        <w:rPr>
          <w:szCs w:val="20"/>
        </w:rPr>
        <w:t>6.1</w:t>
      </w:r>
      <w:r w:rsidRPr="000C2705">
        <w:rPr>
          <w:szCs w:val="20"/>
        </w:rPr>
        <w:tab/>
        <w:t>The Licensee:</w:t>
      </w:r>
    </w:p>
    <w:p w:rsidR="00E47997" w:rsidRPr="000C2705" w:rsidRDefault="00E47997" w:rsidP="00E47997">
      <w:pPr>
        <w:ind w:left="360"/>
        <w:contextualSpacing/>
        <w:rPr>
          <w:b/>
          <w:bCs/>
          <w:szCs w:val="20"/>
        </w:rPr>
      </w:pPr>
    </w:p>
    <w:p w:rsidR="00E47997" w:rsidRPr="000C2705" w:rsidRDefault="00E47997" w:rsidP="00E47997">
      <w:pPr>
        <w:numPr>
          <w:ilvl w:val="0"/>
          <w:numId w:val="11"/>
        </w:numPr>
        <w:tabs>
          <w:tab w:val="left" w:pos="1701"/>
        </w:tabs>
        <w:spacing w:after="200"/>
        <w:ind w:left="1701" w:hanging="567"/>
        <w:contextualSpacing/>
        <w:rPr>
          <w:szCs w:val="20"/>
        </w:rPr>
      </w:pPr>
      <w:r w:rsidRPr="000C2705">
        <w:rPr>
          <w:szCs w:val="20"/>
        </w:rPr>
        <w:t>must at all times be a party to a Deed of Guarantee and Indemnity in accordance with Prudential Condition 6 of this licence; and</w:t>
      </w:r>
    </w:p>
    <w:p w:rsidR="00E47997" w:rsidRPr="000C2705" w:rsidRDefault="00E47997" w:rsidP="00E47997">
      <w:pPr>
        <w:numPr>
          <w:ilvl w:val="0"/>
          <w:numId w:val="11"/>
        </w:numPr>
        <w:tabs>
          <w:tab w:val="left" w:pos="1701"/>
        </w:tabs>
        <w:spacing w:after="200"/>
        <w:ind w:left="1701" w:hanging="567"/>
        <w:contextualSpacing/>
        <w:rPr>
          <w:szCs w:val="20"/>
        </w:rPr>
      </w:pPr>
      <w:proofErr w:type="gramStart"/>
      <w:r w:rsidRPr="000C2705">
        <w:rPr>
          <w:szCs w:val="20"/>
        </w:rPr>
        <w:t>must</w:t>
      </w:r>
      <w:proofErr w:type="gramEnd"/>
      <w:r w:rsidRPr="000C2705">
        <w:rPr>
          <w:szCs w:val="20"/>
        </w:rPr>
        <w:t xml:space="preserve"> not engage in any act or omission that may compromise the enforceability of the Deed of Guarantee and Indemnity.</w:t>
      </w:r>
    </w:p>
    <w:p w:rsidR="00E47997" w:rsidRPr="000C2705" w:rsidRDefault="00E47997" w:rsidP="00E47997">
      <w:pPr>
        <w:contextualSpacing/>
        <w:rPr>
          <w:szCs w:val="20"/>
        </w:rPr>
      </w:pPr>
    </w:p>
    <w:p w:rsidR="00E47997" w:rsidRPr="000C2705" w:rsidRDefault="00E47997" w:rsidP="00E47997">
      <w:pPr>
        <w:tabs>
          <w:tab w:val="left" w:pos="1134"/>
        </w:tabs>
        <w:spacing w:after="200"/>
        <w:ind w:left="1134" w:hanging="1134"/>
        <w:contextualSpacing/>
        <w:rPr>
          <w:b/>
          <w:bCs/>
          <w:szCs w:val="20"/>
        </w:rPr>
      </w:pPr>
      <w:r w:rsidRPr="000C2705">
        <w:rPr>
          <w:szCs w:val="20"/>
        </w:rPr>
        <w:t>6.2</w:t>
      </w:r>
      <w:r w:rsidRPr="000C2705">
        <w:rPr>
          <w:szCs w:val="20"/>
        </w:rPr>
        <w:tab/>
        <w:t>In this licence a reference to the Deed of Guarantee and Indemnity is a reference to either:</w:t>
      </w:r>
    </w:p>
    <w:p w:rsidR="00E47997" w:rsidRPr="000C2705" w:rsidRDefault="00E47997" w:rsidP="00E47997">
      <w:pPr>
        <w:tabs>
          <w:tab w:val="left" w:pos="1134"/>
        </w:tabs>
        <w:spacing w:after="200"/>
        <w:ind w:left="1134"/>
        <w:contextualSpacing/>
        <w:rPr>
          <w:b/>
          <w:bCs/>
          <w:szCs w:val="20"/>
        </w:rPr>
      </w:pPr>
    </w:p>
    <w:p w:rsidR="00E47997" w:rsidRPr="009574A1" w:rsidRDefault="00E47997" w:rsidP="00E47997">
      <w:pPr>
        <w:numPr>
          <w:ilvl w:val="0"/>
          <w:numId w:val="12"/>
        </w:numPr>
        <w:tabs>
          <w:tab w:val="left" w:pos="1560"/>
        </w:tabs>
        <w:spacing w:after="200"/>
        <w:ind w:left="1701" w:hanging="567"/>
        <w:contextualSpacing/>
        <w:rPr>
          <w:szCs w:val="20"/>
        </w:rPr>
      </w:pPr>
      <w:r w:rsidRPr="009574A1">
        <w:rPr>
          <w:szCs w:val="20"/>
        </w:rPr>
        <w:t>the Deed of Guarantee and Indemnity given by the Commonwealth Bank of Australia on 26 November 2014 for the benefit of:</w:t>
      </w:r>
    </w:p>
    <w:p w:rsidR="00E47997" w:rsidRDefault="00E47997" w:rsidP="00E47997">
      <w:pPr>
        <w:numPr>
          <w:ilvl w:val="0"/>
          <w:numId w:val="13"/>
        </w:numPr>
        <w:spacing w:after="200"/>
        <w:ind w:left="2127" w:hanging="426"/>
        <w:contextualSpacing/>
        <w:rPr>
          <w:szCs w:val="20"/>
        </w:rPr>
      </w:pPr>
      <w:r w:rsidRPr="009574A1">
        <w:rPr>
          <w:szCs w:val="20"/>
        </w:rPr>
        <w:t>Avanteos Pty Ltd ABN 99 066 892 977; BWA Group Services Pty Limited ABN 88 111 209 440; Colonial Services Pty Limited ABN 70 075 733 023; Commonwealth Insurance Limited ABN 96 067 524 216; and Commonwealth Securities Limited ABN 60 067 254 399 (each a CBA Subsidiary); and</w:t>
      </w:r>
    </w:p>
    <w:p w:rsidR="00E47997" w:rsidRPr="009574A1" w:rsidRDefault="00E47997" w:rsidP="00E47997">
      <w:pPr>
        <w:spacing w:after="200"/>
        <w:contextualSpacing/>
        <w:rPr>
          <w:szCs w:val="20"/>
        </w:rPr>
      </w:pPr>
    </w:p>
    <w:p w:rsidR="00E47997" w:rsidRPr="009574A1" w:rsidRDefault="00E47997" w:rsidP="00E47997">
      <w:pPr>
        <w:numPr>
          <w:ilvl w:val="0"/>
          <w:numId w:val="13"/>
        </w:numPr>
        <w:spacing w:after="200"/>
        <w:ind w:left="2127" w:hanging="426"/>
        <w:contextualSpacing/>
        <w:rPr>
          <w:szCs w:val="20"/>
        </w:rPr>
      </w:pPr>
      <w:r w:rsidRPr="009574A1">
        <w:rPr>
          <w:szCs w:val="20"/>
        </w:rPr>
        <w:t>all past, present and future employees of each CBA Subsidiary and their dependants; and</w:t>
      </w:r>
    </w:p>
    <w:p w:rsidR="00E47997" w:rsidRPr="008D51C1" w:rsidRDefault="00E47997" w:rsidP="008D51C1">
      <w:pPr>
        <w:numPr>
          <w:ilvl w:val="0"/>
          <w:numId w:val="13"/>
        </w:numPr>
        <w:spacing w:after="200"/>
        <w:ind w:left="2127" w:hanging="426"/>
        <w:contextualSpacing/>
        <w:rPr>
          <w:szCs w:val="20"/>
        </w:rPr>
      </w:pPr>
      <w:r w:rsidRPr="009574A1">
        <w:rPr>
          <w:szCs w:val="20"/>
        </w:rPr>
        <w:t>Comcare; or</w:t>
      </w:r>
      <w:r w:rsidR="008D51C1">
        <w:rPr>
          <w:szCs w:val="20"/>
        </w:rPr>
        <w:br w:type="page"/>
      </w:r>
    </w:p>
    <w:p w:rsidR="00E47997" w:rsidRPr="009574A1" w:rsidRDefault="00E47997" w:rsidP="00E47997">
      <w:pPr>
        <w:numPr>
          <w:ilvl w:val="0"/>
          <w:numId w:val="12"/>
        </w:numPr>
        <w:tabs>
          <w:tab w:val="left" w:pos="1560"/>
        </w:tabs>
        <w:spacing w:after="200"/>
        <w:ind w:left="1560" w:hanging="426"/>
        <w:contextualSpacing/>
        <w:rPr>
          <w:szCs w:val="20"/>
        </w:rPr>
      </w:pPr>
      <w:proofErr w:type="gramStart"/>
      <w:r w:rsidRPr="009574A1">
        <w:rPr>
          <w:szCs w:val="20"/>
        </w:rPr>
        <w:lastRenderedPageBreak/>
        <w:t>where</w:t>
      </w:r>
      <w:proofErr w:type="gramEnd"/>
      <w:r w:rsidRPr="009574A1">
        <w:rPr>
          <w:szCs w:val="20"/>
        </w:rPr>
        <w:t xml:space="preserve"> the Commission, in its absolute discretion, notifies the licensee in writing that another, alternative, Deed of Guarantee and Indemnity, will satisfy the requirements of Prudential Condition 6 of this licence, that deed. </w:t>
      </w:r>
    </w:p>
    <w:p w:rsidR="00E47997" w:rsidRPr="000C2705" w:rsidRDefault="00E47997" w:rsidP="00E47997">
      <w:pPr>
        <w:tabs>
          <w:tab w:val="left" w:pos="1560"/>
        </w:tabs>
        <w:spacing w:after="200"/>
        <w:ind w:left="1560"/>
        <w:contextualSpacing/>
        <w:rPr>
          <w:szCs w:val="20"/>
        </w:rPr>
      </w:pPr>
    </w:p>
    <w:p w:rsidR="00E47997" w:rsidRDefault="00E47997" w:rsidP="00E47997">
      <w:pPr>
        <w:tabs>
          <w:tab w:val="left" w:pos="1134"/>
        </w:tabs>
        <w:ind w:left="1134" w:hanging="1134"/>
        <w:outlineLvl w:val="1"/>
        <w:rPr>
          <w:rFonts w:eastAsia="SimSun" w:cs="Angsana New"/>
          <w:lang w:eastAsia="zh-CN" w:bidi="th-TH"/>
        </w:rPr>
      </w:pPr>
      <w:r w:rsidRPr="000C2705">
        <w:rPr>
          <w:rFonts w:eastAsia="SimSun" w:cs="Angsana New"/>
          <w:lang w:eastAsia="zh-CN" w:bidi="th-TH"/>
        </w:rPr>
        <w:t xml:space="preserve">6.3 </w:t>
      </w:r>
      <w:r w:rsidRPr="000C2705">
        <w:rPr>
          <w:rFonts w:eastAsia="SimSun" w:cs="Angsana New"/>
          <w:lang w:eastAsia="zh-CN" w:bidi="th-TH"/>
        </w:rPr>
        <w:tab/>
        <w:t>The Commission grants this licence on the condition that the Deed of Guarantee and Indemnity is, and remains, binding on the Commonwealth Bank of Australia and remains in full force and effect for the period of this licence and for at least seven (7) years following the period of this licence.</w:t>
      </w:r>
    </w:p>
    <w:p w:rsidR="003235D4" w:rsidRDefault="003235D4" w:rsidP="00E47997">
      <w:pPr>
        <w:tabs>
          <w:tab w:val="left" w:pos="1134"/>
        </w:tabs>
        <w:ind w:left="1134" w:hanging="1134"/>
        <w:outlineLvl w:val="1"/>
        <w:rPr>
          <w:rFonts w:eastAsia="SimSun" w:cs="Angsana New"/>
          <w:lang w:eastAsia="zh-CN" w:bidi="th-TH"/>
        </w:rPr>
      </w:pPr>
    </w:p>
    <w:p w:rsidR="003235D4" w:rsidRDefault="003235D4" w:rsidP="00E47997">
      <w:pPr>
        <w:tabs>
          <w:tab w:val="left" w:pos="1134"/>
        </w:tabs>
        <w:ind w:left="1134" w:hanging="1134"/>
        <w:outlineLvl w:val="1"/>
        <w:rPr>
          <w:rFonts w:eastAsia="SimSun" w:cs="Angsana New"/>
          <w:lang w:eastAsia="zh-CN" w:bidi="th-TH"/>
        </w:rPr>
      </w:pPr>
      <w:r>
        <w:rPr>
          <w:rFonts w:eastAsia="SimSun" w:cs="Angsana New"/>
          <w:lang w:eastAsia="zh-CN" w:bidi="th-TH"/>
        </w:rPr>
        <w:t>6.4</w:t>
      </w:r>
      <w:r>
        <w:rPr>
          <w:rFonts w:eastAsia="SimSun" w:cs="Angsana New"/>
          <w:lang w:eastAsia="zh-CN" w:bidi="th-TH"/>
        </w:rPr>
        <w:tab/>
      </w:r>
      <w:r w:rsidR="00095367">
        <w:rPr>
          <w:rFonts w:eastAsia="SimSun" w:cs="Angsana New"/>
          <w:lang w:eastAsia="zh-CN" w:bidi="th-TH"/>
        </w:rPr>
        <w:t xml:space="preserve">The Licensee must perform and fulfil its obligations under the Deed of Guarantee and Indemnity in accordance with the SRC Act. </w:t>
      </w:r>
    </w:p>
    <w:p w:rsidR="00E47997" w:rsidRPr="000C2705" w:rsidRDefault="00E47997" w:rsidP="00095367">
      <w:pPr>
        <w:tabs>
          <w:tab w:val="left" w:pos="993"/>
          <w:tab w:val="left" w:pos="1080"/>
        </w:tabs>
        <w:outlineLvl w:val="1"/>
        <w:rPr>
          <w:rFonts w:eastAsia="SimSun" w:cs="Angsana New"/>
          <w:lang w:eastAsia="zh-CN" w:bidi="th-TH"/>
        </w:rPr>
      </w:pPr>
    </w:p>
    <w:p w:rsidR="00E47997" w:rsidRPr="00095367" w:rsidRDefault="00095367" w:rsidP="00E47997">
      <w:pPr>
        <w:tabs>
          <w:tab w:val="left" w:pos="1134"/>
        </w:tabs>
        <w:ind w:left="1134" w:hanging="1134"/>
        <w:outlineLvl w:val="1"/>
        <w:rPr>
          <w:rFonts w:eastAsia="SimSun" w:cs="Angsana New"/>
          <w:lang w:eastAsia="zh-CN" w:bidi="th-TH"/>
        </w:rPr>
      </w:pPr>
      <w:r w:rsidRPr="00095367">
        <w:rPr>
          <w:rFonts w:eastAsia="SimSun"/>
          <w:lang w:eastAsia="zh-CN" w:bidi="th-TH"/>
        </w:rPr>
        <w:t>6.5</w:t>
      </w:r>
      <w:r w:rsidR="00E47997" w:rsidRPr="00095367">
        <w:rPr>
          <w:rFonts w:eastAsia="SimSun"/>
          <w:lang w:eastAsia="zh-CN" w:bidi="th-TH"/>
        </w:rPr>
        <w:t xml:space="preserve"> </w:t>
      </w:r>
      <w:r w:rsidR="00E47997" w:rsidRPr="00095367">
        <w:rPr>
          <w:rFonts w:eastAsia="SimSun"/>
          <w:lang w:eastAsia="zh-CN" w:bidi="th-TH"/>
        </w:rPr>
        <w:tab/>
        <w:t>The Licensee must notify the Commission within three (3) business days if the Licensee becomes aware that any aspect of the Deed of Guarantee and Indemnity is not, or will not any time in the future be, enforceable by any beneficiary of the Deed of Guarantee and Indemnity.</w:t>
      </w:r>
    </w:p>
    <w:p w:rsidR="00E47997" w:rsidRPr="00095367" w:rsidRDefault="00E47997" w:rsidP="00E47997">
      <w:pPr>
        <w:tabs>
          <w:tab w:val="left" w:pos="993"/>
          <w:tab w:val="left" w:pos="1080"/>
        </w:tabs>
        <w:ind w:left="680" w:hanging="680"/>
        <w:outlineLvl w:val="1"/>
        <w:rPr>
          <w:rFonts w:eastAsia="SimSun"/>
          <w:lang w:eastAsia="zh-CN" w:bidi="th-TH"/>
        </w:rPr>
      </w:pPr>
    </w:p>
    <w:p w:rsidR="00E47997" w:rsidRPr="00095367" w:rsidRDefault="00095367" w:rsidP="00E47997">
      <w:pPr>
        <w:tabs>
          <w:tab w:val="left" w:pos="1134"/>
        </w:tabs>
        <w:ind w:left="1134" w:hanging="1134"/>
        <w:outlineLvl w:val="1"/>
        <w:rPr>
          <w:rFonts w:eastAsia="SimSun" w:cs="Angsana New"/>
          <w:lang w:eastAsia="zh-CN" w:bidi="th-TH"/>
        </w:rPr>
      </w:pPr>
      <w:r w:rsidRPr="00095367">
        <w:rPr>
          <w:rFonts w:eastAsia="SimSun" w:cs="Angsana New"/>
          <w:lang w:eastAsia="zh-CN" w:bidi="th-TH"/>
        </w:rPr>
        <w:t>6.6</w:t>
      </w:r>
      <w:r w:rsidR="00E47997" w:rsidRPr="00095367">
        <w:rPr>
          <w:rFonts w:eastAsia="SimSun" w:cs="Angsana New"/>
          <w:lang w:eastAsia="zh-CN" w:bidi="th-TH"/>
        </w:rPr>
        <w:t xml:space="preserve"> </w:t>
      </w:r>
      <w:r w:rsidR="00E47997" w:rsidRPr="00095367">
        <w:rPr>
          <w:rFonts w:eastAsia="SimSun" w:cs="Angsana New"/>
          <w:lang w:eastAsia="zh-CN" w:bidi="th-TH"/>
        </w:rPr>
        <w:tab/>
        <w:t>The Deed of Guarantee and Indemnity includes any subsequent novation of or variation of the Deed of Guarantee and Indemnity.</w:t>
      </w:r>
    </w:p>
    <w:p w:rsidR="00E47997" w:rsidRPr="00095367" w:rsidRDefault="00E47997" w:rsidP="00E47997">
      <w:pPr>
        <w:ind w:left="720"/>
        <w:contextualSpacing/>
        <w:rPr>
          <w:rFonts w:ascii="Times" w:hAnsi="Times"/>
          <w:szCs w:val="20"/>
        </w:rPr>
      </w:pPr>
    </w:p>
    <w:p w:rsidR="00E47997" w:rsidRPr="000C2705" w:rsidRDefault="00095367" w:rsidP="00E47997">
      <w:pPr>
        <w:tabs>
          <w:tab w:val="left" w:pos="1134"/>
        </w:tabs>
        <w:autoSpaceDE w:val="0"/>
        <w:autoSpaceDN w:val="0"/>
        <w:ind w:left="1134" w:hanging="1134"/>
        <w:contextualSpacing/>
        <w:rPr>
          <w:szCs w:val="20"/>
        </w:rPr>
      </w:pPr>
      <w:r w:rsidRPr="00095367">
        <w:rPr>
          <w:szCs w:val="20"/>
        </w:rPr>
        <w:t>6.7</w:t>
      </w:r>
      <w:r w:rsidR="00E47997" w:rsidRPr="00095367">
        <w:rPr>
          <w:szCs w:val="20"/>
        </w:rPr>
        <w:t xml:space="preserve"> </w:t>
      </w:r>
      <w:r w:rsidR="00E47997" w:rsidRPr="00095367">
        <w:rPr>
          <w:szCs w:val="20"/>
        </w:rPr>
        <w:tab/>
        <w:t>If the Deed of Cross Guarantee and Indemnity is novated or varied the Licensee must notify the Commission and provide a copy of the document novating or varying the Deed of Cross Guarantee and Indemnity to the Commission within three (3) business days.</w:t>
      </w:r>
    </w:p>
    <w:p w:rsidR="00E47997" w:rsidRPr="000C2705" w:rsidRDefault="00E47997" w:rsidP="00E47997">
      <w:pPr>
        <w:ind w:right="-477"/>
        <w:jc w:val="right"/>
      </w:pPr>
      <w:r w:rsidRPr="00332625">
        <w:rPr>
          <w:highlight w:val="green"/>
        </w:rPr>
        <w:br w:type="page"/>
      </w:r>
      <w:r>
        <w:rPr>
          <w:b/>
        </w:rPr>
        <w:lastRenderedPageBreak/>
        <w:t>Attachment</w:t>
      </w:r>
      <w:r w:rsidRPr="000C2705">
        <w:rPr>
          <w:b/>
        </w:rPr>
        <w:t xml:space="preserve"> B</w:t>
      </w:r>
    </w:p>
    <w:p w:rsidR="00E47997" w:rsidRPr="000C2705" w:rsidRDefault="00E47997" w:rsidP="00E47997">
      <w:pPr>
        <w:ind w:right="-477"/>
      </w:pPr>
      <w:r w:rsidRPr="000C2705">
        <w:rPr>
          <w:b/>
          <w:caps/>
        </w:rPr>
        <w:t>Performance Standards and Measures FOR LICENSEES</w:t>
      </w:r>
    </w:p>
    <w:p w:rsidR="00E47997" w:rsidRPr="000C2705" w:rsidRDefault="00E47997" w:rsidP="00E47997"/>
    <w:p w:rsidR="00E47997" w:rsidRPr="000C2705" w:rsidRDefault="00E47997" w:rsidP="00E47997">
      <w:r w:rsidRPr="000C2705">
        <w:t>The Licensee’s prevention, rehabilitation and claims management systems will be consistent with these Performance Standards. The degree to which the Licensee meets the Standards will be judged against the Performance Measures.</w:t>
      </w:r>
    </w:p>
    <w:p w:rsidR="00E47997" w:rsidRPr="000C2705" w:rsidRDefault="00E47997" w:rsidP="00E47997">
      <w:pPr>
        <w:tabs>
          <w:tab w:val="right" w:pos="7513"/>
          <w:tab w:val="left" w:pos="8318"/>
        </w:tabs>
        <w:snapToGrid w:val="0"/>
      </w:pPr>
    </w:p>
    <w:p w:rsidR="00E47997" w:rsidRPr="000C2705" w:rsidRDefault="00E47997" w:rsidP="00E47997">
      <w:pPr>
        <w:tabs>
          <w:tab w:val="left" w:pos="567"/>
          <w:tab w:val="right" w:pos="7513"/>
          <w:tab w:val="left" w:pos="8318"/>
        </w:tabs>
        <w:snapToGrid w:val="0"/>
        <w:rPr>
          <w:b/>
          <w:snapToGrid w:val="0"/>
        </w:rPr>
      </w:pPr>
      <w:r w:rsidRPr="000C2705">
        <w:rPr>
          <w:b/>
          <w:snapToGrid w:val="0"/>
        </w:rPr>
        <w:t>1.</w:t>
      </w:r>
      <w:r w:rsidRPr="000C2705">
        <w:rPr>
          <w:b/>
          <w:snapToGrid w:val="0"/>
        </w:rPr>
        <w:tab/>
        <w:t>COMMITMENT AND CORPORATE GOVERNANCE</w:t>
      </w:r>
    </w:p>
    <w:p w:rsidR="00E47997" w:rsidRPr="000C2705" w:rsidRDefault="00E47997" w:rsidP="00E47997">
      <w:pPr>
        <w:tabs>
          <w:tab w:val="left" w:pos="567"/>
          <w:tab w:val="right" w:pos="7513"/>
          <w:tab w:val="left" w:pos="8318"/>
        </w:tabs>
        <w:snapToGrid w:val="0"/>
        <w:rPr>
          <w:b/>
          <w:snapToGrid w:val="0"/>
        </w:rPr>
      </w:pPr>
    </w:p>
    <w:p w:rsidR="00E47997" w:rsidRPr="000C2705" w:rsidRDefault="00E47997" w:rsidP="00E47997">
      <w:r w:rsidRPr="000C2705">
        <w:t>Sound corporate governance is the process by which organisations are directed, controlled and held to account.  The Licensee’s executive will provide stewardship for its prevention, rehabilitation and claims management systems and commit adequate resources to ensure continuous improvement.</w:t>
      </w:r>
    </w:p>
    <w:p w:rsidR="00E47997" w:rsidRPr="000C2705" w:rsidRDefault="00E47997" w:rsidP="00E47997">
      <w:pPr>
        <w:tabs>
          <w:tab w:val="left" w:pos="0"/>
          <w:tab w:val="num" w:pos="1134"/>
        </w:tabs>
        <w:ind w:hanging="567"/>
      </w:pPr>
    </w:p>
    <w:p w:rsidR="00E47997" w:rsidRPr="000C2705" w:rsidRDefault="00E47997" w:rsidP="00E47997">
      <w:pPr>
        <w:tabs>
          <w:tab w:val="left" w:pos="0"/>
        </w:tabs>
      </w:pPr>
      <w:r w:rsidRPr="000C2705">
        <w:t>The Licensee</w:t>
      </w:r>
      <w:r w:rsidRPr="000C2705">
        <w:rPr>
          <w:bCs/>
        </w:rPr>
        <w:t xml:space="preserve"> </w:t>
      </w:r>
      <w:r w:rsidRPr="000C2705">
        <w:t>will</w:t>
      </w:r>
      <w:r w:rsidRPr="000C2705">
        <w:rPr>
          <w:bCs/>
        </w:rPr>
        <w:t xml:space="preserve"> document its commitment to prevention, rehabilitation and claims management.  This documentation will benchmark the organisation’s objectives, be used to formulate strategic direction and be reviewed to ensure it remains relevant to the Licensee and strives for continuous improvement.  It will be endorsed and supported at the executive level and</w:t>
      </w:r>
      <w:r w:rsidRPr="000C2705">
        <w:t xml:space="preserve"> be relevant to the organisation’s overall values, vision and business objectives.  </w:t>
      </w:r>
    </w:p>
    <w:p w:rsidR="00E47997" w:rsidRPr="000C2705" w:rsidRDefault="00E47997" w:rsidP="00E47997">
      <w:pPr>
        <w:tabs>
          <w:tab w:val="num" w:pos="1134"/>
        </w:tabs>
        <w:ind w:hanging="567"/>
      </w:pPr>
    </w:p>
    <w:p w:rsidR="00E47997" w:rsidRPr="000C2705" w:rsidRDefault="00E47997" w:rsidP="00E47997">
      <w:pPr>
        <w:tabs>
          <w:tab w:val="num" w:pos="1134"/>
          <w:tab w:val="right" w:pos="7513"/>
          <w:tab w:val="left" w:pos="8318"/>
        </w:tabs>
        <w:ind w:left="1134" w:hanging="1134"/>
        <w:rPr>
          <w:b/>
          <w:snapToGrid w:val="0"/>
        </w:rPr>
      </w:pPr>
      <w:r w:rsidRPr="000C2705">
        <w:rPr>
          <w:b/>
          <w:snapToGrid w:val="0"/>
        </w:rPr>
        <w:t>1.1 Performance Standards</w:t>
      </w:r>
    </w:p>
    <w:p w:rsidR="00E47997" w:rsidRPr="000C2705" w:rsidRDefault="00E47997" w:rsidP="00E47997">
      <w:pPr>
        <w:tabs>
          <w:tab w:val="num" w:pos="1134"/>
          <w:tab w:val="right" w:pos="7513"/>
          <w:tab w:val="left" w:pos="8318"/>
        </w:tabs>
        <w:ind w:left="1134" w:hanging="1134"/>
        <w:rPr>
          <w:b/>
          <w:snapToGrid w:val="0"/>
        </w:rPr>
      </w:pPr>
    </w:p>
    <w:p w:rsidR="00E47997" w:rsidRPr="000C2705" w:rsidRDefault="00E47997" w:rsidP="00E47997">
      <w:pPr>
        <w:tabs>
          <w:tab w:val="num" w:pos="1134"/>
        </w:tabs>
        <w:ind w:left="1134" w:hanging="1134"/>
      </w:pPr>
      <w:r w:rsidRPr="000C2705">
        <w:t>1.1.1 The Licensee will</w:t>
      </w:r>
    </w:p>
    <w:p w:rsidR="00E47997" w:rsidRPr="000C2705" w:rsidRDefault="00E47997" w:rsidP="00E47997">
      <w:pPr>
        <w:ind w:left="1134"/>
      </w:pPr>
    </w:p>
    <w:p w:rsidR="00E47997" w:rsidRPr="000C2705" w:rsidRDefault="00E47997" w:rsidP="00E47997">
      <w:pPr>
        <w:numPr>
          <w:ilvl w:val="0"/>
          <w:numId w:val="14"/>
        </w:numPr>
        <w:ind w:left="993" w:hanging="426"/>
      </w:pPr>
      <w:r w:rsidRPr="000C2705">
        <w:t>set the direction for its management systems through a documented commitment by senior executive</w:t>
      </w:r>
    </w:p>
    <w:p w:rsidR="00E47997" w:rsidRPr="000C2705" w:rsidRDefault="00E47997" w:rsidP="00E47997">
      <w:pPr>
        <w:numPr>
          <w:ilvl w:val="0"/>
          <w:numId w:val="14"/>
        </w:numPr>
        <w:tabs>
          <w:tab w:val="num" w:pos="1134"/>
        </w:tabs>
        <w:ind w:left="993" w:hanging="426"/>
      </w:pPr>
      <w:r w:rsidRPr="000C2705">
        <w:t xml:space="preserve">establish systems that </w:t>
      </w:r>
    </w:p>
    <w:p w:rsidR="00E47997" w:rsidRPr="000C2705" w:rsidRDefault="00E47997" w:rsidP="00E47997">
      <w:pPr>
        <w:numPr>
          <w:ilvl w:val="0"/>
          <w:numId w:val="2"/>
        </w:numPr>
        <w:tabs>
          <w:tab w:val="num" w:pos="1701"/>
        </w:tabs>
        <w:ind w:left="1701"/>
      </w:pPr>
      <w:r w:rsidRPr="000C2705">
        <w:t>recognise legislative obligations</w:t>
      </w:r>
    </w:p>
    <w:p w:rsidR="00E47997" w:rsidRPr="000C2705" w:rsidRDefault="00E47997" w:rsidP="00E47997">
      <w:pPr>
        <w:numPr>
          <w:ilvl w:val="0"/>
          <w:numId w:val="2"/>
        </w:numPr>
        <w:tabs>
          <w:tab w:val="num" w:pos="1701"/>
        </w:tabs>
        <w:ind w:left="1701"/>
      </w:pPr>
      <w:r w:rsidRPr="000C2705">
        <w:t xml:space="preserve">promote the principle of continuous improvement and provide for effective prevention, rehabilitation and workers’ compensation arrangements </w:t>
      </w:r>
    </w:p>
    <w:p w:rsidR="00E47997" w:rsidRPr="000C2705" w:rsidRDefault="00E47997" w:rsidP="00E47997">
      <w:pPr>
        <w:numPr>
          <w:ilvl w:val="0"/>
          <w:numId w:val="2"/>
        </w:numPr>
        <w:tabs>
          <w:tab w:val="num" w:pos="1701"/>
        </w:tabs>
        <w:ind w:left="1701"/>
      </w:pPr>
      <w:r w:rsidRPr="000C2705">
        <w:t>promote communication of relevant information to employees</w:t>
      </w:r>
    </w:p>
    <w:p w:rsidR="00E47997" w:rsidRPr="000C2705" w:rsidRDefault="00E47997" w:rsidP="00E47997">
      <w:pPr>
        <w:numPr>
          <w:ilvl w:val="0"/>
          <w:numId w:val="2"/>
        </w:numPr>
        <w:tabs>
          <w:tab w:val="num" w:pos="1701"/>
        </w:tabs>
        <w:ind w:left="1701"/>
      </w:pPr>
      <w:r w:rsidRPr="000C2705">
        <w:t>provide for internal and external accountability</w:t>
      </w:r>
    </w:p>
    <w:p w:rsidR="00E47997" w:rsidRPr="000C2705" w:rsidRDefault="00E47997" w:rsidP="00E47997">
      <w:pPr>
        <w:numPr>
          <w:ilvl w:val="0"/>
          <w:numId w:val="2"/>
        </w:numPr>
        <w:tabs>
          <w:tab w:val="num" w:pos="1701"/>
        </w:tabs>
        <w:ind w:left="1701"/>
      </w:pPr>
      <w:proofErr w:type="gramStart"/>
      <w:r w:rsidRPr="000C2705">
        <w:t>put</w:t>
      </w:r>
      <w:proofErr w:type="gramEnd"/>
      <w:r w:rsidRPr="000C2705">
        <w:t xml:space="preserve"> in place appropriate control structures to manage risk.</w:t>
      </w:r>
    </w:p>
    <w:p w:rsidR="00E47997" w:rsidRPr="000C2705" w:rsidRDefault="00E47997" w:rsidP="00E47997">
      <w:pPr>
        <w:ind w:left="1134"/>
      </w:pPr>
    </w:p>
    <w:p w:rsidR="00E47997" w:rsidRPr="000C2705" w:rsidRDefault="00E47997" w:rsidP="00E47997">
      <w:pPr>
        <w:tabs>
          <w:tab w:val="left" w:pos="1134"/>
        </w:tabs>
        <w:ind w:left="1134" w:hanging="1134"/>
        <w:rPr>
          <w:b/>
        </w:rPr>
      </w:pPr>
      <w:r w:rsidRPr="000C2705">
        <w:rPr>
          <w:b/>
        </w:rPr>
        <w:t>1.2 Performance Measures</w:t>
      </w:r>
    </w:p>
    <w:p w:rsidR="00E47997" w:rsidRPr="000C2705" w:rsidRDefault="00E47997" w:rsidP="00E47997">
      <w:pPr>
        <w:tabs>
          <w:tab w:val="left" w:pos="1134"/>
        </w:tabs>
        <w:ind w:left="1134" w:hanging="1134"/>
        <w:rPr>
          <w:b/>
        </w:rPr>
      </w:pPr>
    </w:p>
    <w:p w:rsidR="00E47997" w:rsidRPr="000C2705" w:rsidRDefault="00E47997" w:rsidP="00E47997">
      <w:pPr>
        <w:tabs>
          <w:tab w:val="num" w:pos="1134"/>
        </w:tabs>
        <w:ind w:left="1134" w:hanging="1134"/>
      </w:pPr>
      <w:r w:rsidRPr="000C2705">
        <w:t>1.2.1 There is evidence of</w:t>
      </w:r>
    </w:p>
    <w:p w:rsidR="00E47997" w:rsidRPr="000C2705" w:rsidRDefault="00E47997" w:rsidP="00E47997">
      <w:pPr>
        <w:ind w:left="1134"/>
      </w:pPr>
    </w:p>
    <w:p w:rsidR="00E47997" w:rsidRPr="000C2705" w:rsidRDefault="00E47997" w:rsidP="00E47997">
      <w:pPr>
        <w:numPr>
          <w:ilvl w:val="0"/>
          <w:numId w:val="15"/>
        </w:numPr>
        <w:tabs>
          <w:tab w:val="clear" w:pos="1008"/>
          <w:tab w:val="num" w:pos="9214"/>
        </w:tabs>
        <w:ind w:left="993" w:hanging="426"/>
      </w:pPr>
      <w:r w:rsidRPr="000C2705">
        <w:t xml:space="preserve">communication of senior executive commitment to sound prevention, rehabilitation </w:t>
      </w:r>
      <w:r>
        <w:t>a</w:t>
      </w:r>
      <w:r w:rsidRPr="000C2705">
        <w:t>nd claims management systems</w:t>
      </w:r>
    </w:p>
    <w:p w:rsidR="00E47997" w:rsidRPr="000C2705" w:rsidRDefault="00E47997" w:rsidP="00E47997">
      <w:pPr>
        <w:numPr>
          <w:ilvl w:val="0"/>
          <w:numId w:val="15"/>
        </w:numPr>
        <w:tabs>
          <w:tab w:val="clear" w:pos="1008"/>
        </w:tabs>
        <w:ind w:left="993" w:hanging="426"/>
      </w:pPr>
      <w:r w:rsidRPr="000C2705">
        <w:t>the Licensee monitoring and satisfying legal requirements related to prevention, rehabilitation and workers’ compensation</w:t>
      </w:r>
    </w:p>
    <w:p w:rsidR="00E47997" w:rsidRPr="000C2705" w:rsidRDefault="00E47997" w:rsidP="00E47997">
      <w:pPr>
        <w:numPr>
          <w:ilvl w:val="0"/>
          <w:numId w:val="15"/>
        </w:numPr>
        <w:tabs>
          <w:tab w:val="num" w:pos="1134"/>
        </w:tabs>
        <w:ind w:left="1134" w:hanging="567"/>
      </w:pPr>
      <w:r w:rsidRPr="000C2705">
        <w:t>continuous improvement of the management systems</w:t>
      </w:r>
    </w:p>
    <w:p w:rsidR="00E47997" w:rsidRPr="000C2705" w:rsidRDefault="00E47997" w:rsidP="00E47997">
      <w:pPr>
        <w:numPr>
          <w:ilvl w:val="0"/>
          <w:numId w:val="15"/>
        </w:numPr>
        <w:tabs>
          <w:tab w:val="clear" w:pos="1008"/>
        </w:tabs>
        <w:ind w:left="993" w:hanging="426"/>
      </w:pPr>
      <w:r w:rsidRPr="000C2705">
        <w:t xml:space="preserve">ongoing consultation with employees regarding prevention, rehabilitation and workers’ compensation </w:t>
      </w:r>
    </w:p>
    <w:p w:rsidR="00E47997" w:rsidRPr="000C2705" w:rsidRDefault="00E47997" w:rsidP="00E47997">
      <w:pPr>
        <w:numPr>
          <w:ilvl w:val="0"/>
          <w:numId w:val="15"/>
        </w:numPr>
        <w:tabs>
          <w:tab w:val="clear" w:pos="1008"/>
        </w:tabs>
        <w:ind w:left="993" w:hanging="426"/>
      </w:pPr>
      <w:proofErr w:type="gramStart"/>
      <w:r w:rsidRPr="000C2705">
        <w:t>an</w:t>
      </w:r>
      <w:proofErr w:type="gramEnd"/>
      <w:r w:rsidRPr="000C2705">
        <w:t xml:space="preserve"> audit program for the prevention, rehabilitation and claims management systems.</w:t>
      </w:r>
    </w:p>
    <w:p w:rsidR="00E47997" w:rsidRPr="000C2705" w:rsidRDefault="00E47997" w:rsidP="00E47997"/>
    <w:p w:rsidR="00E47997" w:rsidRPr="000C2705" w:rsidRDefault="00E47997" w:rsidP="00E47997"/>
    <w:p w:rsidR="00E10074" w:rsidRDefault="00E10074" w:rsidP="00E47997">
      <w:r>
        <w:br w:type="page"/>
      </w:r>
    </w:p>
    <w:p w:rsidR="00E47997" w:rsidRPr="000C2705" w:rsidRDefault="00E47997" w:rsidP="00E47997"/>
    <w:p w:rsidR="00E47997" w:rsidRPr="000C2705" w:rsidRDefault="00E47997" w:rsidP="00E47997">
      <w:pPr>
        <w:tabs>
          <w:tab w:val="right" w:pos="7513"/>
          <w:tab w:val="left" w:pos="8318"/>
        </w:tabs>
        <w:snapToGrid w:val="0"/>
        <w:ind w:left="567" w:hanging="567"/>
        <w:rPr>
          <w:b/>
          <w:snapToGrid w:val="0"/>
        </w:rPr>
      </w:pPr>
      <w:r w:rsidRPr="000C2705">
        <w:rPr>
          <w:b/>
          <w:snapToGrid w:val="0"/>
        </w:rPr>
        <w:t>2.</w:t>
      </w:r>
      <w:r w:rsidRPr="000C2705">
        <w:rPr>
          <w:b/>
          <w:snapToGrid w:val="0"/>
        </w:rPr>
        <w:tab/>
        <w:t>PLANNING</w:t>
      </w:r>
    </w:p>
    <w:p w:rsidR="00E47997" w:rsidRPr="000C2705" w:rsidRDefault="00E47997" w:rsidP="00E47997">
      <w:pPr>
        <w:tabs>
          <w:tab w:val="right" w:pos="7513"/>
          <w:tab w:val="left" w:pos="8318"/>
        </w:tabs>
        <w:snapToGrid w:val="0"/>
        <w:rPr>
          <w:snapToGrid w:val="0"/>
        </w:rPr>
      </w:pPr>
    </w:p>
    <w:p w:rsidR="00E47997" w:rsidRPr="000C2705" w:rsidRDefault="00E47997" w:rsidP="00E47997">
      <w:pPr>
        <w:tabs>
          <w:tab w:val="right" w:pos="7513"/>
          <w:tab w:val="left" w:pos="8318"/>
        </w:tabs>
        <w:snapToGrid w:val="0"/>
        <w:rPr>
          <w:snapToGrid w:val="0"/>
        </w:rPr>
      </w:pPr>
      <w:r w:rsidRPr="000C2705">
        <w:rPr>
          <w:snapToGrid w:val="0"/>
        </w:rPr>
        <w:t>In consultation with relevant stakeholders the Licensee develops plans to support its management systems.</w:t>
      </w:r>
    </w:p>
    <w:p w:rsidR="00E47997" w:rsidRPr="000C2705" w:rsidRDefault="00E47997" w:rsidP="00E47997">
      <w:pPr>
        <w:tabs>
          <w:tab w:val="right" w:pos="7513"/>
          <w:tab w:val="left" w:pos="8318"/>
        </w:tabs>
        <w:snapToGrid w:val="0"/>
        <w:rPr>
          <w:snapToGrid w:val="0"/>
        </w:rPr>
      </w:pPr>
    </w:p>
    <w:p w:rsidR="00E47997" w:rsidRPr="000C2705" w:rsidRDefault="00E47997" w:rsidP="00E47997">
      <w:pPr>
        <w:tabs>
          <w:tab w:val="left" w:pos="567"/>
          <w:tab w:val="right" w:pos="7513"/>
          <w:tab w:val="left" w:pos="8318"/>
        </w:tabs>
        <w:ind w:left="567" w:hanging="567"/>
        <w:rPr>
          <w:b/>
          <w:snapToGrid w:val="0"/>
        </w:rPr>
      </w:pPr>
      <w:r w:rsidRPr="000C2705">
        <w:rPr>
          <w:b/>
          <w:snapToGrid w:val="0"/>
        </w:rPr>
        <w:t>2.1</w:t>
      </w:r>
      <w:r w:rsidRPr="000C2705">
        <w:rPr>
          <w:b/>
          <w:snapToGrid w:val="0"/>
        </w:rPr>
        <w:tab/>
        <w:t>Performance Standards</w:t>
      </w:r>
    </w:p>
    <w:p w:rsidR="00E47997" w:rsidRPr="000C2705" w:rsidRDefault="00E47997" w:rsidP="00E47997">
      <w:pPr>
        <w:tabs>
          <w:tab w:val="left" w:pos="1134"/>
          <w:tab w:val="right" w:pos="7513"/>
          <w:tab w:val="left" w:pos="8318"/>
        </w:tabs>
        <w:ind w:left="1134" w:hanging="1134"/>
        <w:rPr>
          <w:b/>
          <w:snapToGrid w:val="0"/>
        </w:rPr>
      </w:pPr>
    </w:p>
    <w:p w:rsidR="00E47997" w:rsidRPr="000C2705" w:rsidRDefault="00E47997" w:rsidP="00E47997">
      <w:pPr>
        <w:ind w:left="540" w:hanging="540"/>
      </w:pPr>
      <w:r w:rsidRPr="000C2705">
        <w:t>2.1.1</w:t>
      </w:r>
      <w:r w:rsidRPr="000C2705">
        <w:tab/>
        <w:t>The Licensee’s plans will</w:t>
      </w:r>
    </w:p>
    <w:p w:rsidR="00E47997" w:rsidRPr="000C2705" w:rsidRDefault="00E47997" w:rsidP="00E47997">
      <w:pPr>
        <w:tabs>
          <w:tab w:val="left" w:pos="1134"/>
        </w:tabs>
        <w:ind w:left="1134" w:hanging="1134"/>
      </w:pPr>
    </w:p>
    <w:p w:rsidR="00E47997" w:rsidRPr="000C2705" w:rsidRDefault="00E47997" w:rsidP="00E47997">
      <w:pPr>
        <w:numPr>
          <w:ilvl w:val="0"/>
          <w:numId w:val="16"/>
        </w:numPr>
        <w:ind w:left="1134"/>
      </w:pPr>
      <w:r w:rsidRPr="000C2705">
        <w:t xml:space="preserve">provide for legislative compliance </w:t>
      </w:r>
    </w:p>
    <w:p w:rsidR="00E47997" w:rsidRPr="000C2705" w:rsidRDefault="00E47997" w:rsidP="00E47997">
      <w:pPr>
        <w:numPr>
          <w:ilvl w:val="0"/>
          <w:numId w:val="16"/>
        </w:numPr>
        <w:tabs>
          <w:tab w:val="num" w:pos="1134"/>
        </w:tabs>
        <w:ind w:left="1134"/>
      </w:pPr>
      <w:r w:rsidRPr="000C2705">
        <w:t>include objectives, targets and performance measures,</w:t>
      </w:r>
    </w:p>
    <w:p w:rsidR="00E47997" w:rsidRPr="000C2705" w:rsidRDefault="00E47997" w:rsidP="00E47997">
      <w:pPr>
        <w:numPr>
          <w:ilvl w:val="0"/>
          <w:numId w:val="16"/>
        </w:numPr>
        <w:tabs>
          <w:tab w:val="num" w:pos="1134"/>
        </w:tabs>
        <w:ind w:left="1134"/>
      </w:pPr>
      <w:r w:rsidRPr="000C2705">
        <w:t>provide for prevention programs including hazard management</w:t>
      </w:r>
    </w:p>
    <w:p w:rsidR="00E47997" w:rsidRPr="000C2705" w:rsidRDefault="00E47997" w:rsidP="00E47997">
      <w:pPr>
        <w:numPr>
          <w:ilvl w:val="0"/>
          <w:numId w:val="16"/>
        </w:numPr>
        <w:tabs>
          <w:tab w:val="num" w:pos="1134"/>
        </w:tabs>
        <w:ind w:left="1134"/>
      </w:pPr>
      <w:r w:rsidRPr="000C2705">
        <w:t>provide for effective rehabilitation and equitable, efficient and effective claims management</w:t>
      </w:r>
    </w:p>
    <w:p w:rsidR="00E47997" w:rsidRPr="000C2705" w:rsidRDefault="00E47997" w:rsidP="00E47997">
      <w:pPr>
        <w:numPr>
          <w:ilvl w:val="0"/>
          <w:numId w:val="16"/>
        </w:numPr>
        <w:tabs>
          <w:tab w:val="num" w:pos="1134"/>
        </w:tabs>
        <w:ind w:left="1134"/>
      </w:pPr>
      <w:proofErr w:type="gramStart"/>
      <w:r w:rsidRPr="000C2705">
        <w:t>provide</w:t>
      </w:r>
      <w:proofErr w:type="gramEnd"/>
      <w:r w:rsidRPr="000C2705">
        <w:t xml:space="preserve"> for appropriate training requirements. </w:t>
      </w:r>
    </w:p>
    <w:p w:rsidR="00E47997" w:rsidRPr="000C2705" w:rsidRDefault="00E47997" w:rsidP="00E47997">
      <w:pPr>
        <w:ind w:left="1134"/>
      </w:pPr>
    </w:p>
    <w:p w:rsidR="00E47997" w:rsidRPr="000C2705" w:rsidRDefault="00E47997" w:rsidP="00E47997">
      <w:pPr>
        <w:rPr>
          <w:b/>
        </w:rPr>
      </w:pPr>
      <w:r w:rsidRPr="000C2705">
        <w:rPr>
          <w:b/>
        </w:rPr>
        <w:t xml:space="preserve">2.2 </w:t>
      </w:r>
      <w:r w:rsidRPr="000C2705">
        <w:rPr>
          <w:b/>
        </w:rPr>
        <w:tab/>
        <w:t>Performance Measures</w:t>
      </w:r>
    </w:p>
    <w:p w:rsidR="00E47997" w:rsidRPr="000C2705" w:rsidRDefault="00E47997" w:rsidP="00E47997">
      <w:pPr>
        <w:tabs>
          <w:tab w:val="left" w:pos="1134"/>
          <w:tab w:val="right" w:pos="7513"/>
          <w:tab w:val="left" w:pos="8318"/>
        </w:tabs>
        <w:ind w:left="1134" w:hanging="1134"/>
        <w:rPr>
          <w:b/>
          <w:snapToGrid w:val="0"/>
          <w:sz w:val="21"/>
        </w:rPr>
      </w:pPr>
    </w:p>
    <w:p w:rsidR="00E47997" w:rsidRPr="000C2705" w:rsidRDefault="00E47997" w:rsidP="00E47997">
      <w:pPr>
        <w:ind w:left="540" w:hanging="540"/>
      </w:pPr>
      <w:r w:rsidRPr="000C2705">
        <w:t>2.2.1</w:t>
      </w:r>
      <w:r w:rsidRPr="000C2705">
        <w:tab/>
        <w:t>There is evidence that</w:t>
      </w:r>
    </w:p>
    <w:p w:rsidR="00E47997" w:rsidRPr="000C2705" w:rsidRDefault="00E47997" w:rsidP="00E47997">
      <w:pPr>
        <w:tabs>
          <w:tab w:val="left" w:pos="1134"/>
        </w:tabs>
        <w:ind w:left="1134" w:hanging="1134"/>
      </w:pPr>
    </w:p>
    <w:p w:rsidR="00E47997" w:rsidRPr="000C2705" w:rsidRDefault="00E47997" w:rsidP="00E10074">
      <w:pPr>
        <w:numPr>
          <w:ilvl w:val="0"/>
          <w:numId w:val="31"/>
        </w:numPr>
        <w:tabs>
          <w:tab w:val="clear" w:pos="1005"/>
        </w:tabs>
        <w:ind w:left="1134" w:hanging="567"/>
      </w:pPr>
      <w:r w:rsidRPr="000C2705">
        <w:t>plans address legislative and regulatory compliance</w:t>
      </w:r>
    </w:p>
    <w:p w:rsidR="00E47997" w:rsidRPr="000C2705" w:rsidRDefault="00E47997" w:rsidP="00E10074">
      <w:pPr>
        <w:numPr>
          <w:ilvl w:val="0"/>
          <w:numId w:val="31"/>
        </w:numPr>
        <w:tabs>
          <w:tab w:val="clear" w:pos="1005"/>
          <w:tab w:val="num" w:pos="1134"/>
          <w:tab w:val="num" w:pos="1854"/>
        </w:tabs>
        <w:ind w:left="1134" w:hanging="567"/>
      </w:pPr>
      <w:r w:rsidRPr="000C2705">
        <w:t>plans identify the Licensee’s core prevention, rehabilitation and claims management activities and provide direction regarding performance outcomes</w:t>
      </w:r>
    </w:p>
    <w:p w:rsidR="00E47997" w:rsidRPr="000C2705" w:rsidRDefault="00E47997" w:rsidP="00E10074">
      <w:pPr>
        <w:numPr>
          <w:ilvl w:val="0"/>
          <w:numId w:val="31"/>
        </w:numPr>
        <w:tabs>
          <w:tab w:val="clear" w:pos="1005"/>
          <w:tab w:val="num" w:pos="1134"/>
          <w:tab w:val="num" w:pos="1854"/>
        </w:tabs>
        <w:ind w:left="1134" w:hanging="567"/>
      </w:pPr>
      <w:proofErr w:type="gramStart"/>
      <w:r w:rsidRPr="000C2705">
        <w:t>training</w:t>
      </w:r>
      <w:proofErr w:type="gramEnd"/>
      <w:r w:rsidRPr="000C2705">
        <w:t xml:space="preserve"> plans are consistent with identified requirements.</w:t>
      </w:r>
    </w:p>
    <w:p w:rsidR="00E47997" w:rsidRPr="000C2705" w:rsidRDefault="00E47997" w:rsidP="00E47997"/>
    <w:p w:rsidR="00E47997" w:rsidRPr="000C2705" w:rsidRDefault="00E47997" w:rsidP="00E47997"/>
    <w:p w:rsidR="00E47997" w:rsidRPr="000C2705" w:rsidRDefault="00E47997" w:rsidP="00E47997">
      <w:pPr>
        <w:tabs>
          <w:tab w:val="left" w:pos="567"/>
          <w:tab w:val="right" w:pos="7513"/>
          <w:tab w:val="left" w:pos="8318"/>
        </w:tabs>
        <w:snapToGrid w:val="0"/>
        <w:ind w:left="567" w:hanging="567"/>
        <w:rPr>
          <w:b/>
          <w:snapToGrid w:val="0"/>
        </w:rPr>
      </w:pPr>
      <w:r w:rsidRPr="000C2705">
        <w:rPr>
          <w:b/>
          <w:snapToGrid w:val="0"/>
        </w:rPr>
        <w:t>3.</w:t>
      </w:r>
      <w:r w:rsidRPr="000C2705">
        <w:rPr>
          <w:b/>
          <w:snapToGrid w:val="0"/>
        </w:rPr>
        <w:tab/>
        <w:t>IMPLEMENTATION</w:t>
      </w:r>
    </w:p>
    <w:p w:rsidR="00E47997" w:rsidRPr="000C2705" w:rsidRDefault="00E47997" w:rsidP="00E47997">
      <w:pPr>
        <w:tabs>
          <w:tab w:val="right" w:pos="7513"/>
          <w:tab w:val="left" w:pos="8318"/>
        </w:tabs>
        <w:snapToGrid w:val="0"/>
        <w:ind w:left="1134"/>
        <w:rPr>
          <w:snapToGrid w:val="0"/>
        </w:rPr>
      </w:pPr>
    </w:p>
    <w:p w:rsidR="00E47997" w:rsidRPr="000C2705" w:rsidRDefault="00E47997" w:rsidP="00E47997">
      <w:pPr>
        <w:tabs>
          <w:tab w:val="right" w:pos="7513"/>
          <w:tab w:val="left" w:pos="8318"/>
        </w:tabs>
        <w:snapToGrid w:val="0"/>
        <w:rPr>
          <w:snapToGrid w:val="0"/>
        </w:rPr>
      </w:pPr>
      <w:r w:rsidRPr="000C2705">
        <w:rPr>
          <w:snapToGrid w:val="0"/>
        </w:rPr>
        <w:t xml:space="preserve">The Licensee ensures that sufficient resources and supporting mechanisms are provided to achieve its strategic plans </w:t>
      </w:r>
    </w:p>
    <w:p w:rsidR="00E47997" w:rsidRPr="000C2705" w:rsidRDefault="00E47997" w:rsidP="00E47997">
      <w:pPr>
        <w:tabs>
          <w:tab w:val="right" w:pos="7513"/>
          <w:tab w:val="left" w:pos="8318"/>
        </w:tabs>
        <w:snapToGrid w:val="0"/>
        <w:rPr>
          <w:b/>
          <w:snapToGrid w:val="0"/>
        </w:rPr>
      </w:pPr>
    </w:p>
    <w:p w:rsidR="00E47997" w:rsidRPr="000C2705" w:rsidRDefault="00E47997" w:rsidP="00E47997">
      <w:pPr>
        <w:tabs>
          <w:tab w:val="left" w:pos="567"/>
        </w:tabs>
        <w:ind w:left="567" w:hanging="567"/>
        <w:rPr>
          <w:b/>
          <w:snapToGrid w:val="0"/>
        </w:rPr>
      </w:pPr>
      <w:r w:rsidRPr="000C2705">
        <w:rPr>
          <w:b/>
          <w:snapToGrid w:val="0"/>
        </w:rPr>
        <w:t>3.1</w:t>
      </w:r>
      <w:r w:rsidRPr="000C2705">
        <w:rPr>
          <w:b/>
          <w:snapToGrid w:val="0"/>
        </w:rPr>
        <w:tab/>
        <w:t>Performance Standards</w:t>
      </w:r>
    </w:p>
    <w:p w:rsidR="00E47997" w:rsidRPr="000C2705" w:rsidRDefault="00E47997" w:rsidP="00E47997">
      <w:pPr>
        <w:tabs>
          <w:tab w:val="left" w:pos="1134"/>
        </w:tabs>
        <w:ind w:left="1134" w:hanging="1134"/>
        <w:rPr>
          <w:b/>
          <w:snapToGrid w:val="0"/>
        </w:rPr>
      </w:pPr>
    </w:p>
    <w:p w:rsidR="00E47997" w:rsidRPr="000C2705" w:rsidRDefault="00E47997" w:rsidP="00E47997">
      <w:pPr>
        <w:ind w:left="540" w:hanging="540"/>
      </w:pPr>
      <w:r w:rsidRPr="000C2705">
        <w:t>3.1.1</w:t>
      </w:r>
      <w:r w:rsidRPr="000C2705">
        <w:tab/>
        <w:t xml:space="preserve"> The Licensee will</w:t>
      </w:r>
    </w:p>
    <w:p w:rsidR="00E47997" w:rsidRPr="000C2705" w:rsidRDefault="00E47997" w:rsidP="00E47997">
      <w:pPr>
        <w:tabs>
          <w:tab w:val="left" w:pos="1134"/>
        </w:tabs>
        <w:ind w:left="1134" w:hanging="1134"/>
      </w:pPr>
    </w:p>
    <w:p w:rsidR="00E47997" w:rsidRPr="000C2705" w:rsidRDefault="00E47997" w:rsidP="00E10074">
      <w:pPr>
        <w:numPr>
          <w:ilvl w:val="0"/>
          <w:numId w:val="17"/>
        </w:numPr>
        <w:ind w:left="1134"/>
      </w:pPr>
      <w:r w:rsidRPr="000C2705">
        <w:t>allocate adequate resources to support its programs</w:t>
      </w:r>
    </w:p>
    <w:p w:rsidR="00E47997" w:rsidRPr="000C2705" w:rsidRDefault="00E47997" w:rsidP="00E10074">
      <w:pPr>
        <w:numPr>
          <w:ilvl w:val="0"/>
          <w:numId w:val="17"/>
        </w:numPr>
        <w:tabs>
          <w:tab w:val="num" w:pos="1134"/>
        </w:tabs>
        <w:ind w:left="1134"/>
      </w:pPr>
      <w:r w:rsidRPr="000C2705">
        <w:t>implement relevant training programs</w:t>
      </w:r>
    </w:p>
    <w:p w:rsidR="00E47997" w:rsidRPr="000C2705" w:rsidRDefault="00E47997" w:rsidP="00E10074">
      <w:pPr>
        <w:numPr>
          <w:ilvl w:val="0"/>
          <w:numId w:val="17"/>
        </w:numPr>
        <w:tabs>
          <w:tab w:val="num" w:pos="1134"/>
        </w:tabs>
        <w:ind w:left="1134"/>
      </w:pPr>
      <w:r w:rsidRPr="000C2705">
        <w:t>define and communicate responsibilities to relevant stakeholders</w:t>
      </w:r>
    </w:p>
    <w:p w:rsidR="00E47997" w:rsidRPr="000C2705" w:rsidRDefault="00E47997" w:rsidP="00E10074">
      <w:pPr>
        <w:numPr>
          <w:ilvl w:val="0"/>
          <w:numId w:val="17"/>
        </w:numPr>
        <w:tabs>
          <w:tab w:val="num" w:pos="1134"/>
        </w:tabs>
        <w:ind w:left="1134"/>
      </w:pPr>
      <w:r w:rsidRPr="000C2705">
        <w:t>ensure that employees are aware of their legislative rights and obligations</w:t>
      </w:r>
    </w:p>
    <w:p w:rsidR="00E47997" w:rsidRPr="000C2705" w:rsidRDefault="00E47997" w:rsidP="00E10074">
      <w:pPr>
        <w:numPr>
          <w:ilvl w:val="0"/>
          <w:numId w:val="17"/>
        </w:numPr>
        <w:tabs>
          <w:tab w:val="num" w:pos="1134"/>
        </w:tabs>
        <w:ind w:left="1134"/>
      </w:pPr>
      <w:r w:rsidRPr="000C2705">
        <w:t xml:space="preserve">maintain the relevant level of reporting, records and/or documentation to support the Licensee’s programs and legislative compliance </w:t>
      </w:r>
    </w:p>
    <w:p w:rsidR="00E47997" w:rsidRPr="000C2705" w:rsidRDefault="00E47997" w:rsidP="00E10074">
      <w:pPr>
        <w:numPr>
          <w:ilvl w:val="0"/>
          <w:numId w:val="17"/>
        </w:numPr>
        <w:tabs>
          <w:tab w:val="num" w:pos="1134"/>
        </w:tabs>
        <w:ind w:left="1134"/>
      </w:pPr>
      <w:r w:rsidRPr="000C2705">
        <w:t>maintain the confidentiality of information and apply legislative requirements</w:t>
      </w:r>
    </w:p>
    <w:p w:rsidR="00E47997" w:rsidRPr="000C2705" w:rsidRDefault="00E47997" w:rsidP="00E10074">
      <w:pPr>
        <w:numPr>
          <w:ilvl w:val="0"/>
          <w:numId w:val="17"/>
        </w:numPr>
        <w:tabs>
          <w:tab w:val="num" w:pos="1134"/>
        </w:tabs>
        <w:ind w:left="1134"/>
      </w:pPr>
      <w:r w:rsidRPr="000C2705">
        <w:t>implement a hazard management process that includes identification evaluation and control</w:t>
      </w:r>
    </w:p>
    <w:p w:rsidR="00E47997" w:rsidRPr="000C2705" w:rsidRDefault="00E47997" w:rsidP="00E10074">
      <w:pPr>
        <w:numPr>
          <w:ilvl w:val="0"/>
          <w:numId w:val="17"/>
        </w:numPr>
        <w:tabs>
          <w:tab w:val="num" w:pos="1134"/>
        </w:tabs>
        <w:ind w:left="1134"/>
      </w:pPr>
      <w:r w:rsidRPr="000C2705">
        <w:t>inform employees of the status of their claims</w:t>
      </w:r>
    </w:p>
    <w:p w:rsidR="00E10074" w:rsidRDefault="00E10074" w:rsidP="00E47997">
      <w:pPr>
        <w:numPr>
          <w:ilvl w:val="0"/>
          <w:numId w:val="17"/>
        </w:numPr>
        <w:tabs>
          <w:tab w:val="num" w:pos="1134"/>
        </w:tabs>
      </w:pPr>
      <w:r>
        <w:br w:type="page"/>
      </w:r>
    </w:p>
    <w:p w:rsidR="00E47997" w:rsidRPr="000C2705" w:rsidRDefault="00E47997" w:rsidP="00E10074">
      <w:pPr>
        <w:numPr>
          <w:ilvl w:val="0"/>
          <w:numId w:val="17"/>
        </w:numPr>
        <w:tabs>
          <w:tab w:val="num" w:pos="1134"/>
        </w:tabs>
        <w:ind w:left="1134"/>
      </w:pPr>
      <w:r w:rsidRPr="000C2705">
        <w:lastRenderedPageBreak/>
        <w:t>provide employees with a reasonable opportunity to provide information or comment when claims for ongoing liability are being assessed or reviewed</w:t>
      </w:r>
    </w:p>
    <w:p w:rsidR="00E47997" w:rsidRPr="000C2705" w:rsidRDefault="00E47997" w:rsidP="00E10074">
      <w:pPr>
        <w:numPr>
          <w:ilvl w:val="0"/>
          <w:numId w:val="17"/>
        </w:numPr>
        <w:tabs>
          <w:tab w:val="num" w:pos="1134"/>
        </w:tabs>
        <w:ind w:left="1134"/>
      </w:pPr>
      <w:r w:rsidRPr="000C2705">
        <w:t>ensure timely claim determinations and reviews, which are made accurately and guided by equity, good conscience and the substantial merits of each case without regard to technicalities</w:t>
      </w:r>
    </w:p>
    <w:p w:rsidR="00E47997" w:rsidRPr="000C2705" w:rsidRDefault="00E47997" w:rsidP="00E10074">
      <w:pPr>
        <w:numPr>
          <w:ilvl w:val="0"/>
          <w:numId w:val="17"/>
        </w:numPr>
        <w:tabs>
          <w:tab w:val="num" w:pos="1134"/>
        </w:tabs>
        <w:ind w:left="1134"/>
      </w:pPr>
      <w:proofErr w:type="gramStart"/>
      <w:r w:rsidRPr="000C2705">
        <w:t>ensure</w:t>
      </w:r>
      <w:proofErr w:type="gramEnd"/>
      <w:r w:rsidRPr="000C2705">
        <w:t xml:space="preserve"> consultation between all parties in regards to the prevention, claims management and rehabilitation process.</w:t>
      </w:r>
    </w:p>
    <w:p w:rsidR="00E47997" w:rsidRPr="000C2705" w:rsidRDefault="00E47997" w:rsidP="00E47997"/>
    <w:p w:rsidR="00E47997" w:rsidRPr="000C2705" w:rsidRDefault="00E47997" w:rsidP="00E47997">
      <w:pPr>
        <w:rPr>
          <w:b/>
        </w:rPr>
      </w:pPr>
      <w:r w:rsidRPr="000C2705">
        <w:rPr>
          <w:b/>
        </w:rPr>
        <w:t>3.2</w:t>
      </w:r>
      <w:r w:rsidRPr="000C2705">
        <w:rPr>
          <w:b/>
        </w:rPr>
        <w:tab/>
        <w:t>Performance Measures</w:t>
      </w:r>
    </w:p>
    <w:p w:rsidR="00E47997" w:rsidRPr="000C2705" w:rsidRDefault="00E47997" w:rsidP="00E47997">
      <w:pPr>
        <w:tabs>
          <w:tab w:val="left" w:pos="1134"/>
        </w:tabs>
        <w:ind w:left="1134" w:hanging="1134"/>
        <w:rPr>
          <w:b/>
          <w:snapToGrid w:val="0"/>
          <w:sz w:val="21"/>
        </w:rPr>
      </w:pPr>
    </w:p>
    <w:p w:rsidR="00E47997" w:rsidRPr="000C2705" w:rsidRDefault="00E47997" w:rsidP="00E47997">
      <w:pPr>
        <w:ind w:left="540" w:hanging="540"/>
      </w:pPr>
      <w:r w:rsidRPr="000C2705">
        <w:t>3.2.1</w:t>
      </w:r>
      <w:r w:rsidRPr="000C2705">
        <w:tab/>
        <w:t>There is evidence that</w:t>
      </w:r>
    </w:p>
    <w:p w:rsidR="00E47997" w:rsidRPr="000C2705" w:rsidRDefault="00E47997" w:rsidP="00E47997">
      <w:pPr>
        <w:ind w:left="1134"/>
      </w:pPr>
    </w:p>
    <w:p w:rsidR="00E47997" w:rsidRPr="000C2705" w:rsidRDefault="00E47997" w:rsidP="00E10074">
      <w:pPr>
        <w:numPr>
          <w:ilvl w:val="0"/>
          <w:numId w:val="18"/>
        </w:numPr>
        <w:tabs>
          <w:tab w:val="clear" w:pos="1008"/>
        </w:tabs>
        <w:ind w:left="1134" w:hanging="567"/>
      </w:pPr>
      <w:r w:rsidRPr="000C2705">
        <w:t>health and safety, rehabilitation and claims management plans are implemented</w:t>
      </w:r>
    </w:p>
    <w:p w:rsidR="00E47997" w:rsidRPr="000C2705" w:rsidRDefault="00E47997" w:rsidP="00E10074">
      <w:pPr>
        <w:numPr>
          <w:ilvl w:val="0"/>
          <w:numId w:val="18"/>
        </w:numPr>
        <w:tabs>
          <w:tab w:val="clear" w:pos="1008"/>
          <w:tab w:val="num" w:pos="1134"/>
        </w:tabs>
        <w:ind w:left="1134" w:hanging="567"/>
      </w:pPr>
      <w:r w:rsidRPr="000C2705">
        <w:t>incidents are investigated and appropriately documented, corrective actions implemented as required, including early assessment for rehabilitation</w:t>
      </w:r>
    </w:p>
    <w:p w:rsidR="00E47997" w:rsidRPr="000C2705" w:rsidRDefault="00E47997" w:rsidP="00E10074">
      <w:pPr>
        <w:numPr>
          <w:ilvl w:val="0"/>
          <w:numId w:val="18"/>
        </w:numPr>
        <w:tabs>
          <w:tab w:val="clear" w:pos="1008"/>
          <w:tab w:val="num" w:pos="1134"/>
        </w:tabs>
        <w:ind w:left="1134" w:hanging="567"/>
      </w:pPr>
      <w:r w:rsidRPr="000C2705">
        <w:t>employees are informed of their rights in respect of health and safety, rehabilitation and claims</w:t>
      </w:r>
    </w:p>
    <w:p w:rsidR="00E47997" w:rsidRPr="000C2705" w:rsidRDefault="00E47997" w:rsidP="00E10074">
      <w:pPr>
        <w:numPr>
          <w:ilvl w:val="0"/>
          <w:numId w:val="18"/>
        </w:numPr>
        <w:tabs>
          <w:tab w:val="clear" w:pos="1008"/>
          <w:tab w:val="num" w:pos="1134"/>
        </w:tabs>
        <w:ind w:left="1134" w:hanging="567"/>
      </w:pPr>
      <w:proofErr w:type="gramStart"/>
      <w:r w:rsidRPr="000C2705">
        <w:t>employees</w:t>
      </w:r>
      <w:proofErr w:type="gramEnd"/>
      <w:r w:rsidRPr="000C2705">
        <w:t xml:space="preserve"> are kept informed of the status of their claim.</w:t>
      </w:r>
    </w:p>
    <w:p w:rsidR="00E47997" w:rsidRPr="000C2705" w:rsidRDefault="00E47997" w:rsidP="00E47997"/>
    <w:p w:rsidR="00E47997" w:rsidRPr="000C2705" w:rsidRDefault="00E47997" w:rsidP="00E47997"/>
    <w:p w:rsidR="00E47997" w:rsidRPr="000C2705" w:rsidRDefault="00E47997" w:rsidP="00E47997">
      <w:pPr>
        <w:tabs>
          <w:tab w:val="right" w:pos="7513"/>
          <w:tab w:val="left" w:pos="8318"/>
        </w:tabs>
        <w:snapToGrid w:val="0"/>
        <w:ind w:left="567" w:hanging="567"/>
        <w:rPr>
          <w:b/>
          <w:snapToGrid w:val="0"/>
        </w:rPr>
      </w:pPr>
      <w:r w:rsidRPr="000C2705">
        <w:rPr>
          <w:b/>
          <w:snapToGrid w:val="0"/>
        </w:rPr>
        <w:t xml:space="preserve">4. </w:t>
      </w:r>
      <w:r w:rsidRPr="000C2705">
        <w:rPr>
          <w:b/>
          <w:snapToGrid w:val="0"/>
        </w:rPr>
        <w:tab/>
        <w:t>MEASUREMENT AND EVALUATION</w:t>
      </w:r>
    </w:p>
    <w:p w:rsidR="00E47997" w:rsidRPr="000C2705" w:rsidRDefault="00E47997" w:rsidP="00E47997">
      <w:pPr>
        <w:tabs>
          <w:tab w:val="right" w:pos="7513"/>
          <w:tab w:val="left" w:pos="8318"/>
        </w:tabs>
        <w:snapToGrid w:val="0"/>
        <w:rPr>
          <w:b/>
          <w:snapToGrid w:val="0"/>
        </w:rPr>
      </w:pPr>
    </w:p>
    <w:p w:rsidR="00E47997" w:rsidRPr="000C2705" w:rsidRDefault="00E47997" w:rsidP="00E47997">
      <w:pPr>
        <w:tabs>
          <w:tab w:val="right" w:pos="7513"/>
          <w:tab w:val="left" w:pos="8318"/>
        </w:tabs>
        <w:snapToGrid w:val="0"/>
        <w:rPr>
          <w:snapToGrid w:val="0"/>
        </w:rPr>
      </w:pPr>
      <w:r w:rsidRPr="000C2705">
        <w:rPr>
          <w:snapToGrid w:val="0"/>
        </w:rPr>
        <w:t>The Licensee measures, monitors and evaluates its performance and takes prompt corrective action when necessary.</w:t>
      </w:r>
    </w:p>
    <w:p w:rsidR="00E47997" w:rsidRPr="000C2705" w:rsidRDefault="00E47997" w:rsidP="00E47997">
      <w:pPr>
        <w:tabs>
          <w:tab w:val="right" w:pos="7513"/>
          <w:tab w:val="left" w:pos="8318"/>
        </w:tabs>
        <w:snapToGrid w:val="0"/>
        <w:ind w:left="1134"/>
        <w:rPr>
          <w:snapToGrid w:val="0"/>
        </w:rPr>
      </w:pPr>
    </w:p>
    <w:p w:rsidR="00E47997" w:rsidRPr="000C2705" w:rsidRDefault="00E47997" w:rsidP="00E47997">
      <w:pPr>
        <w:tabs>
          <w:tab w:val="left" w:pos="567"/>
          <w:tab w:val="right" w:pos="7513"/>
          <w:tab w:val="left" w:pos="8318"/>
        </w:tabs>
        <w:ind w:left="567" w:hanging="567"/>
        <w:rPr>
          <w:b/>
          <w:snapToGrid w:val="0"/>
        </w:rPr>
      </w:pPr>
      <w:r w:rsidRPr="000C2705">
        <w:rPr>
          <w:b/>
          <w:snapToGrid w:val="0"/>
        </w:rPr>
        <w:t>4.1</w:t>
      </w:r>
      <w:r w:rsidRPr="000C2705">
        <w:rPr>
          <w:b/>
          <w:snapToGrid w:val="0"/>
        </w:rPr>
        <w:tab/>
        <w:t>Performance Standards</w:t>
      </w:r>
    </w:p>
    <w:p w:rsidR="00E47997" w:rsidRPr="000C2705" w:rsidRDefault="00E47997" w:rsidP="00E47997">
      <w:pPr>
        <w:tabs>
          <w:tab w:val="left" w:pos="1134"/>
          <w:tab w:val="right" w:pos="7513"/>
          <w:tab w:val="left" w:pos="8318"/>
        </w:tabs>
        <w:ind w:left="1134" w:hanging="1134"/>
        <w:rPr>
          <w:b/>
          <w:snapToGrid w:val="0"/>
        </w:rPr>
      </w:pPr>
    </w:p>
    <w:p w:rsidR="00E47997" w:rsidRPr="000C2705" w:rsidRDefault="00E47997" w:rsidP="00E47997">
      <w:pPr>
        <w:ind w:left="540" w:hanging="540"/>
      </w:pPr>
      <w:r w:rsidRPr="000C2705">
        <w:t>4.1.1</w:t>
      </w:r>
      <w:r w:rsidRPr="000C2705">
        <w:tab/>
        <w:t>The Licensee will</w:t>
      </w:r>
    </w:p>
    <w:p w:rsidR="00E47997" w:rsidRPr="000C2705" w:rsidRDefault="00E47997" w:rsidP="00E47997">
      <w:pPr>
        <w:tabs>
          <w:tab w:val="left" w:pos="1134"/>
        </w:tabs>
      </w:pPr>
    </w:p>
    <w:p w:rsidR="00E47997" w:rsidRPr="000C2705" w:rsidRDefault="00E47997" w:rsidP="00E47997">
      <w:pPr>
        <w:numPr>
          <w:ilvl w:val="0"/>
          <w:numId w:val="19"/>
        </w:numPr>
        <w:tabs>
          <w:tab w:val="left" w:pos="1134"/>
        </w:tabs>
        <w:ind w:left="1134"/>
      </w:pPr>
      <w:r w:rsidRPr="000C2705">
        <w:t xml:space="preserve">monitor planned objectives and performance measures for core prevention, rehabilitation and claims activities </w:t>
      </w:r>
    </w:p>
    <w:p w:rsidR="00E47997" w:rsidRPr="000C2705" w:rsidRDefault="00E47997" w:rsidP="00E47997">
      <w:pPr>
        <w:numPr>
          <w:ilvl w:val="0"/>
          <w:numId w:val="19"/>
        </w:numPr>
        <w:tabs>
          <w:tab w:val="left" w:pos="1134"/>
        </w:tabs>
        <w:ind w:left="1134"/>
      </w:pPr>
      <w:r w:rsidRPr="000C2705">
        <w:t>establish an audit program to measure performance of its prevention, rehabilitation and claims management systems</w:t>
      </w:r>
    </w:p>
    <w:p w:rsidR="00E47997" w:rsidRPr="000C2705" w:rsidRDefault="00E47997" w:rsidP="00E47997">
      <w:pPr>
        <w:numPr>
          <w:ilvl w:val="0"/>
          <w:numId w:val="19"/>
        </w:numPr>
        <w:tabs>
          <w:tab w:val="left" w:pos="1134"/>
        </w:tabs>
        <w:ind w:left="1134"/>
      </w:pPr>
      <w:r w:rsidRPr="000C2705">
        <w:t>ensure that these audits are performed by competent personnel</w:t>
      </w:r>
    </w:p>
    <w:p w:rsidR="00E47997" w:rsidRPr="000C2705" w:rsidRDefault="00E47997" w:rsidP="00E47997">
      <w:pPr>
        <w:numPr>
          <w:ilvl w:val="0"/>
          <w:numId w:val="19"/>
        </w:numPr>
        <w:tabs>
          <w:tab w:val="left" w:pos="1134"/>
        </w:tabs>
        <w:ind w:left="1134"/>
      </w:pPr>
      <w:r w:rsidRPr="000C2705">
        <w:t>ensure audit outcomes are appropriately documented, actioned and reviewed at appropriate senior executive level</w:t>
      </w:r>
    </w:p>
    <w:p w:rsidR="00E47997" w:rsidRPr="000C2705" w:rsidRDefault="00E47997" w:rsidP="00E47997">
      <w:pPr>
        <w:numPr>
          <w:ilvl w:val="0"/>
          <w:numId w:val="19"/>
        </w:numPr>
        <w:tabs>
          <w:tab w:val="left" w:pos="1134"/>
        </w:tabs>
        <w:ind w:left="1134"/>
      </w:pPr>
      <w:r w:rsidRPr="000C2705">
        <w:t>ensure all audits are conducted in accordance with the requirements of the Commission</w:t>
      </w:r>
    </w:p>
    <w:p w:rsidR="00E47997" w:rsidRPr="000C2705" w:rsidRDefault="00E47997" w:rsidP="00E47997">
      <w:pPr>
        <w:numPr>
          <w:ilvl w:val="0"/>
          <w:numId w:val="19"/>
        </w:numPr>
        <w:tabs>
          <w:tab w:val="left" w:pos="1134"/>
        </w:tabs>
        <w:ind w:left="1134"/>
      </w:pPr>
      <w:r w:rsidRPr="000C2705">
        <w:t>communicate to its employees on the outcomes and results of audits</w:t>
      </w:r>
    </w:p>
    <w:p w:rsidR="00E47997" w:rsidRPr="000C2705" w:rsidRDefault="00E47997" w:rsidP="00E47997">
      <w:pPr>
        <w:numPr>
          <w:ilvl w:val="0"/>
          <w:numId w:val="19"/>
        </w:numPr>
        <w:tabs>
          <w:tab w:val="left" w:pos="1134"/>
        </w:tabs>
        <w:ind w:left="1134"/>
      </w:pPr>
      <w:proofErr w:type="gramStart"/>
      <w:r w:rsidRPr="000C2705">
        <w:t>provide</w:t>
      </w:r>
      <w:proofErr w:type="gramEnd"/>
      <w:r w:rsidRPr="000C2705">
        <w:t xml:space="preserve"> the Commission with reports as requested.  </w:t>
      </w:r>
    </w:p>
    <w:p w:rsidR="00E47997" w:rsidRPr="000C2705" w:rsidRDefault="00E47997" w:rsidP="00E47997">
      <w:pPr>
        <w:tabs>
          <w:tab w:val="left" w:pos="1701"/>
        </w:tabs>
      </w:pPr>
    </w:p>
    <w:p w:rsidR="00E47997" w:rsidRPr="000C2705" w:rsidRDefault="00E47997" w:rsidP="00E47997">
      <w:pPr>
        <w:tabs>
          <w:tab w:val="left" w:pos="1701"/>
        </w:tabs>
      </w:pPr>
    </w:p>
    <w:p w:rsidR="00E47997" w:rsidRPr="000C2705" w:rsidRDefault="00E47997" w:rsidP="00E47997">
      <w:pPr>
        <w:rPr>
          <w:b/>
        </w:rPr>
      </w:pPr>
      <w:r w:rsidRPr="000C2705">
        <w:rPr>
          <w:b/>
        </w:rPr>
        <w:t>4.2</w:t>
      </w:r>
      <w:r w:rsidRPr="000C2705">
        <w:rPr>
          <w:b/>
        </w:rPr>
        <w:tab/>
        <w:t>Performance Measures</w:t>
      </w:r>
    </w:p>
    <w:p w:rsidR="00E47997" w:rsidRPr="000C2705" w:rsidRDefault="00E47997" w:rsidP="00E47997">
      <w:pPr>
        <w:tabs>
          <w:tab w:val="right" w:pos="7513"/>
          <w:tab w:val="left" w:pos="8318"/>
        </w:tabs>
        <w:snapToGrid w:val="0"/>
        <w:rPr>
          <w:snapToGrid w:val="0"/>
          <w:sz w:val="21"/>
        </w:rPr>
      </w:pPr>
    </w:p>
    <w:p w:rsidR="00E47997" w:rsidRPr="000C2705" w:rsidRDefault="00E47997" w:rsidP="00E47997">
      <w:pPr>
        <w:ind w:left="540" w:hanging="540"/>
        <w:rPr>
          <w:b/>
        </w:rPr>
      </w:pPr>
      <w:r w:rsidRPr="000C2705">
        <w:t>4.2.1</w:t>
      </w:r>
      <w:r w:rsidRPr="000C2705">
        <w:tab/>
        <w:t>There is evidence of</w:t>
      </w:r>
    </w:p>
    <w:p w:rsidR="00E47997" w:rsidRPr="000C2705" w:rsidRDefault="00E47997" w:rsidP="00E47997">
      <w:pPr>
        <w:ind w:left="1134" w:hanging="1134"/>
      </w:pPr>
    </w:p>
    <w:p w:rsidR="00E10074" w:rsidRDefault="00E47997" w:rsidP="00E47997">
      <w:pPr>
        <w:numPr>
          <w:ilvl w:val="0"/>
          <w:numId w:val="20"/>
        </w:numPr>
        <w:tabs>
          <w:tab w:val="left" w:pos="1134"/>
        </w:tabs>
      </w:pPr>
      <w:r w:rsidRPr="000C2705">
        <w:t>audits conducted by the Licensee and implementation of corrective actions</w:t>
      </w:r>
      <w:r w:rsidR="00E10074">
        <w:br w:type="page"/>
      </w:r>
    </w:p>
    <w:p w:rsidR="00E47997" w:rsidRPr="000C2705" w:rsidRDefault="00E47997" w:rsidP="00E10074">
      <w:pPr>
        <w:tabs>
          <w:tab w:val="left" w:pos="1134"/>
        </w:tabs>
        <w:ind w:left="1134"/>
      </w:pPr>
    </w:p>
    <w:p w:rsidR="00E47997" w:rsidRPr="000C2705" w:rsidRDefault="00E47997" w:rsidP="00E47997">
      <w:pPr>
        <w:numPr>
          <w:ilvl w:val="0"/>
          <w:numId w:val="20"/>
        </w:numPr>
        <w:tabs>
          <w:tab w:val="left" w:pos="1134"/>
        </w:tabs>
        <w:rPr>
          <w:i/>
        </w:rPr>
      </w:pPr>
      <w:proofErr w:type="gramStart"/>
      <w:r w:rsidRPr="000C2705">
        <w:t>reporting</w:t>
      </w:r>
      <w:proofErr w:type="gramEnd"/>
      <w:r w:rsidRPr="000C2705">
        <w:t xml:space="preserve"> against the Licensee’s own internal and the Commission’s performance indicators.</w:t>
      </w:r>
    </w:p>
    <w:p w:rsidR="00E47997" w:rsidRPr="000C2705" w:rsidRDefault="00E47997" w:rsidP="00E47997">
      <w:pPr>
        <w:tabs>
          <w:tab w:val="num" w:pos="567"/>
        </w:tabs>
      </w:pPr>
    </w:p>
    <w:p w:rsidR="00E47997" w:rsidRPr="000C2705" w:rsidRDefault="00E47997" w:rsidP="00E47997">
      <w:pPr>
        <w:tabs>
          <w:tab w:val="num" w:pos="567"/>
        </w:tabs>
        <w:rPr>
          <w:b/>
          <w:snapToGrid w:val="0"/>
        </w:rPr>
      </w:pPr>
      <w:r w:rsidRPr="000C2705">
        <w:t>5.</w:t>
      </w:r>
      <w:r w:rsidRPr="000C2705">
        <w:tab/>
      </w:r>
      <w:r w:rsidRPr="000C2705">
        <w:rPr>
          <w:b/>
          <w:snapToGrid w:val="0"/>
        </w:rPr>
        <w:t>MANAGEMENT SYSTEMS REVIEW AND IMPROVEMENT</w:t>
      </w:r>
    </w:p>
    <w:p w:rsidR="00E47997" w:rsidRPr="000C2705" w:rsidRDefault="00E47997" w:rsidP="00E47997">
      <w:pPr>
        <w:tabs>
          <w:tab w:val="right" w:pos="7513"/>
          <w:tab w:val="left" w:pos="8318"/>
        </w:tabs>
        <w:snapToGrid w:val="0"/>
        <w:rPr>
          <w:snapToGrid w:val="0"/>
        </w:rPr>
      </w:pPr>
    </w:p>
    <w:p w:rsidR="00E47997" w:rsidRPr="000C2705" w:rsidRDefault="00E47997" w:rsidP="00E47997">
      <w:pPr>
        <w:tabs>
          <w:tab w:val="left" w:pos="567"/>
          <w:tab w:val="right" w:pos="7513"/>
          <w:tab w:val="left" w:pos="8318"/>
        </w:tabs>
        <w:ind w:left="567" w:hanging="567"/>
        <w:rPr>
          <w:b/>
          <w:snapToGrid w:val="0"/>
        </w:rPr>
      </w:pPr>
      <w:r w:rsidRPr="000C2705">
        <w:rPr>
          <w:b/>
          <w:snapToGrid w:val="0"/>
        </w:rPr>
        <w:t>5.1</w:t>
      </w:r>
      <w:r w:rsidRPr="000C2705">
        <w:rPr>
          <w:b/>
          <w:snapToGrid w:val="0"/>
        </w:rPr>
        <w:tab/>
        <w:t>Performance Standards</w:t>
      </w:r>
    </w:p>
    <w:p w:rsidR="00E47997" w:rsidRPr="000C2705" w:rsidRDefault="00E47997" w:rsidP="00E47997">
      <w:pPr>
        <w:ind w:left="1134" w:hanging="567"/>
      </w:pPr>
    </w:p>
    <w:p w:rsidR="00E47997" w:rsidRPr="000C2705" w:rsidRDefault="00E47997" w:rsidP="00E47997">
      <w:pPr>
        <w:tabs>
          <w:tab w:val="right" w:pos="7513"/>
          <w:tab w:val="left" w:pos="8318"/>
        </w:tabs>
        <w:snapToGrid w:val="0"/>
        <w:rPr>
          <w:snapToGrid w:val="0"/>
        </w:rPr>
      </w:pPr>
      <w:r w:rsidRPr="000C2705">
        <w:rPr>
          <w:snapToGrid w:val="0"/>
        </w:rPr>
        <w:t>The Licensee regularly reviews and continually improves its systems.</w:t>
      </w:r>
    </w:p>
    <w:p w:rsidR="00E47997" w:rsidRPr="000C2705" w:rsidRDefault="00E47997" w:rsidP="00E47997">
      <w:pPr>
        <w:ind w:left="1134" w:hanging="567"/>
      </w:pPr>
    </w:p>
    <w:p w:rsidR="00E47997" w:rsidRPr="000C2705" w:rsidRDefault="00E47997" w:rsidP="00E47997">
      <w:pPr>
        <w:ind w:left="540" w:hanging="540"/>
      </w:pPr>
      <w:r w:rsidRPr="000C2705">
        <w:t>5.1.1</w:t>
      </w:r>
      <w:r w:rsidRPr="000C2705">
        <w:tab/>
        <w:t>The Licensee will</w:t>
      </w:r>
    </w:p>
    <w:p w:rsidR="00E47997" w:rsidRPr="000C2705" w:rsidRDefault="00E47997" w:rsidP="00E47997">
      <w:pPr>
        <w:tabs>
          <w:tab w:val="left" w:pos="1134"/>
        </w:tabs>
        <w:ind w:left="1134" w:hanging="1134"/>
      </w:pPr>
    </w:p>
    <w:p w:rsidR="00E47997" w:rsidRPr="000C2705" w:rsidRDefault="00E47997" w:rsidP="00E47997">
      <w:pPr>
        <w:numPr>
          <w:ilvl w:val="0"/>
          <w:numId w:val="21"/>
        </w:numPr>
        <w:tabs>
          <w:tab w:val="clear" w:pos="1008"/>
          <w:tab w:val="num" w:pos="1134"/>
        </w:tabs>
        <w:ind w:left="1134" w:hanging="567"/>
      </w:pPr>
      <w:r w:rsidRPr="000C2705">
        <w:t>analyse performance outcomes against documented objectives to determine areas requiring improvement</w:t>
      </w:r>
    </w:p>
    <w:p w:rsidR="00E47997" w:rsidRPr="000C2705" w:rsidRDefault="00E47997" w:rsidP="00E47997">
      <w:pPr>
        <w:numPr>
          <w:ilvl w:val="0"/>
          <w:numId w:val="21"/>
        </w:numPr>
        <w:tabs>
          <w:tab w:val="clear" w:pos="1008"/>
          <w:tab w:val="num" w:pos="1134"/>
        </w:tabs>
        <w:ind w:left="1134" w:hanging="567"/>
      </w:pPr>
      <w:proofErr w:type="gramStart"/>
      <w:r w:rsidRPr="000C2705">
        <w:t>promote</w:t>
      </w:r>
      <w:proofErr w:type="gramEnd"/>
      <w:r w:rsidRPr="000C2705">
        <w:t xml:space="preserve"> continuous improvement strategies. </w:t>
      </w:r>
    </w:p>
    <w:p w:rsidR="00E47997" w:rsidRPr="000C2705" w:rsidRDefault="00E47997" w:rsidP="00E47997">
      <w:pPr>
        <w:tabs>
          <w:tab w:val="left" w:pos="1701"/>
        </w:tabs>
      </w:pPr>
    </w:p>
    <w:p w:rsidR="00E47997" w:rsidRPr="000C2705" w:rsidRDefault="00E47997" w:rsidP="00E47997">
      <w:pPr>
        <w:tabs>
          <w:tab w:val="left" w:pos="567"/>
        </w:tabs>
        <w:rPr>
          <w:b/>
        </w:rPr>
      </w:pPr>
      <w:r w:rsidRPr="000C2705">
        <w:rPr>
          <w:b/>
        </w:rPr>
        <w:t>5.2</w:t>
      </w:r>
      <w:r w:rsidRPr="000C2705">
        <w:rPr>
          <w:b/>
        </w:rPr>
        <w:tab/>
        <w:t>Performance Measures</w:t>
      </w:r>
    </w:p>
    <w:p w:rsidR="00E47997" w:rsidRPr="000C2705" w:rsidRDefault="00E47997" w:rsidP="00E47997">
      <w:pPr>
        <w:tabs>
          <w:tab w:val="left" w:pos="1134"/>
        </w:tabs>
        <w:ind w:hanging="567"/>
        <w:rPr>
          <w:b/>
        </w:rPr>
      </w:pPr>
    </w:p>
    <w:p w:rsidR="00E47997" w:rsidRPr="000C2705" w:rsidRDefault="00E47997" w:rsidP="00E47997">
      <w:pPr>
        <w:ind w:left="540" w:hanging="540"/>
      </w:pPr>
      <w:r w:rsidRPr="000C2705">
        <w:t xml:space="preserve">5.2.1 There is evidence </w:t>
      </w:r>
    </w:p>
    <w:p w:rsidR="00E47997" w:rsidRPr="000C2705" w:rsidRDefault="00E47997" w:rsidP="00E47997">
      <w:pPr>
        <w:tabs>
          <w:tab w:val="left" w:pos="1701"/>
        </w:tabs>
      </w:pPr>
    </w:p>
    <w:p w:rsidR="00E47997" w:rsidRPr="000C2705" w:rsidRDefault="00E47997" w:rsidP="00E47997">
      <w:pPr>
        <w:numPr>
          <w:ilvl w:val="0"/>
          <w:numId w:val="22"/>
        </w:numPr>
        <w:tabs>
          <w:tab w:val="left" w:pos="1134"/>
        </w:tabs>
        <w:ind w:left="993"/>
      </w:pPr>
      <w:proofErr w:type="gramStart"/>
      <w:r w:rsidRPr="000C2705">
        <w:t>that</w:t>
      </w:r>
      <w:proofErr w:type="gramEnd"/>
      <w:r w:rsidRPr="000C2705">
        <w:t xml:space="preserve"> the results of reviews of the Licensee’s performance are used to continually improve its prevention, rehabilitation and claims management systems.</w:t>
      </w:r>
    </w:p>
    <w:p w:rsidR="00657CCB" w:rsidRPr="00E47997" w:rsidRDefault="00657CCB" w:rsidP="00E47997"/>
    <w:sectPr w:rsidR="00657CCB" w:rsidRPr="00E47997" w:rsidSect="00552BE7">
      <w:type w:val="continuous"/>
      <w:pgSz w:w="11906" w:h="16838"/>
      <w:pgMar w:top="1418" w:right="1418"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1C1" w:rsidRDefault="008D51C1" w:rsidP="008D51C1">
      <w:r>
        <w:separator/>
      </w:r>
    </w:p>
  </w:endnote>
  <w:endnote w:type="continuationSeparator" w:id="0">
    <w:p w:rsidR="008D51C1" w:rsidRDefault="008D51C1" w:rsidP="008D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charset w:val="00"/>
    <w:family w:val="auto"/>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1C1" w:rsidRDefault="008D51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1C1" w:rsidRDefault="008D51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1C1" w:rsidRDefault="008D5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1C1" w:rsidRDefault="008D51C1" w:rsidP="008D51C1">
      <w:r>
        <w:separator/>
      </w:r>
    </w:p>
  </w:footnote>
  <w:footnote w:type="continuationSeparator" w:id="0">
    <w:p w:rsidR="008D51C1" w:rsidRDefault="008D51C1" w:rsidP="008D5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1C1" w:rsidRDefault="008D51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8D51C1" w:rsidRPr="008D51C1" w:rsidTr="00575C93">
      <w:trPr>
        <w:trHeight w:val="984"/>
      </w:trPr>
      <w:tc>
        <w:tcPr>
          <w:tcW w:w="1263" w:type="dxa"/>
          <w:tcBorders>
            <w:top w:val="single" w:sz="4" w:space="0" w:color="auto"/>
            <w:left w:val="nil"/>
            <w:bottom w:val="single" w:sz="4" w:space="0" w:color="auto"/>
            <w:right w:val="nil"/>
            <w:tl2br w:val="nil"/>
            <w:tr2bl w:val="nil"/>
          </w:tcBorders>
          <w:shd w:val="clear" w:color="auto" w:fill="auto"/>
        </w:tcPr>
        <w:p w:rsidR="008D51C1" w:rsidRPr="008D51C1" w:rsidRDefault="008D51C1" w:rsidP="008D51C1">
          <w:pPr>
            <w:spacing w:before="60" w:line="276" w:lineRule="auto"/>
            <w:ind w:left="-51"/>
            <w:rPr>
              <w:rFonts w:ascii="Arial" w:eastAsiaTheme="minorHAnsi" w:hAnsi="Arial" w:cstheme="minorBidi"/>
              <w:sz w:val="12"/>
              <w:szCs w:val="22"/>
              <w:lang w:eastAsia="en-US"/>
            </w:rPr>
          </w:pPr>
          <w:bookmarkStart w:id="1" w:name="OLE_LINK2"/>
          <w:r w:rsidRPr="008D51C1">
            <w:rPr>
              <w:rFonts w:ascii="Arial" w:eastAsiaTheme="minorHAnsi" w:hAnsi="Arial" w:cstheme="minorBidi"/>
              <w:noProof/>
              <w:sz w:val="12"/>
              <w:szCs w:val="22"/>
            </w:rPr>
            <w:drawing>
              <wp:inline distT="0" distB="0" distL="0" distR="0" wp14:anchorId="4860D078" wp14:editId="452A5540">
                <wp:extent cx="702945" cy="544195"/>
                <wp:effectExtent l="0" t="0" r="0" b="8255"/>
                <wp:docPr id="2" name="Picture 2"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8D51C1" w:rsidRPr="008D51C1" w:rsidRDefault="008D51C1" w:rsidP="008D51C1">
          <w:pPr>
            <w:spacing w:before="60" w:line="460" w:lineRule="exact"/>
            <w:rPr>
              <w:rFonts w:ascii="Arial" w:eastAsiaTheme="minorHAnsi" w:hAnsi="Arial" w:cs="Arial"/>
              <w:b/>
              <w:spacing w:val="-2"/>
              <w:sz w:val="44"/>
              <w:szCs w:val="44"/>
              <w:lang w:eastAsia="en-US"/>
            </w:rPr>
          </w:pPr>
          <w:r w:rsidRPr="008D51C1">
            <w:rPr>
              <w:rFonts w:ascii="Arial" w:eastAsiaTheme="minorHAnsi" w:hAnsi="Arial" w:cs="Arial"/>
              <w:b/>
              <w:spacing w:val="-2"/>
              <w:sz w:val="44"/>
              <w:szCs w:val="44"/>
              <w:lang w:eastAsia="en-US"/>
            </w:rPr>
            <w:t>Commonwealth</w:t>
          </w:r>
          <w:r w:rsidRPr="008D51C1">
            <w:rPr>
              <w:rFonts w:ascii="Arial" w:eastAsiaTheme="minorHAnsi" w:hAnsi="Arial" w:cs="Arial"/>
              <w:b/>
              <w:spacing w:val="-2"/>
              <w:sz w:val="44"/>
              <w:szCs w:val="44"/>
              <w:lang w:eastAsia="en-US"/>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8D51C1" w:rsidRPr="008D51C1" w:rsidRDefault="008D51C1" w:rsidP="008D51C1">
          <w:pPr>
            <w:spacing w:before="180" w:line="800" w:lineRule="exact"/>
            <w:jc w:val="right"/>
            <w:rPr>
              <w:rFonts w:ascii="Arial" w:eastAsiaTheme="minorHAnsi" w:hAnsi="Arial" w:cs="Arial"/>
              <w:b/>
              <w:sz w:val="100"/>
              <w:szCs w:val="100"/>
              <w:lang w:eastAsia="en-US"/>
            </w:rPr>
          </w:pPr>
          <w:r w:rsidRPr="008D51C1">
            <w:rPr>
              <w:rFonts w:ascii="Arial" w:eastAsiaTheme="minorHAnsi" w:hAnsi="Arial" w:cs="Arial"/>
              <w:b/>
              <w:sz w:val="100"/>
              <w:szCs w:val="100"/>
              <w:lang w:eastAsia="en-US"/>
            </w:rPr>
            <w:t>Gazette</w:t>
          </w:r>
        </w:p>
      </w:tc>
    </w:tr>
    <w:tr w:rsidR="008D51C1" w:rsidRPr="008D51C1" w:rsidTr="00575C93">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8D51C1" w:rsidRPr="008D51C1" w:rsidRDefault="008D51C1" w:rsidP="008D51C1">
          <w:pPr>
            <w:spacing w:line="276" w:lineRule="auto"/>
            <w:ind w:left="-51"/>
            <w:rPr>
              <w:rFonts w:ascii="Arial" w:eastAsiaTheme="minorHAnsi" w:hAnsi="Arial" w:cs="Arial"/>
              <w:sz w:val="14"/>
              <w:szCs w:val="14"/>
              <w:lang w:eastAsia="en-US"/>
            </w:rPr>
          </w:pPr>
          <w:bookmarkStart w:id="2" w:name="GazNo"/>
          <w:bookmarkEnd w:id="2"/>
          <w:r w:rsidRPr="008D51C1">
            <w:rPr>
              <w:rFonts w:ascii="Arial" w:eastAsiaTheme="minorHAnsi" w:hAnsi="Arial" w:cs="Arial"/>
              <w:sz w:val="14"/>
              <w:szCs w:val="14"/>
              <w:lang w:eastAsia="en-US"/>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8D51C1" w:rsidRPr="008D51C1" w:rsidRDefault="008D51C1" w:rsidP="008D51C1">
          <w:pPr>
            <w:spacing w:line="276" w:lineRule="auto"/>
            <w:jc w:val="right"/>
            <w:rPr>
              <w:rFonts w:ascii="Arial" w:eastAsiaTheme="minorHAnsi" w:hAnsi="Arial" w:cs="Arial"/>
              <w:b/>
              <w:lang w:eastAsia="en-US"/>
            </w:rPr>
          </w:pPr>
          <w:r w:rsidRPr="008D51C1">
            <w:rPr>
              <w:rFonts w:ascii="Arial" w:eastAsiaTheme="minorHAnsi" w:hAnsi="Arial" w:cs="Arial"/>
              <w:b/>
              <w:lang w:eastAsia="en-US"/>
            </w:rPr>
            <w:t>GOVERNMENT NOTICES</w:t>
          </w:r>
        </w:p>
      </w:tc>
    </w:tr>
  </w:tbl>
  <w:p w:rsidR="008D51C1" w:rsidRDefault="008D51C1">
    <w:pPr>
      <w:pStyle w:val="Header"/>
    </w:pPr>
    <w:bookmarkStart w:id="3" w:name="_GoBack"/>
    <w:bookmarkEnd w:id="1"/>
    <w:bookmarkEnd w:id="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1C1" w:rsidRDefault="008D51C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1C1" w:rsidRDefault="008D51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E219A"/>
    <w:multiLevelType w:val="hybridMultilevel"/>
    <w:tmpl w:val="7506E726"/>
    <w:lvl w:ilvl="0" w:tplc="C7E67D0E">
      <w:start w:val="1"/>
      <w:numFmt w:val="bullet"/>
      <w:lvlText w:val="-"/>
      <w:lvlJc w:val="left"/>
      <w:pPr>
        <w:tabs>
          <w:tab w:val="num" w:pos="2061"/>
        </w:tabs>
        <w:ind w:left="2061" w:hanging="360"/>
      </w:pPr>
      <w:rPr>
        <w:rFonts w:ascii="Courier New" w:hAnsi="Courier New" w:hint="default"/>
      </w:rPr>
    </w:lvl>
    <w:lvl w:ilvl="1" w:tplc="0C090003" w:tentative="1">
      <w:start w:val="1"/>
      <w:numFmt w:val="bullet"/>
      <w:lvlText w:val="o"/>
      <w:lvlJc w:val="left"/>
      <w:pPr>
        <w:tabs>
          <w:tab w:val="num" w:pos="2061"/>
        </w:tabs>
        <w:ind w:left="2061" w:hanging="360"/>
      </w:pPr>
      <w:rPr>
        <w:rFonts w:ascii="Courier New" w:hAnsi="Courier New" w:cs="Courier New" w:hint="default"/>
      </w:rPr>
    </w:lvl>
    <w:lvl w:ilvl="2" w:tplc="0C090005" w:tentative="1">
      <w:start w:val="1"/>
      <w:numFmt w:val="bullet"/>
      <w:lvlText w:val=""/>
      <w:lvlJc w:val="left"/>
      <w:pPr>
        <w:tabs>
          <w:tab w:val="num" w:pos="2781"/>
        </w:tabs>
        <w:ind w:left="2781" w:hanging="360"/>
      </w:pPr>
      <w:rPr>
        <w:rFonts w:ascii="Wingdings" w:hAnsi="Wingdings" w:hint="default"/>
      </w:rPr>
    </w:lvl>
    <w:lvl w:ilvl="3" w:tplc="0C090001" w:tentative="1">
      <w:start w:val="1"/>
      <w:numFmt w:val="bullet"/>
      <w:lvlText w:val=""/>
      <w:lvlJc w:val="left"/>
      <w:pPr>
        <w:tabs>
          <w:tab w:val="num" w:pos="3501"/>
        </w:tabs>
        <w:ind w:left="3501" w:hanging="360"/>
      </w:pPr>
      <w:rPr>
        <w:rFonts w:ascii="Symbol" w:hAnsi="Symbol" w:hint="default"/>
      </w:rPr>
    </w:lvl>
    <w:lvl w:ilvl="4" w:tplc="0C090003" w:tentative="1">
      <w:start w:val="1"/>
      <w:numFmt w:val="bullet"/>
      <w:lvlText w:val="o"/>
      <w:lvlJc w:val="left"/>
      <w:pPr>
        <w:tabs>
          <w:tab w:val="num" w:pos="4221"/>
        </w:tabs>
        <w:ind w:left="4221" w:hanging="360"/>
      </w:pPr>
      <w:rPr>
        <w:rFonts w:ascii="Courier New" w:hAnsi="Courier New" w:cs="Courier New" w:hint="default"/>
      </w:rPr>
    </w:lvl>
    <w:lvl w:ilvl="5" w:tplc="0C090005" w:tentative="1">
      <w:start w:val="1"/>
      <w:numFmt w:val="bullet"/>
      <w:lvlText w:val=""/>
      <w:lvlJc w:val="left"/>
      <w:pPr>
        <w:tabs>
          <w:tab w:val="num" w:pos="4941"/>
        </w:tabs>
        <w:ind w:left="4941" w:hanging="360"/>
      </w:pPr>
      <w:rPr>
        <w:rFonts w:ascii="Wingdings" w:hAnsi="Wingdings" w:hint="default"/>
      </w:rPr>
    </w:lvl>
    <w:lvl w:ilvl="6" w:tplc="0C090001" w:tentative="1">
      <w:start w:val="1"/>
      <w:numFmt w:val="bullet"/>
      <w:lvlText w:val=""/>
      <w:lvlJc w:val="left"/>
      <w:pPr>
        <w:tabs>
          <w:tab w:val="num" w:pos="5661"/>
        </w:tabs>
        <w:ind w:left="5661" w:hanging="360"/>
      </w:pPr>
      <w:rPr>
        <w:rFonts w:ascii="Symbol" w:hAnsi="Symbol" w:hint="default"/>
      </w:rPr>
    </w:lvl>
    <w:lvl w:ilvl="7" w:tplc="0C090003" w:tentative="1">
      <w:start w:val="1"/>
      <w:numFmt w:val="bullet"/>
      <w:lvlText w:val="o"/>
      <w:lvlJc w:val="left"/>
      <w:pPr>
        <w:tabs>
          <w:tab w:val="num" w:pos="6381"/>
        </w:tabs>
        <w:ind w:left="6381" w:hanging="360"/>
      </w:pPr>
      <w:rPr>
        <w:rFonts w:ascii="Courier New" w:hAnsi="Courier New" w:cs="Courier New" w:hint="default"/>
      </w:rPr>
    </w:lvl>
    <w:lvl w:ilvl="8" w:tplc="0C090005" w:tentative="1">
      <w:start w:val="1"/>
      <w:numFmt w:val="bullet"/>
      <w:lvlText w:val=""/>
      <w:lvlJc w:val="left"/>
      <w:pPr>
        <w:tabs>
          <w:tab w:val="num" w:pos="7101"/>
        </w:tabs>
        <w:ind w:left="7101" w:hanging="360"/>
      </w:pPr>
      <w:rPr>
        <w:rFonts w:ascii="Wingdings" w:hAnsi="Wingdings" w:hint="default"/>
      </w:rPr>
    </w:lvl>
  </w:abstractNum>
  <w:abstractNum w:abstractNumId="1">
    <w:nsid w:val="087405D2"/>
    <w:multiLevelType w:val="multilevel"/>
    <w:tmpl w:val="DE18CC70"/>
    <w:lvl w:ilvl="0">
      <w:start w:val="1"/>
      <w:numFmt w:val="lowerLetter"/>
      <w:lvlText w:val="(%1)"/>
      <w:lvlJc w:val="left"/>
      <w:pPr>
        <w:tabs>
          <w:tab w:val="num" w:pos="567"/>
        </w:tabs>
        <w:ind w:left="567" w:hanging="567"/>
      </w:pPr>
      <w:rPr>
        <w:rFonts w:ascii="Palatino" w:hAnsi="Palatino" w:hint="default"/>
        <w:sz w:val="24"/>
        <w:szCs w:val="24"/>
      </w:rPr>
    </w:lvl>
    <w:lvl w:ilvl="1">
      <w:start w:val="1"/>
      <w:numFmt w:val="decimal"/>
      <w:lvlText w:val="4.%2."/>
      <w:lvlJc w:val="left"/>
      <w:pPr>
        <w:tabs>
          <w:tab w:val="num" w:pos="1134"/>
        </w:tabs>
        <w:ind w:left="1134" w:hanging="1134"/>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F8061BC"/>
    <w:multiLevelType w:val="multilevel"/>
    <w:tmpl w:val="46A6E3D0"/>
    <w:lvl w:ilvl="0">
      <w:start w:val="1"/>
      <w:numFmt w:val="decimal"/>
      <w:pStyle w:val="MELegal1"/>
      <w:lvlText w:val="%1."/>
      <w:lvlJc w:val="left"/>
      <w:pPr>
        <w:tabs>
          <w:tab w:val="num" w:pos="680"/>
        </w:tabs>
        <w:ind w:left="680" w:hanging="680"/>
      </w:pPr>
    </w:lvl>
    <w:lvl w:ilvl="1">
      <w:start w:val="1"/>
      <w:numFmt w:val="decimal"/>
      <w:pStyle w:val="MELegal2"/>
      <w:lvlText w:val="%1.%2"/>
      <w:lvlJc w:val="left"/>
      <w:pPr>
        <w:tabs>
          <w:tab w:val="num" w:pos="680"/>
        </w:tabs>
        <w:ind w:left="680" w:hanging="680"/>
      </w:pPr>
    </w:lvl>
    <w:lvl w:ilvl="2">
      <w:start w:val="1"/>
      <w:numFmt w:val="lowerLetter"/>
      <w:pStyle w:val="MELegal3"/>
      <w:lvlText w:val="(%3)"/>
      <w:lvlJc w:val="left"/>
      <w:pPr>
        <w:tabs>
          <w:tab w:val="num" w:pos="1361"/>
        </w:tabs>
        <w:ind w:left="1361" w:hanging="681"/>
      </w:pPr>
    </w:lvl>
    <w:lvl w:ilvl="3">
      <w:start w:val="1"/>
      <w:numFmt w:val="lowerRoman"/>
      <w:pStyle w:val="MELegal4"/>
      <w:lvlText w:val="(%4)"/>
      <w:lvlJc w:val="left"/>
      <w:pPr>
        <w:tabs>
          <w:tab w:val="num" w:pos="2041"/>
        </w:tabs>
        <w:ind w:left="2041" w:hanging="680"/>
      </w:pPr>
    </w:lvl>
    <w:lvl w:ilvl="4">
      <w:start w:val="1"/>
      <w:numFmt w:val="upperLetter"/>
      <w:pStyle w:val="MELegal5"/>
      <w:lvlText w:val="(%5)"/>
      <w:lvlJc w:val="left"/>
      <w:pPr>
        <w:tabs>
          <w:tab w:val="num" w:pos="2722"/>
        </w:tabs>
        <w:ind w:left="2722" w:hanging="681"/>
      </w:pPr>
    </w:lvl>
    <w:lvl w:ilvl="5">
      <w:start w:val="1"/>
      <w:numFmt w:val="upperRoman"/>
      <w:pStyle w:val="MELegal6"/>
      <w:lvlText w:val="(%6)"/>
      <w:lvlJc w:val="left"/>
      <w:pPr>
        <w:tabs>
          <w:tab w:val="num" w:pos="3402"/>
        </w:tabs>
        <w:ind w:left="3402" w:hanging="68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
    <w:nsid w:val="0FCF3106"/>
    <w:multiLevelType w:val="hybridMultilevel"/>
    <w:tmpl w:val="C01C8076"/>
    <w:lvl w:ilvl="0" w:tplc="0C09000F">
      <w:start w:val="1"/>
      <w:numFmt w:val="lowerLetter"/>
      <w:lvlText w:val="(%1)"/>
      <w:lvlJc w:val="left"/>
      <w:pPr>
        <w:tabs>
          <w:tab w:val="num" w:pos="720"/>
        </w:tabs>
        <w:ind w:left="720" w:hanging="360"/>
      </w:pPr>
      <w:rPr>
        <w:rFonts w:ascii="Palatino" w:hAnsi="Palatino" w:hint="default"/>
        <w:sz w:val="24"/>
        <w:szCs w:val="24"/>
      </w:rPr>
    </w:lvl>
    <w:lvl w:ilvl="1" w:tplc="33B65496">
      <w:start w:val="1"/>
      <w:numFmt w:val="lowerLetter"/>
      <w:lvlText w:val="(%2)"/>
      <w:lvlJc w:val="left"/>
      <w:pPr>
        <w:tabs>
          <w:tab w:val="num" w:pos="1647"/>
        </w:tabs>
        <w:ind w:left="1647" w:hanging="567"/>
      </w:pPr>
      <w:rPr>
        <w:rFonts w:ascii="Times New Roman" w:hAnsi="Times New Roman" w:hint="default"/>
        <w:sz w:val="24"/>
        <w:szCs w:val="24"/>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11D2499B"/>
    <w:multiLevelType w:val="multilevel"/>
    <w:tmpl w:val="8306095A"/>
    <w:lvl w:ilvl="0">
      <w:start w:val="1"/>
      <w:numFmt w:val="lowerLetter"/>
      <w:lvlText w:val="(%1)"/>
      <w:lvlJc w:val="left"/>
      <w:pPr>
        <w:ind w:left="360" w:hanging="360"/>
      </w:pPr>
      <w:rPr>
        <w:rFonts w:ascii="Palatino" w:hAnsi="Palatino" w:hint="default"/>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F15C8E"/>
    <w:multiLevelType w:val="singleLevel"/>
    <w:tmpl w:val="108C47E8"/>
    <w:lvl w:ilvl="0">
      <w:start w:val="1"/>
      <w:numFmt w:val="lowerRoman"/>
      <w:lvlText w:val="(%1)"/>
      <w:lvlJc w:val="left"/>
      <w:pPr>
        <w:tabs>
          <w:tab w:val="num" w:pos="1008"/>
        </w:tabs>
        <w:ind w:left="504" w:hanging="216"/>
      </w:pPr>
    </w:lvl>
  </w:abstractNum>
  <w:abstractNum w:abstractNumId="6">
    <w:nsid w:val="16B60C16"/>
    <w:multiLevelType w:val="singleLevel"/>
    <w:tmpl w:val="69263748"/>
    <w:lvl w:ilvl="0">
      <w:start w:val="1"/>
      <w:numFmt w:val="lowerLetter"/>
      <w:lvlText w:val="(%1)"/>
      <w:lvlJc w:val="left"/>
      <w:pPr>
        <w:tabs>
          <w:tab w:val="num" w:pos="1701"/>
        </w:tabs>
        <w:ind w:left="1701" w:hanging="567"/>
      </w:pPr>
    </w:lvl>
  </w:abstractNum>
  <w:abstractNum w:abstractNumId="7">
    <w:nsid w:val="1C6E5EB4"/>
    <w:multiLevelType w:val="singleLevel"/>
    <w:tmpl w:val="458A15DC"/>
    <w:lvl w:ilvl="0">
      <w:start w:val="1"/>
      <w:numFmt w:val="lowerRoman"/>
      <w:lvlText w:val="(%1)"/>
      <w:lvlJc w:val="left"/>
      <w:pPr>
        <w:ind w:left="720" w:hanging="360"/>
      </w:pPr>
      <w:rPr>
        <w:rFonts w:hint="default"/>
      </w:rPr>
    </w:lvl>
  </w:abstractNum>
  <w:abstractNum w:abstractNumId="8">
    <w:nsid w:val="23B63F71"/>
    <w:multiLevelType w:val="singleLevel"/>
    <w:tmpl w:val="4000952E"/>
    <w:lvl w:ilvl="0">
      <w:start w:val="1"/>
      <w:numFmt w:val="lowerRoman"/>
      <w:lvlText w:val="(%1)"/>
      <w:lvlJc w:val="left"/>
      <w:pPr>
        <w:tabs>
          <w:tab w:val="num" w:pos="1854"/>
        </w:tabs>
        <w:ind w:left="1701" w:hanging="567"/>
      </w:pPr>
    </w:lvl>
  </w:abstractNum>
  <w:abstractNum w:abstractNumId="9">
    <w:nsid w:val="249F23E9"/>
    <w:multiLevelType w:val="hybridMultilevel"/>
    <w:tmpl w:val="EA626B88"/>
    <w:lvl w:ilvl="0" w:tplc="0C09000F">
      <w:start w:val="1"/>
      <w:numFmt w:val="lowerLetter"/>
      <w:lvlText w:val="(%1)"/>
      <w:lvlJc w:val="left"/>
      <w:pPr>
        <w:ind w:left="2160" w:hanging="720"/>
      </w:pPr>
      <w:rPr>
        <w:rFonts w:ascii="Palatino" w:hAnsi="Palatino" w:hint="default"/>
        <w:sz w:val="24"/>
        <w:szCs w:val="24"/>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nsid w:val="2CBA1BDD"/>
    <w:multiLevelType w:val="singleLevel"/>
    <w:tmpl w:val="8FF0553E"/>
    <w:lvl w:ilvl="0">
      <w:start w:val="1"/>
      <w:numFmt w:val="lowerRoman"/>
      <w:lvlText w:val="(%1)"/>
      <w:lvlJc w:val="left"/>
      <w:pPr>
        <w:tabs>
          <w:tab w:val="num" w:pos="1008"/>
        </w:tabs>
        <w:ind w:left="504" w:hanging="216"/>
      </w:pPr>
    </w:lvl>
  </w:abstractNum>
  <w:abstractNum w:abstractNumId="11">
    <w:nsid w:val="309A39DD"/>
    <w:multiLevelType w:val="hybridMultilevel"/>
    <w:tmpl w:val="55843DEA"/>
    <w:lvl w:ilvl="0" w:tplc="458A15DC">
      <w:start w:val="1"/>
      <w:numFmt w:val="lowerRoman"/>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37980DB1"/>
    <w:multiLevelType w:val="hybridMultilevel"/>
    <w:tmpl w:val="D3CAA282"/>
    <w:lvl w:ilvl="0" w:tplc="458A15DC">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nsid w:val="3AA74F31"/>
    <w:multiLevelType w:val="hybridMultilevel"/>
    <w:tmpl w:val="C318EE5A"/>
    <w:lvl w:ilvl="0" w:tplc="263E978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3CC343C4"/>
    <w:multiLevelType w:val="hybridMultilevel"/>
    <w:tmpl w:val="E1F64508"/>
    <w:lvl w:ilvl="0" w:tplc="0C09000F">
      <w:start w:val="1"/>
      <w:numFmt w:val="lowerLetter"/>
      <w:lvlText w:val="(%1)"/>
      <w:lvlJc w:val="left"/>
      <w:pPr>
        <w:ind w:left="720" w:hanging="360"/>
      </w:pPr>
      <w:rPr>
        <w:rFonts w:ascii="Palatino" w:hAnsi="Palatino"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4DF66EB"/>
    <w:multiLevelType w:val="hybridMultilevel"/>
    <w:tmpl w:val="D786B934"/>
    <w:lvl w:ilvl="0" w:tplc="CB621EC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nsid w:val="451217E8"/>
    <w:multiLevelType w:val="multilevel"/>
    <w:tmpl w:val="B400FC94"/>
    <w:lvl w:ilvl="0">
      <w:start w:val="1"/>
      <w:numFmt w:val="lowerLetter"/>
      <w:lvlText w:val="(%1)"/>
      <w:lvlJc w:val="left"/>
      <w:pPr>
        <w:tabs>
          <w:tab w:val="num" w:pos="567"/>
        </w:tabs>
        <w:ind w:left="567" w:hanging="567"/>
      </w:pPr>
      <w:rPr>
        <w:rFonts w:ascii="Palatino" w:hAnsi="Palatino" w:hint="default"/>
        <w:sz w:val="24"/>
        <w:szCs w:val="24"/>
      </w:rPr>
    </w:lvl>
    <w:lvl w:ilvl="1">
      <w:start w:val="1"/>
      <w:numFmt w:val="decimal"/>
      <w:lvlText w:val="5.%2"/>
      <w:lvlJc w:val="left"/>
      <w:pPr>
        <w:tabs>
          <w:tab w:val="num" w:pos="1134"/>
        </w:tabs>
        <w:ind w:left="1134" w:hanging="1134"/>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nsid w:val="4B536AF9"/>
    <w:multiLevelType w:val="multilevel"/>
    <w:tmpl w:val="3C643B9E"/>
    <w:lvl w:ilvl="0">
      <w:start w:val="1"/>
      <w:numFmt w:val="lowerRoman"/>
      <w:lvlText w:val="(%1)"/>
      <w:lvlJc w:val="left"/>
      <w:pPr>
        <w:tabs>
          <w:tab w:val="num" w:pos="1005"/>
        </w:tabs>
        <w:ind w:left="1005" w:hanging="852"/>
      </w:pPr>
      <w:rPr>
        <w:rFonts w:hint="default"/>
      </w:rPr>
    </w:lvl>
    <w:lvl w:ilvl="1">
      <w:start w:val="2"/>
      <w:numFmt w:val="decimal"/>
      <w:lvlText w:val="%1.%2"/>
      <w:lvlJc w:val="left"/>
      <w:pPr>
        <w:tabs>
          <w:tab w:val="num" w:pos="1572"/>
        </w:tabs>
        <w:ind w:left="1572" w:hanging="852"/>
      </w:pPr>
    </w:lvl>
    <w:lvl w:ilvl="2">
      <w:start w:val="1"/>
      <w:numFmt w:val="decimal"/>
      <w:lvlText w:val="%1.%2.%3"/>
      <w:lvlJc w:val="left"/>
      <w:pPr>
        <w:tabs>
          <w:tab w:val="num" w:pos="2139"/>
        </w:tabs>
        <w:ind w:left="2139" w:hanging="852"/>
      </w:pPr>
    </w:lvl>
    <w:lvl w:ilvl="3">
      <w:start w:val="1"/>
      <w:numFmt w:val="decimal"/>
      <w:lvlText w:val="%1.%2.%3.%4"/>
      <w:lvlJc w:val="left"/>
      <w:pPr>
        <w:tabs>
          <w:tab w:val="num" w:pos="2934"/>
        </w:tabs>
        <w:ind w:left="2934" w:hanging="1080"/>
      </w:pPr>
    </w:lvl>
    <w:lvl w:ilvl="4">
      <w:start w:val="1"/>
      <w:numFmt w:val="decimal"/>
      <w:lvlText w:val="%1.%2.%3.%4.%5"/>
      <w:lvlJc w:val="left"/>
      <w:pPr>
        <w:tabs>
          <w:tab w:val="num" w:pos="3501"/>
        </w:tabs>
        <w:ind w:left="3501" w:hanging="1080"/>
      </w:pPr>
    </w:lvl>
    <w:lvl w:ilvl="5">
      <w:start w:val="1"/>
      <w:numFmt w:val="decimal"/>
      <w:lvlText w:val="%1.%2.%3.%4.%5.%6"/>
      <w:lvlJc w:val="left"/>
      <w:pPr>
        <w:tabs>
          <w:tab w:val="num" w:pos="4428"/>
        </w:tabs>
        <w:ind w:left="4428" w:hanging="1440"/>
      </w:pPr>
    </w:lvl>
    <w:lvl w:ilvl="6">
      <w:start w:val="1"/>
      <w:numFmt w:val="decimal"/>
      <w:lvlText w:val="%1.%2.%3.%4.%5.%6.%7"/>
      <w:lvlJc w:val="left"/>
      <w:pPr>
        <w:tabs>
          <w:tab w:val="num" w:pos="4995"/>
        </w:tabs>
        <w:ind w:left="4995" w:hanging="1440"/>
      </w:pPr>
    </w:lvl>
    <w:lvl w:ilvl="7">
      <w:start w:val="1"/>
      <w:numFmt w:val="decimal"/>
      <w:lvlText w:val="%1.%2.%3.%4.%5.%6.%7.%8"/>
      <w:lvlJc w:val="left"/>
      <w:pPr>
        <w:tabs>
          <w:tab w:val="num" w:pos="5922"/>
        </w:tabs>
        <w:ind w:left="5922" w:hanging="1800"/>
      </w:pPr>
    </w:lvl>
    <w:lvl w:ilvl="8">
      <w:start w:val="1"/>
      <w:numFmt w:val="decimal"/>
      <w:lvlText w:val="%1.%2.%3.%4.%5.%6.%7.%8.%9"/>
      <w:lvlJc w:val="left"/>
      <w:pPr>
        <w:tabs>
          <w:tab w:val="num" w:pos="6489"/>
        </w:tabs>
        <w:ind w:left="6489" w:hanging="1800"/>
      </w:pPr>
    </w:lvl>
  </w:abstractNum>
  <w:abstractNum w:abstractNumId="18">
    <w:nsid w:val="54CC675D"/>
    <w:multiLevelType w:val="multilevel"/>
    <w:tmpl w:val="9CF6205E"/>
    <w:lvl w:ilvl="0">
      <w:start w:val="1"/>
      <w:numFmt w:val="lowerLetter"/>
      <w:lvlText w:val="(%1)"/>
      <w:lvlJc w:val="left"/>
      <w:pPr>
        <w:tabs>
          <w:tab w:val="num" w:pos="1701"/>
        </w:tabs>
        <w:ind w:left="1701" w:hanging="567"/>
      </w:pPr>
    </w:lvl>
    <w:lvl w:ilvl="1">
      <w:start w:val="1"/>
      <w:numFmt w:val="lowerLetter"/>
      <w:lvlText w:val="%2."/>
      <w:lvlJc w:val="left"/>
      <w:pPr>
        <w:tabs>
          <w:tab w:val="num" w:pos="1307"/>
        </w:tabs>
        <w:ind w:left="1307" w:hanging="360"/>
      </w:pPr>
    </w:lvl>
    <w:lvl w:ilvl="2">
      <w:start w:val="1"/>
      <w:numFmt w:val="lowerRoman"/>
      <w:lvlText w:val="%3."/>
      <w:lvlJc w:val="right"/>
      <w:pPr>
        <w:tabs>
          <w:tab w:val="num" w:pos="2027"/>
        </w:tabs>
        <w:ind w:left="2027" w:hanging="180"/>
      </w:pPr>
    </w:lvl>
    <w:lvl w:ilvl="3">
      <w:start w:val="1"/>
      <w:numFmt w:val="decimal"/>
      <w:lvlText w:val="%4."/>
      <w:lvlJc w:val="left"/>
      <w:pPr>
        <w:tabs>
          <w:tab w:val="num" w:pos="2747"/>
        </w:tabs>
        <w:ind w:left="2747" w:hanging="360"/>
      </w:pPr>
    </w:lvl>
    <w:lvl w:ilvl="4">
      <w:start w:val="1"/>
      <w:numFmt w:val="lowerLetter"/>
      <w:lvlText w:val="%5."/>
      <w:lvlJc w:val="left"/>
      <w:pPr>
        <w:tabs>
          <w:tab w:val="num" w:pos="3467"/>
        </w:tabs>
        <w:ind w:left="3467" w:hanging="360"/>
      </w:pPr>
    </w:lvl>
    <w:lvl w:ilvl="5">
      <w:start w:val="1"/>
      <w:numFmt w:val="lowerRoman"/>
      <w:lvlText w:val="%6."/>
      <w:lvlJc w:val="right"/>
      <w:pPr>
        <w:tabs>
          <w:tab w:val="num" w:pos="4187"/>
        </w:tabs>
        <w:ind w:left="4187" w:hanging="180"/>
      </w:pPr>
    </w:lvl>
    <w:lvl w:ilvl="6">
      <w:start w:val="1"/>
      <w:numFmt w:val="decimal"/>
      <w:lvlText w:val="%7."/>
      <w:lvlJc w:val="left"/>
      <w:pPr>
        <w:tabs>
          <w:tab w:val="num" w:pos="4907"/>
        </w:tabs>
        <w:ind w:left="4907" w:hanging="360"/>
      </w:pPr>
    </w:lvl>
    <w:lvl w:ilvl="7">
      <w:start w:val="1"/>
      <w:numFmt w:val="lowerLetter"/>
      <w:lvlText w:val="%8."/>
      <w:lvlJc w:val="left"/>
      <w:pPr>
        <w:tabs>
          <w:tab w:val="num" w:pos="5627"/>
        </w:tabs>
        <w:ind w:left="5627" w:hanging="360"/>
      </w:pPr>
    </w:lvl>
    <w:lvl w:ilvl="8">
      <w:start w:val="1"/>
      <w:numFmt w:val="lowerRoman"/>
      <w:lvlText w:val="%9."/>
      <w:lvlJc w:val="right"/>
      <w:pPr>
        <w:tabs>
          <w:tab w:val="num" w:pos="6347"/>
        </w:tabs>
        <w:ind w:left="6347" w:hanging="180"/>
      </w:pPr>
    </w:lvl>
  </w:abstractNum>
  <w:abstractNum w:abstractNumId="19">
    <w:nsid w:val="55B1265D"/>
    <w:multiLevelType w:val="hybridMultilevel"/>
    <w:tmpl w:val="EE943250"/>
    <w:lvl w:ilvl="0" w:tplc="55BC8818">
      <w:start w:val="1"/>
      <w:numFmt w:val="lowerLetter"/>
      <w:lvlText w:val="(%1)"/>
      <w:lvlJc w:val="left"/>
      <w:pPr>
        <w:tabs>
          <w:tab w:val="num" w:pos="3861"/>
        </w:tabs>
        <w:ind w:left="1701" w:hanging="567"/>
      </w:pPr>
      <w:rPr>
        <w:rFonts w:ascii="Palatino" w:hAnsi="Palatino"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5A1A6ECD"/>
    <w:multiLevelType w:val="multilevel"/>
    <w:tmpl w:val="065AE8B8"/>
    <w:lvl w:ilvl="0">
      <w:start w:val="1"/>
      <w:numFmt w:val="lowerLetter"/>
      <w:lvlText w:val="(%1)"/>
      <w:lvlJc w:val="left"/>
      <w:pPr>
        <w:tabs>
          <w:tab w:val="num" w:pos="567"/>
        </w:tabs>
        <w:ind w:left="567" w:hanging="567"/>
      </w:pPr>
      <w:rPr>
        <w:rFonts w:ascii="Palatino" w:hAnsi="Palatino" w:hint="default"/>
        <w:sz w:val="24"/>
        <w:szCs w:val="24"/>
      </w:rPr>
    </w:lvl>
    <w:lvl w:ilvl="1">
      <w:start w:val="1"/>
      <w:numFmt w:val="decimal"/>
      <w:lvlText w:val="2.%2."/>
      <w:lvlJc w:val="left"/>
      <w:pPr>
        <w:tabs>
          <w:tab w:val="num" w:pos="1134"/>
        </w:tabs>
        <w:ind w:left="1134" w:hanging="1134"/>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nsid w:val="5A925569"/>
    <w:multiLevelType w:val="hybridMultilevel"/>
    <w:tmpl w:val="BA585E20"/>
    <w:lvl w:ilvl="0" w:tplc="40F0ADC6">
      <w:start w:val="1"/>
      <w:numFmt w:val="lowerLetter"/>
      <w:lvlText w:val="(%1)"/>
      <w:lvlJc w:val="left"/>
      <w:pPr>
        <w:tabs>
          <w:tab w:val="num" w:pos="927"/>
        </w:tabs>
        <w:ind w:left="927" w:hanging="567"/>
      </w:pPr>
      <w:rPr>
        <w:rFonts w:ascii="Times New Roman" w:hAnsi="Times New Roman"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606C5A0C"/>
    <w:multiLevelType w:val="multilevel"/>
    <w:tmpl w:val="8F06728A"/>
    <w:lvl w:ilvl="0">
      <w:start w:val="1"/>
      <w:numFmt w:val="lowerLetter"/>
      <w:lvlText w:val="(%1)"/>
      <w:lvlJc w:val="left"/>
      <w:pPr>
        <w:tabs>
          <w:tab w:val="num" w:pos="567"/>
        </w:tabs>
        <w:ind w:left="567" w:hanging="567"/>
      </w:pPr>
      <w:rPr>
        <w:rFonts w:ascii="Palatino" w:hAnsi="Palatino" w:hint="default"/>
        <w:sz w:val="24"/>
        <w:szCs w:val="24"/>
      </w:rPr>
    </w:lvl>
    <w:lvl w:ilvl="1">
      <w:start w:val="1"/>
      <w:numFmt w:val="decimal"/>
      <w:lvlText w:val="%1.%2."/>
      <w:lvlJc w:val="left"/>
      <w:pPr>
        <w:tabs>
          <w:tab w:val="num" w:pos="1134"/>
        </w:tabs>
        <w:ind w:left="1134" w:hanging="1134"/>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66B02D74"/>
    <w:multiLevelType w:val="multilevel"/>
    <w:tmpl w:val="D04A511E"/>
    <w:lvl w:ilvl="0">
      <w:start w:val="1"/>
      <w:numFmt w:val="lowerLetter"/>
      <w:lvlText w:val="(%1)"/>
      <w:lvlJc w:val="left"/>
      <w:pPr>
        <w:tabs>
          <w:tab w:val="num" w:pos="567"/>
        </w:tabs>
        <w:ind w:left="567" w:hanging="567"/>
      </w:pPr>
      <w:rPr>
        <w:rFonts w:ascii="Palatino" w:hAnsi="Palatino" w:hint="default"/>
        <w:sz w:val="24"/>
        <w:szCs w:val="24"/>
      </w:rPr>
    </w:lvl>
    <w:lvl w:ilvl="1">
      <w:start w:val="1"/>
      <w:numFmt w:val="decimal"/>
      <w:lvlText w:val="3.%2."/>
      <w:lvlJc w:val="left"/>
      <w:pPr>
        <w:tabs>
          <w:tab w:val="num" w:pos="1134"/>
        </w:tabs>
        <w:ind w:left="1134" w:hanging="1134"/>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nsid w:val="69A933E2"/>
    <w:multiLevelType w:val="singleLevel"/>
    <w:tmpl w:val="458A15DC"/>
    <w:lvl w:ilvl="0">
      <w:start w:val="1"/>
      <w:numFmt w:val="lowerRoman"/>
      <w:lvlText w:val="(%1)"/>
      <w:lvlJc w:val="left"/>
      <w:pPr>
        <w:ind w:left="720" w:hanging="360"/>
      </w:pPr>
      <w:rPr>
        <w:rFonts w:hint="default"/>
      </w:rPr>
    </w:lvl>
  </w:abstractNum>
  <w:abstractNum w:abstractNumId="25">
    <w:nsid w:val="6BF01AF2"/>
    <w:multiLevelType w:val="singleLevel"/>
    <w:tmpl w:val="F42AA85C"/>
    <w:lvl w:ilvl="0">
      <w:start w:val="1"/>
      <w:numFmt w:val="lowerRoman"/>
      <w:lvlText w:val="(%1)"/>
      <w:lvlJc w:val="left"/>
      <w:pPr>
        <w:tabs>
          <w:tab w:val="num" w:pos="1008"/>
        </w:tabs>
        <w:ind w:left="504" w:hanging="216"/>
      </w:pPr>
      <w:rPr>
        <w:rFonts w:ascii="Palatino" w:hAnsi="Palatino" w:hint="default"/>
        <w:sz w:val="24"/>
        <w:szCs w:val="24"/>
      </w:rPr>
    </w:lvl>
  </w:abstractNum>
  <w:abstractNum w:abstractNumId="26">
    <w:nsid w:val="6C026425"/>
    <w:multiLevelType w:val="hybridMultilevel"/>
    <w:tmpl w:val="1DDA7E40"/>
    <w:lvl w:ilvl="0" w:tplc="718C78A0">
      <w:start w:val="1"/>
      <w:numFmt w:val="decimal"/>
      <w:lvlText w:val="%1."/>
      <w:lvlJc w:val="left"/>
      <w:pPr>
        <w:ind w:left="1440" w:hanging="720"/>
      </w:pPr>
      <w:rPr>
        <w:rFonts w:hint="default"/>
        <w:b w:val="0"/>
      </w:rPr>
    </w:lvl>
    <w:lvl w:ilvl="1" w:tplc="0C09000F">
      <w:start w:val="1"/>
      <w:numFmt w:val="lowerLetter"/>
      <w:lvlText w:val="(%2)"/>
      <w:lvlJc w:val="left"/>
      <w:pPr>
        <w:ind w:left="1800" w:hanging="360"/>
      </w:pPr>
      <w:rPr>
        <w:rFonts w:ascii="Palatino" w:hAnsi="Palatino" w:hint="default"/>
        <w:sz w:val="24"/>
        <w:szCs w:val="24"/>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nsid w:val="70553596"/>
    <w:multiLevelType w:val="singleLevel"/>
    <w:tmpl w:val="C7160908"/>
    <w:lvl w:ilvl="0">
      <w:start w:val="1"/>
      <w:numFmt w:val="lowerRoman"/>
      <w:lvlText w:val="(%1)"/>
      <w:lvlJc w:val="left"/>
      <w:pPr>
        <w:tabs>
          <w:tab w:val="num" w:pos="1996"/>
        </w:tabs>
        <w:ind w:left="1843" w:hanging="567"/>
      </w:pPr>
    </w:lvl>
  </w:abstractNum>
  <w:abstractNum w:abstractNumId="28">
    <w:nsid w:val="7228299B"/>
    <w:multiLevelType w:val="singleLevel"/>
    <w:tmpl w:val="C7160908"/>
    <w:lvl w:ilvl="0">
      <w:start w:val="1"/>
      <w:numFmt w:val="lowerRoman"/>
      <w:lvlText w:val="(%1)"/>
      <w:lvlJc w:val="left"/>
      <w:pPr>
        <w:tabs>
          <w:tab w:val="num" w:pos="1854"/>
        </w:tabs>
        <w:ind w:left="1701" w:hanging="567"/>
      </w:pPr>
    </w:lvl>
  </w:abstractNum>
  <w:abstractNum w:abstractNumId="29">
    <w:nsid w:val="741233C5"/>
    <w:multiLevelType w:val="hybridMultilevel"/>
    <w:tmpl w:val="D786B934"/>
    <w:lvl w:ilvl="0" w:tplc="CB621EC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nsid w:val="76BD06B2"/>
    <w:multiLevelType w:val="hybridMultilevel"/>
    <w:tmpl w:val="770096AE"/>
    <w:lvl w:ilvl="0" w:tplc="433CDA68">
      <w:start w:val="1"/>
      <w:numFmt w:val="lowerRoman"/>
      <w:lvlText w:val="(%1)"/>
      <w:lvlJc w:val="left"/>
      <w:pPr>
        <w:tabs>
          <w:tab w:val="num" w:pos="1287"/>
        </w:tabs>
        <w:ind w:left="1134" w:hanging="567"/>
      </w:pPr>
      <w:rPr>
        <w:i w:val="0"/>
      </w:rPr>
    </w:lvl>
    <w:lvl w:ilvl="1" w:tplc="04090019">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31">
    <w:nsid w:val="7B0A7454"/>
    <w:multiLevelType w:val="hybridMultilevel"/>
    <w:tmpl w:val="9942016C"/>
    <w:lvl w:ilvl="0" w:tplc="C7160908">
      <w:start w:val="1"/>
      <w:numFmt w:val="lowerRoman"/>
      <w:lvlText w:val="(%1)"/>
      <w:lvlJc w:val="left"/>
      <w:pPr>
        <w:tabs>
          <w:tab w:val="num" w:pos="1854"/>
        </w:tabs>
        <w:ind w:left="1701" w:hanging="567"/>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5"/>
  </w:num>
  <w:num w:numId="6">
    <w:abstractNumId w:val="12"/>
  </w:num>
  <w:num w:numId="7">
    <w:abstractNumId w:val="26"/>
  </w:num>
  <w:num w:numId="8">
    <w:abstractNumId w:val="7"/>
  </w:num>
  <w:num w:numId="9">
    <w:abstractNumId w:val="24"/>
  </w:num>
  <w:num w:numId="10">
    <w:abstractNumId w:val="9"/>
  </w:num>
  <w:num w:numId="11">
    <w:abstractNumId w:val="4"/>
  </w:num>
  <w:num w:numId="12">
    <w:abstractNumId w:val="29"/>
  </w:num>
  <w:num w:numId="13">
    <w:abstractNumId w:val="11"/>
  </w:num>
  <w:num w:numId="14">
    <w:abstractNumId w:val="13"/>
  </w:num>
  <w:num w:numId="15">
    <w:abstractNumId w:val="25"/>
  </w:num>
  <w:num w:numId="16">
    <w:abstractNumId w:val="28"/>
  </w:num>
  <w:num w:numId="17">
    <w:abstractNumId w:val="27"/>
  </w:num>
  <w:num w:numId="18">
    <w:abstractNumId w:val="10"/>
  </w:num>
  <w:num w:numId="19">
    <w:abstractNumId w:val="8"/>
  </w:num>
  <w:num w:numId="20">
    <w:abstractNumId w:val="30"/>
  </w:num>
  <w:num w:numId="21">
    <w:abstractNumId w:val="5"/>
  </w:num>
  <w:num w:numId="22">
    <w:abstractNumId w:val="31"/>
  </w:num>
  <w:num w:numId="23">
    <w:abstractNumId w:val="14"/>
  </w:num>
  <w:num w:numId="24">
    <w:abstractNumId w:val="3"/>
  </w:num>
  <w:num w:numId="25">
    <w:abstractNumId w:val="22"/>
  </w:num>
  <w:num w:numId="26">
    <w:abstractNumId w:val="20"/>
  </w:num>
  <w:num w:numId="27">
    <w:abstractNumId w:val="6"/>
  </w:num>
  <w:num w:numId="28">
    <w:abstractNumId w:val="23"/>
  </w:num>
  <w:num w:numId="29">
    <w:abstractNumId w:val="1"/>
  </w:num>
  <w:num w:numId="30">
    <w:abstractNumId w:val="16"/>
  </w:num>
  <w:num w:numId="31">
    <w:abstractNumId w:val="17"/>
  </w:num>
  <w:num w:numId="32">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D4E"/>
    <w:rsid w:val="000050AC"/>
    <w:rsid w:val="00071065"/>
    <w:rsid w:val="00082BDE"/>
    <w:rsid w:val="00095367"/>
    <w:rsid w:val="000A0479"/>
    <w:rsid w:val="000F046E"/>
    <w:rsid w:val="000F502C"/>
    <w:rsid w:val="000F64C3"/>
    <w:rsid w:val="00131DAA"/>
    <w:rsid w:val="0013662E"/>
    <w:rsid w:val="00155867"/>
    <w:rsid w:val="001A34DF"/>
    <w:rsid w:val="001B3E21"/>
    <w:rsid w:val="001C27A8"/>
    <w:rsid w:val="001D7FC3"/>
    <w:rsid w:val="001F5031"/>
    <w:rsid w:val="001F521C"/>
    <w:rsid w:val="001F6E2F"/>
    <w:rsid w:val="00230490"/>
    <w:rsid w:val="002339AD"/>
    <w:rsid w:val="00242C52"/>
    <w:rsid w:val="002A1501"/>
    <w:rsid w:val="002A432E"/>
    <w:rsid w:val="002C6960"/>
    <w:rsid w:val="002D00F3"/>
    <w:rsid w:val="002D23D7"/>
    <w:rsid w:val="002E10C1"/>
    <w:rsid w:val="002E771C"/>
    <w:rsid w:val="002E7FD2"/>
    <w:rsid w:val="00301BA8"/>
    <w:rsid w:val="00310FC6"/>
    <w:rsid w:val="00312E03"/>
    <w:rsid w:val="003235D4"/>
    <w:rsid w:val="00325ECE"/>
    <w:rsid w:val="0036637C"/>
    <w:rsid w:val="00385064"/>
    <w:rsid w:val="003B5912"/>
    <w:rsid w:val="003C5AAA"/>
    <w:rsid w:val="003E265E"/>
    <w:rsid w:val="003F264C"/>
    <w:rsid w:val="003F4BDD"/>
    <w:rsid w:val="00401D93"/>
    <w:rsid w:val="00413FE8"/>
    <w:rsid w:val="00415E23"/>
    <w:rsid w:val="00420628"/>
    <w:rsid w:val="00427069"/>
    <w:rsid w:val="004316EB"/>
    <w:rsid w:val="00446A5C"/>
    <w:rsid w:val="0046340B"/>
    <w:rsid w:val="00466382"/>
    <w:rsid w:val="004730F7"/>
    <w:rsid w:val="00487881"/>
    <w:rsid w:val="00493176"/>
    <w:rsid w:val="00495ABC"/>
    <w:rsid w:val="004A5A3E"/>
    <w:rsid w:val="004B2A1B"/>
    <w:rsid w:val="004C2090"/>
    <w:rsid w:val="004E5839"/>
    <w:rsid w:val="004F157E"/>
    <w:rsid w:val="004F3C38"/>
    <w:rsid w:val="004F51B4"/>
    <w:rsid w:val="00531556"/>
    <w:rsid w:val="00534101"/>
    <w:rsid w:val="0053799C"/>
    <w:rsid w:val="005456BA"/>
    <w:rsid w:val="00552BE7"/>
    <w:rsid w:val="00561441"/>
    <w:rsid w:val="005767D2"/>
    <w:rsid w:val="00584C04"/>
    <w:rsid w:val="005B3832"/>
    <w:rsid w:val="005E1444"/>
    <w:rsid w:val="00612CA6"/>
    <w:rsid w:val="006575F1"/>
    <w:rsid w:val="00657CCB"/>
    <w:rsid w:val="006709DC"/>
    <w:rsid w:val="006719D5"/>
    <w:rsid w:val="006B13BD"/>
    <w:rsid w:val="006B2D35"/>
    <w:rsid w:val="006C26D9"/>
    <w:rsid w:val="006D38DE"/>
    <w:rsid w:val="006F546D"/>
    <w:rsid w:val="007160BA"/>
    <w:rsid w:val="007529E7"/>
    <w:rsid w:val="007657DD"/>
    <w:rsid w:val="007762CC"/>
    <w:rsid w:val="00792472"/>
    <w:rsid w:val="007B5BF1"/>
    <w:rsid w:val="007D345B"/>
    <w:rsid w:val="00834986"/>
    <w:rsid w:val="00841639"/>
    <w:rsid w:val="008541B5"/>
    <w:rsid w:val="0087615E"/>
    <w:rsid w:val="008A4F8C"/>
    <w:rsid w:val="008B2817"/>
    <w:rsid w:val="008B6103"/>
    <w:rsid w:val="008C1EC4"/>
    <w:rsid w:val="008D0AD5"/>
    <w:rsid w:val="008D51C1"/>
    <w:rsid w:val="008D7E46"/>
    <w:rsid w:val="008E188A"/>
    <w:rsid w:val="009227B5"/>
    <w:rsid w:val="0099111A"/>
    <w:rsid w:val="009A039C"/>
    <w:rsid w:val="009A1B33"/>
    <w:rsid w:val="009A4A67"/>
    <w:rsid w:val="009A4AC2"/>
    <w:rsid w:val="009C464E"/>
    <w:rsid w:val="009F7A6C"/>
    <w:rsid w:val="00A2499B"/>
    <w:rsid w:val="00A25F4C"/>
    <w:rsid w:val="00A4467B"/>
    <w:rsid w:val="00A53131"/>
    <w:rsid w:val="00A7364F"/>
    <w:rsid w:val="00A73EE9"/>
    <w:rsid w:val="00A84C38"/>
    <w:rsid w:val="00AC7C8A"/>
    <w:rsid w:val="00AD0CB0"/>
    <w:rsid w:val="00B05F0B"/>
    <w:rsid w:val="00B15C35"/>
    <w:rsid w:val="00B15CB3"/>
    <w:rsid w:val="00B2768F"/>
    <w:rsid w:val="00B47013"/>
    <w:rsid w:val="00B5785D"/>
    <w:rsid w:val="00B649AE"/>
    <w:rsid w:val="00B67764"/>
    <w:rsid w:val="00B7510B"/>
    <w:rsid w:val="00B850BD"/>
    <w:rsid w:val="00B966E4"/>
    <w:rsid w:val="00BA4F01"/>
    <w:rsid w:val="00BA5543"/>
    <w:rsid w:val="00BA6340"/>
    <w:rsid w:val="00BA7F79"/>
    <w:rsid w:val="00BB0390"/>
    <w:rsid w:val="00BB417A"/>
    <w:rsid w:val="00BC172F"/>
    <w:rsid w:val="00BD02F2"/>
    <w:rsid w:val="00BE0713"/>
    <w:rsid w:val="00C15D4E"/>
    <w:rsid w:val="00C34E32"/>
    <w:rsid w:val="00C715D9"/>
    <w:rsid w:val="00CA2381"/>
    <w:rsid w:val="00CB1D68"/>
    <w:rsid w:val="00CC7CDF"/>
    <w:rsid w:val="00CC7E95"/>
    <w:rsid w:val="00D00D96"/>
    <w:rsid w:val="00D41DF5"/>
    <w:rsid w:val="00D50D39"/>
    <w:rsid w:val="00D57E9D"/>
    <w:rsid w:val="00D621EC"/>
    <w:rsid w:val="00D74066"/>
    <w:rsid w:val="00DC1B70"/>
    <w:rsid w:val="00E10074"/>
    <w:rsid w:val="00E20E9C"/>
    <w:rsid w:val="00E30584"/>
    <w:rsid w:val="00E3197E"/>
    <w:rsid w:val="00E3383A"/>
    <w:rsid w:val="00E35F50"/>
    <w:rsid w:val="00E46569"/>
    <w:rsid w:val="00E47997"/>
    <w:rsid w:val="00E51FCC"/>
    <w:rsid w:val="00E636D2"/>
    <w:rsid w:val="00E6639D"/>
    <w:rsid w:val="00E67318"/>
    <w:rsid w:val="00E87F76"/>
    <w:rsid w:val="00EC46A9"/>
    <w:rsid w:val="00F2465E"/>
    <w:rsid w:val="00FB0F0B"/>
    <w:rsid w:val="00FD45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5D4E"/>
    <w:rPr>
      <w:sz w:val="24"/>
      <w:szCs w:val="24"/>
    </w:rPr>
  </w:style>
  <w:style w:type="paragraph" w:styleId="Heading1">
    <w:name w:val="heading 1"/>
    <w:basedOn w:val="Normal"/>
    <w:next w:val="Normal"/>
    <w:qFormat/>
    <w:rsid w:val="00657CCB"/>
    <w:pPr>
      <w:keepNext/>
      <w:tabs>
        <w:tab w:val="left" w:pos="567"/>
      </w:tabs>
      <w:ind w:left="567" w:right="-58" w:hanging="567"/>
      <w:outlineLvl w:val="0"/>
    </w:pPr>
    <w:rPr>
      <w:rFonts w:ascii="Palatino" w:hAnsi="Palatino"/>
      <w:b/>
      <w:szCs w:val="20"/>
    </w:rPr>
  </w:style>
  <w:style w:type="paragraph" w:styleId="Heading2">
    <w:name w:val="heading 2"/>
    <w:basedOn w:val="Normal"/>
    <w:next w:val="Normal"/>
    <w:qFormat/>
    <w:rsid w:val="00657CCB"/>
    <w:pPr>
      <w:keepNext/>
      <w:tabs>
        <w:tab w:val="left" w:pos="0"/>
      </w:tabs>
      <w:ind w:right="-58"/>
      <w:outlineLvl w:val="1"/>
    </w:pPr>
    <w:rPr>
      <w:rFonts w:ascii="Palatino" w:hAnsi="Palatino"/>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15D4E"/>
    <w:rPr>
      <w:color w:val="0000FF"/>
      <w:u w:val="single"/>
    </w:rPr>
  </w:style>
  <w:style w:type="paragraph" w:customStyle="1" w:styleId="Char1">
    <w:name w:val="Char1"/>
    <w:basedOn w:val="Normal"/>
    <w:rsid w:val="00C15D4E"/>
    <w:pPr>
      <w:spacing w:after="160" w:line="240" w:lineRule="exact"/>
    </w:pPr>
    <w:rPr>
      <w:rFonts w:ascii="Verdana" w:hAnsi="Verdana"/>
      <w:sz w:val="20"/>
      <w:szCs w:val="20"/>
      <w:lang w:val="en-US" w:eastAsia="en-US"/>
    </w:rPr>
  </w:style>
  <w:style w:type="paragraph" w:styleId="BalloonText">
    <w:name w:val="Balloon Text"/>
    <w:basedOn w:val="Normal"/>
    <w:semiHidden/>
    <w:rsid w:val="009C464E"/>
    <w:rPr>
      <w:rFonts w:ascii="Tahoma" w:hAnsi="Tahoma" w:cs="Tahoma"/>
      <w:sz w:val="16"/>
      <w:szCs w:val="16"/>
    </w:rPr>
  </w:style>
  <w:style w:type="paragraph" w:customStyle="1" w:styleId="CharCharCharChar1CharCharCharCharCharChar1CharCharCharChar">
    <w:name w:val="Char Char Char Char1 Char Char Char Char Char Char1 Char Char Char Char"/>
    <w:basedOn w:val="Normal"/>
    <w:rsid w:val="009C464E"/>
    <w:pPr>
      <w:spacing w:after="160" w:line="240" w:lineRule="exact"/>
    </w:pPr>
    <w:rPr>
      <w:rFonts w:ascii="Verdana" w:hAnsi="Verdana"/>
      <w:sz w:val="20"/>
      <w:szCs w:val="20"/>
      <w:lang w:val="en-US" w:eastAsia="en-US"/>
    </w:rPr>
  </w:style>
  <w:style w:type="paragraph" w:styleId="BodyTextIndent3">
    <w:name w:val="Body Text Indent 3"/>
    <w:basedOn w:val="Normal"/>
    <w:rsid w:val="00657CCB"/>
    <w:pPr>
      <w:ind w:left="20"/>
    </w:pPr>
    <w:rPr>
      <w:rFonts w:ascii="Palatino" w:hAnsi="Palatino"/>
      <w:szCs w:val="20"/>
    </w:rPr>
  </w:style>
  <w:style w:type="paragraph" w:styleId="BodyTextIndent">
    <w:name w:val="Body Text Indent"/>
    <w:basedOn w:val="Normal"/>
    <w:rsid w:val="00657CCB"/>
    <w:pPr>
      <w:ind w:left="1134" w:hanging="567"/>
    </w:pPr>
    <w:rPr>
      <w:rFonts w:ascii="Palatino" w:hAnsi="Palatino"/>
      <w:szCs w:val="20"/>
    </w:rPr>
  </w:style>
  <w:style w:type="paragraph" w:customStyle="1" w:styleId="MELegal1">
    <w:name w:val="ME Legal 1"/>
    <w:basedOn w:val="Normal"/>
    <w:rsid w:val="00657CCB"/>
    <w:pPr>
      <w:numPr>
        <w:numId w:val="1"/>
      </w:numPr>
      <w:spacing w:after="240"/>
      <w:outlineLvl w:val="0"/>
    </w:pPr>
    <w:rPr>
      <w:rFonts w:eastAsia="SimSun" w:cs="Angsana New"/>
      <w:lang w:eastAsia="zh-CN" w:bidi="th-TH"/>
    </w:rPr>
  </w:style>
  <w:style w:type="paragraph" w:customStyle="1" w:styleId="MELegal2">
    <w:name w:val="ME Legal 2"/>
    <w:basedOn w:val="Normal"/>
    <w:rsid w:val="00657CCB"/>
    <w:pPr>
      <w:numPr>
        <w:ilvl w:val="1"/>
        <w:numId w:val="1"/>
      </w:numPr>
      <w:spacing w:after="240"/>
      <w:outlineLvl w:val="1"/>
    </w:pPr>
    <w:rPr>
      <w:rFonts w:eastAsia="SimSun" w:cs="Angsana New"/>
      <w:lang w:eastAsia="zh-CN" w:bidi="th-TH"/>
    </w:rPr>
  </w:style>
  <w:style w:type="paragraph" w:customStyle="1" w:styleId="MELegal3">
    <w:name w:val="ME Legal 3"/>
    <w:basedOn w:val="Normal"/>
    <w:rsid w:val="00657CCB"/>
    <w:pPr>
      <w:numPr>
        <w:ilvl w:val="2"/>
        <w:numId w:val="1"/>
      </w:numPr>
      <w:spacing w:after="240"/>
      <w:outlineLvl w:val="2"/>
    </w:pPr>
    <w:rPr>
      <w:rFonts w:eastAsia="SimSun" w:cs="Angsana New"/>
      <w:lang w:eastAsia="zh-CN" w:bidi="th-TH"/>
    </w:rPr>
  </w:style>
  <w:style w:type="paragraph" w:customStyle="1" w:styleId="MELegal4">
    <w:name w:val="ME Legal 4"/>
    <w:basedOn w:val="Normal"/>
    <w:rsid w:val="00657CCB"/>
    <w:pPr>
      <w:numPr>
        <w:ilvl w:val="3"/>
        <w:numId w:val="1"/>
      </w:numPr>
      <w:spacing w:after="240"/>
      <w:outlineLvl w:val="3"/>
    </w:pPr>
    <w:rPr>
      <w:rFonts w:eastAsia="SimSun" w:cs="Angsana New"/>
      <w:lang w:eastAsia="zh-CN" w:bidi="th-TH"/>
    </w:rPr>
  </w:style>
  <w:style w:type="paragraph" w:customStyle="1" w:styleId="MELegal5">
    <w:name w:val="ME Legal 5"/>
    <w:basedOn w:val="Normal"/>
    <w:rsid w:val="00657CCB"/>
    <w:pPr>
      <w:numPr>
        <w:ilvl w:val="4"/>
        <w:numId w:val="1"/>
      </w:numPr>
      <w:spacing w:after="240"/>
      <w:outlineLvl w:val="4"/>
    </w:pPr>
    <w:rPr>
      <w:rFonts w:eastAsia="SimSun" w:cs="Angsana New"/>
      <w:lang w:eastAsia="zh-CN" w:bidi="th-TH"/>
    </w:rPr>
  </w:style>
  <w:style w:type="paragraph" w:customStyle="1" w:styleId="MELegal6">
    <w:name w:val="ME Legal 6"/>
    <w:basedOn w:val="Normal"/>
    <w:rsid w:val="00657CCB"/>
    <w:pPr>
      <w:numPr>
        <w:ilvl w:val="5"/>
        <w:numId w:val="1"/>
      </w:numPr>
      <w:spacing w:after="240"/>
      <w:outlineLvl w:val="5"/>
    </w:pPr>
    <w:rPr>
      <w:rFonts w:eastAsia="SimSun" w:cs="Angsana New"/>
      <w:lang w:eastAsia="zh-CN" w:bidi="th-TH"/>
    </w:rPr>
  </w:style>
  <w:style w:type="paragraph" w:customStyle="1" w:styleId="Char1CharCharChar">
    <w:name w:val="Char1 Char Char Char"/>
    <w:basedOn w:val="Normal"/>
    <w:rsid w:val="00657CCB"/>
    <w:pPr>
      <w:spacing w:after="160" w:line="240" w:lineRule="exact"/>
    </w:pPr>
    <w:rPr>
      <w:rFonts w:ascii="Verdana" w:hAnsi="Verdana"/>
      <w:sz w:val="20"/>
      <w:szCs w:val="20"/>
      <w:lang w:val="en-US" w:eastAsia="en-US"/>
    </w:rPr>
  </w:style>
  <w:style w:type="paragraph" w:styleId="BodyText">
    <w:name w:val="Body Text"/>
    <w:basedOn w:val="Normal"/>
    <w:rsid w:val="00657CCB"/>
    <w:pPr>
      <w:spacing w:after="120"/>
    </w:pPr>
  </w:style>
  <w:style w:type="paragraph" w:customStyle="1" w:styleId="PFNumLevel1">
    <w:name w:val="PF (Num) Level 1"/>
    <w:basedOn w:val="Normal"/>
    <w:rsid w:val="00657CCB"/>
    <w:pPr>
      <w:tabs>
        <w:tab w:val="right" w:pos="7513"/>
        <w:tab w:val="left" w:pos="8318"/>
      </w:tabs>
      <w:spacing w:before="120" w:after="120" w:line="276" w:lineRule="auto"/>
    </w:pPr>
    <w:rPr>
      <w:rFonts w:ascii="Arial" w:hAnsi="Arial"/>
      <w:snapToGrid w:val="0"/>
      <w:sz w:val="21"/>
      <w:szCs w:val="20"/>
      <w:lang w:eastAsia="en-US"/>
    </w:rPr>
  </w:style>
  <w:style w:type="paragraph" w:customStyle="1" w:styleId="Char10">
    <w:name w:val="Char1"/>
    <w:basedOn w:val="Normal"/>
    <w:rsid w:val="002D00F3"/>
    <w:pPr>
      <w:spacing w:after="160" w:line="240" w:lineRule="exact"/>
    </w:pPr>
    <w:rPr>
      <w:rFonts w:ascii="Verdana" w:hAnsi="Verdana"/>
      <w:sz w:val="20"/>
      <w:szCs w:val="20"/>
      <w:lang w:val="en-US" w:eastAsia="en-US"/>
    </w:rPr>
  </w:style>
  <w:style w:type="paragraph" w:customStyle="1" w:styleId="Char2">
    <w:name w:val="Char2"/>
    <w:basedOn w:val="Normal"/>
    <w:rsid w:val="00446A5C"/>
    <w:pPr>
      <w:spacing w:after="160" w:line="240" w:lineRule="exact"/>
    </w:pPr>
    <w:rPr>
      <w:rFonts w:ascii="Verdana" w:hAnsi="Verdana"/>
      <w:sz w:val="20"/>
      <w:szCs w:val="20"/>
      <w:lang w:val="en-US" w:eastAsia="en-US"/>
    </w:rPr>
  </w:style>
  <w:style w:type="paragraph" w:styleId="ListParagraph">
    <w:name w:val="List Paragraph"/>
    <w:basedOn w:val="Normal"/>
    <w:uiPriority w:val="34"/>
    <w:qFormat/>
    <w:rsid w:val="00495ABC"/>
    <w:pPr>
      <w:ind w:left="720"/>
      <w:contextualSpacing/>
    </w:pPr>
    <w:rPr>
      <w:rFonts w:ascii="Times" w:hAnsi="Times"/>
      <w:szCs w:val="20"/>
    </w:rPr>
  </w:style>
  <w:style w:type="character" w:styleId="CommentReference">
    <w:name w:val="annotation reference"/>
    <w:basedOn w:val="DefaultParagraphFont"/>
    <w:rsid w:val="00B649AE"/>
    <w:rPr>
      <w:sz w:val="16"/>
      <w:szCs w:val="16"/>
    </w:rPr>
  </w:style>
  <w:style w:type="paragraph" w:styleId="CommentText">
    <w:name w:val="annotation text"/>
    <w:basedOn w:val="Normal"/>
    <w:link w:val="CommentTextChar"/>
    <w:rsid w:val="00B649AE"/>
    <w:rPr>
      <w:sz w:val="20"/>
      <w:szCs w:val="20"/>
    </w:rPr>
  </w:style>
  <w:style w:type="character" w:customStyle="1" w:styleId="CommentTextChar">
    <w:name w:val="Comment Text Char"/>
    <w:basedOn w:val="DefaultParagraphFont"/>
    <w:link w:val="CommentText"/>
    <w:rsid w:val="00B649AE"/>
  </w:style>
  <w:style w:type="paragraph" w:styleId="CommentSubject">
    <w:name w:val="annotation subject"/>
    <w:basedOn w:val="CommentText"/>
    <w:next w:val="CommentText"/>
    <w:link w:val="CommentSubjectChar"/>
    <w:rsid w:val="00B649AE"/>
    <w:rPr>
      <w:b/>
      <w:bCs/>
    </w:rPr>
  </w:style>
  <w:style w:type="character" w:customStyle="1" w:styleId="CommentSubjectChar">
    <w:name w:val="Comment Subject Char"/>
    <w:basedOn w:val="CommentTextChar"/>
    <w:link w:val="CommentSubject"/>
    <w:rsid w:val="00B649AE"/>
    <w:rPr>
      <w:b/>
      <w:bCs/>
    </w:rPr>
  </w:style>
  <w:style w:type="paragraph" w:styleId="Header">
    <w:name w:val="header"/>
    <w:basedOn w:val="Normal"/>
    <w:link w:val="HeaderChar"/>
    <w:rsid w:val="008D51C1"/>
    <w:pPr>
      <w:tabs>
        <w:tab w:val="center" w:pos="4680"/>
        <w:tab w:val="right" w:pos="9360"/>
      </w:tabs>
    </w:pPr>
  </w:style>
  <w:style w:type="character" w:customStyle="1" w:styleId="HeaderChar">
    <w:name w:val="Header Char"/>
    <w:basedOn w:val="DefaultParagraphFont"/>
    <w:link w:val="Header"/>
    <w:rsid w:val="008D51C1"/>
    <w:rPr>
      <w:sz w:val="24"/>
      <w:szCs w:val="24"/>
    </w:rPr>
  </w:style>
  <w:style w:type="paragraph" w:styleId="Footer">
    <w:name w:val="footer"/>
    <w:basedOn w:val="Normal"/>
    <w:link w:val="FooterChar"/>
    <w:rsid w:val="008D51C1"/>
    <w:pPr>
      <w:tabs>
        <w:tab w:val="center" w:pos="4680"/>
        <w:tab w:val="right" w:pos="9360"/>
      </w:tabs>
    </w:pPr>
  </w:style>
  <w:style w:type="character" w:customStyle="1" w:styleId="FooterChar">
    <w:name w:val="Footer Char"/>
    <w:basedOn w:val="DefaultParagraphFont"/>
    <w:link w:val="Footer"/>
    <w:rsid w:val="008D51C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5D4E"/>
    <w:rPr>
      <w:sz w:val="24"/>
      <w:szCs w:val="24"/>
    </w:rPr>
  </w:style>
  <w:style w:type="paragraph" w:styleId="Heading1">
    <w:name w:val="heading 1"/>
    <w:basedOn w:val="Normal"/>
    <w:next w:val="Normal"/>
    <w:qFormat/>
    <w:rsid w:val="00657CCB"/>
    <w:pPr>
      <w:keepNext/>
      <w:tabs>
        <w:tab w:val="left" w:pos="567"/>
      </w:tabs>
      <w:ind w:left="567" w:right="-58" w:hanging="567"/>
      <w:outlineLvl w:val="0"/>
    </w:pPr>
    <w:rPr>
      <w:rFonts w:ascii="Palatino" w:hAnsi="Palatino"/>
      <w:b/>
      <w:szCs w:val="20"/>
    </w:rPr>
  </w:style>
  <w:style w:type="paragraph" w:styleId="Heading2">
    <w:name w:val="heading 2"/>
    <w:basedOn w:val="Normal"/>
    <w:next w:val="Normal"/>
    <w:qFormat/>
    <w:rsid w:val="00657CCB"/>
    <w:pPr>
      <w:keepNext/>
      <w:tabs>
        <w:tab w:val="left" w:pos="0"/>
      </w:tabs>
      <w:ind w:right="-58"/>
      <w:outlineLvl w:val="1"/>
    </w:pPr>
    <w:rPr>
      <w:rFonts w:ascii="Palatino" w:hAnsi="Palatino"/>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15D4E"/>
    <w:rPr>
      <w:color w:val="0000FF"/>
      <w:u w:val="single"/>
    </w:rPr>
  </w:style>
  <w:style w:type="paragraph" w:customStyle="1" w:styleId="Char1">
    <w:name w:val="Char1"/>
    <w:basedOn w:val="Normal"/>
    <w:rsid w:val="00C15D4E"/>
    <w:pPr>
      <w:spacing w:after="160" w:line="240" w:lineRule="exact"/>
    </w:pPr>
    <w:rPr>
      <w:rFonts w:ascii="Verdana" w:hAnsi="Verdana"/>
      <w:sz w:val="20"/>
      <w:szCs w:val="20"/>
      <w:lang w:val="en-US" w:eastAsia="en-US"/>
    </w:rPr>
  </w:style>
  <w:style w:type="paragraph" w:styleId="BalloonText">
    <w:name w:val="Balloon Text"/>
    <w:basedOn w:val="Normal"/>
    <w:semiHidden/>
    <w:rsid w:val="009C464E"/>
    <w:rPr>
      <w:rFonts w:ascii="Tahoma" w:hAnsi="Tahoma" w:cs="Tahoma"/>
      <w:sz w:val="16"/>
      <w:szCs w:val="16"/>
    </w:rPr>
  </w:style>
  <w:style w:type="paragraph" w:customStyle="1" w:styleId="CharCharCharChar1CharCharCharCharCharChar1CharCharCharChar">
    <w:name w:val="Char Char Char Char1 Char Char Char Char Char Char1 Char Char Char Char"/>
    <w:basedOn w:val="Normal"/>
    <w:rsid w:val="009C464E"/>
    <w:pPr>
      <w:spacing w:after="160" w:line="240" w:lineRule="exact"/>
    </w:pPr>
    <w:rPr>
      <w:rFonts w:ascii="Verdana" w:hAnsi="Verdana"/>
      <w:sz w:val="20"/>
      <w:szCs w:val="20"/>
      <w:lang w:val="en-US" w:eastAsia="en-US"/>
    </w:rPr>
  </w:style>
  <w:style w:type="paragraph" w:styleId="BodyTextIndent3">
    <w:name w:val="Body Text Indent 3"/>
    <w:basedOn w:val="Normal"/>
    <w:rsid w:val="00657CCB"/>
    <w:pPr>
      <w:ind w:left="20"/>
    </w:pPr>
    <w:rPr>
      <w:rFonts w:ascii="Palatino" w:hAnsi="Palatino"/>
      <w:szCs w:val="20"/>
    </w:rPr>
  </w:style>
  <w:style w:type="paragraph" w:styleId="BodyTextIndent">
    <w:name w:val="Body Text Indent"/>
    <w:basedOn w:val="Normal"/>
    <w:rsid w:val="00657CCB"/>
    <w:pPr>
      <w:ind w:left="1134" w:hanging="567"/>
    </w:pPr>
    <w:rPr>
      <w:rFonts w:ascii="Palatino" w:hAnsi="Palatino"/>
      <w:szCs w:val="20"/>
    </w:rPr>
  </w:style>
  <w:style w:type="paragraph" w:customStyle="1" w:styleId="MELegal1">
    <w:name w:val="ME Legal 1"/>
    <w:basedOn w:val="Normal"/>
    <w:rsid w:val="00657CCB"/>
    <w:pPr>
      <w:numPr>
        <w:numId w:val="1"/>
      </w:numPr>
      <w:spacing w:after="240"/>
      <w:outlineLvl w:val="0"/>
    </w:pPr>
    <w:rPr>
      <w:rFonts w:eastAsia="SimSun" w:cs="Angsana New"/>
      <w:lang w:eastAsia="zh-CN" w:bidi="th-TH"/>
    </w:rPr>
  </w:style>
  <w:style w:type="paragraph" w:customStyle="1" w:styleId="MELegal2">
    <w:name w:val="ME Legal 2"/>
    <w:basedOn w:val="Normal"/>
    <w:rsid w:val="00657CCB"/>
    <w:pPr>
      <w:numPr>
        <w:ilvl w:val="1"/>
        <w:numId w:val="1"/>
      </w:numPr>
      <w:spacing w:after="240"/>
      <w:outlineLvl w:val="1"/>
    </w:pPr>
    <w:rPr>
      <w:rFonts w:eastAsia="SimSun" w:cs="Angsana New"/>
      <w:lang w:eastAsia="zh-CN" w:bidi="th-TH"/>
    </w:rPr>
  </w:style>
  <w:style w:type="paragraph" w:customStyle="1" w:styleId="MELegal3">
    <w:name w:val="ME Legal 3"/>
    <w:basedOn w:val="Normal"/>
    <w:rsid w:val="00657CCB"/>
    <w:pPr>
      <w:numPr>
        <w:ilvl w:val="2"/>
        <w:numId w:val="1"/>
      </w:numPr>
      <w:spacing w:after="240"/>
      <w:outlineLvl w:val="2"/>
    </w:pPr>
    <w:rPr>
      <w:rFonts w:eastAsia="SimSun" w:cs="Angsana New"/>
      <w:lang w:eastAsia="zh-CN" w:bidi="th-TH"/>
    </w:rPr>
  </w:style>
  <w:style w:type="paragraph" w:customStyle="1" w:styleId="MELegal4">
    <w:name w:val="ME Legal 4"/>
    <w:basedOn w:val="Normal"/>
    <w:rsid w:val="00657CCB"/>
    <w:pPr>
      <w:numPr>
        <w:ilvl w:val="3"/>
        <w:numId w:val="1"/>
      </w:numPr>
      <w:spacing w:after="240"/>
      <w:outlineLvl w:val="3"/>
    </w:pPr>
    <w:rPr>
      <w:rFonts w:eastAsia="SimSun" w:cs="Angsana New"/>
      <w:lang w:eastAsia="zh-CN" w:bidi="th-TH"/>
    </w:rPr>
  </w:style>
  <w:style w:type="paragraph" w:customStyle="1" w:styleId="MELegal5">
    <w:name w:val="ME Legal 5"/>
    <w:basedOn w:val="Normal"/>
    <w:rsid w:val="00657CCB"/>
    <w:pPr>
      <w:numPr>
        <w:ilvl w:val="4"/>
        <w:numId w:val="1"/>
      </w:numPr>
      <w:spacing w:after="240"/>
      <w:outlineLvl w:val="4"/>
    </w:pPr>
    <w:rPr>
      <w:rFonts w:eastAsia="SimSun" w:cs="Angsana New"/>
      <w:lang w:eastAsia="zh-CN" w:bidi="th-TH"/>
    </w:rPr>
  </w:style>
  <w:style w:type="paragraph" w:customStyle="1" w:styleId="MELegal6">
    <w:name w:val="ME Legal 6"/>
    <w:basedOn w:val="Normal"/>
    <w:rsid w:val="00657CCB"/>
    <w:pPr>
      <w:numPr>
        <w:ilvl w:val="5"/>
        <w:numId w:val="1"/>
      </w:numPr>
      <w:spacing w:after="240"/>
      <w:outlineLvl w:val="5"/>
    </w:pPr>
    <w:rPr>
      <w:rFonts w:eastAsia="SimSun" w:cs="Angsana New"/>
      <w:lang w:eastAsia="zh-CN" w:bidi="th-TH"/>
    </w:rPr>
  </w:style>
  <w:style w:type="paragraph" w:customStyle="1" w:styleId="Char1CharCharChar">
    <w:name w:val="Char1 Char Char Char"/>
    <w:basedOn w:val="Normal"/>
    <w:rsid w:val="00657CCB"/>
    <w:pPr>
      <w:spacing w:after="160" w:line="240" w:lineRule="exact"/>
    </w:pPr>
    <w:rPr>
      <w:rFonts w:ascii="Verdana" w:hAnsi="Verdana"/>
      <w:sz w:val="20"/>
      <w:szCs w:val="20"/>
      <w:lang w:val="en-US" w:eastAsia="en-US"/>
    </w:rPr>
  </w:style>
  <w:style w:type="paragraph" w:styleId="BodyText">
    <w:name w:val="Body Text"/>
    <w:basedOn w:val="Normal"/>
    <w:rsid w:val="00657CCB"/>
    <w:pPr>
      <w:spacing w:after="120"/>
    </w:pPr>
  </w:style>
  <w:style w:type="paragraph" w:customStyle="1" w:styleId="PFNumLevel1">
    <w:name w:val="PF (Num) Level 1"/>
    <w:basedOn w:val="Normal"/>
    <w:rsid w:val="00657CCB"/>
    <w:pPr>
      <w:tabs>
        <w:tab w:val="right" w:pos="7513"/>
        <w:tab w:val="left" w:pos="8318"/>
      </w:tabs>
      <w:spacing w:before="120" w:after="120" w:line="276" w:lineRule="auto"/>
    </w:pPr>
    <w:rPr>
      <w:rFonts w:ascii="Arial" w:hAnsi="Arial"/>
      <w:snapToGrid w:val="0"/>
      <w:sz w:val="21"/>
      <w:szCs w:val="20"/>
      <w:lang w:eastAsia="en-US"/>
    </w:rPr>
  </w:style>
  <w:style w:type="paragraph" w:customStyle="1" w:styleId="Char10">
    <w:name w:val="Char1"/>
    <w:basedOn w:val="Normal"/>
    <w:rsid w:val="002D00F3"/>
    <w:pPr>
      <w:spacing w:after="160" w:line="240" w:lineRule="exact"/>
    </w:pPr>
    <w:rPr>
      <w:rFonts w:ascii="Verdana" w:hAnsi="Verdana"/>
      <w:sz w:val="20"/>
      <w:szCs w:val="20"/>
      <w:lang w:val="en-US" w:eastAsia="en-US"/>
    </w:rPr>
  </w:style>
  <w:style w:type="paragraph" w:customStyle="1" w:styleId="Char2">
    <w:name w:val="Char2"/>
    <w:basedOn w:val="Normal"/>
    <w:rsid w:val="00446A5C"/>
    <w:pPr>
      <w:spacing w:after="160" w:line="240" w:lineRule="exact"/>
    </w:pPr>
    <w:rPr>
      <w:rFonts w:ascii="Verdana" w:hAnsi="Verdana"/>
      <w:sz w:val="20"/>
      <w:szCs w:val="20"/>
      <w:lang w:val="en-US" w:eastAsia="en-US"/>
    </w:rPr>
  </w:style>
  <w:style w:type="paragraph" w:styleId="ListParagraph">
    <w:name w:val="List Paragraph"/>
    <w:basedOn w:val="Normal"/>
    <w:uiPriority w:val="34"/>
    <w:qFormat/>
    <w:rsid w:val="00495ABC"/>
    <w:pPr>
      <w:ind w:left="720"/>
      <w:contextualSpacing/>
    </w:pPr>
    <w:rPr>
      <w:rFonts w:ascii="Times" w:hAnsi="Times"/>
      <w:szCs w:val="20"/>
    </w:rPr>
  </w:style>
  <w:style w:type="character" w:styleId="CommentReference">
    <w:name w:val="annotation reference"/>
    <w:basedOn w:val="DefaultParagraphFont"/>
    <w:rsid w:val="00B649AE"/>
    <w:rPr>
      <w:sz w:val="16"/>
      <w:szCs w:val="16"/>
    </w:rPr>
  </w:style>
  <w:style w:type="paragraph" w:styleId="CommentText">
    <w:name w:val="annotation text"/>
    <w:basedOn w:val="Normal"/>
    <w:link w:val="CommentTextChar"/>
    <w:rsid w:val="00B649AE"/>
    <w:rPr>
      <w:sz w:val="20"/>
      <w:szCs w:val="20"/>
    </w:rPr>
  </w:style>
  <w:style w:type="character" w:customStyle="1" w:styleId="CommentTextChar">
    <w:name w:val="Comment Text Char"/>
    <w:basedOn w:val="DefaultParagraphFont"/>
    <w:link w:val="CommentText"/>
    <w:rsid w:val="00B649AE"/>
  </w:style>
  <w:style w:type="paragraph" w:styleId="CommentSubject">
    <w:name w:val="annotation subject"/>
    <w:basedOn w:val="CommentText"/>
    <w:next w:val="CommentText"/>
    <w:link w:val="CommentSubjectChar"/>
    <w:rsid w:val="00B649AE"/>
    <w:rPr>
      <w:b/>
      <w:bCs/>
    </w:rPr>
  </w:style>
  <w:style w:type="character" w:customStyle="1" w:styleId="CommentSubjectChar">
    <w:name w:val="Comment Subject Char"/>
    <w:basedOn w:val="CommentTextChar"/>
    <w:link w:val="CommentSubject"/>
    <w:rsid w:val="00B649AE"/>
    <w:rPr>
      <w:b/>
      <w:bCs/>
    </w:rPr>
  </w:style>
  <w:style w:type="paragraph" w:styleId="Header">
    <w:name w:val="header"/>
    <w:basedOn w:val="Normal"/>
    <w:link w:val="HeaderChar"/>
    <w:rsid w:val="008D51C1"/>
    <w:pPr>
      <w:tabs>
        <w:tab w:val="center" w:pos="4680"/>
        <w:tab w:val="right" w:pos="9360"/>
      </w:tabs>
    </w:pPr>
  </w:style>
  <w:style w:type="character" w:customStyle="1" w:styleId="HeaderChar">
    <w:name w:val="Header Char"/>
    <w:basedOn w:val="DefaultParagraphFont"/>
    <w:link w:val="Header"/>
    <w:rsid w:val="008D51C1"/>
    <w:rPr>
      <w:sz w:val="24"/>
      <w:szCs w:val="24"/>
    </w:rPr>
  </w:style>
  <w:style w:type="paragraph" w:styleId="Footer">
    <w:name w:val="footer"/>
    <w:basedOn w:val="Normal"/>
    <w:link w:val="FooterChar"/>
    <w:rsid w:val="008D51C1"/>
    <w:pPr>
      <w:tabs>
        <w:tab w:val="center" w:pos="4680"/>
        <w:tab w:val="right" w:pos="9360"/>
      </w:tabs>
    </w:pPr>
  </w:style>
  <w:style w:type="character" w:customStyle="1" w:styleId="FooterChar">
    <w:name w:val="Footer Char"/>
    <w:basedOn w:val="DefaultParagraphFont"/>
    <w:link w:val="Footer"/>
    <w:rsid w:val="008D51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487765">
      <w:bodyDiv w:val="1"/>
      <w:marLeft w:val="0"/>
      <w:marRight w:val="0"/>
      <w:marTop w:val="0"/>
      <w:marBottom w:val="0"/>
      <w:divBdr>
        <w:top w:val="none" w:sz="0" w:space="0" w:color="auto"/>
        <w:left w:val="none" w:sz="0" w:space="0" w:color="auto"/>
        <w:bottom w:val="none" w:sz="0" w:space="0" w:color="auto"/>
        <w:right w:val="none" w:sz="0" w:space="0" w:color="auto"/>
      </w:divBdr>
    </w:div>
    <w:div w:id="959923183">
      <w:bodyDiv w:val="1"/>
      <w:marLeft w:val="0"/>
      <w:marRight w:val="0"/>
      <w:marTop w:val="0"/>
      <w:marBottom w:val="0"/>
      <w:divBdr>
        <w:top w:val="none" w:sz="0" w:space="0" w:color="auto"/>
        <w:left w:val="none" w:sz="0" w:space="0" w:color="auto"/>
        <w:bottom w:val="none" w:sz="0" w:space="0" w:color="auto"/>
        <w:right w:val="none" w:sz="0" w:space="0" w:color="auto"/>
      </w:divBdr>
    </w:div>
    <w:div w:id="1098136122">
      <w:bodyDiv w:val="1"/>
      <w:marLeft w:val="0"/>
      <w:marRight w:val="0"/>
      <w:marTop w:val="0"/>
      <w:marBottom w:val="0"/>
      <w:divBdr>
        <w:top w:val="none" w:sz="0" w:space="0" w:color="auto"/>
        <w:left w:val="none" w:sz="0" w:space="0" w:color="auto"/>
        <w:bottom w:val="none" w:sz="0" w:space="0" w:color="auto"/>
        <w:right w:val="none" w:sz="0" w:space="0" w:color="auto"/>
      </w:divBdr>
    </w:div>
    <w:div w:id="1260600482">
      <w:bodyDiv w:val="1"/>
      <w:marLeft w:val="0"/>
      <w:marRight w:val="0"/>
      <w:marTop w:val="0"/>
      <w:marBottom w:val="0"/>
      <w:divBdr>
        <w:top w:val="none" w:sz="0" w:space="0" w:color="auto"/>
        <w:left w:val="none" w:sz="0" w:space="0" w:color="auto"/>
        <w:bottom w:val="none" w:sz="0" w:space="0" w:color="auto"/>
        <w:right w:val="none" w:sz="0" w:space="0" w:color="auto"/>
      </w:divBdr>
      <w:divsChild>
        <w:div w:id="1164592889">
          <w:marLeft w:val="0"/>
          <w:marRight w:val="0"/>
          <w:marTop w:val="0"/>
          <w:marBottom w:val="0"/>
          <w:divBdr>
            <w:top w:val="none" w:sz="0" w:space="0" w:color="auto"/>
            <w:left w:val="none" w:sz="0" w:space="0" w:color="auto"/>
            <w:bottom w:val="none" w:sz="0" w:space="0" w:color="auto"/>
            <w:right w:val="none" w:sz="0" w:space="0" w:color="auto"/>
          </w:divBdr>
          <w:divsChild>
            <w:div w:id="800421364">
              <w:marLeft w:val="0"/>
              <w:marRight w:val="0"/>
              <w:marTop w:val="0"/>
              <w:marBottom w:val="0"/>
              <w:divBdr>
                <w:top w:val="none" w:sz="0" w:space="0" w:color="auto"/>
                <w:left w:val="none" w:sz="0" w:space="0" w:color="auto"/>
                <w:bottom w:val="none" w:sz="0" w:space="0" w:color="auto"/>
                <w:right w:val="none" w:sz="0" w:space="0" w:color="auto"/>
              </w:divBdr>
              <w:divsChild>
                <w:div w:id="822310605">
                  <w:marLeft w:val="0"/>
                  <w:marRight w:val="0"/>
                  <w:marTop w:val="0"/>
                  <w:marBottom w:val="0"/>
                  <w:divBdr>
                    <w:top w:val="none" w:sz="0" w:space="0" w:color="auto"/>
                    <w:left w:val="none" w:sz="0" w:space="0" w:color="auto"/>
                    <w:bottom w:val="none" w:sz="0" w:space="0" w:color="auto"/>
                    <w:right w:val="none" w:sz="0" w:space="0" w:color="auto"/>
                  </w:divBdr>
                  <w:divsChild>
                    <w:div w:id="126247147">
                      <w:marLeft w:val="0"/>
                      <w:marRight w:val="0"/>
                      <w:marTop w:val="0"/>
                      <w:marBottom w:val="0"/>
                      <w:divBdr>
                        <w:top w:val="none" w:sz="0" w:space="0" w:color="auto"/>
                        <w:left w:val="none" w:sz="0" w:space="0" w:color="auto"/>
                        <w:bottom w:val="none" w:sz="0" w:space="0" w:color="auto"/>
                        <w:right w:val="none" w:sz="0" w:space="0" w:color="auto"/>
                      </w:divBdr>
                      <w:divsChild>
                        <w:div w:id="362631904">
                          <w:marLeft w:val="0"/>
                          <w:marRight w:val="0"/>
                          <w:marTop w:val="0"/>
                          <w:marBottom w:val="0"/>
                          <w:divBdr>
                            <w:top w:val="none" w:sz="0" w:space="0" w:color="auto"/>
                            <w:left w:val="none" w:sz="0" w:space="0" w:color="auto"/>
                            <w:bottom w:val="none" w:sz="0" w:space="0" w:color="auto"/>
                            <w:right w:val="none" w:sz="0" w:space="0" w:color="auto"/>
                          </w:divBdr>
                          <w:divsChild>
                            <w:div w:id="1279339709">
                              <w:marLeft w:val="0"/>
                              <w:marRight w:val="0"/>
                              <w:marTop w:val="0"/>
                              <w:marBottom w:val="0"/>
                              <w:divBdr>
                                <w:top w:val="none" w:sz="0" w:space="0" w:color="auto"/>
                                <w:left w:val="none" w:sz="0" w:space="0" w:color="auto"/>
                                <w:bottom w:val="none" w:sz="0" w:space="0" w:color="auto"/>
                                <w:right w:val="none" w:sz="0" w:space="0" w:color="auto"/>
                              </w:divBdr>
                              <w:divsChild>
                                <w:div w:id="5360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4190880">
      <w:bodyDiv w:val="1"/>
      <w:marLeft w:val="0"/>
      <w:marRight w:val="0"/>
      <w:marTop w:val="0"/>
      <w:marBottom w:val="0"/>
      <w:divBdr>
        <w:top w:val="none" w:sz="0" w:space="0" w:color="auto"/>
        <w:left w:val="none" w:sz="0" w:space="0" w:color="auto"/>
        <w:bottom w:val="none" w:sz="0" w:space="0" w:color="auto"/>
        <w:right w:val="none" w:sz="0" w:space="0" w:color="auto"/>
      </w:divBdr>
    </w:div>
    <w:div w:id="182046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austlii.edu.au/au/legis/cth/consol_act/sraca1988368/s4.html" TargetMode="External"/><Relationship Id="rId3" Type="http://schemas.openxmlformats.org/officeDocument/2006/relationships/styles" Target="styles.xml"/><Relationship Id="rId21" Type="http://schemas.openxmlformats.org/officeDocument/2006/relationships/hyperlink" Target="http://www.austlii.edu.au/au/legis/cth/consol_act/sraca1988368/s4.htm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austlii.edu.au/au/legis/cth/consol_act/sraca1988368/s4.html" TargetMode="External"/><Relationship Id="rId2" Type="http://schemas.openxmlformats.org/officeDocument/2006/relationships/numbering" Target="numbering.xml"/><Relationship Id="rId16" Type="http://schemas.openxmlformats.org/officeDocument/2006/relationships/hyperlink" Target="http://www.austlii.edu.au/au/legis/cth/consol_act/sraca1988368/s4.html" TargetMode="External"/><Relationship Id="rId20" Type="http://schemas.openxmlformats.org/officeDocument/2006/relationships/hyperlink" Target="http://www.austlii.edu.au/au/legis/cth/consol_act/sraca1988368/s4.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austlii.edu.au/au/legis/cth/consol_act/sraca1988368/s4.htm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3025C-6971-4782-B422-957928F55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5102</Words>
  <Characters>27399</Characters>
  <Application>Microsoft Office Word</Application>
  <DocSecurity>4</DocSecurity>
  <Lines>228</Lines>
  <Paragraphs>64</Paragraphs>
  <ScaleCrop>false</ScaleCrop>
  <HeadingPairs>
    <vt:vector size="2" baseType="variant">
      <vt:variant>
        <vt:lpstr>Title</vt:lpstr>
      </vt:variant>
      <vt:variant>
        <vt:i4>1</vt:i4>
      </vt:variant>
    </vt:vector>
  </HeadingPairs>
  <TitlesOfParts>
    <vt:vector size="1" baseType="lpstr">
      <vt:lpstr>TEMPLATE 1</vt:lpstr>
    </vt:vector>
  </TitlesOfParts>
  <Company>COMCARE</Company>
  <LinksUpToDate>false</LinksUpToDate>
  <CharactersWithSpaces>32437</CharactersWithSpaces>
  <SharedDoc>false</SharedDoc>
  <HLinks>
    <vt:vector size="36" baseType="variant">
      <vt:variant>
        <vt:i4>5832740</vt:i4>
      </vt:variant>
      <vt:variant>
        <vt:i4>15</vt:i4>
      </vt:variant>
      <vt:variant>
        <vt:i4>0</vt:i4>
      </vt:variant>
      <vt:variant>
        <vt:i4>5</vt:i4>
      </vt:variant>
      <vt:variant>
        <vt:lpwstr>http://www.austlii.edu.au/au/legis/cth/consol_act/sraca1988368/s4.html</vt:lpwstr>
      </vt:variant>
      <vt:variant>
        <vt:lpwstr>licensee</vt:lpwstr>
      </vt:variant>
      <vt:variant>
        <vt:i4>3473499</vt:i4>
      </vt:variant>
      <vt:variant>
        <vt:i4>12</vt:i4>
      </vt:variant>
      <vt:variant>
        <vt:i4>0</vt:i4>
      </vt:variant>
      <vt:variant>
        <vt:i4>5</vt:i4>
      </vt:variant>
      <vt:variant>
        <vt:lpwstr>http://www.austlii.edu.au/au/legis/cth/consol_act/sraca1988368/s4.html</vt:lpwstr>
      </vt:variant>
      <vt:variant>
        <vt:lpwstr>commission</vt:lpwstr>
      </vt:variant>
      <vt:variant>
        <vt:i4>3997775</vt:i4>
      </vt:variant>
      <vt:variant>
        <vt:i4>9</vt:i4>
      </vt:variant>
      <vt:variant>
        <vt:i4>0</vt:i4>
      </vt:variant>
      <vt:variant>
        <vt:i4>5</vt:i4>
      </vt:variant>
      <vt:variant>
        <vt:lpwstr>http://www.austlii.edu.au/au/legis/cth/consol_act/sraca1988368/s4.html</vt:lpwstr>
      </vt:variant>
      <vt:variant>
        <vt:lpwstr>comcare</vt:lpwstr>
      </vt:variant>
      <vt:variant>
        <vt:i4>5832740</vt:i4>
      </vt:variant>
      <vt:variant>
        <vt:i4>6</vt:i4>
      </vt:variant>
      <vt:variant>
        <vt:i4>0</vt:i4>
      </vt:variant>
      <vt:variant>
        <vt:i4>5</vt:i4>
      </vt:variant>
      <vt:variant>
        <vt:lpwstr>http://www.austlii.edu.au/au/legis/cth/consol_act/sraca1988368/s4.html</vt:lpwstr>
      </vt:variant>
      <vt:variant>
        <vt:lpwstr>licensee</vt:lpwstr>
      </vt:variant>
      <vt:variant>
        <vt:i4>3997775</vt:i4>
      </vt:variant>
      <vt:variant>
        <vt:i4>3</vt:i4>
      </vt:variant>
      <vt:variant>
        <vt:i4>0</vt:i4>
      </vt:variant>
      <vt:variant>
        <vt:i4>5</vt:i4>
      </vt:variant>
      <vt:variant>
        <vt:lpwstr>http://www.austlii.edu.au/au/legis/cth/consol_act/sraca1988368/s4.html</vt:lpwstr>
      </vt:variant>
      <vt:variant>
        <vt:lpwstr>comcare</vt:lpwstr>
      </vt:variant>
      <vt:variant>
        <vt:i4>3997775</vt:i4>
      </vt:variant>
      <vt:variant>
        <vt:i4>0</vt:i4>
      </vt:variant>
      <vt:variant>
        <vt:i4>0</vt:i4>
      </vt:variant>
      <vt:variant>
        <vt:i4>5</vt:i4>
      </vt:variant>
      <vt:variant>
        <vt:lpwstr>http://www.austlii.edu.au/au/legis/cth/consol_act/sraca1988368/s4.html</vt:lpwstr>
      </vt:variant>
      <vt:variant>
        <vt:lpwstr>comcare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1</dc:title>
  <dc:creator>cameron.gregory</dc:creator>
  <cp:lastModifiedBy>Sara Turnbull</cp:lastModifiedBy>
  <cp:revision>2</cp:revision>
  <cp:lastPrinted>2015-08-16T23:27:00Z</cp:lastPrinted>
  <dcterms:created xsi:type="dcterms:W3CDTF">2015-11-19T22:52:00Z</dcterms:created>
  <dcterms:modified xsi:type="dcterms:W3CDTF">2015-11-19T22:52:00Z</dcterms:modified>
</cp:coreProperties>
</file>